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Pr="00782C59" w:rsidRDefault="00782C59" w:rsidP="00782C59">
      <w:pPr>
        <w:spacing w:line="360" w:lineRule="auto"/>
        <w:jc w:val="center"/>
        <w:rPr>
          <w:bCs/>
          <w:color w:val="000000"/>
          <w:sz w:val="52"/>
          <w:szCs w:val="52"/>
        </w:rPr>
      </w:pPr>
      <w:r w:rsidRPr="00782C59">
        <w:rPr>
          <w:rFonts w:eastAsia="黑体"/>
          <w:bCs/>
          <w:color w:val="000000"/>
          <w:sz w:val="52"/>
          <w:szCs w:val="52"/>
        </w:rPr>
        <w:t>有色金属行业标准</w:t>
      </w:r>
    </w:p>
    <w:p w:rsidR="001B4509" w:rsidRPr="00782C59" w:rsidRDefault="0093330E">
      <w:pPr>
        <w:spacing w:line="360" w:lineRule="auto"/>
        <w:jc w:val="center"/>
        <w:rPr>
          <w:rFonts w:eastAsia="黑体"/>
          <w:bCs/>
          <w:color w:val="000000"/>
          <w:sz w:val="44"/>
          <w:szCs w:val="44"/>
        </w:rPr>
      </w:pPr>
      <w:r w:rsidRPr="00782C59">
        <w:rPr>
          <w:rFonts w:eastAsia="黑体" w:hint="eastAsia"/>
          <w:bCs/>
          <w:color w:val="000000"/>
          <w:sz w:val="44"/>
          <w:szCs w:val="44"/>
        </w:rPr>
        <w:t>镍精矿</w:t>
      </w:r>
      <w:r w:rsidR="006A649C" w:rsidRPr="00782C59">
        <w:rPr>
          <w:rFonts w:eastAsia="黑体"/>
          <w:bCs/>
          <w:color w:val="000000"/>
          <w:sz w:val="44"/>
          <w:szCs w:val="44"/>
        </w:rPr>
        <w:t>化学分析方法</w:t>
      </w:r>
    </w:p>
    <w:p w:rsidR="001B4509" w:rsidRPr="00782C59" w:rsidRDefault="006A649C">
      <w:pPr>
        <w:spacing w:line="360" w:lineRule="auto"/>
        <w:jc w:val="center"/>
        <w:rPr>
          <w:rFonts w:eastAsia="黑体"/>
          <w:bCs/>
          <w:color w:val="000000"/>
          <w:sz w:val="44"/>
          <w:szCs w:val="44"/>
        </w:rPr>
      </w:pPr>
      <w:r w:rsidRPr="00782C59">
        <w:rPr>
          <w:rFonts w:eastAsia="黑体"/>
          <w:bCs/>
          <w:color w:val="000000"/>
          <w:sz w:val="44"/>
          <w:szCs w:val="44"/>
        </w:rPr>
        <w:t>第</w:t>
      </w:r>
      <w:r w:rsidRPr="00782C59">
        <w:rPr>
          <w:rFonts w:eastAsia="黑体" w:hint="eastAsia"/>
          <w:bCs/>
          <w:color w:val="000000"/>
          <w:sz w:val="44"/>
          <w:szCs w:val="44"/>
        </w:rPr>
        <w:t>7</w:t>
      </w:r>
      <w:r w:rsidRPr="00782C59">
        <w:rPr>
          <w:rFonts w:eastAsia="黑体"/>
          <w:bCs/>
          <w:color w:val="000000"/>
          <w:sz w:val="44"/>
          <w:szCs w:val="44"/>
        </w:rPr>
        <w:t>部分：</w:t>
      </w:r>
      <w:r w:rsidRPr="00782C59">
        <w:rPr>
          <w:rFonts w:eastAsia="黑体" w:hint="eastAsia"/>
          <w:bCs/>
          <w:color w:val="000000"/>
          <w:sz w:val="44"/>
          <w:szCs w:val="44"/>
        </w:rPr>
        <w:t>银含</w:t>
      </w:r>
      <w:r w:rsidRPr="00782C59">
        <w:rPr>
          <w:rFonts w:eastAsia="黑体"/>
          <w:bCs/>
          <w:color w:val="000000"/>
          <w:sz w:val="44"/>
          <w:szCs w:val="44"/>
        </w:rPr>
        <w:t>量的测定</w:t>
      </w:r>
    </w:p>
    <w:p w:rsidR="001B4509" w:rsidRPr="00782C59" w:rsidRDefault="006A649C">
      <w:pPr>
        <w:spacing w:line="360" w:lineRule="auto"/>
        <w:jc w:val="center"/>
        <w:rPr>
          <w:rFonts w:eastAsia="黑体"/>
          <w:bCs/>
          <w:color w:val="000000"/>
          <w:sz w:val="44"/>
          <w:szCs w:val="44"/>
        </w:rPr>
      </w:pPr>
      <w:r w:rsidRPr="00782C59">
        <w:rPr>
          <w:rFonts w:eastAsia="黑体" w:hint="eastAsia"/>
          <w:bCs/>
          <w:color w:val="000000"/>
          <w:sz w:val="44"/>
          <w:szCs w:val="44"/>
        </w:rPr>
        <w:t>火焰原子吸收光谱</w:t>
      </w:r>
      <w:r w:rsidRPr="00782C59">
        <w:rPr>
          <w:rFonts w:eastAsia="黑体"/>
          <w:bCs/>
          <w:color w:val="000000"/>
          <w:sz w:val="44"/>
          <w:szCs w:val="44"/>
        </w:rPr>
        <w:t>法</w:t>
      </w:r>
    </w:p>
    <w:p w:rsidR="001B4509" w:rsidRPr="00782C59" w:rsidRDefault="001B4509">
      <w:pPr>
        <w:spacing w:line="360" w:lineRule="auto"/>
        <w:rPr>
          <w:bCs/>
          <w:color w:val="000000"/>
          <w:sz w:val="44"/>
          <w:szCs w:val="44"/>
        </w:rPr>
      </w:pPr>
    </w:p>
    <w:p w:rsidR="001B4509" w:rsidRPr="00782C59" w:rsidRDefault="006A649C">
      <w:pPr>
        <w:spacing w:line="360" w:lineRule="auto"/>
        <w:jc w:val="center"/>
        <w:rPr>
          <w:rFonts w:eastAsia="黑体"/>
          <w:bCs/>
          <w:color w:val="000000"/>
          <w:sz w:val="36"/>
          <w:szCs w:val="36"/>
        </w:rPr>
      </w:pPr>
      <w:r w:rsidRPr="00782C59">
        <w:rPr>
          <w:rFonts w:eastAsia="黑体"/>
          <w:bCs/>
          <w:color w:val="000000"/>
          <w:sz w:val="36"/>
          <w:szCs w:val="36"/>
        </w:rPr>
        <w:t>编制说明</w:t>
      </w: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rPr>
          <w:bCs/>
          <w:color w:val="000000"/>
          <w:sz w:val="28"/>
          <w:szCs w:val="28"/>
        </w:rPr>
      </w:pPr>
    </w:p>
    <w:p w:rsidR="001B4509" w:rsidRPr="00A866CB" w:rsidRDefault="0079066C">
      <w:pPr>
        <w:spacing w:line="360" w:lineRule="auto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A866CB">
        <w:rPr>
          <w:rFonts w:ascii="黑体" w:eastAsia="黑体" w:hint="eastAsia"/>
          <w:bCs/>
          <w:color w:val="000000"/>
          <w:sz w:val="32"/>
          <w:szCs w:val="32"/>
        </w:rPr>
        <w:t>金川集团股份有限公司</w:t>
      </w:r>
    </w:p>
    <w:p w:rsidR="001B4509" w:rsidRDefault="001B450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B4509" w:rsidRDefault="001B450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B4509" w:rsidRDefault="006A649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93330E">
        <w:rPr>
          <w:rFonts w:hint="eastAsia"/>
          <w:sz w:val="32"/>
          <w:szCs w:val="32"/>
        </w:rPr>
        <w:lastRenderedPageBreak/>
        <w:t>镍精矿</w:t>
      </w:r>
      <w:r>
        <w:rPr>
          <w:sz w:val="32"/>
          <w:szCs w:val="32"/>
        </w:rPr>
        <w:t>化学分析方法</w:t>
      </w:r>
    </w:p>
    <w:p w:rsidR="001B4509" w:rsidRDefault="006A649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第</w:t>
      </w: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部分：</w:t>
      </w:r>
      <w:r>
        <w:rPr>
          <w:rFonts w:hint="eastAsia"/>
          <w:sz w:val="32"/>
          <w:szCs w:val="32"/>
        </w:rPr>
        <w:t>银含</w:t>
      </w:r>
      <w:r>
        <w:rPr>
          <w:sz w:val="32"/>
          <w:szCs w:val="32"/>
        </w:rPr>
        <w:t>量的测定</w:t>
      </w:r>
      <w:r w:rsidR="00782C59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火焰原子吸收光谱</w:t>
      </w:r>
      <w:r>
        <w:rPr>
          <w:sz w:val="32"/>
          <w:szCs w:val="32"/>
        </w:rPr>
        <w:t>法</w:t>
      </w:r>
    </w:p>
    <w:p w:rsidR="001B4509" w:rsidRDefault="006A649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编制说明</w:t>
      </w:r>
    </w:p>
    <w:p w:rsidR="001B4509" w:rsidRPr="00782C59" w:rsidRDefault="006A649C">
      <w:pPr>
        <w:spacing w:line="360" w:lineRule="auto"/>
        <w:rPr>
          <w:rFonts w:ascii="黑体" w:eastAsia="黑体" w:hAnsi="宋体"/>
          <w:sz w:val="24"/>
        </w:rPr>
      </w:pPr>
      <w:r w:rsidRPr="00782C59">
        <w:rPr>
          <w:rFonts w:ascii="黑体" w:eastAsia="黑体" w:hAnsi="宋体" w:hint="eastAsia"/>
          <w:sz w:val="24"/>
        </w:rPr>
        <w:t>一、工作简况</w:t>
      </w:r>
    </w:p>
    <w:p w:rsidR="001B4509" w:rsidRDefault="006A649C">
      <w:pPr>
        <w:spacing w:line="360" w:lineRule="auto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1.1 方法概况</w:t>
      </w:r>
    </w:p>
    <w:p w:rsidR="001B4509" w:rsidRPr="0031236D" w:rsidRDefault="006A649C">
      <w:pPr>
        <w:spacing w:line="360" w:lineRule="auto"/>
        <w:rPr>
          <w:rFonts w:eastAsiaTheme="minorEastAsia"/>
          <w:b/>
          <w:szCs w:val="21"/>
        </w:rPr>
      </w:pPr>
      <w:r w:rsidRPr="0031236D">
        <w:rPr>
          <w:rFonts w:eastAsiaTheme="minorEastAsia"/>
          <w:b/>
          <w:szCs w:val="21"/>
        </w:rPr>
        <w:t>1</w:t>
      </w:r>
      <w:r w:rsidRPr="0031236D">
        <w:rPr>
          <w:rFonts w:eastAsiaTheme="minorEastAsia" w:hint="eastAsia"/>
          <w:b/>
          <w:szCs w:val="21"/>
        </w:rPr>
        <w:t>.1.1</w:t>
      </w:r>
      <w:r w:rsidRPr="0031236D">
        <w:rPr>
          <w:rFonts w:eastAsiaTheme="minorEastAsia" w:hint="eastAsia"/>
          <w:b/>
          <w:szCs w:val="21"/>
        </w:rPr>
        <w:t>项目的必要性</w:t>
      </w:r>
    </w:p>
    <w:p w:rsidR="00C36939" w:rsidRPr="00C36939" w:rsidRDefault="0093330E">
      <w:pPr>
        <w:ind w:firstLine="437"/>
        <w:rPr>
          <w:color w:val="000000"/>
          <w:szCs w:val="21"/>
        </w:rPr>
      </w:pPr>
      <w:r w:rsidRPr="00C36939">
        <w:rPr>
          <w:rFonts w:hint="eastAsia"/>
          <w:color w:val="000000"/>
          <w:szCs w:val="21"/>
        </w:rPr>
        <w:t>镍精矿是硫化镍矿或硫化铜镍矿石经选矿浮选所得，其中</w:t>
      </w:r>
      <w:r w:rsidR="006A649C" w:rsidRPr="00C36939">
        <w:rPr>
          <w:rFonts w:hint="eastAsia"/>
          <w:color w:val="000000"/>
          <w:szCs w:val="21"/>
        </w:rPr>
        <w:t>含有大量的有价元素，如镍、</w:t>
      </w:r>
      <w:r w:rsidRPr="00C36939">
        <w:rPr>
          <w:rFonts w:hint="eastAsia"/>
          <w:color w:val="000000"/>
          <w:szCs w:val="21"/>
        </w:rPr>
        <w:t>铜、</w:t>
      </w:r>
      <w:r w:rsidR="006A649C" w:rsidRPr="00C36939">
        <w:rPr>
          <w:rFonts w:hint="eastAsia"/>
          <w:color w:val="000000"/>
          <w:szCs w:val="21"/>
        </w:rPr>
        <w:t>钴、金、铂、钯</w:t>
      </w:r>
      <w:r w:rsidRPr="00C36939">
        <w:rPr>
          <w:rFonts w:hint="eastAsia"/>
          <w:color w:val="000000"/>
          <w:szCs w:val="21"/>
        </w:rPr>
        <w:t>、银</w:t>
      </w:r>
      <w:r w:rsidR="006A649C" w:rsidRPr="00C36939">
        <w:rPr>
          <w:rFonts w:hint="eastAsia"/>
          <w:color w:val="000000"/>
          <w:szCs w:val="21"/>
        </w:rPr>
        <w:t>等</w:t>
      </w:r>
      <w:r w:rsidR="00C36939" w:rsidRPr="00C36939">
        <w:rPr>
          <w:rFonts w:hint="eastAsia"/>
          <w:color w:val="000000"/>
          <w:szCs w:val="21"/>
        </w:rPr>
        <w:t>，其中银的含量大多在</w:t>
      </w:r>
      <w:r w:rsidR="00C36939" w:rsidRPr="00C36939">
        <w:rPr>
          <w:rFonts w:hint="eastAsia"/>
          <w:color w:val="000000"/>
          <w:szCs w:val="21"/>
        </w:rPr>
        <w:t>10g/t</w:t>
      </w:r>
      <w:r w:rsidR="00C36939" w:rsidRPr="00C36939">
        <w:rPr>
          <w:rFonts w:hint="eastAsia"/>
          <w:color w:val="000000"/>
          <w:szCs w:val="21"/>
        </w:rPr>
        <w:t>以上，个别厂家的银含量可达</w:t>
      </w:r>
      <w:r w:rsidR="00C36939" w:rsidRPr="00C36939">
        <w:rPr>
          <w:rFonts w:hint="eastAsia"/>
          <w:color w:val="000000"/>
          <w:szCs w:val="21"/>
        </w:rPr>
        <w:t>100g/t</w:t>
      </w:r>
      <w:r w:rsidR="00E85CF1">
        <w:rPr>
          <w:rFonts w:hint="eastAsia"/>
          <w:color w:val="000000"/>
          <w:szCs w:val="21"/>
        </w:rPr>
        <w:t>以上</w:t>
      </w:r>
      <w:r w:rsidR="00C36939" w:rsidRPr="00C36939">
        <w:rPr>
          <w:rFonts w:hint="eastAsia"/>
          <w:color w:val="000000"/>
          <w:szCs w:val="21"/>
        </w:rPr>
        <w:t>，在贸易中与</w:t>
      </w:r>
      <w:r w:rsidR="00C36939" w:rsidRPr="00C36939">
        <w:rPr>
          <w:szCs w:val="21"/>
        </w:rPr>
        <w:t>镍、铜、</w:t>
      </w:r>
      <w:proofErr w:type="gramStart"/>
      <w:r w:rsidR="00C36939" w:rsidRPr="00C36939">
        <w:rPr>
          <w:szCs w:val="21"/>
        </w:rPr>
        <w:t>钴</w:t>
      </w:r>
      <w:r w:rsidR="00C36939" w:rsidRPr="00C36939">
        <w:rPr>
          <w:rFonts w:hint="eastAsia"/>
          <w:szCs w:val="21"/>
        </w:rPr>
        <w:t>以及</w:t>
      </w:r>
      <w:proofErr w:type="gramEnd"/>
      <w:r w:rsidR="00C36939" w:rsidRPr="00C36939">
        <w:rPr>
          <w:rFonts w:hint="eastAsia"/>
          <w:szCs w:val="21"/>
        </w:rPr>
        <w:t>金、铂、</w:t>
      </w:r>
      <w:proofErr w:type="gramStart"/>
      <w:r w:rsidR="00C36939" w:rsidRPr="00C36939">
        <w:rPr>
          <w:rFonts w:hint="eastAsia"/>
          <w:szCs w:val="21"/>
        </w:rPr>
        <w:t>钯</w:t>
      </w:r>
      <w:r w:rsidR="00C36939" w:rsidRPr="00C36939">
        <w:rPr>
          <w:szCs w:val="21"/>
        </w:rPr>
        <w:t>共同</w:t>
      </w:r>
      <w:proofErr w:type="gramEnd"/>
      <w:r w:rsidR="00C36939" w:rsidRPr="00C36939">
        <w:rPr>
          <w:szCs w:val="21"/>
        </w:rPr>
        <w:t>参与物料的结算</w:t>
      </w:r>
      <w:r w:rsidR="00C36939" w:rsidRPr="00C36939">
        <w:rPr>
          <w:rFonts w:hint="eastAsia"/>
          <w:szCs w:val="21"/>
        </w:rPr>
        <w:t>。</w:t>
      </w:r>
      <w:r w:rsidR="00B3256C" w:rsidRPr="00B3256C">
        <w:rPr>
          <w:rFonts w:hint="eastAsia"/>
          <w:szCs w:val="21"/>
        </w:rPr>
        <w:t>金川集团股份有限公司近几年每年外购的国内外镍精矿就有近</w:t>
      </w:r>
      <w:r w:rsidR="00B3256C" w:rsidRPr="00B3256C">
        <w:rPr>
          <w:rFonts w:hint="eastAsia"/>
          <w:szCs w:val="21"/>
        </w:rPr>
        <w:t>50</w:t>
      </w:r>
      <w:r w:rsidR="00B3256C" w:rsidRPr="00B3256C">
        <w:rPr>
          <w:rFonts w:hint="eastAsia"/>
          <w:szCs w:val="21"/>
        </w:rPr>
        <w:t>万吨，其中银量</w:t>
      </w:r>
      <w:r w:rsidR="00B3256C">
        <w:rPr>
          <w:rFonts w:hint="eastAsia"/>
          <w:szCs w:val="21"/>
        </w:rPr>
        <w:t>在</w:t>
      </w:r>
      <w:r w:rsidR="00B3256C" w:rsidRPr="00B3256C">
        <w:rPr>
          <w:rFonts w:hint="eastAsia"/>
          <w:szCs w:val="21"/>
        </w:rPr>
        <w:t>2000 Kg</w:t>
      </w:r>
      <w:r w:rsidR="00B3256C">
        <w:rPr>
          <w:rFonts w:hint="eastAsia"/>
          <w:szCs w:val="21"/>
        </w:rPr>
        <w:t>以上</w:t>
      </w:r>
      <w:r w:rsidR="00B3256C" w:rsidRPr="00B3256C">
        <w:rPr>
          <w:rFonts w:hint="eastAsia"/>
          <w:szCs w:val="21"/>
        </w:rPr>
        <w:t>，价值不容忽视。</w:t>
      </w:r>
      <w:r w:rsidR="00C36939" w:rsidRPr="00C36939">
        <w:rPr>
          <w:rFonts w:hint="eastAsia"/>
          <w:szCs w:val="21"/>
        </w:rPr>
        <w:t>在</w:t>
      </w:r>
      <w:r w:rsidR="00C36939" w:rsidRPr="00C36939">
        <w:rPr>
          <w:szCs w:val="21"/>
        </w:rPr>
        <w:t>现行有色行业标准《</w:t>
      </w:r>
      <w:r w:rsidR="00C36939" w:rsidRPr="00C36939">
        <w:rPr>
          <w:rFonts w:hint="eastAsia"/>
          <w:szCs w:val="21"/>
        </w:rPr>
        <w:t>镍精矿</w:t>
      </w:r>
      <w:r w:rsidR="00C36939" w:rsidRPr="00C36939">
        <w:rPr>
          <w:szCs w:val="21"/>
        </w:rPr>
        <w:t>化学分析方法》</w:t>
      </w:r>
      <w:r w:rsidR="00C36939" w:rsidRPr="00C36939">
        <w:rPr>
          <w:rFonts w:hint="eastAsia"/>
          <w:szCs w:val="21"/>
        </w:rPr>
        <w:t>中没有银量的分析标准，</w:t>
      </w:r>
      <w:r w:rsidR="00C36939" w:rsidRPr="00B3256C">
        <w:rPr>
          <w:rFonts w:hint="eastAsia"/>
          <w:szCs w:val="21"/>
        </w:rPr>
        <w:t>在国内也没有系统成熟的分析</w:t>
      </w:r>
      <w:r w:rsidR="00C36939" w:rsidRPr="00C36939">
        <w:rPr>
          <w:rFonts w:hint="eastAsia"/>
          <w:color w:val="000000"/>
          <w:szCs w:val="21"/>
        </w:rPr>
        <w:t>检测方法，</w:t>
      </w:r>
      <w:r w:rsidR="00C36939" w:rsidRPr="00C36939">
        <w:rPr>
          <w:rFonts w:hint="eastAsia"/>
          <w:szCs w:val="21"/>
        </w:rPr>
        <w:t>使得镍精矿在</w:t>
      </w:r>
      <w:r w:rsidR="00C36939" w:rsidRPr="00C36939">
        <w:rPr>
          <w:szCs w:val="21"/>
        </w:rPr>
        <w:t>国内外贸易结算中没有可以依照的、被行业认可的分析标准，在贸易中极易发生质量纠纷。</w:t>
      </w:r>
      <w:r w:rsidR="00C36939" w:rsidRPr="00C36939">
        <w:rPr>
          <w:rFonts w:hint="eastAsia"/>
          <w:color w:val="000000"/>
          <w:szCs w:val="21"/>
        </w:rPr>
        <w:t>因此，建立</w:t>
      </w:r>
      <w:r w:rsidR="00C36939" w:rsidRPr="00C36939">
        <w:rPr>
          <w:szCs w:val="21"/>
        </w:rPr>
        <w:t>一个行业认可、方法准确可靠的</w:t>
      </w:r>
      <w:r w:rsidR="00C36939" w:rsidRPr="00C36939">
        <w:rPr>
          <w:rFonts w:hint="eastAsia"/>
          <w:color w:val="000000"/>
          <w:szCs w:val="21"/>
        </w:rPr>
        <w:t>镍精矿中银含量的测定方法很有必要。</w:t>
      </w:r>
    </w:p>
    <w:p w:rsidR="001B4509" w:rsidRPr="0031236D" w:rsidRDefault="006A649C">
      <w:pPr>
        <w:spacing w:line="360" w:lineRule="auto"/>
        <w:rPr>
          <w:rFonts w:eastAsiaTheme="minorEastAsia"/>
          <w:b/>
          <w:szCs w:val="21"/>
        </w:rPr>
      </w:pPr>
      <w:r w:rsidRPr="0031236D">
        <w:rPr>
          <w:rFonts w:eastAsiaTheme="minorEastAsia" w:hint="eastAsia"/>
          <w:b/>
          <w:szCs w:val="21"/>
        </w:rPr>
        <w:t xml:space="preserve">1.1.2 </w:t>
      </w:r>
      <w:r w:rsidRPr="0031236D">
        <w:rPr>
          <w:rFonts w:eastAsiaTheme="minorEastAsia" w:hint="eastAsia"/>
          <w:b/>
          <w:szCs w:val="21"/>
        </w:rPr>
        <w:t>适用范围</w:t>
      </w:r>
    </w:p>
    <w:p w:rsidR="001B4509" w:rsidRPr="00BA4A6A" w:rsidRDefault="005C1763">
      <w:pPr>
        <w:rPr>
          <w:color w:val="000000"/>
          <w:szCs w:val="21"/>
        </w:rPr>
      </w:pPr>
      <w:r w:rsidRPr="00BA4A6A">
        <w:rPr>
          <w:color w:val="000000"/>
          <w:szCs w:val="21"/>
        </w:rPr>
        <w:t xml:space="preserve">    </w:t>
      </w:r>
      <w:r w:rsidR="006A649C" w:rsidRPr="00BA4A6A">
        <w:rPr>
          <w:color w:val="000000"/>
          <w:szCs w:val="21"/>
        </w:rPr>
        <w:t>本标准适用于</w:t>
      </w:r>
      <w:r w:rsidR="0093330E" w:rsidRPr="00BA4A6A">
        <w:rPr>
          <w:color w:val="000000"/>
          <w:szCs w:val="21"/>
        </w:rPr>
        <w:t>镍精矿</w:t>
      </w:r>
      <w:r w:rsidR="006A649C" w:rsidRPr="00BA4A6A">
        <w:rPr>
          <w:color w:val="000000"/>
          <w:szCs w:val="21"/>
        </w:rPr>
        <w:t>中银含量的测定。测定范围：</w:t>
      </w:r>
      <w:r w:rsidR="00C36939" w:rsidRPr="00BA4A6A">
        <w:t>1</w:t>
      </w:r>
      <w:r w:rsidR="006A649C" w:rsidRPr="00BA4A6A">
        <w:t>0g/t</w:t>
      </w:r>
      <w:r w:rsidR="006A649C" w:rsidRPr="00BA4A6A">
        <w:rPr>
          <w:rFonts w:hAnsi="宋体"/>
        </w:rPr>
        <w:t>～</w:t>
      </w:r>
      <w:r w:rsidR="00C36939" w:rsidRPr="00BA4A6A">
        <w:t>15</w:t>
      </w:r>
      <w:r w:rsidR="006A649C" w:rsidRPr="00BA4A6A">
        <w:t>0g/t</w:t>
      </w:r>
      <w:r w:rsidR="006A649C" w:rsidRPr="00BA4A6A">
        <w:rPr>
          <w:color w:val="000000"/>
          <w:szCs w:val="21"/>
        </w:rPr>
        <w:t>。</w:t>
      </w:r>
    </w:p>
    <w:p w:rsidR="001B4509" w:rsidRPr="0031236D" w:rsidRDefault="006A649C">
      <w:pPr>
        <w:spacing w:line="360" w:lineRule="auto"/>
        <w:rPr>
          <w:rFonts w:eastAsiaTheme="minorEastAsia"/>
          <w:b/>
          <w:szCs w:val="21"/>
        </w:rPr>
      </w:pPr>
      <w:r w:rsidRPr="0031236D">
        <w:rPr>
          <w:rFonts w:eastAsiaTheme="minorEastAsia" w:hint="eastAsia"/>
          <w:b/>
          <w:szCs w:val="21"/>
        </w:rPr>
        <w:t>1.1.3</w:t>
      </w:r>
      <w:r w:rsidRPr="0031236D">
        <w:rPr>
          <w:rFonts w:eastAsiaTheme="minorEastAsia" w:hint="eastAsia"/>
          <w:b/>
          <w:szCs w:val="21"/>
        </w:rPr>
        <w:t>可行性</w:t>
      </w:r>
    </w:p>
    <w:p w:rsidR="007150D1" w:rsidRDefault="007150D1" w:rsidP="00B3256C">
      <w:pPr>
        <w:ind w:firstLine="435"/>
        <w:rPr>
          <w:szCs w:val="21"/>
        </w:rPr>
      </w:pPr>
      <w:r w:rsidRPr="00B3256C">
        <w:rPr>
          <w:szCs w:val="21"/>
        </w:rPr>
        <w:t>金川集团股份有限公司是中国的镍钴生产基地、铂族金属提炼中心和国内第三大铜生产企业，其中的主产品电解镍产量达</w:t>
      </w:r>
      <w:r w:rsidRPr="00B3256C">
        <w:rPr>
          <w:szCs w:val="21"/>
        </w:rPr>
        <w:t>1</w:t>
      </w:r>
      <w:r w:rsidR="00782C59">
        <w:rPr>
          <w:rFonts w:hint="eastAsia"/>
          <w:szCs w:val="21"/>
        </w:rPr>
        <w:t>4</w:t>
      </w:r>
      <w:r w:rsidRPr="00B3256C">
        <w:rPr>
          <w:szCs w:val="21"/>
        </w:rPr>
        <w:t>万吨以上，</w:t>
      </w:r>
      <w:r w:rsidRPr="00B3256C">
        <w:rPr>
          <w:rFonts w:hint="eastAsia"/>
          <w:szCs w:val="21"/>
        </w:rPr>
        <w:t>银</w:t>
      </w:r>
      <w:proofErr w:type="gramStart"/>
      <w:r w:rsidRPr="00B3256C">
        <w:rPr>
          <w:rFonts w:hint="eastAsia"/>
          <w:szCs w:val="21"/>
        </w:rPr>
        <w:t>及</w:t>
      </w:r>
      <w:r w:rsidRPr="00B3256C">
        <w:rPr>
          <w:szCs w:val="21"/>
        </w:rPr>
        <w:t>金铂钯</w:t>
      </w:r>
      <w:proofErr w:type="gramEnd"/>
      <w:r w:rsidRPr="00B3256C">
        <w:rPr>
          <w:szCs w:val="21"/>
        </w:rPr>
        <w:t>等铂族贵金属产量近</w:t>
      </w:r>
      <w:r w:rsidRPr="00B3256C">
        <w:rPr>
          <w:szCs w:val="21"/>
        </w:rPr>
        <w:t>4000</w:t>
      </w:r>
      <w:r w:rsidRPr="00B3256C">
        <w:rPr>
          <w:szCs w:val="21"/>
        </w:rPr>
        <w:t>公斤，广泛应用于电力电气、机械制造、航空航天、电子电池及军事国防等国民经济重要领域。承担集团公司最终产品及各类外购原料检测的检测中心，取得了</w:t>
      </w:r>
      <w:r w:rsidRPr="00B3256C">
        <w:rPr>
          <w:szCs w:val="21"/>
        </w:rPr>
        <w:t>17025</w:t>
      </w:r>
      <w:r w:rsidRPr="00B3256C">
        <w:rPr>
          <w:szCs w:val="21"/>
        </w:rPr>
        <w:t>国家认可实验室、甘肃省强制检定计量器具专项计量授权等资质，拥有</w:t>
      </w:r>
      <w:r w:rsidRPr="00B3256C">
        <w:rPr>
          <w:rFonts w:hint="eastAsia"/>
          <w:szCs w:val="21"/>
        </w:rPr>
        <w:t>多台火焰</w:t>
      </w:r>
      <w:r w:rsidRPr="00B3256C">
        <w:rPr>
          <w:szCs w:val="21"/>
        </w:rPr>
        <w:t>原子吸收光谱仪，项目成员多次参与国家标准、</w:t>
      </w:r>
      <w:r w:rsidRPr="00B3256C">
        <w:rPr>
          <w:szCs w:val="21"/>
        </w:rPr>
        <w:t>ISO</w:t>
      </w:r>
      <w:r w:rsidRPr="00B3256C">
        <w:rPr>
          <w:szCs w:val="21"/>
        </w:rPr>
        <w:t>标准、有色行业标准的起草、验证等工作，</w:t>
      </w:r>
      <w:r w:rsidRPr="00B3256C">
        <w:rPr>
          <w:rFonts w:hint="eastAsia"/>
          <w:szCs w:val="21"/>
        </w:rPr>
        <w:t>现行的</w:t>
      </w:r>
      <w:r w:rsidRPr="00B3256C">
        <w:rPr>
          <w:szCs w:val="21"/>
        </w:rPr>
        <w:t xml:space="preserve">YS/T </w:t>
      </w:r>
      <w:r w:rsidRPr="00B3256C">
        <w:rPr>
          <w:rFonts w:hint="eastAsia"/>
          <w:szCs w:val="21"/>
        </w:rPr>
        <w:t>341</w:t>
      </w:r>
      <w:r w:rsidRPr="00B3256C">
        <w:rPr>
          <w:szCs w:val="21"/>
        </w:rPr>
        <w:t>.1~.</w:t>
      </w:r>
      <w:r w:rsidR="006D2752">
        <w:rPr>
          <w:rFonts w:hint="eastAsia"/>
          <w:szCs w:val="21"/>
        </w:rPr>
        <w:t>5</w:t>
      </w:r>
      <w:r w:rsidRPr="00B3256C">
        <w:rPr>
          <w:szCs w:val="21"/>
        </w:rPr>
        <w:t>《</w:t>
      </w:r>
      <w:r w:rsidRPr="00B3256C">
        <w:rPr>
          <w:rFonts w:hint="eastAsia"/>
          <w:szCs w:val="21"/>
        </w:rPr>
        <w:t>镍精矿</w:t>
      </w:r>
      <w:r w:rsidRPr="00B3256C">
        <w:rPr>
          <w:szCs w:val="21"/>
        </w:rPr>
        <w:t>化学分析方法》就是金川集团股份</w:t>
      </w:r>
      <w:r w:rsidRPr="00B3256C">
        <w:rPr>
          <w:rFonts w:hint="eastAsia"/>
          <w:szCs w:val="21"/>
        </w:rPr>
        <w:t>有限</w:t>
      </w:r>
      <w:r w:rsidRPr="00B3256C">
        <w:rPr>
          <w:szCs w:val="21"/>
        </w:rPr>
        <w:t>公司负责起草，具有丰富的方法研究经验。</w:t>
      </w:r>
    </w:p>
    <w:p w:rsidR="00E85CF1" w:rsidRDefault="006A649C" w:rsidP="00E85CF1">
      <w:pPr>
        <w:ind w:firstLine="435"/>
        <w:rPr>
          <w:szCs w:val="21"/>
        </w:rPr>
      </w:pPr>
      <w:r>
        <w:rPr>
          <w:rFonts w:hint="eastAsia"/>
          <w:szCs w:val="21"/>
        </w:rPr>
        <w:t>目前国内</w:t>
      </w:r>
      <w:proofErr w:type="gramStart"/>
      <w:r>
        <w:rPr>
          <w:rFonts w:hint="eastAsia"/>
          <w:szCs w:val="21"/>
        </w:rPr>
        <w:t>市场上</w:t>
      </w:r>
      <w:r w:rsidR="0093330E">
        <w:rPr>
          <w:rFonts w:hint="eastAsia"/>
          <w:szCs w:val="21"/>
        </w:rPr>
        <w:t>镍精矿</w:t>
      </w:r>
      <w:proofErr w:type="gramEnd"/>
      <w:r>
        <w:rPr>
          <w:rFonts w:hint="eastAsia"/>
          <w:szCs w:val="21"/>
        </w:rPr>
        <w:t>交易量逐渐增大，本标准的建立对企业在</w:t>
      </w:r>
      <w:r w:rsidR="003176E6">
        <w:rPr>
          <w:rFonts w:hint="eastAsia"/>
          <w:szCs w:val="21"/>
        </w:rPr>
        <w:t>镍精矿</w:t>
      </w:r>
      <w:r>
        <w:rPr>
          <w:rFonts w:hint="eastAsia"/>
          <w:szCs w:val="21"/>
        </w:rPr>
        <w:t>后续生产及市场交易提供有力的指导。本标准在起草、调研中得到了</w:t>
      </w:r>
      <w:r w:rsidR="003176E6">
        <w:rPr>
          <w:rFonts w:hint="eastAsia"/>
          <w:szCs w:val="21"/>
        </w:rPr>
        <w:t>北矿检测技术有限公司、广东省工业分析检测中心、南通海关综合技术中心、兰州海关技术中心、连云港海关技术中心、</w:t>
      </w:r>
      <w:r>
        <w:rPr>
          <w:rFonts w:hint="eastAsia"/>
          <w:szCs w:val="21"/>
        </w:rPr>
        <w:t>中国桂林矿产地质研究院有限公司、深圳市中金岭南有色金属股份有限公司、国标（北京）检验认证有限公司、贵州省分析测试研究院、</w:t>
      </w:r>
      <w:r>
        <w:rPr>
          <w:rFonts w:hint="eastAsia"/>
        </w:rPr>
        <w:t>福建紫金矿冶测试技术有限公司</w:t>
      </w:r>
      <w:r>
        <w:rPr>
          <w:rFonts w:hint="eastAsia"/>
          <w:szCs w:val="21"/>
        </w:rPr>
        <w:t>、浙江华友钴业股份有限公司等</w:t>
      </w:r>
      <w:r w:rsidR="006D2752">
        <w:rPr>
          <w:rFonts w:hint="eastAsia"/>
          <w:szCs w:val="21"/>
        </w:rPr>
        <w:t>单位的</w:t>
      </w:r>
      <w:r>
        <w:rPr>
          <w:rFonts w:hint="eastAsia"/>
          <w:szCs w:val="21"/>
        </w:rPr>
        <w:t>积极响应。</w:t>
      </w:r>
    </w:p>
    <w:p w:rsidR="001B4509" w:rsidRDefault="00E85CF1">
      <w:pPr>
        <w:ind w:firstLine="435"/>
        <w:rPr>
          <w:szCs w:val="21"/>
        </w:rPr>
      </w:pPr>
      <w:r w:rsidRPr="00E85CF1">
        <w:rPr>
          <w:rFonts w:hint="eastAsia"/>
          <w:szCs w:val="21"/>
        </w:rPr>
        <w:t>由于火焰原子吸收光谱法分析技术成熟，具有分析速度快、检出限低、稳定性好的特点，国内外对银含量的分析，基本采用火焰原子吸收光谱进行测定。因此，制定镍精矿中银量的分析标准方法，</w:t>
      </w:r>
      <w:r>
        <w:rPr>
          <w:rFonts w:hint="eastAsia"/>
          <w:szCs w:val="21"/>
        </w:rPr>
        <w:t>确定</w:t>
      </w:r>
      <w:r w:rsidRPr="00E85CF1">
        <w:rPr>
          <w:rFonts w:hint="eastAsia"/>
          <w:szCs w:val="21"/>
        </w:rPr>
        <w:t>采用火焰原子吸收光谱法测定镍精矿中银的含量。</w:t>
      </w:r>
    </w:p>
    <w:p w:rsidR="001B4509" w:rsidRPr="0031236D" w:rsidRDefault="006A649C">
      <w:pPr>
        <w:spacing w:line="360" w:lineRule="auto"/>
        <w:rPr>
          <w:rFonts w:eastAsiaTheme="minorEastAsia"/>
          <w:b/>
          <w:szCs w:val="21"/>
        </w:rPr>
      </w:pPr>
      <w:r w:rsidRPr="0031236D">
        <w:rPr>
          <w:rFonts w:eastAsiaTheme="minorEastAsia"/>
          <w:b/>
          <w:szCs w:val="21"/>
        </w:rPr>
        <w:t xml:space="preserve">1.1.4 </w:t>
      </w:r>
      <w:r w:rsidRPr="0031236D">
        <w:rPr>
          <w:rFonts w:eastAsiaTheme="minorEastAsia" w:hAnsiTheme="minorEastAsia"/>
          <w:b/>
          <w:szCs w:val="21"/>
        </w:rPr>
        <w:t>要解决的主要问题</w:t>
      </w:r>
    </w:p>
    <w:p w:rsidR="00A866CB" w:rsidRDefault="003176E6" w:rsidP="00A866CB">
      <w:pPr>
        <w:ind w:firstLine="4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银是镍精矿中</w:t>
      </w:r>
      <w:r w:rsidR="00E85CF1">
        <w:rPr>
          <w:rFonts w:hint="eastAsia"/>
          <w:color w:val="000000"/>
          <w:szCs w:val="21"/>
        </w:rPr>
        <w:t>伴生</w:t>
      </w:r>
      <w:r>
        <w:rPr>
          <w:rFonts w:hint="eastAsia"/>
          <w:color w:val="000000"/>
          <w:szCs w:val="21"/>
        </w:rPr>
        <w:t>的贵金属元素，在镍精矿贸易中占有一定的交易金额，</w:t>
      </w:r>
      <w:r w:rsidR="006A649C">
        <w:rPr>
          <w:rFonts w:hint="eastAsia"/>
          <w:color w:val="000000"/>
          <w:szCs w:val="21"/>
        </w:rPr>
        <w:t>目前国内尚无统一的</w:t>
      </w:r>
      <w:r w:rsidR="00E85CF1">
        <w:rPr>
          <w:rFonts w:hint="eastAsia"/>
          <w:color w:val="000000"/>
          <w:szCs w:val="21"/>
        </w:rPr>
        <w:t>测定</w:t>
      </w:r>
      <w:r w:rsidR="0093330E">
        <w:rPr>
          <w:rFonts w:hint="eastAsia"/>
          <w:color w:val="000000"/>
          <w:szCs w:val="21"/>
        </w:rPr>
        <w:t>镍精矿</w:t>
      </w:r>
      <w:r>
        <w:rPr>
          <w:rFonts w:hint="eastAsia"/>
          <w:color w:val="000000"/>
          <w:szCs w:val="21"/>
        </w:rPr>
        <w:t>中银含量的</w:t>
      </w:r>
      <w:r w:rsidR="006A649C">
        <w:rPr>
          <w:rFonts w:hint="eastAsia"/>
          <w:color w:val="000000"/>
          <w:szCs w:val="21"/>
        </w:rPr>
        <w:t>化学分析</w:t>
      </w:r>
      <w:r>
        <w:rPr>
          <w:rFonts w:hint="eastAsia"/>
          <w:color w:val="000000"/>
          <w:szCs w:val="21"/>
        </w:rPr>
        <w:t>标准</w:t>
      </w:r>
      <w:r w:rsidR="006A649C">
        <w:rPr>
          <w:rFonts w:hint="eastAsia"/>
          <w:color w:val="000000"/>
          <w:szCs w:val="21"/>
        </w:rPr>
        <w:t>，</w:t>
      </w:r>
      <w:r w:rsidRPr="00E85CF1">
        <w:rPr>
          <w:color w:val="000000"/>
          <w:szCs w:val="21"/>
        </w:rPr>
        <w:t>生产企业和贸易双方基本采用</w:t>
      </w:r>
      <w:r w:rsidR="00E85CF1">
        <w:rPr>
          <w:rFonts w:hint="eastAsia"/>
          <w:color w:val="000000"/>
          <w:szCs w:val="21"/>
        </w:rPr>
        <w:t>内部</w:t>
      </w:r>
      <w:r w:rsidRPr="00E85CF1">
        <w:rPr>
          <w:color w:val="000000"/>
          <w:szCs w:val="21"/>
        </w:rPr>
        <w:t>的方法</w:t>
      </w:r>
      <w:r w:rsidR="00E85CF1">
        <w:rPr>
          <w:rFonts w:hint="eastAsia"/>
          <w:color w:val="000000"/>
          <w:szCs w:val="21"/>
        </w:rPr>
        <w:t>分析</w:t>
      </w:r>
      <w:r w:rsidRPr="00E85CF1">
        <w:rPr>
          <w:color w:val="000000"/>
          <w:szCs w:val="21"/>
        </w:rPr>
        <w:t>其含量</w:t>
      </w:r>
      <w:r w:rsidRPr="00E85CF1">
        <w:rPr>
          <w:rFonts w:hint="eastAsia"/>
          <w:color w:val="000000"/>
          <w:szCs w:val="21"/>
        </w:rPr>
        <w:t>，</w:t>
      </w:r>
      <w:r w:rsidR="006A649C">
        <w:rPr>
          <w:rFonts w:hint="eastAsia"/>
          <w:color w:val="000000"/>
          <w:szCs w:val="21"/>
        </w:rPr>
        <w:t>导致贸易</w:t>
      </w:r>
      <w:r>
        <w:rPr>
          <w:rFonts w:hint="eastAsia"/>
          <w:color w:val="000000"/>
          <w:szCs w:val="21"/>
        </w:rPr>
        <w:t>产生</w:t>
      </w:r>
      <w:r w:rsidR="006A649C">
        <w:rPr>
          <w:rFonts w:hint="eastAsia"/>
          <w:color w:val="000000"/>
          <w:szCs w:val="21"/>
        </w:rPr>
        <w:t>争议</w:t>
      </w:r>
      <w:r>
        <w:rPr>
          <w:rFonts w:hint="eastAsia"/>
          <w:color w:val="000000"/>
          <w:szCs w:val="21"/>
        </w:rPr>
        <w:t>时，没有行业共同认可的执行标准</w:t>
      </w:r>
      <w:r w:rsidR="009F4F3B">
        <w:rPr>
          <w:rFonts w:hint="eastAsia"/>
          <w:color w:val="000000"/>
          <w:szCs w:val="21"/>
        </w:rPr>
        <w:t>。</w:t>
      </w:r>
    </w:p>
    <w:p w:rsidR="001B4509" w:rsidRDefault="009F4F3B" w:rsidP="00A866CB">
      <w:pPr>
        <w:ind w:firstLine="4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通过优选镍精矿试样的溶解方法、优化银含量的测定条件，</w:t>
      </w:r>
      <w:r w:rsidR="006A649C">
        <w:rPr>
          <w:rFonts w:hint="eastAsia"/>
          <w:color w:val="000000"/>
          <w:szCs w:val="21"/>
        </w:rPr>
        <w:t>建立</w:t>
      </w:r>
      <w:r>
        <w:rPr>
          <w:rFonts w:hint="eastAsia"/>
          <w:color w:val="000000"/>
          <w:szCs w:val="21"/>
        </w:rPr>
        <w:t>准确测定镍精矿物料中银含量的</w:t>
      </w:r>
      <w:r w:rsidR="006A649C">
        <w:rPr>
          <w:rFonts w:hint="eastAsia"/>
          <w:color w:val="000000"/>
          <w:szCs w:val="21"/>
        </w:rPr>
        <w:t>检测分析方法，为后续生产和市场交易提供依据。</w:t>
      </w:r>
    </w:p>
    <w:p w:rsidR="001B4509" w:rsidRDefault="006A649C">
      <w:pPr>
        <w:spacing w:line="360" w:lineRule="auto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lastRenderedPageBreak/>
        <w:t>1.2 任务来源</w:t>
      </w:r>
    </w:p>
    <w:p w:rsidR="001B4509" w:rsidRPr="00E85CF1" w:rsidRDefault="006A649C" w:rsidP="00C37D90">
      <w:pPr>
        <w:ind w:firstLineChars="200" w:firstLine="420"/>
        <w:rPr>
          <w:color w:val="000000"/>
          <w:szCs w:val="21"/>
        </w:rPr>
      </w:pPr>
      <w:r w:rsidRPr="00E85CF1">
        <w:rPr>
          <w:rFonts w:hint="eastAsia"/>
          <w:color w:val="000000"/>
          <w:szCs w:val="21"/>
        </w:rPr>
        <w:t>根据</w:t>
      </w:r>
      <w:r w:rsidR="00A43452" w:rsidRPr="00E85CF1">
        <w:rPr>
          <w:rFonts w:hint="eastAsia"/>
          <w:color w:val="000000"/>
          <w:szCs w:val="21"/>
        </w:rPr>
        <w:t>工</w:t>
      </w:r>
      <w:proofErr w:type="gramStart"/>
      <w:r w:rsidR="00A43452" w:rsidRPr="00E85CF1">
        <w:rPr>
          <w:rFonts w:hint="eastAsia"/>
          <w:color w:val="000000"/>
          <w:szCs w:val="21"/>
        </w:rPr>
        <w:t>信厅科函</w:t>
      </w:r>
      <w:proofErr w:type="gramEnd"/>
      <w:r w:rsidR="00A43452" w:rsidRPr="00E85CF1">
        <w:rPr>
          <w:rFonts w:hint="eastAsia"/>
          <w:color w:val="000000"/>
          <w:szCs w:val="21"/>
        </w:rPr>
        <w:t>[2019] 126</w:t>
      </w:r>
      <w:r w:rsidR="00A43452" w:rsidRPr="00E85CF1">
        <w:rPr>
          <w:rFonts w:hint="eastAsia"/>
          <w:color w:val="000000"/>
          <w:szCs w:val="21"/>
        </w:rPr>
        <w:t>号下达</w:t>
      </w:r>
      <w:r w:rsidRPr="00E85CF1">
        <w:rPr>
          <w:rFonts w:hint="eastAsia"/>
          <w:color w:val="000000"/>
          <w:szCs w:val="21"/>
        </w:rPr>
        <w:t>的</w:t>
      </w:r>
      <w:r w:rsidR="00A43452" w:rsidRPr="00E85CF1">
        <w:rPr>
          <w:szCs w:val="21"/>
          <w:lang w:val="zh-CN"/>
        </w:rPr>
        <w:t>有色行业标准项目计划</w:t>
      </w:r>
      <w:r w:rsidRPr="00E85CF1">
        <w:rPr>
          <w:rFonts w:hint="eastAsia"/>
          <w:color w:val="000000"/>
          <w:szCs w:val="21"/>
        </w:rPr>
        <w:t>，</w:t>
      </w:r>
      <w:r w:rsidR="00C37D90" w:rsidRPr="00E85CF1">
        <w:rPr>
          <w:color w:val="000000"/>
          <w:szCs w:val="21"/>
        </w:rPr>
        <w:t>201</w:t>
      </w:r>
      <w:r w:rsidR="00C37D90" w:rsidRPr="00E85CF1">
        <w:rPr>
          <w:rFonts w:hint="eastAsia"/>
          <w:color w:val="000000"/>
          <w:szCs w:val="21"/>
        </w:rPr>
        <w:t>9</w:t>
      </w:r>
      <w:r w:rsidR="00C37D90" w:rsidRPr="00E85CF1">
        <w:rPr>
          <w:color w:val="000000"/>
          <w:szCs w:val="21"/>
        </w:rPr>
        <w:t>年</w:t>
      </w:r>
      <w:r w:rsidR="00C37D90" w:rsidRPr="00E85CF1">
        <w:rPr>
          <w:rFonts w:hint="eastAsia"/>
          <w:color w:val="000000"/>
          <w:szCs w:val="21"/>
        </w:rPr>
        <w:t>10</w:t>
      </w:r>
      <w:r w:rsidR="00C37D90" w:rsidRPr="00E85CF1">
        <w:rPr>
          <w:color w:val="000000"/>
          <w:szCs w:val="21"/>
        </w:rPr>
        <w:t>月</w:t>
      </w:r>
      <w:r w:rsidR="00C37D90" w:rsidRPr="00E85CF1">
        <w:rPr>
          <w:rFonts w:hint="eastAsia"/>
          <w:color w:val="000000"/>
          <w:szCs w:val="21"/>
        </w:rPr>
        <w:t>29</w:t>
      </w:r>
      <w:r w:rsidR="00C37D90" w:rsidRPr="00E85CF1">
        <w:rPr>
          <w:color w:val="000000"/>
          <w:szCs w:val="21"/>
        </w:rPr>
        <w:t>日～</w:t>
      </w:r>
      <w:r w:rsidR="00C37D90" w:rsidRPr="00E85CF1">
        <w:rPr>
          <w:rFonts w:hint="eastAsia"/>
          <w:color w:val="000000"/>
          <w:szCs w:val="21"/>
        </w:rPr>
        <w:t>31</w:t>
      </w:r>
      <w:r w:rsidR="00C37D90" w:rsidRPr="00E85CF1">
        <w:rPr>
          <w:color w:val="000000"/>
          <w:szCs w:val="21"/>
        </w:rPr>
        <w:t>日</w:t>
      </w:r>
      <w:r w:rsidR="00C37D90" w:rsidRPr="00E85CF1">
        <w:rPr>
          <w:rFonts w:hint="eastAsia"/>
          <w:color w:val="000000"/>
          <w:szCs w:val="21"/>
        </w:rPr>
        <w:t>，</w:t>
      </w:r>
      <w:r w:rsidR="00C37D90" w:rsidRPr="00E85CF1">
        <w:rPr>
          <w:color w:val="000000"/>
          <w:szCs w:val="21"/>
        </w:rPr>
        <w:t>全国有色金属标准化技术委员会在</w:t>
      </w:r>
      <w:r w:rsidR="00C37D90" w:rsidRPr="00E85CF1">
        <w:rPr>
          <w:rFonts w:hint="eastAsia"/>
          <w:color w:val="000000"/>
          <w:szCs w:val="21"/>
        </w:rPr>
        <w:t>山东省泰安市</w:t>
      </w:r>
      <w:r w:rsidR="00C37D90" w:rsidRPr="00E85CF1">
        <w:rPr>
          <w:color w:val="000000"/>
          <w:szCs w:val="21"/>
        </w:rPr>
        <w:t>召开了</w:t>
      </w:r>
      <w:r w:rsidR="00C37D90" w:rsidRPr="00E85CF1">
        <w:rPr>
          <w:rFonts w:hint="eastAsia"/>
          <w:color w:val="000000"/>
          <w:szCs w:val="21"/>
        </w:rPr>
        <w:t>有色金属标准工作会议</w:t>
      </w:r>
      <w:r w:rsidR="00C37D90" w:rsidRPr="00E85CF1">
        <w:rPr>
          <w:color w:val="000000"/>
          <w:szCs w:val="21"/>
        </w:rPr>
        <w:t>，</w:t>
      </w:r>
      <w:r w:rsidR="00C37D90" w:rsidRPr="00E85CF1">
        <w:rPr>
          <w:rFonts w:hint="eastAsia"/>
          <w:color w:val="000000"/>
          <w:szCs w:val="21"/>
        </w:rPr>
        <w:t>来自全国有色金属标准化技术委员会、北矿检测技术有限公司等</w:t>
      </w:r>
      <w:r w:rsidR="00C37D90" w:rsidRPr="00E85CF1">
        <w:rPr>
          <w:rFonts w:hint="eastAsia"/>
          <w:color w:val="000000"/>
          <w:szCs w:val="21"/>
        </w:rPr>
        <w:t>51</w:t>
      </w:r>
      <w:r w:rsidR="00C37D90" w:rsidRPr="00E85CF1">
        <w:rPr>
          <w:rFonts w:hint="eastAsia"/>
          <w:color w:val="000000"/>
          <w:szCs w:val="21"/>
        </w:rPr>
        <w:t>家单位的</w:t>
      </w:r>
      <w:r w:rsidR="00C37D90" w:rsidRPr="00E85CF1">
        <w:rPr>
          <w:rFonts w:hint="eastAsia"/>
          <w:color w:val="000000"/>
          <w:szCs w:val="21"/>
        </w:rPr>
        <w:t>100</w:t>
      </w:r>
      <w:r w:rsidR="00C37D90" w:rsidRPr="00E85CF1">
        <w:rPr>
          <w:rFonts w:hint="eastAsia"/>
          <w:color w:val="000000"/>
          <w:szCs w:val="21"/>
        </w:rPr>
        <w:t>余名代表参加了</w:t>
      </w:r>
      <w:r w:rsidR="00C37D90" w:rsidRPr="00E85CF1">
        <w:rPr>
          <w:color w:val="000000"/>
          <w:szCs w:val="21"/>
        </w:rPr>
        <w:t>会议</w:t>
      </w:r>
      <w:r w:rsidR="00C37D90" w:rsidRPr="00E85CF1">
        <w:rPr>
          <w:rFonts w:hint="eastAsia"/>
          <w:color w:val="000000"/>
          <w:szCs w:val="21"/>
        </w:rPr>
        <w:t>，</w:t>
      </w:r>
      <w:r w:rsidR="00C37D90" w:rsidRPr="00E85CF1">
        <w:rPr>
          <w:color w:val="000000"/>
          <w:szCs w:val="21"/>
        </w:rPr>
        <w:t>落实了标准计划项目的进度安排和分工。</w:t>
      </w:r>
      <w:r w:rsidR="00C37D90" w:rsidRPr="00E85CF1">
        <w:rPr>
          <w:rFonts w:hint="eastAsia"/>
          <w:color w:val="000000"/>
          <w:szCs w:val="21"/>
        </w:rPr>
        <w:t>依据</w:t>
      </w:r>
      <w:r w:rsidRPr="00E85CF1">
        <w:rPr>
          <w:rFonts w:hint="eastAsia"/>
          <w:color w:val="000000"/>
          <w:szCs w:val="21"/>
        </w:rPr>
        <w:t>全国有色金属标准化技术委员会“关于印发《</w:t>
      </w:r>
      <w:r w:rsidR="000A4EEA" w:rsidRPr="00E85CF1">
        <w:rPr>
          <w:rFonts w:hint="eastAsia"/>
          <w:color w:val="000000"/>
          <w:szCs w:val="21"/>
        </w:rPr>
        <w:t>铅精矿</w:t>
      </w:r>
      <w:r w:rsidRPr="00E85CF1">
        <w:rPr>
          <w:rFonts w:hint="eastAsia"/>
          <w:color w:val="000000"/>
          <w:szCs w:val="21"/>
        </w:rPr>
        <w:t>化学分析方法》等</w:t>
      </w:r>
      <w:r w:rsidR="000A4EEA" w:rsidRPr="00E85CF1">
        <w:rPr>
          <w:rFonts w:hint="eastAsia"/>
          <w:color w:val="000000"/>
          <w:szCs w:val="21"/>
        </w:rPr>
        <w:t>11</w:t>
      </w:r>
      <w:r w:rsidRPr="00E85CF1">
        <w:rPr>
          <w:rFonts w:hint="eastAsia"/>
          <w:color w:val="000000"/>
          <w:szCs w:val="21"/>
        </w:rPr>
        <w:t>项标准任务落实会会议</w:t>
      </w:r>
      <w:r w:rsidR="000A4EEA" w:rsidRPr="00E85CF1">
        <w:rPr>
          <w:rFonts w:hint="eastAsia"/>
          <w:color w:val="000000"/>
          <w:szCs w:val="21"/>
        </w:rPr>
        <w:t>纪要</w:t>
      </w:r>
      <w:r w:rsidRPr="00E85CF1">
        <w:rPr>
          <w:rFonts w:hint="eastAsia"/>
          <w:color w:val="000000"/>
          <w:szCs w:val="21"/>
        </w:rPr>
        <w:t>的通知”</w:t>
      </w:r>
      <w:r w:rsidR="000A4EEA" w:rsidRPr="00E85CF1">
        <w:rPr>
          <w:rFonts w:hint="eastAsia"/>
          <w:color w:val="000000"/>
          <w:szCs w:val="21"/>
        </w:rPr>
        <w:t>（有色标秘</w:t>
      </w:r>
      <w:r w:rsidR="000A4EEA" w:rsidRPr="00E85CF1">
        <w:rPr>
          <w:rFonts w:hint="eastAsia"/>
          <w:color w:val="000000"/>
          <w:szCs w:val="21"/>
        </w:rPr>
        <w:t>[2019] 115</w:t>
      </w:r>
      <w:r w:rsidR="000A4EEA" w:rsidRPr="00E85CF1">
        <w:rPr>
          <w:rFonts w:hint="eastAsia"/>
          <w:color w:val="000000"/>
          <w:szCs w:val="21"/>
        </w:rPr>
        <w:t>号</w:t>
      </w:r>
      <w:r w:rsidR="00C37D90" w:rsidRPr="00E85CF1">
        <w:rPr>
          <w:rFonts w:hint="eastAsia"/>
          <w:color w:val="000000"/>
          <w:szCs w:val="21"/>
        </w:rPr>
        <w:t>的会议精神</w:t>
      </w:r>
      <w:r w:rsidRPr="00E85CF1">
        <w:rPr>
          <w:color w:val="000000"/>
          <w:szCs w:val="21"/>
        </w:rPr>
        <w:t>，确定《</w:t>
      </w:r>
      <w:r w:rsidR="0093330E" w:rsidRPr="00E85CF1">
        <w:rPr>
          <w:rFonts w:hint="eastAsia"/>
          <w:color w:val="000000"/>
          <w:szCs w:val="21"/>
        </w:rPr>
        <w:t>镍精矿</w:t>
      </w:r>
      <w:r w:rsidRPr="00E85CF1">
        <w:rPr>
          <w:color w:val="000000"/>
          <w:szCs w:val="21"/>
        </w:rPr>
        <w:t>化学分析方法</w:t>
      </w:r>
      <w:r w:rsidR="000A4EEA" w:rsidRPr="00E85CF1">
        <w:rPr>
          <w:rFonts w:hint="eastAsia"/>
          <w:color w:val="000000"/>
          <w:szCs w:val="21"/>
        </w:rPr>
        <w:t xml:space="preserve"> </w:t>
      </w:r>
      <w:r w:rsidRPr="00E85CF1">
        <w:rPr>
          <w:color w:val="000000"/>
          <w:szCs w:val="21"/>
        </w:rPr>
        <w:t>第</w:t>
      </w:r>
      <w:r w:rsidRPr="00E85CF1">
        <w:rPr>
          <w:rFonts w:hint="eastAsia"/>
          <w:color w:val="000000"/>
          <w:szCs w:val="21"/>
        </w:rPr>
        <w:t>7</w:t>
      </w:r>
      <w:r w:rsidRPr="00E85CF1">
        <w:rPr>
          <w:color w:val="000000"/>
          <w:szCs w:val="21"/>
        </w:rPr>
        <w:t>部分：</w:t>
      </w:r>
      <w:r w:rsidRPr="00E85CF1">
        <w:rPr>
          <w:rFonts w:hint="eastAsia"/>
          <w:color w:val="000000"/>
          <w:szCs w:val="21"/>
        </w:rPr>
        <w:t>银含</w:t>
      </w:r>
      <w:r w:rsidRPr="00E85CF1">
        <w:rPr>
          <w:color w:val="000000"/>
          <w:szCs w:val="21"/>
        </w:rPr>
        <w:t>量的测定</w:t>
      </w:r>
      <w:r w:rsidR="000A4EEA" w:rsidRPr="00E85CF1">
        <w:rPr>
          <w:rFonts w:hint="eastAsia"/>
          <w:color w:val="000000"/>
          <w:szCs w:val="21"/>
        </w:rPr>
        <w:t xml:space="preserve"> </w:t>
      </w:r>
      <w:r w:rsidRPr="00E85CF1">
        <w:rPr>
          <w:rFonts w:hint="eastAsia"/>
          <w:color w:val="000000"/>
          <w:szCs w:val="21"/>
        </w:rPr>
        <w:t>火焰原子吸收光谱法</w:t>
      </w:r>
      <w:r w:rsidRPr="00E85CF1">
        <w:rPr>
          <w:color w:val="000000"/>
          <w:szCs w:val="21"/>
        </w:rPr>
        <w:t>》由</w:t>
      </w:r>
      <w:r w:rsidR="000A4EEA" w:rsidRPr="00E85CF1">
        <w:rPr>
          <w:rFonts w:hint="eastAsia"/>
          <w:color w:val="000000"/>
          <w:szCs w:val="21"/>
        </w:rPr>
        <w:t>金川集团股份有限公司</w:t>
      </w:r>
      <w:r w:rsidRPr="00E85CF1">
        <w:rPr>
          <w:color w:val="000000"/>
          <w:szCs w:val="21"/>
        </w:rPr>
        <w:t>负责起草，</w:t>
      </w:r>
      <w:r w:rsidRPr="00E85CF1">
        <w:rPr>
          <w:rFonts w:hint="eastAsia"/>
          <w:color w:val="000000"/>
          <w:szCs w:val="21"/>
        </w:rPr>
        <w:t>项目计划编号：</w:t>
      </w:r>
      <w:r w:rsidR="00A43452" w:rsidRPr="00E85CF1">
        <w:rPr>
          <w:color w:val="000000"/>
          <w:szCs w:val="21"/>
        </w:rPr>
        <w:t>201</w:t>
      </w:r>
      <w:r w:rsidR="00A43452" w:rsidRPr="00E85CF1">
        <w:rPr>
          <w:rFonts w:hint="eastAsia"/>
          <w:color w:val="000000"/>
          <w:szCs w:val="21"/>
        </w:rPr>
        <w:t>9-0410</w:t>
      </w:r>
      <w:r w:rsidR="00A43452" w:rsidRPr="00E85CF1">
        <w:rPr>
          <w:color w:val="000000"/>
          <w:szCs w:val="21"/>
        </w:rPr>
        <w:t>T-</w:t>
      </w:r>
      <w:r w:rsidR="00A43452" w:rsidRPr="00E85CF1">
        <w:rPr>
          <w:rFonts w:hint="eastAsia"/>
          <w:color w:val="000000"/>
          <w:szCs w:val="21"/>
        </w:rPr>
        <w:t>YS</w:t>
      </w:r>
      <w:r w:rsidR="000A4EEA" w:rsidRPr="00E85CF1">
        <w:rPr>
          <w:rFonts w:hint="eastAsia"/>
          <w:color w:val="000000"/>
          <w:szCs w:val="21"/>
        </w:rPr>
        <w:t>，</w:t>
      </w:r>
      <w:r w:rsidRPr="00E85CF1">
        <w:rPr>
          <w:color w:val="000000"/>
          <w:szCs w:val="21"/>
        </w:rPr>
        <w:t>项目计划完成时间为</w:t>
      </w:r>
      <w:r w:rsidRPr="00E85CF1">
        <w:rPr>
          <w:color w:val="000000"/>
          <w:szCs w:val="21"/>
        </w:rPr>
        <w:t>20</w:t>
      </w:r>
      <w:r w:rsidR="000A4EEA" w:rsidRPr="00E85CF1">
        <w:rPr>
          <w:rFonts w:hint="eastAsia"/>
          <w:color w:val="000000"/>
          <w:szCs w:val="21"/>
        </w:rPr>
        <w:t>20</w:t>
      </w:r>
      <w:r w:rsidRPr="00E85CF1">
        <w:rPr>
          <w:color w:val="000000"/>
          <w:szCs w:val="21"/>
        </w:rPr>
        <w:t>年。</w:t>
      </w:r>
    </w:p>
    <w:p w:rsidR="00A3382C" w:rsidRDefault="006A649C">
      <w:pPr>
        <w:ind w:firstLine="43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协</w:t>
      </w:r>
      <w:r w:rsidR="00D6687B">
        <w:rPr>
          <w:rFonts w:hint="eastAsia"/>
          <w:color w:val="000000"/>
          <w:szCs w:val="21"/>
        </w:rPr>
        <w:t>同</w:t>
      </w:r>
      <w:r>
        <w:rPr>
          <w:rFonts w:hint="eastAsia"/>
          <w:color w:val="000000"/>
          <w:szCs w:val="21"/>
        </w:rPr>
        <w:t>起草单位</w:t>
      </w:r>
      <w:r w:rsidR="00D6687B">
        <w:rPr>
          <w:rFonts w:hint="eastAsia"/>
          <w:color w:val="000000"/>
          <w:szCs w:val="21"/>
        </w:rPr>
        <w:t>有</w:t>
      </w:r>
      <w:r w:rsidR="00A3382C" w:rsidRPr="00C37D90">
        <w:rPr>
          <w:rFonts w:hint="eastAsia"/>
          <w:color w:val="000000"/>
          <w:szCs w:val="21"/>
        </w:rPr>
        <w:t>北矿检测技术有限公司、广东省工业分析检测中心、南通海关综合技术中心、兰州海关技术中心、</w:t>
      </w:r>
      <w:r w:rsidR="00C37D90" w:rsidRPr="00C37D90">
        <w:rPr>
          <w:rFonts w:hint="eastAsia"/>
          <w:color w:val="000000"/>
          <w:szCs w:val="21"/>
        </w:rPr>
        <w:t>连云港海关综合技术中心、深圳市中金岭南有色金属股份有限公司凡口铅锌矿、</w:t>
      </w:r>
      <w:r w:rsidR="00E85CF1" w:rsidRPr="00C37D90">
        <w:rPr>
          <w:rFonts w:hint="eastAsia"/>
          <w:color w:val="000000"/>
          <w:szCs w:val="21"/>
        </w:rPr>
        <w:t>浙江华友钴业股份有限公司、</w:t>
      </w:r>
      <w:r w:rsidR="00C37D90" w:rsidRPr="00C37D90">
        <w:rPr>
          <w:rFonts w:hint="eastAsia"/>
          <w:color w:val="000000"/>
          <w:szCs w:val="21"/>
        </w:rPr>
        <w:t>中国检验认证集团广西有限公司、紫金矿冶测试技术有限公司、贵州省分析测试研究院、国标（北京）检验认证有限公司、山东恒邦冶炼股份有限公司、长沙矿冶研究院有限责任公司、中国有色桂林矿产地质研究院有限公司、白银有色集团股份有限公司。</w:t>
      </w:r>
    </w:p>
    <w:p w:rsidR="001B4509" w:rsidRDefault="006A649C" w:rsidP="00A96CAF">
      <w:pPr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1.3 本标准编制单位、起草人及所做工作</w:t>
      </w:r>
    </w:p>
    <w:p w:rsidR="001B4509" w:rsidRDefault="006A24E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="006A649C">
        <w:rPr>
          <w:rFonts w:hint="eastAsia"/>
          <w:color w:val="000000"/>
          <w:szCs w:val="21"/>
        </w:rPr>
        <w:t>本标准</w:t>
      </w:r>
      <w:r w:rsidR="006A649C">
        <w:rPr>
          <w:color w:val="000000"/>
          <w:szCs w:val="21"/>
        </w:rPr>
        <w:t>由</w:t>
      </w:r>
      <w:r w:rsidR="00C37D90">
        <w:rPr>
          <w:rFonts w:hint="eastAsia"/>
          <w:color w:val="000000"/>
          <w:szCs w:val="21"/>
        </w:rPr>
        <w:t>金川集团股份</w:t>
      </w:r>
      <w:r w:rsidR="006A649C">
        <w:rPr>
          <w:rFonts w:hint="eastAsia"/>
          <w:color w:val="000000"/>
          <w:szCs w:val="21"/>
        </w:rPr>
        <w:t>有限公司</w:t>
      </w:r>
      <w:r w:rsidR="006A649C">
        <w:rPr>
          <w:color w:val="000000"/>
          <w:szCs w:val="21"/>
        </w:rPr>
        <w:t>负责起草</w:t>
      </w:r>
      <w:r w:rsidR="006A649C">
        <w:rPr>
          <w:rFonts w:hint="eastAsia"/>
          <w:color w:val="000000"/>
          <w:szCs w:val="21"/>
        </w:rPr>
        <w:t>，</w:t>
      </w:r>
      <w:r w:rsidR="006A649C">
        <w:rPr>
          <w:color w:val="000000"/>
          <w:szCs w:val="21"/>
        </w:rPr>
        <w:t>主要起草人</w:t>
      </w:r>
      <w:r w:rsidR="006A649C">
        <w:rPr>
          <w:rFonts w:hint="eastAsia"/>
          <w:color w:val="000000"/>
          <w:szCs w:val="21"/>
        </w:rPr>
        <w:t>为</w:t>
      </w:r>
      <w:r w:rsidR="00C37D90">
        <w:rPr>
          <w:rFonts w:hint="eastAsia"/>
          <w:color w:val="000000"/>
          <w:szCs w:val="21"/>
        </w:rPr>
        <w:t>喻生洁</w:t>
      </w:r>
      <w:r w:rsidR="006A649C">
        <w:rPr>
          <w:rFonts w:hint="eastAsia"/>
          <w:color w:val="000000"/>
          <w:szCs w:val="21"/>
        </w:rPr>
        <w:t>、</w:t>
      </w:r>
      <w:r w:rsidR="00C37D90">
        <w:rPr>
          <w:rFonts w:hint="eastAsia"/>
          <w:color w:val="000000"/>
          <w:szCs w:val="21"/>
        </w:rPr>
        <w:t>杨红玉</w:t>
      </w:r>
      <w:r w:rsidR="00D6687B">
        <w:rPr>
          <w:rFonts w:hint="eastAsia"/>
          <w:color w:val="000000"/>
          <w:szCs w:val="21"/>
        </w:rPr>
        <w:t>、</w:t>
      </w:r>
      <w:r w:rsidR="00A41804">
        <w:rPr>
          <w:color w:val="000000"/>
          <w:szCs w:val="21"/>
        </w:rPr>
        <w:t>…</w:t>
      </w:r>
      <w:r w:rsidR="00E85CF1">
        <w:rPr>
          <w:rFonts w:hint="eastAsia"/>
          <w:color w:val="000000"/>
          <w:szCs w:val="21"/>
        </w:rPr>
        <w:t>等</w:t>
      </w:r>
      <w:r w:rsidR="006A649C">
        <w:rPr>
          <w:rFonts w:hint="eastAsia"/>
          <w:color w:val="000000"/>
          <w:szCs w:val="21"/>
        </w:rPr>
        <w:t>，主要负责本标准的方法制定、资料收集、技术参数的确定及标准条款的编写工作。</w:t>
      </w:r>
    </w:p>
    <w:p w:rsidR="001B4509" w:rsidRDefault="006A649C">
      <w:pPr>
        <w:ind w:firstLine="435"/>
        <w:rPr>
          <w:szCs w:val="21"/>
        </w:rPr>
      </w:pPr>
      <w:r>
        <w:rPr>
          <w:color w:val="000000"/>
          <w:szCs w:val="21"/>
        </w:rPr>
        <w:t>本部分</w:t>
      </w:r>
      <w:r w:rsidR="00D6687B">
        <w:rPr>
          <w:rFonts w:hint="eastAsia"/>
          <w:color w:val="000000"/>
          <w:szCs w:val="21"/>
        </w:rPr>
        <w:t>协同</w:t>
      </w:r>
      <w:r>
        <w:rPr>
          <w:rFonts w:hint="eastAsia"/>
          <w:color w:val="000000"/>
          <w:szCs w:val="21"/>
        </w:rPr>
        <w:t>起草单位</w:t>
      </w:r>
      <w:r w:rsidR="00D6687B">
        <w:rPr>
          <w:rFonts w:hint="eastAsia"/>
          <w:color w:val="000000"/>
          <w:szCs w:val="21"/>
        </w:rPr>
        <w:t>中的参与人员有</w:t>
      </w:r>
      <w:r w:rsidR="00D6687B">
        <w:rPr>
          <w:rFonts w:hint="eastAsia"/>
          <w:szCs w:val="21"/>
        </w:rPr>
        <w:t>：</w:t>
      </w:r>
      <w:r w:rsidR="00D6687B">
        <w:rPr>
          <w:szCs w:val="21"/>
        </w:rPr>
        <w:t>……</w:t>
      </w:r>
      <w:proofErr w:type="gramStart"/>
      <w:r w:rsidR="00D6687B">
        <w:rPr>
          <w:szCs w:val="21"/>
        </w:rPr>
        <w:t>……………………………………………………</w:t>
      </w:r>
      <w:proofErr w:type="gramEnd"/>
      <w:r w:rsidR="00D6687B">
        <w:rPr>
          <w:rFonts w:hint="eastAsia"/>
          <w:szCs w:val="21"/>
        </w:rPr>
        <w:t>..</w:t>
      </w:r>
      <w:r>
        <w:rPr>
          <w:rFonts w:hint="eastAsia"/>
          <w:szCs w:val="21"/>
        </w:rPr>
        <w:t>。</w:t>
      </w:r>
    </w:p>
    <w:p w:rsidR="001B4509" w:rsidRDefault="006A649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1.4 主要工作过程</w:t>
      </w:r>
    </w:p>
    <w:p w:rsidR="00D6687B" w:rsidRPr="0031236D" w:rsidRDefault="00D6687B" w:rsidP="00275CA1">
      <w:pPr>
        <w:rPr>
          <w:rFonts w:eastAsiaTheme="minorEastAsia"/>
          <w:b/>
          <w:szCs w:val="21"/>
        </w:rPr>
      </w:pPr>
      <w:r w:rsidRPr="0031236D">
        <w:rPr>
          <w:rFonts w:eastAsiaTheme="minorEastAsia"/>
          <w:b/>
          <w:szCs w:val="21"/>
        </w:rPr>
        <w:t xml:space="preserve">1.4.1 </w:t>
      </w:r>
      <w:r w:rsidRPr="0031236D">
        <w:rPr>
          <w:rFonts w:eastAsiaTheme="minorEastAsia" w:hAnsiTheme="minorEastAsia"/>
          <w:b/>
          <w:szCs w:val="21"/>
        </w:rPr>
        <w:t>工作分工</w:t>
      </w:r>
    </w:p>
    <w:p w:rsidR="00741A2B" w:rsidRDefault="002C647D" w:rsidP="00275CA1">
      <w:pPr>
        <w:ind w:firstLineChars="200" w:firstLine="420"/>
        <w:rPr>
          <w:color w:val="000000"/>
          <w:szCs w:val="21"/>
        </w:rPr>
      </w:pPr>
      <w:r>
        <w:rPr>
          <w:rFonts w:hint="eastAsia"/>
          <w:szCs w:val="21"/>
        </w:rPr>
        <w:t>依据</w:t>
      </w:r>
      <w:r w:rsidR="006A649C">
        <w:rPr>
          <w:rFonts w:hint="eastAsia"/>
          <w:szCs w:val="21"/>
        </w:rPr>
        <w:t>2</w:t>
      </w:r>
      <w:r w:rsidR="006A649C">
        <w:rPr>
          <w:szCs w:val="21"/>
        </w:rPr>
        <w:t>01</w:t>
      </w:r>
      <w:r>
        <w:rPr>
          <w:rFonts w:hint="eastAsia"/>
          <w:szCs w:val="21"/>
        </w:rPr>
        <w:t>9</w:t>
      </w:r>
      <w:r w:rsidR="006A649C">
        <w:rPr>
          <w:szCs w:val="21"/>
        </w:rPr>
        <w:t>年</w:t>
      </w:r>
      <w:r w:rsidR="006A649C">
        <w:rPr>
          <w:rFonts w:hint="eastAsia"/>
          <w:szCs w:val="21"/>
        </w:rPr>
        <w:t>10</w:t>
      </w:r>
      <w:r w:rsidR="006A649C">
        <w:rPr>
          <w:szCs w:val="21"/>
        </w:rPr>
        <w:t>月</w:t>
      </w:r>
      <w:r w:rsidR="006A649C">
        <w:rPr>
          <w:rFonts w:hint="eastAsia"/>
          <w:szCs w:val="21"/>
        </w:rPr>
        <w:t>2</w:t>
      </w:r>
      <w:r>
        <w:rPr>
          <w:rFonts w:hint="eastAsia"/>
          <w:szCs w:val="21"/>
        </w:rPr>
        <w:t>9</w:t>
      </w:r>
      <w:r w:rsidR="006A649C">
        <w:rPr>
          <w:szCs w:val="21"/>
        </w:rPr>
        <w:t>日～</w:t>
      </w:r>
      <w:r>
        <w:rPr>
          <w:rFonts w:hint="eastAsia"/>
          <w:szCs w:val="21"/>
        </w:rPr>
        <w:t>31</w:t>
      </w:r>
      <w:r w:rsidR="006A649C">
        <w:rPr>
          <w:szCs w:val="21"/>
        </w:rPr>
        <w:t>日</w:t>
      </w:r>
      <w:r w:rsidR="006A649C">
        <w:rPr>
          <w:rFonts w:hint="eastAsia"/>
          <w:szCs w:val="21"/>
        </w:rPr>
        <w:t>，全国有色金属标准化技术委员会在</w:t>
      </w:r>
      <w:r>
        <w:rPr>
          <w:rFonts w:hint="eastAsia"/>
          <w:color w:val="000000"/>
          <w:szCs w:val="21"/>
        </w:rPr>
        <w:t>山东省泰安市</w:t>
      </w:r>
      <w:r>
        <w:rPr>
          <w:color w:val="000000"/>
          <w:szCs w:val="21"/>
        </w:rPr>
        <w:t>召开了</w:t>
      </w:r>
      <w:r>
        <w:rPr>
          <w:rFonts w:hint="eastAsia"/>
          <w:color w:val="000000"/>
          <w:szCs w:val="21"/>
        </w:rPr>
        <w:t>有色金属标准工作会议</w:t>
      </w:r>
      <w:r>
        <w:rPr>
          <w:rFonts w:hint="eastAsia"/>
          <w:szCs w:val="21"/>
        </w:rPr>
        <w:t>的会议纪要安排</w:t>
      </w:r>
      <w:r w:rsidR="006A649C">
        <w:rPr>
          <w:rFonts w:hint="eastAsia"/>
          <w:szCs w:val="21"/>
        </w:rPr>
        <w:t>，确定了本标准制定的起草单位和参与验证单位，落实了标准计划项目的进度安排和分工。</w:t>
      </w:r>
      <w:r w:rsidR="00F63CCD" w:rsidRPr="00965B79">
        <w:rPr>
          <w:szCs w:val="21"/>
        </w:rPr>
        <w:t>由金川集团股份有限公司负责起草</w:t>
      </w:r>
      <w:r w:rsidR="00E85CF1">
        <w:rPr>
          <w:rFonts w:hint="eastAsia"/>
          <w:szCs w:val="21"/>
        </w:rPr>
        <w:t>，</w:t>
      </w:r>
      <w:r w:rsidR="00F63CCD" w:rsidRPr="00C37D90">
        <w:rPr>
          <w:rFonts w:hint="eastAsia"/>
          <w:color w:val="000000"/>
          <w:szCs w:val="21"/>
        </w:rPr>
        <w:t>北矿检测技术有限公司、广东省工业分析检测中心、南通海关综合技术中心、兰州海关技术中心</w:t>
      </w:r>
      <w:r w:rsidR="00F63CCD" w:rsidRPr="00965B79">
        <w:rPr>
          <w:rFonts w:hint="eastAsia"/>
          <w:szCs w:val="21"/>
          <w:lang w:val="zh-CN"/>
        </w:rPr>
        <w:t>为</w:t>
      </w:r>
      <w:r w:rsidR="00F63CCD" w:rsidRPr="00965B79">
        <w:rPr>
          <w:szCs w:val="21"/>
        </w:rPr>
        <w:t>一验单位；</w:t>
      </w:r>
      <w:r w:rsidR="00F63CCD" w:rsidRPr="00C37D90">
        <w:rPr>
          <w:rFonts w:hint="eastAsia"/>
          <w:color w:val="000000"/>
          <w:szCs w:val="21"/>
        </w:rPr>
        <w:t>连云港海关综合技术中心、深圳市中金岭南有色金属股份有限公司凡口铅锌矿</w:t>
      </w:r>
      <w:r w:rsidR="00E85CF1" w:rsidRPr="00C37D90">
        <w:rPr>
          <w:rFonts w:hint="eastAsia"/>
          <w:color w:val="000000"/>
          <w:szCs w:val="21"/>
        </w:rPr>
        <w:t>、浙江华友钴业股份有限公司</w:t>
      </w:r>
      <w:r w:rsidR="00F63CCD" w:rsidRPr="00C37D90">
        <w:rPr>
          <w:rFonts w:hint="eastAsia"/>
          <w:color w:val="000000"/>
          <w:szCs w:val="21"/>
        </w:rPr>
        <w:t>、中国检验认证集团广西有限公司、紫金矿冶测试技术有限公司、贵州省分析测试研究院、国标（北京）检验认证有限公司、山东恒邦冶炼股份有限公司、长沙矿冶研究院有限责任公司、中国有色桂林矿产地质研究院有限公司、白银有色集团股份有限公司</w:t>
      </w:r>
      <w:proofErr w:type="gramStart"/>
      <w:r w:rsidR="00F63CCD" w:rsidRPr="00965B79">
        <w:rPr>
          <w:szCs w:val="21"/>
        </w:rPr>
        <w:t>为二验单位</w:t>
      </w:r>
      <w:proofErr w:type="gramEnd"/>
      <w:r w:rsidR="00F63CCD" w:rsidRPr="00C37D90">
        <w:rPr>
          <w:rFonts w:hint="eastAsia"/>
          <w:color w:val="000000"/>
          <w:szCs w:val="21"/>
        </w:rPr>
        <w:t>。</w:t>
      </w:r>
    </w:p>
    <w:p w:rsidR="00F63CCD" w:rsidRDefault="00741A2B" w:rsidP="00275CA1">
      <w:pPr>
        <w:ind w:firstLineChars="200" w:firstLine="420"/>
        <w:rPr>
          <w:szCs w:val="21"/>
        </w:rPr>
      </w:pPr>
      <w:r w:rsidRPr="00965B79">
        <w:rPr>
          <w:szCs w:val="21"/>
        </w:rPr>
        <w:t>金川集团股份有限公司负责提供样品。</w:t>
      </w:r>
    </w:p>
    <w:p w:rsidR="004D6607" w:rsidRDefault="004D6607" w:rsidP="00275CA1">
      <w:pPr>
        <w:rPr>
          <w:b/>
          <w:szCs w:val="21"/>
        </w:rPr>
      </w:pPr>
      <w:r w:rsidRPr="004D6607">
        <w:rPr>
          <w:rFonts w:hint="eastAsia"/>
          <w:b/>
          <w:szCs w:val="21"/>
        </w:rPr>
        <w:t xml:space="preserve">1.4.2 </w:t>
      </w:r>
      <w:r w:rsidRPr="004D6607">
        <w:rPr>
          <w:rFonts w:hint="eastAsia"/>
          <w:b/>
          <w:szCs w:val="21"/>
        </w:rPr>
        <w:t>标准起草过程</w:t>
      </w:r>
    </w:p>
    <w:p w:rsidR="009F11BF" w:rsidRPr="00E85CF1" w:rsidRDefault="009F11BF" w:rsidP="00275CA1">
      <w:pPr>
        <w:ind w:firstLine="420"/>
        <w:rPr>
          <w:szCs w:val="21"/>
        </w:rPr>
      </w:pPr>
      <w:r w:rsidRPr="00E85CF1">
        <w:rPr>
          <w:rFonts w:hint="eastAsia"/>
          <w:szCs w:val="21"/>
        </w:rPr>
        <w:t>负责</w:t>
      </w:r>
      <w:r w:rsidR="00E85CF1" w:rsidRPr="00E85CF1">
        <w:rPr>
          <w:rFonts w:hint="eastAsia"/>
          <w:szCs w:val="21"/>
        </w:rPr>
        <w:t>起草</w:t>
      </w:r>
      <w:r w:rsidRPr="00E85CF1">
        <w:rPr>
          <w:rFonts w:hint="eastAsia"/>
          <w:szCs w:val="21"/>
        </w:rPr>
        <w:t>单位广泛调研国内</w:t>
      </w:r>
      <w:proofErr w:type="gramStart"/>
      <w:r w:rsidRPr="00E85CF1">
        <w:rPr>
          <w:rFonts w:hint="eastAsia"/>
          <w:szCs w:val="21"/>
        </w:rPr>
        <w:t>镍生产</w:t>
      </w:r>
      <w:proofErr w:type="gramEnd"/>
      <w:r w:rsidRPr="00E85CF1">
        <w:rPr>
          <w:rFonts w:hint="eastAsia"/>
          <w:szCs w:val="21"/>
        </w:rPr>
        <w:t>企业的自产镍精矿和国内外贸易镍精矿中银品位情况，</w:t>
      </w:r>
      <w:r w:rsidRPr="00E85CF1">
        <w:rPr>
          <w:szCs w:val="21"/>
        </w:rPr>
        <w:t>确定</w:t>
      </w:r>
      <w:r w:rsidRPr="00E85CF1">
        <w:rPr>
          <w:rFonts w:hint="eastAsia"/>
          <w:szCs w:val="21"/>
        </w:rPr>
        <w:t>起草方法</w:t>
      </w:r>
      <w:r w:rsidRPr="00E85CF1">
        <w:rPr>
          <w:szCs w:val="21"/>
        </w:rPr>
        <w:t>上限</w:t>
      </w:r>
      <w:r w:rsidRPr="00E85CF1">
        <w:rPr>
          <w:rFonts w:hint="eastAsia"/>
          <w:szCs w:val="21"/>
        </w:rPr>
        <w:t>为</w:t>
      </w:r>
      <w:r w:rsidRPr="00E85CF1">
        <w:rPr>
          <w:rFonts w:hint="eastAsia"/>
          <w:szCs w:val="21"/>
        </w:rPr>
        <w:t>150</w:t>
      </w:r>
      <w:r w:rsidR="009F28D2" w:rsidRPr="00E85CF1">
        <w:rPr>
          <w:rFonts w:hint="eastAsia"/>
          <w:szCs w:val="21"/>
        </w:rPr>
        <w:t xml:space="preserve"> </w:t>
      </w:r>
      <w:r w:rsidRPr="00E85CF1">
        <w:rPr>
          <w:rFonts w:hint="eastAsia"/>
          <w:szCs w:val="21"/>
        </w:rPr>
        <w:t>g/t</w:t>
      </w:r>
      <w:r w:rsidRPr="00E85CF1">
        <w:rPr>
          <w:rFonts w:hint="eastAsia"/>
          <w:szCs w:val="21"/>
        </w:rPr>
        <w:t>，</w:t>
      </w:r>
      <w:r w:rsidRPr="00E85CF1">
        <w:rPr>
          <w:szCs w:val="21"/>
        </w:rPr>
        <w:t>以贸易结算的最低含量</w:t>
      </w:r>
      <w:r w:rsidRPr="00E85CF1">
        <w:rPr>
          <w:rFonts w:hint="eastAsia"/>
          <w:szCs w:val="21"/>
        </w:rPr>
        <w:t>20</w:t>
      </w:r>
      <w:r w:rsidR="009F28D2" w:rsidRPr="00E85CF1">
        <w:rPr>
          <w:rFonts w:hint="eastAsia"/>
          <w:szCs w:val="21"/>
        </w:rPr>
        <w:t xml:space="preserve"> </w:t>
      </w:r>
      <w:r w:rsidRPr="00E85CF1">
        <w:rPr>
          <w:szCs w:val="21"/>
        </w:rPr>
        <w:t>g/t</w:t>
      </w:r>
      <w:r w:rsidRPr="00E85CF1">
        <w:rPr>
          <w:rFonts w:hint="eastAsia"/>
          <w:szCs w:val="21"/>
        </w:rPr>
        <w:t>的一半，即</w:t>
      </w:r>
      <w:r w:rsidRPr="00E85CF1">
        <w:rPr>
          <w:rFonts w:hint="eastAsia"/>
          <w:szCs w:val="21"/>
        </w:rPr>
        <w:t>10</w:t>
      </w:r>
      <w:r w:rsidR="009F28D2" w:rsidRPr="00E85CF1">
        <w:rPr>
          <w:rFonts w:hint="eastAsia"/>
          <w:szCs w:val="21"/>
        </w:rPr>
        <w:t xml:space="preserve"> </w:t>
      </w:r>
      <w:r w:rsidRPr="00E85CF1">
        <w:rPr>
          <w:rFonts w:hint="eastAsia"/>
          <w:szCs w:val="21"/>
        </w:rPr>
        <w:t>g/t</w:t>
      </w:r>
      <w:r w:rsidRPr="00E85CF1">
        <w:rPr>
          <w:szCs w:val="21"/>
        </w:rPr>
        <w:t>为测定下限</w:t>
      </w:r>
      <w:r w:rsidR="0079066C" w:rsidRPr="00E85CF1">
        <w:rPr>
          <w:rFonts w:hint="eastAsia"/>
          <w:szCs w:val="21"/>
        </w:rPr>
        <w:t>，方法为火焰原子吸收光谱法</w:t>
      </w:r>
      <w:r w:rsidRPr="00E85CF1">
        <w:rPr>
          <w:rFonts w:hint="eastAsia"/>
          <w:szCs w:val="21"/>
        </w:rPr>
        <w:t>。任务落实会议后，</w:t>
      </w:r>
      <w:r w:rsidRPr="00E85CF1">
        <w:rPr>
          <w:szCs w:val="21"/>
        </w:rPr>
        <w:t>起草单位</w:t>
      </w:r>
      <w:r w:rsidR="00955346" w:rsidRPr="00E85CF1">
        <w:rPr>
          <w:szCs w:val="21"/>
        </w:rPr>
        <w:t>金川集团股份有限公司</w:t>
      </w:r>
      <w:r w:rsidRPr="00E85CF1">
        <w:rPr>
          <w:szCs w:val="21"/>
        </w:rPr>
        <w:t>展开了方法的研究工作，</w:t>
      </w:r>
      <w:r w:rsidR="00955346" w:rsidRPr="00E85CF1">
        <w:rPr>
          <w:rFonts w:hint="eastAsia"/>
          <w:szCs w:val="21"/>
        </w:rPr>
        <w:t>于</w:t>
      </w:r>
      <w:r w:rsidR="00955346" w:rsidRPr="00E85CF1">
        <w:rPr>
          <w:rFonts w:hint="eastAsia"/>
          <w:szCs w:val="21"/>
        </w:rPr>
        <w:t>2020</w:t>
      </w:r>
      <w:r w:rsidR="00955346" w:rsidRPr="00E85CF1">
        <w:rPr>
          <w:rFonts w:hint="eastAsia"/>
          <w:szCs w:val="21"/>
        </w:rPr>
        <w:t>年</w:t>
      </w:r>
      <w:r w:rsidR="00955346" w:rsidRPr="00E85CF1">
        <w:rPr>
          <w:rFonts w:hint="eastAsia"/>
          <w:szCs w:val="21"/>
        </w:rPr>
        <w:t>2</w:t>
      </w:r>
      <w:r w:rsidR="00955346" w:rsidRPr="00E85CF1">
        <w:rPr>
          <w:rFonts w:hint="eastAsia"/>
          <w:szCs w:val="21"/>
        </w:rPr>
        <w:t>月完成</w:t>
      </w:r>
      <w:r w:rsidR="009F6F42" w:rsidRPr="00E85CF1">
        <w:rPr>
          <w:rFonts w:hint="eastAsia"/>
          <w:szCs w:val="21"/>
        </w:rPr>
        <w:t>各项试验内容</w:t>
      </w:r>
      <w:r w:rsidR="009F28D2" w:rsidRPr="00E85CF1">
        <w:rPr>
          <w:rFonts w:hint="eastAsia"/>
          <w:szCs w:val="21"/>
        </w:rPr>
        <w:t>，</w:t>
      </w:r>
      <w:r w:rsidR="009F6F42" w:rsidRPr="00E85CF1">
        <w:rPr>
          <w:rFonts w:hint="eastAsia"/>
          <w:szCs w:val="21"/>
        </w:rPr>
        <w:t>将实验报告、标准讨论稿和验证样品</w:t>
      </w:r>
      <w:r w:rsidR="009F6F42" w:rsidRPr="00E85CF1">
        <w:rPr>
          <w:szCs w:val="21"/>
        </w:rPr>
        <w:t>交与各</w:t>
      </w:r>
      <w:r w:rsidR="009F6F42" w:rsidRPr="00E85CF1">
        <w:rPr>
          <w:rFonts w:hAnsi="宋体"/>
          <w:bCs/>
          <w:color w:val="000000"/>
          <w:szCs w:val="21"/>
        </w:rPr>
        <w:t>参加起草单位开展验证工作。各实验室先后于</w:t>
      </w:r>
      <w:r w:rsidR="009F6F42" w:rsidRPr="00E85CF1">
        <w:rPr>
          <w:bCs/>
          <w:color w:val="000000"/>
          <w:szCs w:val="21"/>
        </w:rPr>
        <w:t>20</w:t>
      </w:r>
      <w:r w:rsidR="009F6F42" w:rsidRPr="00E85CF1">
        <w:rPr>
          <w:rFonts w:hint="eastAsia"/>
          <w:bCs/>
          <w:color w:val="000000"/>
          <w:szCs w:val="21"/>
        </w:rPr>
        <w:t>20</w:t>
      </w:r>
      <w:r w:rsidR="009F6F42" w:rsidRPr="00E85CF1">
        <w:rPr>
          <w:rFonts w:hAnsi="宋体"/>
          <w:bCs/>
          <w:color w:val="000000"/>
          <w:szCs w:val="21"/>
        </w:rPr>
        <w:t>年</w:t>
      </w:r>
      <w:r w:rsidR="009F6F42" w:rsidRPr="00E85CF1">
        <w:rPr>
          <w:rFonts w:hint="eastAsia"/>
          <w:bCs/>
          <w:color w:val="000000"/>
          <w:szCs w:val="21"/>
        </w:rPr>
        <w:t>5</w:t>
      </w:r>
      <w:r w:rsidR="009F6F42" w:rsidRPr="00E85CF1">
        <w:rPr>
          <w:rFonts w:hAnsi="宋体"/>
          <w:bCs/>
          <w:color w:val="000000"/>
          <w:szCs w:val="21"/>
        </w:rPr>
        <w:t>月</w:t>
      </w:r>
      <w:r w:rsidR="009F6F42" w:rsidRPr="00E85CF1">
        <w:rPr>
          <w:rFonts w:hAnsi="宋体" w:hint="eastAsia"/>
          <w:bCs/>
          <w:color w:val="000000"/>
          <w:szCs w:val="21"/>
        </w:rPr>
        <w:t>底</w:t>
      </w:r>
      <w:r w:rsidR="009F6F42" w:rsidRPr="00E85CF1">
        <w:rPr>
          <w:rFonts w:hAnsi="宋体"/>
          <w:bCs/>
          <w:color w:val="000000"/>
          <w:szCs w:val="21"/>
        </w:rPr>
        <w:t>全部完成验证工作，负责起草单位金川集团股份有限公司对验证数据开展统计整理。</w:t>
      </w:r>
    </w:p>
    <w:p w:rsidR="009F6F42" w:rsidRPr="0079066C" w:rsidRDefault="009F6F42" w:rsidP="00275CA1">
      <w:pPr>
        <w:outlineLvl w:val="1"/>
        <w:rPr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9066C">
          <w:rPr>
            <w:b/>
            <w:szCs w:val="21"/>
          </w:rPr>
          <w:t>1.4.3</w:t>
        </w:r>
      </w:smartTag>
      <w:r w:rsidRPr="0079066C">
        <w:rPr>
          <w:b/>
          <w:szCs w:val="21"/>
        </w:rPr>
        <w:t>验证单位提出的意见和建议</w:t>
      </w:r>
    </w:p>
    <w:p w:rsidR="009F6F42" w:rsidRDefault="009F6F42" w:rsidP="00275CA1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</w:t>
      </w:r>
      <w:r w:rsidR="00F864D1">
        <w:rPr>
          <w:rFonts w:ascii="宋体" w:hAnsi="宋体" w:cs="宋体" w:hint="eastAsia"/>
          <w:szCs w:val="21"/>
        </w:rPr>
        <w:t>深圳市中金岭南有色金属股份有限公司凡口铅锌矿</w:t>
      </w:r>
    </w:p>
    <w:p w:rsidR="009F6F42" w:rsidRDefault="009F6F42" w:rsidP="00275CA1">
      <w:pPr>
        <w:ind w:firstLineChars="200" w:firstLine="420"/>
        <w:rPr>
          <w:b/>
          <w:szCs w:val="21"/>
        </w:rPr>
      </w:pPr>
      <w:r>
        <w:rPr>
          <w:rFonts w:hAnsi="宋体" w:hint="eastAsia"/>
          <w:szCs w:val="21"/>
        </w:rPr>
        <w:t>①</w:t>
      </w:r>
      <w:r w:rsidR="00A461F7">
        <w:rPr>
          <w:rFonts w:hAnsi="宋体" w:hint="eastAsia"/>
          <w:szCs w:val="21"/>
        </w:rPr>
        <w:t xml:space="preserve"> </w:t>
      </w:r>
      <w:r w:rsidR="00F864D1">
        <w:rPr>
          <w:rFonts w:ascii="宋体" w:hAnsi="宋体" w:cs="宋体" w:hint="eastAsia"/>
          <w:szCs w:val="21"/>
        </w:rPr>
        <w:t>静置澄清的溶液仍然存在悬浮或漂浮的颗粒，易造成仪器毛细管或雾化器堵塞。建议延长静置时</w:t>
      </w:r>
      <w:proofErr w:type="gramStart"/>
      <w:r w:rsidR="00F864D1">
        <w:rPr>
          <w:rFonts w:ascii="宋体" w:hAnsi="宋体" w:cs="宋体" w:hint="eastAsia"/>
          <w:szCs w:val="21"/>
        </w:rPr>
        <w:t>间或干</w:t>
      </w:r>
      <w:proofErr w:type="gramEnd"/>
      <w:r w:rsidR="00F864D1">
        <w:rPr>
          <w:rFonts w:ascii="宋体" w:hAnsi="宋体" w:cs="宋体" w:hint="eastAsia"/>
          <w:szCs w:val="21"/>
        </w:rPr>
        <w:t>过滤。</w:t>
      </w:r>
      <w:r w:rsidR="00A461F7" w:rsidRPr="00A461F7">
        <w:rPr>
          <w:rFonts w:asciiTheme="minorEastAsia" w:eastAsiaTheme="minorEastAsia" w:hAnsiTheme="minorEastAsia"/>
          <w:szCs w:val="21"/>
        </w:rPr>
        <w:t>——</w:t>
      </w:r>
      <w:r w:rsidR="00A461F7">
        <w:rPr>
          <w:rFonts w:ascii="宋体" w:hAnsi="宋体" w:cs="宋体" w:hint="eastAsia"/>
          <w:szCs w:val="21"/>
        </w:rPr>
        <w:t>不采纳。</w:t>
      </w:r>
      <w:r w:rsidR="00EE38FC">
        <w:rPr>
          <w:rFonts w:ascii="宋体" w:hAnsi="宋体" w:cs="宋体" w:hint="eastAsia"/>
        </w:rPr>
        <w:t>已要求静置溶液至澄清或干过滤</w:t>
      </w:r>
    </w:p>
    <w:p w:rsidR="00F864D1" w:rsidRDefault="009F6F42" w:rsidP="00275CA1">
      <w:pPr>
        <w:ind w:firstLineChars="200" w:firstLine="420"/>
        <w:rPr>
          <w:rFonts w:ascii="宋体" w:hAnsi="宋体" w:cs="宋体"/>
        </w:rPr>
      </w:pPr>
      <w:r>
        <w:rPr>
          <w:rFonts w:hAnsi="宋体" w:hint="eastAsia"/>
          <w:szCs w:val="21"/>
        </w:rPr>
        <w:t>②</w:t>
      </w:r>
      <w:r w:rsidR="00A461F7">
        <w:rPr>
          <w:rFonts w:hAnsi="宋体" w:hint="eastAsia"/>
          <w:szCs w:val="21"/>
        </w:rPr>
        <w:t xml:space="preserve"> </w:t>
      </w:r>
      <w:r w:rsidR="00F864D1">
        <w:rPr>
          <w:rFonts w:ascii="宋体" w:hAnsi="宋体" w:cs="宋体" w:hint="eastAsia"/>
          <w:szCs w:val="21"/>
        </w:rPr>
        <w:t>测量过程中在燃烧器上有较多盐类析出，导致燃烧器狭缝堵塞；</w:t>
      </w:r>
      <w:r w:rsidR="00EE38FC">
        <w:rPr>
          <w:rFonts w:ascii="宋体" w:hAnsi="宋体" w:cs="宋体" w:hint="eastAsia"/>
          <w:szCs w:val="21"/>
        </w:rPr>
        <w:t>溶解体系中有高氯酸盐、硝酸盐及其它盐类，测定过程中最好以5%硝酸清洗，防止堵塞燃烧器。</w:t>
      </w:r>
      <w:r w:rsidR="006D5E5B" w:rsidRPr="00A461F7">
        <w:rPr>
          <w:rFonts w:asciiTheme="minorEastAsia" w:eastAsiaTheme="minorEastAsia" w:hAnsiTheme="minorEastAsia"/>
          <w:szCs w:val="21"/>
        </w:rPr>
        <w:t>——</w:t>
      </w:r>
      <w:r w:rsidR="006D5E5B">
        <w:rPr>
          <w:rFonts w:ascii="宋体" w:hAnsi="宋体" w:cs="宋体" w:hint="eastAsia"/>
          <w:szCs w:val="21"/>
        </w:rPr>
        <w:t>不采纳。</w:t>
      </w:r>
      <w:r w:rsidR="00EE38FC">
        <w:rPr>
          <w:rFonts w:ascii="宋体" w:hAnsi="宋体" w:cs="宋体" w:hint="eastAsia"/>
        </w:rPr>
        <w:t>该操作属于仪器使用与维护的基本要求。</w:t>
      </w:r>
    </w:p>
    <w:p w:rsidR="009F6F42" w:rsidRDefault="009F6F42" w:rsidP="00275CA1">
      <w:pPr>
        <w:rPr>
          <w:rFonts w:ascii="宋体" w:hAnsi="宋体" w:cs="宋体"/>
          <w:szCs w:val="21"/>
        </w:rPr>
      </w:pP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  <w:r w:rsidR="00F864D1">
        <w:rPr>
          <w:rFonts w:ascii="宋体" w:hAnsi="宋体" w:cs="宋体" w:hint="eastAsia"/>
          <w:szCs w:val="21"/>
        </w:rPr>
        <w:t>国标（北京）检验认证有限公司</w:t>
      </w:r>
    </w:p>
    <w:p w:rsidR="00F864D1" w:rsidRDefault="00F864D1" w:rsidP="00275CA1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标准讨论稿中“3.10”试剂编号写错，应为“3.9”。</w:t>
      </w:r>
      <w:r w:rsidRPr="00A461F7">
        <w:rPr>
          <w:rFonts w:asciiTheme="minorEastAsia" w:eastAsiaTheme="minorEastAsia" w:hAnsiTheme="minorEastAsia" w:hint="eastAsia"/>
          <w:szCs w:val="21"/>
        </w:rPr>
        <w:t>——</w:t>
      </w:r>
      <w:r>
        <w:rPr>
          <w:rFonts w:ascii="宋体" w:hAnsi="宋体" w:cs="宋体" w:hint="eastAsia"/>
          <w:szCs w:val="21"/>
        </w:rPr>
        <w:t>采纳</w:t>
      </w:r>
      <w:r w:rsidR="00A461F7">
        <w:rPr>
          <w:rFonts w:ascii="宋体" w:hAnsi="宋体" w:cs="宋体" w:hint="eastAsia"/>
          <w:szCs w:val="21"/>
        </w:rPr>
        <w:t>。</w:t>
      </w:r>
    </w:p>
    <w:p w:rsidR="00F864D1" w:rsidRDefault="00F864D1" w:rsidP="00275CA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3）</w:t>
      </w:r>
      <w:r>
        <w:rPr>
          <w:rFonts w:ascii="宋体" w:hAnsi="宋体" w:cs="宋体" w:hint="eastAsia"/>
          <w:kern w:val="0"/>
          <w:szCs w:val="21"/>
        </w:rPr>
        <w:t>北矿检测技术有限公司</w:t>
      </w:r>
    </w:p>
    <w:p w:rsidR="00F864D1" w:rsidRPr="00A461F7" w:rsidRDefault="00F864D1" w:rsidP="00275CA1">
      <w:pPr>
        <w:ind w:firstLineChars="200" w:firstLine="420"/>
        <w:rPr>
          <w:szCs w:val="21"/>
        </w:rPr>
      </w:pPr>
      <w:r w:rsidRPr="00A461F7">
        <w:rPr>
          <w:szCs w:val="21"/>
        </w:rPr>
        <w:t>“</w:t>
      </w:r>
      <w:r w:rsidRPr="00A461F7">
        <w:rPr>
          <w:rFonts w:hAnsi="宋体"/>
          <w:szCs w:val="21"/>
        </w:rPr>
        <w:t>加热溶解至体积约</w:t>
      </w:r>
      <w:r w:rsidRPr="00A461F7">
        <w:rPr>
          <w:szCs w:val="21"/>
        </w:rPr>
        <w:t xml:space="preserve">3 mL~5 </w:t>
      </w:r>
      <w:proofErr w:type="spellStart"/>
      <w:r w:rsidRPr="00A461F7">
        <w:rPr>
          <w:szCs w:val="21"/>
        </w:rPr>
        <w:t>mL</w:t>
      </w:r>
      <w:proofErr w:type="spellEnd"/>
      <w:r w:rsidRPr="00A461F7">
        <w:rPr>
          <w:rFonts w:hAnsi="宋体"/>
          <w:szCs w:val="21"/>
        </w:rPr>
        <w:t>，加入</w:t>
      </w:r>
      <w:r w:rsidRPr="00A461F7">
        <w:rPr>
          <w:szCs w:val="21"/>
        </w:rPr>
        <w:t xml:space="preserve">10 </w:t>
      </w:r>
      <w:proofErr w:type="spellStart"/>
      <w:r w:rsidRPr="00A461F7">
        <w:rPr>
          <w:szCs w:val="21"/>
        </w:rPr>
        <w:t>mL</w:t>
      </w:r>
      <w:proofErr w:type="spellEnd"/>
      <w:r w:rsidRPr="00A461F7">
        <w:rPr>
          <w:rFonts w:hAnsi="宋体"/>
          <w:szCs w:val="21"/>
        </w:rPr>
        <w:t>混合酸（</w:t>
      </w:r>
      <w:r w:rsidRPr="00A461F7">
        <w:rPr>
          <w:szCs w:val="21"/>
        </w:rPr>
        <w:t>2.1.6</w:t>
      </w:r>
      <w:r w:rsidRPr="00A461F7">
        <w:rPr>
          <w:rFonts w:hAnsi="宋体"/>
          <w:szCs w:val="21"/>
        </w:rPr>
        <w:t>），继续加热蒸至湿盐状，取下冷却。改为</w:t>
      </w:r>
      <w:r w:rsidRPr="00A461F7">
        <w:rPr>
          <w:szCs w:val="21"/>
        </w:rPr>
        <w:t>“</w:t>
      </w:r>
      <w:r w:rsidRPr="00A461F7">
        <w:rPr>
          <w:rFonts w:hAnsi="宋体"/>
          <w:szCs w:val="21"/>
        </w:rPr>
        <w:t>继续加热冒高氯酸烟至湿盐状，取下冷却。</w:t>
      </w:r>
      <w:r w:rsidRPr="00A461F7">
        <w:rPr>
          <w:szCs w:val="21"/>
        </w:rPr>
        <w:t>”——</w:t>
      </w:r>
      <w:r w:rsidRPr="00A461F7">
        <w:rPr>
          <w:rFonts w:hAnsi="宋体"/>
          <w:szCs w:val="21"/>
        </w:rPr>
        <w:t>采纳</w:t>
      </w:r>
      <w:r w:rsidR="00A461F7">
        <w:rPr>
          <w:rFonts w:hAnsi="宋体" w:hint="eastAsia"/>
          <w:szCs w:val="21"/>
        </w:rPr>
        <w:t>。</w:t>
      </w:r>
    </w:p>
    <w:p w:rsidR="00F864D1" w:rsidRDefault="00F864D1" w:rsidP="00275CA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4）</w:t>
      </w:r>
      <w:r>
        <w:rPr>
          <w:rFonts w:ascii="宋体" w:hAnsi="宋体" w:cs="宋体" w:hint="eastAsia"/>
          <w:kern w:val="0"/>
          <w:szCs w:val="21"/>
        </w:rPr>
        <w:t>广东省工业分析检测中心</w:t>
      </w:r>
    </w:p>
    <w:p w:rsidR="00F864D1" w:rsidRDefault="00F864D1" w:rsidP="00275CA1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测定样品选择扣背景吸收——不采纳。</w:t>
      </w:r>
      <w:r>
        <w:rPr>
          <w:rFonts w:ascii="宋体" w:hAnsi="宋体" w:cs="宋体" w:hint="eastAsia"/>
        </w:rPr>
        <w:t>实验报告和验证报告</w:t>
      </w:r>
      <w:r>
        <w:rPr>
          <w:rFonts w:ascii="宋体" w:hAnsi="宋体" w:cs="宋体" w:hint="eastAsia"/>
          <w:szCs w:val="21"/>
        </w:rPr>
        <w:t>都证明加入共存元素最大量时，对银的测定无影响。</w:t>
      </w:r>
    </w:p>
    <w:p w:rsidR="00F864D1" w:rsidRDefault="00F864D1" w:rsidP="00275CA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5）白银有色集团股份有限公司</w:t>
      </w:r>
    </w:p>
    <w:p w:rsidR="00F864D1" w:rsidRDefault="00A461F7" w:rsidP="00275CA1">
      <w:pPr>
        <w:ind w:firstLineChars="200" w:firstLine="420"/>
        <w:rPr>
          <w:rFonts w:ascii="宋体" w:hAnsi="宋体" w:cs="宋体"/>
          <w:szCs w:val="21"/>
        </w:rPr>
      </w:pPr>
      <w:r>
        <w:rPr>
          <w:rFonts w:hAnsi="宋体" w:hint="eastAsia"/>
          <w:szCs w:val="21"/>
        </w:rPr>
        <w:t>①</w:t>
      </w:r>
      <w:r>
        <w:rPr>
          <w:rFonts w:hAnsi="宋体" w:hint="eastAsia"/>
          <w:szCs w:val="21"/>
        </w:rPr>
        <w:t xml:space="preserve"> </w:t>
      </w:r>
      <w:r w:rsidR="00F864D1">
        <w:rPr>
          <w:rFonts w:ascii="宋体" w:hAnsi="宋体" w:cs="宋体" w:hint="eastAsia"/>
          <w:szCs w:val="21"/>
        </w:rPr>
        <w:t>加入氟化氢铵，可不盖表</w:t>
      </w:r>
      <w:proofErr w:type="gramStart"/>
      <w:r w:rsidR="00F864D1">
        <w:rPr>
          <w:rFonts w:ascii="宋体" w:hAnsi="宋体" w:cs="宋体" w:hint="eastAsia"/>
          <w:szCs w:val="21"/>
        </w:rPr>
        <w:t>皿</w:t>
      </w:r>
      <w:proofErr w:type="gramEnd"/>
      <w:r w:rsidR="00F864D1">
        <w:rPr>
          <w:rFonts w:ascii="宋体" w:hAnsi="宋体" w:cs="宋体"/>
          <w:szCs w:val="21"/>
        </w:rPr>
        <w:t>，</w:t>
      </w:r>
      <w:r w:rsidR="00F864D1" w:rsidRPr="00F864D1">
        <w:rPr>
          <w:rFonts w:ascii="宋体" w:hAnsi="宋体" w:cs="宋体" w:hint="eastAsia"/>
          <w:szCs w:val="21"/>
        </w:rPr>
        <w:t>敞口</w:t>
      </w:r>
      <w:proofErr w:type="gramStart"/>
      <w:r w:rsidR="00F864D1" w:rsidRPr="00F864D1">
        <w:rPr>
          <w:rFonts w:ascii="宋体" w:hAnsi="宋体" w:cs="宋体" w:hint="eastAsia"/>
          <w:szCs w:val="21"/>
        </w:rPr>
        <w:t>消除硅对银</w:t>
      </w:r>
      <w:proofErr w:type="gramEnd"/>
      <w:r w:rsidR="00F864D1" w:rsidRPr="00F864D1">
        <w:rPr>
          <w:rFonts w:ascii="宋体" w:hAnsi="宋体" w:cs="宋体" w:hint="eastAsia"/>
          <w:szCs w:val="21"/>
        </w:rPr>
        <w:t>含量无损失</w:t>
      </w:r>
      <w:r w:rsidR="00F864D1" w:rsidRPr="00F864D1">
        <w:rPr>
          <w:rFonts w:ascii="宋体" w:hAnsi="宋体" w:cs="宋体"/>
          <w:szCs w:val="21"/>
        </w:rPr>
        <w:t>。</w:t>
      </w:r>
      <w:r w:rsidR="00F864D1" w:rsidRPr="00F864D1">
        <w:rPr>
          <w:rFonts w:ascii="宋体" w:hAnsi="宋体" w:cs="宋体" w:hint="eastAsia"/>
          <w:szCs w:val="21"/>
        </w:rPr>
        <w:t>——不采纳。</w:t>
      </w:r>
      <w:r w:rsidR="00F864D1">
        <w:rPr>
          <w:rFonts w:ascii="宋体" w:hAnsi="宋体" w:cs="宋体" w:hint="eastAsia"/>
        </w:rPr>
        <w:t>盖表</w:t>
      </w:r>
      <w:proofErr w:type="gramStart"/>
      <w:r w:rsidR="00F864D1">
        <w:rPr>
          <w:rFonts w:ascii="宋体" w:hAnsi="宋体" w:cs="宋体" w:hint="eastAsia"/>
        </w:rPr>
        <w:t>皿</w:t>
      </w:r>
      <w:proofErr w:type="gramEnd"/>
      <w:r w:rsidR="00D04716">
        <w:rPr>
          <w:rFonts w:ascii="宋体" w:hAnsi="宋体" w:cs="宋体" w:hint="eastAsia"/>
        </w:rPr>
        <w:t>能防止</w:t>
      </w:r>
      <w:r w:rsidR="00D04716">
        <w:rPr>
          <w:rFonts w:ascii="宋体" w:hAnsi="宋体" w:cs="宋体"/>
          <w:szCs w:val="21"/>
        </w:rPr>
        <w:t>加热时溶液</w:t>
      </w:r>
      <w:r w:rsidR="00D04716">
        <w:rPr>
          <w:rFonts w:ascii="宋体" w:hAnsi="宋体" w:cs="宋体" w:hint="eastAsia"/>
        </w:rPr>
        <w:t>的</w:t>
      </w:r>
      <w:r w:rsidR="00D04716">
        <w:rPr>
          <w:rFonts w:ascii="宋体" w:hAnsi="宋体" w:cs="宋体"/>
          <w:szCs w:val="21"/>
        </w:rPr>
        <w:t>迸溅</w:t>
      </w:r>
      <w:r w:rsidR="00D04716">
        <w:rPr>
          <w:rFonts w:ascii="宋体" w:hAnsi="宋体" w:cs="宋体" w:hint="eastAsia"/>
        </w:rPr>
        <w:t>，而且</w:t>
      </w:r>
      <w:r w:rsidR="00F864D1">
        <w:rPr>
          <w:rFonts w:ascii="宋体" w:hAnsi="宋体" w:cs="宋体" w:hint="eastAsia"/>
        </w:rPr>
        <w:t>对溶解样品中产生的挥发性</w:t>
      </w:r>
      <w:r w:rsidR="00F864D1">
        <w:rPr>
          <w:rFonts w:ascii="宋体" w:hAnsi="宋体" w:cs="宋体"/>
          <w:szCs w:val="21"/>
        </w:rPr>
        <w:t>气体逸出</w:t>
      </w:r>
      <w:r w:rsidR="00F864D1">
        <w:rPr>
          <w:rFonts w:ascii="宋体" w:hAnsi="宋体" w:cs="宋体" w:hint="eastAsia"/>
        </w:rPr>
        <w:t>影响不大</w:t>
      </w:r>
      <w:r w:rsidR="00D04716">
        <w:rPr>
          <w:rFonts w:ascii="宋体" w:hAnsi="宋体" w:cs="宋体" w:hint="eastAsia"/>
          <w:szCs w:val="21"/>
        </w:rPr>
        <w:t>。</w:t>
      </w:r>
    </w:p>
    <w:p w:rsidR="00A461F7" w:rsidRPr="00F864D1" w:rsidRDefault="00A461F7" w:rsidP="00275CA1">
      <w:pPr>
        <w:ind w:firstLineChars="200" w:firstLine="420"/>
        <w:rPr>
          <w:rFonts w:ascii="宋体" w:hAnsi="宋体" w:cs="宋体"/>
          <w:szCs w:val="21"/>
        </w:rPr>
      </w:pPr>
      <w:r>
        <w:rPr>
          <w:rFonts w:hAnsi="宋体" w:hint="eastAsia"/>
          <w:szCs w:val="21"/>
        </w:rPr>
        <w:t>②</w:t>
      </w:r>
      <w:r>
        <w:rPr>
          <w:rFonts w:hAnsi="宋体" w:hint="eastAsia"/>
          <w:szCs w:val="21"/>
        </w:rPr>
        <w:t xml:space="preserve"> </w:t>
      </w:r>
      <w:r>
        <w:rPr>
          <w:rFonts w:ascii="宋体" w:hAnsi="宋体" w:cs="宋体" w:hint="eastAsia"/>
        </w:rPr>
        <w:t>为了保证高含量银络合完完全，可将稀释酸度调整为20%。</w:t>
      </w:r>
      <w:r w:rsidRPr="00F864D1">
        <w:rPr>
          <w:rFonts w:ascii="宋体" w:hAnsi="宋体" w:cs="宋体" w:hint="eastAsia"/>
          <w:szCs w:val="21"/>
        </w:rPr>
        <w:t>——不采纳。</w:t>
      </w:r>
      <w:r>
        <w:rPr>
          <w:rFonts w:ascii="宋体" w:hAnsi="宋体" w:cs="宋体" w:hint="eastAsia"/>
        </w:rPr>
        <w:t>本方法中银的</w:t>
      </w:r>
      <w:r>
        <w:rPr>
          <w:rFonts w:ascii="宋体" w:hAnsi="宋体" w:cs="宋体"/>
        </w:rPr>
        <w:t>测定</w:t>
      </w:r>
      <w:r>
        <w:rPr>
          <w:rFonts w:ascii="宋体" w:hAnsi="宋体" w:cs="宋体" w:hint="eastAsia"/>
        </w:rPr>
        <w:t>上限为150g/t</w:t>
      </w:r>
      <w:r>
        <w:rPr>
          <w:rFonts w:ascii="宋体" w:hAnsi="宋体" w:cs="宋体"/>
        </w:rPr>
        <w:t>，10%盐酸能够保证银</w:t>
      </w:r>
      <w:r>
        <w:rPr>
          <w:rFonts w:ascii="宋体" w:hAnsi="宋体" w:cs="宋体" w:hint="eastAsia"/>
        </w:rPr>
        <w:t>被</w:t>
      </w:r>
      <w:r>
        <w:rPr>
          <w:rFonts w:ascii="宋体" w:hAnsi="宋体" w:cs="宋体"/>
        </w:rPr>
        <w:t>完全络合，酸度过高对仪器的腐蚀性也增大。</w:t>
      </w:r>
    </w:p>
    <w:p w:rsidR="009F6F42" w:rsidRPr="0031236D" w:rsidRDefault="009F6F42" w:rsidP="00275CA1">
      <w:pPr>
        <w:rPr>
          <w:rFonts w:eastAsiaTheme="minorEastAsia"/>
          <w:b/>
          <w:szCs w:val="21"/>
        </w:rPr>
      </w:pPr>
      <w:r w:rsidRPr="0031236D">
        <w:rPr>
          <w:rFonts w:eastAsiaTheme="minorEastAsia"/>
          <w:b/>
          <w:szCs w:val="21"/>
        </w:rPr>
        <w:t xml:space="preserve">1.4.4 </w:t>
      </w:r>
      <w:r w:rsidRPr="0031236D">
        <w:rPr>
          <w:rFonts w:eastAsiaTheme="minorEastAsia" w:hAnsiTheme="minorEastAsia"/>
          <w:b/>
          <w:szCs w:val="21"/>
        </w:rPr>
        <w:t>预审会议提出的意见和建议</w:t>
      </w:r>
    </w:p>
    <w:p w:rsidR="001B4509" w:rsidRPr="008D461A" w:rsidRDefault="006A649C" w:rsidP="00275CA1">
      <w:pPr>
        <w:ind w:firstLineChars="200" w:firstLine="420"/>
        <w:rPr>
          <w:szCs w:val="21"/>
        </w:rPr>
      </w:pPr>
      <w:r w:rsidRPr="00B0037D">
        <w:rPr>
          <w:rFonts w:hint="eastAsia"/>
          <w:szCs w:val="21"/>
        </w:rPr>
        <w:t>2</w:t>
      </w:r>
      <w:r w:rsidRPr="00B0037D">
        <w:rPr>
          <w:szCs w:val="21"/>
        </w:rPr>
        <w:t>0</w:t>
      </w:r>
      <w:r w:rsidR="004D6607" w:rsidRPr="00B0037D">
        <w:rPr>
          <w:rFonts w:hint="eastAsia"/>
          <w:szCs w:val="21"/>
        </w:rPr>
        <w:t>2</w:t>
      </w:r>
      <w:r w:rsidR="00B506C7" w:rsidRPr="00B0037D">
        <w:rPr>
          <w:rFonts w:hint="eastAsia"/>
          <w:szCs w:val="21"/>
        </w:rPr>
        <w:t>1</w:t>
      </w:r>
      <w:r w:rsidRPr="00B0037D">
        <w:rPr>
          <w:szCs w:val="21"/>
        </w:rPr>
        <w:t>年</w:t>
      </w:r>
      <w:r w:rsidR="006D1B4A" w:rsidRPr="00B0037D">
        <w:rPr>
          <w:rFonts w:hint="eastAsia"/>
          <w:szCs w:val="21"/>
        </w:rPr>
        <w:t>1</w:t>
      </w:r>
      <w:r w:rsidRPr="00B0037D">
        <w:rPr>
          <w:szCs w:val="21"/>
        </w:rPr>
        <w:t>月</w:t>
      </w:r>
      <w:r w:rsidR="00B0037D" w:rsidRPr="00B0037D">
        <w:rPr>
          <w:rFonts w:hint="eastAsia"/>
          <w:szCs w:val="21"/>
        </w:rPr>
        <w:t>12</w:t>
      </w:r>
      <w:r w:rsidRPr="00B0037D">
        <w:rPr>
          <w:szCs w:val="21"/>
        </w:rPr>
        <w:t>日～</w:t>
      </w:r>
      <w:r w:rsidR="00B0037D" w:rsidRPr="00B0037D">
        <w:rPr>
          <w:rFonts w:hint="eastAsia"/>
          <w:szCs w:val="21"/>
        </w:rPr>
        <w:t>14</w:t>
      </w:r>
      <w:r w:rsidRPr="00B0037D">
        <w:rPr>
          <w:szCs w:val="21"/>
        </w:rPr>
        <w:t>日</w:t>
      </w:r>
      <w:r w:rsidRPr="00B0037D">
        <w:rPr>
          <w:rFonts w:hint="eastAsia"/>
          <w:szCs w:val="21"/>
        </w:rPr>
        <w:t>，全国有色金属标准化技术委员会</w:t>
      </w:r>
      <w:r w:rsidR="006D1B4A" w:rsidRPr="00B0037D">
        <w:rPr>
          <w:rFonts w:hint="eastAsia"/>
          <w:szCs w:val="21"/>
        </w:rPr>
        <w:t>在</w:t>
      </w:r>
      <w:r w:rsidR="00B0037D" w:rsidRPr="00B0037D">
        <w:rPr>
          <w:rFonts w:hint="eastAsia"/>
          <w:szCs w:val="21"/>
        </w:rPr>
        <w:t>海南</w:t>
      </w:r>
      <w:r w:rsidR="006D1B4A" w:rsidRPr="00B0037D">
        <w:rPr>
          <w:rFonts w:hint="eastAsia"/>
          <w:szCs w:val="21"/>
        </w:rPr>
        <w:t>省</w:t>
      </w:r>
      <w:r w:rsidR="00B0037D" w:rsidRPr="00B0037D">
        <w:rPr>
          <w:rFonts w:hint="eastAsia"/>
          <w:szCs w:val="21"/>
        </w:rPr>
        <w:t>琼海</w:t>
      </w:r>
      <w:r w:rsidR="006D1B4A" w:rsidRPr="00B0037D">
        <w:rPr>
          <w:rFonts w:hint="eastAsia"/>
          <w:szCs w:val="21"/>
        </w:rPr>
        <w:t>市</w:t>
      </w:r>
      <w:r w:rsidRPr="00B0037D">
        <w:rPr>
          <w:szCs w:val="21"/>
        </w:rPr>
        <w:t>召</w:t>
      </w:r>
      <w:r w:rsidRPr="008D461A">
        <w:rPr>
          <w:szCs w:val="21"/>
        </w:rPr>
        <w:t>开了</w:t>
      </w:r>
      <w:r w:rsidRPr="008D461A">
        <w:rPr>
          <w:szCs w:val="21"/>
        </w:rPr>
        <w:t>“</w:t>
      </w:r>
      <w:r w:rsidR="0093330E" w:rsidRPr="008D461A">
        <w:rPr>
          <w:rFonts w:hint="eastAsia"/>
          <w:szCs w:val="21"/>
        </w:rPr>
        <w:t>镍精矿</w:t>
      </w:r>
      <w:r w:rsidRPr="008D461A">
        <w:rPr>
          <w:szCs w:val="21"/>
        </w:rPr>
        <w:t>化学分析方法</w:t>
      </w:r>
      <w:r w:rsidRPr="008D461A">
        <w:rPr>
          <w:rFonts w:hint="eastAsia"/>
          <w:szCs w:val="21"/>
        </w:rPr>
        <w:t>等</w:t>
      </w:r>
      <w:r w:rsidRPr="008D461A">
        <w:rPr>
          <w:szCs w:val="21"/>
        </w:rPr>
        <w:t>系列行业标准</w:t>
      </w:r>
      <w:r w:rsidRPr="008D461A">
        <w:rPr>
          <w:szCs w:val="21"/>
        </w:rPr>
        <w:t>”</w:t>
      </w:r>
      <w:r w:rsidRPr="008D461A">
        <w:rPr>
          <w:rFonts w:hint="eastAsia"/>
          <w:szCs w:val="21"/>
        </w:rPr>
        <w:t>预审会</w:t>
      </w:r>
      <w:r w:rsidR="004D6607" w:rsidRPr="008D461A">
        <w:rPr>
          <w:rFonts w:hint="eastAsia"/>
          <w:szCs w:val="21"/>
        </w:rPr>
        <w:t>会议</w:t>
      </w:r>
      <w:r w:rsidRPr="008D461A">
        <w:rPr>
          <w:rFonts w:hint="eastAsia"/>
          <w:szCs w:val="21"/>
        </w:rPr>
        <w:t>。</w:t>
      </w:r>
      <w:r w:rsidR="009F6F42" w:rsidRPr="008D461A">
        <w:rPr>
          <w:rFonts w:hAnsi="宋体"/>
          <w:bCs/>
          <w:color w:val="000000"/>
          <w:szCs w:val="21"/>
        </w:rPr>
        <w:t>来自全国的有色金属标准化技术委员会、金川集团股份有限公司、北矿检测技术有限公司</w:t>
      </w:r>
      <w:r w:rsidR="009F6F42" w:rsidRPr="008D461A">
        <w:rPr>
          <w:rFonts w:hAnsi="宋体"/>
          <w:bCs/>
          <w:color w:val="FF0000"/>
          <w:szCs w:val="21"/>
        </w:rPr>
        <w:t>等</w:t>
      </w:r>
      <w:r w:rsidR="0079066C" w:rsidRPr="008D461A">
        <w:rPr>
          <w:rFonts w:hint="eastAsia"/>
          <w:bCs/>
          <w:color w:val="FF0000"/>
          <w:szCs w:val="21"/>
        </w:rPr>
        <w:t>xx</w:t>
      </w:r>
      <w:r w:rsidR="009F6F42" w:rsidRPr="008D461A">
        <w:rPr>
          <w:rFonts w:hAnsi="宋体"/>
          <w:bCs/>
          <w:color w:val="FF0000"/>
          <w:szCs w:val="21"/>
        </w:rPr>
        <w:t>家单位的</w:t>
      </w:r>
      <w:r w:rsidR="0079066C" w:rsidRPr="008D461A">
        <w:rPr>
          <w:rFonts w:hint="eastAsia"/>
          <w:bCs/>
          <w:color w:val="FF0000"/>
          <w:szCs w:val="21"/>
        </w:rPr>
        <w:t>xx</w:t>
      </w:r>
      <w:r w:rsidR="009F6F42" w:rsidRPr="008D461A">
        <w:rPr>
          <w:rFonts w:hAnsi="宋体"/>
          <w:bCs/>
          <w:color w:val="FF0000"/>
          <w:szCs w:val="21"/>
        </w:rPr>
        <w:t>名代表参加了会议</w:t>
      </w:r>
      <w:r w:rsidR="009F6F42" w:rsidRPr="008D461A">
        <w:rPr>
          <w:rFonts w:hAnsi="宋体"/>
          <w:bCs/>
          <w:color w:val="000000"/>
          <w:szCs w:val="21"/>
        </w:rPr>
        <w:t>，会议对标准征求意见稿进行了认真讨论和审核，</w:t>
      </w:r>
      <w:r w:rsidR="00726173">
        <w:rPr>
          <w:rFonts w:hint="eastAsia"/>
          <w:szCs w:val="21"/>
        </w:rPr>
        <w:t>并安排了该标准的修改意见及后续工作。具体情况如下：</w:t>
      </w:r>
      <w:r w:rsidR="009F6F42" w:rsidRPr="008D461A">
        <w:rPr>
          <w:rFonts w:hint="eastAsia"/>
          <w:szCs w:val="21"/>
        </w:rPr>
        <w:t xml:space="preserve"> </w:t>
      </w:r>
    </w:p>
    <w:p w:rsidR="009F6F42" w:rsidRDefault="00726173" w:rsidP="00275CA1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</w:t>
      </w:r>
    </w:p>
    <w:p w:rsidR="00D30D98" w:rsidRDefault="00726173" w:rsidP="00275CA1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</w:p>
    <w:p w:rsidR="00A866CB" w:rsidRPr="008D461A" w:rsidRDefault="00A866CB" w:rsidP="00275CA1">
      <w:pPr>
        <w:rPr>
          <w:rFonts w:hAnsi="宋体"/>
          <w:szCs w:val="21"/>
        </w:rPr>
      </w:pPr>
      <w:r>
        <w:rPr>
          <w:rFonts w:hAnsi="宋体"/>
          <w:szCs w:val="21"/>
        </w:rPr>
        <w:t>……</w:t>
      </w:r>
    </w:p>
    <w:p w:rsidR="009F6F42" w:rsidRPr="0031236D" w:rsidRDefault="009F6F42" w:rsidP="009F6F42">
      <w:pPr>
        <w:spacing w:line="360" w:lineRule="auto"/>
        <w:outlineLvl w:val="1"/>
        <w:rPr>
          <w:b/>
          <w:szCs w:val="21"/>
        </w:rPr>
      </w:pPr>
      <w:r w:rsidRPr="0031236D">
        <w:rPr>
          <w:b/>
          <w:szCs w:val="21"/>
        </w:rPr>
        <w:t xml:space="preserve">1.4.5 </w:t>
      </w:r>
      <w:r w:rsidRPr="0031236D">
        <w:rPr>
          <w:rFonts w:hAnsi="宋体"/>
          <w:b/>
          <w:szCs w:val="21"/>
        </w:rPr>
        <w:t>审定会议提出的意见和建议</w:t>
      </w:r>
    </w:p>
    <w:p w:rsidR="00D30D98" w:rsidRDefault="00D30D98" w:rsidP="00D30D98">
      <w:pPr>
        <w:pStyle w:val="-11"/>
        <w:ind w:firstLineChars="0"/>
        <w:rPr>
          <w:color w:val="FF0000"/>
          <w:szCs w:val="21"/>
        </w:rPr>
      </w:pPr>
    </w:p>
    <w:p w:rsidR="00D30D98" w:rsidRPr="006A649C" w:rsidRDefault="00D30D98" w:rsidP="00D30D98">
      <w:pPr>
        <w:pStyle w:val="-11"/>
        <w:ind w:firstLineChars="0"/>
        <w:rPr>
          <w:rFonts w:ascii="宋体" w:hAnsi="宋体"/>
          <w:color w:val="FF0000"/>
        </w:rPr>
      </w:pPr>
    </w:p>
    <w:p w:rsidR="001B4509" w:rsidRDefault="006A64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二、标准编制原则</w:t>
      </w:r>
    </w:p>
    <w:p w:rsidR="001B4509" w:rsidRDefault="006A649C">
      <w:pPr>
        <w:ind w:firstLineChars="200" w:firstLine="420"/>
        <w:rPr>
          <w:szCs w:val="21"/>
        </w:rPr>
      </w:pPr>
      <w:r>
        <w:rPr>
          <w:szCs w:val="21"/>
        </w:rPr>
        <w:t>本标准是根据</w:t>
      </w:r>
      <w:r>
        <w:rPr>
          <w:szCs w:val="21"/>
        </w:rPr>
        <w:t>GB/T1.1-2009</w:t>
      </w:r>
      <w:r>
        <w:rPr>
          <w:szCs w:val="21"/>
        </w:rPr>
        <w:t>《标准化工作导则第</w:t>
      </w:r>
      <w:r>
        <w:rPr>
          <w:szCs w:val="21"/>
        </w:rPr>
        <w:t>1</w:t>
      </w:r>
      <w:r>
        <w:rPr>
          <w:szCs w:val="21"/>
        </w:rPr>
        <w:t>部分：标准的结构和编写规则》和</w:t>
      </w:r>
      <w:r>
        <w:rPr>
          <w:szCs w:val="21"/>
        </w:rPr>
        <w:t>GB/T20001.4-2001</w:t>
      </w:r>
      <w:r>
        <w:rPr>
          <w:szCs w:val="21"/>
        </w:rPr>
        <w:t>《标准编写规则第</w:t>
      </w:r>
      <w:r>
        <w:rPr>
          <w:szCs w:val="21"/>
        </w:rPr>
        <w:t>4</w:t>
      </w:r>
      <w:r>
        <w:rPr>
          <w:szCs w:val="21"/>
        </w:rPr>
        <w:t>部分：化学分析方法》的要求进行编写的。编制本标准的</w:t>
      </w:r>
      <w:r>
        <w:rPr>
          <w:rFonts w:hint="eastAsia"/>
          <w:szCs w:val="21"/>
        </w:rPr>
        <w:t>目的</w:t>
      </w:r>
      <w:r>
        <w:rPr>
          <w:szCs w:val="21"/>
        </w:rPr>
        <w:t>是以</w:t>
      </w:r>
      <w:r>
        <w:rPr>
          <w:rFonts w:hint="eastAsia"/>
          <w:szCs w:val="21"/>
        </w:rPr>
        <w:t>能满足</w:t>
      </w:r>
      <w:r w:rsidR="0093330E">
        <w:rPr>
          <w:rFonts w:hint="eastAsia"/>
          <w:szCs w:val="21"/>
        </w:rPr>
        <w:t>镍精矿</w:t>
      </w:r>
      <w:r>
        <w:rPr>
          <w:rFonts w:hint="eastAsia"/>
          <w:szCs w:val="21"/>
        </w:rPr>
        <w:t>中银含量的准确快速测定要求</w:t>
      </w:r>
      <w:r>
        <w:rPr>
          <w:szCs w:val="21"/>
        </w:rPr>
        <w:t>为基础</w:t>
      </w:r>
      <w:r>
        <w:rPr>
          <w:rFonts w:hint="eastAsia"/>
          <w:szCs w:val="21"/>
        </w:rPr>
        <w:t>。</w:t>
      </w:r>
      <w:r>
        <w:rPr>
          <w:szCs w:val="21"/>
        </w:rPr>
        <w:t>编制本标准的原则</w:t>
      </w:r>
      <w:r>
        <w:rPr>
          <w:rFonts w:hint="eastAsia"/>
          <w:szCs w:val="21"/>
        </w:rPr>
        <w:t>是准确、具有一定</w:t>
      </w:r>
      <w:r>
        <w:rPr>
          <w:szCs w:val="21"/>
        </w:rPr>
        <w:t>的先进性</w:t>
      </w:r>
      <w:r>
        <w:rPr>
          <w:rFonts w:hint="eastAsia"/>
          <w:szCs w:val="21"/>
        </w:rPr>
        <w:t>和操作简单性。</w:t>
      </w:r>
      <w:r>
        <w:rPr>
          <w:szCs w:val="21"/>
        </w:rPr>
        <w:t>根据国情</w:t>
      </w:r>
      <w:r>
        <w:rPr>
          <w:rFonts w:hint="eastAsia"/>
          <w:szCs w:val="21"/>
        </w:rPr>
        <w:t>制订技术规范并力求与</w:t>
      </w:r>
      <w:r>
        <w:rPr>
          <w:szCs w:val="21"/>
        </w:rPr>
        <w:t>国外先进</w:t>
      </w:r>
      <w:r>
        <w:rPr>
          <w:rFonts w:hint="eastAsia"/>
          <w:szCs w:val="21"/>
        </w:rPr>
        <w:t>技术</w:t>
      </w:r>
      <w:r>
        <w:rPr>
          <w:szCs w:val="21"/>
        </w:rPr>
        <w:t>接轨。</w:t>
      </w:r>
    </w:p>
    <w:p w:rsidR="001B4509" w:rsidRDefault="006A64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三、标准主要内容的确定依据</w:t>
      </w:r>
    </w:p>
    <w:p w:rsidR="001B4509" w:rsidRDefault="006A649C" w:rsidP="00275CA1">
      <w:pPr>
        <w:rPr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>3.1银含量范围确定及使用检测手段确定</w:t>
      </w:r>
    </w:p>
    <w:p w:rsidR="002F4C4A" w:rsidRPr="002F4C4A" w:rsidRDefault="00743C9C" w:rsidP="002F4C4A">
      <w:pPr>
        <w:ind w:firstLineChars="200" w:firstLine="420"/>
        <w:rPr>
          <w:szCs w:val="21"/>
        </w:rPr>
      </w:pPr>
      <w:r w:rsidRPr="002F4C4A">
        <w:rPr>
          <w:rFonts w:hint="eastAsia"/>
          <w:szCs w:val="21"/>
        </w:rPr>
        <w:t>广泛调研国内</w:t>
      </w:r>
      <w:proofErr w:type="gramStart"/>
      <w:r w:rsidRPr="002F4C4A">
        <w:rPr>
          <w:rFonts w:hint="eastAsia"/>
          <w:szCs w:val="21"/>
        </w:rPr>
        <w:t>镍生产</w:t>
      </w:r>
      <w:proofErr w:type="gramEnd"/>
      <w:r w:rsidRPr="002F4C4A">
        <w:rPr>
          <w:rFonts w:hint="eastAsia"/>
          <w:szCs w:val="21"/>
        </w:rPr>
        <w:t>企业的自产镍精矿和国内外贸易镍精矿中银品位情况，结合实验室对镍精矿中银含量的检测结果，</w:t>
      </w:r>
      <w:r w:rsidRPr="002F4C4A">
        <w:rPr>
          <w:szCs w:val="21"/>
        </w:rPr>
        <w:t>确定</w:t>
      </w:r>
      <w:r w:rsidRPr="002F4C4A">
        <w:rPr>
          <w:rFonts w:hint="eastAsia"/>
          <w:szCs w:val="21"/>
        </w:rPr>
        <w:t>起草方法的</w:t>
      </w:r>
      <w:r w:rsidRPr="002F4C4A">
        <w:rPr>
          <w:szCs w:val="21"/>
        </w:rPr>
        <w:t>上限</w:t>
      </w:r>
      <w:r w:rsidRPr="002F4C4A">
        <w:rPr>
          <w:rFonts w:hint="eastAsia"/>
          <w:szCs w:val="21"/>
        </w:rPr>
        <w:t>为</w:t>
      </w:r>
      <w:r w:rsidRPr="002F4C4A">
        <w:rPr>
          <w:rFonts w:hint="eastAsia"/>
          <w:szCs w:val="21"/>
        </w:rPr>
        <w:t>150 g/t</w:t>
      </w:r>
      <w:r w:rsidRPr="002F4C4A">
        <w:rPr>
          <w:rFonts w:hint="eastAsia"/>
          <w:szCs w:val="21"/>
        </w:rPr>
        <w:t>，</w:t>
      </w:r>
      <w:r w:rsidRPr="002F4C4A">
        <w:rPr>
          <w:szCs w:val="21"/>
        </w:rPr>
        <w:t>以贸易结算的最低含量</w:t>
      </w:r>
      <w:r w:rsidRPr="002F4C4A">
        <w:rPr>
          <w:rFonts w:hint="eastAsia"/>
          <w:szCs w:val="21"/>
        </w:rPr>
        <w:t xml:space="preserve">20 </w:t>
      </w:r>
      <w:r w:rsidRPr="002F4C4A">
        <w:rPr>
          <w:szCs w:val="21"/>
        </w:rPr>
        <w:t>g/t</w:t>
      </w:r>
      <w:r w:rsidRPr="002F4C4A">
        <w:rPr>
          <w:rFonts w:hint="eastAsia"/>
          <w:szCs w:val="21"/>
        </w:rPr>
        <w:t>的一半，即</w:t>
      </w:r>
      <w:r w:rsidRPr="002F4C4A">
        <w:rPr>
          <w:rFonts w:hint="eastAsia"/>
          <w:szCs w:val="21"/>
        </w:rPr>
        <w:t>10 g/t</w:t>
      </w:r>
      <w:r w:rsidRPr="002F4C4A">
        <w:rPr>
          <w:szCs w:val="21"/>
        </w:rPr>
        <w:t>为测定下限</w:t>
      </w:r>
      <w:r w:rsidRPr="002F4C4A">
        <w:rPr>
          <w:rFonts w:hint="eastAsia"/>
          <w:szCs w:val="21"/>
        </w:rPr>
        <w:t>。</w:t>
      </w:r>
      <w:r w:rsidR="002F4C4A" w:rsidRPr="002F4C4A">
        <w:rPr>
          <w:rFonts w:hint="eastAsia"/>
          <w:szCs w:val="21"/>
        </w:rPr>
        <w:t>由于火焰原子吸收光谱法分析技术成熟，具有分析速度快、检出限低、稳定性好的特点，仪器分析成本低、普及程度高，选择采用火焰原子吸收光谱法测定镍精矿中银的含量。</w:t>
      </w:r>
    </w:p>
    <w:p w:rsidR="001B4509" w:rsidRDefault="006A649C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3.2溶样方式的确定</w:t>
      </w:r>
    </w:p>
    <w:p w:rsidR="001B4509" w:rsidRDefault="006A649C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对比了两种不同的溶样方式，测定结果基本一致，考虑到耗时及成本，从而选择了较优的溶样方式</w:t>
      </w:r>
      <w:r w:rsidR="003722DE">
        <w:rPr>
          <w:rFonts w:hint="eastAsia"/>
          <w:color w:val="000000"/>
          <w:szCs w:val="21"/>
        </w:rPr>
        <w:t>。</w:t>
      </w:r>
      <w:r w:rsidR="003722DE">
        <w:rPr>
          <w:color w:val="000000"/>
          <w:szCs w:val="21"/>
        </w:rPr>
        <w:t xml:space="preserve"> </w:t>
      </w:r>
    </w:p>
    <w:p w:rsidR="001B4509" w:rsidRDefault="006A649C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3.3原子吸收光谱仪工作条件的确定</w:t>
      </w:r>
    </w:p>
    <w:p w:rsidR="001B4509" w:rsidRDefault="00520DF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="006A649C">
        <w:rPr>
          <w:rFonts w:hint="eastAsia"/>
          <w:color w:val="000000"/>
          <w:szCs w:val="21"/>
        </w:rPr>
        <w:t>根据原子吸收光谱仪的工作原理，从灯电流、乙炔流量、单色器通带、燃烧器高度四个方面进行了考察，确定了最佳工作条件，确定了工作曲线、特征浓度、最小稳定性、检出限。</w:t>
      </w:r>
    </w:p>
    <w:p w:rsidR="001B4509" w:rsidRDefault="006A649C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3.4确定了待测溶液的介质</w:t>
      </w:r>
    </w:p>
    <w:p w:rsidR="001B4509" w:rsidRDefault="006A649C" w:rsidP="002F4C4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选择了不同浓度的盐酸介质</w:t>
      </w:r>
      <w:r w:rsidR="002F4C4A">
        <w:rPr>
          <w:rFonts w:hint="eastAsia"/>
          <w:color w:val="000000"/>
          <w:szCs w:val="21"/>
        </w:rPr>
        <w:t>考察</w:t>
      </w:r>
      <w:r>
        <w:rPr>
          <w:rFonts w:hint="eastAsia"/>
          <w:color w:val="000000"/>
          <w:szCs w:val="21"/>
        </w:rPr>
        <w:t>测定结果，确定了待测溶液的介质浓度</w:t>
      </w:r>
      <w:r w:rsidR="002F4C4A">
        <w:rPr>
          <w:rFonts w:hint="eastAsia"/>
          <w:color w:val="000000"/>
          <w:szCs w:val="21"/>
        </w:rPr>
        <w:t>为</w:t>
      </w:r>
      <w:r w:rsidR="002F4C4A">
        <w:rPr>
          <w:rFonts w:hint="eastAsia"/>
          <w:color w:val="000000"/>
          <w:szCs w:val="21"/>
        </w:rPr>
        <w:t>10%</w:t>
      </w:r>
      <w:r w:rsidR="002F4C4A">
        <w:rPr>
          <w:rFonts w:hint="eastAsia"/>
          <w:color w:val="000000"/>
          <w:szCs w:val="21"/>
        </w:rPr>
        <w:t>。</w:t>
      </w:r>
    </w:p>
    <w:p w:rsidR="001B4509" w:rsidRDefault="006A649C" w:rsidP="00C047EF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3.5干扰及消除</w:t>
      </w:r>
    </w:p>
    <w:p w:rsidR="001B4509" w:rsidRDefault="006A649C" w:rsidP="00275CA1">
      <w:pPr>
        <w:ind w:firstLineChars="200" w:firstLine="420"/>
        <w:rPr>
          <w:color w:val="FF0000"/>
          <w:szCs w:val="21"/>
        </w:rPr>
      </w:pPr>
      <w:r>
        <w:rPr>
          <w:rFonts w:hint="eastAsia"/>
          <w:szCs w:val="21"/>
        </w:rPr>
        <w:t>根据</w:t>
      </w:r>
      <w:r w:rsidR="002F4C4A">
        <w:rPr>
          <w:rFonts w:hint="eastAsia"/>
          <w:szCs w:val="21"/>
        </w:rPr>
        <w:t>收集到的国内外不同品位镍精矿中各共存元素含量范围，</w:t>
      </w:r>
      <w:r w:rsidR="0093330E">
        <w:rPr>
          <w:rFonts w:hint="eastAsia"/>
          <w:szCs w:val="21"/>
        </w:rPr>
        <w:t>镍精矿</w:t>
      </w:r>
      <w:r>
        <w:rPr>
          <w:rFonts w:hint="eastAsia"/>
          <w:szCs w:val="21"/>
        </w:rPr>
        <w:t>中各元素的含量范围为：</w:t>
      </w:r>
      <w:r w:rsidR="00101CCB">
        <w:rPr>
          <w:rFonts w:hint="eastAsia"/>
        </w:rPr>
        <w:t xml:space="preserve">Ni </w:t>
      </w:r>
      <w:r w:rsidR="00101CCB">
        <w:rPr>
          <w:rFonts w:hint="eastAsia"/>
        </w:rPr>
        <w:lastRenderedPageBreak/>
        <w:t>5</w:t>
      </w:r>
      <w:r w:rsidR="00101CCB">
        <w:rPr>
          <w:rFonts w:ascii="宋体" w:hAnsi="宋体" w:hint="eastAsia"/>
        </w:rPr>
        <w:t>～</w:t>
      </w:r>
      <w:r w:rsidR="00101CCB" w:rsidRPr="00341E73">
        <w:rPr>
          <w:rFonts w:hint="eastAsia"/>
        </w:rPr>
        <w:t>2</w:t>
      </w:r>
      <w:r w:rsidR="00101CCB">
        <w:rPr>
          <w:rFonts w:hint="eastAsia"/>
        </w:rPr>
        <w:t>0</w:t>
      </w:r>
      <w:r w:rsidR="00101CCB">
        <w:t>%</w:t>
      </w:r>
      <w:r w:rsidR="00101CCB">
        <w:rPr>
          <w:rFonts w:hint="eastAsia"/>
        </w:rPr>
        <w:t>，</w:t>
      </w:r>
      <w:r w:rsidR="00101CCB" w:rsidRPr="002263D2">
        <w:t>C</w:t>
      </w:r>
      <w:r w:rsidR="00101CCB" w:rsidRPr="002263D2">
        <w:rPr>
          <w:rFonts w:hint="eastAsia"/>
        </w:rPr>
        <w:t>u</w:t>
      </w:r>
      <w:r w:rsidR="00101CCB">
        <w:rPr>
          <w:rFonts w:hint="eastAsia"/>
        </w:rPr>
        <w:t xml:space="preserve"> 5%</w:t>
      </w:r>
      <w:r w:rsidR="00101CCB">
        <w:rPr>
          <w:rFonts w:ascii="宋体" w:hAnsi="宋体" w:hint="eastAsia"/>
        </w:rPr>
        <w:t>～</w:t>
      </w:r>
      <w:r w:rsidR="00101CCB">
        <w:rPr>
          <w:rFonts w:hint="eastAsia"/>
        </w:rPr>
        <w:t>8%</w:t>
      </w:r>
      <w:r w:rsidR="00101CCB">
        <w:rPr>
          <w:rFonts w:hint="eastAsia"/>
        </w:rPr>
        <w:t>，</w:t>
      </w:r>
      <w:r w:rsidR="00101CCB">
        <w:rPr>
          <w:rFonts w:hint="eastAsia"/>
        </w:rPr>
        <w:t>Fe 5%</w:t>
      </w:r>
      <w:r w:rsidR="00101CCB">
        <w:rPr>
          <w:rFonts w:ascii="宋体" w:hAnsi="宋体" w:hint="eastAsia"/>
        </w:rPr>
        <w:t>～</w:t>
      </w:r>
      <w:r w:rsidR="00101CCB">
        <w:rPr>
          <w:rFonts w:hint="eastAsia"/>
        </w:rPr>
        <w:t>40</w:t>
      </w:r>
      <w:r w:rsidR="00101CCB">
        <w:t>%</w:t>
      </w:r>
      <w:r w:rsidR="00101CCB">
        <w:rPr>
          <w:rFonts w:hint="eastAsia"/>
        </w:rPr>
        <w:t>，</w:t>
      </w:r>
      <w:r w:rsidR="00101CCB" w:rsidRPr="002263D2">
        <w:rPr>
          <w:rFonts w:hint="eastAsia"/>
        </w:rPr>
        <w:t>C</w:t>
      </w:r>
      <w:r w:rsidR="00101CCB">
        <w:rPr>
          <w:rFonts w:hint="eastAsia"/>
        </w:rPr>
        <w:t>a</w:t>
      </w:r>
      <w:r w:rsidR="00101CCB">
        <w:rPr>
          <w:rFonts w:ascii="宋体" w:hAnsi="宋体" w:hint="eastAsia"/>
        </w:rPr>
        <w:t>≤</w:t>
      </w:r>
      <w:r w:rsidR="00101CCB">
        <w:rPr>
          <w:rFonts w:hint="eastAsia"/>
        </w:rPr>
        <w:t>5%</w:t>
      </w:r>
      <w:r w:rsidR="00101CCB">
        <w:rPr>
          <w:rFonts w:hint="eastAsia"/>
        </w:rPr>
        <w:t>、</w:t>
      </w:r>
      <w:r w:rsidR="00101CCB">
        <w:rPr>
          <w:rFonts w:hint="eastAsia"/>
        </w:rPr>
        <w:t>Mg</w:t>
      </w:r>
      <w:r w:rsidR="00101CCB">
        <w:rPr>
          <w:rFonts w:ascii="宋体" w:hAnsi="宋体" w:hint="eastAsia"/>
        </w:rPr>
        <w:t>≤</w:t>
      </w:r>
      <w:r w:rsidR="00101CCB">
        <w:rPr>
          <w:rFonts w:hint="eastAsia"/>
        </w:rPr>
        <w:t>15%</w:t>
      </w:r>
      <w:r w:rsidR="00101CCB">
        <w:rPr>
          <w:rFonts w:hint="eastAsia"/>
        </w:rPr>
        <w:t>，</w:t>
      </w:r>
      <w:r w:rsidR="00101CCB">
        <w:rPr>
          <w:rFonts w:hint="eastAsia"/>
        </w:rPr>
        <w:t>Al 5%</w:t>
      </w:r>
      <w:r w:rsidR="00101CCB">
        <w:rPr>
          <w:rFonts w:hint="eastAsia"/>
        </w:rPr>
        <w:t>、</w:t>
      </w:r>
      <w:r w:rsidR="00101CCB">
        <w:rPr>
          <w:rFonts w:hint="eastAsia"/>
        </w:rPr>
        <w:t>Co</w:t>
      </w:r>
      <w:r w:rsidR="00101CCB">
        <w:rPr>
          <w:rFonts w:ascii="宋体" w:hAnsi="宋体" w:hint="eastAsia"/>
        </w:rPr>
        <w:t>≤0.</w:t>
      </w:r>
      <w:r w:rsidR="00101CCB">
        <w:rPr>
          <w:rFonts w:hint="eastAsia"/>
        </w:rPr>
        <w:t>5%</w:t>
      </w:r>
      <w:r w:rsidR="00101CCB">
        <w:rPr>
          <w:rFonts w:hint="eastAsia"/>
        </w:rPr>
        <w:t>、</w:t>
      </w:r>
      <w:proofErr w:type="spellStart"/>
      <w:r w:rsidR="00101CCB" w:rsidRPr="002263D2">
        <w:t>Pb</w:t>
      </w:r>
      <w:proofErr w:type="spellEnd"/>
      <w:r w:rsidR="00101CCB">
        <w:rPr>
          <w:rFonts w:ascii="宋体" w:hAnsi="宋体" w:hint="eastAsia"/>
        </w:rPr>
        <w:t>≤</w:t>
      </w:r>
      <w:r w:rsidR="00101CCB">
        <w:rPr>
          <w:rFonts w:hint="eastAsia"/>
        </w:rPr>
        <w:t>5%</w:t>
      </w:r>
      <w:r w:rsidR="00101CCB">
        <w:rPr>
          <w:rFonts w:hint="eastAsia"/>
        </w:rPr>
        <w:t>、</w:t>
      </w:r>
      <w:r w:rsidR="00101CCB">
        <w:rPr>
          <w:rFonts w:hint="eastAsia"/>
        </w:rPr>
        <w:t>Zn</w:t>
      </w:r>
      <w:r w:rsidR="00101CCB">
        <w:rPr>
          <w:rFonts w:ascii="宋体" w:hAnsi="宋体" w:hint="eastAsia"/>
        </w:rPr>
        <w:t>≤</w:t>
      </w:r>
      <w:r w:rsidR="00101CCB">
        <w:rPr>
          <w:rFonts w:hint="eastAsia"/>
        </w:rPr>
        <w:t>2%</w:t>
      </w:r>
      <w:r w:rsidR="00101CCB">
        <w:rPr>
          <w:rFonts w:hint="eastAsia"/>
        </w:rPr>
        <w:t>、</w:t>
      </w:r>
      <w:r w:rsidR="00101CCB">
        <w:rPr>
          <w:rFonts w:hint="eastAsia"/>
        </w:rPr>
        <w:t>As</w:t>
      </w:r>
      <w:r w:rsidR="00101CCB">
        <w:rPr>
          <w:rFonts w:ascii="宋体" w:hAnsi="宋体" w:hint="eastAsia"/>
        </w:rPr>
        <w:t>≤</w:t>
      </w:r>
      <w:r w:rsidR="00101CCB">
        <w:rPr>
          <w:rFonts w:hint="eastAsia"/>
        </w:rPr>
        <w:t>1%</w:t>
      </w:r>
      <w:r w:rsidR="00101CCB">
        <w:rPr>
          <w:rFonts w:hint="eastAsia"/>
        </w:rPr>
        <w:t>、</w:t>
      </w:r>
      <w:proofErr w:type="spellStart"/>
      <w:r w:rsidR="00101CCB">
        <w:rPr>
          <w:rFonts w:hint="eastAsia"/>
        </w:rPr>
        <w:t>Cd</w:t>
      </w:r>
      <w:proofErr w:type="spellEnd"/>
      <w:r w:rsidR="00101CCB">
        <w:rPr>
          <w:rFonts w:ascii="宋体" w:hAnsi="宋体" w:hint="eastAsia"/>
        </w:rPr>
        <w:t>≤</w:t>
      </w:r>
      <w:r w:rsidR="00101CCB">
        <w:rPr>
          <w:rFonts w:hint="eastAsia"/>
        </w:rPr>
        <w:t>1%</w:t>
      </w:r>
      <w:r w:rsidR="00101CCB">
        <w:rPr>
          <w:rFonts w:hint="eastAsia"/>
        </w:rPr>
        <w:t>、</w:t>
      </w:r>
      <w:r w:rsidR="00101CCB">
        <w:rPr>
          <w:rFonts w:hint="eastAsia"/>
        </w:rPr>
        <w:t>Cr</w:t>
      </w:r>
      <w:r w:rsidR="00101CCB">
        <w:rPr>
          <w:rFonts w:ascii="宋体" w:hAnsi="宋体" w:hint="eastAsia"/>
        </w:rPr>
        <w:t>≤</w:t>
      </w:r>
      <w:r w:rsidR="00101CCB">
        <w:rPr>
          <w:rFonts w:hint="eastAsia"/>
        </w:rPr>
        <w:t>2%</w:t>
      </w:r>
      <w:r w:rsidR="00101CCB">
        <w:rPr>
          <w:rFonts w:hint="eastAsia"/>
        </w:rPr>
        <w:t>左右。</w:t>
      </w:r>
      <w:r w:rsidR="002F4C4A" w:rsidRPr="00101CCB">
        <w:rPr>
          <w:rFonts w:hint="eastAsia"/>
          <w:szCs w:val="21"/>
        </w:rPr>
        <w:t>通过</w:t>
      </w:r>
      <w:r>
        <w:rPr>
          <w:rFonts w:hint="eastAsia"/>
          <w:szCs w:val="21"/>
        </w:rPr>
        <w:t>考察各干扰元素对银含量测定</w:t>
      </w:r>
      <w:r w:rsidR="002F4C4A">
        <w:rPr>
          <w:rFonts w:hint="eastAsia"/>
          <w:szCs w:val="21"/>
        </w:rPr>
        <w:t>结果</w:t>
      </w:r>
      <w:r>
        <w:rPr>
          <w:rFonts w:hint="eastAsia"/>
          <w:szCs w:val="21"/>
        </w:rPr>
        <w:t>的影响，</w:t>
      </w:r>
      <w:r w:rsidR="002F4C4A">
        <w:rPr>
          <w:rFonts w:hint="eastAsia"/>
          <w:szCs w:val="21"/>
        </w:rPr>
        <w:t>共存元素不干扰银的测定</w:t>
      </w:r>
      <w:r w:rsidRPr="00101CCB">
        <w:rPr>
          <w:rFonts w:hint="eastAsia"/>
          <w:szCs w:val="21"/>
        </w:rPr>
        <w:t>。</w:t>
      </w:r>
    </w:p>
    <w:p w:rsidR="002F4C4A" w:rsidRPr="002F4C4A" w:rsidRDefault="002F4C4A" w:rsidP="00275CA1">
      <w:pPr>
        <w:rPr>
          <w:rFonts w:ascii="黑体" w:eastAsia="黑体" w:hAnsi="黑体"/>
          <w:szCs w:val="21"/>
        </w:rPr>
      </w:pPr>
      <w:r w:rsidRPr="002F4C4A">
        <w:rPr>
          <w:rFonts w:ascii="黑体" w:eastAsia="黑体" w:hAnsi="黑体" w:hint="eastAsia"/>
          <w:szCs w:val="21"/>
        </w:rPr>
        <w:t>3.6 样品分析准确度试验</w:t>
      </w:r>
    </w:p>
    <w:p w:rsidR="004A6AA2" w:rsidRDefault="002F4C4A" w:rsidP="00275CA1">
      <w:pPr>
        <w:ind w:firstLineChars="200" w:firstLine="420"/>
        <w:rPr>
          <w:color w:val="000000"/>
          <w:szCs w:val="21"/>
        </w:rPr>
      </w:pPr>
      <w:r w:rsidRPr="002F4C4A">
        <w:rPr>
          <w:rFonts w:hint="eastAsia"/>
          <w:color w:val="000000"/>
          <w:szCs w:val="21"/>
        </w:rPr>
        <w:t>对</w:t>
      </w:r>
      <w:r w:rsidRPr="002F4C4A">
        <w:rPr>
          <w:rFonts w:hint="eastAsia"/>
          <w:color w:val="000000"/>
          <w:szCs w:val="21"/>
        </w:rPr>
        <w:t>5</w:t>
      </w:r>
      <w:r w:rsidRPr="002F4C4A">
        <w:rPr>
          <w:rFonts w:hint="eastAsia"/>
          <w:color w:val="000000"/>
          <w:szCs w:val="21"/>
        </w:rPr>
        <w:t>个不同产地、不同品位的镍精矿</w:t>
      </w:r>
      <w:r w:rsidRPr="002F4C4A">
        <w:rPr>
          <w:color w:val="000000"/>
          <w:szCs w:val="21"/>
        </w:rPr>
        <w:t>样品进行了</w:t>
      </w:r>
      <w:r w:rsidRPr="002F4C4A">
        <w:rPr>
          <w:rFonts w:hint="eastAsia"/>
          <w:color w:val="000000"/>
          <w:szCs w:val="21"/>
        </w:rPr>
        <w:t>银含量的</w:t>
      </w:r>
      <w:r w:rsidRPr="002F4C4A">
        <w:rPr>
          <w:color w:val="000000"/>
          <w:szCs w:val="21"/>
        </w:rPr>
        <w:t>精密度实验、加标回收实验，</w:t>
      </w:r>
      <w:r w:rsidRPr="00101CCB">
        <w:rPr>
          <w:szCs w:val="21"/>
        </w:rPr>
        <w:t>方法的加标</w:t>
      </w:r>
      <w:r w:rsidR="00101CCB">
        <w:rPr>
          <w:rFonts w:hint="eastAsia"/>
        </w:rPr>
        <w:t>回收率在</w:t>
      </w:r>
      <w:r w:rsidR="00101CCB">
        <w:rPr>
          <w:rFonts w:hint="eastAsia"/>
        </w:rPr>
        <w:t>95.0%</w:t>
      </w:r>
      <w:r w:rsidR="00101CCB">
        <w:rPr>
          <w:rFonts w:ascii="宋体" w:hAnsi="宋体" w:hint="eastAsia"/>
        </w:rPr>
        <w:t>～</w:t>
      </w:r>
      <w:r w:rsidR="00101CCB">
        <w:rPr>
          <w:rFonts w:hint="eastAsia"/>
        </w:rPr>
        <w:t>104.0%</w:t>
      </w:r>
      <w:r w:rsidR="00101CCB">
        <w:rPr>
          <w:rFonts w:hint="eastAsia"/>
        </w:rPr>
        <w:t>之间，</w:t>
      </w:r>
      <w:r w:rsidR="00101CCB">
        <w:rPr>
          <w:rFonts w:hint="eastAsia"/>
        </w:rPr>
        <w:t>RSD</w:t>
      </w:r>
      <w:r w:rsidR="00101CCB" w:rsidRPr="00AD748A">
        <w:t>在</w:t>
      </w:r>
      <w:r w:rsidR="00101CCB">
        <w:rPr>
          <w:rFonts w:hint="eastAsia"/>
        </w:rPr>
        <w:t>0.94</w:t>
      </w:r>
      <w:r w:rsidR="00101CCB" w:rsidRPr="00AC4352">
        <w:rPr>
          <w:rFonts w:hint="eastAsia"/>
        </w:rPr>
        <w:t>%</w:t>
      </w:r>
      <w:r w:rsidR="00101CCB" w:rsidRPr="00AC4352">
        <w:t>~</w:t>
      </w:r>
      <w:r w:rsidR="00101CCB">
        <w:rPr>
          <w:rFonts w:hint="eastAsia"/>
        </w:rPr>
        <w:t>3.44</w:t>
      </w:r>
      <w:r w:rsidR="00101CCB" w:rsidRPr="00AC4352">
        <w:rPr>
          <w:rFonts w:hint="eastAsia"/>
        </w:rPr>
        <w:t>%</w:t>
      </w:r>
      <w:r w:rsidR="00101CCB" w:rsidRPr="00AD748A">
        <w:t>之间，</w:t>
      </w:r>
      <w:r w:rsidRPr="002F4C4A">
        <w:rPr>
          <w:color w:val="000000"/>
          <w:szCs w:val="21"/>
        </w:rPr>
        <w:t>精密度、准确度</w:t>
      </w:r>
      <w:r w:rsidR="005A4940">
        <w:rPr>
          <w:rFonts w:hint="eastAsia"/>
          <w:color w:val="000000"/>
          <w:szCs w:val="21"/>
        </w:rPr>
        <w:t>的</w:t>
      </w:r>
      <w:r w:rsidR="005A4940" w:rsidRPr="002F4C4A">
        <w:rPr>
          <w:color w:val="000000"/>
          <w:szCs w:val="21"/>
        </w:rPr>
        <w:t>结果</w:t>
      </w:r>
      <w:r w:rsidR="005A4940">
        <w:rPr>
          <w:rFonts w:hint="eastAsia"/>
          <w:color w:val="000000"/>
          <w:szCs w:val="21"/>
        </w:rPr>
        <w:t>好</w:t>
      </w:r>
      <w:r w:rsidRPr="002F4C4A">
        <w:rPr>
          <w:rFonts w:hint="eastAsia"/>
          <w:color w:val="000000"/>
          <w:szCs w:val="21"/>
        </w:rPr>
        <w:t>。</w:t>
      </w:r>
      <w:r w:rsidR="003722DE">
        <w:rPr>
          <w:rFonts w:hint="eastAsia"/>
          <w:color w:val="000000"/>
          <w:szCs w:val="21"/>
        </w:rPr>
        <w:t>参与起草工作的验证单位也得出了相同的结论。</w:t>
      </w:r>
      <w:r w:rsidR="004A6AA2">
        <w:rPr>
          <w:rFonts w:hint="eastAsia"/>
          <w:color w:val="000000"/>
          <w:szCs w:val="21"/>
        </w:rPr>
        <w:t>一验单位的</w:t>
      </w:r>
      <w:r w:rsidR="00EB633B" w:rsidRPr="002F4C4A">
        <w:rPr>
          <w:color w:val="000000"/>
          <w:szCs w:val="21"/>
        </w:rPr>
        <w:t>加标回收</w:t>
      </w:r>
      <w:r w:rsidR="00EB633B">
        <w:rPr>
          <w:rFonts w:hint="eastAsia"/>
          <w:color w:val="000000"/>
          <w:szCs w:val="21"/>
        </w:rPr>
        <w:t>和</w:t>
      </w:r>
      <w:r w:rsidR="00EB633B" w:rsidRPr="002F4C4A">
        <w:rPr>
          <w:color w:val="000000"/>
          <w:szCs w:val="21"/>
        </w:rPr>
        <w:t>精密度实验</w:t>
      </w:r>
      <w:r w:rsidR="00EB633B">
        <w:rPr>
          <w:rFonts w:hint="eastAsia"/>
          <w:color w:val="000000"/>
          <w:szCs w:val="21"/>
        </w:rPr>
        <w:t>结果</w:t>
      </w:r>
      <w:r w:rsidR="004A6AA2">
        <w:rPr>
          <w:rFonts w:hint="eastAsia"/>
          <w:color w:val="000000"/>
          <w:szCs w:val="21"/>
        </w:rPr>
        <w:t>分别为：</w:t>
      </w:r>
      <w:r w:rsidR="00EB633B" w:rsidRPr="00EB633B">
        <w:rPr>
          <w:rFonts w:hint="eastAsia"/>
          <w:color w:val="000000"/>
          <w:szCs w:val="21"/>
        </w:rPr>
        <w:t>广东省工业分析检测中心</w:t>
      </w:r>
      <w:r w:rsidR="00EB633B">
        <w:rPr>
          <w:rFonts w:hint="eastAsia"/>
          <w:color w:val="000000"/>
          <w:szCs w:val="21"/>
        </w:rPr>
        <w:t>的加标回收率在</w:t>
      </w:r>
      <w:r w:rsidR="00EB633B" w:rsidRPr="00EB633B">
        <w:rPr>
          <w:rFonts w:hint="eastAsia"/>
          <w:color w:val="000000"/>
          <w:szCs w:val="21"/>
        </w:rPr>
        <w:t>96.1</w:t>
      </w:r>
      <w:r w:rsidR="00EB633B">
        <w:rPr>
          <w:rFonts w:hint="eastAsia"/>
          <w:color w:val="000000"/>
          <w:szCs w:val="21"/>
        </w:rPr>
        <w:t>%</w:t>
      </w:r>
      <w:r w:rsidR="00EB633B" w:rsidRPr="00EB633B">
        <w:rPr>
          <w:rFonts w:hint="eastAsia"/>
          <w:color w:val="000000"/>
          <w:szCs w:val="21"/>
        </w:rPr>
        <w:t>～</w:t>
      </w:r>
      <w:r w:rsidR="00EB633B" w:rsidRPr="00EB633B">
        <w:rPr>
          <w:rFonts w:hint="eastAsia"/>
          <w:color w:val="000000"/>
          <w:szCs w:val="21"/>
        </w:rPr>
        <w:t>103.7</w:t>
      </w:r>
      <w:r w:rsidR="00EB633B">
        <w:rPr>
          <w:rFonts w:hint="eastAsia"/>
          <w:color w:val="000000"/>
          <w:szCs w:val="21"/>
        </w:rPr>
        <w:t>%</w:t>
      </w:r>
      <w:r w:rsidR="00EB633B">
        <w:rPr>
          <w:rFonts w:hint="eastAsia"/>
          <w:color w:val="000000"/>
          <w:szCs w:val="21"/>
        </w:rPr>
        <w:t>之间</w:t>
      </w:r>
      <w:r w:rsidR="00A82648">
        <w:rPr>
          <w:rFonts w:hint="eastAsia"/>
          <w:color w:val="000000"/>
          <w:szCs w:val="21"/>
        </w:rPr>
        <w:t>、</w:t>
      </w:r>
      <w:r w:rsidR="00EB633B">
        <w:rPr>
          <w:rFonts w:hint="eastAsia"/>
          <w:color w:val="000000"/>
          <w:szCs w:val="21"/>
        </w:rPr>
        <w:t>RSD</w:t>
      </w:r>
      <w:r w:rsidR="00EB633B">
        <w:rPr>
          <w:rFonts w:hint="eastAsia"/>
          <w:color w:val="000000"/>
          <w:szCs w:val="21"/>
        </w:rPr>
        <w:t>为</w:t>
      </w:r>
      <w:r w:rsidR="00EB633B" w:rsidRPr="00EB633B">
        <w:rPr>
          <w:rFonts w:hint="eastAsia"/>
          <w:color w:val="000000"/>
          <w:szCs w:val="21"/>
        </w:rPr>
        <w:t>0.77</w:t>
      </w:r>
      <w:r w:rsidR="00EB633B">
        <w:rPr>
          <w:rFonts w:hint="eastAsia"/>
          <w:color w:val="000000"/>
          <w:szCs w:val="21"/>
        </w:rPr>
        <w:t>%</w:t>
      </w:r>
      <w:r w:rsidR="00EB633B" w:rsidRPr="00EB633B">
        <w:rPr>
          <w:rFonts w:hint="eastAsia"/>
          <w:color w:val="000000"/>
          <w:szCs w:val="21"/>
        </w:rPr>
        <w:t>～</w:t>
      </w:r>
      <w:r w:rsidR="00EB633B" w:rsidRPr="00EB633B">
        <w:rPr>
          <w:rFonts w:hint="eastAsia"/>
          <w:color w:val="000000"/>
          <w:szCs w:val="21"/>
        </w:rPr>
        <w:t>2.36</w:t>
      </w:r>
      <w:r w:rsidR="00EB633B">
        <w:rPr>
          <w:rFonts w:hint="eastAsia"/>
          <w:color w:val="000000"/>
          <w:szCs w:val="21"/>
        </w:rPr>
        <w:t>%</w:t>
      </w:r>
      <w:r w:rsidR="00EB633B">
        <w:rPr>
          <w:rFonts w:hint="eastAsia"/>
          <w:color w:val="000000"/>
          <w:szCs w:val="21"/>
        </w:rPr>
        <w:t>，</w:t>
      </w:r>
      <w:r w:rsidR="00EB633B" w:rsidRPr="00EB633B">
        <w:rPr>
          <w:rFonts w:hint="eastAsia"/>
          <w:color w:val="000000"/>
          <w:szCs w:val="21"/>
        </w:rPr>
        <w:t>北矿检测技术有限公司</w:t>
      </w:r>
      <w:r w:rsidR="00EB633B">
        <w:rPr>
          <w:rFonts w:hint="eastAsia"/>
          <w:color w:val="000000"/>
          <w:szCs w:val="21"/>
        </w:rPr>
        <w:t>的加标回收率</w:t>
      </w:r>
      <w:r w:rsidR="00A82648">
        <w:rPr>
          <w:rFonts w:hint="eastAsia"/>
          <w:color w:val="000000"/>
          <w:szCs w:val="21"/>
        </w:rPr>
        <w:t>在</w:t>
      </w:r>
      <w:r w:rsidR="00292D75" w:rsidRPr="00EB633B">
        <w:rPr>
          <w:rFonts w:hint="eastAsia"/>
          <w:color w:val="000000"/>
          <w:szCs w:val="21"/>
        </w:rPr>
        <w:t>95.1</w:t>
      </w:r>
      <w:r w:rsidR="00292D75">
        <w:rPr>
          <w:rFonts w:hint="eastAsia"/>
          <w:color w:val="000000"/>
          <w:szCs w:val="21"/>
        </w:rPr>
        <w:t>%</w:t>
      </w:r>
      <w:r w:rsidR="00292D75" w:rsidRPr="00EB633B">
        <w:rPr>
          <w:rFonts w:hint="eastAsia"/>
          <w:color w:val="000000"/>
          <w:szCs w:val="21"/>
        </w:rPr>
        <w:t>～</w:t>
      </w:r>
      <w:r w:rsidR="00292D75" w:rsidRPr="00EB633B">
        <w:rPr>
          <w:rFonts w:hint="eastAsia"/>
          <w:color w:val="000000"/>
          <w:szCs w:val="21"/>
        </w:rPr>
        <w:t>103.3</w:t>
      </w:r>
      <w:r w:rsidR="00292D75">
        <w:rPr>
          <w:rFonts w:hint="eastAsia"/>
          <w:color w:val="000000"/>
          <w:szCs w:val="21"/>
        </w:rPr>
        <w:t>%</w:t>
      </w:r>
      <w:r w:rsidR="00A82648">
        <w:rPr>
          <w:rFonts w:hint="eastAsia"/>
          <w:color w:val="000000"/>
          <w:szCs w:val="21"/>
        </w:rPr>
        <w:t>之间、</w:t>
      </w:r>
      <w:r w:rsidR="00A82648">
        <w:rPr>
          <w:rFonts w:hint="eastAsia"/>
          <w:color w:val="000000"/>
          <w:szCs w:val="21"/>
        </w:rPr>
        <w:t>RSD</w:t>
      </w:r>
      <w:r w:rsidR="00A82648">
        <w:rPr>
          <w:rFonts w:hint="eastAsia"/>
          <w:color w:val="000000"/>
          <w:szCs w:val="21"/>
        </w:rPr>
        <w:t>为</w:t>
      </w:r>
      <w:r w:rsidR="00292D75" w:rsidRPr="00EB633B">
        <w:rPr>
          <w:rFonts w:hint="eastAsia"/>
          <w:color w:val="000000"/>
          <w:szCs w:val="21"/>
        </w:rPr>
        <w:t>0.53</w:t>
      </w:r>
      <w:r w:rsidR="00292D75">
        <w:rPr>
          <w:rFonts w:hint="eastAsia"/>
          <w:color w:val="000000"/>
          <w:szCs w:val="21"/>
        </w:rPr>
        <w:t>%</w:t>
      </w:r>
      <w:r w:rsidR="00292D75" w:rsidRPr="00EB633B">
        <w:rPr>
          <w:rFonts w:hint="eastAsia"/>
          <w:color w:val="000000"/>
          <w:szCs w:val="21"/>
        </w:rPr>
        <w:t>～</w:t>
      </w:r>
      <w:r w:rsidR="00292D75" w:rsidRPr="00EB633B">
        <w:rPr>
          <w:rFonts w:hint="eastAsia"/>
          <w:color w:val="000000"/>
          <w:szCs w:val="21"/>
        </w:rPr>
        <w:t>1.48</w:t>
      </w:r>
      <w:r w:rsidR="00292D75">
        <w:rPr>
          <w:rFonts w:hint="eastAsia"/>
          <w:color w:val="000000"/>
          <w:szCs w:val="21"/>
        </w:rPr>
        <w:t>%</w:t>
      </w:r>
      <w:r w:rsidR="00A82648">
        <w:rPr>
          <w:rFonts w:hint="eastAsia"/>
          <w:color w:val="000000"/>
          <w:szCs w:val="21"/>
        </w:rPr>
        <w:t>，</w:t>
      </w:r>
      <w:r w:rsidR="00EB633B" w:rsidRPr="00EB633B">
        <w:rPr>
          <w:rFonts w:hint="eastAsia"/>
          <w:color w:val="000000"/>
          <w:szCs w:val="21"/>
        </w:rPr>
        <w:t>南通海关综合技术中心</w:t>
      </w:r>
      <w:r w:rsidR="00A82648">
        <w:rPr>
          <w:rFonts w:hint="eastAsia"/>
          <w:color w:val="000000"/>
          <w:szCs w:val="21"/>
        </w:rPr>
        <w:t>的加标回收率在</w:t>
      </w:r>
      <w:r w:rsidR="00292D75" w:rsidRPr="00EB633B">
        <w:rPr>
          <w:rFonts w:hint="eastAsia"/>
          <w:color w:val="000000"/>
          <w:szCs w:val="21"/>
        </w:rPr>
        <w:t>95.1</w:t>
      </w:r>
      <w:r w:rsidR="00292D75">
        <w:rPr>
          <w:rFonts w:hint="eastAsia"/>
          <w:color w:val="000000"/>
          <w:szCs w:val="21"/>
        </w:rPr>
        <w:t>%</w:t>
      </w:r>
      <w:r w:rsidR="00292D75" w:rsidRPr="00EB633B">
        <w:rPr>
          <w:rFonts w:hint="eastAsia"/>
          <w:color w:val="000000"/>
          <w:szCs w:val="21"/>
        </w:rPr>
        <w:t>～</w:t>
      </w:r>
      <w:r w:rsidR="00292D75" w:rsidRPr="00EB633B">
        <w:rPr>
          <w:rFonts w:hint="eastAsia"/>
          <w:color w:val="000000"/>
          <w:szCs w:val="21"/>
        </w:rPr>
        <w:t>101.4</w:t>
      </w:r>
      <w:r w:rsidR="00292D75">
        <w:rPr>
          <w:rFonts w:hint="eastAsia"/>
          <w:color w:val="000000"/>
          <w:szCs w:val="21"/>
        </w:rPr>
        <w:t>%</w:t>
      </w:r>
      <w:r w:rsidR="00A82648">
        <w:rPr>
          <w:rFonts w:hint="eastAsia"/>
          <w:color w:val="000000"/>
          <w:szCs w:val="21"/>
        </w:rPr>
        <w:t>、</w:t>
      </w:r>
      <w:r w:rsidR="00A82648">
        <w:rPr>
          <w:rFonts w:hint="eastAsia"/>
          <w:color w:val="000000"/>
          <w:szCs w:val="21"/>
        </w:rPr>
        <w:t>RSD</w:t>
      </w:r>
      <w:r w:rsidR="00A82648">
        <w:rPr>
          <w:rFonts w:hint="eastAsia"/>
          <w:color w:val="000000"/>
          <w:szCs w:val="21"/>
        </w:rPr>
        <w:t>为</w:t>
      </w:r>
      <w:r w:rsidR="00292D75" w:rsidRPr="00EB633B">
        <w:rPr>
          <w:rFonts w:hint="eastAsia"/>
          <w:color w:val="000000"/>
          <w:szCs w:val="21"/>
        </w:rPr>
        <w:t>0.35</w:t>
      </w:r>
      <w:r w:rsidR="00292D75">
        <w:rPr>
          <w:rFonts w:hint="eastAsia"/>
          <w:color w:val="000000"/>
          <w:szCs w:val="21"/>
        </w:rPr>
        <w:t>%</w:t>
      </w:r>
      <w:r w:rsidR="00292D75" w:rsidRPr="00EB633B">
        <w:rPr>
          <w:rFonts w:hint="eastAsia"/>
          <w:color w:val="000000"/>
          <w:szCs w:val="21"/>
        </w:rPr>
        <w:t>～</w:t>
      </w:r>
      <w:r w:rsidR="00292D75" w:rsidRPr="00EB633B">
        <w:rPr>
          <w:rFonts w:hint="eastAsia"/>
          <w:color w:val="000000"/>
          <w:szCs w:val="21"/>
        </w:rPr>
        <w:t>1.91</w:t>
      </w:r>
      <w:r w:rsidR="00292D75">
        <w:rPr>
          <w:rFonts w:hint="eastAsia"/>
          <w:color w:val="000000"/>
          <w:szCs w:val="21"/>
        </w:rPr>
        <w:t>%</w:t>
      </w:r>
      <w:r w:rsidR="00D15BAC">
        <w:rPr>
          <w:rFonts w:hint="eastAsia"/>
          <w:color w:val="000000"/>
          <w:szCs w:val="21"/>
        </w:rPr>
        <w:t>，</w:t>
      </w:r>
      <w:r w:rsidR="005A4940" w:rsidRPr="002F4C4A">
        <w:rPr>
          <w:color w:val="000000"/>
          <w:szCs w:val="21"/>
        </w:rPr>
        <w:t>精密度、准确度</w:t>
      </w:r>
      <w:r w:rsidR="005A4940">
        <w:rPr>
          <w:rFonts w:hint="eastAsia"/>
          <w:color w:val="000000"/>
          <w:szCs w:val="21"/>
        </w:rPr>
        <w:t>均</w:t>
      </w:r>
      <w:r w:rsidR="005A4940" w:rsidRPr="002F4C4A">
        <w:rPr>
          <w:color w:val="000000"/>
          <w:szCs w:val="21"/>
        </w:rPr>
        <w:t>得到了满意的结果</w:t>
      </w:r>
      <w:r w:rsidR="005A4940" w:rsidRPr="002F4C4A">
        <w:rPr>
          <w:rFonts w:hint="eastAsia"/>
          <w:color w:val="000000"/>
          <w:szCs w:val="21"/>
        </w:rPr>
        <w:t>。</w:t>
      </w:r>
    </w:p>
    <w:p w:rsidR="002F4C4A" w:rsidRPr="002F4C4A" w:rsidRDefault="002F4C4A" w:rsidP="00275CA1">
      <w:pPr>
        <w:ind w:firstLineChars="200" w:firstLine="420"/>
        <w:rPr>
          <w:color w:val="000000"/>
          <w:szCs w:val="21"/>
        </w:rPr>
      </w:pPr>
      <w:r w:rsidRPr="002F4C4A">
        <w:rPr>
          <w:color w:val="000000"/>
          <w:szCs w:val="21"/>
        </w:rPr>
        <w:t>具体实验内容详见实验报告。</w:t>
      </w:r>
    </w:p>
    <w:p w:rsidR="001B4509" w:rsidRDefault="006A649C" w:rsidP="00275CA1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3.</w:t>
      </w:r>
      <w:r w:rsidR="00C047EF">
        <w:rPr>
          <w:rFonts w:ascii="黑体" w:eastAsia="黑体" w:hAnsi="黑体" w:hint="eastAsia"/>
          <w:szCs w:val="21"/>
        </w:rPr>
        <w:t>7</w:t>
      </w:r>
      <w:r w:rsidR="008D461A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重复性及再现性</w:t>
      </w:r>
    </w:p>
    <w:p w:rsidR="004A6AA2" w:rsidRDefault="00523617" w:rsidP="00275CA1">
      <w:pPr>
        <w:ind w:firstLine="435"/>
        <w:rPr>
          <w:color w:val="000000"/>
          <w:szCs w:val="21"/>
        </w:rPr>
      </w:pPr>
      <w:r w:rsidRPr="0041685C">
        <w:rPr>
          <w:rFonts w:hint="eastAsia"/>
          <w:color w:val="000000"/>
          <w:szCs w:val="21"/>
        </w:rPr>
        <w:t>对测定银含量的</w:t>
      </w:r>
      <w:r w:rsidRPr="0041685C">
        <w:rPr>
          <w:rFonts w:hint="eastAsia"/>
          <w:color w:val="000000"/>
          <w:szCs w:val="21"/>
        </w:rPr>
        <w:t>4</w:t>
      </w:r>
      <w:r w:rsidRPr="0041685C">
        <w:rPr>
          <w:rFonts w:hint="eastAsia"/>
          <w:color w:val="000000"/>
          <w:szCs w:val="21"/>
        </w:rPr>
        <w:t>个镍精矿验证样品，</w:t>
      </w:r>
      <w:r w:rsidRPr="0041685C">
        <w:rPr>
          <w:rFonts w:hint="eastAsia"/>
          <w:color w:val="000000"/>
          <w:szCs w:val="21"/>
        </w:rPr>
        <w:t>16</w:t>
      </w:r>
      <w:r w:rsidRPr="0041685C">
        <w:rPr>
          <w:rFonts w:hint="eastAsia"/>
          <w:color w:val="000000"/>
          <w:szCs w:val="21"/>
        </w:rPr>
        <w:t>个实验室进行了协同试验，</w:t>
      </w:r>
      <w:r w:rsidRPr="0041685C">
        <w:rPr>
          <w:color w:val="000000"/>
          <w:szCs w:val="21"/>
        </w:rPr>
        <w:t>各实验室对每个水平报告了</w:t>
      </w:r>
      <w:r w:rsidRPr="0041685C">
        <w:rPr>
          <w:color w:val="000000"/>
          <w:szCs w:val="21"/>
        </w:rPr>
        <w:t>7~11</w:t>
      </w:r>
      <w:r w:rsidRPr="0041685C">
        <w:rPr>
          <w:color w:val="000000"/>
          <w:szCs w:val="21"/>
        </w:rPr>
        <w:t>个试验结果</w:t>
      </w:r>
      <w:r>
        <w:rPr>
          <w:rFonts w:hint="eastAsia"/>
          <w:color w:val="000000"/>
          <w:szCs w:val="21"/>
        </w:rPr>
        <w:t>，</w:t>
      </w:r>
      <w:r w:rsidRPr="0041685C">
        <w:rPr>
          <w:color w:val="000000"/>
          <w:szCs w:val="21"/>
        </w:rPr>
        <w:t>根据国家标准</w:t>
      </w:r>
      <w:r w:rsidRPr="0041685C">
        <w:rPr>
          <w:color w:val="000000"/>
          <w:szCs w:val="21"/>
        </w:rPr>
        <w:t>GB/T 6379.2-2004</w:t>
      </w:r>
      <w:r w:rsidRPr="0041685C">
        <w:rPr>
          <w:color w:val="000000"/>
          <w:szCs w:val="21"/>
        </w:rPr>
        <w:t>确定标准测量方法的重复性和再现性的基本方法（</w:t>
      </w:r>
      <w:r w:rsidRPr="0041685C">
        <w:rPr>
          <w:color w:val="000000"/>
          <w:szCs w:val="21"/>
        </w:rPr>
        <w:t>ISO 5725-2</w:t>
      </w:r>
      <w:r w:rsidRPr="0041685C">
        <w:rPr>
          <w:color w:val="000000"/>
          <w:szCs w:val="21"/>
        </w:rPr>
        <w:t>：</w:t>
      </w:r>
      <w:r w:rsidRPr="0041685C">
        <w:rPr>
          <w:color w:val="000000"/>
          <w:szCs w:val="21"/>
        </w:rPr>
        <w:t>1994</w:t>
      </w:r>
      <w:r w:rsidRPr="0041685C">
        <w:rPr>
          <w:color w:val="000000"/>
          <w:szCs w:val="21"/>
        </w:rPr>
        <w:t>，</w:t>
      </w:r>
      <w:r w:rsidRPr="0041685C">
        <w:rPr>
          <w:color w:val="000000"/>
          <w:szCs w:val="21"/>
        </w:rPr>
        <w:t>IDT</w:t>
      </w:r>
      <w:r w:rsidRPr="0041685C">
        <w:rPr>
          <w:color w:val="000000"/>
          <w:szCs w:val="21"/>
        </w:rPr>
        <w:t>）的规定，对收到的全部数据进行了统计分析</w:t>
      </w:r>
      <w:r w:rsidRPr="0041685C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平均值及标准偏差见表</w:t>
      </w:r>
      <w:r>
        <w:rPr>
          <w:rFonts w:hint="eastAsia"/>
          <w:color w:val="000000"/>
          <w:szCs w:val="21"/>
        </w:rPr>
        <w:t>1</w:t>
      </w:r>
      <w:r w:rsidR="00C047EF" w:rsidRPr="0041685C">
        <w:rPr>
          <w:color w:val="000000"/>
          <w:szCs w:val="21"/>
        </w:rPr>
        <w:t>。</w:t>
      </w:r>
    </w:p>
    <w:p w:rsidR="00523617" w:rsidRDefault="00523617" w:rsidP="00523617">
      <w:pPr>
        <w:jc w:val="center"/>
        <w:rPr>
          <w:color w:val="000000"/>
          <w:szCs w:val="21"/>
        </w:rPr>
      </w:pPr>
      <w:r w:rsidRPr="008D461A">
        <w:rPr>
          <w:rFonts w:ascii="黑体" w:eastAsia="黑体" w:hint="eastAsia"/>
          <w:spacing w:val="8"/>
          <w:szCs w:val="21"/>
        </w:rPr>
        <w:t>表1</w:t>
      </w:r>
      <w:r>
        <w:rPr>
          <w:rFonts w:ascii="黑体" w:eastAsia="黑体" w:hint="eastAsia"/>
          <w:spacing w:val="8"/>
          <w:szCs w:val="21"/>
        </w:rPr>
        <w:t xml:space="preserve">  </w:t>
      </w:r>
      <w:r w:rsidRPr="00523617">
        <w:rPr>
          <w:rFonts w:ascii="黑体" w:eastAsia="黑体" w:hint="eastAsia"/>
          <w:spacing w:val="8"/>
          <w:szCs w:val="21"/>
        </w:rPr>
        <w:t>平均值及标准偏差</w:t>
      </w:r>
    </w:p>
    <w:tbl>
      <w:tblPr>
        <w:tblW w:w="938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567"/>
        <w:gridCol w:w="964"/>
        <w:gridCol w:w="1429"/>
        <w:gridCol w:w="1430"/>
        <w:gridCol w:w="1430"/>
        <w:gridCol w:w="1430"/>
      </w:tblGrid>
      <w:tr w:rsidR="00523617" w:rsidRPr="007973CB" w:rsidTr="00372AB8">
        <w:trPr>
          <w:trHeight w:val="233"/>
        </w:trPr>
        <w:tc>
          <w:tcPr>
            <w:tcW w:w="2699" w:type="dxa"/>
            <w:gridSpan w:val="2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 w:rsidRPr="007973CB">
              <w:rPr>
                <w:rFonts w:hAnsi="宋体"/>
                <w:color w:val="000000"/>
                <w:kern w:val="0"/>
                <w:sz w:val="18"/>
                <w:szCs w:val="18"/>
              </w:rPr>
              <w:t>实验室</w:t>
            </w:r>
            <w:proofErr w:type="spellStart"/>
            <w:r w:rsidRPr="007973CB">
              <w:rPr>
                <w:i/>
                <w:iCs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7973CB">
              <w:rPr>
                <w:color w:val="000000"/>
                <w:kern w:val="0"/>
                <w:sz w:val="18"/>
                <w:szCs w:val="18"/>
              </w:rPr>
              <w:t xml:space="preserve"> No.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E75D45" w:rsidP="00E75D4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719" w:type="dxa"/>
            <w:gridSpan w:val="4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rFonts w:hAnsi="宋体"/>
                <w:color w:val="000000"/>
                <w:kern w:val="0"/>
                <w:sz w:val="18"/>
                <w:szCs w:val="18"/>
              </w:rPr>
              <w:t>水平</w:t>
            </w:r>
            <w:r w:rsidRPr="007973CB">
              <w:rPr>
                <w:color w:val="000000"/>
                <w:kern w:val="0"/>
                <w:sz w:val="18"/>
                <w:szCs w:val="18"/>
              </w:rPr>
              <w:t xml:space="preserve">  j</w:t>
            </w:r>
          </w:p>
        </w:tc>
      </w:tr>
      <w:tr w:rsidR="00523617" w:rsidRPr="007973CB" w:rsidTr="00372AB8">
        <w:trPr>
          <w:trHeight w:val="233"/>
        </w:trPr>
        <w:tc>
          <w:tcPr>
            <w:tcW w:w="2699" w:type="dxa"/>
            <w:gridSpan w:val="2"/>
            <w:vMerge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4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金川集团股份有限公司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13.15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45.90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95.95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148.45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0.92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1.39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北矿检测技术有限公司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13.31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47.04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96.44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149.51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1.29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1.48</w:t>
            </w:r>
          </w:p>
        </w:tc>
      </w:tr>
      <w:tr w:rsidR="00523617" w:rsidRPr="007973CB" w:rsidTr="00372AB8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广东省工业分析检测中心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12.22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45.28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94.22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145.81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1.48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1.64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2.36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南通海关综合技术中心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13.63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46.88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95.18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149.83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0.35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1.91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4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兰州海关技术中心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12.37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46.67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96.42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148.31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0.60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0.90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2.17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2.19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贵州省分析测试研究院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12.90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46.24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97.26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146.71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1.14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7973C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浙江华友钴业股份有限公司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13.91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49.81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97.11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151.21</w:t>
            </w:r>
          </w:p>
        </w:tc>
      </w:tr>
      <w:tr w:rsidR="00523617" w:rsidRPr="007973CB" w:rsidTr="00372AB8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0.60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0.63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2.81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7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7973C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连云港海关综合技术中心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12.60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46.37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96.42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149.38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0.81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0.87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山东恒邦冶炼股份有限公司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47.36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96.92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149.22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0.81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1.85</w:t>
            </w:r>
          </w:p>
        </w:tc>
      </w:tr>
      <w:tr w:rsidR="00523617" w:rsidRPr="007973CB" w:rsidTr="00372AB8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国标（北京）检验认证有限公司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13.48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50.78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102.35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150.66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1.23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2.43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2.59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紫金矿业集团股份有限公司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12.73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49.42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99.10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151.15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1.89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2.13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4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深圳市中金岭南有色金属股份有限公司凡口铅</w:t>
            </w:r>
            <w:r w:rsidRPr="007973CB">
              <w:rPr>
                <w:rFonts w:hAnsi="宋体"/>
                <w:kern w:val="0"/>
                <w:sz w:val="18"/>
                <w:szCs w:val="18"/>
              </w:rPr>
              <w:lastRenderedPageBreak/>
              <w:t>锌矿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48.09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96.64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147.53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0.31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1.14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lastRenderedPageBreak/>
              <w:t>长沙矿冶研究院有限责任公司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13.47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46.79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97.34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151.36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0.66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1.16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rFonts w:hAnsi="宋体"/>
                <w:color w:val="000000"/>
                <w:kern w:val="0"/>
                <w:sz w:val="18"/>
                <w:szCs w:val="18"/>
              </w:rPr>
              <w:t>中国检验认证集团广西有限公司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12.34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44.70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96.43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147.79</w:t>
            </w:r>
          </w:p>
        </w:tc>
      </w:tr>
      <w:tr w:rsidR="00523617" w:rsidRPr="007973CB" w:rsidTr="00372AB8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0.73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1.20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白银有色集团股份有限公司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13.16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46.43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97.06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147.14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0.51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1.52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2.61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rFonts w:hAnsi="宋体"/>
                <w:kern w:val="0"/>
                <w:sz w:val="18"/>
                <w:szCs w:val="18"/>
              </w:rPr>
              <w:t>中国有色桂林矿产地质研究院有限公司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均值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11.12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46.75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96.64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151.74</w:t>
            </w:r>
          </w:p>
        </w:tc>
      </w:tr>
      <w:tr w:rsidR="00523617" w:rsidRPr="007973CB" w:rsidTr="00372AB8">
        <w:trPr>
          <w:trHeight w:val="233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973CB">
              <w:rPr>
                <w:kern w:val="0"/>
                <w:sz w:val="18"/>
                <w:szCs w:val="18"/>
              </w:rPr>
              <w:t>SD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0.39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0.27</w:t>
            </w:r>
          </w:p>
        </w:tc>
      </w:tr>
      <w:tr w:rsidR="00523617" w:rsidRPr="007973CB" w:rsidTr="00372AB8">
        <w:trPr>
          <w:trHeight w:val="234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973CB">
              <w:rPr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523617" w:rsidRPr="007973CB" w:rsidRDefault="00523617" w:rsidP="0052361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973CB">
              <w:rPr>
                <w:bCs/>
                <w:kern w:val="0"/>
                <w:sz w:val="18"/>
                <w:szCs w:val="18"/>
              </w:rPr>
              <w:t>11</w:t>
            </w:r>
          </w:p>
        </w:tc>
      </w:tr>
    </w:tbl>
    <w:p w:rsidR="004A6AA2" w:rsidRPr="0041685C" w:rsidRDefault="00EE6397" w:rsidP="00EE6397">
      <w:pPr>
        <w:rPr>
          <w:color w:val="000000"/>
          <w:szCs w:val="21"/>
        </w:rPr>
      </w:pPr>
      <w:r w:rsidRPr="0041685C">
        <w:rPr>
          <w:rFonts w:hint="eastAsia"/>
          <w:color w:val="000000"/>
          <w:szCs w:val="21"/>
        </w:rPr>
        <w:t xml:space="preserve">3.7.1 </w:t>
      </w:r>
      <w:r w:rsidR="00C047EF" w:rsidRPr="0041685C">
        <w:rPr>
          <w:color w:val="000000"/>
          <w:szCs w:val="21"/>
        </w:rPr>
        <w:t>对各实验室</w:t>
      </w:r>
      <w:r w:rsidR="004A6AA2" w:rsidRPr="0041685C">
        <w:rPr>
          <w:color w:val="000000"/>
          <w:szCs w:val="21"/>
        </w:rPr>
        <w:t>内每个水平的数据进行格拉布斯检验，防止一个实验室内较高的变异来自某一个数据，经检验浙江华友</w:t>
      </w:r>
      <w:r w:rsidR="00C748D8" w:rsidRPr="0041685C">
        <w:rPr>
          <w:rFonts w:hint="eastAsia"/>
          <w:color w:val="000000"/>
          <w:szCs w:val="21"/>
        </w:rPr>
        <w:t>在</w:t>
      </w:r>
      <w:r w:rsidR="004A6AA2" w:rsidRPr="0041685C">
        <w:rPr>
          <w:color w:val="000000"/>
          <w:szCs w:val="21"/>
        </w:rPr>
        <w:t>水平</w:t>
      </w:r>
      <w:r w:rsidR="004A6AA2" w:rsidRPr="0041685C">
        <w:rPr>
          <w:color w:val="000000"/>
          <w:szCs w:val="21"/>
        </w:rPr>
        <w:t>2</w:t>
      </w:r>
      <w:r w:rsidR="004A6AA2" w:rsidRPr="0041685C">
        <w:rPr>
          <w:color w:val="000000"/>
          <w:szCs w:val="21"/>
        </w:rPr>
        <w:t>的最小值</w:t>
      </w:r>
      <w:r w:rsidR="00BA17A7" w:rsidRPr="0041685C">
        <w:rPr>
          <w:color w:val="000000"/>
          <w:szCs w:val="21"/>
        </w:rPr>
        <w:t>48.51</w:t>
      </w:r>
      <w:r w:rsidR="00BA17A7" w:rsidRPr="0041685C">
        <w:rPr>
          <w:color w:val="000000"/>
          <w:szCs w:val="21"/>
        </w:rPr>
        <w:t>为离群值，剔除</w:t>
      </w:r>
      <w:r w:rsidR="009B1F19" w:rsidRPr="0041685C">
        <w:rPr>
          <w:color w:val="000000"/>
          <w:szCs w:val="21"/>
        </w:rPr>
        <w:t>，其余实验室内数据无异常值</w:t>
      </w:r>
      <w:r w:rsidR="00BA17A7" w:rsidRPr="0041685C">
        <w:rPr>
          <w:color w:val="000000"/>
          <w:szCs w:val="21"/>
        </w:rPr>
        <w:t>。</w:t>
      </w:r>
    </w:p>
    <w:p w:rsidR="00BA17A7" w:rsidRPr="0041685C" w:rsidRDefault="00EE6397" w:rsidP="00EE6397">
      <w:pPr>
        <w:rPr>
          <w:color w:val="000000"/>
          <w:szCs w:val="21"/>
        </w:rPr>
      </w:pPr>
      <w:r w:rsidRPr="0041685C">
        <w:rPr>
          <w:rFonts w:hint="eastAsia"/>
          <w:color w:val="000000"/>
          <w:szCs w:val="21"/>
        </w:rPr>
        <w:t>3.7.</w:t>
      </w:r>
      <w:r w:rsidR="00BA17A7" w:rsidRPr="0041685C">
        <w:rPr>
          <w:color w:val="000000"/>
          <w:szCs w:val="21"/>
        </w:rPr>
        <w:t>2</w:t>
      </w:r>
      <w:r w:rsidRPr="0041685C">
        <w:rPr>
          <w:rFonts w:hint="eastAsia"/>
          <w:color w:val="000000"/>
          <w:szCs w:val="21"/>
        </w:rPr>
        <w:t xml:space="preserve"> </w:t>
      </w:r>
      <w:r w:rsidR="00BA17A7" w:rsidRPr="0041685C">
        <w:rPr>
          <w:color w:val="000000"/>
          <w:szCs w:val="21"/>
        </w:rPr>
        <w:t>对各实验室每个水平的</w:t>
      </w:r>
      <w:r w:rsidR="00C047EF" w:rsidRPr="0041685C">
        <w:rPr>
          <w:color w:val="000000"/>
          <w:szCs w:val="21"/>
        </w:rPr>
        <w:t>标准偏差</w:t>
      </w:r>
      <w:r w:rsidR="00C047EF" w:rsidRPr="0041685C">
        <w:rPr>
          <w:color w:val="000000"/>
          <w:szCs w:val="21"/>
        </w:rPr>
        <w:t>s</w:t>
      </w:r>
      <w:r w:rsidR="00C047EF" w:rsidRPr="0041685C">
        <w:rPr>
          <w:color w:val="000000"/>
          <w:szCs w:val="21"/>
        </w:rPr>
        <w:t>进行柯克伦检验</w:t>
      </w:r>
      <w:r w:rsidR="0002673C" w:rsidRPr="0041685C">
        <w:rPr>
          <w:color w:val="000000"/>
          <w:szCs w:val="21"/>
        </w:rPr>
        <w:t>，</w:t>
      </w:r>
      <w:r w:rsidRPr="0041685C">
        <w:rPr>
          <w:color w:val="000000"/>
          <w:szCs w:val="21"/>
        </w:rPr>
        <w:t>离群值用</w:t>
      </w:r>
      <w:r w:rsidRPr="0041685C">
        <w:rPr>
          <w:color w:val="000000"/>
          <w:szCs w:val="21"/>
        </w:rPr>
        <w:t>**</w:t>
      </w:r>
      <w:r w:rsidRPr="0041685C">
        <w:rPr>
          <w:rFonts w:hint="eastAsia"/>
          <w:color w:val="000000"/>
          <w:szCs w:val="21"/>
        </w:rPr>
        <w:t>标出、</w:t>
      </w:r>
      <w:proofErr w:type="gramStart"/>
      <w:r w:rsidRPr="0041685C">
        <w:rPr>
          <w:rFonts w:hint="eastAsia"/>
          <w:color w:val="000000"/>
          <w:szCs w:val="21"/>
        </w:rPr>
        <w:t>岐</w:t>
      </w:r>
      <w:proofErr w:type="gramEnd"/>
      <w:r w:rsidRPr="0041685C">
        <w:rPr>
          <w:rFonts w:hint="eastAsia"/>
          <w:color w:val="000000"/>
          <w:szCs w:val="21"/>
        </w:rPr>
        <w:t>离值用</w:t>
      </w:r>
      <w:r w:rsidRPr="0041685C">
        <w:rPr>
          <w:color w:val="000000"/>
          <w:szCs w:val="21"/>
        </w:rPr>
        <w:t>*</w:t>
      </w:r>
      <w:r w:rsidRPr="0041685C">
        <w:rPr>
          <w:rFonts w:hint="eastAsia"/>
          <w:color w:val="000000"/>
          <w:szCs w:val="21"/>
        </w:rPr>
        <w:t>标出。检验结果</w:t>
      </w:r>
      <w:r w:rsidR="0002673C" w:rsidRPr="0041685C">
        <w:rPr>
          <w:color w:val="000000"/>
          <w:szCs w:val="21"/>
        </w:rPr>
        <w:t>见表</w:t>
      </w:r>
      <w:r w:rsidR="00372AB8">
        <w:rPr>
          <w:rFonts w:hint="eastAsia"/>
          <w:color w:val="000000"/>
          <w:szCs w:val="21"/>
        </w:rPr>
        <w:t>2</w:t>
      </w:r>
      <w:r w:rsidR="00BA17A7" w:rsidRPr="0041685C">
        <w:rPr>
          <w:color w:val="000000"/>
          <w:szCs w:val="21"/>
        </w:rPr>
        <w:t>。</w:t>
      </w:r>
    </w:p>
    <w:p w:rsidR="0002673C" w:rsidRPr="008D461A" w:rsidRDefault="00550EE6" w:rsidP="00550EE6">
      <w:pPr>
        <w:ind w:firstLine="435"/>
        <w:jc w:val="center"/>
        <w:rPr>
          <w:rFonts w:ascii="黑体" w:eastAsia="黑体"/>
          <w:spacing w:val="8"/>
          <w:szCs w:val="21"/>
        </w:rPr>
      </w:pPr>
      <w:r w:rsidRPr="008D461A">
        <w:rPr>
          <w:rFonts w:ascii="黑体" w:eastAsia="黑体" w:hint="eastAsia"/>
          <w:spacing w:val="8"/>
          <w:szCs w:val="21"/>
        </w:rPr>
        <w:t>表</w:t>
      </w:r>
      <w:r w:rsidR="00372AB8">
        <w:rPr>
          <w:rFonts w:ascii="黑体" w:eastAsia="黑体" w:hint="eastAsia"/>
          <w:spacing w:val="8"/>
          <w:szCs w:val="21"/>
        </w:rPr>
        <w:t>2</w:t>
      </w:r>
      <w:r w:rsidRPr="008D461A">
        <w:rPr>
          <w:rFonts w:ascii="黑体" w:eastAsia="黑体" w:hint="eastAsia"/>
          <w:spacing w:val="8"/>
          <w:szCs w:val="21"/>
        </w:rPr>
        <w:t xml:space="preserve">   </w:t>
      </w:r>
      <w:r w:rsidR="0002673C" w:rsidRPr="008D461A">
        <w:rPr>
          <w:rFonts w:ascii="黑体" w:eastAsia="黑体" w:hint="eastAsia"/>
          <w:spacing w:val="8"/>
          <w:szCs w:val="21"/>
        </w:rPr>
        <w:t>柯克伦检验结果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1366"/>
        <w:gridCol w:w="822"/>
        <w:gridCol w:w="1560"/>
        <w:gridCol w:w="1560"/>
        <w:gridCol w:w="1560"/>
        <w:gridCol w:w="1562"/>
      </w:tblGrid>
      <w:tr w:rsidR="0002673C" w:rsidRPr="004C38B5" w:rsidTr="001D39E3">
        <w:trPr>
          <w:trHeight w:val="113"/>
          <w:jc w:val="center"/>
        </w:trPr>
        <w:tc>
          <w:tcPr>
            <w:tcW w:w="2152" w:type="dxa"/>
            <w:gridSpan w:val="2"/>
            <w:vMerge w:val="restart"/>
            <w:shd w:val="clear" w:color="auto" w:fill="auto"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No. </w:t>
            </w:r>
            <w:proofErr w:type="spellStart"/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242" w:type="dxa"/>
            <w:gridSpan w:val="4"/>
            <w:shd w:val="clear" w:color="auto" w:fill="auto"/>
            <w:noWrap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 xml:space="preserve">  j</w:t>
            </w:r>
          </w:p>
        </w:tc>
      </w:tr>
      <w:tr w:rsidR="0002673C" w:rsidRPr="004C38B5" w:rsidTr="001D39E3">
        <w:trPr>
          <w:trHeight w:val="248"/>
          <w:jc w:val="center"/>
        </w:trPr>
        <w:tc>
          <w:tcPr>
            <w:tcW w:w="2152" w:type="dxa"/>
            <w:gridSpan w:val="2"/>
            <w:vMerge/>
            <w:shd w:val="clear" w:color="auto" w:fill="auto"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2673C" w:rsidRPr="004C38B5" w:rsidRDefault="0002673C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 w:val="restart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各实验室测定结果标准偏差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金川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1.39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北矿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1.48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广东测试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2.36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南通海关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1.91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兰州海关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2.19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贵州测试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1.14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浙江华友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2.81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山东恒</w:t>
            </w:r>
            <w:proofErr w:type="gramStart"/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邦</w:t>
            </w:r>
            <w:proofErr w:type="gramEnd"/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0.51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1.85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国标北京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2.43*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2.59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紫金矿业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1.89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2.13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凡口铅锌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1.11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1.14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长沙矿冶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0.66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1.16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中检广西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0.73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1.20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白银有色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2.05**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1.52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2.61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786" w:type="dxa"/>
            <w:vMerge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 w:hAnsiTheme="minorEastAsia"/>
                <w:kern w:val="0"/>
                <w:sz w:val="18"/>
                <w:szCs w:val="18"/>
              </w:rPr>
              <w:t>桂林矿产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2973" w:type="dxa"/>
            <w:gridSpan w:val="3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max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（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s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2.05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2.43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2.81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2973" w:type="dxa"/>
            <w:gridSpan w:val="3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max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（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s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0.592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4.202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5.905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7.894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2973" w:type="dxa"/>
            <w:gridSpan w:val="3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S</w:t>
            </w: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4C38B5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的和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3.768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16.506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kern w:val="0"/>
                <w:sz w:val="18"/>
                <w:szCs w:val="18"/>
              </w:rPr>
              <w:t>28.259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53.736</w:t>
            </w:r>
          </w:p>
        </w:tc>
      </w:tr>
      <w:tr w:rsidR="00C748D8" w:rsidRPr="004C38B5" w:rsidTr="001D39E3">
        <w:trPr>
          <w:trHeight w:val="243"/>
          <w:jc w:val="center"/>
        </w:trPr>
        <w:tc>
          <w:tcPr>
            <w:tcW w:w="2973" w:type="dxa"/>
            <w:gridSpan w:val="3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0.157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0.255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0.209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C748D8" w:rsidRPr="004C38B5" w:rsidRDefault="00C748D8" w:rsidP="0041685C">
            <w:pPr>
              <w:widowControl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0.147</w:t>
            </w:r>
          </w:p>
        </w:tc>
      </w:tr>
    </w:tbl>
    <w:p w:rsidR="0002673C" w:rsidRPr="008D461A" w:rsidRDefault="00B10768">
      <w:pPr>
        <w:ind w:firstLine="435"/>
        <w:rPr>
          <w:spacing w:val="8"/>
          <w:szCs w:val="21"/>
        </w:rPr>
      </w:pPr>
      <w:r w:rsidRPr="008D461A">
        <w:rPr>
          <w:spacing w:val="8"/>
          <w:szCs w:val="21"/>
        </w:rPr>
        <w:t>各实验室提供的数据有</w:t>
      </w:r>
      <w:r w:rsidRPr="008D461A">
        <w:rPr>
          <w:spacing w:val="8"/>
          <w:szCs w:val="21"/>
        </w:rPr>
        <w:t>7</w:t>
      </w:r>
      <w:r w:rsidRPr="008D461A">
        <w:rPr>
          <w:spacing w:val="8"/>
          <w:szCs w:val="21"/>
        </w:rPr>
        <w:t>次（</w:t>
      </w:r>
      <w:r w:rsidRPr="008D461A">
        <w:rPr>
          <w:spacing w:val="8"/>
          <w:szCs w:val="21"/>
        </w:rPr>
        <w:t>2</w:t>
      </w:r>
      <w:r w:rsidRPr="008D461A">
        <w:rPr>
          <w:spacing w:val="8"/>
          <w:szCs w:val="21"/>
        </w:rPr>
        <w:t>家）、</w:t>
      </w:r>
      <w:r w:rsidRPr="008D461A">
        <w:rPr>
          <w:spacing w:val="8"/>
          <w:szCs w:val="21"/>
        </w:rPr>
        <w:t>9</w:t>
      </w:r>
      <w:r w:rsidRPr="008D461A">
        <w:rPr>
          <w:spacing w:val="8"/>
          <w:szCs w:val="21"/>
        </w:rPr>
        <w:t>次（</w:t>
      </w:r>
      <w:r w:rsidRPr="008D461A">
        <w:rPr>
          <w:spacing w:val="8"/>
          <w:szCs w:val="21"/>
        </w:rPr>
        <w:t>1</w:t>
      </w:r>
      <w:r w:rsidRPr="008D461A">
        <w:rPr>
          <w:spacing w:val="8"/>
          <w:szCs w:val="21"/>
        </w:rPr>
        <w:t>家）和</w:t>
      </w:r>
      <w:r w:rsidRPr="008D461A">
        <w:rPr>
          <w:spacing w:val="8"/>
          <w:szCs w:val="21"/>
        </w:rPr>
        <w:t>11</w:t>
      </w:r>
      <w:r w:rsidRPr="008D461A">
        <w:rPr>
          <w:spacing w:val="8"/>
          <w:szCs w:val="21"/>
        </w:rPr>
        <w:t>次（</w:t>
      </w:r>
      <w:r w:rsidRPr="008D461A">
        <w:rPr>
          <w:spacing w:val="8"/>
          <w:szCs w:val="21"/>
        </w:rPr>
        <w:t>13</w:t>
      </w:r>
      <w:r w:rsidRPr="008D461A">
        <w:rPr>
          <w:spacing w:val="8"/>
          <w:szCs w:val="21"/>
        </w:rPr>
        <w:t>家），因</w:t>
      </w:r>
      <w:r w:rsidRPr="008D461A">
        <w:rPr>
          <w:spacing w:val="8"/>
          <w:szCs w:val="21"/>
        </w:rPr>
        <w:t>GB/T 6379.2-2004</w:t>
      </w:r>
      <w:r w:rsidRPr="008D461A">
        <w:rPr>
          <w:spacing w:val="8"/>
          <w:szCs w:val="21"/>
        </w:rPr>
        <w:t>只提供到</w:t>
      </w:r>
      <w:r w:rsidRPr="008D461A">
        <w:rPr>
          <w:spacing w:val="8"/>
          <w:szCs w:val="21"/>
        </w:rPr>
        <w:t>n=6</w:t>
      </w:r>
      <w:r w:rsidRPr="008D461A">
        <w:rPr>
          <w:spacing w:val="8"/>
          <w:szCs w:val="21"/>
        </w:rPr>
        <w:t>的</w:t>
      </w:r>
      <w:r w:rsidRPr="008D461A">
        <w:rPr>
          <w:spacing w:val="8"/>
          <w:szCs w:val="21"/>
        </w:rPr>
        <w:t>C</w:t>
      </w:r>
      <w:r w:rsidRPr="008D461A">
        <w:rPr>
          <w:spacing w:val="8"/>
          <w:szCs w:val="21"/>
        </w:rPr>
        <w:t>临界值，</w:t>
      </w:r>
      <w:r w:rsidR="00550EE6" w:rsidRPr="008D461A">
        <w:rPr>
          <w:spacing w:val="8"/>
          <w:szCs w:val="21"/>
        </w:rPr>
        <w:t>因此采用</w:t>
      </w:r>
      <w:r w:rsidR="00550EE6" w:rsidRPr="008D461A">
        <w:rPr>
          <w:spacing w:val="8"/>
          <w:szCs w:val="21"/>
        </w:rPr>
        <w:t>C</w:t>
      </w:r>
      <w:r w:rsidR="00550EE6" w:rsidRPr="008D461A">
        <w:rPr>
          <w:spacing w:val="8"/>
          <w:szCs w:val="21"/>
        </w:rPr>
        <w:t>临界值</w:t>
      </w:r>
      <w:r w:rsidR="00357405" w:rsidRPr="008D461A">
        <w:rPr>
          <w:spacing w:val="8"/>
          <w:szCs w:val="21"/>
        </w:rPr>
        <w:t>为</w:t>
      </w:r>
      <w:r w:rsidRPr="008D461A">
        <w:rPr>
          <w:spacing w:val="8"/>
          <w:szCs w:val="21"/>
        </w:rPr>
        <w:t>n=6</w:t>
      </w:r>
      <w:r w:rsidRPr="008D461A">
        <w:rPr>
          <w:spacing w:val="8"/>
          <w:szCs w:val="21"/>
        </w:rPr>
        <w:t>，</w:t>
      </w:r>
      <w:r w:rsidRPr="008D461A">
        <w:rPr>
          <w:spacing w:val="8"/>
          <w:szCs w:val="21"/>
        </w:rPr>
        <w:t>p=16</w:t>
      </w:r>
      <w:r w:rsidRPr="008D461A">
        <w:rPr>
          <w:spacing w:val="8"/>
          <w:szCs w:val="21"/>
        </w:rPr>
        <w:t>，</w:t>
      </w:r>
      <w:r w:rsidRPr="008D461A">
        <w:rPr>
          <w:spacing w:val="8"/>
          <w:szCs w:val="21"/>
        </w:rPr>
        <w:t>1%</w:t>
      </w:r>
      <w:r w:rsidR="00357405" w:rsidRPr="008D461A">
        <w:rPr>
          <w:spacing w:val="8"/>
          <w:szCs w:val="21"/>
        </w:rPr>
        <w:t>为</w:t>
      </w:r>
      <w:r w:rsidRPr="008D461A">
        <w:rPr>
          <w:spacing w:val="8"/>
          <w:szCs w:val="21"/>
        </w:rPr>
        <w:t>0.246</w:t>
      </w:r>
      <w:r w:rsidRPr="008D461A">
        <w:rPr>
          <w:spacing w:val="8"/>
          <w:szCs w:val="21"/>
        </w:rPr>
        <w:t>，</w:t>
      </w:r>
      <w:r w:rsidRPr="008D461A">
        <w:rPr>
          <w:spacing w:val="8"/>
          <w:szCs w:val="21"/>
        </w:rPr>
        <w:t>5%</w:t>
      </w:r>
      <w:r w:rsidR="00357405" w:rsidRPr="008D461A">
        <w:rPr>
          <w:spacing w:val="8"/>
          <w:szCs w:val="21"/>
        </w:rPr>
        <w:t>为</w:t>
      </w:r>
      <w:r w:rsidRPr="008D461A">
        <w:rPr>
          <w:spacing w:val="8"/>
          <w:szCs w:val="21"/>
        </w:rPr>
        <w:t>0.208</w:t>
      </w:r>
      <w:r w:rsidR="00357405" w:rsidRPr="008D461A">
        <w:rPr>
          <w:spacing w:val="8"/>
          <w:szCs w:val="21"/>
        </w:rPr>
        <w:t>进行检验。检验结果为：</w:t>
      </w:r>
      <w:r w:rsidRPr="008D461A">
        <w:rPr>
          <w:spacing w:val="8"/>
          <w:szCs w:val="21"/>
        </w:rPr>
        <w:t>水平</w:t>
      </w:r>
      <w:r w:rsidRPr="008D461A">
        <w:rPr>
          <w:spacing w:val="8"/>
          <w:szCs w:val="21"/>
        </w:rPr>
        <w:t>2</w:t>
      </w:r>
      <w:r w:rsidRPr="008D461A">
        <w:rPr>
          <w:spacing w:val="8"/>
          <w:szCs w:val="21"/>
        </w:rPr>
        <w:t>的实验室</w:t>
      </w:r>
      <w:r w:rsidRPr="008D461A">
        <w:rPr>
          <w:spacing w:val="8"/>
          <w:szCs w:val="21"/>
        </w:rPr>
        <w:t>15</w:t>
      </w:r>
      <w:r w:rsidRPr="008D461A">
        <w:rPr>
          <w:spacing w:val="8"/>
          <w:szCs w:val="21"/>
        </w:rPr>
        <w:t>为离群值（</w:t>
      </w:r>
      <w:r w:rsidRPr="008D461A">
        <w:rPr>
          <w:spacing w:val="8"/>
          <w:szCs w:val="21"/>
        </w:rPr>
        <w:t>**</w:t>
      </w:r>
      <w:r w:rsidRPr="008D461A">
        <w:rPr>
          <w:spacing w:val="8"/>
          <w:szCs w:val="21"/>
        </w:rPr>
        <w:t>），剔除；水平</w:t>
      </w:r>
      <w:r w:rsidRPr="008D461A">
        <w:rPr>
          <w:spacing w:val="8"/>
          <w:szCs w:val="21"/>
        </w:rPr>
        <w:t>3</w:t>
      </w:r>
      <w:r w:rsidRPr="008D461A">
        <w:rPr>
          <w:spacing w:val="8"/>
          <w:szCs w:val="21"/>
        </w:rPr>
        <w:t>的实验室</w:t>
      </w:r>
      <w:r w:rsidRPr="008D461A">
        <w:rPr>
          <w:spacing w:val="8"/>
          <w:szCs w:val="21"/>
        </w:rPr>
        <w:t>10</w:t>
      </w:r>
      <w:r w:rsidRPr="008D461A">
        <w:rPr>
          <w:spacing w:val="8"/>
          <w:szCs w:val="21"/>
        </w:rPr>
        <w:t>为</w:t>
      </w:r>
      <w:proofErr w:type="gramStart"/>
      <w:r w:rsidRPr="008D461A">
        <w:rPr>
          <w:spacing w:val="8"/>
          <w:szCs w:val="21"/>
        </w:rPr>
        <w:t>岐</w:t>
      </w:r>
      <w:proofErr w:type="gramEnd"/>
      <w:r w:rsidRPr="008D461A">
        <w:rPr>
          <w:spacing w:val="8"/>
          <w:szCs w:val="21"/>
        </w:rPr>
        <w:t>离值（</w:t>
      </w:r>
      <w:r w:rsidRPr="008D461A">
        <w:rPr>
          <w:spacing w:val="8"/>
          <w:szCs w:val="21"/>
        </w:rPr>
        <w:t>*</w:t>
      </w:r>
      <w:r w:rsidRPr="008D461A">
        <w:rPr>
          <w:spacing w:val="8"/>
          <w:szCs w:val="21"/>
        </w:rPr>
        <w:t>），予以保留。</w:t>
      </w:r>
      <w:r w:rsidR="00EE6397" w:rsidRPr="008D461A">
        <w:rPr>
          <w:spacing w:val="8"/>
          <w:szCs w:val="21"/>
        </w:rPr>
        <w:t>对水平</w:t>
      </w:r>
      <w:r w:rsidR="00EE6397" w:rsidRPr="008D461A">
        <w:rPr>
          <w:spacing w:val="8"/>
          <w:szCs w:val="21"/>
        </w:rPr>
        <w:t>2</w:t>
      </w:r>
      <w:r w:rsidR="00EE6397" w:rsidRPr="008D461A">
        <w:rPr>
          <w:spacing w:val="8"/>
          <w:szCs w:val="21"/>
        </w:rPr>
        <w:t>剔除后的数据再进行柯克伦检验，无异常值。</w:t>
      </w:r>
    </w:p>
    <w:p w:rsidR="00C047EF" w:rsidRPr="008D461A" w:rsidRDefault="00EE6397" w:rsidP="00EE6397">
      <w:pPr>
        <w:rPr>
          <w:spacing w:val="8"/>
          <w:szCs w:val="21"/>
        </w:rPr>
      </w:pPr>
      <w:r w:rsidRPr="008D461A">
        <w:rPr>
          <w:spacing w:val="8"/>
          <w:szCs w:val="21"/>
        </w:rPr>
        <w:t>3.7.</w:t>
      </w:r>
      <w:r w:rsidR="00BA17A7" w:rsidRPr="008D461A">
        <w:rPr>
          <w:spacing w:val="8"/>
          <w:szCs w:val="21"/>
        </w:rPr>
        <w:t>3</w:t>
      </w:r>
      <w:r w:rsidR="00C047EF" w:rsidRPr="008D461A">
        <w:rPr>
          <w:spacing w:val="8"/>
          <w:szCs w:val="21"/>
        </w:rPr>
        <w:t>对各实验室的均值进行格拉布斯检验，</w:t>
      </w:r>
      <w:r w:rsidR="00591250" w:rsidRPr="008D461A">
        <w:rPr>
          <w:spacing w:val="8"/>
          <w:szCs w:val="21"/>
        </w:rPr>
        <w:t>离群值用</w:t>
      </w:r>
      <w:r w:rsidR="00591250" w:rsidRPr="008D461A">
        <w:rPr>
          <w:spacing w:val="8"/>
          <w:szCs w:val="21"/>
        </w:rPr>
        <w:t>**</w:t>
      </w:r>
      <w:r w:rsidR="00591250" w:rsidRPr="008D461A">
        <w:rPr>
          <w:spacing w:val="8"/>
          <w:szCs w:val="21"/>
        </w:rPr>
        <w:t>标注、</w:t>
      </w:r>
      <w:proofErr w:type="gramStart"/>
      <w:r w:rsidR="00591250" w:rsidRPr="008D461A">
        <w:rPr>
          <w:spacing w:val="8"/>
          <w:szCs w:val="21"/>
        </w:rPr>
        <w:t>岐</w:t>
      </w:r>
      <w:proofErr w:type="gramEnd"/>
      <w:r w:rsidR="00591250" w:rsidRPr="008D461A">
        <w:rPr>
          <w:spacing w:val="8"/>
          <w:szCs w:val="21"/>
        </w:rPr>
        <w:t>离值用</w:t>
      </w:r>
      <w:r w:rsidR="00591250" w:rsidRPr="008D461A">
        <w:rPr>
          <w:spacing w:val="8"/>
          <w:szCs w:val="21"/>
        </w:rPr>
        <w:t>*</w:t>
      </w:r>
      <w:r w:rsidR="00591250" w:rsidRPr="008D461A">
        <w:rPr>
          <w:spacing w:val="8"/>
          <w:szCs w:val="21"/>
        </w:rPr>
        <w:t>标注</w:t>
      </w:r>
      <w:r w:rsidR="00C047EF" w:rsidRPr="008D461A">
        <w:rPr>
          <w:spacing w:val="8"/>
          <w:szCs w:val="21"/>
        </w:rPr>
        <w:t>。各实验室的统计检验结果见表</w:t>
      </w:r>
      <w:r w:rsidR="00372AB8">
        <w:rPr>
          <w:rFonts w:hint="eastAsia"/>
          <w:spacing w:val="8"/>
          <w:szCs w:val="21"/>
        </w:rPr>
        <w:t>3</w:t>
      </w:r>
      <w:r w:rsidR="005F44DA" w:rsidRPr="008D461A">
        <w:rPr>
          <w:spacing w:val="8"/>
          <w:szCs w:val="21"/>
        </w:rPr>
        <w:t>、</w:t>
      </w:r>
      <w:r w:rsidR="00372AB8">
        <w:rPr>
          <w:rFonts w:hint="eastAsia"/>
          <w:spacing w:val="8"/>
          <w:szCs w:val="21"/>
        </w:rPr>
        <w:t>4</w:t>
      </w:r>
      <w:r w:rsidR="00591250" w:rsidRPr="008D461A">
        <w:rPr>
          <w:spacing w:val="8"/>
          <w:szCs w:val="21"/>
        </w:rPr>
        <w:t>。</w:t>
      </w:r>
    </w:p>
    <w:p w:rsidR="00EE6397" w:rsidRPr="008D461A" w:rsidRDefault="005F44DA" w:rsidP="00372AB8">
      <w:pPr>
        <w:jc w:val="center"/>
        <w:outlineLvl w:val="2"/>
        <w:rPr>
          <w:rFonts w:ascii="黑体" w:eastAsia="黑体"/>
          <w:bCs/>
          <w:color w:val="000000"/>
          <w:szCs w:val="21"/>
        </w:rPr>
      </w:pPr>
      <w:r w:rsidRPr="008D461A">
        <w:rPr>
          <w:rFonts w:ascii="黑体" w:eastAsia="黑体" w:hint="eastAsia"/>
          <w:bCs/>
          <w:color w:val="000000"/>
          <w:szCs w:val="21"/>
        </w:rPr>
        <w:t>表</w:t>
      </w:r>
      <w:r w:rsidR="00372AB8">
        <w:rPr>
          <w:rFonts w:ascii="黑体" w:eastAsia="黑体" w:hint="eastAsia"/>
          <w:bCs/>
          <w:color w:val="000000"/>
          <w:szCs w:val="21"/>
        </w:rPr>
        <w:t>3</w:t>
      </w:r>
      <w:r w:rsidRPr="008D461A">
        <w:rPr>
          <w:rFonts w:ascii="黑体" w:eastAsia="黑体" w:hint="eastAsia"/>
          <w:bCs/>
          <w:color w:val="000000"/>
          <w:szCs w:val="21"/>
        </w:rPr>
        <w:t xml:space="preserve"> 格拉布斯检验（一个离群观测值</w:t>
      </w:r>
      <w:r w:rsidR="00C324FA" w:rsidRPr="008D461A">
        <w:rPr>
          <w:rFonts w:ascii="黑体" w:eastAsia="黑体" w:hint="eastAsia"/>
          <w:bCs/>
          <w:color w:val="000000"/>
          <w:szCs w:val="21"/>
        </w:rPr>
        <w:t>情形</w:t>
      </w:r>
      <w:r w:rsidRPr="008D461A">
        <w:rPr>
          <w:rFonts w:ascii="黑体" w:eastAsia="黑体" w:hint="eastAsia"/>
          <w:bCs/>
          <w:color w:val="000000"/>
          <w:szCs w:val="21"/>
        </w:rPr>
        <w:t>）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858"/>
        <w:gridCol w:w="1858"/>
        <w:gridCol w:w="1858"/>
        <w:gridCol w:w="1858"/>
      </w:tblGrid>
      <w:tr w:rsidR="005F44DA" w:rsidRPr="004C38B5" w:rsidTr="001D39E3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统计量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C38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C38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C38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C38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</w:t>
            </w:r>
            <w:r w:rsidRPr="004C38B5">
              <w:rPr>
                <w:kern w:val="0"/>
                <w:sz w:val="18"/>
                <w:szCs w:val="18"/>
              </w:rPr>
              <w:t>4</w:t>
            </w:r>
          </w:p>
        </w:tc>
      </w:tr>
      <w:tr w:rsidR="005F44DA" w:rsidRPr="004C38B5" w:rsidTr="001D39E3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13.91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50.78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275CA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102.3</w:t>
            </w:r>
            <w:r w:rsidR="00275CA1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="00E67B7F"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151.74</w:t>
            </w:r>
          </w:p>
        </w:tc>
      </w:tr>
      <w:tr w:rsidR="005F44DA" w:rsidRPr="004C38B5" w:rsidTr="001D39E3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11.12</w:t>
            </w:r>
            <w:r w:rsidR="002C7A58"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44.70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94.22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145.81</w:t>
            </w:r>
          </w:p>
        </w:tc>
      </w:tr>
      <w:tr w:rsidR="00E67B7F" w:rsidRPr="004C38B5" w:rsidTr="001D39E3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4C38B5">
              <w:rPr>
                <w:color w:val="000000"/>
                <w:kern w:val="0"/>
                <w:sz w:val="18"/>
                <w:szCs w:val="18"/>
              </w:rPr>
              <w:t>Gmax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1.507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2.145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3.008</w:t>
            </w:r>
            <w:r w:rsidR="002C7A58" w:rsidRPr="004C38B5">
              <w:rPr>
                <w:rFonts w:hint="eastAsia"/>
                <w:bCs/>
                <w:kern w:val="0"/>
                <w:sz w:val="18"/>
                <w:szCs w:val="18"/>
              </w:rPr>
              <w:t>**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1.451</w:t>
            </w:r>
          </w:p>
        </w:tc>
      </w:tr>
      <w:tr w:rsidR="005F44DA" w:rsidRPr="004C38B5" w:rsidTr="001D39E3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4C38B5">
              <w:rPr>
                <w:color w:val="000000"/>
                <w:kern w:val="0"/>
                <w:sz w:val="18"/>
                <w:szCs w:val="18"/>
              </w:rPr>
              <w:t>Gmin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2.613</w:t>
            </w:r>
            <w:r w:rsidR="002C7A58" w:rsidRPr="004C38B5">
              <w:rPr>
                <w:rFonts w:hint="eastAsia"/>
                <w:bCs/>
                <w:kern w:val="0"/>
                <w:sz w:val="18"/>
                <w:szCs w:val="18"/>
              </w:rPr>
              <w:t>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1.428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1.562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1.810</w:t>
            </w:r>
          </w:p>
        </w:tc>
      </w:tr>
      <w:tr w:rsidR="00E67B7F" w:rsidRPr="004C38B5" w:rsidTr="001D39E3">
        <w:trPr>
          <w:trHeight w:val="245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F44DA" w:rsidRPr="004C38B5" w:rsidRDefault="005F44D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8D461A" w:rsidRPr="004C38B5" w:rsidTr="001D39E3">
        <w:trPr>
          <w:trHeight w:val="214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663E67" w:rsidP="001D39E3">
            <w:pPr>
              <w:widowControl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删除最大离群值</w:t>
            </w:r>
            <w:r w:rsidR="001D39E3">
              <w:rPr>
                <w:rFonts w:hint="eastAsia"/>
                <w:color w:val="000000"/>
                <w:kern w:val="0"/>
                <w:sz w:val="18"/>
                <w:szCs w:val="18"/>
              </w:rPr>
              <w:t>后，</w:t>
            </w: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检验</w:t>
            </w:r>
            <w:r w:rsidR="001D39E3">
              <w:rPr>
                <w:rFonts w:hint="eastAsia"/>
                <w:color w:val="000000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D461A" w:rsidRPr="004C38B5" w:rsidTr="001D39E3">
        <w:trPr>
          <w:trHeight w:val="276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4C38B5">
              <w:rPr>
                <w:color w:val="000000"/>
                <w:kern w:val="0"/>
                <w:sz w:val="18"/>
                <w:szCs w:val="18"/>
              </w:rPr>
              <w:t>Gmin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2.578*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8D461A" w:rsidRPr="004C38B5" w:rsidTr="001D39E3">
        <w:trPr>
          <w:trHeight w:val="276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p=16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α=</w:t>
            </w:r>
            <w:r w:rsidRPr="004C38B5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C38B5">
              <w:rPr>
                <w:bCs/>
                <w:color w:val="000000"/>
                <w:sz w:val="18"/>
                <w:szCs w:val="18"/>
              </w:rPr>
              <w:t>2.585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α=</w:t>
            </w:r>
            <w:r w:rsidRPr="004C38B5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2.852</w:t>
            </w:r>
          </w:p>
        </w:tc>
      </w:tr>
      <w:tr w:rsidR="008D461A" w:rsidRPr="004C38B5" w:rsidTr="001D39E3">
        <w:trPr>
          <w:trHeight w:val="276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kern w:val="0"/>
                <w:sz w:val="18"/>
                <w:szCs w:val="18"/>
              </w:rPr>
              <w:t>p=15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α=</w:t>
            </w: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4C38B5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C38B5">
              <w:rPr>
                <w:bCs/>
                <w:color w:val="000000"/>
                <w:sz w:val="18"/>
                <w:szCs w:val="18"/>
              </w:rPr>
              <w:t>2.549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color w:val="000000"/>
                <w:kern w:val="0"/>
                <w:sz w:val="18"/>
                <w:szCs w:val="18"/>
              </w:rPr>
              <w:t>α=</w:t>
            </w:r>
            <w:r w:rsidRPr="004C38B5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Pr="004C38B5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D461A" w:rsidRPr="004C38B5" w:rsidRDefault="008D461A" w:rsidP="0041685C">
            <w:pPr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C38B5">
              <w:rPr>
                <w:bCs/>
                <w:color w:val="000000"/>
                <w:sz w:val="18"/>
                <w:szCs w:val="18"/>
              </w:rPr>
              <w:t>2.806</w:t>
            </w:r>
          </w:p>
        </w:tc>
      </w:tr>
    </w:tbl>
    <w:p w:rsidR="00C324FA" w:rsidRPr="005F44DA" w:rsidRDefault="00144AC9" w:rsidP="00372AB8">
      <w:pPr>
        <w:jc w:val="center"/>
        <w:outlineLvl w:val="2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>
        <w:rPr>
          <w:bCs/>
          <w:color w:val="000000"/>
          <w:szCs w:val="21"/>
        </w:rPr>
        <w:tab/>
      </w:r>
      <w:r w:rsidR="00C324FA" w:rsidRPr="00372AB8">
        <w:rPr>
          <w:rFonts w:ascii="黑体" w:eastAsia="黑体" w:hint="eastAsia"/>
          <w:bCs/>
          <w:color w:val="000000"/>
          <w:szCs w:val="21"/>
        </w:rPr>
        <w:t>表</w:t>
      </w:r>
      <w:r w:rsidR="00372AB8" w:rsidRPr="00372AB8">
        <w:rPr>
          <w:rFonts w:ascii="黑体" w:eastAsia="黑体" w:hint="eastAsia"/>
          <w:bCs/>
          <w:color w:val="000000"/>
          <w:szCs w:val="21"/>
        </w:rPr>
        <w:t>4</w:t>
      </w:r>
      <w:r w:rsidR="00C324FA" w:rsidRPr="00372AB8">
        <w:rPr>
          <w:rFonts w:ascii="黑体" w:eastAsia="黑体" w:hint="eastAsia"/>
          <w:bCs/>
          <w:color w:val="000000"/>
          <w:szCs w:val="21"/>
        </w:rPr>
        <w:t xml:space="preserve"> 格拉布斯检验（两个离群观测值情形）</w:t>
      </w:r>
    </w:p>
    <w:tbl>
      <w:tblPr>
        <w:tblW w:w="92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1294"/>
        <w:gridCol w:w="1613"/>
        <w:gridCol w:w="1613"/>
        <w:gridCol w:w="1615"/>
      </w:tblGrid>
      <w:tr w:rsidR="00144AC9" w:rsidRPr="001D39E3" w:rsidTr="001D39E3">
        <w:trPr>
          <w:trHeight w:val="223"/>
        </w:trPr>
        <w:tc>
          <w:tcPr>
            <w:tcW w:w="3065" w:type="dxa"/>
            <w:shd w:val="clear" w:color="auto" w:fill="auto"/>
            <w:vAlign w:val="center"/>
          </w:tcPr>
          <w:p w:rsidR="00144AC9" w:rsidRPr="001D39E3" w:rsidRDefault="00144AC9" w:rsidP="0041685C">
            <w:pPr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统计量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1D39E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1D39E3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1D39E3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1D39E3">
              <w:rPr>
                <w:kern w:val="0"/>
                <w:sz w:val="18"/>
                <w:szCs w:val="18"/>
              </w:rPr>
              <w:t>4</w:t>
            </w:r>
          </w:p>
        </w:tc>
      </w:tr>
      <w:tr w:rsidR="00144AC9" w:rsidRPr="001D39E3" w:rsidTr="001D39E3">
        <w:trPr>
          <w:trHeight w:val="253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s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0</w:t>
            </w:r>
            <w:r w:rsidRPr="001D39E3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6.881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40.586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49.565</w:t>
            </w:r>
          </w:p>
        </w:tc>
      </w:tr>
      <w:tr w:rsidR="00144AC9" w:rsidRPr="001D39E3" w:rsidTr="001D39E3">
        <w:trPr>
          <w:trHeight w:val="243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s</w:t>
            </w:r>
            <w:r w:rsidRPr="001D39E3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p-1,p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5.117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16.888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snapToGrid w:val="0"/>
              <w:jc w:val="center"/>
              <w:rPr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35.912</w:t>
            </w:r>
          </w:p>
        </w:tc>
      </w:tr>
      <w:tr w:rsidR="00144AC9" w:rsidRPr="001D39E3" w:rsidTr="001D39E3">
        <w:trPr>
          <w:trHeight w:val="223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s</w:t>
            </w:r>
            <w:r w:rsidRPr="001D39E3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1,2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2.8044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28.9572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snapToGrid w:val="0"/>
              <w:jc w:val="center"/>
              <w:rPr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30.5701</w:t>
            </w:r>
          </w:p>
        </w:tc>
      </w:tr>
      <w:tr w:rsidR="00144AC9" w:rsidRPr="001D39E3" w:rsidTr="001D39E3">
        <w:trPr>
          <w:trHeight w:val="169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两个最大值检验</w:t>
            </w: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统计量</w:t>
            </w: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D39E3">
              <w:rPr>
                <w:color w:val="000000"/>
                <w:kern w:val="0"/>
                <w:sz w:val="18"/>
                <w:szCs w:val="18"/>
              </w:rPr>
              <w:t>G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p-1,p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1D39E3">
              <w:rPr>
                <w:bCs/>
                <w:color w:val="000000"/>
                <w:kern w:val="0"/>
                <w:sz w:val="18"/>
                <w:szCs w:val="18"/>
              </w:rPr>
              <w:t>0.7436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1D39E3">
              <w:rPr>
                <w:bCs/>
                <w:color w:val="000000"/>
                <w:kern w:val="0"/>
                <w:sz w:val="18"/>
                <w:szCs w:val="18"/>
              </w:rPr>
              <w:t>0.4161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snapToGrid w:val="0"/>
              <w:jc w:val="center"/>
              <w:rPr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1D39E3">
              <w:rPr>
                <w:bCs/>
                <w:color w:val="000000"/>
                <w:kern w:val="0"/>
                <w:sz w:val="18"/>
                <w:szCs w:val="18"/>
              </w:rPr>
              <w:t>0.7245</w:t>
            </w:r>
          </w:p>
        </w:tc>
      </w:tr>
      <w:tr w:rsidR="00144AC9" w:rsidRPr="001D39E3" w:rsidTr="001D39E3">
        <w:trPr>
          <w:trHeight w:val="174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两个最小值检验</w:t>
            </w: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统计量</w:t>
            </w: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D39E3">
              <w:rPr>
                <w:color w:val="000000"/>
                <w:kern w:val="0"/>
                <w:sz w:val="18"/>
                <w:szCs w:val="18"/>
              </w:rPr>
              <w:t>G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1D39E3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bscript"/>
              </w:rPr>
              <w:t>，</w:t>
            </w:r>
            <w:r w:rsidRPr="001D39E3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1D39E3">
              <w:rPr>
                <w:bCs/>
                <w:kern w:val="0"/>
                <w:sz w:val="18"/>
                <w:szCs w:val="18"/>
              </w:rPr>
              <w:t>0.4076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1D39E3">
              <w:rPr>
                <w:bCs/>
                <w:kern w:val="0"/>
                <w:sz w:val="18"/>
                <w:szCs w:val="18"/>
              </w:rPr>
              <w:t>0.7135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snapToGrid w:val="0"/>
              <w:jc w:val="center"/>
              <w:rPr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144AC9" w:rsidRPr="001D39E3" w:rsidRDefault="00144AC9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1D39E3">
              <w:rPr>
                <w:bCs/>
                <w:kern w:val="0"/>
                <w:sz w:val="18"/>
                <w:szCs w:val="18"/>
              </w:rPr>
              <w:t>0.6168</w:t>
            </w:r>
          </w:p>
        </w:tc>
      </w:tr>
      <w:tr w:rsidR="00DB1131" w:rsidRPr="001D39E3" w:rsidTr="001D39E3">
        <w:trPr>
          <w:trHeight w:val="282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D39E3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DB1131" w:rsidRPr="001D39E3" w:rsidTr="001D39E3">
        <w:trPr>
          <w:trHeight w:val="200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p=15</w:t>
            </w:r>
            <w:r w:rsidRPr="001D39E3">
              <w:rPr>
                <w:color w:val="000000"/>
                <w:sz w:val="18"/>
                <w:szCs w:val="18"/>
              </w:rPr>
              <w:t>，临界值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6135" w:type="dxa"/>
            <w:gridSpan w:val="4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α=1%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D39E3">
              <w:rPr>
                <w:color w:val="000000"/>
                <w:sz w:val="18"/>
                <w:szCs w:val="18"/>
              </w:rPr>
              <w:t>0.2530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1D39E3">
              <w:rPr>
                <w:color w:val="000000"/>
                <w:sz w:val="18"/>
                <w:szCs w:val="18"/>
              </w:rPr>
              <w:t>α=5%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D39E3">
              <w:rPr>
                <w:color w:val="000000"/>
                <w:sz w:val="18"/>
                <w:szCs w:val="18"/>
              </w:rPr>
              <w:t>0.3367</w:t>
            </w:r>
          </w:p>
        </w:tc>
      </w:tr>
      <w:tr w:rsidR="00DB1131" w:rsidRPr="001D39E3" w:rsidTr="001D39E3">
        <w:trPr>
          <w:trHeight w:val="200"/>
        </w:trPr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p=16</w:t>
            </w:r>
            <w:r w:rsidRPr="001D39E3">
              <w:rPr>
                <w:color w:val="000000"/>
                <w:sz w:val="18"/>
                <w:szCs w:val="18"/>
              </w:rPr>
              <w:t>，临界值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6135" w:type="dxa"/>
            <w:gridSpan w:val="4"/>
            <w:shd w:val="clear" w:color="auto" w:fill="auto"/>
            <w:noWrap/>
            <w:vAlign w:val="center"/>
            <w:hideMark/>
          </w:tcPr>
          <w:p w:rsidR="00DB1131" w:rsidRPr="001D39E3" w:rsidRDefault="00DB1131" w:rsidP="004168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39E3">
              <w:rPr>
                <w:color w:val="000000"/>
                <w:sz w:val="18"/>
                <w:szCs w:val="18"/>
              </w:rPr>
              <w:t>α=1%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D39E3">
              <w:rPr>
                <w:color w:val="000000"/>
                <w:sz w:val="18"/>
                <w:szCs w:val="18"/>
              </w:rPr>
              <w:t>0.2767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1D39E3">
              <w:rPr>
                <w:color w:val="000000"/>
                <w:sz w:val="18"/>
                <w:szCs w:val="18"/>
              </w:rPr>
              <w:t>α=5%</w:t>
            </w:r>
            <w:r w:rsidRPr="001D39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D39E3">
              <w:rPr>
                <w:color w:val="000000"/>
                <w:sz w:val="18"/>
                <w:szCs w:val="18"/>
              </w:rPr>
              <w:t>0.3603</w:t>
            </w:r>
          </w:p>
        </w:tc>
      </w:tr>
    </w:tbl>
    <w:p w:rsidR="00C324FA" w:rsidRPr="00C324FA" w:rsidRDefault="00C135A6" w:rsidP="00275CA1">
      <w:pPr>
        <w:ind w:firstLineChars="200" w:firstLine="452"/>
        <w:rPr>
          <w:spacing w:val="8"/>
          <w:szCs w:val="21"/>
        </w:rPr>
      </w:pPr>
      <w:r>
        <w:rPr>
          <w:rFonts w:hint="eastAsia"/>
          <w:spacing w:val="8"/>
          <w:szCs w:val="21"/>
        </w:rPr>
        <w:t>由表</w:t>
      </w:r>
      <w:r w:rsidR="003361E2">
        <w:rPr>
          <w:rFonts w:hint="eastAsia"/>
          <w:spacing w:val="8"/>
          <w:szCs w:val="21"/>
        </w:rPr>
        <w:t>3</w:t>
      </w:r>
      <w:r>
        <w:rPr>
          <w:rFonts w:hint="eastAsia"/>
          <w:spacing w:val="8"/>
          <w:szCs w:val="21"/>
        </w:rPr>
        <w:t>检验结果可知，</w:t>
      </w:r>
      <w:r w:rsidRPr="002C7A58">
        <w:rPr>
          <w:rFonts w:hint="eastAsia"/>
          <w:spacing w:val="8"/>
          <w:szCs w:val="21"/>
        </w:rPr>
        <w:t>水平</w:t>
      </w:r>
      <w:r w:rsidRPr="002C7A58">
        <w:rPr>
          <w:rFonts w:hint="eastAsia"/>
          <w:spacing w:val="8"/>
          <w:szCs w:val="21"/>
        </w:rPr>
        <w:t>1</w:t>
      </w:r>
      <w:r>
        <w:rPr>
          <w:rFonts w:hint="eastAsia"/>
          <w:spacing w:val="8"/>
          <w:szCs w:val="21"/>
        </w:rPr>
        <w:t>，</w:t>
      </w:r>
      <w:r w:rsidRPr="002C7A58">
        <w:rPr>
          <w:rFonts w:hint="eastAsia"/>
          <w:spacing w:val="8"/>
          <w:szCs w:val="21"/>
        </w:rPr>
        <w:t>实验室</w:t>
      </w:r>
      <w:r w:rsidRPr="002C7A58">
        <w:rPr>
          <w:rFonts w:hint="eastAsia"/>
          <w:spacing w:val="8"/>
          <w:szCs w:val="21"/>
        </w:rPr>
        <w:t>16</w:t>
      </w:r>
      <w:r w:rsidRPr="002C7A58">
        <w:rPr>
          <w:rFonts w:hint="eastAsia"/>
          <w:spacing w:val="8"/>
          <w:szCs w:val="21"/>
        </w:rPr>
        <w:t>最小值</w:t>
      </w:r>
      <w:r w:rsidRPr="002C7A58">
        <w:rPr>
          <w:rFonts w:hint="eastAsia"/>
          <w:spacing w:val="8"/>
          <w:szCs w:val="21"/>
        </w:rPr>
        <w:t>11.12</w:t>
      </w:r>
      <w:r w:rsidRPr="002C7A58">
        <w:rPr>
          <w:rFonts w:hint="eastAsia"/>
          <w:spacing w:val="8"/>
          <w:szCs w:val="21"/>
        </w:rPr>
        <w:t>为</w:t>
      </w:r>
      <w:proofErr w:type="gramStart"/>
      <w:r w:rsidRPr="002C7A58">
        <w:rPr>
          <w:rFonts w:hint="eastAsia"/>
          <w:spacing w:val="8"/>
          <w:szCs w:val="21"/>
        </w:rPr>
        <w:t>岐</w:t>
      </w:r>
      <w:proofErr w:type="gramEnd"/>
      <w:r w:rsidRPr="002C7A58">
        <w:rPr>
          <w:rFonts w:hint="eastAsia"/>
          <w:spacing w:val="8"/>
          <w:szCs w:val="21"/>
        </w:rPr>
        <w:t>离值，暂时保留；水平</w:t>
      </w:r>
      <w:r w:rsidRPr="002C7A58">
        <w:rPr>
          <w:rFonts w:hint="eastAsia"/>
          <w:spacing w:val="8"/>
          <w:szCs w:val="21"/>
        </w:rPr>
        <w:t>3</w:t>
      </w:r>
      <w:r w:rsidRPr="002C7A58">
        <w:rPr>
          <w:rFonts w:hint="eastAsia"/>
          <w:spacing w:val="8"/>
          <w:szCs w:val="21"/>
        </w:rPr>
        <w:t>，实验室</w:t>
      </w:r>
      <w:r w:rsidRPr="002C7A58">
        <w:rPr>
          <w:rFonts w:hint="eastAsia"/>
          <w:spacing w:val="8"/>
          <w:szCs w:val="21"/>
        </w:rPr>
        <w:t>10</w:t>
      </w:r>
      <w:r w:rsidRPr="002C7A58">
        <w:rPr>
          <w:rFonts w:hint="eastAsia"/>
          <w:spacing w:val="8"/>
          <w:szCs w:val="21"/>
        </w:rPr>
        <w:t>最大值</w:t>
      </w:r>
      <w:r w:rsidRPr="002C7A58">
        <w:rPr>
          <w:rFonts w:hint="eastAsia"/>
          <w:spacing w:val="8"/>
          <w:szCs w:val="21"/>
        </w:rPr>
        <w:t>102.35</w:t>
      </w:r>
      <w:r w:rsidRPr="002C7A58">
        <w:rPr>
          <w:rFonts w:hint="eastAsia"/>
          <w:spacing w:val="8"/>
          <w:szCs w:val="21"/>
        </w:rPr>
        <w:t>为离群值，剔除</w:t>
      </w:r>
      <w:r>
        <w:rPr>
          <w:rFonts w:hint="eastAsia"/>
          <w:spacing w:val="8"/>
          <w:szCs w:val="21"/>
        </w:rPr>
        <w:t>，对剩余数据继续检验，最小值</w:t>
      </w:r>
      <w:r>
        <w:rPr>
          <w:rFonts w:hint="eastAsia"/>
          <w:spacing w:val="8"/>
          <w:szCs w:val="21"/>
        </w:rPr>
        <w:t>94.22</w:t>
      </w:r>
      <w:r>
        <w:rPr>
          <w:rFonts w:hint="eastAsia"/>
          <w:spacing w:val="8"/>
          <w:szCs w:val="21"/>
        </w:rPr>
        <w:t>为</w:t>
      </w:r>
      <w:proofErr w:type="gramStart"/>
      <w:r>
        <w:rPr>
          <w:rFonts w:hint="eastAsia"/>
          <w:spacing w:val="8"/>
          <w:szCs w:val="21"/>
        </w:rPr>
        <w:t>岐</w:t>
      </w:r>
      <w:proofErr w:type="gramEnd"/>
      <w:r>
        <w:rPr>
          <w:rFonts w:hint="eastAsia"/>
          <w:spacing w:val="8"/>
          <w:szCs w:val="21"/>
        </w:rPr>
        <w:t>离值，暂时保留。对未检出离群值的水平进行两个离群值情形的检验，无异常值。</w:t>
      </w:r>
    </w:p>
    <w:p w:rsidR="004A6AA2" w:rsidRPr="0031236D" w:rsidRDefault="00A2331B" w:rsidP="00275CA1">
      <w:pPr>
        <w:outlineLvl w:val="2"/>
        <w:rPr>
          <w:b/>
          <w:bCs/>
          <w:color w:val="000000"/>
          <w:szCs w:val="21"/>
        </w:rPr>
      </w:pPr>
      <w:r w:rsidRPr="0031236D">
        <w:rPr>
          <w:rFonts w:hint="eastAsia"/>
          <w:b/>
          <w:bCs/>
          <w:color w:val="000000"/>
          <w:szCs w:val="21"/>
        </w:rPr>
        <w:t>3.7.4</w:t>
      </w:r>
      <w:r w:rsidR="004A6AA2" w:rsidRPr="0031236D">
        <w:rPr>
          <w:rFonts w:hAnsi="宋体"/>
          <w:b/>
          <w:bCs/>
          <w:color w:val="000000"/>
          <w:szCs w:val="21"/>
        </w:rPr>
        <w:t>精密度</w:t>
      </w:r>
      <w:r w:rsidR="0006149D" w:rsidRPr="0031236D">
        <w:rPr>
          <w:rFonts w:hAnsi="宋体" w:hint="eastAsia"/>
          <w:b/>
          <w:bCs/>
          <w:color w:val="000000"/>
          <w:szCs w:val="21"/>
        </w:rPr>
        <w:t>计算</w:t>
      </w:r>
    </w:p>
    <w:p w:rsidR="001B4509" w:rsidRPr="00275CA1" w:rsidRDefault="006A649C" w:rsidP="00275CA1">
      <w:pPr>
        <w:ind w:firstLine="435"/>
        <w:rPr>
          <w:szCs w:val="21"/>
          <w:highlight w:val="cyan"/>
        </w:rPr>
      </w:pPr>
      <w:r w:rsidRPr="00275CA1">
        <w:rPr>
          <w:bCs/>
          <w:szCs w:val="21"/>
        </w:rPr>
        <w:t>剔除离群值后，</w:t>
      </w:r>
      <w:r w:rsidR="0023077C" w:rsidRPr="00275CA1">
        <w:rPr>
          <w:rFonts w:hint="eastAsia"/>
          <w:bCs/>
          <w:szCs w:val="21"/>
        </w:rPr>
        <w:t>精密度</w:t>
      </w:r>
      <w:r w:rsidRPr="00275CA1">
        <w:rPr>
          <w:bCs/>
          <w:szCs w:val="21"/>
        </w:rPr>
        <w:t>计算结果见表</w:t>
      </w:r>
      <w:r w:rsidR="00372AB8" w:rsidRPr="00275CA1">
        <w:rPr>
          <w:rFonts w:hint="eastAsia"/>
          <w:bCs/>
          <w:szCs w:val="21"/>
        </w:rPr>
        <w:t>5</w:t>
      </w:r>
      <w:r w:rsidRPr="00275CA1">
        <w:rPr>
          <w:bCs/>
          <w:szCs w:val="21"/>
        </w:rPr>
        <w:t>。</w:t>
      </w:r>
    </w:p>
    <w:p w:rsidR="001B4509" w:rsidRPr="00372AB8" w:rsidRDefault="006A649C" w:rsidP="00372AB8">
      <w:pPr>
        <w:jc w:val="center"/>
        <w:outlineLvl w:val="2"/>
        <w:rPr>
          <w:rFonts w:ascii="黑体" w:eastAsia="黑体"/>
          <w:bCs/>
          <w:color w:val="000000"/>
          <w:szCs w:val="21"/>
        </w:rPr>
      </w:pPr>
      <w:r w:rsidRPr="00372AB8">
        <w:rPr>
          <w:rFonts w:ascii="黑体" w:eastAsia="黑体" w:hint="eastAsia"/>
          <w:bCs/>
          <w:color w:val="000000"/>
          <w:szCs w:val="21"/>
        </w:rPr>
        <w:t>表</w:t>
      </w:r>
      <w:r w:rsidR="00372AB8" w:rsidRPr="00372AB8">
        <w:rPr>
          <w:rFonts w:ascii="黑体" w:eastAsia="黑体" w:hint="eastAsia"/>
          <w:bCs/>
          <w:color w:val="000000"/>
          <w:szCs w:val="21"/>
        </w:rPr>
        <w:t>5</w:t>
      </w:r>
      <w:r w:rsidR="0006149D" w:rsidRPr="00372AB8">
        <w:rPr>
          <w:rFonts w:ascii="黑体" w:eastAsia="黑体" w:hint="eastAsia"/>
          <w:bCs/>
          <w:color w:val="000000"/>
          <w:szCs w:val="21"/>
        </w:rPr>
        <w:t xml:space="preserve">   </w:t>
      </w:r>
      <w:r w:rsidR="0023077C" w:rsidRPr="00372AB8">
        <w:rPr>
          <w:rFonts w:ascii="黑体" w:eastAsia="黑体" w:hint="eastAsia"/>
          <w:bCs/>
          <w:color w:val="000000"/>
          <w:szCs w:val="21"/>
        </w:rPr>
        <w:t>精密度计算结果</w:t>
      </w:r>
    </w:p>
    <w:tbl>
      <w:tblPr>
        <w:tblW w:w="927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778"/>
        <w:gridCol w:w="1891"/>
        <w:gridCol w:w="2054"/>
        <w:gridCol w:w="2054"/>
      </w:tblGrid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统计量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8D461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snapToGrid w:val="0"/>
              <w:jc w:val="center"/>
              <w:rPr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8D461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snapToGrid w:val="0"/>
              <w:jc w:val="center"/>
              <w:rPr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8D461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snapToGrid w:val="0"/>
              <w:jc w:val="center"/>
              <w:rPr>
                <w:sz w:val="18"/>
                <w:szCs w:val="18"/>
              </w:rPr>
            </w:pPr>
            <w:r w:rsidRPr="008D461A">
              <w:rPr>
                <w:rFonts w:hint="eastAsia"/>
                <w:kern w:val="0"/>
                <w:sz w:val="18"/>
                <w:szCs w:val="18"/>
              </w:rPr>
              <w:t>水平</w:t>
            </w:r>
            <w:r w:rsidRPr="008D461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2139.34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7258.04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14972.93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24750.40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27642.1480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342492.9270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1446572.7870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3690852.3280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166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154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155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166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1752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1618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1631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1752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T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35.210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118.148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200.685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483.898</w:t>
            </w:r>
          </w:p>
        </w:tc>
      </w:tr>
      <w:tr w:rsidR="00675EA9" w:rsidRPr="008D461A" w:rsidTr="004C38B5">
        <w:trPr>
          <w:trHeight w:val="290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r</w:t>
            </w:r>
            <w:r w:rsidRPr="008D461A"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0.235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0.850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1.434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3.226</w:t>
            </w:r>
          </w:p>
        </w:tc>
      </w:tr>
      <w:tr w:rsidR="00675EA9" w:rsidRPr="008D461A" w:rsidTr="004C38B5">
        <w:trPr>
          <w:trHeight w:val="290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L</w:t>
            </w:r>
            <w:r w:rsidRPr="008D461A"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0.435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2.848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1.207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3.533</w:t>
            </w:r>
          </w:p>
        </w:tc>
      </w:tr>
      <w:tr w:rsidR="00675EA9" w:rsidRPr="008D461A" w:rsidTr="004C38B5">
        <w:trPr>
          <w:trHeight w:val="290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R</w:t>
            </w:r>
            <w:r w:rsidRPr="008D461A"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0.670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3.698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2.641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6.759</w:t>
            </w:r>
          </w:p>
        </w:tc>
      </w:tr>
      <w:tr w:rsidR="00675EA9" w:rsidRPr="008D461A" w:rsidTr="004C38B5">
        <w:trPr>
          <w:trHeight w:val="267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0.82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1.92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1.63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2.60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spellStart"/>
            <w:r w:rsidRPr="008D461A">
              <w:rPr>
                <w:kern w:val="0"/>
                <w:sz w:val="18"/>
                <w:szCs w:val="18"/>
              </w:rPr>
              <w:t>S</w:t>
            </w:r>
            <w:r w:rsidRPr="008D461A">
              <w:rPr>
                <w:kern w:val="0"/>
                <w:sz w:val="18"/>
                <w:szCs w:val="18"/>
                <w:vertAlign w:val="subscript"/>
              </w:rPr>
              <w:t>rj</w:t>
            </w:r>
            <w:proofErr w:type="spellEnd"/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0.48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0.92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1.20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D461A">
              <w:rPr>
                <w:kern w:val="0"/>
                <w:sz w:val="18"/>
                <w:szCs w:val="18"/>
              </w:rPr>
              <w:t>1.80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m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12.9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47.1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96.6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149.1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1.36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2.58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3.36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5.04</w:t>
            </w:r>
          </w:p>
        </w:tc>
      </w:tr>
      <w:tr w:rsidR="00675EA9" w:rsidRPr="008D461A" w:rsidTr="004C38B5">
        <w:trPr>
          <w:trHeight w:val="256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2.30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5.38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4.56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675EA9" w:rsidRPr="008D461A" w:rsidRDefault="00675EA9" w:rsidP="00F64D61">
            <w:pPr>
              <w:widowControl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D461A">
              <w:rPr>
                <w:b/>
                <w:bCs/>
                <w:kern w:val="0"/>
                <w:sz w:val="18"/>
                <w:szCs w:val="18"/>
              </w:rPr>
              <w:t>7.28</w:t>
            </w:r>
          </w:p>
        </w:tc>
      </w:tr>
    </w:tbl>
    <w:p w:rsidR="0023077C" w:rsidRPr="0031236D" w:rsidRDefault="0023077C" w:rsidP="00275CA1">
      <w:pPr>
        <w:pStyle w:val="aa"/>
        <w:ind w:firstLineChars="0" w:firstLine="0"/>
        <w:rPr>
          <w:rFonts w:ascii="Times New Roman"/>
          <w:b/>
          <w:szCs w:val="21"/>
        </w:rPr>
      </w:pPr>
      <w:r w:rsidRPr="0031236D">
        <w:rPr>
          <w:rFonts w:ascii="Times New Roman"/>
          <w:b/>
          <w:szCs w:val="21"/>
        </w:rPr>
        <w:t>3.</w:t>
      </w:r>
      <w:r w:rsidRPr="0031236D">
        <w:rPr>
          <w:rFonts w:ascii="Times New Roman" w:hint="eastAsia"/>
          <w:b/>
          <w:szCs w:val="21"/>
        </w:rPr>
        <w:t>7.5</w:t>
      </w:r>
      <w:r w:rsidRPr="0031236D">
        <w:rPr>
          <w:rFonts w:ascii="Times New Roman"/>
          <w:b/>
          <w:szCs w:val="21"/>
        </w:rPr>
        <w:t xml:space="preserve"> </w:t>
      </w:r>
      <w:r w:rsidRPr="0031236D">
        <w:rPr>
          <w:rFonts w:ascii="Times New Roman"/>
          <w:b/>
          <w:szCs w:val="21"/>
        </w:rPr>
        <w:t>重复性和再现性</w:t>
      </w:r>
    </w:p>
    <w:p w:rsidR="0023077C" w:rsidRPr="00275CA1" w:rsidRDefault="0023077C" w:rsidP="00275CA1">
      <w:pPr>
        <w:ind w:firstLine="420"/>
        <w:jc w:val="left"/>
        <w:rPr>
          <w:kern w:val="1"/>
          <w:szCs w:val="21"/>
        </w:rPr>
      </w:pPr>
      <w:r w:rsidRPr="00275CA1">
        <w:rPr>
          <w:kern w:val="1"/>
          <w:szCs w:val="21"/>
        </w:rPr>
        <w:t>由于</w:t>
      </w:r>
      <w:r w:rsidRPr="00275CA1">
        <w:rPr>
          <w:rFonts w:hint="eastAsia"/>
          <w:kern w:val="1"/>
          <w:szCs w:val="21"/>
        </w:rPr>
        <w:t>标准起草过程中</w:t>
      </w:r>
      <w:r w:rsidR="00275CA1" w:rsidRPr="00275CA1">
        <w:rPr>
          <w:rFonts w:hint="eastAsia"/>
          <w:kern w:val="1"/>
          <w:szCs w:val="21"/>
        </w:rPr>
        <w:t>，</w:t>
      </w:r>
      <w:r w:rsidRPr="00275CA1">
        <w:rPr>
          <w:rFonts w:hint="eastAsia"/>
          <w:kern w:val="1"/>
          <w:szCs w:val="21"/>
        </w:rPr>
        <w:t>对验证样品的精密度</w:t>
      </w:r>
      <w:r w:rsidR="00275CA1" w:rsidRPr="00275CA1">
        <w:rPr>
          <w:rFonts w:hint="eastAsia"/>
          <w:kern w:val="1"/>
          <w:szCs w:val="21"/>
        </w:rPr>
        <w:t>试验</w:t>
      </w:r>
      <w:r w:rsidRPr="00275CA1">
        <w:rPr>
          <w:rFonts w:hint="eastAsia"/>
          <w:kern w:val="1"/>
          <w:szCs w:val="21"/>
        </w:rPr>
        <w:t>相对日常分析还是有所不同，</w:t>
      </w:r>
      <w:r w:rsidRPr="00275CA1">
        <w:rPr>
          <w:kern w:val="1"/>
          <w:szCs w:val="21"/>
        </w:rPr>
        <w:t>考虑到验证样品的情况和实际分析测试误差，</w:t>
      </w:r>
      <w:r w:rsidRPr="00275CA1">
        <w:rPr>
          <w:rFonts w:hint="eastAsia"/>
          <w:kern w:val="1"/>
          <w:szCs w:val="21"/>
        </w:rPr>
        <w:t>结合日常分析的数据波动情况，</w:t>
      </w:r>
      <w:r w:rsidRPr="00275CA1">
        <w:rPr>
          <w:kern w:val="1"/>
          <w:szCs w:val="21"/>
        </w:rPr>
        <w:t>经论证确定</w:t>
      </w:r>
      <w:r w:rsidRPr="00275CA1">
        <w:rPr>
          <w:szCs w:val="21"/>
        </w:rPr>
        <w:t>重复性</w:t>
      </w:r>
      <w:r w:rsidRPr="00275CA1">
        <w:rPr>
          <w:kern w:val="1"/>
          <w:szCs w:val="21"/>
        </w:rPr>
        <w:t>r</w:t>
      </w:r>
      <w:r w:rsidRPr="00275CA1">
        <w:rPr>
          <w:szCs w:val="21"/>
        </w:rPr>
        <w:t>和再现性</w:t>
      </w:r>
      <w:r w:rsidRPr="00275CA1">
        <w:rPr>
          <w:kern w:val="1"/>
          <w:szCs w:val="21"/>
        </w:rPr>
        <w:t>R</w:t>
      </w:r>
      <w:r w:rsidRPr="00275CA1">
        <w:rPr>
          <w:kern w:val="1"/>
          <w:szCs w:val="21"/>
        </w:rPr>
        <w:t>值见表</w:t>
      </w:r>
      <w:r w:rsidR="00372AB8" w:rsidRPr="00275CA1">
        <w:rPr>
          <w:rFonts w:hint="eastAsia"/>
          <w:kern w:val="1"/>
          <w:szCs w:val="21"/>
        </w:rPr>
        <w:t>6</w:t>
      </w:r>
      <w:r w:rsidRPr="00275CA1">
        <w:rPr>
          <w:kern w:val="1"/>
          <w:szCs w:val="21"/>
        </w:rPr>
        <w:t>。</w:t>
      </w:r>
    </w:p>
    <w:p w:rsidR="0023077C" w:rsidRPr="00372AB8" w:rsidRDefault="0023077C" w:rsidP="00372AB8">
      <w:pPr>
        <w:jc w:val="center"/>
        <w:outlineLvl w:val="2"/>
        <w:rPr>
          <w:rFonts w:ascii="黑体" w:eastAsia="黑体"/>
          <w:bCs/>
          <w:color w:val="000000"/>
          <w:szCs w:val="21"/>
        </w:rPr>
      </w:pPr>
      <w:r w:rsidRPr="00372AB8">
        <w:rPr>
          <w:rFonts w:ascii="黑体" w:eastAsia="黑体"/>
          <w:bCs/>
          <w:color w:val="000000"/>
          <w:szCs w:val="21"/>
        </w:rPr>
        <w:t>表</w:t>
      </w:r>
      <w:r w:rsidR="00372AB8" w:rsidRPr="00372AB8">
        <w:rPr>
          <w:rFonts w:ascii="黑体" w:eastAsia="黑体" w:hint="eastAsia"/>
          <w:bCs/>
          <w:color w:val="000000"/>
          <w:szCs w:val="21"/>
        </w:rPr>
        <w:t>6</w:t>
      </w:r>
      <w:r w:rsidRPr="00372AB8">
        <w:rPr>
          <w:rFonts w:ascii="黑体" w:eastAsia="黑体" w:hint="eastAsia"/>
          <w:bCs/>
          <w:color w:val="000000"/>
          <w:szCs w:val="21"/>
        </w:rPr>
        <w:t xml:space="preserve">  </w:t>
      </w:r>
      <w:r w:rsidRPr="00372AB8">
        <w:rPr>
          <w:rFonts w:ascii="黑体" w:eastAsia="黑体"/>
          <w:bCs/>
          <w:color w:val="000000"/>
          <w:szCs w:val="21"/>
        </w:rPr>
        <w:t>重复性</w:t>
      </w:r>
      <w:r w:rsidR="00A318FF" w:rsidRPr="00372AB8">
        <w:rPr>
          <w:rFonts w:ascii="黑体" w:eastAsia="黑体" w:hint="eastAsia"/>
          <w:bCs/>
          <w:color w:val="000000"/>
          <w:szCs w:val="21"/>
        </w:rPr>
        <w:t>r</w:t>
      </w:r>
      <w:r w:rsidRPr="00372AB8">
        <w:rPr>
          <w:rFonts w:ascii="黑体" w:eastAsia="黑体"/>
          <w:bCs/>
          <w:color w:val="000000"/>
          <w:szCs w:val="21"/>
        </w:rPr>
        <w:t>和再现性</w:t>
      </w:r>
      <w:r w:rsidR="00A318FF" w:rsidRPr="00372AB8">
        <w:rPr>
          <w:rFonts w:ascii="黑体" w:eastAsia="黑体" w:hint="eastAsia"/>
          <w:bCs/>
          <w:color w:val="000000"/>
          <w:szCs w:val="21"/>
        </w:rPr>
        <w:t>R</w:t>
      </w: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1919"/>
        <w:gridCol w:w="1919"/>
        <w:gridCol w:w="1919"/>
        <w:gridCol w:w="1919"/>
      </w:tblGrid>
      <w:tr w:rsidR="0023077C" w:rsidRPr="004C38B5" w:rsidTr="001D39E3">
        <w:trPr>
          <w:trHeight w:val="239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3077C" w:rsidRPr="004C38B5" w:rsidRDefault="00A318FF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proofErr w:type="spellStart"/>
            <w:r w:rsidRPr="004C38B5">
              <w:rPr>
                <w:rFonts w:hint="eastAsia"/>
                <w:bCs/>
                <w:i/>
                <w:kern w:val="0"/>
                <w:sz w:val="18"/>
                <w:szCs w:val="18"/>
              </w:rPr>
              <w:t>w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  <w:vertAlign w:val="subscript"/>
              </w:rPr>
              <w:t>Ag</w:t>
            </w:r>
            <w:proofErr w:type="spellEnd"/>
            <w:r w:rsidRPr="004C38B5">
              <w:rPr>
                <w:rFonts w:hint="eastAsia"/>
                <w:bCs/>
                <w:kern w:val="0"/>
                <w:sz w:val="18"/>
                <w:szCs w:val="18"/>
                <w:vertAlign w:val="subscript"/>
              </w:rPr>
              <w:t xml:space="preserve"> 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g/t</w:t>
            </w:r>
            <w:r w:rsidRPr="004C38B5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12.9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47.1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96.6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149.1</w:t>
            </w:r>
          </w:p>
        </w:tc>
      </w:tr>
      <w:tr w:rsidR="0023077C" w:rsidRPr="004C38B5" w:rsidTr="001D39E3">
        <w:trPr>
          <w:trHeight w:val="239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r</w:t>
            </w:r>
            <w:r w:rsidR="00A318FF" w:rsidRPr="004C38B5"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  <w:r w:rsidR="00A318FF" w:rsidRPr="004C38B5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="00A318FF" w:rsidRPr="004C38B5">
              <w:rPr>
                <w:rFonts w:hint="eastAsia"/>
                <w:bCs/>
                <w:kern w:val="0"/>
                <w:sz w:val="18"/>
                <w:szCs w:val="18"/>
              </w:rPr>
              <w:t>g/t</w:t>
            </w:r>
            <w:r w:rsidR="00A318FF" w:rsidRPr="004C38B5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1.5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3.0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6.0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10.0</w:t>
            </w:r>
          </w:p>
        </w:tc>
      </w:tr>
      <w:tr w:rsidR="0023077C" w:rsidRPr="004C38B5" w:rsidTr="001D39E3">
        <w:trPr>
          <w:trHeight w:val="239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R</w:t>
            </w:r>
            <w:r w:rsidR="00A318FF" w:rsidRPr="004C38B5"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  <w:r w:rsidR="00A318FF" w:rsidRPr="004C38B5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="00A318FF" w:rsidRPr="004C38B5">
              <w:rPr>
                <w:rFonts w:hint="eastAsia"/>
                <w:bCs/>
                <w:kern w:val="0"/>
                <w:sz w:val="18"/>
                <w:szCs w:val="18"/>
              </w:rPr>
              <w:t>g/t</w:t>
            </w:r>
            <w:r w:rsidR="00A318FF" w:rsidRPr="004C38B5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2.5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892D77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5.</w:t>
            </w:r>
            <w:r w:rsidR="00892D77" w:rsidRPr="004C38B5">
              <w:rPr>
                <w:rFonts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10.0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23077C" w:rsidRPr="004C38B5" w:rsidRDefault="0023077C" w:rsidP="0041685C">
            <w:pPr>
              <w:widowControl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 w:rsidRPr="004C38B5">
              <w:rPr>
                <w:bCs/>
                <w:kern w:val="0"/>
                <w:sz w:val="18"/>
                <w:szCs w:val="18"/>
              </w:rPr>
              <w:t>14.0</w:t>
            </w:r>
          </w:p>
        </w:tc>
      </w:tr>
    </w:tbl>
    <w:p w:rsidR="00726173" w:rsidRPr="00726173" w:rsidRDefault="006A649C" w:rsidP="0072617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726173" w:rsidRPr="00726173">
        <w:rPr>
          <w:rFonts w:ascii="宋体" w:hAnsi="宋体" w:hint="eastAsia"/>
          <w:b/>
          <w:sz w:val="24"/>
        </w:rPr>
        <w:t>标准中涉及专利的情况</w:t>
      </w:r>
    </w:p>
    <w:p w:rsidR="00726173" w:rsidRDefault="00726173" w:rsidP="00726173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</w:t>
      </w:r>
      <w:r>
        <w:rPr>
          <w:rFonts w:hint="eastAsia"/>
          <w:bCs/>
        </w:rPr>
        <w:t>本标准不涉及专利问题。</w:t>
      </w:r>
    </w:p>
    <w:p w:rsidR="001B4509" w:rsidRDefault="0072617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 w:rsidR="006A649C">
        <w:rPr>
          <w:rFonts w:ascii="宋体" w:hAnsi="宋体" w:hint="eastAsia"/>
          <w:b/>
          <w:sz w:val="24"/>
        </w:rPr>
        <w:t>标准水平分析</w:t>
      </w:r>
    </w:p>
    <w:p w:rsidR="00BD00FD" w:rsidRPr="00A866CB" w:rsidRDefault="006A649C" w:rsidP="006D2752">
      <w:pPr>
        <w:adjustRightInd w:val="0"/>
        <w:snapToGrid w:val="0"/>
        <w:spacing w:beforeLines="50" w:afterLines="50" w:line="300" w:lineRule="auto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经过资料搜索，</w:t>
      </w:r>
      <w:proofErr w:type="gramStart"/>
      <w:r>
        <w:rPr>
          <w:rFonts w:ascii="宋体" w:hAnsi="宋体" w:hint="eastAsia"/>
          <w:szCs w:val="21"/>
        </w:rPr>
        <w:t>均无与</w:t>
      </w:r>
      <w:r w:rsidR="0093330E">
        <w:rPr>
          <w:rFonts w:ascii="宋体" w:hAnsi="宋体" w:hint="eastAsia"/>
          <w:szCs w:val="21"/>
        </w:rPr>
        <w:t>镍精矿</w:t>
      </w:r>
      <w:proofErr w:type="gramEnd"/>
      <w:r>
        <w:rPr>
          <w:rFonts w:ascii="宋体" w:hAnsi="宋体" w:hint="eastAsia"/>
          <w:szCs w:val="21"/>
        </w:rPr>
        <w:t>中银含量测定相关的分析标准。本标准是首次制订，填补了国际、国内</w:t>
      </w:r>
      <w:r w:rsidR="0093330E">
        <w:rPr>
          <w:rFonts w:ascii="宋体" w:hAnsi="宋体" w:hint="eastAsia"/>
          <w:szCs w:val="21"/>
        </w:rPr>
        <w:t>镍精矿</w:t>
      </w:r>
      <w:r>
        <w:rPr>
          <w:rFonts w:ascii="宋体" w:hAnsi="宋体" w:hint="eastAsia"/>
          <w:szCs w:val="21"/>
        </w:rPr>
        <w:t>中银含量测定标准的空白。</w:t>
      </w:r>
      <w:r>
        <w:rPr>
          <w:rFonts w:hint="eastAsia"/>
          <w:szCs w:val="21"/>
        </w:rPr>
        <w:t>与会代表一致认为：《</w:t>
      </w:r>
      <w:r w:rsidR="0093330E">
        <w:rPr>
          <w:rFonts w:hint="eastAsia"/>
          <w:szCs w:val="21"/>
        </w:rPr>
        <w:t>镍精矿</w:t>
      </w:r>
      <w:r>
        <w:rPr>
          <w:rFonts w:hint="eastAsia"/>
          <w:szCs w:val="21"/>
        </w:rPr>
        <w:t>化学分析方法》系列标准的编写符合</w:t>
      </w:r>
      <w:r>
        <w:rPr>
          <w:rFonts w:hint="eastAsia"/>
          <w:szCs w:val="21"/>
        </w:rPr>
        <w:lastRenderedPageBreak/>
        <w:t>GB/T 1.1-2009</w:t>
      </w:r>
      <w:r>
        <w:rPr>
          <w:rFonts w:hint="eastAsia"/>
          <w:szCs w:val="21"/>
        </w:rPr>
        <w:t>《标准化工作导则》的编制要求。</w:t>
      </w:r>
      <w:r w:rsidR="00BD00FD" w:rsidRPr="00A866CB">
        <w:rPr>
          <w:rFonts w:hint="eastAsia"/>
          <w:szCs w:val="21"/>
        </w:rPr>
        <w:t>该标准技术先进、可操作性强、结构合理、文字简练、条理清晰，达到了</w:t>
      </w:r>
      <w:r w:rsidR="00372AB8" w:rsidRPr="00A866CB">
        <w:rPr>
          <w:rFonts w:hint="eastAsia"/>
          <w:color w:val="FF0000"/>
          <w:szCs w:val="21"/>
        </w:rPr>
        <w:t>？</w:t>
      </w:r>
      <w:r w:rsidR="00372AB8" w:rsidRPr="00A866CB">
        <w:rPr>
          <w:rFonts w:hint="eastAsia"/>
          <w:color w:val="FF0000"/>
          <w:szCs w:val="21"/>
        </w:rPr>
        <w:t xml:space="preserve">?  </w:t>
      </w:r>
      <w:r w:rsidR="00BD00FD" w:rsidRPr="00A866CB">
        <w:rPr>
          <w:rFonts w:hint="eastAsia"/>
          <w:szCs w:val="21"/>
        </w:rPr>
        <w:t>水平。</w:t>
      </w:r>
    </w:p>
    <w:p w:rsidR="001B4509" w:rsidRPr="00726173" w:rsidRDefault="00726173" w:rsidP="0072617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6A649C">
        <w:rPr>
          <w:rFonts w:ascii="宋体" w:hAnsi="宋体" w:hint="eastAsia"/>
          <w:b/>
          <w:sz w:val="24"/>
        </w:rPr>
        <w:t>、与现行法律、法规、强制性国家标准及相关标准协调配套的情况</w:t>
      </w:r>
    </w:p>
    <w:p w:rsidR="001B4509" w:rsidRPr="00726173" w:rsidRDefault="006A649C" w:rsidP="00726173">
      <w:pPr>
        <w:spacing w:line="360" w:lineRule="auto"/>
        <w:ind w:firstLineChars="250" w:firstLine="525"/>
        <w:rPr>
          <w:rFonts w:hAnsi="宋体"/>
        </w:rPr>
      </w:pPr>
      <w:r>
        <w:rPr>
          <w:rFonts w:hAnsi="宋体"/>
        </w:rPr>
        <w:t>本标准完全满足</w:t>
      </w:r>
      <w:r w:rsidRPr="00726173">
        <w:rPr>
          <w:rFonts w:hAnsi="宋体" w:hint="eastAsia"/>
        </w:rPr>
        <w:t>现行法律、法规等</w:t>
      </w:r>
      <w:r w:rsidRPr="00726173">
        <w:rPr>
          <w:rFonts w:hAnsi="宋体"/>
        </w:rPr>
        <w:t>的</w:t>
      </w:r>
      <w:r>
        <w:rPr>
          <w:rFonts w:hAnsi="宋体"/>
        </w:rPr>
        <w:t>要求，标准格式规范。</w:t>
      </w:r>
    </w:p>
    <w:p w:rsidR="001B4509" w:rsidRDefault="006A64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七、重大分歧意见的处理经过和依据</w:t>
      </w:r>
    </w:p>
    <w:p w:rsidR="001B4509" w:rsidRDefault="006A649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无</w:t>
      </w:r>
    </w:p>
    <w:p w:rsidR="001B4509" w:rsidRDefault="006A64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八、标准作为强制性或推荐性国家（或行业）标准的建议</w:t>
      </w:r>
    </w:p>
    <w:p w:rsidR="001B4509" w:rsidRDefault="006A649C">
      <w:pPr>
        <w:spacing w:line="360" w:lineRule="auto"/>
        <w:ind w:firstLineChars="250" w:firstLine="525"/>
        <w:rPr>
          <w:rFonts w:hAnsi="宋体"/>
        </w:rPr>
      </w:pPr>
      <w:r>
        <w:rPr>
          <w:rFonts w:hAnsi="宋体"/>
        </w:rPr>
        <w:t>建议该标准</w:t>
      </w:r>
      <w:r>
        <w:rPr>
          <w:rFonts w:hAnsi="宋体" w:hint="eastAsia"/>
        </w:rPr>
        <w:t>作</w:t>
      </w:r>
      <w:r>
        <w:rPr>
          <w:rFonts w:hAnsi="宋体"/>
        </w:rPr>
        <w:t>为推荐性</w:t>
      </w:r>
      <w:r>
        <w:rPr>
          <w:rFonts w:hAnsi="宋体" w:hint="eastAsia"/>
        </w:rPr>
        <w:t>行业</w:t>
      </w:r>
      <w:r>
        <w:rPr>
          <w:rFonts w:hAnsi="宋体"/>
        </w:rPr>
        <w:t>标准。</w:t>
      </w:r>
    </w:p>
    <w:p w:rsidR="001B4509" w:rsidRDefault="006A64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九、贯彻标准的要求和措施建议</w:t>
      </w:r>
    </w:p>
    <w:p w:rsidR="001B4509" w:rsidRDefault="006A649C">
      <w:pPr>
        <w:spacing w:line="360" w:lineRule="auto"/>
        <w:ind w:firstLineChars="250" w:firstLine="525"/>
        <w:rPr>
          <w:rFonts w:ascii="宋体" w:hAnsi="宋体"/>
          <w:b/>
          <w:sz w:val="24"/>
        </w:rPr>
      </w:pPr>
      <w:r>
        <w:rPr>
          <w:rFonts w:hAnsi="宋体" w:hint="eastAsia"/>
        </w:rPr>
        <w:t>无</w:t>
      </w:r>
    </w:p>
    <w:p w:rsidR="001B4509" w:rsidRDefault="006A64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十、废止现行有关标准的建议</w:t>
      </w:r>
    </w:p>
    <w:p w:rsidR="001B4509" w:rsidRDefault="006A649C">
      <w:pPr>
        <w:spacing w:line="360" w:lineRule="auto"/>
        <w:ind w:firstLine="495"/>
        <w:rPr>
          <w:rFonts w:hAnsi="宋体"/>
        </w:rPr>
      </w:pPr>
      <w:r>
        <w:rPr>
          <w:rFonts w:hAnsi="宋体" w:hint="eastAsia"/>
        </w:rPr>
        <w:t>本标准为首次起草，无废止</w:t>
      </w:r>
      <w:r>
        <w:rPr>
          <w:rFonts w:hAnsi="宋体" w:hint="eastAsia"/>
        </w:rPr>
        <w:t>/</w:t>
      </w:r>
      <w:r>
        <w:rPr>
          <w:rFonts w:hAnsi="宋体" w:hint="eastAsia"/>
        </w:rPr>
        <w:t>替代现行有关标准。</w:t>
      </w:r>
    </w:p>
    <w:p w:rsidR="001B4509" w:rsidRDefault="006A649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十一、其他应予说明的事项</w:t>
      </w:r>
    </w:p>
    <w:p w:rsidR="001B4509" w:rsidRPr="006003FD" w:rsidRDefault="006A649C" w:rsidP="00B41018">
      <w:pPr>
        <w:adjustRightInd w:val="0"/>
        <w:snapToGrid w:val="0"/>
        <w:spacing w:beforeLines="50" w:afterLines="50" w:line="30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本标准首次规定了</w:t>
      </w:r>
      <w:r w:rsidR="0093330E">
        <w:rPr>
          <w:rFonts w:hint="eastAsia"/>
          <w:szCs w:val="21"/>
        </w:rPr>
        <w:t>镍精矿</w:t>
      </w:r>
      <w:r>
        <w:rPr>
          <w:rFonts w:hint="eastAsia"/>
          <w:szCs w:val="21"/>
        </w:rPr>
        <w:t>中银含量的测定方法。本标准在制定过程中，调研了国内多家冶炼企业，标准技术先进，具有充分的可操作性、适用性，综合水平达到了</w:t>
      </w:r>
      <w:bookmarkStart w:id="0" w:name="_GoBack"/>
      <w:r w:rsidR="00372AB8">
        <w:rPr>
          <w:rFonts w:hint="eastAsia"/>
          <w:color w:val="FF0000"/>
          <w:szCs w:val="21"/>
        </w:rPr>
        <w:t>？？</w:t>
      </w:r>
      <w:bookmarkEnd w:id="0"/>
      <w:r w:rsidR="00D15BAC">
        <w:rPr>
          <w:rFonts w:hint="eastAsia"/>
          <w:color w:val="FF0000"/>
          <w:szCs w:val="21"/>
        </w:rPr>
        <w:t xml:space="preserve">  </w:t>
      </w:r>
      <w:r>
        <w:rPr>
          <w:rFonts w:hint="eastAsia"/>
          <w:szCs w:val="21"/>
        </w:rPr>
        <w:t>水平，完全能够满足国内外用户、市场的需求。本标准为</w:t>
      </w:r>
      <w:r w:rsidR="0093330E">
        <w:rPr>
          <w:rFonts w:hint="eastAsia"/>
          <w:szCs w:val="21"/>
        </w:rPr>
        <w:t>镍精矿</w:t>
      </w:r>
      <w:r>
        <w:rPr>
          <w:rFonts w:hint="eastAsia"/>
          <w:szCs w:val="21"/>
        </w:rPr>
        <w:t>中银含量的测定提供依据，有利于企业提高对</w:t>
      </w:r>
      <w:r w:rsidR="0093330E">
        <w:rPr>
          <w:rFonts w:hint="eastAsia"/>
          <w:szCs w:val="21"/>
        </w:rPr>
        <w:t>镍精矿</w:t>
      </w:r>
      <w:r>
        <w:rPr>
          <w:rFonts w:hint="eastAsia"/>
          <w:szCs w:val="21"/>
        </w:rPr>
        <w:t>的综合利用，实现资源循环利用及有价金属材料生产。</w:t>
      </w:r>
    </w:p>
    <w:sectPr w:rsidR="001B4509" w:rsidRPr="006003FD" w:rsidSect="00D15BAC">
      <w:footerReference w:type="default" r:id="rId9"/>
      <w:pgSz w:w="11907" w:h="16840"/>
      <w:pgMar w:top="1418" w:right="1134" w:bottom="1134" w:left="1418" w:header="851" w:footer="567" w:gutter="0"/>
      <w:pgNumType w:start="0"/>
      <w:cols w:space="720"/>
      <w:titlePg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A3" w:rsidRDefault="00AC2FA3" w:rsidP="00823458">
      <w:r>
        <w:separator/>
      </w:r>
    </w:p>
  </w:endnote>
  <w:endnote w:type="continuationSeparator" w:id="0">
    <w:p w:rsidR="00AC2FA3" w:rsidRDefault="00AC2FA3" w:rsidP="0082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516"/>
      <w:docPartObj>
        <w:docPartGallery w:val="Page Numbers (Bottom of Page)"/>
        <w:docPartUnique/>
      </w:docPartObj>
    </w:sdtPr>
    <w:sdtContent>
      <w:p w:rsidR="00275CA1" w:rsidRDefault="00275CA1" w:rsidP="00D15BAC">
        <w:pPr>
          <w:pStyle w:val="a6"/>
          <w:jc w:val="center"/>
        </w:pPr>
        <w:fldSimple w:instr=" PAGE   \* MERGEFORMAT ">
          <w:r w:rsidR="0031236D" w:rsidRPr="0031236D">
            <w:rPr>
              <w:noProof/>
              <w:lang w:val="zh-CN"/>
            </w:rPr>
            <w:t>5</w:t>
          </w:r>
        </w:fldSimple>
      </w:p>
    </w:sdtContent>
  </w:sdt>
  <w:p w:rsidR="00275CA1" w:rsidRDefault="00275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A3" w:rsidRDefault="00AC2FA3" w:rsidP="00823458">
      <w:r>
        <w:separator/>
      </w:r>
    </w:p>
  </w:footnote>
  <w:footnote w:type="continuationSeparator" w:id="0">
    <w:p w:rsidR="00AC2FA3" w:rsidRDefault="00AC2FA3" w:rsidP="0082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62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AE4"/>
    <w:rsid w:val="000006CE"/>
    <w:rsid w:val="00004420"/>
    <w:rsid w:val="0000548B"/>
    <w:rsid w:val="000135F1"/>
    <w:rsid w:val="00015788"/>
    <w:rsid w:val="000174F0"/>
    <w:rsid w:val="00021470"/>
    <w:rsid w:val="000236E8"/>
    <w:rsid w:val="00024B93"/>
    <w:rsid w:val="00025563"/>
    <w:rsid w:val="00025ADA"/>
    <w:rsid w:val="00026387"/>
    <w:rsid w:val="0002673C"/>
    <w:rsid w:val="000269C1"/>
    <w:rsid w:val="00032F22"/>
    <w:rsid w:val="00034C1F"/>
    <w:rsid w:val="000358FB"/>
    <w:rsid w:val="00035B6E"/>
    <w:rsid w:val="00040DD9"/>
    <w:rsid w:val="00041139"/>
    <w:rsid w:val="00043091"/>
    <w:rsid w:val="00046A52"/>
    <w:rsid w:val="0005734B"/>
    <w:rsid w:val="0006149D"/>
    <w:rsid w:val="00061EBB"/>
    <w:rsid w:val="00062DBB"/>
    <w:rsid w:val="000641EC"/>
    <w:rsid w:val="00064392"/>
    <w:rsid w:val="00064A3D"/>
    <w:rsid w:val="00065B12"/>
    <w:rsid w:val="00070530"/>
    <w:rsid w:val="00072074"/>
    <w:rsid w:val="00075BF6"/>
    <w:rsid w:val="00076C7D"/>
    <w:rsid w:val="00077464"/>
    <w:rsid w:val="00077E15"/>
    <w:rsid w:val="000841F3"/>
    <w:rsid w:val="00093281"/>
    <w:rsid w:val="00093910"/>
    <w:rsid w:val="000963EB"/>
    <w:rsid w:val="000A230E"/>
    <w:rsid w:val="000A4EEA"/>
    <w:rsid w:val="000B08FB"/>
    <w:rsid w:val="000B70BA"/>
    <w:rsid w:val="000C0194"/>
    <w:rsid w:val="000C1C3C"/>
    <w:rsid w:val="000C1E0F"/>
    <w:rsid w:val="000D0EDF"/>
    <w:rsid w:val="000D17B3"/>
    <w:rsid w:val="000D34F8"/>
    <w:rsid w:val="000D47AA"/>
    <w:rsid w:val="000F0A86"/>
    <w:rsid w:val="000F2B19"/>
    <w:rsid w:val="000F4344"/>
    <w:rsid w:val="000F5741"/>
    <w:rsid w:val="000F599D"/>
    <w:rsid w:val="000F7838"/>
    <w:rsid w:val="00100192"/>
    <w:rsid w:val="001004BF"/>
    <w:rsid w:val="00101CCB"/>
    <w:rsid w:val="00106A87"/>
    <w:rsid w:val="00107176"/>
    <w:rsid w:val="001130BB"/>
    <w:rsid w:val="00114D04"/>
    <w:rsid w:val="00121A12"/>
    <w:rsid w:val="001221AD"/>
    <w:rsid w:val="001228F8"/>
    <w:rsid w:val="00124060"/>
    <w:rsid w:val="00130E3B"/>
    <w:rsid w:val="00131776"/>
    <w:rsid w:val="0013390B"/>
    <w:rsid w:val="00133F8B"/>
    <w:rsid w:val="001341B8"/>
    <w:rsid w:val="00134BA7"/>
    <w:rsid w:val="00141C02"/>
    <w:rsid w:val="00144AC9"/>
    <w:rsid w:val="001453F8"/>
    <w:rsid w:val="00154ED7"/>
    <w:rsid w:val="001620AF"/>
    <w:rsid w:val="00163DAF"/>
    <w:rsid w:val="001646C9"/>
    <w:rsid w:val="00164C14"/>
    <w:rsid w:val="00170C56"/>
    <w:rsid w:val="00172FAE"/>
    <w:rsid w:val="00175CEB"/>
    <w:rsid w:val="00176CD4"/>
    <w:rsid w:val="00177E67"/>
    <w:rsid w:val="00187248"/>
    <w:rsid w:val="0019109D"/>
    <w:rsid w:val="0019227A"/>
    <w:rsid w:val="00193730"/>
    <w:rsid w:val="00194B67"/>
    <w:rsid w:val="0019574E"/>
    <w:rsid w:val="00196508"/>
    <w:rsid w:val="00196D02"/>
    <w:rsid w:val="001972DA"/>
    <w:rsid w:val="00197B0A"/>
    <w:rsid w:val="001A2A7A"/>
    <w:rsid w:val="001A65CB"/>
    <w:rsid w:val="001B10ED"/>
    <w:rsid w:val="001B4509"/>
    <w:rsid w:val="001B587E"/>
    <w:rsid w:val="001B5913"/>
    <w:rsid w:val="001C4960"/>
    <w:rsid w:val="001D0368"/>
    <w:rsid w:val="001D39E3"/>
    <w:rsid w:val="001D3A7C"/>
    <w:rsid w:val="001D5F84"/>
    <w:rsid w:val="001D639E"/>
    <w:rsid w:val="001E2250"/>
    <w:rsid w:val="001E2777"/>
    <w:rsid w:val="001E4F77"/>
    <w:rsid w:val="001F1FD6"/>
    <w:rsid w:val="00203B39"/>
    <w:rsid w:val="002106C0"/>
    <w:rsid w:val="00210BE4"/>
    <w:rsid w:val="002117C5"/>
    <w:rsid w:val="00212DC5"/>
    <w:rsid w:val="0021487A"/>
    <w:rsid w:val="00215658"/>
    <w:rsid w:val="00216300"/>
    <w:rsid w:val="00216B60"/>
    <w:rsid w:val="00222B4B"/>
    <w:rsid w:val="00225BEB"/>
    <w:rsid w:val="0023077C"/>
    <w:rsid w:val="002311BB"/>
    <w:rsid w:val="00231237"/>
    <w:rsid w:val="00243021"/>
    <w:rsid w:val="00244120"/>
    <w:rsid w:val="002457D3"/>
    <w:rsid w:val="002473EB"/>
    <w:rsid w:val="002513D5"/>
    <w:rsid w:val="00255561"/>
    <w:rsid w:val="0025739D"/>
    <w:rsid w:val="00261A9C"/>
    <w:rsid w:val="002623DB"/>
    <w:rsid w:val="00267491"/>
    <w:rsid w:val="00267F49"/>
    <w:rsid w:val="00275CA1"/>
    <w:rsid w:val="00277C57"/>
    <w:rsid w:val="00280527"/>
    <w:rsid w:val="002817E9"/>
    <w:rsid w:val="00281BC4"/>
    <w:rsid w:val="00283E96"/>
    <w:rsid w:val="0028416C"/>
    <w:rsid w:val="00287ADF"/>
    <w:rsid w:val="00292D75"/>
    <w:rsid w:val="00295F7B"/>
    <w:rsid w:val="002A22A9"/>
    <w:rsid w:val="002A286B"/>
    <w:rsid w:val="002A3D37"/>
    <w:rsid w:val="002A5EB8"/>
    <w:rsid w:val="002A6F78"/>
    <w:rsid w:val="002B32DC"/>
    <w:rsid w:val="002B372E"/>
    <w:rsid w:val="002B3E66"/>
    <w:rsid w:val="002C213D"/>
    <w:rsid w:val="002C516F"/>
    <w:rsid w:val="002C647D"/>
    <w:rsid w:val="002C6FE4"/>
    <w:rsid w:val="002C7A58"/>
    <w:rsid w:val="002D0EFD"/>
    <w:rsid w:val="002D227B"/>
    <w:rsid w:val="002D343A"/>
    <w:rsid w:val="002D792A"/>
    <w:rsid w:val="002D7DC9"/>
    <w:rsid w:val="002E2ABE"/>
    <w:rsid w:val="002E2D92"/>
    <w:rsid w:val="002F0142"/>
    <w:rsid w:val="002F092F"/>
    <w:rsid w:val="002F39A9"/>
    <w:rsid w:val="002F3C73"/>
    <w:rsid w:val="002F4A8A"/>
    <w:rsid w:val="002F4C4A"/>
    <w:rsid w:val="002F52E0"/>
    <w:rsid w:val="002F6968"/>
    <w:rsid w:val="00301407"/>
    <w:rsid w:val="00312098"/>
    <w:rsid w:val="0031236D"/>
    <w:rsid w:val="00313015"/>
    <w:rsid w:val="0031306D"/>
    <w:rsid w:val="00315184"/>
    <w:rsid w:val="003176E6"/>
    <w:rsid w:val="00320E58"/>
    <w:rsid w:val="00320E86"/>
    <w:rsid w:val="0032151F"/>
    <w:rsid w:val="003240BF"/>
    <w:rsid w:val="00324312"/>
    <w:rsid w:val="003253C9"/>
    <w:rsid w:val="00326701"/>
    <w:rsid w:val="00327F40"/>
    <w:rsid w:val="00330552"/>
    <w:rsid w:val="00333676"/>
    <w:rsid w:val="003361E2"/>
    <w:rsid w:val="003449A6"/>
    <w:rsid w:val="0034617C"/>
    <w:rsid w:val="00346FA8"/>
    <w:rsid w:val="0035069B"/>
    <w:rsid w:val="0035174A"/>
    <w:rsid w:val="00352B53"/>
    <w:rsid w:val="00354118"/>
    <w:rsid w:val="003542D0"/>
    <w:rsid w:val="00354DB2"/>
    <w:rsid w:val="00357405"/>
    <w:rsid w:val="003609AB"/>
    <w:rsid w:val="003644F1"/>
    <w:rsid w:val="00364D1B"/>
    <w:rsid w:val="00365A11"/>
    <w:rsid w:val="003722DE"/>
    <w:rsid w:val="00372AB8"/>
    <w:rsid w:val="00372B2D"/>
    <w:rsid w:val="00372D0B"/>
    <w:rsid w:val="00372E66"/>
    <w:rsid w:val="003816A1"/>
    <w:rsid w:val="003820E9"/>
    <w:rsid w:val="0038211F"/>
    <w:rsid w:val="00383DD1"/>
    <w:rsid w:val="0038662A"/>
    <w:rsid w:val="003871C5"/>
    <w:rsid w:val="00387DE5"/>
    <w:rsid w:val="003A0118"/>
    <w:rsid w:val="003A02F4"/>
    <w:rsid w:val="003A1CB7"/>
    <w:rsid w:val="003A24A4"/>
    <w:rsid w:val="003A552B"/>
    <w:rsid w:val="003A708C"/>
    <w:rsid w:val="003C4C01"/>
    <w:rsid w:val="003C5103"/>
    <w:rsid w:val="003C51E0"/>
    <w:rsid w:val="003C73E1"/>
    <w:rsid w:val="003D0E16"/>
    <w:rsid w:val="003D3938"/>
    <w:rsid w:val="003D72E1"/>
    <w:rsid w:val="003D7AF0"/>
    <w:rsid w:val="003E6EE4"/>
    <w:rsid w:val="003E7416"/>
    <w:rsid w:val="003F14CE"/>
    <w:rsid w:val="00401C66"/>
    <w:rsid w:val="00403B9E"/>
    <w:rsid w:val="004043B0"/>
    <w:rsid w:val="00405695"/>
    <w:rsid w:val="00411C21"/>
    <w:rsid w:val="004130A2"/>
    <w:rsid w:val="00413907"/>
    <w:rsid w:val="00415088"/>
    <w:rsid w:val="0041685C"/>
    <w:rsid w:val="004200D0"/>
    <w:rsid w:val="00421A77"/>
    <w:rsid w:val="00423BBF"/>
    <w:rsid w:val="004265B9"/>
    <w:rsid w:val="00430D7E"/>
    <w:rsid w:val="004327C3"/>
    <w:rsid w:val="00433B55"/>
    <w:rsid w:val="00434BBD"/>
    <w:rsid w:val="004352DE"/>
    <w:rsid w:val="00440979"/>
    <w:rsid w:val="004417CC"/>
    <w:rsid w:val="004446BB"/>
    <w:rsid w:val="00447BD9"/>
    <w:rsid w:val="00450225"/>
    <w:rsid w:val="00452085"/>
    <w:rsid w:val="00454113"/>
    <w:rsid w:val="00455025"/>
    <w:rsid w:val="004562D4"/>
    <w:rsid w:val="00460067"/>
    <w:rsid w:val="004600D1"/>
    <w:rsid w:val="00463308"/>
    <w:rsid w:val="00465DBF"/>
    <w:rsid w:val="004674C1"/>
    <w:rsid w:val="004679BF"/>
    <w:rsid w:val="004705C9"/>
    <w:rsid w:val="0047249A"/>
    <w:rsid w:val="00473277"/>
    <w:rsid w:val="00473C19"/>
    <w:rsid w:val="004747D5"/>
    <w:rsid w:val="004747E7"/>
    <w:rsid w:val="004747FC"/>
    <w:rsid w:val="0047549C"/>
    <w:rsid w:val="00477661"/>
    <w:rsid w:val="00477A0C"/>
    <w:rsid w:val="00480D7A"/>
    <w:rsid w:val="00481BFB"/>
    <w:rsid w:val="00482547"/>
    <w:rsid w:val="00490871"/>
    <w:rsid w:val="00490B9B"/>
    <w:rsid w:val="00493A12"/>
    <w:rsid w:val="004946ED"/>
    <w:rsid w:val="004953E1"/>
    <w:rsid w:val="004960CF"/>
    <w:rsid w:val="004A2DA9"/>
    <w:rsid w:val="004A6AA2"/>
    <w:rsid w:val="004B0D87"/>
    <w:rsid w:val="004B48F6"/>
    <w:rsid w:val="004B513F"/>
    <w:rsid w:val="004B5AAA"/>
    <w:rsid w:val="004B6F82"/>
    <w:rsid w:val="004C2CC3"/>
    <w:rsid w:val="004C38B5"/>
    <w:rsid w:val="004C45AE"/>
    <w:rsid w:val="004C7943"/>
    <w:rsid w:val="004D3884"/>
    <w:rsid w:val="004D4469"/>
    <w:rsid w:val="004D4ED7"/>
    <w:rsid w:val="004D5C7C"/>
    <w:rsid w:val="004D6607"/>
    <w:rsid w:val="004F06C8"/>
    <w:rsid w:val="00501017"/>
    <w:rsid w:val="00504EA3"/>
    <w:rsid w:val="00512069"/>
    <w:rsid w:val="00515796"/>
    <w:rsid w:val="00517643"/>
    <w:rsid w:val="00520DF0"/>
    <w:rsid w:val="005212D4"/>
    <w:rsid w:val="00523617"/>
    <w:rsid w:val="00524131"/>
    <w:rsid w:val="00525BB2"/>
    <w:rsid w:val="0052738C"/>
    <w:rsid w:val="0053036C"/>
    <w:rsid w:val="0053290F"/>
    <w:rsid w:val="005338AA"/>
    <w:rsid w:val="00534477"/>
    <w:rsid w:val="005374CC"/>
    <w:rsid w:val="0054179D"/>
    <w:rsid w:val="00541FAF"/>
    <w:rsid w:val="005445BA"/>
    <w:rsid w:val="00545628"/>
    <w:rsid w:val="00547493"/>
    <w:rsid w:val="00550EE6"/>
    <w:rsid w:val="005518BE"/>
    <w:rsid w:val="00555D98"/>
    <w:rsid w:val="00565086"/>
    <w:rsid w:val="005673AB"/>
    <w:rsid w:val="00567515"/>
    <w:rsid w:val="00570043"/>
    <w:rsid w:val="005705F1"/>
    <w:rsid w:val="00576FC0"/>
    <w:rsid w:val="005848B1"/>
    <w:rsid w:val="00585160"/>
    <w:rsid w:val="00585FF8"/>
    <w:rsid w:val="00591250"/>
    <w:rsid w:val="00591C9A"/>
    <w:rsid w:val="00593EE1"/>
    <w:rsid w:val="00594AA0"/>
    <w:rsid w:val="00595B06"/>
    <w:rsid w:val="005964FD"/>
    <w:rsid w:val="005A02D1"/>
    <w:rsid w:val="005A0B20"/>
    <w:rsid w:val="005A2227"/>
    <w:rsid w:val="005A2692"/>
    <w:rsid w:val="005A3E0D"/>
    <w:rsid w:val="005A4940"/>
    <w:rsid w:val="005A632A"/>
    <w:rsid w:val="005B02F6"/>
    <w:rsid w:val="005B0F90"/>
    <w:rsid w:val="005B1A4F"/>
    <w:rsid w:val="005B217C"/>
    <w:rsid w:val="005B2834"/>
    <w:rsid w:val="005B36B4"/>
    <w:rsid w:val="005C1763"/>
    <w:rsid w:val="005C7914"/>
    <w:rsid w:val="005C7CE5"/>
    <w:rsid w:val="005D285C"/>
    <w:rsid w:val="005D62E0"/>
    <w:rsid w:val="005D6A3C"/>
    <w:rsid w:val="005E320C"/>
    <w:rsid w:val="005E58C4"/>
    <w:rsid w:val="005E6C91"/>
    <w:rsid w:val="005F19C3"/>
    <w:rsid w:val="005F44DA"/>
    <w:rsid w:val="006003FD"/>
    <w:rsid w:val="00601C7C"/>
    <w:rsid w:val="006023B2"/>
    <w:rsid w:val="0060524C"/>
    <w:rsid w:val="00605326"/>
    <w:rsid w:val="00611A5D"/>
    <w:rsid w:val="006152D2"/>
    <w:rsid w:val="00621D54"/>
    <w:rsid w:val="00632231"/>
    <w:rsid w:val="00634068"/>
    <w:rsid w:val="00634B2C"/>
    <w:rsid w:val="0063608C"/>
    <w:rsid w:val="00646375"/>
    <w:rsid w:val="00646B12"/>
    <w:rsid w:val="00646C16"/>
    <w:rsid w:val="00651498"/>
    <w:rsid w:val="00651C31"/>
    <w:rsid w:val="00653D6B"/>
    <w:rsid w:val="00654A29"/>
    <w:rsid w:val="00656A2C"/>
    <w:rsid w:val="00656D6F"/>
    <w:rsid w:val="00656D90"/>
    <w:rsid w:val="00662A16"/>
    <w:rsid w:val="00663E67"/>
    <w:rsid w:val="0066731B"/>
    <w:rsid w:val="00675E55"/>
    <w:rsid w:val="00675EA9"/>
    <w:rsid w:val="00676AE4"/>
    <w:rsid w:val="006807F6"/>
    <w:rsid w:val="00680F19"/>
    <w:rsid w:val="0068177D"/>
    <w:rsid w:val="00682020"/>
    <w:rsid w:val="00685717"/>
    <w:rsid w:val="00686DEC"/>
    <w:rsid w:val="006874F6"/>
    <w:rsid w:val="00694F14"/>
    <w:rsid w:val="00697813"/>
    <w:rsid w:val="006A0A2D"/>
    <w:rsid w:val="006A24ED"/>
    <w:rsid w:val="006A2B54"/>
    <w:rsid w:val="006A4339"/>
    <w:rsid w:val="006A45DD"/>
    <w:rsid w:val="006A5B92"/>
    <w:rsid w:val="006A5D10"/>
    <w:rsid w:val="006A649C"/>
    <w:rsid w:val="006A6E2A"/>
    <w:rsid w:val="006B387D"/>
    <w:rsid w:val="006B3E09"/>
    <w:rsid w:val="006C3F6A"/>
    <w:rsid w:val="006C5450"/>
    <w:rsid w:val="006C61C8"/>
    <w:rsid w:val="006C742C"/>
    <w:rsid w:val="006D1B4A"/>
    <w:rsid w:val="006D2752"/>
    <w:rsid w:val="006D2853"/>
    <w:rsid w:val="006D4E2A"/>
    <w:rsid w:val="006D5E5B"/>
    <w:rsid w:val="006D745B"/>
    <w:rsid w:val="006D7665"/>
    <w:rsid w:val="006E04C5"/>
    <w:rsid w:val="006E1C04"/>
    <w:rsid w:val="006F0278"/>
    <w:rsid w:val="006F3100"/>
    <w:rsid w:val="006F62F0"/>
    <w:rsid w:val="007000B8"/>
    <w:rsid w:val="0071289D"/>
    <w:rsid w:val="00714CBD"/>
    <w:rsid w:val="007150D1"/>
    <w:rsid w:val="0071793E"/>
    <w:rsid w:val="00721714"/>
    <w:rsid w:val="00726173"/>
    <w:rsid w:val="00741A2B"/>
    <w:rsid w:val="00742E27"/>
    <w:rsid w:val="00743C9C"/>
    <w:rsid w:val="00750245"/>
    <w:rsid w:val="00751DEA"/>
    <w:rsid w:val="00752A9C"/>
    <w:rsid w:val="0076187A"/>
    <w:rsid w:val="00761A5E"/>
    <w:rsid w:val="00762040"/>
    <w:rsid w:val="00763725"/>
    <w:rsid w:val="00763794"/>
    <w:rsid w:val="007646BB"/>
    <w:rsid w:val="007664F4"/>
    <w:rsid w:val="007706F9"/>
    <w:rsid w:val="0077250D"/>
    <w:rsid w:val="00772EA6"/>
    <w:rsid w:val="00774CF4"/>
    <w:rsid w:val="00774FE7"/>
    <w:rsid w:val="00782C59"/>
    <w:rsid w:val="00784C3C"/>
    <w:rsid w:val="0079066C"/>
    <w:rsid w:val="00791239"/>
    <w:rsid w:val="00791520"/>
    <w:rsid w:val="00792BAA"/>
    <w:rsid w:val="007973CB"/>
    <w:rsid w:val="007A3E3A"/>
    <w:rsid w:val="007A4E8A"/>
    <w:rsid w:val="007A79AA"/>
    <w:rsid w:val="007B3477"/>
    <w:rsid w:val="007B7848"/>
    <w:rsid w:val="007C4AA3"/>
    <w:rsid w:val="007C55D4"/>
    <w:rsid w:val="007C5966"/>
    <w:rsid w:val="007D1245"/>
    <w:rsid w:val="007D2A12"/>
    <w:rsid w:val="007D4147"/>
    <w:rsid w:val="007D5490"/>
    <w:rsid w:val="007D67C6"/>
    <w:rsid w:val="007E08E6"/>
    <w:rsid w:val="007E294E"/>
    <w:rsid w:val="007E3F36"/>
    <w:rsid w:val="007F2C88"/>
    <w:rsid w:val="007F54FA"/>
    <w:rsid w:val="007F70C7"/>
    <w:rsid w:val="0080037D"/>
    <w:rsid w:val="00810BA5"/>
    <w:rsid w:val="00812DD1"/>
    <w:rsid w:val="00821A60"/>
    <w:rsid w:val="008229FA"/>
    <w:rsid w:val="00823458"/>
    <w:rsid w:val="00831BE0"/>
    <w:rsid w:val="00831FCA"/>
    <w:rsid w:val="00832E3C"/>
    <w:rsid w:val="00833DD0"/>
    <w:rsid w:val="00836181"/>
    <w:rsid w:val="00836274"/>
    <w:rsid w:val="0084176B"/>
    <w:rsid w:val="00843B68"/>
    <w:rsid w:val="00857050"/>
    <w:rsid w:val="008637C3"/>
    <w:rsid w:val="00867631"/>
    <w:rsid w:val="00871D11"/>
    <w:rsid w:val="00873009"/>
    <w:rsid w:val="00874368"/>
    <w:rsid w:val="0087501C"/>
    <w:rsid w:val="008751CC"/>
    <w:rsid w:val="0087525C"/>
    <w:rsid w:val="0088342E"/>
    <w:rsid w:val="008859AA"/>
    <w:rsid w:val="00892D77"/>
    <w:rsid w:val="00894DCD"/>
    <w:rsid w:val="008A3EEB"/>
    <w:rsid w:val="008A414B"/>
    <w:rsid w:val="008A477A"/>
    <w:rsid w:val="008A6153"/>
    <w:rsid w:val="008A7F74"/>
    <w:rsid w:val="008B39D3"/>
    <w:rsid w:val="008B49E3"/>
    <w:rsid w:val="008B53FA"/>
    <w:rsid w:val="008B55E6"/>
    <w:rsid w:val="008B7761"/>
    <w:rsid w:val="008C128A"/>
    <w:rsid w:val="008C385D"/>
    <w:rsid w:val="008C546B"/>
    <w:rsid w:val="008D04F9"/>
    <w:rsid w:val="008D140A"/>
    <w:rsid w:val="008D461A"/>
    <w:rsid w:val="008D5B81"/>
    <w:rsid w:val="008D5BF0"/>
    <w:rsid w:val="008D612A"/>
    <w:rsid w:val="008D7127"/>
    <w:rsid w:val="008E0044"/>
    <w:rsid w:val="008E1391"/>
    <w:rsid w:val="008E2931"/>
    <w:rsid w:val="008E6CC7"/>
    <w:rsid w:val="008F13F6"/>
    <w:rsid w:val="008F474D"/>
    <w:rsid w:val="008F6793"/>
    <w:rsid w:val="00900ED0"/>
    <w:rsid w:val="00905205"/>
    <w:rsid w:val="00906E23"/>
    <w:rsid w:val="00910880"/>
    <w:rsid w:val="009125A8"/>
    <w:rsid w:val="00914101"/>
    <w:rsid w:val="00914265"/>
    <w:rsid w:val="00921A9F"/>
    <w:rsid w:val="00922970"/>
    <w:rsid w:val="00923937"/>
    <w:rsid w:val="0092481F"/>
    <w:rsid w:val="00926821"/>
    <w:rsid w:val="009270B8"/>
    <w:rsid w:val="009278A9"/>
    <w:rsid w:val="00931A6B"/>
    <w:rsid w:val="00931A6C"/>
    <w:rsid w:val="0093330E"/>
    <w:rsid w:val="0093640F"/>
    <w:rsid w:val="00936921"/>
    <w:rsid w:val="00937587"/>
    <w:rsid w:val="00937F92"/>
    <w:rsid w:val="0094624C"/>
    <w:rsid w:val="0094648A"/>
    <w:rsid w:val="00947291"/>
    <w:rsid w:val="009510F3"/>
    <w:rsid w:val="0095447E"/>
    <w:rsid w:val="00955346"/>
    <w:rsid w:val="0095551F"/>
    <w:rsid w:val="009557BB"/>
    <w:rsid w:val="00961AED"/>
    <w:rsid w:val="00965652"/>
    <w:rsid w:val="00966152"/>
    <w:rsid w:val="00966E16"/>
    <w:rsid w:val="00973044"/>
    <w:rsid w:val="009770BA"/>
    <w:rsid w:val="009803C4"/>
    <w:rsid w:val="00983C56"/>
    <w:rsid w:val="00983E78"/>
    <w:rsid w:val="009920D1"/>
    <w:rsid w:val="009A6A10"/>
    <w:rsid w:val="009A6EF3"/>
    <w:rsid w:val="009B0095"/>
    <w:rsid w:val="009B1DC0"/>
    <w:rsid w:val="009B1F19"/>
    <w:rsid w:val="009B300A"/>
    <w:rsid w:val="009B62D5"/>
    <w:rsid w:val="009C2864"/>
    <w:rsid w:val="009D0A76"/>
    <w:rsid w:val="009D104A"/>
    <w:rsid w:val="009D2272"/>
    <w:rsid w:val="009D2DC3"/>
    <w:rsid w:val="009D4F71"/>
    <w:rsid w:val="009E4142"/>
    <w:rsid w:val="009E45F8"/>
    <w:rsid w:val="009F11BF"/>
    <w:rsid w:val="009F2301"/>
    <w:rsid w:val="009F28D2"/>
    <w:rsid w:val="009F4F3B"/>
    <w:rsid w:val="009F6F42"/>
    <w:rsid w:val="00A15936"/>
    <w:rsid w:val="00A15FE2"/>
    <w:rsid w:val="00A1715B"/>
    <w:rsid w:val="00A17D4C"/>
    <w:rsid w:val="00A2331B"/>
    <w:rsid w:val="00A235DE"/>
    <w:rsid w:val="00A2502F"/>
    <w:rsid w:val="00A267E4"/>
    <w:rsid w:val="00A27F6F"/>
    <w:rsid w:val="00A318FF"/>
    <w:rsid w:val="00A32A12"/>
    <w:rsid w:val="00A32FA6"/>
    <w:rsid w:val="00A3382C"/>
    <w:rsid w:val="00A3622E"/>
    <w:rsid w:val="00A41804"/>
    <w:rsid w:val="00A43452"/>
    <w:rsid w:val="00A44769"/>
    <w:rsid w:val="00A44B4D"/>
    <w:rsid w:val="00A461F7"/>
    <w:rsid w:val="00A475BC"/>
    <w:rsid w:val="00A47880"/>
    <w:rsid w:val="00A50BAF"/>
    <w:rsid w:val="00A54BEF"/>
    <w:rsid w:val="00A5631D"/>
    <w:rsid w:val="00A56981"/>
    <w:rsid w:val="00A607A0"/>
    <w:rsid w:val="00A6165F"/>
    <w:rsid w:val="00A6378F"/>
    <w:rsid w:val="00A64A32"/>
    <w:rsid w:val="00A75FC4"/>
    <w:rsid w:val="00A82358"/>
    <w:rsid w:val="00A82648"/>
    <w:rsid w:val="00A84FBA"/>
    <w:rsid w:val="00A8538D"/>
    <w:rsid w:val="00A866CB"/>
    <w:rsid w:val="00A93E45"/>
    <w:rsid w:val="00A96781"/>
    <w:rsid w:val="00A96CAF"/>
    <w:rsid w:val="00A96E39"/>
    <w:rsid w:val="00A975B5"/>
    <w:rsid w:val="00AA2147"/>
    <w:rsid w:val="00AA2FCC"/>
    <w:rsid w:val="00AA5E29"/>
    <w:rsid w:val="00AA72F0"/>
    <w:rsid w:val="00AB1BC4"/>
    <w:rsid w:val="00AC0345"/>
    <w:rsid w:val="00AC0BAF"/>
    <w:rsid w:val="00AC24C4"/>
    <w:rsid w:val="00AC2FA3"/>
    <w:rsid w:val="00AC38F0"/>
    <w:rsid w:val="00AC595B"/>
    <w:rsid w:val="00AC6BA3"/>
    <w:rsid w:val="00AD451A"/>
    <w:rsid w:val="00AD4D36"/>
    <w:rsid w:val="00AE2645"/>
    <w:rsid w:val="00AE28C6"/>
    <w:rsid w:val="00AE3025"/>
    <w:rsid w:val="00AE42D8"/>
    <w:rsid w:val="00AE70C9"/>
    <w:rsid w:val="00AE7A77"/>
    <w:rsid w:val="00AF4292"/>
    <w:rsid w:val="00AF4336"/>
    <w:rsid w:val="00AF477A"/>
    <w:rsid w:val="00AF60B4"/>
    <w:rsid w:val="00B0037D"/>
    <w:rsid w:val="00B10768"/>
    <w:rsid w:val="00B11418"/>
    <w:rsid w:val="00B1449D"/>
    <w:rsid w:val="00B14E36"/>
    <w:rsid w:val="00B16128"/>
    <w:rsid w:val="00B24819"/>
    <w:rsid w:val="00B257D7"/>
    <w:rsid w:val="00B301B8"/>
    <w:rsid w:val="00B30C04"/>
    <w:rsid w:val="00B3256C"/>
    <w:rsid w:val="00B32752"/>
    <w:rsid w:val="00B3292B"/>
    <w:rsid w:val="00B33996"/>
    <w:rsid w:val="00B34447"/>
    <w:rsid w:val="00B35C91"/>
    <w:rsid w:val="00B401F1"/>
    <w:rsid w:val="00B41018"/>
    <w:rsid w:val="00B4613F"/>
    <w:rsid w:val="00B469DF"/>
    <w:rsid w:val="00B506C7"/>
    <w:rsid w:val="00B52F0F"/>
    <w:rsid w:val="00B54D67"/>
    <w:rsid w:val="00B635EB"/>
    <w:rsid w:val="00B6468A"/>
    <w:rsid w:val="00B659E5"/>
    <w:rsid w:val="00B662D6"/>
    <w:rsid w:val="00B75581"/>
    <w:rsid w:val="00B77651"/>
    <w:rsid w:val="00B81EF1"/>
    <w:rsid w:val="00B82227"/>
    <w:rsid w:val="00B833AD"/>
    <w:rsid w:val="00B959FA"/>
    <w:rsid w:val="00BA0934"/>
    <w:rsid w:val="00BA17A7"/>
    <w:rsid w:val="00BA4A6A"/>
    <w:rsid w:val="00BA5C42"/>
    <w:rsid w:val="00BA631E"/>
    <w:rsid w:val="00BB05F9"/>
    <w:rsid w:val="00BB269D"/>
    <w:rsid w:val="00BC1AD8"/>
    <w:rsid w:val="00BD00FD"/>
    <w:rsid w:val="00BD0712"/>
    <w:rsid w:val="00BD1F90"/>
    <w:rsid w:val="00BD2A2C"/>
    <w:rsid w:val="00BD6D3F"/>
    <w:rsid w:val="00BF1C43"/>
    <w:rsid w:val="00BF4A2B"/>
    <w:rsid w:val="00BF7739"/>
    <w:rsid w:val="00C02A66"/>
    <w:rsid w:val="00C02FC8"/>
    <w:rsid w:val="00C047EF"/>
    <w:rsid w:val="00C06544"/>
    <w:rsid w:val="00C07137"/>
    <w:rsid w:val="00C076BF"/>
    <w:rsid w:val="00C135A6"/>
    <w:rsid w:val="00C14D81"/>
    <w:rsid w:val="00C253EE"/>
    <w:rsid w:val="00C25AEE"/>
    <w:rsid w:val="00C26FF9"/>
    <w:rsid w:val="00C324FA"/>
    <w:rsid w:val="00C36939"/>
    <w:rsid w:val="00C37D90"/>
    <w:rsid w:val="00C42688"/>
    <w:rsid w:val="00C43D0F"/>
    <w:rsid w:val="00C47DE5"/>
    <w:rsid w:val="00C53735"/>
    <w:rsid w:val="00C53EE9"/>
    <w:rsid w:val="00C553EB"/>
    <w:rsid w:val="00C62DE9"/>
    <w:rsid w:val="00C742E6"/>
    <w:rsid w:val="00C747F7"/>
    <w:rsid w:val="00C748D8"/>
    <w:rsid w:val="00C80FEF"/>
    <w:rsid w:val="00C836BC"/>
    <w:rsid w:val="00C900EA"/>
    <w:rsid w:val="00C928E4"/>
    <w:rsid w:val="00C93B40"/>
    <w:rsid w:val="00C94D4C"/>
    <w:rsid w:val="00C97113"/>
    <w:rsid w:val="00CB0F5C"/>
    <w:rsid w:val="00CB1A4D"/>
    <w:rsid w:val="00CB2774"/>
    <w:rsid w:val="00CB4CF9"/>
    <w:rsid w:val="00CB5B5D"/>
    <w:rsid w:val="00CC0D35"/>
    <w:rsid w:val="00CC1508"/>
    <w:rsid w:val="00CC272E"/>
    <w:rsid w:val="00CC53F1"/>
    <w:rsid w:val="00CC5FDF"/>
    <w:rsid w:val="00CD1CD2"/>
    <w:rsid w:val="00CD5D2E"/>
    <w:rsid w:val="00CD62E4"/>
    <w:rsid w:val="00CE67D2"/>
    <w:rsid w:val="00CE76AD"/>
    <w:rsid w:val="00CF0056"/>
    <w:rsid w:val="00CF1E33"/>
    <w:rsid w:val="00CF326B"/>
    <w:rsid w:val="00CF5920"/>
    <w:rsid w:val="00D028A8"/>
    <w:rsid w:val="00D04716"/>
    <w:rsid w:val="00D0589A"/>
    <w:rsid w:val="00D11E49"/>
    <w:rsid w:val="00D14253"/>
    <w:rsid w:val="00D154F5"/>
    <w:rsid w:val="00D15BAC"/>
    <w:rsid w:val="00D177CA"/>
    <w:rsid w:val="00D21BDF"/>
    <w:rsid w:val="00D23F4E"/>
    <w:rsid w:val="00D30D98"/>
    <w:rsid w:val="00D3495F"/>
    <w:rsid w:val="00D52970"/>
    <w:rsid w:val="00D55069"/>
    <w:rsid w:val="00D578A2"/>
    <w:rsid w:val="00D6241B"/>
    <w:rsid w:val="00D6687B"/>
    <w:rsid w:val="00D66B9A"/>
    <w:rsid w:val="00D7277F"/>
    <w:rsid w:val="00D72D38"/>
    <w:rsid w:val="00D7503F"/>
    <w:rsid w:val="00D7542A"/>
    <w:rsid w:val="00D808F3"/>
    <w:rsid w:val="00D812B2"/>
    <w:rsid w:val="00D87536"/>
    <w:rsid w:val="00D9118E"/>
    <w:rsid w:val="00D93B9F"/>
    <w:rsid w:val="00D93BBC"/>
    <w:rsid w:val="00D93DA3"/>
    <w:rsid w:val="00D956C0"/>
    <w:rsid w:val="00D95BF0"/>
    <w:rsid w:val="00D97B81"/>
    <w:rsid w:val="00DA0144"/>
    <w:rsid w:val="00DA3C52"/>
    <w:rsid w:val="00DA4BD6"/>
    <w:rsid w:val="00DA665C"/>
    <w:rsid w:val="00DA72C0"/>
    <w:rsid w:val="00DB1131"/>
    <w:rsid w:val="00DC08C6"/>
    <w:rsid w:val="00DC1900"/>
    <w:rsid w:val="00DC4CB6"/>
    <w:rsid w:val="00DC5B88"/>
    <w:rsid w:val="00DC72A3"/>
    <w:rsid w:val="00DD6425"/>
    <w:rsid w:val="00DE226C"/>
    <w:rsid w:val="00DE672C"/>
    <w:rsid w:val="00DF498A"/>
    <w:rsid w:val="00E02A69"/>
    <w:rsid w:val="00E11051"/>
    <w:rsid w:val="00E139A7"/>
    <w:rsid w:val="00E215BE"/>
    <w:rsid w:val="00E224E0"/>
    <w:rsid w:val="00E234B0"/>
    <w:rsid w:val="00E24A10"/>
    <w:rsid w:val="00E26081"/>
    <w:rsid w:val="00E264FE"/>
    <w:rsid w:val="00E344A5"/>
    <w:rsid w:val="00E41A44"/>
    <w:rsid w:val="00E431C0"/>
    <w:rsid w:val="00E44A9B"/>
    <w:rsid w:val="00E527A4"/>
    <w:rsid w:val="00E539D5"/>
    <w:rsid w:val="00E54C1F"/>
    <w:rsid w:val="00E621B0"/>
    <w:rsid w:val="00E62EAD"/>
    <w:rsid w:val="00E6317C"/>
    <w:rsid w:val="00E63276"/>
    <w:rsid w:val="00E63324"/>
    <w:rsid w:val="00E637C5"/>
    <w:rsid w:val="00E65141"/>
    <w:rsid w:val="00E65C40"/>
    <w:rsid w:val="00E67B7F"/>
    <w:rsid w:val="00E70D6E"/>
    <w:rsid w:val="00E75D45"/>
    <w:rsid w:val="00E83441"/>
    <w:rsid w:val="00E85CF1"/>
    <w:rsid w:val="00E865EF"/>
    <w:rsid w:val="00E86C49"/>
    <w:rsid w:val="00E90826"/>
    <w:rsid w:val="00E91109"/>
    <w:rsid w:val="00E91410"/>
    <w:rsid w:val="00EA34CB"/>
    <w:rsid w:val="00EA738B"/>
    <w:rsid w:val="00EB2D3F"/>
    <w:rsid w:val="00EB396B"/>
    <w:rsid w:val="00EB4501"/>
    <w:rsid w:val="00EB4B70"/>
    <w:rsid w:val="00EB53D7"/>
    <w:rsid w:val="00EB5529"/>
    <w:rsid w:val="00EB633B"/>
    <w:rsid w:val="00EB7C9C"/>
    <w:rsid w:val="00EC0C1E"/>
    <w:rsid w:val="00EC55D6"/>
    <w:rsid w:val="00ED2063"/>
    <w:rsid w:val="00ED6E74"/>
    <w:rsid w:val="00EE0FB3"/>
    <w:rsid w:val="00EE38FC"/>
    <w:rsid w:val="00EE395F"/>
    <w:rsid w:val="00EE6397"/>
    <w:rsid w:val="00F009AC"/>
    <w:rsid w:val="00F00B08"/>
    <w:rsid w:val="00F00DA7"/>
    <w:rsid w:val="00F02E3D"/>
    <w:rsid w:val="00F03D9B"/>
    <w:rsid w:val="00F1482D"/>
    <w:rsid w:val="00F14D17"/>
    <w:rsid w:val="00F15334"/>
    <w:rsid w:val="00F16D15"/>
    <w:rsid w:val="00F16DFE"/>
    <w:rsid w:val="00F17C22"/>
    <w:rsid w:val="00F21F9B"/>
    <w:rsid w:val="00F22F8C"/>
    <w:rsid w:val="00F23361"/>
    <w:rsid w:val="00F2490E"/>
    <w:rsid w:val="00F2578E"/>
    <w:rsid w:val="00F26794"/>
    <w:rsid w:val="00F275D7"/>
    <w:rsid w:val="00F31209"/>
    <w:rsid w:val="00F33418"/>
    <w:rsid w:val="00F365F0"/>
    <w:rsid w:val="00F402C0"/>
    <w:rsid w:val="00F414E3"/>
    <w:rsid w:val="00F46331"/>
    <w:rsid w:val="00F525B0"/>
    <w:rsid w:val="00F53812"/>
    <w:rsid w:val="00F571C1"/>
    <w:rsid w:val="00F60108"/>
    <w:rsid w:val="00F616C2"/>
    <w:rsid w:val="00F63CCD"/>
    <w:rsid w:val="00F64D61"/>
    <w:rsid w:val="00F66222"/>
    <w:rsid w:val="00F72595"/>
    <w:rsid w:val="00F74001"/>
    <w:rsid w:val="00F800FB"/>
    <w:rsid w:val="00F804A0"/>
    <w:rsid w:val="00F814A4"/>
    <w:rsid w:val="00F864D1"/>
    <w:rsid w:val="00F87147"/>
    <w:rsid w:val="00F918E4"/>
    <w:rsid w:val="00F94EF1"/>
    <w:rsid w:val="00F9578B"/>
    <w:rsid w:val="00F95D5D"/>
    <w:rsid w:val="00F9730F"/>
    <w:rsid w:val="00F975EF"/>
    <w:rsid w:val="00FA1095"/>
    <w:rsid w:val="00FA5C20"/>
    <w:rsid w:val="00FA6A5A"/>
    <w:rsid w:val="00FA78CA"/>
    <w:rsid w:val="00FA7C76"/>
    <w:rsid w:val="00FB525E"/>
    <w:rsid w:val="00FB6205"/>
    <w:rsid w:val="00FC0C07"/>
    <w:rsid w:val="00FC0D82"/>
    <w:rsid w:val="00FC0DBC"/>
    <w:rsid w:val="00FC4BA2"/>
    <w:rsid w:val="00FD0FE9"/>
    <w:rsid w:val="00FD1770"/>
    <w:rsid w:val="00FD1B9B"/>
    <w:rsid w:val="00FD1DA3"/>
    <w:rsid w:val="00FD463D"/>
    <w:rsid w:val="00FD5601"/>
    <w:rsid w:val="00FE055C"/>
    <w:rsid w:val="00FE4167"/>
    <w:rsid w:val="00FE4A90"/>
    <w:rsid w:val="00FE7624"/>
    <w:rsid w:val="00FF1206"/>
    <w:rsid w:val="00FF2347"/>
    <w:rsid w:val="00FF4304"/>
    <w:rsid w:val="00FF5B18"/>
    <w:rsid w:val="00FF5BB8"/>
    <w:rsid w:val="00FF7ABB"/>
    <w:rsid w:val="04A226AA"/>
    <w:rsid w:val="11564E71"/>
    <w:rsid w:val="14BF2FD0"/>
    <w:rsid w:val="23215388"/>
    <w:rsid w:val="23A9638D"/>
    <w:rsid w:val="2B2B5065"/>
    <w:rsid w:val="2FF85908"/>
    <w:rsid w:val="34255A9B"/>
    <w:rsid w:val="3C7B6ECA"/>
    <w:rsid w:val="3DED132A"/>
    <w:rsid w:val="54360081"/>
    <w:rsid w:val="642A0293"/>
    <w:rsid w:val="660C5D78"/>
    <w:rsid w:val="6A6A5EAB"/>
    <w:rsid w:val="723B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17643"/>
    <w:pPr>
      <w:ind w:firstLineChars="200" w:firstLine="420"/>
    </w:pPr>
  </w:style>
  <w:style w:type="paragraph" w:styleId="a4">
    <w:name w:val="Date"/>
    <w:basedOn w:val="a"/>
    <w:next w:val="a"/>
    <w:link w:val="Char"/>
    <w:rsid w:val="00517643"/>
    <w:pPr>
      <w:ind w:leftChars="2500" w:left="100"/>
    </w:pPr>
  </w:style>
  <w:style w:type="paragraph" w:styleId="a5">
    <w:name w:val="Balloon Text"/>
    <w:basedOn w:val="a"/>
    <w:link w:val="Char0"/>
    <w:qFormat/>
    <w:rsid w:val="00517643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517643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7">
    <w:name w:val="header"/>
    <w:basedOn w:val="a"/>
    <w:link w:val="Char2"/>
    <w:qFormat/>
    <w:rsid w:val="005176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qFormat/>
    <w:rsid w:val="00517643"/>
    <w:rPr>
      <w:rFonts w:ascii="Times New Roman" w:eastAsia="宋体" w:hAnsi="Times New Roman"/>
      <w:sz w:val="18"/>
    </w:rPr>
  </w:style>
  <w:style w:type="table" w:styleId="a9">
    <w:name w:val="Table Grid"/>
    <w:basedOn w:val="a1"/>
    <w:uiPriority w:val="59"/>
    <w:qFormat/>
    <w:rsid w:val="00517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link w:val="a5"/>
    <w:qFormat/>
    <w:rsid w:val="00517643"/>
    <w:rPr>
      <w:kern w:val="2"/>
      <w:sz w:val="18"/>
      <w:szCs w:val="18"/>
    </w:rPr>
  </w:style>
  <w:style w:type="character" w:customStyle="1" w:styleId="Char2">
    <w:name w:val="页眉 Char"/>
    <w:link w:val="a7"/>
    <w:qFormat/>
    <w:locked/>
    <w:rsid w:val="00517643"/>
    <w:rPr>
      <w:kern w:val="2"/>
      <w:sz w:val="18"/>
      <w:szCs w:val="18"/>
    </w:rPr>
  </w:style>
  <w:style w:type="character" w:customStyle="1" w:styleId="CharChar">
    <w:name w:val="段 Char Char"/>
    <w:link w:val="aa"/>
    <w:rsid w:val="00517643"/>
    <w:rPr>
      <w:rFonts w:ascii="宋体" w:hAnsi="宋体"/>
      <w:sz w:val="21"/>
      <w:lang w:val="en-US" w:eastAsia="zh-CN" w:bidi="ar-SA"/>
    </w:rPr>
  </w:style>
  <w:style w:type="paragraph" w:customStyle="1" w:styleId="aa">
    <w:name w:val="段"/>
    <w:link w:val="CharChar"/>
    <w:qFormat/>
    <w:rsid w:val="00517643"/>
    <w:pPr>
      <w:autoSpaceDE w:val="0"/>
      <w:autoSpaceDN w:val="0"/>
      <w:ind w:firstLineChars="200" w:firstLine="200"/>
      <w:jc w:val="both"/>
    </w:pPr>
    <w:rPr>
      <w:rFonts w:ascii="宋体" w:hAnsi="宋体"/>
      <w:sz w:val="21"/>
    </w:rPr>
  </w:style>
  <w:style w:type="character" w:customStyle="1" w:styleId="Char">
    <w:name w:val="日期 Char"/>
    <w:link w:val="a4"/>
    <w:qFormat/>
    <w:rsid w:val="00517643"/>
    <w:rPr>
      <w:kern w:val="2"/>
      <w:sz w:val="21"/>
      <w:szCs w:val="24"/>
    </w:rPr>
  </w:style>
  <w:style w:type="character" w:customStyle="1" w:styleId="Char3">
    <w:name w:val="段 Char"/>
    <w:qFormat/>
    <w:locked/>
    <w:rsid w:val="00517643"/>
    <w:rPr>
      <w:rFonts w:ascii="宋体"/>
      <w:sz w:val="21"/>
      <w:lang w:val="en-US" w:eastAsia="zh-CN" w:bidi="ar-SA"/>
    </w:rPr>
  </w:style>
  <w:style w:type="character" w:customStyle="1" w:styleId="font11">
    <w:name w:val="font11"/>
    <w:qFormat/>
    <w:rsid w:val="00517643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Char1">
    <w:name w:val="页脚 Char"/>
    <w:link w:val="a6"/>
    <w:uiPriority w:val="99"/>
    <w:locked/>
    <w:rsid w:val="00517643"/>
    <w:rPr>
      <w:kern w:val="2"/>
      <w:sz w:val="18"/>
      <w:szCs w:val="18"/>
    </w:rPr>
  </w:style>
  <w:style w:type="character" w:customStyle="1" w:styleId="font21">
    <w:name w:val="font21"/>
    <w:qFormat/>
    <w:rsid w:val="0051764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">
    <w:name w:val="样式1"/>
    <w:basedOn w:val="a"/>
    <w:qFormat/>
    <w:rsid w:val="00517643"/>
    <w:pPr>
      <w:tabs>
        <w:tab w:val="left" w:pos="525"/>
      </w:tabs>
    </w:pPr>
    <w:rPr>
      <w:rFonts w:ascii="宋体" w:hAnsi="宋体"/>
      <w:szCs w:val="21"/>
    </w:rPr>
  </w:style>
  <w:style w:type="paragraph" w:customStyle="1" w:styleId="ab">
    <w:name w:val="标准书脚_奇数页"/>
    <w:qFormat/>
    <w:rsid w:val="00517643"/>
    <w:pPr>
      <w:spacing w:before="120"/>
      <w:jc w:val="right"/>
    </w:pPr>
    <w:rPr>
      <w:sz w:val="18"/>
    </w:rPr>
  </w:style>
  <w:style w:type="paragraph" w:customStyle="1" w:styleId="10">
    <w:name w:val="列出段落1"/>
    <w:basedOn w:val="a"/>
    <w:qFormat/>
    <w:rsid w:val="00517643"/>
    <w:pPr>
      <w:ind w:firstLineChars="200" w:firstLine="420"/>
    </w:pPr>
    <w:rPr>
      <w:b/>
      <w:bCs/>
      <w:kern w:val="44"/>
      <w:sz w:val="32"/>
      <w:szCs w:val="32"/>
    </w:rPr>
  </w:style>
  <w:style w:type="paragraph" w:customStyle="1" w:styleId="2">
    <w:name w:val="列出段落2"/>
    <w:basedOn w:val="a"/>
    <w:qFormat/>
    <w:rsid w:val="00517643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517643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CharCharCharCharCharChar">
    <w:name w:val="Char Char Char1 Char Char Char Char Char Char Char Char Char Char"/>
    <w:basedOn w:val="a"/>
    <w:qFormat/>
    <w:rsid w:val="00517643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c">
    <w:name w:val="封面标准英文名称"/>
    <w:qFormat/>
    <w:rsid w:val="00517643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d">
    <w:name w:val="章标题"/>
    <w:next w:val="a"/>
    <w:qFormat/>
    <w:rsid w:val="00517643"/>
    <w:pPr>
      <w:tabs>
        <w:tab w:val="left" w:pos="675"/>
      </w:tabs>
      <w:spacing w:beforeLines="100" w:afterLines="100"/>
      <w:ind w:left="675" w:hanging="36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e">
    <w:name w:val="标准书眉_奇数页"/>
    <w:next w:val="a"/>
    <w:qFormat/>
    <w:rsid w:val="00517643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styleId="af">
    <w:name w:val="List Paragraph"/>
    <w:basedOn w:val="a"/>
    <w:uiPriority w:val="99"/>
    <w:unhideWhenUsed/>
    <w:rsid w:val="004A6A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81E255-4CDD-4723-912B-4352D74EABCD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FA99FEFA-ED56-48D2-8127-947FD359F5AB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8</Pages>
  <Words>1342</Words>
  <Characters>7652</Characters>
  <Application>Microsoft Office Word</Application>
  <DocSecurity>0</DocSecurity>
  <Lines>63</Lines>
  <Paragraphs>17</Paragraphs>
  <ScaleCrop>false</ScaleCrop>
  <Company>DEEPIN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锡铅焊料化学分析方法</dc:title>
  <dc:creator>冯振华</dc:creator>
  <cp:lastModifiedBy>User</cp:lastModifiedBy>
  <cp:revision>105</cp:revision>
  <dcterms:created xsi:type="dcterms:W3CDTF">2018-11-15T10:31:00Z</dcterms:created>
  <dcterms:modified xsi:type="dcterms:W3CDTF">2021-01-06T02:31:00Z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