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rFonts w:eastAsia="黑体"/>
          <w:sz w:val="18"/>
          <w:szCs w:val="18"/>
          <w:lang w:val="de-DE"/>
        </w:rPr>
      </w:pPr>
      <w:r>
        <w:rPr>
          <w:sz w:val="18"/>
          <w:szCs w:val="18"/>
        </w:rPr>
        <mc:AlternateContent>
          <mc:Choice Requires="wpg">
            <w:drawing>
              <wp:anchor distT="0" distB="0" distL="114300" distR="114300" simplePos="0" relativeHeight="251657216" behindDoc="1" locked="0" layoutInCell="1" allowOverlap="1">
                <wp:simplePos x="0" y="0"/>
                <wp:positionH relativeFrom="page">
                  <wp:posOffset>900430</wp:posOffset>
                </wp:positionH>
                <wp:positionV relativeFrom="page">
                  <wp:posOffset>872490</wp:posOffset>
                </wp:positionV>
                <wp:extent cx="5944235" cy="1350010"/>
                <wp:effectExtent l="0" t="0" r="0" b="0"/>
                <wp:wrapNone/>
                <wp:docPr id="8" name="Group 37"/>
                <wp:cNvGraphicFramePr/>
                <a:graphic xmlns:a="http://schemas.openxmlformats.org/drawingml/2006/main">
                  <a:graphicData uri="http://schemas.microsoft.com/office/word/2010/wordprocessingGroup">
                    <wpg:wgp>
                      <wpg:cNvGrpSpPr/>
                      <wpg:grpSpPr>
                        <a:xfrm>
                          <a:off x="0" y="0"/>
                          <a:ext cx="5944235" cy="1350010"/>
                          <a:chOff x="0" y="0"/>
                          <a:chExt cx="93" cy="21262"/>
                        </a:xfrm>
                        <a:effectLst/>
                      </wpg:grpSpPr>
                      <wps:wsp>
                        <wps:cNvPr id="9" name="Rectangle 38"/>
                        <wps:cNvSpPr>
                          <a:spLocks noChangeArrowheads="1"/>
                        </wps:cNvSpPr>
                        <wps:spPr bwMode="auto">
                          <a:xfrm>
                            <a:off x="0" y="0"/>
                            <a:ext cx="93" cy="21"/>
                          </a:xfrm>
                          <a:prstGeom prst="rect">
                            <a:avLst/>
                          </a:prstGeom>
                          <a:noFill/>
                          <a:ln>
                            <a:noFill/>
                          </a:ln>
                          <a:effectLst/>
                        </wps:spPr>
                        <wps:txbx>
                          <w:txbxContent>
                            <w:p>
                              <w:pPr>
                                <w:widowControl/>
                                <w:spacing w:line="2060" w:lineRule="atLeast"/>
                                <w:jc w:val="left"/>
                                <w:rPr>
                                  <w:kern w:val="0"/>
                                  <w:sz w:val="24"/>
                                </w:rPr>
                              </w:pPr>
                              <w:r>
                                <w:rPr>
                                  <w:kern w:val="0"/>
                                  <w:sz w:val="24"/>
                                </w:rPr>
                                <w:drawing>
                                  <wp:inline distT="0" distB="0" distL="0" distR="0">
                                    <wp:extent cx="5930900" cy="1341755"/>
                                    <wp:effectExtent l="1905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0"/>
                                            <a:srcRect/>
                                            <a:stretch>
                                              <a:fillRect/>
                                            </a:stretch>
                                          </pic:blipFill>
                                          <pic:spPr>
                                            <a:xfrm>
                                              <a:off x="0" y="0"/>
                                              <a:ext cx="5930900" cy="1341755"/>
                                            </a:xfrm>
                                            <a:prstGeom prst="rect">
                                              <a:avLst/>
                                            </a:prstGeom>
                                            <a:noFill/>
                                            <a:ln w="9525">
                                              <a:noFill/>
                                              <a:miter lim="800000"/>
                                              <a:headEnd/>
                                              <a:tailEnd/>
                                            </a:ln>
                                          </pic:spPr>
                                        </pic:pic>
                                      </a:graphicData>
                                    </a:graphic>
                                  </wp:inline>
                                </w:drawing>
                              </w:r>
                            </w:p>
                            <w:p>
                              <w:pPr>
                                <w:autoSpaceDE w:val="0"/>
                                <w:autoSpaceDN w:val="0"/>
                                <w:adjustRightInd w:val="0"/>
                                <w:jc w:val="left"/>
                                <w:rPr>
                                  <w:kern w:val="0"/>
                                  <w:sz w:val="24"/>
                                </w:rPr>
                              </w:pPr>
                            </w:p>
                          </w:txbxContent>
                        </wps:txbx>
                        <wps:bodyPr rot="0" vert="horz" wrap="square" lIns="0" tIns="0" rIns="0" bIns="0" anchor="t" anchorCtr="0" upright="1">
                          <a:noAutofit/>
                        </wps:bodyPr>
                      </wps:wsp>
                      <wps:wsp>
                        <wps:cNvPr id="10" name="Rectangle 39"/>
                        <wps:cNvSpPr>
                          <a:spLocks noChangeArrowheads="1"/>
                        </wps:cNvSpPr>
                        <wps:spPr bwMode="auto">
                          <a:xfrm>
                            <a:off x="0" y="0"/>
                            <a:ext cx="17" cy="7"/>
                          </a:xfrm>
                          <a:prstGeom prst="rect">
                            <a:avLst/>
                          </a:prstGeom>
                          <a:solidFill>
                            <a:srgbClr val="FFFFFF"/>
                          </a:solidFill>
                          <a:ln>
                            <a:noFill/>
                          </a:ln>
                          <a:effectLst/>
                        </wps:spPr>
                        <wps:bodyPr rot="0" vert="horz" wrap="square" lIns="91440" tIns="45720" rIns="91440" bIns="45720" anchor="t" anchorCtr="0" upright="1">
                          <a:noAutofit/>
                        </wps:bodyPr>
                      </wps:wsp>
                    </wpg:wgp>
                  </a:graphicData>
                </a:graphic>
              </wp:anchor>
            </w:drawing>
          </mc:Choice>
          <mc:Fallback>
            <w:pict>
              <v:group id="Group 37" o:spid="_x0000_s1026" o:spt="203" style="position:absolute;left:0pt;margin-left:70.9pt;margin-top:68.7pt;height:106.3pt;width:468.05pt;mso-position-horizontal-relative:page;mso-position-vertical-relative:page;z-index:-251659264;mso-width-relative:page;mso-height-relative:page;" coordsize="93,21262" o:gfxdata="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EUPJ+DbAAAADAEAAA8AAAAAAAAAAQAgAAAAIgAAAGRy&#10;cy9kb3ducmV2LnhtbFBLAQIUABQAAAAIAIdO4kDK7+JxrQIAAIoHAAAOAAAAAAAAAAEAIAAAACoB&#10;AABkcnMvZTJvRG9jLnhtbFBLBQYAAAAABgAGAFkBAABJBgAAAAA=&#10;">
                <o:lock v:ext="edit" aspectratio="f"/>
                <v:rect id="Rectangle 38" o:spid="_x0000_s1026" o:spt="1" style="position:absolute;left:0;top:0;height:21;width:9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fill on="f" focussize="0,0"/>
                  <v:stroke on="f"/>
                  <v:imagedata o:title=""/>
                  <o:lock v:ext="edit" aspectratio="f"/>
                  <v:textbox inset="0mm,0mm,0mm,0mm">
                    <w:txbxContent>
                      <w:p>
                        <w:pPr>
                          <w:widowControl/>
                          <w:spacing w:line="2060" w:lineRule="atLeast"/>
                          <w:jc w:val="left"/>
                          <w:rPr>
                            <w:kern w:val="0"/>
                            <w:sz w:val="24"/>
                          </w:rPr>
                        </w:pPr>
                        <w:r>
                          <w:rPr>
                            <w:kern w:val="0"/>
                            <w:sz w:val="24"/>
                          </w:rPr>
                          <w:drawing>
                            <wp:inline distT="0" distB="0" distL="0" distR="0">
                              <wp:extent cx="5930900" cy="1341755"/>
                              <wp:effectExtent l="1905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0"/>
                                      <a:srcRect/>
                                      <a:stretch>
                                        <a:fillRect/>
                                      </a:stretch>
                                    </pic:blipFill>
                                    <pic:spPr>
                                      <a:xfrm>
                                        <a:off x="0" y="0"/>
                                        <a:ext cx="5930900" cy="1341755"/>
                                      </a:xfrm>
                                      <a:prstGeom prst="rect">
                                        <a:avLst/>
                                      </a:prstGeom>
                                      <a:noFill/>
                                      <a:ln w="9525">
                                        <a:noFill/>
                                        <a:miter lim="800000"/>
                                        <a:headEnd/>
                                        <a:tailEnd/>
                                      </a:ln>
                                    </pic:spPr>
                                  </pic:pic>
                                </a:graphicData>
                              </a:graphic>
                            </wp:inline>
                          </w:drawing>
                        </w:r>
                      </w:p>
                      <w:p>
                        <w:pPr>
                          <w:autoSpaceDE w:val="0"/>
                          <w:autoSpaceDN w:val="0"/>
                          <w:adjustRightInd w:val="0"/>
                          <w:jc w:val="left"/>
                          <w:rPr>
                            <w:kern w:val="0"/>
                            <w:sz w:val="24"/>
                          </w:rPr>
                        </w:pPr>
                      </w:p>
                    </w:txbxContent>
                  </v:textbox>
                </v:rect>
                <v:rect id="Rectangle 39" o:spid="_x0000_s1026" o:spt="1" style="position:absolute;left:0;top:0;height:7;width:17;"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v:fill on="t" focussize="0,0"/>
                  <v:stroke on="f"/>
                  <v:imagedata o:title=""/>
                  <o:lock v:ext="edit" aspectratio="f"/>
                </v:rect>
              </v:group>
            </w:pict>
          </mc:Fallback>
        </mc:AlternateContent>
      </w:r>
      <w:bookmarkStart w:id="2" w:name="_GoBack"/>
      <w:bookmarkEnd w:id="2"/>
      <w:r>
        <w:rPr>
          <w:rFonts w:eastAsia="黑体"/>
          <w:sz w:val="18"/>
          <w:szCs w:val="18"/>
          <w:lang w:val="de-DE"/>
        </w:rPr>
        <w:t>ICS77.150.99</w:t>
      </w:r>
    </w:p>
    <w:p>
      <w:pPr>
        <w:autoSpaceDE w:val="0"/>
        <w:autoSpaceDN w:val="0"/>
        <w:adjustRightInd w:val="0"/>
        <w:outlineLvl w:val="0"/>
        <w:rPr>
          <w:rFonts w:eastAsia="黑体"/>
          <w:kern w:val="0"/>
          <w:sz w:val="18"/>
          <w:szCs w:val="18"/>
          <w:lang w:val="de-DE"/>
        </w:rPr>
      </w:pPr>
      <w:r>
        <w:rPr>
          <w:rFonts w:eastAsia="黑体"/>
          <w:kern w:val="0"/>
          <w:sz w:val="18"/>
          <w:szCs w:val="18"/>
          <w:lang w:val="de-DE"/>
        </w:rPr>
        <w:t>CCS H 68</w:t>
      </w:r>
    </w:p>
    <w:p>
      <w:pPr>
        <w:spacing w:line="300" w:lineRule="auto"/>
        <w:ind w:right="480"/>
        <w:jc w:val="right"/>
        <w:rPr>
          <w:rFonts w:eastAsia="黑体"/>
          <w:kern w:val="0"/>
          <w:sz w:val="48"/>
          <w:szCs w:val="48"/>
          <w:lang w:val="de-DE"/>
        </w:rPr>
      </w:pPr>
      <w:r>
        <w:rPr>
          <w:rFonts w:eastAsia="黑体"/>
          <w:kern w:val="0"/>
          <w:sz w:val="48"/>
          <w:szCs w:val="48"/>
        </w:rPr>
        <w:drawing>
          <wp:anchor distT="0" distB="0" distL="114300" distR="114300" simplePos="0" relativeHeight="251659264" behindDoc="0" locked="1" layoutInCell="1" allowOverlap="1">
            <wp:simplePos x="0" y="0"/>
            <wp:positionH relativeFrom="margin">
              <wp:posOffset>4546600</wp:posOffset>
            </wp:positionH>
            <wp:positionV relativeFrom="margin">
              <wp:posOffset>307340</wp:posOffset>
            </wp:positionV>
            <wp:extent cx="1395730" cy="725170"/>
            <wp:effectExtent l="19050" t="0" r="0" b="0"/>
            <wp:wrapNone/>
            <wp:docPr id="12"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spect="1" noChangeArrowheads="1"/>
                    </pic:cNvPicPr>
                  </pic:nvPicPr>
                  <pic:blipFill>
                    <a:blip r:embed="rId11"/>
                    <a:srcRect/>
                    <a:stretch>
                      <a:fillRect/>
                    </a:stretch>
                  </pic:blipFill>
                  <pic:spPr>
                    <a:xfrm>
                      <a:off x="0" y="0"/>
                      <a:ext cx="1395730" cy="725170"/>
                    </a:xfrm>
                    <a:prstGeom prst="rect">
                      <a:avLst/>
                    </a:prstGeom>
                    <a:noFill/>
                    <a:ln w="9525">
                      <a:noFill/>
                      <a:miter lim="800000"/>
                      <a:headEnd/>
                      <a:tailEnd/>
                    </a:ln>
                  </pic:spPr>
                </pic:pic>
              </a:graphicData>
            </a:graphic>
          </wp:anchor>
        </w:drawing>
      </w:r>
    </w:p>
    <w:p>
      <w:pPr>
        <w:spacing w:line="300" w:lineRule="auto"/>
        <w:jc w:val="distribute"/>
        <w:rPr>
          <w:rFonts w:eastAsia="黑体"/>
          <w:kern w:val="0"/>
          <w:sz w:val="48"/>
          <w:szCs w:val="48"/>
          <w:lang w:val="de-DE"/>
        </w:rPr>
      </w:pPr>
    </w:p>
    <w:p>
      <w:pPr>
        <w:spacing w:line="300" w:lineRule="auto"/>
        <w:jc w:val="distribute"/>
        <w:rPr>
          <w:rFonts w:eastAsia="黑体"/>
          <w:sz w:val="48"/>
          <w:szCs w:val="48"/>
          <w:lang w:val="de-DE"/>
        </w:rPr>
      </w:pPr>
      <w:r>
        <w:rPr>
          <w:rFonts w:eastAsia="黑体"/>
          <w:kern w:val="0"/>
          <w:sz w:val="48"/>
          <w:szCs w:val="48"/>
          <w:lang w:val="de-DE"/>
        </w:rPr>
        <w:t>中华人民共和国国家标准</w:t>
      </w:r>
    </w:p>
    <w:p>
      <w:pPr>
        <w:ind w:right="360"/>
        <w:jc w:val="right"/>
        <w:rPr>
          <w:sz w:val="18"/>
          <w:szCs w:val="18"/>
          <w:lang w:val="de-DE"/>
        </w:rPr>
      </w:pPr>
    </w:p>
    <w:p>
      <w:pPr>
        <w:ind w:right="360"/>
        <w:jc w:val="right"/>
        <w:rPr>
          <w:rFonts w:eastAsia="黑体"/>
          <w:sz w:val="24"/>
          <w:lang w:val="de-DE"/>
        </w:rPr>
      </w:pPr>
    </w:p>
    <w:p>
      <w:pPr>
        <w:ind w:right="240"/>
        <w:jc w:val="right"/>
        <w:rPr>
          <w:rFonts w:eastAsia="黑体"/>
          <w:sz w:val="24"/>
          <w:lang w:val="de-DE"/>
        </w:rPr>
      </w:pPr>
      <w:r>
        <w:rPr>
          <w:rFonts w:eastAsia="黑体"/>
          <w:sz w:val="24"/>
          <w:lang w:val="de-DE"/>
        </w:rPr>
        <w:t>YS/T XXXX</w:t>
      </w:r>
      <w:r>
        <w:rPr>
          <w:rFonts w:hint="eastAsia" w:eastAsia="黑体"/>
          <w:sz w:val="24"/>
          <w:lang w:val="de-DE"/>
        </w:rPr>
        <w:t>-</w:t>
      </w:r>
      <w:r>
        <w:rPr>
          <w:rFonts w:eastAsia="黑体"/>
          <w:sz w:val="24"/>
          <w:lang w:val="de-DE"/>
        </w:rPr>
        <w:t>20XX</w:t>
      </w: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line="200" w:lineRule="exact"/>
        <w:jc w:val="left"/>
        <w:rPr>
          <w:rFonts w:eastAsia="黑体"/>
          <w:kern w:val="0"/>
          <w:sz w:val="20"/>
          <w:szCs w:val="20"/>
          <w:lang w:val="de-DE"/>
        </w:rPr>
      </w:pPr>
      <w:r>
        <w:rPr>
          <w:rFonts w:eastAsia="黑体"/>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102235</wp:posOffset>
                </wp:positionV>
                <wp:extent cx="6120130" cy="0"/>
                <wp:effectExtent l="0" t="0" r="0" b="0"/>
                <wp:wrapNone/>
                <wp:docPr id="7" name="AutoShape 4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a:effectLst/>
                      </wps:spPr>
                      <wps:bodyPr/>
                    </wps:wsp>
                  </a:graphicData>
                </a:graphic>
              </wp:anchor>
            </w:drawing>
          </mc:Choice>
          <mc:Fallback>
            <w:pict>
              <v:shape id="AutoShape 48" o:spid="_x0000_s1026" o:spt="32" type="#_x0000_t32" style="position:absolute;left:0pt;margin-left:0.4pt;margin-top:8.05pt;height:0pt;width:481.9pt;z-index:251658240;mso-width-relative:page;mso-height-relative:page;" filled="f" stroked="t" coordsize="21600,21600" o:gfxdata="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vKjZdIAAAAGAQAADwAAAAAAAAABACAA&#10;AAAiAAAAZHJzL2Rvd25yZXYueG1sUEsBAhQAFAAAAAgAh07iQL2MbMfaAQAAwQMAAA4AAAAAAAAA&#10;AQAgAAAAIQEAAGRycy9lMm9Eb2MueG1sUEsFBgAAAAAGAAYAWQEAAG0FAAAAAA==&#10;">
                <v:fill on="f" focussize="0,0"/>
                <v:stroke color="#000000" joinstyle="round"/>
                <v:imagedata o:title=""/>
                <o:lock v:ext="edit" aspectratio="f"/>
              </v:shape>
            </w:pict>
          </mc:Fallback>
        </mc:AlternateContent>
      </w: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line="200" w:lineRule="exact"/>
        <w:jc w:val="left"/>
        <w:rPr>
          <w:rFonts w:eastAsia="黑体"/>
          <w:kern w:val="0"/>
          <w:sz w:val="20"/>
          <w:szCs w:val="20"/>
          <w:lang w:val="de-DE"/>
        </w:rPr>
      </w:pPr>
    </w:p>
    <w:p>
      <w:pPr>
        <w:jc w:val="center"/>
        <w:rPr>
          <w:rFonts w:eastAsia="黑体"/>
          <w:kern w:val="0"/>
          <w:sz w:val="52"/>
          <w:szCs w:val="52"/>
        </w:rPr>
      </w:pPr>
    </w:p>
    <w:p>
      <w:pPr>
        <w:spacing w:line="360" w:lineRule="exact"/>
        <w:jc w:val="center"/>
        <w:rPr>
          <w:rFonts w:eastAsia="黑体"/>
          <w:kern w:val="0"/>
          <w:sz w:val="52"/>
          <w:szCs w:val="52"/>
        </w:rPr>
      </w:pPr>
    </w:p>
    <w:p>
      <w:pPr>
        <w:spacing w:line="360" w:lineRule="exact"/>
        <w:jc w:val="center"/>
        <w:rPr>
          <w:rFonts w:eastAsia="黑体"/>
          <w:kern w:val="0"/>
          <w:sz w:val="52"/>
          <w:szCs w:val="52"/>
        </w:rPr>
      </w:pPr>
    </w:p>
    <w:p>
      <w:pPr>
        <w:spacing w:line="360" w:lineRule="exact"/>
        <w:jc w:val="center"/>
        <w:rPr>
          <w:rFonts w:eastAsia="黑体"/>
          <w:kern w:val="0"/>
          <w:sz w:val="52"/>
          <w:szCs w:val="52"/>
        </w:rPr>
      </w:pPr>
    </w:p>
    <w:p>
      <w:pPr>
        <w:jc w:val="center"/>
        <w:rPr>
          <w:rFonts w:eastAsia="黑体"/>
          <w:sz w:val="52"/>
        </w:rPr>
      </w:pPr>
      <w:r>
        <w:rPr>
          <w:rFonts w:eastAsia="黑体"/>
          <w:sz w:val="52"/>
        </w:rPr>
        <w:t>核级银-铟-镉合金棒</w:t>
      </w:r>
    </w:p>
    <w:p>
      <w:pPr>
        <w:jc w:val="center"/>
        <w:rPr>
          <w:kern w:val="0"/>
          <w:sz w:val="36"/>
        </w:rPr>
      </w:pPr>
    </w:p>
    <w:p>
      <w:pPr>
        <w:spacing w:line="360" w:lineRule="exact"/>
        <w:jc w:val="center"/>
        <w:rPr>
          <w:kern w:val="0"/>
          <w:sz w:val="36"/>
        </w:rPr>
      </w:pPr>
    </w:p>
    <w:p>
      <w:pPr>
        <w:spacing w:line="360" w:lineRule="exact"/>
        <w:jc w:val="center"/>
        <w:rPr>
          <w:sz w:val="32"/>
          <w:szCs w:val="30"/>
          <w:lang w:val="de-DE"/>
        </w:rPr>
      </w:pPr>
      <w:r>
        <w:rPr>
          <w:sz w:val="32"/>
          <w:szCs w:val="30"/>
          <w:lang w:val="de-DE"/>
        </w:rPr>
        <w:t>Nuclear-grade silver-indium-cadmium rods</w:t>
      </w:r>
    </w:p>
    <w:p>
      <w:pPr>
        <w:spacing w:line="360" w:lineRule="exact"/>
        <w:jc w:val="center"/>
        <w:rPr>
          <w:rFonts w:eastAsia="黑体"/>
          <w:spacing w:val="20"/>
          <w:sz w:val="28"/>
        </w:rPr>
      </w:pPr>
    </w:p>
    <w:p>
      <w:pPr>
        <w:jc w:val="center"/>
        <w:rPr>
          <w:rFonts w:eastAsia="黑体"/>
          <w:spacing w:val="20"/>
          <w:sz w:val="28"/>
          <w:lang w:val="de-DE"/>
        </w:rPr>
      </w:pPr>
    </w:p>
    <w:p>
      <w:pPr>
        <w:jc w:val="center"/>
        <w:rPr>
          <w:rFonts w:eastAsia="黑体"/>
          <w:spacing w:val="20"/>
          <w:sz w:val="28"/>
          <w:lang w:val="de-DE"/>
        </w:rPr>
      </w:pPr>
    </w:p>
    <w:p>
      <w:pPr>
        <w:jc w:val="center"/>
        <w:rPr>
          <w:rFonts w:eastAsia="黑体"/>
          <w:spacing w:val="20"/>
          <w:sz w:val="28"/>
          <w:lang w:val="de-DE"/>
        </w:rPr>
      </w:pPr>
    </w:p>
    <w:p>
      <w:pPr>
        <w:jc w:val="center"/>
        <w:rPr>
          <w:spacing w:val="20"/>
          <w:sz w:val="28"/>
          <w:szCs w:val="28"/>
          <w:lang w:val="de-DE"/>
        </w:rPr>
      </w:pPr>
      <w:r>
        <w:rPr>
          <w:spacing w:val="20"/>
          <w:sz w:val="28"/>
          <w:szCs w:val="28"/>
          <w:lang w:val="de-DE"/>
        </w:rPr>
        <w:t>（</w:t>
      </w:r>
      <w:r>
        <w:rPr>
          <w:rFonts w:hint="eastAsia"/>
          <w:spacing w:val="20"/>
          <w:sz w:val="28"/>
          <w:szCs w:val="28"/>
          <w:lang w:val="de-DE"/>
        </w:rPr>
        <w:t>征求意见</w:t>
      </w:r>
      <w:r>
        <w:rPr>
          <w:spacing w:val="20"/>
          <w:sz w:val="28"/>
          <w:szCs w:val="28"/>
          <w:lang w:val="de-DE"/>
        </w:rPr>
        <w:t>稿）</w:t>
      </w:r>
    </w:p>
    <w:p>
      <w:pPr>
        <w:autoSpaceDE w:val="0"/>
        <w:autoSpaceDN w:val="0"/>
        <w:adjustRightInd w:val="0"/>
        <w:spacing w:before="7" w:line="110" w:lineRule="exact"/>
        <w:jc w:val="left"/>
        <w:rPr>
          <w:sz w:val="36"/>
          <w:szCs w:val="36"/>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sz w:val="28"/>
          <w:szCs w:val="28"/>
          <w:lang w:val="de-DE"/>
        </w:rPr>
      </w:pPr>
    </w:p>
    <w:p>
      <w:pPr>
        <w:autoSpaceDE w:val="0"/>
        <w:autoSpaceDN w:val="0"/>
        <w:adjustRightInd w:val="0"/>
        <w:spacing w:before="7" w:line="110" w:lineRule="exact"/>
        <w:jc w:val="left"/>
        <w:rPr>
          <w:rFonts w:eastAsia="黑体"/>
          <w:kern w:val="0"/>
          <w:sz w:val="11"/>
          <w:szCs w:val="11"/>
          <w:lang w:val="de-DE"/>
        </w:rPr>
      </w:pPr>
    </w:p>
    <w:p>
      <w:pPr>
        <w:autoSpaceDE w:val="0"/>
        <w:autoSpaceDN w:val="0"/>
        <w:adjustRightInd w:val="0"/>
        <w:spacing w:line="200" w:lineRule="exact"/>
        <w:jc w:val="left"/>
        <w:rPr>
          <w:kern w:val="0"/>
          <w:sz w:val="20"/>
          <w:szCs w:val="20"/>
          <w:lang w:val="de-DE"/>
        </w:rPr>
      </w:pPr>
    </w:p>
    <w:p>
      <w:pPr>
        <w:autoSpaceDE w:val="0"/>
        <w:autoSpaceDN w:val="0"/>
        <w:adjustRightInd w:val="0"/>
        <w:spacing w:line="200" w:lineRule="exact"/>
        <w:jc w:val="left"/>
        <w:rPr>
          <w:kern w:val="0"/>
          <w:sz w:val="20"/>
          <w:szCs w:val="20"/>
          <w:lang w:val="de-DE"/>
        </w:rPr>
      </w:pPr>
    </w:p>
    <w:p>
      <w:pPr>
        <w:autoSpaceDE w:val="0"/>
        <w:autoSpaceDN w:val="0"/>
        <w:adjustRightInd w:val="0"/>
        <w:spacing w:line="200" w:lineRule="exact"/>
        <w:jc w:val="left"/>
        <w:rPr>
          <w:kern w:val="0"/>
          <w:sz w:val="20"/>
          <w:szCs w:val="20"/>
          <w:lang w:val="de-DE"/>
        </w:rPr>
      </w:pPr>
    </w:p>
    <w:p>
      <w:pPr>
        <w:tabs>
          <w:tab w:val="left" w:pos="6300"/>
        </w:tabs>
        <w:autoSpaceDE w:val="0"/>
        <w:autoSpaceDN w:val="0"/>
        <w:adjustRightInd w:val="0"/>
        <w:spacing w:line="428" w:lineRule="exact"/>
        <w:ind w:left="119"/>
        <w:jc w:val="left"/>
        <w:rPr>
          <w:rFonts w:eastAsia="黑体"/>
          <w:spacing w:val="-1"/>
          <w:kern w:val="0"/>
          <w:position w:val="-3"/>
          <w:sz w:val="28"/>
          <w:szCs w:val="28"/>
          <w:lang w:val="de-DE"/>
        </w:rPr>
      </w:pPr>
    </w:p>
    <w:p>
      <w:pPr>
        <w:tabs>
          <w:tab w:val="left" w:pos="6300"/>
        </w:tabs>
        <w:autoSpaceDE w:val="0"/>
        <w:autoSpaceDN w:val="0"/>
        <w:adjustRightInd w:val="0"/>
        <w:spacing w:line="428" w:lineRule="exact"/>
        <w:jc w:val="left"/>
        <w:rPr>
          <w:rFonts w:eastAsia="黑体"/>
          <w:spacing w:val="-1"/>
          <w:kern w:val="0"/>
          <w:position w:val="-3"/>
          <w:sz w:val="28"/>
          <w:szCs w:val="28"/>
          <w:lang w:val="de-DE"/>
        </w:rPr>
      </w:pPr>
    </w:p>
    <w:p>
      <w:pPr>
        <w:tabs>
          <w:tab w:val="left" w:pos="6300"/>
        </w:tabs>
        <w:autoSpaceDE w:val="0"/>
        <w:autoSpaceDN w:val="0"/>
        <w:adjustRightInd w:val="0"/>
        <w:spacing w:line="428" w:lineRule="exact"/>
        <w:jc w:val="left"/>
        <w:rPr>
          <w:rFonts w:eastAsia="黑体"/>
          <w:spacing w:val="-1"/>
          <w:kern w:val="0"/>
          <w:position w:val="-3"/>
          <w:sz w:val="28"/>
          <w:szCs w:val="28"/>
          <w:lang w:val="de-DE"/>
        </w:rPr>
      </w:pPr>
    </w:p>
    <w:p>
      <w:pPr>
        <w:tabs>
          <w:tab w:val="left" w:pos="6300"/>
        </w:tabs>
        <w:autoSpaceDE w:val="0"/>
        <w:autoSpaceDN w:val="0"/>
        <w:adjustRightInd w:val="0"/>
        <w:spacing w:line="428" w:lineRule="exact"/>
        <w:jc w:val="left"/>
        <w:rPr>
          <w:rFonts w:eastAsia="黑体"/>
          <w:spacing w:val="-1"/>
          <w:kern w:val="0"/>
          <w:position w:val="-3"/>
          <w:sz w:val="28"/>
          <w:szCs w:val="28"/>
          <w:lang w:val="de-DE"/>
        </w:rPr>
      </w:pPr>
    </w:p>
    <w:p>
      <w:pPr>
        <w:tabs>
          <w:tab w:val="left" w:pos="6300"/>
        </w:tabs>
        <w:autoSpaceDE w:val="0"/>
        <w:autoSpaceDN w:val="0"/>
        <w:adjustRightInd w:val="0"/>
        <w:spacing w:line="428" w:lineRule="exact"/>
        <w:jc w:val="left"/>
        <w:rPr>
          <w:rFonts w:eastAsia="黑体"/>
          <w:kern w:val="0"/>
          <w:sz w:val="28"/>
          <w:szCs w:val="28"/>
          <w:lang w:val="de-DE"/>
        </w:rPr>
      </w:pPr>
      <w:r>
        <w:rPr>
          <w:rFonts w:eastAsia="黑体"/>
        </w:rPr>
        <mc:AlternateContent>
          <mc:Choice Requires="wps">
            <w:drawing>
              <wp:anchor distT="0" distB="0" distL="114300" distR="114300" simplePos="0" relativeHeight="251656192"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1" name="未知"/>
                <wp:cNvGraphicFramePr/>
                <a:graphic xmlns:a="http://schemas.openxmlformats.org/drawingml/2006/main">
                  <a:graphicData uri="http://schemas.microsoft.com/office/word/2010/wordprocessingShape">
                    <wps:wsp>
                      <wps:cNvSpPr/>
                      <wps:spPr>
                        <a:xfrm>
                          <a:off x="0" y="0"/>
                          <a:ext cx="5829300" cy="0"/>
                        </a:xfrm>
                        <a:custGeom>
                          <a:avLst/>
                          <a:gdLst/>
                          <a:ahLst/>
                          <a:cxnLst>
                            <a:cxn ang="0">
                              <a:pos x="0" y="0"/>
                            </a:cxn>
                            <a:cxn ang="0">
                              <a:pos x="5829300" y="0"/>
                            </a:cxn>
                          </a:cxnLst>
                          <a:pathLst>
                            <a:path w="9180">
                              <a:moveTo>
                                <a:pt x="0" y="0"/>
                              </a:moveTo>
                              <a:lnTo>
                                <a:pt x="9180" y="0"/>
                              </a:lnTo>
                            </a:path>
                          </a:pathLst>
                        </a:custGeom>
                        <a:noFill/>
                        <a:ln w="9525" cap="flat" cmpd="sng">
                          <a:solidFill>
                            <a:srgbClr val="000000"/>
                          </a:solidFill>
                          <a:prstDash val="solid"/>
                          <a:headEnd type="none" w="med" len="med"/>
                          <a:tailEnd type="none" w="med" len="med"/>
                        </a:ln>
                      </wps:spPr>
                      <wps:bodyPr wrap="square" anchor="t" upright="1"/>
                    </wps:wsp>
                  </a:graphicData>
                </a:graphic>
              </wp:anchor>
            </w:drawing>
          </mc:Choice>
          <mc:Fallback>
            <w:pict>
              <v:shape id="未知" o:spid="_x0000_s1026" o:spt="100" style="position:absolute;left:0pt;margin-left:70.9pt;margin-top:35.5pt;height:0pt;width:459pt;mso-position-horizontal-relative:page;z-index:-251660288;mso-width-relative:page;mso-height-relative:page;" filled="f" stroked="t" coordsize="9180,1"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" path="m0,0l9180,0e">
                <v:path o:connecttype="custom" o:connectlocs="0,0;5829300,0" o:connectangles="0,0"/>
                <v:fill on="f" focussize="0,0"/>
                <v:stroke color="#000000" joinstyle="round"/>
                <v:imagedata o:title=""/>
                <o:lock v:ext="edit" aspectratio="f"/>
              </v:shape>
            </w:pict>
          </mc:Fallback>
        </mc:AlternateContent>
      </w:r>
      <w:r>
        <w:rPr>
          <w:rFonts w:eastAsia="黑体"/>
          <w:spacing w:val="-1"/>
          <w:kern w:val="0"/>
          <w:position w:val="-3"/>
          <w:sz w:val="28"/>
          <w:szCs w:val="28"/>
          <w:lang w:val="de-DE"/>
        </w:rPr>
        <w:t>20</w:t>
      </w:r>
      <w:r>
        <w:rPr>
          <w:rFonts w:eastAsia="黑体"/>
          <w:kern w:val="0"/>
          <w:position w:val="-3"/>
          <w:sz w:val="28"/>
          <w:szCs w:val="28"/>
          <w:lang w:val="de-DE"/>
        </w:rPr>
        <w:t>XX</w:t>
      </w:r>
      <w:r>
        <w:rPr>
          <w:rFonts w:hint="eastAsia" w:eastAsia="黑体"/>
          <w:kern w:val="0"/>
          <w:position w:val="-3"/>
          <w:sz w:val="28"/>
          <w:szCs w:val="28"/>
          <w:lang w:val="de-DE"/>
        </w:rPr>
        <w:t>-</w:t>
      </w:r>
      <w:r>
        <w:rPr>
          <w:rFonts w:eastAsia="黑体"/>
          <w:kern w:val="0"/>
          <w:position w:val="-3"/>
          <w:sz w:val="28"/>
          <w:szCs w:val="28"/>
          <w:lang w:val="de-DE"/>
        </w:rPr>
        <w:t>XX</w:t>
      </w:r>
      <w:r>
        <w:rPr>
          <w:rFonts w:hint="eastAsia" w:eastAsia="黑体"/>
          <w:kern w:val="0"/>
          <w:position w:val="-3"/>
          <w:sz w:val="28"/>
          <w:szCs w:val="28"/>
          <w:lang w:val="de-DE"/>
        </w:rPr>
        <w:t>-</w:t>
      </w:r>
      <w:r>
        <w:rPr>
          <w:rFonts w:eastAsia="黑体"/>
          <w:kern w:val="0"/>
          <w:position w:val="-3"/>
          <w:sz w:val="28"/>
          <w:szCs w:val="28"/>
          <w:lang w:val="de-DE"/>
        </w:rPr>
        <w:t>XX</w:t>
      </w:r>
      <w:r>
        <w:rPr>
          <w:rFonts w:eastAsia="黑体"/>
          <w:kern w:val="0"/>
          <w:position w:val="-3"/>
          <w:sz w:val="28"/>
          <w:szCs w:val="28"/>
        </w:rPr>
        <w:t xml:space="preserve">发布                                                         </w:t>
      </w:r>
      <w:r>
        <w:rPr>
          <w:rFonts w:hint="eastAsia" w:eastAsia="黑体"/>
          <w:kern w:val="0"/>
          <w:position w:val="-3"/>
          <w:sz w:val="28"/>
          <w:szCs w:val="28"/>
        </w:rPr>
        <w:t xml:space="preserve">         </w:t>
      </w:r>
      <w:r>
        <w:rPr>
          <w:rFonts w:eastAsia="黑体"/>
          <w:spacing w:val="-1"/>
          <w:kern w:val="0"/>
          <w:position w:val="-3"/>
          <w:sz w:val="28"/>
          <w:szCs w:val="28"/>
          <w:lang w:val="de-DE"/>
        </w:rPr>
        <w:t>20</w:t>
      </w:r>
      <w:r>
        <w:rPr>
          <w:rFonts w:eastAsia="黑体"/>
          <w:kern w:val="0"/>
          <w:position w:val="-3"/>
          <w:sz w:val="28"/>
          <w:szCs w:val="28"/>
          <w:lang w:val="de-DE"/>
        </w:rPr>
        <w:t>XX</w:t>
      </w:r>
      <w:r>
        <w:rPr>
          <w:rFonts w:hint="eastAsia" w:eastAsia="黑体"/>
          <w:kern w:val="0"/>
          <w:position w:val="-3"/>
          <w:sz w:val="28"/>
          <w:szCs w:val="28"/>
          <w:lang w:val="de-DE"/>
        </w:rPr>
        <w:t>-</w:t>
      </w:r>
      <w:r>
        <w:rPr>
          <w:rFonts w:eastAsia="黑体"/>
          <w:kern w:val="0"/>
          <w:position w:val="-3"/>
          <w:sz w:val="28"/>
          <w:szCs w:val="28"/>
          <w:lang w:val="de-DE"/>
        </w:rPr>
        <w:t>XX</w:t>
      </w:r>
      <w:r>
        <w:rPr>
          <w:rFonts w:hint="eastAsia" w:eastAsia="黑体"/>
          <w:kern w:val="0"/>
          <w:position w:val="-3"/>
          <w:sz w:val="28"/>
          <w:szCs w:val="28"/>
          <w:lang w:val="de-DE"/>
        </w:rPr>
        <w:t>-</w:t>
      </w:r>
      <w:r>
        <w:rPr>
          <w:rFonts w:eastAsia="黑体"/>
          <w:kern w:val="0"/>
          <w:position w:val="-3"/>
          <w:sz w:val="28"/>
          <w:szCs w:val="28"/>
          <w:lang w:val="de-DE"/>
        </w:rPr>
        <w:t>XX</w:t>
      </w:r>
      <w:r>
        <w:rPr>
          <w:rFonts w:eastAsia="黑体"/>
          <w:kern w:val="0"/>
          <w:position w:val="-3"/>
          <w:sz w:val="28"/>
          <w:szCs w:val="28"/>
        </w:rPr>
        <w:t>实施</w:t>
      </w:r>
    </w:p>
    <w:p>
      <w:pPr>
        <w:autoSpaceDE w:val="0"/>
        <w:autoSpaceDN w:val="0"/>
        <w:adjustRightInd w:val="0"/>
        <w:spacing w:line="200" w:lineRule="exact"/>
        <w:jc w:val="left"/>
        <w:rPr>
          <w:rFonts w:eastAsia="黑体"/>
          <w:kern w:val="0"/>
          <w:sz w:val="20"/>
          <w:szCs w:val="20"/>
          <w:lang w:val="de-DE"/>
        </w:rPr>
      </w:pPr>
    </w:p>
    <w:p>
      <w:pPr>
        <w:autoSpaceDE w:val="0"/>
        <w:autoSpaceDN w:val="0"/>
        <w:adjustRightInd w:val="0"/>
        <w:spacing w:before="13" w:line="260" w:lineRule="exact"/>
        <w:jc w:val="left"/>
        <w:rPr>
          <w:rFonts w:eastAsia="黑体"/>
          <w:kern w:val="0"/>
          <w:sz w:val="26"/>
          <w:szCs w:val="26"/>
          <w:lang w:val="de-DE"/>
        </w:rPr>
      </w:pPr>
    </w:p>
    <w:p>
      <w:pPr>
        <w:tabs>
          <w:tab w:val="left" w:pos="7880"/>
        </w:tabs>
        <w:autoSpaceDE w:val="0"/>
        <w:autoSpaceDN w:val="0"/>
        <w:adjustRightInd w:val="0"/>
        <w:spacing w:line="379" w:lineRule="exact"/>
        <w:ind w:left="970" w:leftChars="462" w:firstLine="1512" w:firstLineChars="400"/>
        <w:jc w:val="left"/>
        <w:rPr>
          <w:rFonts w:eastAsia="黑体"/>
          <w:w w:val="135"/>
          <w:kern w:val="0"/>
          <w:position w:val="-3"/>
          <w:sz w:val="28"/>
          <w:szCs w:val="28"/>
        </w:rPr>
      </w:pPr>
      <w:r>
        <w:rPr>
          <w:rFonts w:eastAsia="黑体"/>
          <w:w w:val="135"/>
          <w:kern w:val="0"/>
          <w:position w:val="-3"/>
          <w:sz w:val="28"/>
          <w:szCs w:val="28"/>
        </w:rPr>
        <w:t>国家市场监督管理总局</w:t>
      </w:r>
    </w:p>
    <w:p>
      <w:pPr>
        <w:tabs>
          <w:tab w:val="left" w:pos="7880"/>
        </w:tabs>
        <w:autoSpaceDE w:val="0"/>
        <w:autoSpaceDN w:val="0"/>
        <w:adjustRightInd w:val="0"/>
        <w:spacing w:line="379" w:lineRule="exact"/>
        <w:ind w:left="970" w:leftChars="462" w:firstLine="1512" w:firstLineChars="400"/>
        <w:jc w:val="left"/>
        <w:rPr>
          <w:rFonts w:eastAsia="黑体"/>
          <w:spacing w:val="43"/>
          <w:kern w:val="0"/>
          <w:sz w:val="28"/>
          <w:szCs w:val="28"/>
        </w:rPr>
        <w:sectPr>
          <w:footerReference r:id="rId3" w:type="even"/>
          <w:pgSz w:w="11907" w:h="16840"/>
          <w:pgMar w:top="567" w:right="851" w:bottom="1134" w:left="1418" w:header="720" w:footer="720" w:gutter="0"/>
          <w:cols w:space="720" w:num="1"/>
        </w:sectPr>
      </w:pPr>
      <w:r>
        <w:rPr>
          <w:rFonts w:eastAsia="黑体"/>
          <w:w w:val="135"/>
          <w:kern w:val="0"/>
          <w:position w:val="-3"/>
          <w:sz w:val="28"/>
          <w:szCs w:val="28"/>
        </w:rPr>
        <w:t>国家标准化管理委员会</w:t>
      </w:r>
      <w:r>
        <w:rPr>
          <w:rFonts w:eastAsia="黑体"/>
          <w:kern w:val="0"/>
          <w:position w:val="-3"/>
          <w:sz w:val="28"/>
          <w:szCs w:val="28"/>
        </w:rPr>
        <w:tab/>
      </w:r>
      <w:r>
        <w:rPr>
          <w:rFonts w:eastAsia="黑体"/>
          <w:spacing w:val="43"/>
          <w:kern w:val="0"/>
          <w:sz w:val="28"/>
          <w:szCs w:val="28"/>
        </w:rPr>
        <w:t>发布</w:t>
      </w:r>
    </w:p>
    <w:p>
      <w:pPr>
        <w:tabs>
          <w:tab w:val="left" w:pos="7880"/>
        </w:tabs>
        <w:autoSpaceDE w:val="0"/>
        <w:autoSpaceDN w:val="0"/>
        <w:adjustRightInd w:val="0"/>
        <w:spacing w:line="379" w:lineRule="exact"/>
        <w:jc w:val="center"/>
        <w:rPr>
          <w:rFonts w:eastAsia="黑体"/>
          <w:kern w:val="0"/>
          <w:sz w:val="32"/>
          <w:szCs w:val="32"/>
        </w:rPr>
      </w:pPr>
      <w:r>
        <w:rPr>
          <w:rFonts w:eastAsia="黑体"/>
          <w:kern w:val="0"/>
          <w:position w:val="-4"/>
          <w:sz w:val="32"/>
          <w:szCs w:val="32"/>
        </w:rPr>
        <w:t>前</w:t>
      </w:r>
      <w:r>
        <w:rPr>
          <w:rFonts w:eastAsia="黑体"/>
          <w:w w:val="99"/>
          <w:kern w:val="0"/>
          <w:position w:val="-4"/>
          <w:sz w:val="32"/>
          <w:szCs w:val="32"/>
        </w:rPr>
        <w:t>言</w:t>
      </w:r>
    </w:p>
    <w:p>
      <w:pPr>
        <w:tabs>
          <w:tab w:val="left" w:pos="7880"/>
        </w:tabs>
        <w:autoSpaceDE w:val="0"/>
        <w:autoSpaceDN w:val="0"/>
        <w:adjustRightInd w:val="0"/>
        <w:spacing w:line="379" w:lineRule="exact"/>
        <w:jc w:val="center"/>
        <w:rPr>
          <w:rFonts w:eastAsia="黑体"/>
          <w:kern w:val="0"/>
          <w:sz w:val="32"/>
          <w:szCs w:val="32"/>
        </w:rPr>
      </w:pPr>
    </w:p>
    <w:p>
      <w:pPr>
        <w:autoSpaceDE w:val="0"/>
        <w:autoSpaceDN w:val="0"/>
        <w:adjustRightInd w:val="0"/>
        <w:snapToGrid w:val="0"/>
        <w:spacing w:line="360" w:lineRule="auto"/>
        <w:ind w:firstLine="420" w:firstLineChars="200"/>
        <w:jc w:val="left"/>
        <w:rPr>
          <w:szCs w:val="21"/>
        </w:rPr>
      </w:pPr>
      <w:r>
        <w:rPr>
          <w:szCs w:val="21"/>
        </w:rPr>
        <w:t>本文件按照GB/T 1.1-2020《标准化工作导则   第1部分：标准化文件的结构和起草规则》的规定起草。</w:t>
      </w:r>
    </w:p>
    <w:p>
      <w:pPr>
        <w:autoSpaceDE w:val="0"/>
        <w:autoSpaceDN w:val="0"/>
        <w:adjustRightInd w:val="0"/>
        <w:snapToGrid w:val="0"/>
        <w:spacing w:line="360" w:lineRule="auto"/>
        <w:ind w:firstLine="420" w:firstLineChars="200"/>
        <w:jc w:val="left"/>
        <w:rPr>
          <w:szCs w:val="21"/>
        </w:rPr>
      </w:pPr>
      <w:r>
        <w:rPr>
          <w:szCs w:val="21"/>
        </w:rPr>
        <w:t>本文件代替GB/T 25942-2010</w:t>
      </w:r>
      <w:r>
        <w:rPr>
          <w:rFonts w:hAnsi="宋体"/>
          <w:szCs w:val="21"/>
        </w:rPr>
        <w:t>《核级银</w:t>
      </w:r>
      <w:r>
        <w:rPr>
          <w:szCs w:val="21"/>
        </w:rPr>
        <w:t>-</w:t>
      </w:r>
      <w:r>
        <w:rPr>
          <w:rFonts w:hAnsi="宋体"/>
          <w:szCs w:val="21"/>
        </w:rPr>
        <w:t>铟</w:t>
      </w:r>
      <w:r>
        <w:rPr>
          <w:szCs w:val="21"/>
        </w:rPr>
        <w:t>-</w:t>
      </w:r>
      <w:r>
        <w:rPr>
          <w:rFonts w:hAnsi="宋体"/>
          <w:szCs w:val="21"/>
        </w:rPr>
        <w:t>镉合金棒》，与</w:t>
      </w:r>
      <w:r>
        <w:rPr>
          <w:szCs w:val="21"/>
        </w:rPr>
        <w:t>GB/T 25942-2010相比，除结构调整和编辑性改动外，主要技术变化如下：</w:t>
      </w:r>
    </w:p>
    <w:p>
      <w:pPr>
        <w:snapToGrid w:val="0"/>
        <w:spacing w:line="360" w:lineRule="auto"/>
        <w:ind w:left="426" w:leftChars="193" w:hanging="21" w:hangingChars="10"/>
        <w:rPr>
          <w:kern w:val="0"/>
          <w:szCs w:val="21"/>
        </w:rPr>
      </w:pPr>
      <w:r>
        <w:rPr>
          <w:szCs w:val="21"/>
        </w:rPr>
        <w:t>a)</w:t>
      </w:r>
      <w:r>
        <w:rPr>
          <w:kern w:val="0"/>
          <w:szCs w:val="20"/>
        </w:rPr>
        <w:t xml:space="preserve"> </w:t>
      </w:r>
      <w:r>
        <w:rPr>
          <w:rFonts w:hint="eastAsia"/>
          <w:kern w:val="0"/>
          <w:szCs w:val="20"/>
        </w:rPr>
        <w:t>增加了</w:t>
      </w:r>
      <w:r>
        <w:rPr>
          <w:kern w:val="0"/>
          <w:szCs w:val="20"/>
        </w:rPr>
        <w:t>GB/T 1031</w:t>
      </w:r>
      <w:r>
        <w:rPr>
          <w:rFonts w:hint="eastAsia" w:ascii="宋体" w:hAnsi="宋体"/>
          <w:szCs w:val="21"/>
        </w:rPr>
        <w:t>《</w:t>
      </w:r>
      <w:r>
        <w:rPr>
          <w:kern w:val="0"/>
          <w:szCs w:val="21"/>
        </w:rPr>
        <w:t>产品几何技术规范（GPS） 表面结构 轮廓法 表面粗糙度参数及其数值</w:t>
      </w:r>
      <w:r>
        <w:rPr>
          <w:rFonts w:hint="eastAsia" w:ascii="宋体" w:hAnsi="宋体"/>
          <w:kern w:val="0"/>
          <w:szCs w:val="21"/>
        </w:rPr>
        <w:t>》、</w:t>
      </w:r>
      <w:r>
        <w:rPr>
          <w:szCs w:val="21"/>
        </w:rPr>
        <w:t>GB/T 1</w:t>
      </w:r>
      <w:r>
        <w:rPr>
          <w:rFonts w:hint="eastAsia"/>
          <w:szCs w:val="21"/>
        </w:rPr>
        <w:t>1</w:t>
      </w:r>
      <w:r>
        <w:rPr>
          <w:szCs w:val="21"/>
        </w:rPr>
        <w:t>336</w:t>
      </w:r>
      <w:r>
        <w:rPr>
          <w:rFonts w:hint="eastAsia" w:ascii="宋体" w:hAnsi="宋体"/>
          <w:szCs w:val="21"/>
        </w:rPr>
        <w:t>《</w:t>
      </w:r>
      <w:r>
        <w:rPr>
          <w:szCs w:val="21"/>
        </w:rPr>
        <w:t>直线度误差检测</w:t>
      </w:r>
      <w:r>
        <w:rPr>
          <w:rFonts w:hint="eastAsia" w:ascii="宋体" w:hAnsi="宋体"/>
          <w:szCs w:val="21"/>
        </w:rPr>
        <w:t>》</w:t>
      </w:r>
      <w:r>
        <w:rPr>
          <w:rFonts w:hint="eastAsia"/>
          <w:szCs w:val="21"/>
        </w:rPr>
        <w:t>、</w:t>
      </w:r>
      <w:r>
        <w:rPr>
          <w:szCs w:val="21"/>
        </w:rPr>
        <w:t>JJG117</w:t>
      </w:r>
      <w:r>
        <w:rPr>
          <w:rFonts w:hint="eastAsia" w:ascii="宋体" w:hAnsi="宋体"/>
          <w:szCs w:val="21"/>
        </w:rPr>
        <w:t>《</w:t>
      </w:r>
      <w:r>
        <w:rPr>
          <w:szCs w:val="21"/>
        </w:rPr>
        <w:t>平板</w:t>
      </w:r>
      <w:r>
        <w:rPr>
          <w:rFonts w:hint="eastAsia" w:ascii="宋体" w:hAnsi="宋体"/>
          <w:szCs w:val="21"/>
        </w:rPr>
        <w:t>》等引用文件；（</w:t>
      </w:r>
      <w:r>
        <w:rPr>
          <w:rFonts w:hint="eastAsia"/>
        </w:rPr>
        <w:t>见1范围</w:t>
      </w:r>
      <w:r>
        <w:rPr>
          <w:rFonts w:hint="eastAsia" w:ascii="宋体" w:hAnsi="宋体"/>
          <w:szCs w:val="21"/>
        </w:rPr>
        <w:t>）</w:t>
      </w:r>
    </w:p>
    <w:p>
      <w:pPr>
        <w:autoSpaceDE w:val="0"/>
        <w:autoSpaceDN w:val="0"/>
        <w:adjustRightInd w:val="0"/>
        <w:snapToGrid w:val="0"/>
        <w:spacing w:line="360" w:lineRule="auto"/>
        <w:ind w:firstLine="420" w:firstLineChars="200"/>
        <w:jc w:val="left"/>
      </w:pPr>
      <w:r>
        <w:t>b)</w:t>
      </w:r>
      <w:r>
        <w:rPr>
          <w:rFonts w:hint="eastAsia"/>
        </w:rPr>
        <w:t xml:space="preserve"> 增加了产品分类与标记中</w:t>
      </w:r>
      <w:r>
        <w:t>核级银</w:t>
      </w:r>
      <w:r>
        <w:rPr>
          <w:rFonts w:hint="eastAsia"/>
        </w:rPr>
        <w:t>-</w:t>
      </w:r>
      <w:r>
        <w:t>铟</w:t>
      </w:r>
      <w:r>
        <w:rPr>
          <w:rFonts w:hint="eastAsia"/>
        </w:rPr>
        <w:t>-</w:t>
      </w:r>
      <w:r>
        <w:t>镉合金棒</w:t>
      </w:r>
      <w:r>
        <w:rPr>
          <w:rFonts w:hint="eastAsia"/>
        </w:rPr>
        <w:t>的规格，增加的规格为外径：</w:t>
      </w:r>
      <w:r>
        <w:t>Φ8.66mm/Φ8.53mm</w:t>
      </w:r>
      <w:r>
        <w:rPr>
          <w:rFonts w:hint="eastAsia"/>
        </w:rPr>
        <w:t>、长度：2856.8mm</w:t>
      </w:r>
      <w:r>
        <w:t>/</w:t>
      </w:r>
      <w:r>
        <w:rPr>
          <w:rFonts w:hint="eastAsia"/>
        </w:rPr>
        <w:t>750mm；(见4 分类和标记)</w:t>
      </w:r>
      <w:r>
        <w:t xml:space="preserve"> </w:t>
      </w:r>
    </w:p>
    <w:p>
      <w:pPr>
        <w:autoSpaceDE w:val="0"/>
        <w:autoSpaceDN w:val="0"/>
        <w:adjustRightInd w:val="0"/>
        <w:snapToGrid w:val="0"/>
        <w:spacing w:line="360" w:lineRule="auto"/>
        <w:ind w:firstLine="420" w:firstLineChars="200"/>
        <w:jc w:val="left"/>
        <w:rPr>
          <w:szCs w:val="21"/>
        </w:rPr>
      </w:pPr>
      <w:r>
        <w:rPr>
          <w:szCs w:val="21"/>
        </w:rPr>
        <w:t>c)</w:t>
      </w:r>
      <w:r>
        <w:rPr>
          <w:rFonts w:hint="eastAsia"/>
          <w:szCs w:val="21"/>
        </w:rPr>
        <w:t>更改了主要检测参数，将激励频率142 KHz更改为激励频率</w:t>
      </w:r>
      <w:r>
        <w:rPr>
          <w:szCs w:val="21"/>
        </w:rPr>
        <w:t>50 KHz~200 KHz</w:t>
      </w:r>
      <w:r>
        <w:rPr>
          <w:rFonts w:hint="eastAsia"/>
          <w:szCs w:val="21"/>
        </w:rPr>
        <w:t>（见A.5.1，2010年版的B.1.3）；将送进速度10m/min更改为</w:t>
      </w:r>
      <w:r>
        <w:rPr>
          <w:rFonts w:hint="eastAsia" w:hAnsi="宋体"/>
          <w:szCs w:val="21"/>
        </w:rPr>
        <w:t>设定棒材送进速度</w:t>
      </w:r>
      <w:r>
        <w:rPr>
          <w:szCs w:val="21"/>
        </w:rPr>
        <w:t>5 m/min~25 m/min</w:t>
      </w:r>
      <w:r>
        <w:rPr>
          <w:rFonts w:hint="eastAsia"/>
          <w:szCs w:val="21"/>
        </w:rPr>
        <w:t>（见A.5.2.2，2010年版的B.1.3）；(去掉)将人工伤标样尺寸（0.61±0.01）mm深</w:t>
      </w:r>
      <w:r>
        <w:rPr>
          <w:rFonts w:hint="eastAsia" w:ascii="宋体" w:hAnsi="宋体"/>
          <w:szCs w:val="21"/>
        </w:rPr>
        <w:t>×</w:t>
      </w:r>
      <w:r>
        <w:rPr>
          <w:rFonts w:hint="eastAsia"/>
          <w:szCs w:val="21"/>
        </w:rPr>
        <w:t>（0.40±0.02）mm更改为参考表A.2 不同规格棒材人工缺陷尺寸参考表；（见A.5.3.3, 2010年版的B.1.4）。</w:t>
      </w:r>
    </w:p>
    <w:p>
      <w:pPr>
        <w:autoSpaceDE w:val="0"/>
        <w:autoSpaceDN w:val="0"/>
        <w:adjustRightInd w:val="0"/>
        <w:snapToGrid w:val="0"/>
        <w:spacing w:line="360" w:lineRule="auto"/>
        <w:ind w:firstLine="420" w:firstLineChars="200"/>
        <w:jc w:val="left"/>
        <w:rPr>
          <w:szCs w:val="21"/>
        </w:rPr>
      </w:pPr>
      <w:r>
        <w:rPr>
          <w:szCs w:val="21"/>
        </w:rPr>
        <w:t>请注意本文件的某些内容可能涉及专利。本文件的发布机构不承担识别专利的责任。</w:t>
      </w:r>
    </w:p>
    <w:p>
      <w:pPr>
        <w:autoSpaceDE w:val="0"/>
        <w:autoSpaceDN w:val="0"/>
        <w:adjustRightInd w:val="0"/>
        <w:snapToGrid w:val="0"/>
        <w:spacing w:line="360" w:lineRule="auto"/>
        <w:ind w:firstLine="420" w:firstLineChars="200"/>
        <w:jc w:val="left"/>
        <w:rPr>
          <w:szCs w:val="21"/>
        </w:rPr>
      </w:pPr>
      <w:r>
        <w:rPr>
          <w:szCs w:val="21"/>
        </w:rPr>
        <w:t>本文件由中国有色金属工业协会提出。</w:t>
      </w:r>
    </w:p>
    <w:p>
      <w:pPr>
        <w:autoSpaceDE w:val="0"/>
        <w:autoSpaceDN w:val="0"/>
        <w:adjustRightInd w:val="0"/>
        <w:snapToGrid w:val="0"/>
        <w:spacing w:line="360" w:lineRule="auto"/>
        <w:ind w:firstLine="420" w:firstLineChars="200"/>
        <w:jc w:val="left"/>
        <w:rPr>
          <w:szCs w:val="21"/>
        </w:rPr>
      </w:pPr>
      <w:r>
        <w:rPr>
          <w:szCs w:val="21"/>
        </w:rPr>
        <w:t>本文件由全国有色金属标准化技术委员会（SAC/TC243）归口。</w:t>
      </w:r>
    </w:p>
    <w:p>
      <w:pPr>
        <w:autoSpaceDE w:val="0"/>
        <w:autoSpaceDN w:val="0"/>
        <w:adjustRightInd w:val="0"/>
        <w:snapToGrid w:val="0"/>
        <w:spacing w:line="360" w:lineRule="auto"/>
        <w:ind w:firstLine="420" w:firstLineChars="200"/>
        <w:jc w:val="left"/>
        <w:rPr>
          <w:szCs w:val="21"/>
        </w:rPr>
      </w:pPr>
      <w:r>
        <w:rPr>
          <w:szCs w:val="21"/>
        </w:rPr>
        <w:t>本文件起草单位：</w:t>
      </w:r>
      <w:r>
        <w:t>西安诺博尔稀贵金属材料股份有限公司</w:t>
      </w:r>
      <w:r>
        <w:rPr>
          <w:szCs w:val="21"/>
        </w:rPr>
        <w:t>、西部金属材料股份有限公司</w:t>
      </w:r>
      <w:r>
        <w:rPr>
          <w:rFonts w:hint="eastAsia"/>
          <w:szCs w:val="21"/>
        </w:rPr>
        <w:t>、</w:t>
      </w:r>
      <w:r>
        <w:rPr>
          <w:szCs w:val="21"/>
        </w:rPr>
        <w:t>中核建中核燃料元件有限公司</w:t>
      </w:r>
      <w:r>
        <w:t>。</w:t>
      </w:r>
    </w:p>
    <w:p>
      <w:pPr>
        <w:pStyle w:val="19"/>
        <w:spacing w:line="400" w:lineRule="exact"/>
        <w:ind w:firstLine="420"/>
        <w:rPr>
          <w:rFonts w:ascii="Times New Roman"/>
        </w:rPr>
      </w:pPr>
      <w:r>
        <w:rPr>
          <w:rFonts w:ascii="Times New Roman"/>
          <w:szCs w:val="21"/>
        </w:rPr>
        <w:t>本文件主要起草人：</w:t>
      </w:r>
      <w:r>
        <w:rPr>
          <w:rFonts w:ascii="Times New Roman"/>
        </w:rPr>
        <w:t>陈昊、沈大吉、韩吉庆、毛利权、周亚波、唐进、任宇洪、杜维谊、陈伟、胡平。</w:t>
      </w:r>
    </w:p>
    <w:p>
      <w:pPr>
        <w:pStyle w:val="19"/>
        <w:spacing w:line="400" w:lineRule="exact"/>
        <w:ind w:firstLine="420"/>
        <w:rPr>
          <w:rFonts w:ascii="Times New Roman"/>
        </w:rPr>
      </w:pPr>
      <w:r>
        <w:rPr>
          <w:rFonts w:ascii="Times New Roman"/>
        </w:rPr>
        <w:t>本文件及所代替或废止的文件的历次版本发布情况为：</w:t>
      </w:r>
    </w:p>
    <w:p>
      <w:pPr>
        <w:pStyle w:val="19"/>
        <w:spacing w:line="400" w:lineRule="exact"/>
        <w:ind w:firstLine="420"/>
        <w:rPr>
          <w:rFonts w:ascii="Times New Roman"/>
        </w:rPr>
      </w:pPr>
      <w:r>
        <w:rPr>
          <w:rFonts w:ascii="Times New Roman"/>
        </w:rPr>
        <w:t>—2010年首次发布为GB/T 25942-2010、2021年第一次修订；</w:t>
      </w:r>
    </w:p>
    <w:p>
      <w:pPr>
        <w:pStyle w:val="19"/>
        <w:spacing w:line="400" w:lineRule="exact"/>
        <w:ind w:firstLine="420"/>
        <w:rPr>
          <w:rFonts w:ascii="Times New Roman"/>
        </w:rPr>
      </w:pPr>
      <w:r>
        <w:rPr>
          <w:rFonts w:ascii="Times New Roman"/>
        </w:rPr>
        <w:t>—</w:t>
      </w:r>
      <w:r>
        <w:rPr>
          <w:rFonts w:ascii="Times New Roman" w:hAnsi="宋体"/>
        </w:rPr>
        <w:t>本次为第一次修订。</w:t>
      </w:r>
    </w:p>
    <w:p>
      <w:pPr>
        <w:autoSpaceDE w:val="0"/>
        <w:autoSpaceDN w:val="0"/>
        <w:adjustRightInd w:val="0"/>
        <w:snapToGrid w:val="0"/>
        <w:spacing w:line="360" w:lineRule="auto"/>
        <w:ind w:firstLine="560" w:firstLineChars="200"/>
        <w:jc w:val="left"/>
        <w:rPr>
          <w:rFonts w:eastAsia="黑体"/>
          <w:sz w:val="28"/>
          <w:szCs w:val="28"/>
        </w:rPr>
        <w:sectPr>
          <w:headerReference r:id="rId4" w:type="default"/>
          <w:footerReference r:id="rId5" w:type="default"/>
          <w:pgSz w:w="11907" w:h="16840"/>
          <w:pgMar w:top="2126" w:right="1418" w:bottom="1559" w:left="1418" w:header="720" w:footer="720" w:gutter="0"/>
          <w:cols w:space="720" w:num="1"/>
        </w:sectPr>
      </w:pPr>
    </w:p>
    <w:p>
      <w:pPr>
        <w:autoSpaceDE w:val="0"/>
        <w:autoSpaceDN w:val="0"/>
        <w:adjustRightInd w:val="0"/>
        <w:snapToGrid w:val="0"/>
        <w:spacing w:line="360" w:lineRule="auto"/>
        <w:jc w:val="center"/>
        <w:rPr>
          <w:sz w:val="32"/>
          <w:szCs w:val="32"/>
        </w:rPr>
      </w:pPr>
      <w:r>
        <w:rPr>
          <w:rFonts w:eastAsia="黑体"/>
          <w:sz w:val="32"/>
          <w:szCs w:val="32"/>
        </w:rPr>
        <w:t>核级银</w:t>
      </w:r>
      <w:r>
        <w:rPr>
          <w:rFonts w:hint="eastAsia" w:eastAsia="黑体"/>
          <w:sz w:val="32"/>
          <w:szCs w:val="32"/>
        </w:rPr>
        <w:t>-</w:t>
      </w:r>
      <w:r>
        <w:rPr>
          <w:rFonts w:eastAsia="黑体"/>
          <w:sz w:val="32"/>
          <w:szCs w:val="32"/>
        </w:rPr>
        <w:t>铟</w:t>
      </w:r>
      <w:r>
        <w:rPr>
          <w:rFonts w:hint="eastAsia" w:eastAsia="黑体"/>
          <w:sz w:val="32"/>
          <w:szCs w:val="32"/>
        </w:rPr>
        <w:t>-</w:t>
      </w:r>
      <w:r>
        <w:rPr>
          <w:rFonts w:eastAsia="黑体"/>
          <w:sz w:val="32"/>
          <w:szCs w:val="32"/>
        </w:rPr>
        <w:t>镉合金棒</w:t>
      </w:r>
    </w:p>
    <w:p>
      <w:pPr>
        <w:pStyle w:val="2"/>
        <w:spacing w:before="240" w:after="240"/>
      </w:pPr>
      <w:r>
        <w:t>1 范围</w:t>
      </w:r>
    </w:p>
    <w:p>
      <w:pPr>
        <w:autoSpaceDE w:val="0"/>
        <w:autoSpaceDN w:val="0"/>
        <w:adjustRightInd w:val="0"/>
        <w:spacing w:line="360" w:lineRule="auto"/>
        <w:ind w:firstLine="420" w:firstLineChars="200"/>
        <w:jc w:val="left"/>
        <w:rPr>
          <w:szCs w:val="21"/>
        </w:rPr>
      </w:pPr>
      <w:r>
        <w:rPr>
          <w:szCs w:val="21"/>
        </w:rPr>
        <w:t>本文件规定了核级银</w:t>
      </w:r>
      <w:r>
        <w:rPr>
          <w:rFonts w:hint="eastAsia"/>
          <w:szCs w:val="21"/>
        </w:rPr>
        <w:t>-</w:t>
      </w:r>
      <w:r>
        <w:rPr>
          <w:szCs w:val="21"/>
        </w:rPr>
        <w:t>铟</w:t>
      </w:r>
      <w:r>
        <w:rPr>
          <w:rFonts w:hint="eastAsia"/>
          <w:szCs w:val="21"/>
        </w:rPr>
        <w:t>-</w:t>
      </w:r>
      <w:r>
        <w:rPr>
          <w:szCs w:val="21"/>
        </w:rPr>
        <w:t>镉合金棒的分类和标记、技术要求、试验方法、检验规则、标志、包装、运输、贮存及随行文件和订货单内容。</w:t>
      </w:r>
    </w:p>
    <w:p>
      <w:pPr>
        <w:autoSpaceDE w:val="0"/>
        <w:autoSpaceDN w:val="0"/>
        <w:adjustRightInd w:val="0"/>
        <w:spacing w:line="360" w:lineRule="auto"/>
        <w:ind w:firstLine="420" w:firstLineChars="200"/>
        <w:jc w:val="left"/>
        <w:rPr>
          <w:szCs w:val="21"/>
        </w:rPr>
      </w:pPr>
      <w:r>
        <w:rPr>
          <w:szCs w:val="21"/>
        </w:rPr>
        <w:t>本文件适用于核级银</w:t>
      </w:r>
      <w:r>
        <w:rPr>
          <w:rFonts w:hint="eastAsia"/>
          <w:szCs w:val="21"/>
        </w:rPr>
        <w:t>-</w:t>
      </w:r>
      <w:r>
        <w:rPr>
          <w:szCs w:val="21"/>
        </w:rPr>
        <w:t>铟</w:t>
      </w:r>
      <w:r>
        <w:rPr>
          <w:rFonts w:hint="eastAsia"/>
          <w:szCs w:val="21"/>
        </w:rPr>
        <w:t>-</w:t>
      </w:r>
      <w:r>
        <w:rPr>
          <w:szCs w:val="21"/>
        </w:rPr>
        <w:t>镉合金棒。</w:t>
      </w:r>
    </w:p>
    <w:p>
      <w:pPr>
        <w:pStyle w:val="2"/>
        <w:spacing w:before="240" w:after="240"/>
      </w:pPr>
      <w:r>
        <w:t>2规范性引用文件</w:t>
      </w:r>
    </w:p>
    <w:p>
      <w:pPr>
        <w:snapToGrid w:val="0"/>
        <w:spacing w:line="360" w:lineRule="auto"/>
        <w:ind w:firstLine="420" w:firstLineChars="200"/>
        <w:jc w:val="left"/>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spacing w:line="360" w:lineRule="auto"/>
        <w:ind w:firstLine="420" w:firstLineChars="200"/>
        <w:jc w:val="left"/>
        <w:rPr>
          <w:szCs w:val="21"/>
        </w:rPr>
      </w:pPr>
      <w:r>
        <w:rPr>
          <w:szCs w:val="21"/>
        </w:rPr>
        <w:t xml:space="preserve">GB/T 23514    </w:t>
      </w:r>
      <w:r>
        <w:rPr>
          <w:kern w:val="0"/>
          <w:szCs w:val="21"/>
        </w:rPr>
        <w:t>核级银铟镉合金化学分析方法</w:t>
      </w:r>
    </w:p>
    <w:p>
      <w:pPr>
        <w:snapToGrid w:val="0"/>
        <w:spacing w:line="360" w:lineRule="auto"/>
        <w:ind w:firstLine="420" w:firstLineChars="200"/>
        <w:jc w:val="left"/>
        <w:rPr>
          <w:szCs w:val="21"/>
        </w:rPr>
      </w:pPr>
      <w:r>
        <w:rPr>
          <w:kern w:val="0"/>
          <w:szCs w:val="21"/>
        </w:rPr>
        <w:t>GB/T 6394</w:t>
      </w:r>
      <w:r>
        <w:rPr>
          <w:szCs w:val="21"/>
        </w:rPr>
        <w:t xml:space="preserve">      </w:t>
      </w:r>
      <w:r>
        <w:rPr>
          <w:kern w:val="0"/>
          <w:szCs w:val="20"/>
        </w:rPr>
        <w:t>金属平均晶粒度测定方法</w:t>
      </w:r>
      <w:r>
        <w:rPr>
          <w:kern w:val="0"/>
          <w:szCs w:val="32"/>
        </w:rPr>
        <w:t xml:space="preserve">  </w:t>
      </w:r>
    </w:p>
    <w:p>
      <w:pPr>
        <w:snapToGrid w:val="0"/>
        <w:spacing w:line="360" w:lineRule="auto"/>
        <w:ind w:firstLine="420" w:firstLineChars="200"/>
        <w:jc w:val="left"/>
        <w:rPr>
          <w:szCs w:val="21"/>
        </w:rPr>
      </w:pPr>
      <w:r>
        <w:rPr>
          <w:kern w:val="0"/>
          <w:szCs w:val="20"/>
        </w:rPr>
        <w:t>GB/T 1423</w:t>
      </w:r>
      <w:r>
        <w:rPr>
          <w:szCs w:val="21"/>
        </w:rPr>
        <w:t xml:space="preserve">      </w:t>
      </w:r>
      <w:r>
        <w:t>金属密度测定方法</w:t>
      </w:r>
    </w:p>
    <w:p>
      <w:pPr>
        <w:snapToGrid w:val="0"/>
        <w:spacing w:line="360" w:lineRule="auto"/>
        <w:ind w:left="1680" w:leftChars="200" w:hanging="1260" w:hangingChars="600"/>
        <w:jc w:val="left"/>
        <w:rPr>
          <w:szCs w:val="21"/>
        </w:rPr>
      </w:pPr>
      <w:r>
        <w:rPr>
          <w:kern w:val="0"/>
          <w:szCs w:val="20"/>
        </w:rPr>
        <w:t>GB/T 15077</w:t>
      </w:r>
      <w:r>
        <w:rPr>
          <w:szCs w:val="21"/>
        </w:rPr>
        <w:t xml:space="preserve">    </w:t>
      </w:r>
      <w:r>
        <w:rPr>
          <w:kern w:val="0"/>
          <w:szCs w:val="20"/>
        </w:rPr>
        <w:t>贵金属</w:t>
      </w:r>
      <w:r>
        <w:rPr>
          <w:kern w:val="0"/>
          <w:szCs w:val="32"/>
        </w:rPr>
        <w:t>及其合金材料几何尺寸测量方法</w:t>
      </w:r>
    </w:p>
    <w:p>
      <w:pPr>
        <w:snapToGrid w:val="0"/>
        <w:spacing w:line="360" w:lineRule="auto"/>
        <w:ind w:left="1701" w:leftChars="200" w:hanging="1281" w:hangingChars="610"/>
        <w:jc w:val="left"/>
        <w:rPr>
          <w:kern w:val="0"/>
          <w:szCs w:val="21"/>
        </w:rPr>
      </w:pPr>
      <w:r>
        <w:rPr>
          <w:kern w:val="0"/>
          <w:szCs w:val="20"/>
        </w:rPr>
        <w:t>GB/T 1031</w:t>
      </w:r>
      <w:r>
        <w:rPr>
          <w:szCs w:val="21"/>
        </w:rPr>
        <w:t xml:space="preserve">      </w:t>
      </w:r>
      <w:r>
        <w:rPr>
          <w:kern w:val="0"/>
          <w:szCs w:val="21"/>
        </w:rPr>
        <w:t>产品几何技术规范（GPS） 表面结构 轮廓法 表面粗糙度参数及其数值</w:t>
      </w:r>
    </w:p>
    <w:p>
      <w:pPr>
        <w:snapToGrid w:val="0"/>
        <w:spacing w:line="360" w:lineRule="auto"/>
        <w:ind w:left="1701" w:leftChars="200" w:hanging="1281" w:hangingChars="610"/>
        <w:jc w:val="left"/>
        <w:rPr>
          <w:szCs w:val="21"/>
        </w:rPr>
      </w:pPr>
      <w:r>
        <w:rPr>
          <w:szCs w:val="21"/>
        </w:rPr>
        <w:t>GB/T 1</w:t>
      </w:r>
      <w:r>
        <w:rPr>
          <w:rFonts w:hint="eastAsia"/>
          <w:szCs w:val="21"/>
        </w:rPr>
        <w:t>1</w:t>
      </w:r>
      <w:r>
        <w:rPr>
          <w:szCs w:val="21"/>
        </w:rPr>
        <w:t>336    直线度误差检测</w:t>
      </w:r>
    </w:p>
    <w:p>
      <w:pPr>
        <w:snapToGrid w:val="0"/>
        <w:spacing w:line="360" w:lineRule="auto"/>
        <w:ind w:left="1701" w:leftChars="200" w:hanging="1281" w:hangingChars="610"/>
        <w:jc w:val="left"/>
        <w:rPr>
          <w:szCs w:val="21"/>
        </w:rPr>
      </w:pPr>
      <w:r>
        <w:rPr>
          <w:szCs w:val="21"/>
        </w:rPr>
        <w:t>JJG117            平板</w:t>
      </w:r>
    </w:p>
    <w:p>
      <w:pPr>
        <w:pStyle w:val="2"/>
        <w:spacing w:before="240" w:after="240"/>
      </w:pPr>
      <w:r>
        <w:t>3术语和定义及符号</w:t>
      </w:r>
    </w:p>
    <w:p>
      <w:pPr>
        <w:spacing w:beforeLines="100" w:afterLines="100"/>
        <w:ind w:firstLine="424" w:firstLineChars="202"/>
        <w:rPr>
          <w:rFonts w:eastAsia="黑体"/>
        </w:rPr>
      </w:pPr>
      <w:r>
        <w:rPr>
          <w:szCs w:val="21"/>
        </w:rPr>
        <w:t>本文件没有需要界定的术语和定义。</w:t>
      </w:r>
    </w:p>
    <w:p>
      <w:pPr>
        <w:pStyle w:val="2"/>
        <w:spacing w:before="240" w:after="240"/>
      </w:pPr>
      <w:r>
        <w:t>4 分类和标记</w:t>
      </w:r>
    </w:p>
    <w:p>
      <w:pPr>
        <w:pStyle w:val="3"/>
        <w:spacing w:before="240" w:after="240"/>
        <w:rPr>
          <w:rFonts w:ascii="Times New Roman" w:hAnsi="Times New Roman"/>
        </w:rPr>
      </w:pPr>
      <w:r>
        <w:rPr>
          <w:rFonts w:ascii="Times New Roman" w:hAnsi="Times New Roman"/>
        </w:rPr>
        <w:t>4.1 产品分类</w:t>
      </w:r>
    </w:p>
    <w:p>
      <w:pPr>
        <w:spacing w:afterLines="100"/>
        <w:ind w:firstLine="424" w:firstLineChars="202"/>
      </w:pPr>
      <w:r>
        <w:t>核级银</w:t>
      </w:r>
      <w:r>
        <w:rPr>
          <w:rFonts w:hint="eastAsia"/>
        </w:rPr>
        <w:t>-</w:t>
      </w:r>
      <w:r>
        <w:t>铟</w:t>
      </w:r>
      <w:r>
        <w:rPr>
          <w:rFonts w:hint="eastAsia"/>
        </w:rPr>
        <w:t>-</w:t>
      </w:r>
      <w:r>
        <w:t>镉合金棒的牌号、状态、规格应符合表1的规定。</w:t>
      </w:r>
    </w:p>
    <w:p>
      <w:pPr>
        <w:spacing w:line="360" w:lineRule="auto"/>
        <w:jc w:val="center"/>
        <w:rPr>
          <w:rFonts w:eastAsia="黑体"/>
        </w:rPr>
      </w:pPr>
      <w:r>
        <w:rPr>
          <w:rFonts w:eastAsia="黑体"/>
        </w:rPr>
        <w:t>表1牌号、状态、规格</w:t>
      </w:r>
    </w:p>
    <w:tbl>
      <w:tblPr>
        <w:tblStyle w:val="12"/>
        <w:tblW w:w="45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545"/>
        <w:gridCol w:w="296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15" w:type="pct"/>
            <w:vMerge w:val="restart"/>
            <w:vAlign w:val="center"/>
          </w:tcPr>
          <w:p>
            <w:pPr>
              <w:spacing w:line="360" w:lineRule="auto"/>
              <w:jc w:val="center"/>
              <w:rPr>
                <w:sz w:val="18"/>
                <w:szCs w:val="18"/>
              </w:rPr>
            </w:pPr>
            <w:r>
              <w:rPr>
                <w:sz w:val="18"/>
                <w:szCs w:val="18"/>
              </w:rPr>
              <w:t>牌号</w:t>
            </w:r>
          </w:p>
        </w:tc>
        <w:tc>
          <w:tcPr>
            <w:tcW w:w="912" w:type="pct"/>
            <w:vMerge w:val="restart"/>
            <w:vAlign w:val="center"/>
          </w:tcPr>
          <w:p>
            <w:pPr>
              <w:spacing w:line="360" w:lineRule="auto"/>
              <w:jc w:val="center"/>
              <w:rPr>
                <w:sz w:val="18"/>
                <w:szCs w:val="18"/>
              </w:rPr>
            </w:pPr>
            <w:r>
              <w:rPr>
                <w:sz w:val="18"/>
                <w:szCs w:val="18"/>
              </w:rPr>
              <w:t>状态</w:t>
            </w:r>
            <w:r>
              <w:rPr>
                <w:rFonts w:hint="eastAsia"/>
                <w:sz w:val="18"/>
                <w:szCs w:val="18"/>
                <w:vertAlign w:val="superscript"/>
              </w:rPr>
              <w:t>a</w:t>
            </w:r>
          </w:p>
        </w:tc>
        <w:tc>
          <w:tcPr>
            <w:tcW w:w="3173" w:type="pct"/>
            <w:gridSpan w:val="2"/>
            <w:vAlign w:val="center"/>
          </w:tcPr>
          <w:p>
            <w:pPr>
              <w:jc w:val="center"/>
              <w:rPr>
                <w:sz w:val="18"/>
                <w:szCs w:val="18"/>
              </w:rPr>
            </w:pPr>
            <w:r>
              <w:rPr>
                <w:sz w:val="18"/>
                <w:szCs w:val="18"/>
              </w:rPr>
              <w:t>规格</w:t>
            </w:r>
          </w:p>
          <w:p>
            <w:pPr>
              <w:jc w:val="center"/>
              <w:rPr>
                <w:sz w:val="18"/>
                <w:szCs w:val="18"/>
              </w:rPr>
            </w:pPr>
            <w:r>
              <w:rPr>
                <w:rFonts w:hint="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15" w:type="pct"/>
            <w:vMerge w:val="continue"/>
            <w:vAlign w:val="center"/>
          </w:tcPr>
          <w:p>
            <w:pPr>
              <w:spacing w:line="360" w:lineRule="auto"/>
              <w:jc w:val="center"/>
              <w:rPr>
                <w:sz w:val="18"/>
                <w:szCs w:val="18"/>
              </w:rPr>
            </w:pPr>
          </w:p>
        </w:tc>
        <w:tc>
          <w:tcPr>
            <w:tcW w:w="912" w:type="pct"/>
            <w:vMerge w:val="continue"/>
            <w:vAlign w:val="center"/>
          </w:tcPr>
          <w:p>
            <w:pPr>
              <w:spacing w:line="360" w:lineRule="auto"/>
              <w:jc w:val="center"/>
              <w:rPr>
                <w:sz w:val="18"/>
                <w:szCs w:val="18"/>
              </w:rPr>
            </w:pPr>
          </w:p>
        </w:tc>
        <w:tc>
          <w:tcPr>
            <w:tcW w:w="1751" w:type="pct"/>
            <w:vAlign w:val="center"/>
          </w:tcPr>
          <w:p>
            <w:pPr>
              <w:jc w:val="center"/>
              <w:rPr>
                <w:sz w:val="18"/>
                <w:szCs w:val="18"/>
              </w:rPr>
            </w:pPr>
            <w:r>
              <w:rPr>
                <w:sz w:val="18"/>
                <w:szCs w:val="18"/>
              </w:rPr>
              <w:t>外径</w:t>
            </w:r>
          </w:p>
        </w:tc>
        <w:tc>
          <w:tcPr>
            <w:tcW w:w="1422" w:type="pct"/>
            <w:vAlign w:val="center"/>
          </w:tcPr>
          <w:p>
            <w:pPr>
              <w:jc w:val="center"/>
              <w:rPr>
                <w:sz w:val="18"/>
                <w:szCs w:val="18"/>
              </w:rPr>
            </w:pPr>
            <w:r>
              <w:rPr>
                <w:sz w:val="18"/>
                <w:szCs w:val="18"/>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15" w:type="pct"/>
            <w:vAlign w:val="center"/>
          </w:tcPr>
          <w:p>
            <w:pPr>
              <w:jc w:val="center"/>
              <w:rPr>
                <w:bCs/>
                <w:sz w:val="18"/>
                <w:szCs w:val="18"/>
              </w:rPr>
            </w:pPr>
            <w:r>
              <w:rPr>
                <w:bCs/>
                <w:sz w:val="18"/>
                <w:szCs w:val="18"/>
              </w:rPr>
              <w:t>Ag80InCd</w:t>
            </w:r>
          </w:p>
        </w:tc>
        <w:tc>
          <w:tcPr>
            <w:tcW w:w="912" w:type="pct"/>
            <w:vAlign w:val="center"/>
          </w:tcPr>
          <w:p>
            <w:pPr>
              <w:jc w:val="center"/>
              <w:rPr>
                <w:bCs/>
                <w:sz w:val="18"/>
                <w:szCs w:val="18"/>
              </w:rPr>
            </w:pPr>
            <w:r>
              <w:rPr>
                <w:bCs/>
                <w:sz w:val="18"/>
                <w:szCs w:val="18"/>
              </w:rPr>
              <w:t>退火态（M）</w:t>
            </w:r>
          </w:p>
        </w:tc>
        <w:tc>
          <w:tcPr>
            <w:tcW w:w="1751" w:type="pct"/>
            <w:vAlign w:val="center"/>
          </w:tcPr>
          <w:p>
            <w:pPr>
              <w:jc w:val="center"/>
              <w:rPr>
                <w:bCs/>
                <w:sz w:val="18"/>
                <w:szCs w:val="18"/>
              </w:rPr>
            </w:pPr>
            <w:r>
              <w:rPr>
                <w:bCs/>
                <w:sz w:val="18"/>
                <w:szCs w:val="18"/>
              </w:rPr>
              <w:t>Φ8.75mm</w:t>
            </w:r>
          </w:p>
        </w:tc>
        <w:tc>
          <w:tcPr>
            <w:tcW w:w="1422" w:type="pct"/>
            <w:vAlign w:val="center"/>
          </w:tcPr>
          <w:p>
            <w:pPr>
              <w:jc w:val="center"/>
              <w:rPr>
                <w:bCs/>
                <w:sz w:val="18"/>
                <w:szCs w:val="18"/>
              </w:rPr>
            </w:pPr>
            <w:r>
              <w:rPr>
                <w:bCs/>
                <w:sz w:val="18"/>
                <w:szCs w:val="18"/>
              </w:rPr>
              <w:t>2700mm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15" w:type="pct"/>
            <w:vAlign w:val="center"/>
          </w:tcPr>
          <w:p>
            <w:pPr>
              <w:jc w:val="center"/>
              <w:rPr>
                <w:bCs/>
                <w:sz w:val="18"/>
                <w:szCs w:val="18"/>
              </w:rPr>
            </w:pPr>
            <w:r>
              <w:rPr>
                <w:bCs/>
                <w:sz w:val="18"/>
                <w:szCs w:val="18"/>
              </w:rPr>
              <w:t>Ag80InCd</w:t>
            </w:r>
          </w:p>
        </w:tc>
        <w:tc>
          <w:tcPr>
            <w:tcW w:w="912" w:type="pct"/>
            <w:vAlign w:val="center"/>
          </w:tcPr>
          <w:p>
            <w:pPr>
              <w:jc w:val="center"/>
              <w:rPr>
                <w:bCs/>
                <w:sz w:val="18"/>
                <w:szCs w:val="18"/>
              </w:rPr>
            </w:pPr>
            <w:r>
              <w:rPr>
                <w:bCs/>
                <w:sz w:val="18"/>
                <w:szCs w:val="18"/>
              </w:rPr>
              <w:t>退火态（M）</w:t>
            </w:r>
          </w:p>
        </w:tc>
        <w:tc>
          <w:tcPr>
            <w:tcW w:w="1751" w:type="pct"/>
            <w:vAlign w:val="center"/>
          </w:tcPr>
          <w:p>
            <w:pPr>
              <w:jc w:val="center"/>
              <w:rPr>
                <w:bCs/>
                <w:sz w:val="18"/>
                <w:szCs w:val="18"/>
              </w:rPr>
            </w:pPr>
            <w:r>
              <w:rPr>
                <w:bCs/>
                <w:sz w:val="18"/>
                <w:szCs w:val="18"/>
              </w:rPr>
              <w:t>Φ8.66mm/Φ8.53mm</w:t>
            </w:r>
          </w:p>
        </w:tc>
        <w:tc>
          <w:tcPr>
            <w:tcW w:w="1422" w:type="pct"/>
            <w:vAlign w:val="center"/>
          </w:tcPr>
          <w:p>
            <w:pPr>
              <w:jc w:val="center"/>
              <w:rPr>
                <w:bCs/>
                <w:sz w:val="18"/>
                <w:szCs w:val="18"/>
              </w:rPr>
            </w:pPr>
            <w:r>
              <w:rPr>
                <w:rFonts w:hint="eastAsia"/>
                <w:bCs/>
                <w:sz w:val="18"/>
                <w:szCs w:val="18"/>
              </w:rPr>
              <w:t>2856.8mm</w:t>
            </w:r>
            <w:r>
              <w:rPr>
                <w:bCs/>
                <w:sz w:val="18"/>
                <w:szCs w:val="18"/>
              </w:rPr>
              <w:t>/</w:t>
            </w:r>
            <w:r>
              <w:rPr>
                <w:rFonts w:hint="eastAsia"/>
                <w:bCs/>
                <w:sz w:val="18"/>
                <w:szCs w:val="18"/>
              </w:rPr>
              <w:t>750mm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000" w:type="pct"/>
            <w:gridSpan w:val="4"/>
            <w:vAlign w:val="center"/>
          </w:tcPr>
          <w:p>
            <w:pPr>
              <w:ind w:firstLine="360" w:firstLineChars="200"/>
              <w:jc w:val="left"/>
              <w:rPr>
                <w:sz w:val="18"/>
                <w:szCs w:val="18"/>
              </w:rPr>
            </w:pPr>
            <w:r>
              <w:rPr>
                <w:sz w:val="18"/>
                <w:szCs w:val="18"/>
              </w:rPr>
              <w:t>注：需方需要其他状态、规格时，由供需双方协商确定后在订货单中注明。</w:t>
            </w:r>
          </w:p>
        </w:tc>
      </w:tr>
    </w:tbl>
    <w:p>
      <w:pPr>
        <w:spacing w:line="360" w:lineRule="auto"/>
        <w:rPr>
          <w:rFonts w:eastAsia="黑体"/>
        </w:rPr>
      </w:pPr>
    </w:p>
    <w:p>
      <w:pPr>
        <w:pStyle w:val="3"/>
        <w:spacing w:before="240" w:after="240"/>
        <w:rPr>
          <w:rFonts w:ascii="Times New Roman" w:hAnsi="Times New Roman"/>
        </w:rPr>
      </w:pPr>
      <w:r>
        <w:rPr>
          <w:rFonts w:ascii="Times New Roman" w:hAnsi="Times New Roman"/>
        </w:rPr>
        <w:t>4.2  产品标记</w:t>
      </w:r>
    </w:p>
    <w:p>
      <w:pPr>
        <w:spacing w:line="360" w:lineRule="auto"/>
        <w:ind w:firstLine="424" w:firstLineChars="202"/>
      </w:pPr>
      <w:r>
        <w:rPr>
          <w:rFonts w:hint="eastAsia"/>
        </w:rPr>
        <w:t>核级</w:t>
      </w:r>
      <w:r>
        <w:t>银</w:t>
      </w:r>
      <w:r>
        <w:rPr>
          <w:rFonts w:hint="eastAsia"/>
        </w:rPr>
        <w:t>-</w:t>
      </w:r>
      <w:r>
        <w:t>铟</w:t>
      </w:r>
      <w:r>
        <w:rPr>
          <w:rFonts w:hint="eastAsia"/>
        </w:rPr>
        <w:t>-</w:t>
      </w:r>
      <w:r>
        <w:t>镉合金棒标记按产品名称、文件编号、牌号、状态、规格的顺序表示。</w:t>
      </w:r>
    </w:p>
    <w:tbl>
      <w:tblPr>
        <w:tblStyle w:val="12"/>
        <w:tblpPr w:leftFromText="180" w:rightFromText="180" w:vertAnchor="text" w:horzAnchor="margin" w:tblpY="42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464" w:type="dxa"/>
            <w:vAlign w:val="center"/>
          </w:tcPr>
          <w:p>
            <w:pPr>
              <w:jc w:val="center"/>
              <w:rPr>
                <w:sz w:val="18"/>
                <w:szCs w:val="18"/>
              </w:rPr>
            </w:pPr>
            <w:r>
              <w:rPr>
                <w:sz w:val="18"/>
                <w:szCs w:val="18"/>
              </w:rPr>
              <w:t>牌号为Ag80InCd、状态为退火态（M）、直径为Φ8.75mm、长度为2700mm的核级银</w:t>
            </w:r>
            <w:r>
              <w:rPr>
                <w:rFonts w:hint="eastAsia"/>
                <w:sz w:val="18"/>
                <w:szCs w:val="18"/>
              </w:rPr>
              <w:t>-</w:t>
            </w:r>
            <w:r>
              <w:rPr>
                <w:sz w:val="18"/>
                <w:szCs w:val="18"/>
              </w:rPr>
              <w:t>铟</w:t>
            </w:r>
            <w:r>
              <w:rPr>
                <w:rFonts w:hint="eastAsia"/>
                <w:sz w:val="18"/>
                <w:szCs w:val="18"/>
              </w:rPr>
              <w:t>-</w:t>
            </w:r>
            <w:r>
              <w:rPr>
                <w:sz w:val="18"/>
                <w:szCs w:val="18"/>
              </w:rPr>
              <w:t>镉合金棒，标记为：</w:t>
            </w:r>
          </w:p>
          <w:p>
            <w:pPr>
              <w:jc w:val="center"/>
              <w:rPr>
                <w:sz w:val="18"/>
                <w:szCs w:val="18"/>
              </w:rPr>
            </w:pPr>
            <w:r>
              <w:rPr>
                <w:rFonts w:hint="eastAsia"/>
                <w:sz w:val="18"/>
                <w:szCs w:val="18"/>
              </w:rPr>
              <w:t>圆</w:t>
            </w:r>
            <w:r>
              <w:rPr>
                <w:sz w:val="18"/>
                <w:szCs w:val="18"/>
              </w:rPr>
              <w:t>棒GB/T XXXX-Ag80InCd</w:t>
            </w:r>
            <w:r>
              <w:rPr>
                <w:rFonts w:hint="eastAsia"/>
                <w:sz w:val="18"/>
                <w:szCs w:val="18"/>
              </w:rPr>
              <w:t>M-</w:t>
            </w:r>
            <w:r>
              <w:rPr>
                <w:sz w:val="18"/>
                <w:szCs w:val="18"/>
              </w:rPr>
              <w:t>Φ8.75×2700</w:t>
            </w:r>
          </w:p>
        </w:tc>
      </w:tr>
    </w:tbl>
    <w:p>
      <w:pPr>
        <w:spacing w:line="360" w:lineRule="auto"/>
        <w:ind w:firstLine="424" w:firstLineChars="202"/>
        <w:rPr>
          <w:rFonts w:eastAsia="黑体"/>
        </w:rPr>
      </w:pPr>
      <w:r>
        <w:t>示例1</w:t>
      </w:r>
      <w:r>
        <w:rPr>
          <w:rFonts w:eastAsia="黑体"/>
        </w:rPr>
        <w:t>：</w:t>
      </w:r>
    </w:p>
    <w:p>
      <w:pPr>
        <w:spacing w:line="360" w:lineRule="auto"/>
        <w:ind w:firstLine="420" w:firstLineChars="200"/>
        <w:rPr>
          <w:rFonts w:eastAsia="黑体"/>
        </w:rPr>
      </w:pPr>
    </w:p>
    <w:p>
      <w:pPr>
        <w:spacing w:line="360" w:lineRule="auto"/>
        <w:ind w:firstLine="420" w:firstLineChars="200"/>
        <w:rPr>
          <w:rFonts w:eastAsia="黑体"/>
        </w:rPr>
      </w:pPr>
      <w:r>
        <w:rPr>
          <w:rFonts w:eastAsia="黑体"/>
        </w:rPr>
        <w:t>示例2：</w:t>
      </w:r>
    </w:p>
    <w:tbl>
      <w:tblPr>
        <w:tblStyle w:val="12"/>
        <w:tblpPr w:leftFromText="180" w:rightFromText="180" w:vertAnchor="text" w:horzAnchor="margin" w:tblpY="14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464" w:type="dxa"/>
            <w:vAlign w:val="center"/>
          </w:tcPr>
          <w:p>
            <w:pPr>
              <w:jc w:val="center"/>
              <w:rPr>
                <w:sz w:val="18"/>
                <w:szCs w:val="18"/>
              </w:rPr>
            </w:pPr>
            <w:r>
              <w:rPr>
                <w:sz w:val="18"/>
                <w:szCs w:val="18"/>
              </w:rPr>
              <w:t>牌号为Ag80InCd、状态为退火态（M）、直径为Φ8.66mm/Φ8.53mm、长度为</w:t>
            </w:r>
            <w:r>
              <w:rPr>
                <w:rFonts w:hint="eastAsia"/>
                <w:bCs/>
                <w:sz w:val="18"/>
                <w:szCs w:val="18"/>
              </w:rPr>
              <w:t>2856.8mm</w:t>
            </w:r>
            <w:r>
              <w:rPr>
                <w:bCs/>
                <w:sz w:val="18"/>
                <w:szCs w:val="18"/>
              </w:rPr>
              <w:t>/</w:t>
            </w:r>
            <w:r>
              <w:rPr>
                <w:rFonts w:hint="eastAsia"/>
                <w:bCs/>
                <w:sz w:val="18"/>
                <w:szCs w:val="18"/>
              </w:rPr>
              <w:t>750mm</w:t>
            </w:r>
            <w:r>
              <w:rPr>
                <w:sz w:val="18"/>
                <w:szCs w:val="18"/>
              </w:rPr>
              <w:t xml:space="preserve"> 的核级</w:t>
            </w:r>
            <w:r>
              <w:rPr>
                <w:rFonts w:hint="eastAsia"/>
                <w:sz w:val="18"/>
                <w:szCs w:val="18"/>
              </w:rPr>
              <w:t>-</w:t>
            </w:r>
            <w:r>
              <w:rPr>
                <w:sz w:val="18"/>
                <w:szCs w:val="18"/>
              </w:rPr>
              <w:t>银</w:t>
            </w:r>
            <w:r>
              <w:rPr>
                <w:rFonts w:hint="eastAsia"/>
                <w:sz w:val="18"/>
                <w:szCs w:val="18"/>
              </w:rPr>
              <w:t>-</w:t>
            </w:r>
            <w:r>
              <w:rPr>
                <w:sz w:val="18"/>
                <w:szCs w:val="18"/>
              </w:rPr>
              <w:t>铟镉合金棒，标记为：</w:t>
            </w:r>
            <w:r>
              <w:rPr>
                <w:rFonts w:hint="eastAsia"/>
                <w:sz w:val="18"/>
                <w:szCs w:val="18"/>
              </w:rPr>
              <w:t>圆</w:t>
            </w:r>
            <w:r>
              <w:rPr>
                <w:sz w:val="18"/>
                <w:szCs w:val="18"/>
              </w:rPr>
              <w:t>棒GB/T XXXX-Ag80InCdM-Φ8.66/Φ8.53×</w:t>
            </w:r>
            <w:r>
              <w:rPr>
                <w:rFonts w:hint="eastAsia"/>
                <w:bCs/>
                <w:sz w:val="18"/>
                <w:szCs w:val="18"/>
              </w:rPr>
              <w:t>2856.8mm</w:t>
            </w:r>
            <w:r>
              <w:rPr>
                <w:bCs/>
                <w:sz w:val="18"/>
                <w:szCs w:val="18"/>
              </w:rPr>
              <w:t>/</w:t>
            </w:r>
            <w:r>
              <w:rPr>
                <w:rFonts w:hint="eastAsia"/>
                <w:bCs/>
                <w:sz w:val="18"/>
                <w:szCs w:val="18"/>
              </w:rPr>
              <w:t>750mm</w:t>
            </w:r>
          </w:p>
        </w:tc>
      </w:tr>
    </w:tbl>
    <w:p>
      <w:pPr>
        <w:spacing w:line="360" w:lineRule="auto"/>
        <w:rPr>
          <w:rFonts w:eastAsia="黑体"/>
        </w:rPr>
      </w:pPr>
    </w:p>
    <w:p>
      <w:pPr>
        <w:pStyle w:val="2"/>
        <w:spacing w:before="240" w:after="240"/>
      </w:pPr>
      <w:r>
        <w:t>5  技术要求</w:t>
      </w:r>
    </w:p>
    <w:p>
      <w:pPr>
        <w:pStyle w:val="3"/>
        <w:spacing w:before="240" w:after="240"/>
        <w:rPr>
          <w:rFonts w:ascii="Times New Roman" w:hAnsi="Times New Roman"/>
        </w:rPr>
      </w:pPr>
      <w:r>
        <w:rPr>
          <w:rFonts w:ascii="Times New Roman" w:hAnsi="Times New Roman"/>
        </w:rPr>
        <w:t>5.1  化学成分</w:t>
      </w:r>
    </w:p>
    <w:p>
      <w:pPr>
        <w:ind w:firstLine="424" w:firstLineChars="202"/>
      </w:pPr>
      <w:r>
        <w:t>核级银</w:t>
      </w:r>
      <w:r>
        <w:rPr>
          <w:rFonts w:hint="eastAsia"/>
        </w:rPr>
        <w:t>-</w:t>
      </w:r>
      <w:r>
        <w:t>铟</w:t>
      </w:r>
      <w:r>
        <w:rPr>
          <w:rFonts w:hint="eastAsia"/>
        </w:rPr>
        <w:t>-</w:t>
      </w:r>
      <w:r>
        <w:t>镉合金棒的化学成分应符合表2的规定。</w:t>
      </w:r>
    </w:p>
    <w:p>
      <w:pPr>
        <w:spacing w:line="360" w:lineRule="auto"/>
        <w:jc w:val="center"/>
        <w:rPr>
          <w:rFonts w:eastAsia="黑体"/>
        </w:rPr>
      </w:pPr>
      <w:r>
        <w:rPr>
          <w:rFonts w:eastAsia="黑体"/>
        </w:rPr>
        <w:t>表2化学成分</w:t>
      </w:r>
    </w:p>
    <w:tbl>
      <w:tblPr>
        <w:tblStyle w:val="12"/>
        <w:tblW w:w="924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8"/>
        <w:gridCol w:w="689"/>
        <w:gridCol w:w="689"/>
        <w:gridCol w:w="591"/>
        <w:gridCol w:w="591"/>
        <w:gridCol w:w="591"/>
        <w:gridCol w:w="591"/>
        <w:gridCol w:w="591"/>
        <w:gridCol w:w="591"/>
        <w:gridCol w:w="591"/>
        <w:gridCol w:w="544"/>
        <w:gridCol w:w="591"/>
        <w:gridCol w:w="591"/>
        <w:gridCol w:w="539"/>
        <w:gridCol w:w="6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778" w:type="dxa"/>
            <w:vMerge w:val="restart"/>
            <w:tcBorders>
              <w:top w:val="single" w:color="auto" w:sz="8" w:space="0"/>
              <w:bottom w:val="single" w:color="auto" w:sz="4" w:space="0"/>
            </w:tcBorders>
            <w:vAlign w:val="center"/>
          </w:tcPr>
          <w:p>
            <w:pPr>
              <w:widowControl/>
              <w:jc w:val="center"/>
              <w:rPr>
                <w:sz w:val="18"/>
                <w:szCs w:val="18"/>
              </w:rPr>
            </w:pPr>
            <w:r>
              <w:rPr>
                <w:sz w:val="18"/>
                <w:szCs w:val="18"/>
              </w:rPr>
              <w:t>元素</w:t>
            </w:r>
          </w:p>
        </w:tc>
        <w:tc>
          <w:tcPr>
            <w:tcW w:w="1969" w:type="dxa"/>
            <w:gridSpan w:val="3"/>
            <w:tcBorders>
              <w:top w:val="single" w:color="auto" w:sz="8" w:space="0"/>
              <w:bottom w:val="single" w:color="auto" w:sz="4" w:space="0"/>
            </w:tcBorders>
            <w:vAlign w:val="center"/>
          </w:tcPr>
          <w:p>
            <w:pPr>
              <w:snapToGrid w:val="0"/>
              <w:jc w:val="center"/>
              <w:rPr>
                <w:sz w:val="18"/>
                <w:szCs w:val="18"/>
                <w:lang w:val="en-GB"/>
              </w:rPr>
            </w:pPr>
            <w:r>
              <w:rPr>
                <w:sz w:val="18"/>
                <w:szCs w:val="18"/>
                <w:lang w:val="en-GB"/>
              </w:rPr>
              <w:t>主元素，%</w:t>
            </w:r>
          </w:p>
        </w:tc>
        <w:tc>
          <w:tcPr>
            <w:tcW w:w="6493" w:type="dxa"/>
            <w:gridSpan w:val="11"/>
            <w:tcBorders>
              <w:top w:val="single" w:color="auto" w:sz="8" w:space="0"/>
              <w:bottom w:val="single" w:color="auto" w:sz="4" w:space="0"/>
            </w:tcBorders>
            <w:vAlign w:val="center"/>
          </w:tcPr>
          <w:p>
            <w:pPr>
              <w:snapToGrid w:val="0"/>
              <w:jc w:val="center"/>
              <w:rPr>
                <w:sz w:val="18"/>
                <w:szCs w:val="18"/>
                <w:lang w:val="en-GB"/>
              </w:rPr>
            </w:pPr>
            <w:r>
              <w:rPr>
                <w:sz w:val="18"/>
                <w:szCs w:val="18"/>
                <w:lang w:val="en-GB"/>
              </w:rPr>
              <w:t>杂质，不大于，%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4" w:hRule="atLeast"/>
        </w:trPr>
        <w:tc>
          <w:tcPr>
            <w:tcW w:w="778" w:type="dxa"/>
            <w:vMerge w:val="continue"/>
            <w:tcBorders>
              <w:top w:val="single" w:color="auto" w:sz="4" w:space="0"/>
              <w:bottom w:val="single" w:color="auto" w:sz="8" w:space="0"/>
            </w:tcBorders>
            <w:vAlign w:val="center"/>
          </w:tcPr>
          <w:p>
            <w:pPr>
              <w:keepNext/>
              <w:keepLines/>
              <w:spacing w:before="340" w:after="330" w:line="578" w:lineRule="auto"/>
              <w:jc w:val="center"/>
              <w:outlineLvl w:val="0"/>
              <w:rPr>
                <w:sz w:val="18"/>
                <w:szCs w:val="18"/>
              </w:rPr>
            </w:pPr>
          </w:p>
        </w:tc>
        <w:tc>
          <w:tcPr>
            <w:tcW w:w="689"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Ag</w:t>
            </w:r>
          </w:p>
        </w:tc>
        <w:tc>
          <w:tcPr>
            <w:tcW w:w="689"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In</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Cd</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Pb</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Bi</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Cu</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Fe</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Mg</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Mn</w:t>
            </w:r>
          </w:p>
        </w:tc>
        <w:tc>
          <w:tcPr>
            <w:tcW w:w="544"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Ni</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Si</w:t>
            </w:r>
          </w:p>
        </w:tc>
        <w:tc>
          <w:tcPr>
            <w:tcW w:w="591"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Sn</w:t>
            </w:r>
          </w:p>
        </w:tc>
        <w:tc>
          <w:tcPr>
            <w:tcW w:w="539"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Zn</w:t>
            </w:r>
          </w:p>
        </w:tc>
        <w:tc>
          <w:tcPr>
            <w:tcW w:w="682" w:type="dxa"/>
            <w:tcBorders>
              <w:top w:val="single" w:color="auto" w:sz="4" w:space="0"/>
              <w:bottom w:val="single" w:color="auto" w:sz="8" w:space="0"/>
            </w:tcBorders>
            <w:vAlign w:val="center"/>
          </w:tcPr>
          <w:p>
            <w:pPr>
              <w:snapToGrid w:val="0"/>
              <w:jc w:val="center"/>
              <w:rPr>
                <w:sz w:val="18"/>
                <w:szCs w:val="18"/>
                <w:lang w:val="en-GB"/>
              </w:rPr>
            </w:pPr>
            <w:r>
              <w:rPr>
                <w:sz w:val="18"/>
                <w:szCs w:val="18"/>
                <w:lang w:val="en-GB"/>
              </w:rPr>
              <w:t>总和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8" w:type="dxa"/>
            <w:tcBorders>
              <w:top w:val="single" w:color="auto" w:sz="8" w:space="0"/>
            </w:tcBorders>
            <w:vAlign w:val="center"/>
          </w:tcPr>
          <w:p>
            <w:pPr>
              <w:snapToGrid w:val="0"/>
              <w:jc w:val="center"/>
              <w:rPr>
                <w:sz w:val="18"/>
                <w:szCs w:val="18"/>
              </w:rPr>
            </w:pPr>
            <w:r>
              <w:rPr>
                <w:sz w:val="18"/>
                <w:szCs w:val="18"/>
              </w:rPr>
              <w:t>含量</w:t>
            </w:r>
          </w:p>
        </w:tc>
        <w:tc>
          <w:tcPr>
            <w:tcW w:w="689" w:type="dxa"/>
            <w:tcBorders>
              <w:top w:val="single" w:color="auto" w:sz="8" w:space="0"/>
            </w:tcBorders>
            <w:vAlign w:val="center"/>
          </w:tcPr>
          <w:p>
            <w:pPr>
              <w:snapToGrid w:val="0"/>
              <w:jc w:val="center"/>
              <w:rPr>
                <w:sz w:val="18"/>
                <w:szCs w:val="18"/>
                <w:lang w:val="en-GB"/>
              </w:rPr>
            </w:pPr>
            <w:r>
              <w:rPr>
                <w:sz w:val="18"/>
                <w:szCs w:val="18"/>
                <w:lang w:val="en-GB"/>
              </w:rPr>
              <w:t>79.50～80.50</w:t>
            </w:r>
          </w:p>
        </w:tc>
        <w:tc>
          <w:tcPr>
            <w:tcW w:w="689" w:type="dxa"/>
            <w:tcBorders>
              <w:top w:val="single" w:color="auto" w:sz="8" w:space="0"/>
            </w:tcBorders>
            <w:vAlign w:val="center"/>
          </w:tcPr>
          <w:p>
            <w:pPr>
              <w:snapToGrid w:val="0"/>
              <w:jc w:val="center"/>
              <w:rPr>
                <w:sz w:val="18"/>
                <w:szCs w:val="18"/>
                <w:lang w:val="en-GB"/>
              </w:rPr>
            </w:pPr>
            <w:r>
              <w:rPr>
                <w:sz w:val="18"/>
                <w:szCs w:val="18"/>
                <w:lang w:val="en-GB"/>
              </w:rPr>
              <w:t>14.75～15.25</w:t>
            </w:r>
          </w:p>
        </w:tc>
        <w:tc>
          <w:tcPr>
            <w:tcW w:w="591" w:type="dxa"/>
            <w:tcBorders>
              <w:top w:val="single" w:color="auto" w:sz="8" w:space="0"/>
            </w:tcBorders>
            <w:vAlign w:val="center"/>
          </w:tcPr>
          <w:p>
            <w:pPr>
              <w:snapToGrid w:val="0"/>
              <w:jc w:val="center"/>
              <w:rPr>
                <w:sz w:val="18"/>
                <w:szCs w:val="18"/>
                <w:lang w:val="en-GB"/>
              </w:rPr>
            </w:pPr>
            <w:r>
              <w:rPr>
                <w:sz w:val="18"/>
                <w:szCs w:val="18"/>
                <w:lang w:val="en-GB"/>
              </w:rPr>
              <w:t>4.75～5.25</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44"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91" w:type="dxa"/>
            <w:tcBorders>
              <w:top w:val="single" w:color="auto" w:sz="8" w:space="0"/>
            </w:tcBorders>
            <w:vAlign w:val="center"/>
          </w:tcPr>
          <w:p>
            <w:pPr>
              <w:snapToGrid w:val="0"/>
              <w:jc w:val="center"/>
              <w:rPr>
                <w:sz w:val="18"/>
                <w:szCs w:val="18"/>
                <w:lang w:val="en-GB"/>
              </w:rPr>
            </w:pPr>
            <w:r>
              <w:rPr>
                <w:sz w:val="18"/>
                <w:szCs w:val="18"/>
                <w:lang w:val="en-GB"/>
              </w:rPr>
              <w:t>0.03</w:t>
            </w:r>
          </w:p>
        </w:tc>
        <w:tc>
          <w:tcPr>
            <w:tcW w:w="539" w:type="dxa"/>
            <w:tcBorders>
              <w:top w:val="single" w:color="auto" w:sz="8" w:space="0"/>
            </w:tcBorders>
            <w:vAlign w:val="center"/>
          </w:tcPr>
          <w:p>
            <w:pPr>
              <w:snapToGrid w:val="0"/>
              <w:jc w:val="center"/>
              <w:rPr>
                <w:sz w:val="18"/>
                <w:szCs w:val="18"/>
                <w:lang w:val="en-GB"/>
              </w:rPr>
            </w:pPr>
            <w:r>
              <w:rPr>
                <w:sz w:val="18"/>
                <w:szCs w:val="18"/>
                <w:lang w:val="en-GB"/>
              </w:rPr>
              <w:t>0.03</w:t>
            </w:r>
          </w:p>
        </w:tc>
        <w:tc>
          <w:tcPr>
            <w:tcW w:w="682" w:type="dxa"/>
            <w:tcBorders>
              <w:top w:val="single" w:color="auto" w:sz="8" w:space="0"/>
            </w:tcBorders>
            <w:vAlign w:val="center"/>
          </w:tcPr>
          <w:p>
            <w:pPr>
              <w:snapToGrid w:val="0"/>
              <w:jc w:val="center"/>
              <w:rPr>
                <w:sz w:val="18"/>
                <w:szCs w:val="18"/>
                <w:lang w:val="en-GB"/>
              </w:rPr>
            </w:pPr>
            <w:r>
              <w:rPr>
                <w:sz w:val="18"/>
                <w:szCs w:val="18"/>
                <w:lang w:val="en-GB"/>
              </w:rPr>
              <w:t>0.25</w:t>
            </w:r>
          </w:p>
        </w:tc>
      </w:tr>
    </w:tbl>
    <w:p>
      <w:pPr>
        <w:spacing w:line="360" w:lineRule="auto"/>
        <w:jc w:val="center"/>
        <w:rPr>
          <w:rFonts w:eastAsia="黑体"/>
        </w:rPr>
      </w:pPr>
    </w:p>
    <w:p>
      <w:pPr>
        <w:pStyle w:val="3"/>
        <w:spacing w:before="240" w:afterLines="0" w:line="360" w:lineRule="auto"/>
        <w:rPr>
          <w:rFonts w:ascii="Times New Roman" w:hAnsi="Times New Roman"/>
        </w:rPr>
      </w:pPr>
      <w:r>
        <w:rPr>
          <w:rFonts w:ascii="Times New Roman" w:hAnsi="Times New Roman"/>
        </w:rPr>
        <w:t>5.</w:t>
      </w:r>
      <w:r>
        <w:rPr>
          <w:rFonts w:hint="eastAsia" w:ascii="Times New Roman" w:hAnsi="Times New Roman"/>
        </w:rPr>
        <w:t>2</w:t>
      </w:r>
      <w:r>
        <w:rPr>
          <w:rFonts w:ascii="Times New Roman" w:hAnsi="Times New Roman"/>
        </w:rPr>
        <w:t>外形尺寸及其允许偏差</w:t>
      </w:r>
    </w:p>
    <w:p>
      <w:pPr>
        <w:spacing w:beforeLines="50" w:line="360" w:lineRule="auto"/>
        <w:ind w:firstLine="315" w:firstLineChars="150"/>
        <w:rPr>
          <w:lang w:val="en-GB"/>
        </w:rPr>
      </w:pPr>
      <w:r>
        <w:rPr>
          <w:szCs w:val="21"/>
        </w:rPr>
        <w:t>棒材直径、长度、其他几何尺寸及允许偏差按供需双方确认的设计图纸执行。</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3</w:t>
      </w:r>
      <w:r>
        <w:rPr>
          <w:rFonts w:ascii="Times New Roman" w:hAnsi="Times New Roman"/>
        </w:rPr>
        <w:t>外观质量</w:t>
      </w:r>
    </w:p>
    <w:p>
      <w:pPr>
        <w:spacing w:beforeLines="50" w:line="360" w:lineRule="auto"/>
        <w:ind w:firstLine="315" w:firstLineChars="150"/>
        <w:rPr>
          <w:szCs w:val="21"/>
        </w:rPr>
      </w:pPr>
      <w:r>
        <w:rPr>
          <w:szCs w:val="21"/>
        </w:rPr>
        <w:t>核级银</w:t>
      </w:r>
      <w:r>
        <w:rPr>
          <w:rFonts w:hint="eastAsia"/>
          <w:szCs w:val="21"/>
        </w:rPr>
        <w:t>-</w:t>
      </w:r>
      <w:r>
        <w:rPr>
          <w:szCs w:val="21"/>
        </w:rPr>
        <w:t>铟</w:t>
      </w:r>
      <w:r>
        <w:rPr>
          <w:rFonts w:hint="eastAsia"/>
          <w:szCs w:val="21"/>
        </w:rPr>
        <w:t>-</w:t>
      </w:r>
      <w:r>
        <w:rPr>
          <w:szCs w:val="21"/>
        </w:rPr>
        <w:t>镉合金棒表面应无氧化膜、润滑剂、油污及其他外来物质，应无裂纹、折叠、气孔等影响使用的缺陷。</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4</w:t>
      </w:r>
      <w:r>
        <w:rPr>
          <w:rFonts w:ascii="Times New Roman" w:hAnsi="Times New Roman"/>
        </w:rPr>
        <w:t>表面粗糙度</w:t>
      </w:r>
    </w:p>
    <w:p>
      <w:pPr>
        <w:spacing w:beforeLines="50" w:line="360" w:lineRule="auto"/>
        <w:ind w:firstLine="315" w:firstLineChars="150"/>
        <w:rPr>
          <w:szCs w:val="21"/>
        </w:rPr>
      </w:pPr>
      <w:r>
        <w:rPr>
          <w:szCs w:val="21"/>
        </w:rPr>
        <w:t>核级银</w:t>
      </w:r>
      <w:r>
        <w:rPr>
          <w:rFonts w:hint="eastAsia"/>
          <w:szCs w:val="21"/>
        </w:rPr>
        <w:t>-</w:t>
      </w:r>
      <w:r>
        <w:rPr>
          <w:szCs w:val="21"/>
        </w:rPr>
        <w:t>铟</w:t>
      </w:r>
      <w:r>
        <w:rPr>
          <w:rFonts w:hint="eastAsia"/>
          <w:szCs w:val="21"/>
        </w:rPr>
        <w:t>-</w:t>
      </w:r>
      <w:r>
        <w:rPr>
          <w:szCs w:val="21"/>
        </w:rPr>
        <w:t>镉合金棒表面粗糙度应满足Ra≤1.6μm。</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5</w:t>
      </w:r>
      <w:r>
        <w:rPr>
          <w:rFonts w:ascii="Times New Roman" w:hAnsi="Times New Roman"/>
        </w:rPr>
        <w:t xml:space="preserve"> 直线度</w:t>
      </w:r>
    </w:p>
    <w:p>
      <w:pPr>
        <w:spacing w:beforeLines="50" w:line="360" w:lineRule="auto"/>
        <w:ind w:firstLine="315" w:firstLineChars="150"/>
        <w:rPr>
          <w:rFonts w:eastAsia="黑体"/>
        </w:rPr>
      </w:pPr>
      <w:r>
        <w:rPr>
          <w:szCs w:val="21"/>
        </w:rPr>
        <w:t>核级银</w:t>
      </w:r>
      <w:r>
        <w:rPr>
          <w:rFonts w:hint="eastAsia"/>
          <w:szCs w:val="21"/>
        </w:rPr>
        <w:t>-</w:t>
      </w:r>
      <w:r>
        <w:rPr>
          <w:szCs w:val="21"/>
        </w:rPr>
        <w:t>铟</w:t>
      </w:r>
      <w:r>
        <w:rPr>
          <w:rFonts w:hint="eastAsia"/>
          <w:szCs w:val="21"/>
        </w:rPr>
        <w:t>-</w:t>
      </w:r>
      <w:r>
        <w:rPr>
          <w:szCs w:val="21"/>
        </w:rPr>
        <w:t>镉合金棒直线度应满足＜0.25mm/300mm。</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6</w:t>
      </w:r>
      <w:r>
        <w:rPr>
          <w:rFonts w:ascii="Times New Roman" w:hAnsi="Times New Roman"/>
        </w:rPr>
        <w:t>密度</w:t>
      </w:r>
    </w:p>
    <w:p>
      <w:pPr>
        <w:spacing w:beforeLines="50" w:line="360" w:lineRule="auto"/>
        <w:ind w:firstLine="315" w:firstLineChars="150"/>
        <w:rPr>
          <w:szCs w:val="21"/>
        </w:rPr>
      </w:pPr>
      <w:r>
        <w:rPr>
          <w:szCs w:val="21"/>
        </w:rPr>
        <w:t>核级银</w:t>
      </w:r>
      <w:r>
        <w:rPr>
          <w:rFonts w:hint="eastAsia"/>
          <w:szCs w:val="21"/>
        </w:rPr>
        <w:t>-</w:t>
      </w:r>
      <w:r>
        <w:rPr>
          <w:szCs w:val="21"/>
        </w:rPr>
        <w:t>铟</w:t>
      </w:r>
      <w:r>
        <w:rPr>
          <w:rFonts w:hint="eastAsia"/>
          <w:szCs w:val="21"/>
        </w:rPr>
        <w:t>-</w:t>
      </w:r>
      <w:r>
        <w:rPr>
          <w:szCs w:val="21"/>
        </w:rPr>
        <w:t>镉合金棒密度应满足（10.12～10.22）g/cm</w:t>
      </w:r>
      <w:r>
        <w:rPr>
          <w:szCs w:val="21"/>
          <w:vertAlign w:val="superscript"/>
        </w:rPr>
        <w:t>3</w:t>
      </w:r>
      <w:r>
        <w:rPr>
          <w:rFonts w:hint="eastAsia"/>
          <w:szCs w:val="21"/>
        </w:rPr>
        <w:t>，取样点由</w:t>
      </w:r>
      <w:r>
        <w:rPr>
          <w:szCs w:val="21"/>
        </w:rPr>
        <w:t>供需双方</w:t>
      </w:r>
      <w:r>
        <w:rPr>
          <w:rFonts w:hint="eastAsia"/>
          <w:szCs w:val="21"/>
        </w:rPr>
        <w:t>商议决定</w:t>
      </w:r>
      <w:r>
        <w:rPr>
          <w:szCs w:val="21"/>
        </w:rPr>
        <w:t>。</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7</w:t>
      </w:r>
      <w:r>
        <w:rPr>
          <w:rFonts w:ascii="Times New Roman" w:hAnsi="Times New Roman"/>
        </w:rPr>
        <w:t>缺陷</w:t>
      </w:r>
    </w:p>
    <w:p>
      <w:pPr>
        <w:spacing w:beforeLines="50" w:line="360" w:lineRule="auto"/>
        <w:ind w:firstLine="420" w:firstLineChars="200"/>
        <w:rPr>
          <w:szCs w:val="21"/>
        </w:rPr>
      </w:pPr>
      <w:r>
        <w:rPr>
          <w:szCs w:val="21"/>
        </w:rPr>
        <w:t>每根核级银</w:t>
      </w:r>
      <w:r>
        <w:rPr>
          <w:rFonts w:hint="eastAsia"/>
          <w:szCs w:val="21"/>
        </w:rPr>
        <w:t>-</w:t>
      </w:r>
      <w:r>
        <w:rPr>
          <w:szCs w:val="21"/>
        </w:rPr>
        <w:t>铟</w:t>
      </w:r>
      <w:r>
        <w:rPr>
          <w:rFonts w:hint="eastAsia"/>
          <w:szCs w:val="21"/>
        </w:rPr>
        <w:t>-</w:t>
      </w:r>
      <w:r>
        <w:rPr>
          <w:szCs w:val="21"/>
        </w:rPr>
        <w:t>镉合金棒应进行涡流探伤检查，应无裂纹、孔洞、划伤、压坑等其它冶金缺陷，涡流探伤检查所用参考缺陷的面积不大于棒材横截面积的3﹪。</w:t>
      </w:r>
    </w:p>
    <w:p>
      <w:pPr>
        <w:pStyle w:val="3"/>
        <w:spacing w:before="240" w:after="240"/>
        <w:rPr>
          <w:rFonts w:ascii="Times New Roman" w:hAnsi="Times New Roman"/>
        </w:rPr>
      </w:pPr>
      <w:r>
        <w:rPr>
          <w:rFonts w:ascii="Times New Roman" w:hAnsi="Times New Roman"/>
        </w:rPr>
        <w:t>5.</w:t>
      </w:r>
      <w:r>
        <w:rPr>
          <w:rFonts w:hint="eastAsia" w:ascii="Times New Roman" w:hAnsi="Times New Roman"/>
        </w:rPr>
        <w:t>8</w:t>
      </w:r>
      <w:r>
        <w:rPr>
          <w:rFonts w:ascii="Times New Roman" w:hAnsi="Times New Roman"/>
        </w:rPr>
        <w:t>晶粒度</w:t>
      </w:r>
    </w:p>
    <w:p>
      <w:pPr>
        <w:spacing w:beforeLines="50" w:line="360" w:lineRule="auto"/>
        <w:ind w:firstLine="420" w:firstLineChars="200"/>
        <w:rPr>
          <w:szCs w:val="21"/>
        </w:rPr>
      </w:pPr>
      <w:r>
        <w:rPr>
          <w:szCs w:val="21"/>
        </w:rPr>
        <w:t>核级银</w:t>
      </w:r>
      <w:r>
        <w:rPr>
          <w:rFonts w:hint="eastAsia"/>
          <w:szCs w:val="21"/>
        </w:rPr>
        <w:t>-</w:t>
      </w:r>
      <w:r>
        <w:rPr>
          <w:szCs w:val="21"/>
        </w:rPr>
        <w:t>铟</w:t>
      </w:r>
      <w:r>
        <w:rPr>
          <w:rFonts w:hint="eastAsia"/>
          <w:szCs w:val="21"/>
        </w:rPr>
        <w:t>-</w:t>
      </w:r>
      <w:r>
        <w:rPr>
          <w:szCs w:val="21"/>
        </w:rPr>
        <w:t>镉合金棒平均晶粒度应满足4～6级。</w:t>
      </w:r>
    </w:p>
    <w:p>
      <w:pPr>
        <w:pStyle w:val="2"/>
        <w:spacing w:before="240" w:after="240"/>
      </w:pPr>
      <w:r>
        <w:t>6  试验方法</w:t>
      </w:r>
    </w:p>
    <w:p>
      <w:pPr>
        <w:pStyle w:val="3"/>
        <w:spacing w:before="240" w:after="240"/>
        <w:rPr>
          <w:rFonts w:ascii="Times New Roman" w:hAnsi="Times New Roman"/>
        </w:rPr>
      </w:pPr>
      <w:r>
        <w:rPr>
          <w:rFonts w:ascii="Times New Roman" w:hAnsi="Times New Roman"/>
        </w:rPr>
        <w:t>6.1化学成分</w:t>
      </w:r>
    </w:p>
    <w:p>
      <w:pPr>
        <w:spacing w:line="360" w:lineRule="auto"/>
        <w:ind w:firstLine="424" w:firstLineChars="202"/>
        <w:rPr>
          <w:szCs w:val="21"/>
        </w:rPr>
      </w:pPr>
      <w:r>
        <w:rPr>
          <w:szCs w:val="21"/>
        </w:rPr>
        <w:t>铸锭和成品棒材的化学成分分析按GB/T23514规定的方法进行。</w:t>
      </w:r>
    </w:p>
    <w:p>
      <w:pPr>
        <w:pStyle w:val="3"/>
        <w:spacing w:before="240" w:after="240"/>
        <w:rPr>
          <w:rFonts w:ascii="Times New Roman" w:hAnsi="Times New Roman"/>
        </w:rPr>
      </w:pPr>
      <w:r>
        <w:rPr>
          <w:rFonts w:ascii="Times New Roman" w:hAnsi="Times New Roman"/>
        </w:rPr>
        <w:t>6.2</w:t>
      </w:r>
      <w:r>
        <w:rPr>
          <w:rFonts w:hint="eastAsia" w:ascii="Times New Roman" w:hAnsi="Times New Roman"/>
        </w:rPr>
        <w:t>外形</w:t>
      </w:r>
      <w:r>
        <w:rPr>
          <w:rFonts w:ascii="Times New Roman" w:hAnsi="Times New Roman"/>
        </w:rPr>
        <w:t>尺寸</w:t>
      </w:r>
      <w:r>
        <w:rPr>
          <w:rFonts w:hint="eastAsia" w:ascii="Times New Roman" w:hAnsi="Times New Roman"/>
        </w:rPr>
        <w:t>及其允许</w:t>
      </w:r>
      <w:r>
        <w:rPr>
          <w:rFonts w:ascii="Times New Roman" w:hAnsi="Times New Roman"/>
        </w:rPr>
        <w:t>偏差</w:t>
      </w:r>
    </w:p>
    <w:p>
      <w:pPr>
        <w:spacing w:line="360" w:lineRule="auto"/>
        <w:ind w:firstLine="424" w:firstLineChars="202"/>
        <w:rPr>
          <w:szCs w:val="21"/>
        </w:rPr>
      </w:pPr>
      <w:r>
        <w:rPr>
          <w:szCs w:val="21"/>
        </w:rPr>
        <w:t>尺寸测量按照GB/T 15077规定的方法进行测定。</w:t>
      </w:r>
    </w:p>
    <w:p>
      <w:pPr>
        <w:pStyle w:val="3"/>
        <w:spacing w:before="240" w:after="240"/>
        <w:rPr>
          <w:rFonts w:ascii="Times New Roman" w:hAnsi="Times New Roman"/>
        </w:rPr>
      </w:pPr>
      <w:r>
        <w:rPr>
          <w:rFonts w:ascii="Times New Roman" w:hAnsi="Times New Roman"/>
        </w:rPr>
        <w:t>6.3 外观质量</w:t>
      </w:r>
    </w:p>
    <w:p>
      <w:pPr>
        <w:spacing w:line="360" w:lineRule="auto"/>
        <w:ind w:firstLine="424" w:firstLineChars="202"/>
        <w:rPr>
          <w:szCs w:val="21"/>
        </w:rPr>
      </w:pPr>
      <w:r>
        <w:rPr>
          <w:szCs w:val="21"/>
        </w:rPr>
        <w:t>目视检查外观质量。</w:t>
      </w:r>
    </w:p>
    <w:p>
      <w:pPr>
        <w:pStyle w:val="3"/>
        <w:spacing w:before="240" w:after="240"/>
        <w:rPr>
          <w:rFonts w:ascii="Times New Roman" w:hAnsi="Times New Roman"/>
        </w:rPr>
      </w:pPr>
      <w:r>
        <w:rPr>
          <w:rFonts w:ascii="Times New Roman" w:hAnsi="Times New Roman"/>
        </w:rPr>
        <w:t>6.4表面粗糙度</w:t>
      </w:r>
    </w:p>
    <w:p>
      <w:pPr>
        <w:spacing w:line="360" w:lineRule="auto"/>
        <w:ind w:firstLine="424" w:firstLineChars="202"/>
        <w:rPr>
          <w:szCs w:val="21"/>
        </w:rPr>
      </w:pPr>
      <w:r>
        <w:rPr>
          <w:szCs w:val="21"/>
        </w:rPr>
        <w:t>采用粗糙度仪或相应的粗糙度对比试样进行检测，采用粗糙度仪进行检测时，取样长度参考GB/T1031。</w:t>
      </w:r>
    </w:p>
    <w:p>
      <w:pPr>
        <w:pStyle w:val="3"/>
        <w:spacing w:before="240" w:after="240"/>
        <w:rPr>
          <w:rFonts w:ascii="Times New Roman" w:hAnsi="Times New Roman"/>
        </w:rPr>
      </w:pPr>
      <w:r>
        <w:rPr>
          <w:rFonts w:ascii="Times New Roman" w:hAnsi="Times New Roman"/>
        </w:rPr>
        <w:t>6.5直线度</w:t>
      </w:r>
    </w:p>
    <w:p>
      <w:pPr>
        <w:spacing w:line="360" w:lineRule="auto"/>
        <w:ind w:firstLine="424" w:firstLineChars="202"/>
        <w:rPr>
          <w:szCs w:val="21"/>
        </w:rPr>
      </w:pPr>
      <w:r>
        <w:rPr>
          <w:szCs w:val="21"/>
        </w:rPr>
        <w:t>直线度检测方法参照GB/T11336中5.3.1.2条款内容，</w:t>
      </w:r>
      <w:r>
        <w:rPr>
          <w:rFonts w:hint="eastAsia"/>
          <w:szCs w:val="21"/>
        </w:rPr>
        <w:t>检</w:t>
      </w:r>
      <w:r>
        <w:rPr>
          <w:szCs w:val="21"/>
        </w:rPr>
        <w:t>测平台应满足JJG117</w:t>
      </w:r>
      <w:r>
        <w:rPr>
          <w:rFonts w:hint="eastAsia"/>
          <w:szCs w:val="21"/>
        </w:rPr>
        <w:t xml:space="preserve"> 2</w:t>
      </w:r>
      <w:r>
        <w:rPr>
          <w:szCs w:val="21"/>
        </w:rPr>
        <w:t>级</w:t>
      </w:r>
      <w:r>
        <w:rPr>
          <w:rFonts w:hint="eastAsia"/>
          <w:szCs w:val="21"/>
        </w:rPr>
        <w:t>及</w:t>
      </w:r>
      <w:r>
        <w:rPr>
          <w:szCs w:val="21"/>
        </w:rPr>
        <w:t>以上要求。将棒材水平放于校准后的检测平台并滚动棒材，用厚度为0.25mm塞尺每隔300mm直接进行测定。</w:t>
      </w:r>
    </w:p>
    <w:p>
      <w:pPr>
        <w:pStyle w:val="3"/>
        <w:spacing w:before="240" w:after="240"/>
        <w:rPr>
          <w:rFonts w:ascii="Times New Roman" w:hAnsi="Times New Roman"/>
        </w:rPr>
      </w:pPr>
      <w:r>
        <w:rPr>
          <w:rFonts w:ascii="Times New Roman" w:hAnsi="Times New Roman"/>
        </w:rPr>
        <w:t>6.6 密度</w:t>
      </w:r>
    </w:p>
    <w:p>
      <w:pPr>
        <w:spacing w:line="360" w:lineRule="auto"/>
        <w:ind w:firstLine="424" w:firstLineChars="202"/>
        <w:rPr>
          <w:szCs w:val="21"/>
        </w:rPr>
      </w:pPr>
      <w:r>
        <w:rPr>
          <w:szCs w:val="21"/>
        </w:rPr>
        <w:t>密度测量按照GB/T1423  规定的方法进行测定。</w:t>
      </w:r>
    </w:p>
    <w:p>
      <w:pPr>
        <w:pStyle w:val="3"/>
        <w:spacing w:before="240" w:after="240"/>
        <w:rPr>
          <w:rFonts w:ascii="Times New Roman" w:hAnsi="Times New Roman"/>
        </w:rPr>
      </w:pPr>
      <w:r>
        <w:rPr>
          <w:rFonts w:ascii="Times New Roman" w:hAnsi="Times New Roman"/>
        </w:rPr>
        <w:t>6.7 缺陷</w:t>
      </w:r>
    </w:p>
    <w:p>
      <w:pPr>
        <w:spacing w:line="360" w:lineRule="auto"/>
        <w:ind w:firstLine="424" w:firstLineChars="202"/>
      </w:pPr>
      <w:r>
        <w:rPr>
          <w:szCs w:val="21"/>
        </w:rPr>
        <w:t>缺陷检查按照附录</w:t>
      </w:r>
      <w:r>
        <w:rPr>
          <w:rFonts w:hint="eastAsia"/>
          <w:szCs w:val="21"/>
        </w:rPr>
        <w:t>B</w:t>
      </w:r>
      <w:r>
        <w:rPr>
          <w:szCs w:val="21"/>
        </w:rPr>
        <w:t>规定的方法进行涡流检测。</w:t>
      </w:r>
    </w:p>
    <w:p>
      <w:pPr>
        <w:pStyle w:val="3"/>
        <w:spacing w:before="240" w:after="240"/>
        <w:rPr>
          <w:rFonts w:ascii="Times New Roman" w:hAnsi="Times New Roman"/>
        </w:rPr>
      </w:pPr>
      <w:r>
        <w:rPr>
          <w:rFonts w:ascii="Times New Roman" w:hAnsi="Times New Roman"/>
        </w:rPr>
        <w:t>6.8 晶粒度</w:t>
      </w:r>
    </w:p>
    <w:p>
      <w:pPr>
        <w:spacing w:line="360" w:lineRule="auto"/>
        <w:ind w:firstLine="424" w:firstLineChars="202"/>
        <w:rPr>
          <w:szCs w:val="21"/>
        </w:rPr>
      </w:pPr>
      <w:r>
        <w:rPr>
          <w:szCs w:val="21"/>
        </w:rPr>
        <w:t xml:space="preserve">晶粒度测量按GB/T6394规定的方法进行测定。 </w:t>
      </w:r>
    </w:p>
    <w:p>
      <w:pPr>
        <w:pStyle w:val="2"/>
        <w:spacing w:before="240" w:after="240"/>
      </w:pPr>
      <w:r>
        <w:t>7检验规则</w:t>
      </w:r>
    </w:p>
    <w:p>
      <w:pPr>
        <w:pStyle w:val="3"/>
        <w:spacing w:before="240" w:after="240"/>
        <w:rPr>
          <w:rFonts w:ascii="Times New Roman" w:hAnsi="Times New Roman"/>
        </w:rPr>
      </w:pPr>
      <w:r>
        <w:rPr>
          <w:rFonts w:ascii="Times New Roman" w:hAnsi="Times New Roman"/>
        </w:rPr>
        <w:t>7.1检查和验收</w:t>
      </w:r>
    </w:p>
    <w:p>
      <w:pPr>
        <w:spacing w:line="360" w:lineRule="auto"/>
        <w:rPr>
          <w:szCs w:val="21"/>
        </w:rPr>
      </w:pPr>
      <w:r>
        <w:rPr>
          <w:rFonts w:eastAsia="黑体"/>
        </w:rPr>
        <w:t>7.1.1</w:t>
      </w:r>
      <w:r>
        <w:rPr>
          <w:szCs w:val="21"/>
        </w:rPr>
        <w:t>产品由供方或第三方进行检验，保证产品质量符合本文件及订货单的规定。</w:t>
      </w:r>
    </w:p>
    <w:p>
      <w:pPr>
        <w:spacing w:line="360" w:lineRule="auto"/>
        <w:rPr>
          <w:szCs w:val="21"/>
        </w:rPr>
      </w:pPr>
      <w:r>
        <w:rPr>
          <w:rFonts w:eastAsia="黑体"/>
        </w:rPr>
        <w:t>7.1.2</w:t>
      </w:r>
      <w:r>
        <w:t>需方</w:t>
      </w:r>
      <w:r>
        <w:rPr>
          <w:rFonts w:hint="eastAsia"/>
        </w:rPr>
        <w:t>可</w:t>
      </w:r>
      <w:r>
        <w:t>对收到的产品按本</w:t>
      </w:r>
      <w:r>
        <w:rPr>
          <w:rFonts w:hint="eastAsia"/>
        </w:rPr>
        <w:t>文件</w:t>
      </w:r>
      <w:r>
        <w:t>的规定进行检验。</w:t>
      </w:r>
      <w:r>
        <w:rPr>
          <w:rFonts w:hint="eastAsia"/>
        </w:rPr>
        <w:t>如</w:t>
      </w:r>
      <w:r>
        <w:t>检验结果与本</w:t>
      </w:r>
      <w:r>
        <w:rPr>
          <w:rFonts w:hint="eastAsia"/>
        </w:rPr>
        <w:t>文件</w:t>
      </w:r>
      <w:r>
        <w:rPr>
          <w:spacing w:val="-2"/>
        </w:rPr>
        <w:t>及</w:t>
      </w:r>
      <w:r>
        <w:t>订货单的规定不符时，应以书面形式向供方提出，由供需双方协商解决。属于表面质量及尺寸的异议，应在收到产品之日起一个月内提出</w:t>
      </w:r>
      <w:r>
        <w:rPr>
          <w:rFonts w:hint="eastAsia"/>
        </w:rPr>
        <w:t>；</w:t>
      </w:r>
      <w:r>
        <w:t>属于其他性能的异议，应在收到产品之日起三个月内提出。如需仲裁，可委托供需双方</w:t>
      </w:r>
      <w:r>
        <w:rPr>
          <w:rFonts w:hint="eastAsia"/>
        </w:rPr>
        <w:t>在需方共同取样或协商确定</w:t>
      </w:r>
      <w:r>
        <w:t>。</w:t>
      </w:r>
    </w:p>
    <w:p>
      <w:pPr>
        <w:pStyle w:val="3"/>
        <w:spacing w:before="240" w:after="240"/>
        <w:rPr>
          <w:rFonts w:ascii="Times New Roman" w:hAnsi="Times New Roman"/>
          <w:szCs w:val="21"/>
        </w:rPr>
      </w:pPr>
      <w:r>
        <w:rPr>
          <w:rFonts w:ascii="Times New Roman" w:hAnsi="Times New Roman"/>
        </w:rPr>
        <w:t>7.2</w:t>
      </w:r>
      <w:r>
        <w:rPr>
          <w:rFonts w:ascii="Times New Roman" w:hAnsi="Times New Roman"/>
          <w:szCs w:val="21"/>
        </w:rPr>
        <w:t>组批</w:t>
      </w:r>
    </w:p>
    <w:p>
      <w:pPr>
        <w:spacing w:line="360" w:lineRule="auto"/>
        <w:ind w:firstLine="424" w:firstLineChars="202"/>
        <w:rPr>
          <w:szCs w:val="21"/>
        </w:rPr>
      </w:pPr>
      <w:r>
        <w:rPr>
          <w:szCs w:val="21"/>
        </w:rPr>
        <w:t>产品应成批提交验收，每批应</w:t>
      </w:r>
      <w:r>
        <w:t>由</w:t>
      </w:r>
      <w:r>
        <w:rPr>
          <w:rFonts w:hint="eastAsia"/>
        </w:rPr>
        <w:t>同一</w:t>
      </w:r>
      <w:r>
        <w:t>牌号、</w:t>
      </w:r>
      <w:r>
        <w:rPr>
          <w:rFonts w:hint="eastAsia"/>
        </w:rPr>
        <w:t>状态和</w:t>
      </w:r>
      <w:r>
        <w:t>规格</w:t>
      </w:r>
      <w:r>
        <w:rPr>
          <w:rFonts w:hint="eastAsia"/>
        </w:rPr>
        <w:t>的产品组成。每批重量应不大于55Kg</w:t>
      </w:r>
      <w:r>
        <w:rPr>
          <w:szCs w:val="21"/>
        </w:rPr>
        <w:t>。</w:t>
      </w:r>
    </w:p>
    <w:p>
      <w:pPr>
        <w:pStyle w:val="3"/>
        <w:spacing w:before="240" w:after="240"/>
        <w:rPr>
          <w:rFonts w:ascii="Times New Roman" w:hAnsi="Times New Roman"/>
        </w:rPr>
      </w:pPr>
      <w:bookmarkStart w:id="0" w:name="_Toc225762290"/>
      <w:r>
        <w:rPr>
          <w:rFonts w:ascii="Times New Roman" w:hAnsi="Times New Roman"/>
        </w:rPr>
        <w:t>7.3</w:t>
      </w:r>
      <w:r>
        <w:rPr>
          <w:rFonts w:ascii="Times New Roman" w:hAnsi="Times New Roman"/>
          <w:szCs w:val="21"/>
        </w:rPr>
        <w:t>检验项目</w:t>
      </w:r>
      <w:bookmarkEnd w:id="0"/>
    </w:p>
    <w:tbl>
      <w:tblPr>
        <w:tblStyle w:val="12"/>
        <w:tblpPr w:leftFromText="180" w:rightFromText="180" w:vertAnchor="text" w:horzAnchor="margin" w:tblpXSpec="center" w:tblpY="4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55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检验项目</w:t>
            </w:r>
          </w:p>
        </w:tc>
        <w:tc>
          <w:tcPr>
            <w:tcW w:w="2552" w:type="dxa"/>
            <w:vAlign w:val="center"/>
          </w:tcPr>
          <w:p>
            <w:pPr>
              <w:jc w:val="center"/>
              <w:rPr>
                <w:rFonts w:ascii="宋体" w:hAnsi="宋体"/>
                <w:sz w:val="18"/>
                <w:szCs w:val="18"/>
              </w:rPr>
            </w:pPr>
            <w:r>
              <w:rPr>
                <w:rFonts w:hint="eastAsia" w:ascii="宋体" w:hAnsi="宋体"/>
                <w:sz w:val="18"/>
                <w:szCs w:val="18"/>
              </w:rPr>
              <w:t>出厂检验项目</w:t>
            </w:r>
          </w:p>
        </w:tc>
        <w:tc>
          <w:tcPr>
            <w:tcW w:w="2551" w:type="dxa"/>
            <w:vAlign w:val="center"/>
          </w:tcPr>
          <w:p>
            <w:pPr>
              <w:jc w:val="center"/>
              <w:rPr>
                <w:rFonts w:ascii="宋体" w:hAnsi="宋体"/>
                <w:sz w:val="18"/>
                <w:szCs w:val="18"/>
              </w:rPr>
            </w:pPr>
            <w:r>
              <w:rPr>
                <w:rFonts w:hint="eastAsia" w:ascii="宋体" w:hAnsi="宋体"/>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铸锭化学成分</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成品棒化学成分</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hint="eastAsia" w:ascii="宋体" w:hAnsi="宋体"/>
                <w:sz w:val="18"/>
                <w:szCs w:val="18"/>
              </w:rPr>
              <w:t>外形尺寸及其允许公差</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外观质量</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表面粗糙度</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直线度</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密度</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缺陷</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jc w:val="center"/>
              <w:rPr>
                <w:rFonts w:ascii="宋体" w:hAnsi="宋体"/>
                <w:sz w:val="18"/>
                <w:szCs w:val="18"/>
              </w:rPr>
            </w:pPr>
            <w:r>
              <w:rPr>
                <w:rFonts w:ascii="宋体" w:hAnsi="宋体"/>
                <w:sz w:val="18"/>
                <w:szCs w:val="18"/>
              </w:rPr>
              <w:t>晶粒度</w:t>
            </w:r>
          </w:p>
        </w:tc>
        <w:tc>
          <w:tcPr>
            <w:tcW w:w="2552" w:type="dxa"/>
            <w:vAlign w:val="center"/>
          </w:tcPr>
          <w:p>
            <w:pPr>
              <w:jc w:val="center"/>
              <w:rPr>
                <w:rFonts w:ascii="宋体" w:hAnsi="宋体"/>
                <w:sz w:val="18"/>
                <w:szCs w:val="18"/>
              </w:rPr>
            </w:pPr>
            <w:r>
              <w:rPr>
                <w:rFonts w:ascii="宋体" w:hAnsi="宋体"/>
                <w:sz w:val="18"/>
                <w:szCs w:val="18"/>
              </w:rPr>
              <w:t>√</w:t>
            </w:r>
          </w:p>
        </w:tc>
        <w:tc>
          <w:tcPr>
            <w:tcW w:w="2551" w:type="dxa"/>
            <w:vAlign w:val="center"/>
          </w:tcPr>
          <w:p>
            <w:pPr>
              <w:jc w:val="center"/>
              <w:rPr>
                <w:rFonts w:ascii="宋体" w:hAnsi="宋体"/>
                <w:sz w:val="18"/>
                <w:szCs w:val="18"/>
              </w:rPr>
            </w:pPr>
            <w:r>
              <w:rPr>
                <w:rFonts w:ascii="宋体" w:hAnsi="宋体"/>
                <w:sz w:val="18"/>
                <w:szCs w:val="18"/>
              </w:rPr>
              <w:t>√</w:t>
            </w:r>
          </w:p>
        </w:tc>
      </w:tr>
    </w:tbl>
    <w:p>
      <w:pPr>
        <w:spacing w:line="360" w:lineRule="auto"/>
        <w:jc w:val="center"/>
        <w:rPr>
          <w:rFonts w:eastAsia="黑体"/>
        </w:rPr>
      </w:pPr>
      <w:r>
        <w:rPr>
          <w:rFonts w:eastAsia="黑体"/>
        </w:rPr>
        <w:t>表</w:t>
      </w:r>
      <w:r>
        <w:rPr>
          <w:rFonts w:hint="eastAsia" w:eastAsia="黑体"/>
        </w:rPr>
        <w:t>3检验项目</w:t>
      </w:r>
    </w:p>
    <w:p>
      <w:pPr>
        <w:spacing w:line="360" w:lineRule="auto"/>
        <w:rPr>
          <w:szCs w:val="21"/>
        </w:rPr>
      </w:pPr>
    </w:p>
    <w:p>
      <w:pPr>
        <w:pStyle w:val="3"/>
        <w:spacing w:before="240" w:after="240"/>
        <w:rPr>
          <w:rFonts w:ascii="Times New Roman" w:hAnsi="Times New Roman"/>
        </w:rPr>
      </w:pPr>
      <w:bookmarkStart w:id="1" w:name="_Toc225762291"/>
      <w:r>
        <w:rPr>
          <w:rFonts w:ascii="Times New Roman" w:hAnsi="Times New Roman"/>
        </w:rPr>
        <w:t>7.4 取样</w:t>
      </w:r>
      <w:bookmarkEnd w:id="1"/>
      <w:r>
        <w:rPr>
          <w:rFonts w:ascii="Times New Roman" w:hAnsi="Times New Roman"/>
        </w:rPr>
        <w:t>和制样</w:t>
      </w:r>
    </w:p>
    <w:p>
      <w:pPr>
        <w:spacing w:afterLines="100" w:line="360" w:lineRule="auto"/>
        <w:ind w:firstLine="420" w:firstLineChars="200"/>
        <w:rPr>
          <w:szCs w:val="21"/>
        </w:rPr>
      </w:pPr>
      <w:r>
        <w:rPr>
          <w:szCs w:val="21"/>
        </w:rPr>
        <w:t>产品的取样应符合表</w:t>
      </w:r>
      <w:r>
        <w:rPr>
          <w:rFonts w:hint="eastAsia"/>
          <w:szCs w:val="21"/>
        </w:rPr>
        <w:t>4</w:t>
      </w:r>
      <w:r>
        <w:rPr>
          <w:szCs w:val="21"/>
        </w:rPr>
        <w:t>规定。</w:t>
      </w:r>
    </w:p>
    <w:p>
      <w:pPr>
        <w:widowControl/>
        <w:jc w:val="left"/>
        <w:rPr>
          <w:rFonts w:eastAsia="黑体"/>
          <w:szCs w:val="21"/>
        </w:rPr>
      </w:pPr>
      <w:r>
        <w:rPr>
          <w:rFonts w:eastAsia="黑体"/>
          <w:szCs w:val="21"/>
        </w:rPr>
        <w:br w:type="page"/>
      </w:r>
    </w:p>
    <w:p>
      <w:pPr>
        <w:widowControl/>
        <w:jc w:val="center"/>
        <w:rPr>
          <w:rFonts w:eastAsia="黑体"/>
          <w:szCs w:val="21"/>
        </w:rPr>
      </w:pPr>
      <w:r>
        <w:rPr>
          <w:rFonts w:eastAsia="黑体"/>
          <w:szCs w:val="21"/>
        </w:rPr>
        <w:t>表</w:t>
      </w:r>
      <w:r>
        <w:rPr>
          <w:rFonts w:hint="eastAsia" w:eastAsia="黑体"/>
          <w:szCs w:val="21"/>
        </w:rPr>
        <w:t>4</w:t>
      </w:r>
      <w:r>
        <w:rPr>
          <w:rFonts w:eastAsia="黑体"/>
          <w:szCs w:val="21"/>
        </w:rPr>
        <w:t>取样规定</w:t>
      </w:r>
    </w:p>
    <w:tbl>
      <w:tblPr>
        <w:tblStyle w:val="1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7"/>
        <w:gridCol w:w="3052"/>
        <w:gridCol w:w="1629"/>
        <w:gridCol w:w="1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432" w:type="pct"/>
            <w:gridSpan w:val="2"/>
            <w:vAlign w:val="center"/>
          </w:tcPr>
          <w:p>
            <w:pPr>
              <w:jc w:val="center"/>
              <w:rPr>
                <w:sz w:val="18"/>
                <w:szCs w:val="18"/>
              </w:rPr>
            </w:pPr>
            <w:r>
              <w:rPr>
                <w:sz w:val="18"/>
                <w:szCs w:val="18"/>
              </w:rPr>
              <w:t>检验项目</w:t>
            </w:r>
          </w:p>
        </w:tc>
        <w:tc>
          <w:tcPr>
            <w:tcW w:w="1643" w:type="pct"/>
            <w:tcBorders>
              <w:top w:val="single" w:color="auto" w:sz="8" w:space="0"/>
            </w:tcBorders>
            <w:vAlign w:val="center"/>
          </w:tcPr>
          <w:p>
            <w:pPr>
              <w:jc w:val="center"/>
              <w:rPr>
                <w:sz w:val="18"/>
                <w:szCs w:val="18"/>
              </w:rPr>
            </w:pPr>
            <w:r>
              <w:rPr>
                <w:sz w:val="18"/>
                <w:szCs w:val="18"/>
              </w:rPr>
              <w:t>取样规定</w:t>
            </w:r>
          </w:p>
        </w:tc>
        <w:tc>
          <w:tcPr>
            <w:tcW w:w="877" w:type="pct"/>
            <w:vAlign w:val="center"/>
          </w:tcPr>
          <w:p>
            <w:pPr>
              <w:jc w:val="center"/>
              <w:rPr>
                <w:sz w:val="18"/>
                <w:szCs w:val="18"/>
              </w:rPr>
            </w:pPr>
            <w:r>
              <w:rPr>
                <w:sz w:val="18"/>
                <w:szCs w:val="18"/>
              </w:rPr>
              <w:t>技术要求章条号</w:t>
            </w:r>
          </w:p>
        </w:tc>
        <w:tc>
          <w:tcPr>
            <w:tcW w:w="1048" w:type="pct"/>
            <w:vAlign w:val="center"/>
          </w:tcPr>
          <w:p>
            <w:pPr>
              <w:pStyle w:val="46"/>
              <w:numPr>
                <w:ilvl w:val="0"/>
                <w:numId w:val="0"/>
              </w:numPr>
              <w:ind w:left="283"/>
              <w:jc w:val="center"/>
              <w:rPr>
                <w:sz w:val="18"/>
                <w:szCs w:val="18"/>
              </w:rPr>
            </w:pPr>
            <w:r>
              <w:rPr>
                <w:sz w:val="18"/>
                <w:szCs w:val="18"/>
              </w:rPr>
              <w:t>试验方法的章条号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32" w:type="pct"/>
            <w:gridSpan w:val="2"/>
            <w:tcBorders>
              <w:top w:val="single" w:color="auto" w:sz="8" w:space="0"/>
            </w:tcBorders>
            <w:vAlign w:val="center"/>
          </w:tcPr>
          <w:p>
            <w:pPr>
              <w:pStyle w:val="46"/>
              <w:numPr>
                <w:ilvl w:val="0"/>
                <w:numId w:val="0"/>
              </w:numPr>
              <w:jc w:val="center"/>
              <w:rPr>
                <w:sz w:val="18"/>
                <w:szCs w:val="18"/>
              </w:rPr>
            </w:pPr>
            <w:r>
              <w:rPr>
                <w:sz w:val="18"/>
                <w:szCs w:val="18"/>
              </w:rPr>
              <w:t>铸锭化学成分</w:t>
            </w:r>
          </w:p>
        </w:tc>
        <w:tc>
          <w:tcPr>
            <w:tcW w:w="1643" w:type="pct"/>
            <w:tcBorders>
              <w:top w:val="single" w:color="auto" w:sz="8" w:space="0"/>
            </w:tcBorders>
            <w:vAlign w:val="center"/>
          </w:tcPr>
          <w:p>
            <w:pPr>
              <w:pStyle w:val="46"/>
              <w:numPr>
                <w:ilvl w:val="0"/>
                <w:numId w:val="0"/>
              </w:numPr>
              <w:jc w:val="left"/>
              <w:rPr>
                <w:kern w:val="0"/>
                <w:sz w:val="18"/>
                <w:szCs w:val="18"/>
              </w:rPr>
            </w:pPr>
            <w:r>
              <w:rPr>
                <w:sz w:val="18"/>
                <w:szCs w:val="18"/>
              </w:rPr>
              <w:t>每个铸锭距头部100mm处车取无氧化皮试样1份，进行主元素及杂质元素检测</w:t>
            </w:r>
          </w:p>
        </w:tc>
        <w:tc>
          <w:tcPr>
            <w:tcW w:w="877" w:type="pct"/>
            <w:tcBorders>
              <w:top w:val="single" w:color="auto" w:sz="8" w:space="0"/>
            </w:tcBorders>
            <w:vAlign w:val="center"/>
          </w:tcPr>
          <w:p>
            <w:pPr>
              <w:pStyle w:val="46"/>
              <w:numPr>
                <w:ilvl w:val="0"/>
                <w:numId w:val="0"/>
              </w:numPr>
              <w:jc w:val="center"/>
              <w:rPr>
                <w:sz w:val="18"/>
                <w:szCs w:val="18"/>
              </w:rPr>
            </w:pPr>
            <w:r>
              <w:rPr>
                <w:sz w:val="18"/>
                <w:szCs w:val="18"/>
              </w:rPr>
              <w:t>5.1</w:t>
            </w:r>
          </w:p>
        </w:tc>
        <w:tc>
          <w:tcPr>
            <w:tcW w:w="1048" w:type="pct"/>
            <w:tcBorders>
              <w:top w:val="single" w:color="auto" w:sz="8" w:space="0"/>
            </w:tcBorders>
            <w:vAlign w:val="center"/>
          </w:tcPr>
          <w:p>
            <w:pPr>
              <w:pStyle w:val="46"/>
              <w:numPr>
                <w:ilvl w:val="0"/>
                <w:numId w:val="0"/>
              </w:numPr>
              <w:jc w:val="center"/>
              <w:rPr>
                <w:sz w:val="18"/>
                <w:szCs w:val="18"/>
              </w:rPr>
            </w:pPr>
            <w:r>
              <w:rPr>
                <w:sz w:val="18"/>
                <w:szCs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成品棒化学成分</w:t>
            </w:r>
          </w:p>
        </w:tc>
        <w:tc>
          <w:tcPr>
            <w:tcW w:w="1643" w:type="pct"/>
            <w:vAlign w:val="center"/>
          </w:tcPr>
          <w:p>
            <w:pPr>
              <w:pStyle w:val="46"/>
              <w:numPr>
                <w:ilvl w:val="0"/>
                <w:numId w:val="0"/>
              </w:numPr>
              <w:jc w:val="left"/>
              <w:rPr>
                <w:sz w:val="18"/>
                <w:szCs w:val="18"/>
              </w:rPr>
            </w:pPr>
            <w:r>
              <w:rPr>
                <w:sz w:val="18"/>
                <w:szCs w:val="18"/>
              </w:rPr>
              <w:t>从每批成品棒截取的边料上车取无氧化皮试样1份，进行主元素及杂质元素检测</w:t>
            </w:r>
          </w:p>
        </w:tc>
        <w:tc>
          <w:tcPr>
            <w:tcW w:w="877" w:type="pct"/>
            <w:vAlign w:val="center"/>
          </w:tcPr>
          <w:p>
            <w:pPr>
              <w:pStyle w:val="46"/>
              <w:numPr>
                <w:ilvl w:val="0"/>
                <w:numId w:val="0"/>
              </w:numPr>
              <w:jc w:val="center"/>
              <w:rPr>
                <w:sz w:val="18"/>
                <w:szCs w:val="18"/>
              </w:rPr>
            </w:pPr>
            <w:r>
              <w:rPr>
                <w:sz w:val="18"/>
                <w:szCs w:val="18"/>
              </w:rPr>
              <w:t>5.1</w:t>
            </w:r>
          </w:p>
        </w:tc>
        <w:tc>
          <w:tcPr>
            <w:tcW w:w="1048" w:type="pct"/>
            <w:vAlign w:val="center"/>
          </w:tcPr>
          <w:p>
            <w:pPr>
              <w:pStyle w:val="46"/>
              <w:numPr>
                <w:ilvl w:val="0"/>
                <w:numId w:val="0"/>
              </w:numPr>
              <w:jc w:val="center"/>
              <w:rPr>
                <w:sz w:val="18"/>
                <w:szCs w:val="18"/>
              </w:rPr>
            </w:pPr>
            <w:r>
              <w:rPr>
                <w:sz w:val="18"/>
                <w:szCs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9" w:type="pct"/>
            <w:vMerge w:val="restart"/>
            <w:vAlign w:val="center"/>
          </w:tcPr>
          <w:p>
            <w:pPr>
              <w:pStyle w:val="46"/>
              <w:numPr>
                <w:ilvl w:val="0"/>
                <w:numId w:val="0"/>
              </w:numPr>
              <w:jc w:val="center"/>
              <w:rPr>
                <w:sz w:val="18"/>
                <w:szCs w:val="18"/>
              </w:rPr>
            </w:pPr>
            <w:r>
              <w:rPr>
                <w:rFonts w:hint="eastAsia" w:ascii="宋体" w:hAnsi="宋体"/>
                <w:sz w:val="18"/>
                <w:szCs w:val="18"/>
              </w:rPr>
              <w:t>外形尺寸及其允许公差</w:t>
            </w:r>
          </w:p>
        </w:tc>
        <w:tc>
          <w:tcPr>
            <w:tcW w:w="763" w:type="pct"/>
            <w:vAlign w:val="center"/>
          </w:tcPr>
          <w:p>
            <w:pPr>
              <w:pStyle w:val="46"/>
              <w:numPr>
                <w:ilvl w:val="0"/>
                <w:numId w:val="0"/>
              </w:numPr>
              <w:jc w:val="center"/>
              <w:rPr>
                <w:sz w:val="18"/>
                <w:szCs w:val="18"/>
              </w:rPr>
            </w:pPr>
            <w:r>
              <w:rPr>
                <w:sz w:val="18"/>
                <w:szCs w:val="18"/>
              </w:rPr>
              <w:t>成品棒直径</w:t>
            </w:r>
          </w:p>
        </w:tc>
        <w:tc>
          <w:tcPr>
            <w:tcW w:w="1643" w:type="pct"/>
            <w:vAlign w:val="center"/>
          </w:tcPr>
          <w:p>
            <w:pPr>
              <w:pStyle w:val="46"/>
              <w:numPr>
                <w:ilvl w:val="0"/>
                <w:numId w:val="0"/>
              </w:numPr>
              <w:jc w:val="left"/>
              <w:rPr>
                <w:sz w:val="18"/>
                <w:szCs w:val="18"/>
              </w:rPr>
            </w:pPr>
            <w:r>
              <w:rPr>
                <w:sz w:val="18"/>
                <w:szCs w:val="18"/>
              </w:rPr>
              <w:t>每根成品棒上不少于6点进行测量（若为双直径棒，小规格端不少于2点，大规格端不少于4点）</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2</w:t>
            </w:r>
          </w:p>
        </w:tc>
        <w:tc>
          <w:tcPr>
            <w:tcW w:w="1048" w:type="pct"/>
            <w:vAlign w:val="center"/>
          </w:tcPr>
          <w:p>
            <w:pPr>
              <w:pStyle w:val="46"/>
              <w:numPr>
                <w:ilvl w:val="0"/>
                <w:numId w:val="0"/>
              </w:numPr>
              <w:jc w:val="center"/>
              <w:rPr>
                <w:sz w:val="18"/>
                <w:szCs w:val="18"/>
              </w:rPr>
            </w:pPr>
            <w:r>
              <w:rPr>
                <w:sz w:val="18"/>
                <w:szCs w:val="18"/>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9" w:type="pct"/>
            <w:vMerge w:val="continue"/>
            <w:vAlign w:val="center"/>
          </w:tcPr>
          <w:p>
            <w:pPr>
              <w:pStyle w:val="46"/>
              <w:numPr>
                <w:ilvl w:val="0"/>
                <w:numId w:val="0"/>
              </w:numPr>
              <w:jc w:val="center"/>
              <w:rPr>
                <w:sz w:val="18"/>
                <w:szCs w:val="18"/>
              </w:rPr>
            </w:pPr>
          </w:p>
        </w:tc>
        <w:tc>
          <w:tcPr>
            <w:tcW w:w="763" w:type="pct"/>
            <w:vAlign w:val="center"/>
          </w:tcPr>
          <w:p>
            <w:pPr>
              <w:pStyle w:val="46"/>
              <w:numPr>
                <w:ilvl w:val="0"/>
                <w:numId w:val="0"/>
              </w:numPr>
              <w:jc w:val="center"/>
              <w:rPr>
                <w:sz w:val="18"/>
                <w:szCs w:val="18"/>
              </w:rPr>
            </w:pPr>
            <w:r>
              <w:rPr>
                <w:sz w:val="18"/>
                <w:szCs w:val="18"/>
              </w:rPr>
              <w:t>成品棒长度</w:t>
            </w:r>
          </w:p>
        </w:tc>
        <w:tc>
          <w:tcPr>
            <w:tcW w:w="1643" w:type="pct"/>
            <w:vAlign w:val="center"/>
          </w:tcPr>
          <w:p>
            <w:pPr>
              <w:pStyle w:val="46"/>
              <w:numPr>
                <w:ilvl w:val="0"/>
                <w:numId w:val="0"/>
              </w:numPr>
              <w:jc w:val="left"/>
              <w:rPr>
                <w:sz w:val="18"/>
                <w:szCs w:val="18"/>
              </w:rPr>
            </w:pPr>
            <w:r>
              <w:rPr>
                <w:sz w:val="18"/>
                <w:szCs w:val="18"/>
              </w:rPr>
              <w:t>逐根测量</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2</w:t>
            </w:r>
          </w:p>
        </w:tc>
        <w:tc>
          <w:tcPr>
            <w:tcW w:w="1048" w:type="pct"/>
            <w:vAlign w:val="center"/>
          </w:tcPr>
          <w:p>
            <w:pPr>
              <w:pStyle w:val="46"/>
              <w:numPr>
                <w:ilvl w:val="0"/>
                <w:numId w:val="0"/>
              </w:numPr>
              <w:jc w:val="center"/>
              <w:rPr>
                <w:sz w:val="18"/>
                <w:szCs w:val="18"/>
              </w:rPr>
            </w:pPr>
            <w:r>
              <w:rPr>
                <w:sz w:val="18"/>
                <w:szCs w:val="18"/>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9" w:type="pct"/>
            <w:vMerge w:val="continue"/>
            <w:vAlign w:val="center"/>
          </w:tcPr>
          <w:p>
            <w:pPr>
              <w:pStyle w:val="46"/>
              <w:numPr>
                <w:ilvl w:val="0"/>
                <w:numId w:val="0"/>
              </w:numPr>
              <w:jc w:val="center"/>
              <w:rPr>
                <w:sz w:val="18"/>
                <w:szCs w:val="18"/>
              </w:rPr>
            </w:pPr>
          </w:p>
        </w:tc>
        <w:tc>
          <w:tcPr>
            <w:tcW w:w="763" w:type="pct"/>
            <w:vAlign w:val="center"/>
          </w:tcPr>
          <w:p>
            <w:pPr>
              <w:pStyle w:val="46"/>
              <w:numPr>
                <w:ilvl w:val="0"/>
                <w:numId w:val="0"/>
              </w:numPr>
              <w:jc w:val="center"/>
              <w:rPr>
                <w:sz w:val="18"/>
                <w:szCs w:val="18"/>
              </w:rPr>
            </w:pPr>
            <w:r>
              <w:rPr>
                <w:sz w:val="18"/>
                <w:szCs w:val="18"/>
              </w:rPr>
              <w:t>其他几何尺寸</w:t>
            </w:r>
          </w:p>
        </w:tc>
        <w:tc>
          <w:tcPr>
            <w:tcW w:w="1643" w:type="pct"/>
            <w:vAlign w:val="center"/>
          </w:tcPr>
          <w:p>
            <w:pPr>
              <w:pStyle w:val="46"/>
              <w:numPr>
                <w:ilvl w:val="0"/>
                <w:numId w:val="0"/>
              </w:numPr>
              <w:jc w:val="left"/>
              <w:rPr>
                <w:sz w:val="18"/>
                <w:szCs w:val="18"/>
              </w:rPr>
            </w:pPr>
            <w:r>
              <w:rPr>
                <w:sz w:val="18"/>
                <w:szCs w:val="18"/>
              </w:rPr>
              <w:t>按照图纸要求逐根检测</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2</w:t>
            </w:r>
          </w:p>
        </w:tc>
        <w:tc>
          <w:tcPr>
            <w:tcW w:w="1048" w:type="pct"/>
            <w:vAlign w:val="center"/>
          </w:tcPr>
          <w:p>
            <w:pPr>
              <w:pStyle w:val="46"/>
              <w:numPr>
                <w:ilvl w:val="0"/>
                <w:numId w:val="0"/>
              </w:numPr>
              <w:jc w:val="center"/>
              <w:rPr>
                <w:sz w:val="18"/>
                <w:szCs w:val="18"/>
              </w:rPr>
            </w:pPr>
            <w:r>
              <w:rPr>
                <w:sz w:val="18"/>
                <w:szCs w:val="18"/>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外观质量</w:t>
            </w:r>
          </w:p>
        </w:tc>
        <w:tc>
          <w:tcPr>
            <w:tcW w:w="1643" w:type="pct"/>
            <w:vAlign w:val="center"/>
          </w:tcPr>
          <w:p>
            <w:pPr>
              <w:pStyle w:val="46"/>
              <w:numPr>
                <w:ilvl w:val="0"/>
                <w:numId w:val="0"/>
              </w:numPr>
              <w:jc w:val="left"/>
              <w:rPr>
                <w:sz w:val="18"/>
                <w:szCs w:val="18"/>
              </w:rPr>
            </w:pPr>
            <w:r>
              <w:rPr>
                <w:sz w:val="18"/>
                <w:szCs w:val="18"/>
              </w:rPr>
              <w:t>成品逐根目视检查</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3</w:t>
            </w:r>
          </w:p>
        </w:tc>
        <w:tc>
          <w:tcPr>
            <w:tcW w:w="1048" w:type="pct"/>
            <w:vAlign w:val="center"/>
          </w:tcPr>
          <w:p>
            <w:pPr>
              <w:pStyle w:val="46"/>
              <w:numPr>
                <w:ilvl w:val="0"/>
                <w:numId w:val="0"/>
              </w:numPr>
              <w:jc w:val="center"/>
              <w:rPr>
                <w:sz w:val="18"/>
                <w:szCs w:val="18"/>
              </w:rPr>
            </w:pPr>
            <w:r>
              <w:rPr>
                <w:sz w:val="18"/>
                <w:szCs w:val="18"/>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表面粗糙度</w:t>
            </w:r>
          </w:p>
        </w:tc>
        <w:tc>
          <w:tcPr>
            <w:tcW w:w="1643" w:type="pct"/>
            <w:vAlign w:val="center"/>
          </w:tcPr>
          <w:p>
            <w:pPr>
              <w:jc w:val="left"/>
              <w:rPr>
                <w:sz w:val="18"/>
                <w:szCs w:val="18"/>
              </w:rPr>
            </w:pPr>
            <w:r>
              <w:rPr>
                <w:sz w:val="18"/>
                <w:szCs w:val="18"/>
              </w:rPr>
              <w:t>每批成品任取1根棒材用粗糙度仪测量，其余用粗糙度对比试样进行逐根对比</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4</w:t>
            </w:r>
          </w:p>
        </w:tc>
        <w:tc>
          <w:tcPr>
            <w:tcW w:w="1048" w:type="pct"/>
            <w:vAlign w:val="center"/>
          </w:tcPr>
          <w:p>
            <w:pPr>
              <w:pStyle w:val="46"/>
              <w:numPr>
                <w:ilvl w:val="0"/>
                <w:numId w:val="0"/>
              </w:numPr>
              <w:jc w:val="center"/>
              <w:rPr>
                <w:sz w:val="18"/>
                <w:szCs w:val="18"/>
              </w:rPr>
            </w:pPr>
            <w:r>
              <w:rPr>
                <w:sz w:val="18"/>
                <w:szCs w:val="18"/>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直线度</w:t>
            </w:r>
          </w:p>
        </w:tc>
        <w:tc>
          <w:tcPr>
            <w:tcW w:w="1643" w:type="pct"/>
            <w:vAlign w:val="center"/>
          </w:tcPr>
          <w:p>
            <w:pPr>
              <w:pStyle w:val="46"/>
              <w:numPr>
                <w:ilvl w:val="0"/>
                <w:numId w:val="0"/>
              </w:numPr>
              <w:jc w:val="left"/>
              <w:rPr>
                <w:sz w:val="18"/>
                <w:szCs w:val="18"/>
              </w:rPr>
            </w:pPr>
            <w:r>
              <w:rPr>
                <w:sz w:val="18"/>
                <w:szCs w:val="18"/>
              </w:rPr>
              <w:t>逐根测量，测量间隔不大于300mm</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5</w:t>
            </w:r>
          </w:p>
        </w:tc>
        <w:tc>
          <w:tcPr>
            <w:tcW w:w="1048" w:type="pct"/>
            <w:vAlign w:val="center"/>
          </w:tcPr>
          <w:p>
            <w:pPr>
              <w:pStyle w:val="46"/>
              <w:numPr>
                <w:ilvl w:val="0"/>
                <w:numId w:val="0"/>
              </w:numPr>
              <w:jc w:val="center"/>
              <w:rPr>
                <w:sz w:val="18"/>
                <w:szCs w:val="18"/>
              </w:rPr>
            </w:pPr>
            <w:r>
              <w:rPr>
                <w:sz w:val="18"/>
                <w:szCs w:val="18"/>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密度</w:t>
            </w:r>
          </w:p>
        </w:tc>
        <w:tc>
          <w:tcPr>
            <w:tcW w:w="1643" w:type="pct"/>
            <w:vAlign w:val="center"/>
          </w:tcPr>
          <w:p>
            <w:pPr>
              <w:pStyle w:val="46"/>
              <w:numPr>
                <w:ilvl w:val="0"/>
                <w:numId w:val="0"/>
              </w:numPr>
              <w:jc w:val="left"/>
              <w:rPr>
                <w:sz w:val="18"/>
                <w:szCs w:val="18"/>
              </w:rPr>
            </w:pPr>
            <w:r>
              <w:rPr>
                <w:sz w:val="18"/>
                <w:szCs w:val="18"/>
              </w:rPr>
              <w:t>每批取1个试样</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6</w:t>
            </w:r>
          </w:p>
        </w:tc>
        <w:tc>
          <w:tcPr>
            <w:tcW w:w="1048" w:type="pct"/>
            <w:vAlign w:val="center"/>
          </w:tcPr>
          <w:p>
            <w:pPr>
              <w:pStyle w:val="46"/>
              <w:numPr>
                <w:ilvl w:val="0"/>
                <w:numId w:val="0"/>
              </w:numPr>
              <w:jc w:val="center"/>
              <w:rPr>
                <w:sz w:val="18"/>
                <w:szCs w:val="18"/>
              </w:rPr>
            </w:pPr>
            <w:r>
              <w:rPr>
                <w:sz w:val="18"/>
                <w:szCs w:val="18"/>
              </w:rPr>
              <w:t>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缺陷</w:t>
            </w:r>
          </w:p>
        </w:tc>
        <w:tc>
          <w:tcPr>
            <w:tcW w:w="1643" w:type="pct"/>
            <w:vAlign w:val="center"/>
          </w:tcPr>
          <w:p>
            <w:pPr>
              <w:jc w:val="left"/>
              <w:rPr>
                <w:sz w:val="18"/>
                <w:szCs w:val="18"/>
              </w:rPr>
            </w:pPr>
            <w:r>
              <w:rPr>
                <w:sz w:val="18"/>
                <w:szCs w:val="18"/>
              </w:rPr>
              <w:t>逐根检测</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7</w:t>
            </w:r>
          </w:p>
        </w:tc>
        <w:tc>
          <w:tcPr>
            <w:tcW w:w="1048" w:type="pct"/>
            <w:vAlign w:val="center"/>
          </w:tcPr>
          <w:p>
            <w:pPr>
              <w:pStyle w:val="46"/>
              <w:numPr>
                <w:ilvl w:val="0"/>
                <w:numId w:val="0"/>
              </w:numPr>
              <w:jc w:val="center"/>
              <w:rPr>
                <w:sz w:val="18"/>
                <w:szCs w:val="18"/>
              </w:rPr>
            </w:pPr>
            <w:r>
              <w:rPr>
                <w:sz w:val="18"/>
                <w:szCs w:val="18"/>
              </w:rPr>
              <w:t>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32" w:type="pct"/>
            <w:gridSpan w:val="2"/>
            <w:vAlign w:val="center"/>
          </w:tcPr>
          <w:p>
            <w:pPr>
              <w:pStyle w:val="46"/>
              <w:numPr>
                <w:ilvl w:val="0"/>
                <w:numId w:val="0"/>
              </w:numPr>
              <w:jc w:val="center"/>
              <w:rPr>
                <w:sz w:val="18"/>
                <w:szCs w:val="18"/>
              </w:rPr>
            </w:pPr>
            <w:r>
              <w:rPr>
                <w:sz w:val="18"/>
                <w:szCs w:val="18"/>
              </w:rPr>
              <w:t>晶粒度</w:t>
            </w:r>
          </w:p>
        </w:tc>
        <w:tc>
          <w:tcPr>
            <w:tcW w:w="1643" w:type="pct"/>
            <w:vAlign w:val="center"/>
          </w:tcPr>
          <w:p>
            <w:pPr>
              <w:jc w:val="left"/>
              <w:rPr>
                <w:sz w:val="18"/>
                <w:szCs w:val="18"/>
              </w:rPr>
            </w:pPr>
            <w:r>
              <w:rPr>
                <w:sz w:val="18"/>
                <w:szCs w:val="18"/>
              </w:rPr>
              <w:t>成品热处理后每批任取1个试样</w:t>
            </w:r>
          </w:p>
        </w:tc>
        <w:tc>
          <w:tcPr>
            <w:tcW w:w="877" w:type="pct"/>
            <w:vAlign w:val="center"/>
          </w:tcPr>
          <w:p>
            <w:pPr>
              <w:pStyle w:val="46"/>
              <w:numPr>
                <w:ilvl w:val="0"/>
                <w:numId w:val="0"/>
              </w:numPr>
              <w:jc w:val="center"/>
              <w:rPr>
                <w:sz w:val="18"/>
                <w:szCs w:val="18"/>
              </w:rPr>
            </w:pPr>
            <w:r>
              <w:rPr>
                <w:sz w:val="18"/>
                <w:szCs w:val="18"/>
              </w:rPr>
              <w:t>5.</w:t>
            </w:r>
            <w:r>
              <w:rPr>
                <w:rFonts w:hint="eastAsia"/>
                <w:sz w:val="18"/>
                <w:szCs w:val="18"/>
              </w:rPr>
              <w:t>8</w:t>
            </w:r>
          </w:p>
        </w:tc>
        <w:tc>
          <w:tcPr>
            <w:tcW w:w="1048" w:type="pct"/>
            <w:vAlign w:val="center"/>
          </w:tcPr>
          <w:p>
            <w:pPr>
              <w:pStyle w:val="46"/>
              <w:numPr>
                <w:ilvl w:val="0"/>
                <w:numId w:val="0"/>
              </w:numPr>
              <w:jc w:val="center"/>
              <w:rPr>
                <w:sz w:val="18"/>
                <w:szCs w:val="18"/>
              </w:rPr>
            </w:pPr>
            <w:r>
              <w:rPr>
                <w:sz w:val="18"/>
                <w:szCs w:val="18"/>
              </w:rPr>
              <w:t>6.8</w:t>
            </w:r>
          </w:p>
        </w:tc>
      </w:tr>
    </w:tbl>
    <w:p>
      <w:pPr>
        <w:pStyle w:val="3"/>
        <w:spacing w:before="240" w:after="240"/>
        <w:rPr>
          <w:rFonts w:ascii="Times New Roman" w:hAnsi="Times New Roman"/>
        </w:rPr>
      </w:pPr>
      <w:r>
        <w:rPr>
          <w:rFonts w:ascii="Times New Roman" w:hAnsi="Times New Roman"/>
        </w:rPr>
        <w:t>7.5检验结果的判定</w:t>
      </w:r>
    </w:p>
    <w:p>
      <w:pPr>
        <w:spacing w:line="360" w:lineRule="auto"/>
        <w:jc w:val="left"/>
      </w:pPr>
      <w:r>
        <w:t>7.5.1铸锭化学成分不合格，判该铸锭不合格。</w:t>
      </w:r>
    </w:p>
    <w:p>
      <w:pPr>
        <w:spacing w:line="360" w:lineRule="auto"/>
        <w:jc w:val="left"/>
      </w:pPr>
      <w:r>
        <w:t>7.5.2成品化学成</w:t>
      </w:r>
      <w:r>
        <w:rPr>
          <w:rFonts w:hint="eastAsia"/>
        </w:rPr>
        <w:t>分</w:t>
      </w:r>
      <w:r>
        <w:t>、晶粒度、密度有一项不合格时，先判该件产品不合格，再对该批的其余产品另取双倍数量的试样对不合格项进行重复试验，若重复试验结果仍有一个试样不合格，则判该批产品不合格。</w:t>
      </w:r>
    </w:p>
    <w:p>
      <w:pPr>
        <w:spacing w:line="360" w:lineRule="auto"/>
        <w:jc w:val="left"/>
      </w:pPr>
      <w:r>
        <w:t>7.5.3尺寸、直线度、缺陷、表面粗糙度、外观质量有一项检验不合格，判该件产品不合格。</w:t>
      </w:r>
    </w:p>
    <w:p>
      <w:pPr>
        <w:pStyle w:val="2"/>
        <w:spacing w:before="240" w:after="240"/>
      </w:pPr>
      <w:r>
        <w:t>8标志、包装、运输、贮存及随行文件</w:t>
      </w:r>
    </w:p>
    <w:p>
      <w:pPr>
        <w:pStyle w:val="2"/>
        <w:spacing w:before="240" w:after="240"/>
      </w:pPr>
      <w:r>
        <w:t>8.1 标志</w:t>
      </w:r>
    </w:p>
    <w:p>
      <w:pPr>
        <w:spacing w:line="360" w:lineRule="auto"/>
        <w:rPr>
          <w:rFonts w:eastAsia="黑体"/>
        </w:rPr>
      </w:pPr>
      <w:r>
        <w:rPr>
          <w:rFonts w:eastAsia="黑体"/>
        </w:rPr>
        <w:t>8.1.1产品标志</w:t>
      </w:r>
    </w:p>
    <w:p>
      <w:pPr>
        <w:spacing w:line="360" w:lineRule="auto"/>
        <w:ind w:firstLine="420" w:firstLineChars="200"/>
        <w:rPr>
          <w:szCs w:val="21"/>
        </w:rPr>
      </w:pPr>
      <w:r>
        <w:rPr>
          <w:szCs w:val="21"/>
        </w:rPr>
        <w:t>应在检验合格的产品上打印如下标记（或挂标签）：</w:t>
      </w:r>
    </w:p>
    <w:p>
      <w:pPr>
        <w:spacing w:line="360" w:lineRule="auto"/>
        <w:ind w:firstLine="420" w:firstLineChars="200"/>
        <w:rPr>
          <w:szCs w:val="21"/>
        </w:rPr>
      </w:pPr>
      <w:r>
        <w:rPr>
          <w:kern w:val="0"/>
          <w:szCs w:val="21"/>
        </w:rPr>
        <w:t>a）</w:t>
      </w:r>
      <w:r>
        <w:rPr>
          <w:szCs w:val="21"/>
        </w:rPr>
        <w:t>牌号；</w:t>
      </w:r>
    </w:p>
    <w:p>
      <w:pPr>
        <w:spacing w:line="360" w:lineRule="auto"/>
        <w:ind w:left="420"/>
        <w:rPr>
          <w:szCs w:val="21"/>
        </w:rPr>
      </w:pPr>
      <w:r>
        <w:rPr>
          <w:kern w:val="0"/>
          <w:szCs w:val="21"/>
        </w:rPr>
        <w:t>b）</w:t>
      </w:r>
      <w:r>
        <w:rPr>
          <w:szCs w:val="21"/>
        </w:rPr>
        <w:t>状态；</w:t>
      </w:r>
    </w:p>
    <w:p>
      <w:pPr>
        <w:autoSpaceDE w:val="0"/>
        <w:autoSpaceDN w:val="0"/>
        <w:adjustRightInd w:val="0"/>
        <w:spacing w:line="360" w:lineRule="auto"/>
        <w:ind w:firstLine="420" w:firstLineChars="200"/>
        <w:jc w:val="left"/>
        <w:rPr>
          <w:szCs w:val="21"/>
        </w:rPr>
      </w:pPr>
      <w:r>
        <w:rPr>
          <w:kern w:val="0"/>
          <w:szCs w:val="21"/>
        </w:rPr>
        <w:t>c）</w:t>
      </w:r>
      <w:r>
        <w:rPr>
          <w:szCs w:val="21"/>
        </w:rPr>
        <w:t>规格；</w:t>
      </w:r>
    </w:p>
    <w:p>
      <w:pPr>
        <w:autoSpaceDE w:val="0"/>
        <w:autoSpaceDN w:val="0"/>
        <w:adjustRightInd w:val="0"/>
        <w:spacing w:line="360" w:lineRule="auto"/>
        <w:ind w:firstLine="420" w:firstLineChars="200"/>
        <w:jc w:val="left"/>
        <w:rPr>
          <w:szCs w:val="21"/>
        </w:rPr>
      </w:pPr>
      <w:r>
        <w:rPr>
          <w:szCs w:val="21"/>
        </w:rPr>
        <w:t>d）产品批号。</w:t>
      </w:r>
    </w:p>
    <w:p>
      <w:pPr>
        <w:spacing w:line="360" w:lineRule="auto"/>
        <w:rPr>
          <w:rFonts w:eastAsia="黑体"/>
        </w:rPr>
      </w:pPr>
      <w:r>
        <w:rPr>
          <w:rFonts w:eastAsia="黑体"/>
        </w:rPr>
        <w:t>8.1.2包装标志</w:t>
      </w:r>
    </w:p>
    <w:p>
      <w:pPr>
        <w:autoSpaceDE w:val="0"/>
        <w:autoSpaceDN w:val="0"/>
        <w:adjustRightInd w:val="0"/>
        <w:spacing w:line="360" w:lineRule="auto"/>
        <w:ind w:firstLine="424" w:firstLineChars="202"/>
        <w:jc w:val="left"/>
        <w:rPr>
          <w:szCs w:val="21"/>
        </w:rPr>
      </w:pPr>
      <w:r>
        <w:rPr>
          <w:szCs w:val="21"/>
        </w:rPr>
        <w:t>产品的包装箱上应系有标签（或标牌）：</w:t>
      </w:r>
    </w:p>
    <w:p>
      <w:pPr>
        <w:spacing w:line="360" w:lineRule="auto"/>
        <w:ind w:firstLine="420" w:firstLineChars="200"/>
        <w:rPr>
          <w:szCs w:val="21"/>
        </w:rPr>
      </w:pPr>
      <w:r>
        <w:rPr>
          <w:kern w:val="0"/>
          <w:szCs w:val="21"/>
        </w:rPr>
        <w:t>a）</w:t>
      </w:r>
      <w:r>
        <w:rPr>
          <w:szCs w:val="21"/>
        </w:rPr>
        <w:t>供方名称；</w:t>
      </w:r>
    </w:p>
    <w:p>
      <w:pPr>
        <w:spacing w:line="360" w:lineRule="auto"/>
        <w:ind w:left="420"/>
        <w:rPr>
          <w:szCs w:val="21"/>
        </w:rPr>
      </w:pPr>
      <w:r>
        <w:rPr>
          <w:kern w:val="0"/>
          <w:szCs w:val="21"/>
        </w:rPr>
        <w:t>b）产品牌号、</w:t>
      </w:r>
      <w:r>
        <w:rPr>
          <w:szCs w:val="21"/>
        </w:rPr>
        <w:t>状态及规格；</w:t>
      </w:r>
    </w:p>
    <w:p>
      <w:pPr>
        <w:autoSpaceDE w:val="0"/>
        <w:autoSpaceDN w:val="0"/>
        <w:adjustRightInd w:val="0"/>
        <w:spacing w:line="360" w:lineRule="auto"/>
        <w:ind w:firstLine="420" w:firstLineChars="200"/>
        <w:jc w:val="left"/>
        <w:rPr>
          <w:szCs w:val="21"/>
        </w:rPr>
      </w:pPr>
      <w:r>
        <w:rPr>
          <w:szCs w:val="21"/>
        </w:rPr>
        <w:t>c）产品批号；</w:t>
      </w:r>
    </w:p>
    <w:p>
      <w:pPr>
        <w:autoSpaceDE w:val="0"/>
        <w:autoSpaceDN w:val="0"/>
        <w:adjustRightInd w:val="0"/>
        <w:spacing w:line="360" w:lineRule="auto"/>
        <w:ind w:firstLine="420" w:firstLineChars="200"/>
        <w:jc w:val="left"/>
        <w:rPr>
          <w:szCs w:val="21"/>
        </w:rPr>
      </w:pPr>
      <w:r>
        <w:rPr>
          <w:szCs w:val="21"/>
        </w:rPr>
        <w:t>d)  净重。</w:t>
      </w:r>
    </w:p>
    <w:p>
      <w:pPr>
        <w:pStyle w:val="3"/>
        <w:spacing w:before="240" w:after="240"/>
        <w:rPr>
          <w:rFonts w:ascii="Times New Roman" w:hAnsi="Times New Roman"/>
        </w:rPr>
      </w:pPr>
      <w:r>
        <w:rPr>
          <w:rFonts w:ascii="Times New Roman" w:hAnsi="Times New Roman"/>
        </w:rPr>
        <w:t>8.2包装、运输、存储</w:t>
      </w:r>
    </w:p>
    <w:p>
      <w:pPr>
        <w:spacing w:line="360" w:lineRule="auto"/>
        <w:ind w:firstLine="420" w:firstLineChars="200"/>
        <w:rPr>
          <w:kern w:val="0"/>
          <w:szCs w:val="21"/>
        </w:rPr>
      </w:pPr>
      <w:r>
        <w:rPr>
          <w:kern w:val="0"/>
          <w:szCs w:val="21"/>
        </w:rPr>
        <w:t>a）每根棒材需用聚乙烯（PE）塑料套包装，套中放入硅胶干燥剂，封入产品标签，标签上应有牌号、产品批号，必要时应有棒号，并抽气封装。</w:t>
      </w:r>
    </w:p>
    <w:p>
      <w:pPr>
        <w:spacing w:line="360" w:lineRule="auto"/>
        <w:ind w:left="420"/>
        <w:rPr>
          <w:kern w:val="0"/>
          <w:szCs w:val="21"/>
        </w:rPr>
      </w:pPr>
      <w:r>
        <w:rPr>
          <w:kern w:val="0"/>
          <w:szCs w:val="21"/>
        </w:rPr>
        <w:t>b）每根包装好的棒材，放在干燥的木箱内，每根棒材之间用珍珠棉或泡沫塑料支架分开，填充材料塞紧，防止窜动。</w:t>
      </w:r>
    </w:p>
    <w:p>
      <w:pPr>
        <w:spacing w:line="360" w:lineRule="auto"/>
        <w:ind w:left="420"/>
        <w:rPr>
          <w:kern w:val="0"/>
          <w:szCs w:val="21"/>
        </w:rPr>
      </w:pPr>
      <w:r>
        <w:rPr>
          <w:szCs w:val="21"/>
        </w:rPr>
        <w:t>c）</w:t>
      </w:r>
      <w:r>
        <w:rPr>
          <w:kern w:val="0"/>
          <w:szCs w:val="21"/>
        </w:rPr>
        <w:t>包装箱外应注明</w:t>
      </w:r>
      <w:r>
        <w:rPr>
          <w:rFonts w:asciiTheme="minorEastAsia" w:hAnsiTheme="minorEastAsia" w:eastAsiaTheme="minorEastAsia"/>
          <w:kern w:val="0"/>
          <w:szCs w:val="21"/>
        </w:rPr>
        <w:t>“防潮”、“轻放”、“向上”</w:t>
      </w:r>
      <w:r>
        <w:rPr>
          <w:kern w:val="0"/>
          <w:szCs w:val="21"/>
        </w:rPr>
        <w:t>等字样或标志。</w:t>
      </w:r>
    </w:p>
    <w:p>
      <w:pPr>
        <w:spacing w:line="360" w:lineRule="auto"/>
        <w:ind w:left="420"/>
        <w:rPr>
          <w:kern w:val="0"/>
          <w:szCs w:val="21"/>
        </w:rPr>
      </w:pPr>
      <w:r>
        <w:rPr>
          <w:szCs w:val="21"/>
        </w:rPr>
        <w:t xml:space="preserve">d)   </w:t>
      </w:r>
      <w:r>
        <w:rPr>
          <w:kern w:val="0"/>
          <w:szCs w:val="21"/>
        </w:rPr>
        <w:t>运输和贮存时，要防止碰伤、受潮和活性化学试剂的侵蚀。</w:t>
      </w:r>
    </w:p>
    <w:p>
      <w:pPr>
        <w:spacing w:line="360" w:lineRule="auto"/>
        <w:rPr>
          <w:rFonts w:eastAsia="黑体"/>
        </w:rPr>
      </w:pPr>
      <w:r>
        <w:rPr>
          <w:rFonts w:eastAsia="黑体"/>
        </w:rPr>
        <w:t>8.3随行文件</w:t>
      </w:r>
    </w:p>
    <w:p>
      <w:pPr>
        <w:spacing w:line="360" w:lineRule="auto"/>
        <w:ind w:firstLine="420" w:firstLineChars="200"/>
        <w:rPr>
          <w:szCs w:val="21"/>
        </w:rPr>
      </w:pPr>
      <w:r>
        <w:rPr>
          <w:szCs w:val="21"/>
        </w:rPr>
        <w:t>每批产品应附有随行文件，其中除应包括供方信息、产品信息、本文件编号、出厂日期或包装日期外，还宜包括：</w:t>
      </w:r>
    </w:p>
    <w:p>
      <w:pPr>
        <w:spacing w:line="360" w:lineRule="auto"/>
        <w:ind w:left="420"/>
        <w:rPr>
          <w:szCs w:val="21"/>
        </w:rPr>
      </w:pPr>
      <w:r>
        <w:rPr>
          <w:szCs w:val="21"/>
        </w:rPr>
        <w:t>a)   产品质量保证书，内容如下：</w:t>
      </w:r>
    </w:p>
    <w:p>
      <w:pPr>
        <w:pStyle w:val="39"/>
        <w:numPr>
          <w:ilvl w:val="0"/>
          <w:numId w:val="2"/>
        </w:numPr>
        <w:spacing w:line="360" w:lineRule="auto"/>
        <w:ind w:firstLineChars="0"/>
        <w:rPr>
          <w:szCs w:val="21"/>
        </w:rPr>
      </w:pPr>
      <w:r>
        <w:rPr>
          <w:szCs w:val="21"/>
        </w:rPr>
        <w:t>产品的主要性能及技术参数；</w:t>
      </w:r>
    </w:p>
    <w:p>
      <w:pPr>
        <w:pStyle w:val="39"/>
        <w:numPr>
          <w:ilvl w:val="0"/>
          <w:numId w:val="2"/>
        </w:numPr>
        <w:spacing w:line="360" w:lineRule="auto"/>
        <w:ind w:firstLineChars="0"/>
        <w:rPr>
          <w:szCs w:val="21"/>
        </w:rPr>
      </w:pPr>
      <w:r>
        <w:rPr>
          <w:szCs w:val="21"/>
        </w:rPr>
        <w:t>产品获得的质量认证及带供方技术监督部门检印的各项分析检验结果。</w:t>
      </w:r>
    </w:p>
    <w:p>
      <w:pPr>
        <w:spacing w:line="360" w:lineRule="auto"/>
        <w:ind w:left="426"/>
        <w:rPr>
          <w:szCs w:val="21"/>
        </w:rPr>
      </w:pPr>
      <w:r>
        <w:rPr>
          <w:szCs w:val="21"/>
        </w:rPr>
        <w:t>b)   产品合格证，内容如下：</w:t>
      </w:r>
    </w:p>
    <w:p>
      <w:pPr>
        <w:pStyle w:val="39"/>
        <w:numPr>
          <w:ilvl w:val="0"/>
          <w:numId w:val="3"/>
        </w:numPr>
        <w:spacing w:line="360" w:lineRule="auto"/>
        <w:ind w:firstLineChars="0"/>
        <w:rPr>
          <w:szCs w:val="21"/>
        </w:rPr>
      </w:pPr>
      <w:r>
        <w:rPr>
          <w:szCs w:val="21"/>
        </w:rPr>
        <w:t>检验项目及其结果或检验结论；</w:t>
      </w:r>
    </w:p>
    <w:p>
      <w:pPr>
        <w:pStyle w:val="39"/>
        <w:numPr>
          <w:ilvl w:val="0"/>
          <w:numId w:val="3"/>
        </w:numPr>
        <w:spacing w:line="360" w:lineRule="auto"/>
        <w:ind w:firstLineChars="0"/>
        <w:rPr>
          <w:szCs w:val="21"/>
        </w:rPr>
      </w:pPr>
      <w:r>
        <w:rPr>
          <w:szCs w:val="21"/>
        </w:rPr>
        <w:t>批号；</w:t>
      </w:r>
    </w:p>
    <w:p>
      <w:pPr>
        <w:pStyle w:val="39"/>
        <w:numPr>
          <w:ilvl w:val="0"/>
          <w:numId w:val="3"/>
        </w:numPr>
        <w:spacing w:line="360" w:lineRule="auto"/>
        <w:ind w:firstLineChars="0"/>
        <w:rPr>
          <w:szCs w:val="21"/>
        </w:rPr>
      </w:pPr>
      <w:r>
        <w:rPr>
          <w:szCs w:val="21"/>
        </w:rPr>
        <w:t>检验日期；</w:t>
      </w:r>
    </w:p>
    <w:p>
      <w:pPr>
        <w:pStyle w:val="39"/>
        <w:numPr>
          <w:ilvl w:val="0"/>
          <w:numId w:val="3"/>
        </w:numPr>
        <w:spacing w:line="360" w:lineRule="auto"/>
        <w:ind w:firstLineChars="0"/>
        <w:rPr>
          <w:szCs w:val="21"/>
        </w:rPr>
      </w:pPr>
      <w:r>
        <w:rPr>
          <w:szCs w:val="21"/>
        </w:rPr>
        <w:t>检验员签名或盖章。</w:t>
      </w:r>
    </w:p>
    <w:p>
      <w:pPr>
        <w:spacing w:line="360" w:lineRule="auto"/>
        <w:ind w:left="426"/>
        <w:rPr>
          <w:szCs w:val="21"/>
        </w:rPr>
      </w:pPr>
      <w:r>
        <w:rPr>
          <w:szCs w:val="21"/>
        </w:rPr>
        <w:t>c)    产品质量控制过程中的检验报告及成品检验报告；</w:t>
      </w:r>
    </w:p>
    <w:p>
      <w:pPr>
        <w:spacing w:line="360" w:lineRule="auto"/>
        <w:ind w:firstLine="420" w:firstLineChars="200"/>
        <w:rPr>
          <w:szCs w:val="21"/>
        </w:rPr>
      </w:pPr>
      <w:r>
        <w:rPr>
          <w:szCs w:val="21"/>
        </w:rPr>
        <w:t>d)    产品使用说明：正确搬运、使用、贮存方法等；</w:t>
      </w:r>
    </w:p>
    <w:p>
      <w:pPr>
        <w:spacing w:line="360" w:lineRule="auto"/>
        <w:ind w:left="426"/>
        <w:rPr>
          <w:szCs w:val="21"/>
        </w:rPr>
      </w:pPr>
      <w:r>
        <w:rPr>
          <w:szCs w:val="21"/>
        </w:rPr>
        <w:t>e)    其他。</w:t>
      </w:r>
    </w:p>
    <w:p>
      <w:pPr>
        <w:pStyle w:val="2"/>
        <w:spacing w:before="240" w:after="240"/>
      </w:pPr>
      <w:r>
        <w:t>9订货单内容</w:t>
      </w:r>
    </w:p>
    <w:p>
      <w:pPr>
        <w:pStyle w:val="19"/>
        <w:spacing w:line="400" w:lineRule="exact"/>
        <w:ind w:firstLine="420"/>
        <w:rPr>
          <w:rFonts w:ascii="Times New Roman"/>
        </w:rPr>
      </w:pPr>
      <w:r>
        <w:rPr>
          <w:rFonts w:ascii="Times New Roman"/>
        </w:rPr>
        <w:t>本标准所列材料的订货单（或合同）应包括下列内容：</w:t>
      </w:r>
    </w:p>
    <w:p>
      <w:pPr>
        <w:pStyle w:val="51"/>
        <w:spacing w:line="400" w:lineRule="exact"/>
        <w:rPr>
          <w:rFonts w:ascii="Times New Roman"/>
        </w:rPr>
      </w:pPr>
      <w:r>
        <w:rPr>
          <w:rFonts w:ascii="Times New Roman"/>
        </w:rPr>
        <w:t>a) 产品名称；</w:t>
      </w:r>
    </w:p>
    <w:p>
      <w:pPr>
        <w:pStyle w:val="51"/>
        <w:spacing w:line="400" w:lineRule="exact"/>
        <w:rPr>
          <w:rFonts w:ascii="Times New Roman"/>
        </w:rPr>
      </w:pPr>
      <w:r>
        <w:rPr>
          <w:rFonts w:ascii="Times New Roman"/>
        </w:rPr>
        <w:t>b) 牌号、规格和状态；</w:t>
      </w:r>
    </w:p>
    <w:p>
      <w:pPr>
        <w:pStyle w:val="51"/>
        <w:spacing w:line="400" w:lineRule="exact"/>
        <w:rPr>
          <w:rFonts w:ascii="Times New Roman"/>
        </w:rPr>
      </w:pPr>
      <w:r>
        <w:rPr>
          <w:rFonts w:ascii="Times New Roman"/>
        </w:rPr>
        <w:t>c) 表面状态；</w:t>
      </w:r>
    </w:p>
    <w:p>
      <w:pPr>
        <w:pStyle w:val="51"/>
        <w:spacing w:line="400" w:lineRule="exact"/>
        <w:rPr>
          <w:rFonts w:ascii="Times New Roman"/>
        </w:rPr>
      </w:pPr>
      <w:r>
        <w:rPr>
          <w:rFonts w:ascii="Times New Roman"/>
        </w:rPr>
        <w:t>d) 尺寸允许偏差的精度等级；</w:t>
      </w:r>
    </w:p>
    <w:p>
      <w:pPr>
        <w:pStyle w:val="51"/>
        <w:spacing w:line="400" w:lineRule="exact"/>
        <w:rPr>
          <w:rFonts w:ascii="Times New Roman"/>
        </w:rPr>
      </w:pPr>
      <w:r>
        <w:rPr>
          <w:rFonts w:ascii="Times New Roman"/>
        </w:rPr>
        <w:t>e) 产品净重或数量；</w:t>
      </w:r>
    </w:p>
    <w:p>
      <w:pPr>
        <w:pStyle w:val="51"/>
        <w:spacing w:line="400" w:lineRule="exact"/>
        <w:rPr>
          <w:rFonts w:ascii="Times New Roman"/>
        </w:rPr>
      </w:pPr>
      <w:r>
        <w:rPr>
          <w:rFonts w:ascii="Times New Roman"/>
        </w:rPr>
        <w:t>f) 包装要求；</w:t>
      </w:r>
    </w:p>
    <w:p>
      <w:pPr>
        <w:pStyle w:val="51"/>
        <w:spacing w:line="400" w:lineRule="exact"/>
        <w:rPr>
          <w:rFonts w:ascii="Times New Roman"/>
        </w:rPr>
      </w:pPr>
      <w:r>
        <w:rPr>
          <w:rFonts w:ascii="Times New Roman"/>
        </w:rPr>
        <w:t>g) 执行标准；</w:t>
      </w:r>
    </w:p>
    <w:p>
      <w:pPr>
        <w:pStyle w:val="51"/>
        <w:spacing w:line="400" w:lineRule="exact"/>
        <w:rPr>
          <w:rFonts w:ascii="Times New Roman"/>
        </w:rPr>
      </w:pPr>
      <w:r>
        <w:rPr>
          <w:rFonts w:ascii="Times New Roman"/>
        </w:rPr>
        <w:t>h) 其它。</w:t>
      </w:r>
    </w:p>
    <w:p>
      <w:pPr>
        <w:pStyle w:val="46"/>
        <w:numPr>
          <w:ilvl w:val="0"/>
          <w:numId w:val="0"/>
        </w:numPr>
        <w:spacing w:line="360" w:lineRule="auto"/>
        <w:ind w:firstLine="315" w:firstLineChars="150"/>
        <w:jc w:val="center"/>
        <w:rPr>
          <w:rFonts w:eastAsia="黑体"/>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1931035</wp:posOffset>
                </wp:positionH>
                <wp:positionV relativeFrom="paragraph">
                  <wp:posOffset>316230</wp:posOffset>
                </wp:positionV>
                <wp:extent cx="1867535" cy="1270"/>
                <wp:effectExtent l="0" t="0" r="0" b="0"/>
                <wp:wrapNone/>
                <wp:docPr id="5" name="直线 43"/>
                <wp:cNvGraphicFramePr/>
                <a:graphic xmlns:a="http://schemas.openxmlformats.org/drawingml/2006/main">
                  <a:graphicData uri="http://schemas.microsoft.com/office/word/2010/wordprocessingShape">
                    <wps:wsp>
                      <wps:cNvCnPr>
                        <a:cxnSpLocks noChangeShapeType="1"/>
                      </wps:cNvCnPr>
                      <wps:spPr bwMode="auto">
                        <a:xfrm>
                          <a:off x="0" y="0"/>
                          <a:ext cx="1867535" cy="1270"/>
                        </a:xfrm>
                        <a:prstGeom prst="line">
                          <a:avLst/>
                        </a:prstGeom>
                        <a:noFill/>
                        <a:ln w="12700">
                          <a:solidFill>
                            <a:srgbClr val="000000"/>
                          </a:solidFill>
                          <a:round/>
                        </a:ln>
                        <a:effectLst/>
                      </wps:spPr>
                      <wps:bodyPr/>
                    </wps:wsp>
                  </a:graphicData>
                </a:graphic>
              </wp:anchor>
            </w:drawing>
          </mc:Choice>
          <mc:Fallback>
            <w:pict>
              <v:line id="直线 43" o:spid="_x0000_s1026" o:spt="20" style="position:absolute;left:0pt;margin-left:152.05pt;margin-top:24.9pt;height:0.1pt;width:147.05pt;z-index:251658240;mso-width-relative:page;mso-height-relative:page;" filled="f" stroked="t" coordsize="21600,21600" o:gfxdata="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qErQdkAAAAJAQAA&#10;DwAAAAAAAAABACAAAAAiAAAAZHJzL2Rvd25yZXYueG1sUEsBAhQAFAAAAAgAh07iQLaJSZnfAQAA&#10;tAMAAA4AAAAAAAAAAQAgAAAAKAEAAGRycy9lMm9Eb2MueG1sUEsFBgAAAAAGAAYAWQEAAHkFAAAA&#10;AA==&#10;">
                <v:fill on="f" focussize="0,0"/>
                <v:stroke weight="1pt" color="#000000" joinstyle="round"/>
                <v:imagedata o:title=""/>
                <o:lock v:ext="edit" aspectratio="f"/>
              </v:line>
            </w:pict>
          </mc:Fallback>
        </mc:AlternateContent>
      </w:r>
      <w:r>
        <w:br w:type="page"/>
      </w:r>
      <w:r>
        <w:rPr>
          <w:rFonts w:eastAsia="黑体"/>
          <w:szCs w:val="21"/>
        </w:rPr>
        <w:t>附录A</w:t>
      </w:r>
    </w:p>
    <w:p>
      <w:pPr>
        <w:pStyle w:val="46"/>
        <w:numPr>
          <w:ilvl w:val="0"/>
          <w:numId w:val="0"/>
        </w:numPr>
        <w:spacing w:line="360" w:lineRule="auto"/>
        <w:jc w:val="center"/>
        <w:rPr>
          <w:rFonts w:eastAsia="黑体"/>
          <w:szCs w:val="21"/>
        </w:rPr>
      </w:pPr>
      <w:r>
        <w:rPr>
          <w:rFonts w:eastAsia="黑体"/>
          <w:szCs w:val="21"/>
        </w:rPr>
        <w:t>（</w:t>
      </w:r>
      <w:r>
        <w:rPr>
          <w:rFonts w:hint="eastAsia" w:eastAsia="黑体"/>
          <w:szCs w:val="21"/>
        </w:rPr>
        <w:t>规范性</w:t>
      </w:r>
      <w:r>
        <w:rPr>
          <w:rFonts w:eastAsia="黑体"/>
          <w:szCs w:val="21"/>
        </w:rPr>
        <w:t>附录）</w:t>
      </w:r>
    </w:p>
    <w:p>
      <w:pPr>
        <w:pStyle w:val="46"/>
        <w:numPr>
          <w:ilvl w:val="0"/>
          <w:numId w:val="0"/>
        </w:numPr>
        <w:spacing w:line="360" w:lineRule="auto"/>
        <w:jc w:val="center"/>
        <w:rPr>
          <w:rFonts w:eastAsia="黑体"/>
          <w:szCs w:val="21"/>
        </w:rPr>
      </w:pPr>
      <w:r>
        <w:rPr>
          <w:rFonts w:eastAsia="黑体"/>
          <w:szCs w:val="21"/>
        </w:rPr>
        <w:t>核级Ag-In-Cd合金杂质元素的载体蒸馏光谱分析方法</w:t>
      </w:r>
    </w:p>
    <w:p>
      <w:pPr>
        <w:pStyle w:val="2"/>
        <w:spacing w:before="240" w:after="240" w:line="360" w:lineRule="auto"/>
      </w:pPr>
      <w:r>
        <w:t>A.1 适用范围</w:t>
      </w:r>
    </w:p>
    <w:p>
      <w:pPr>
        <w:spacing w:line="360" w:lineRule="auto"/>
        <w:ind w:firstLine="420" w:firstLineChars="200"/>
        <w:rPr>
          <w:szCs w:val="21"/>
        </w:rPr>
      </w:pPr>
      <w:r>
        <w:rPr>
          <w:rFonts w:hAnsi="宋体"/>
          <w:szCs w:val="21"/>
        </w:rPr>
        <w:t>本方法适用于检验核级</w:t>
      </w:r>
      <w:r>
        <w:rPr>
          <w:szCs w:val="21"/>
        </w:rPr>
        <w:t>Ag-In-Cd</w:t>
      </w:r>
      <w:r>
        <w:rPr>
          <w:rFonts w:hAnsi="宋体"/>
          <w:szCs w:val="21"/>
        </w:rPr>
        <w:t>合金杂质元素。</w:t>
      </w:r>
    </w:p>
    <w:p>
      <w:pPr>
        <w:pStyle w:val="2"/>
        <w:spacing w:before="240" w:after="240" w:line="360" w:lineRule="auto"/>
      </w:pPr>
      <w:r>
        <w:t>A.</w:t>
      </w:r>
      <w:r>
        <w:rPr>
          <w:rFonts w:hint="eastAsia"/>
        </w:rPr>
        <w:t>2</w:t>
      </w:r>
      <w:r>
        <w:t>意义和使用</w:t>
      </w:r>
    </w:p>
    <w:p>
      <w:pPr>
        <w:spacing w:line="360" w:lineRule="auto"/>
        <w:ind w:firstLine="420" w:firstLineChars="200"/>
        <w:rPr>
          <w:kern w:val="0"/>
          <w:szCs w:val="21"/>
        </w:rPr>
      </w:pPr>
      <w:r>
        <w:rPr>
          <w:kern w:val="0"/>
          <w:szCs w:val="21"/>
        </w:rPr>
        <w:t>Ag-In-Cd合金用于作核反应堆中的控制材料。为满足其核使用目的，该材料杂质元素含量必须符合的标准要求。该方法用于检验被验材料是否满足本标准中表1对</w:t>
      </w:r>
      <w:r>
        <w:rPr>
          <w:rFonts w:hint="eastAsia"/>
          <w:kern w:val="0"/>
          <w:szCs w:val="21"/>
        </w:rPr>
        <w:t>Si</w:t>
      </w:r>
      <w:r>
        <w:rPr>
          <w:kern w:val="0"/>
          <w:szCs w:val="21"/>
        </w:rPr>
        <w:t>杂质</w:t>
      </w:r>
      <w:r>
        <w:rPr>
          <w:rFonts w:hint="eastAsia"/>
          <w:kern w:val="0"/>
          <w:szCs w:val="21"/>
        </w:rPr>
        <w:t>元素</w:t>
      </w:r>
      <w:r>
        <w:rPr>
          <w:kern w:val="0"/>
          <w:szCs w:val="21"/>
        </w:rPr>
        <w:t>的规定和要求。</w:t>
      </w:r>
    </w:p>
    <w:p>
      <w:pPr>
        <w:pStyle w:val="2"/>
        <w:spacing w:before="240" w:after="240" w:line="360" w:lineRule="auto"/>
      </w:pPr>
      <w:r>
        <w:t>A.</w:t>
      </w:r>
      <w:r>
        <w:rPr>
          <w:rFonts w:hint="eastAsia"/>
        </w:rPr>
        <w:t>3</w:t>
      </w:r>
      <w:r>
        <w:t>试剂的纯度</w:t>
      </w:r>
    </w:p>
    <w:p>
      <w:pPr>
        <w:spacing w:line="360" w:lineRule="auto"/>
        <w:rPr>
          <w:szCs w:val="21"/>
        </w:rPr>
      </w:pPr>
      <w:r>
        <w:rPr>
          <w:szCs w:val="21"/>
        </w:rPr>
        <w:t>A.</w:t>
      </w:r>
      <w:r>
        <w:rPr>
          <w:rFonts w:hint="eastAsia"/>
          <w:szCs w:val="21"/>
        </w:rPr>
        <w:t>3</w:t>
      </w:r>
      <w:r>
        <w:rPr>
          <w:szCs w:val="21"/>
        </w:rPr>
        <w:t xml:space="preserve">.1 </w:t>
      </w:r>
      <w:r>
        <w:rPr>
          <w:rFonts w:hAnsi="宋体"/>
          <w:szCs w:val="21"/>
        </w:rPr>
        <w:t>所有检测中应该使用试药纯级的试剂。除非另行说明，所有试剂必须符合美国化学学会分析试剂委员会的要求规定。在证明试剂具有足够少量的杂质且保证其使用不会降低检测精度的情况下，其他级别的试剂可以被使用。</w:t>
      </w:r>
    </w:p>
    <w:p>
      <w:pPr>
        <w:spacing w:line="360" w:lineRule="auto"/>
        <w:rPr>
          <w:szCs w:val="21"/>
        </w:rPr>
      </w:pPr>
      <w:r>
        <w:rPr>
          <w:szCs w:val="21"/>
        </w:rPr>
        <w:t xml:space="preserve">A.4.2 </w:t>
      </w:r>
      <w:r>
        <w:rPr>
          <w:rFonts w:hAnsi="宋体"/>
          <w:szCs w:val="21"/>
        </w:rPr>
        <w:t>水的纯度</w:t>
      </w:r>
      <w:r>
        <w:rPr>
          <w:szCs w:val="21"/>
        </w:rPr>
        <w:t>——</w:t>
      </w:r>
      <w:r>
        <w:rPr>
          <w:rFonts w:hAnsi="宋体"/>
          <w:szCs w:val="21"/>
        </w:rPr>
        <w:t>除非另</w:t>
      </w:r>
      <w:r>
        <w:rPr>
          <w:rFonts w:hint="eastAsia" w:hAnsi="宋体"/>
          <w:szCs w:val="21"/>
        </w:rPr>
        <w:t>有</w:t>
      </w:r>
      <w:r>
        <w:rPr>
          <w:rFonts w:hAnsi="宋体"/>
          <w:szCs w:val="21"/>
        </w:rPr>
        <w:t>说明，</w:t>
      </w:r>
      <w:r>
        <w:rPr>
          <w:rFonts w:hint="eastAsia" w:hAnsi="宋体"/>
          <w:szCs w:val="21"/>
        </w:rPr>
        <w:t>在分析中仅使用确认为优级纯的试剂和蒸馏水或相应纯度的水</w:t>
      </w:r>
      <w:r>
        <w:rPr>
          <w:rFonts w:hAnsi="宋体"/>
          <w:szCs w:val="21"/>
        </w:rPr>
        <w:t>。</w:t>
      </w:r>
    </w:p>
    <w:p>
      <w:pPr>
        <w:pStyle w:val="2"/>
        <w:spacing w:before="240" w:after="240" w:line="360" w:lineRule="auto"/>
      </w:pPr>
      <w:r>
        <w:t>A.</w:t>
      </w:r>
      <w:r>
        <w:rPr>
          <w:rFonts w:hint="eastAsia"/>
        </w:rPr>
        <w:t>4</w:t>
      </w:r>
      <w:r>
        <w:t>取样</w:t>
      </w:r>
    </w:p>
    <w:p>
      <w:pPr>
        <w:spacing w:line="360" w:lineRule="auto"/>
        <w:ind w:firstLine="420" w:firstLineChars="200"/>
        <w:rPr>
          <w:szCs w:val="21"/>
        </w:rPr>
      </w:pPr>
      <w:r>
        <w:rPr>
          <w:rFonts w:hint="eastAsia" w:hAnsi="宋体"/>
          <w:szCs w:val="21"/>
        </w:rPr>
        <w:t>取有代表性、均匀性，厚度不大于1mm屑状的试样</w:t>
      </w:r>
      <w:r>
        <w:rPr>
          <w:rFonts w:hAnsi="宋体"/>
          <w:szCs w:val="21"/>
        </w:rPr>
        <w:t>。</w:t>
      </w:r>
    </w:p>
    <w:p>
      <w:pPr>
        <w:pStyle w:val="2"/>
        <w:spacing w:before="240" w:after="240" w:line="360" w:lineRule="auto"/>
      </w:pPr>
      <w:r>
        <w:t>A.</w:t>
      </w:r>
      <w:r>
        <w:rPr>
          <w:rFonts w:hint="eastAsia"/>
        </w:rPr>
        <w:t>5</w:t>
      </w:r>
      <w:r>
        <w:t>检测方法概要</w:t>
      </w:r>
    </w:p>
    <w:p>
      <w:pPr>
        <w:spacing w:line="360" w:lineRule="auto"/>
        <w:rPr>
          <w:szCs w:val="21"/>
        </w:rPr>
      </w:pPr>
      <w:r>
        <w:rPr>
          <w:szCs w:val="21"/>
        </w:rPr>
        <w:t>A.</w:t>
      </w:r>
      <w:r>
        <w:rPr>
          <w:rFonts w:hint="eastAsia"/>
          <w:szCs w:val="21"/>
        </w:rPr>
        <w:t>5</w:t>
      </w:r>
      <w:r>
        <w:rPr>
          <w:szCs w:val="21"/>
        </w:rPr>
        <w:t xml:space="preserve">.1 </w:t>
      </w:r>
      <w:r>
        <w:rPr>
          <w:rFonts w:hAnsi="宋体"/>
          <w:szCs w:val="21"/>
        </w:rPr>
        <w:t>清洗样品，称量若干溶于硝酸溶液。加入等质量的石墨，在</w:t>
      </w:r>
      <w:r>
        <w:rPr>
          <w:szCs w:val="21"/>
        </w:rPr>
        <w:t>85±5</w:t>
      </w:r>
      <w:r>
        <w:rPr>
          <w:rFonts w:hAnsi="宋体"/>
          <w:szCs w:val="21"/>
        </w:rPr>
        <w:t>℃温度下蒸发干燥。在残留物</w:t>
      </w:r>
      <w:r>
        <w:rPr>
          <w:rFonts w:hint="eastAsia" w:hAnsi="宋体"/>
          <w:szCs w:val="21"/>
        </w:rPr>
        <w:t>中</w:t>
      </w:r>
      <w:r>
        <w:rPr>
          <w:rFonts w:hAnsi="宋体"/>
          <w:szCs w:val="21"/>
        </w:rPr>
        <w:t>加入少量水，形成浆状混合物。加入稀释后的盐酸，充分混合。在</w:t>
      </w:r>
      <w:r>
        <w:rPr>
          <w:szCs w:val="21"/>
        </w:rPr>
        <w:t>85</w:t>
      </w:r>
      <w:r>
        <w:rPr>
          <w:rFonts w:hAnsi="宋体"/>
          <w:szCs w:val="21"/>
        </w:rPr>
        <w:t>℃</w:t>
      </w:r>
      <w:r>
        <w:rPr>
          <w:szCs w:val="21"/>
        </w:rPr>
        <w:t>±5</w:t>
      </w:r>
      <w:r>
        <w:rPr>
          <w:rFonts w:hAnsi="宋体"/>
          <w:szCs w:val="21"/>
        </w:rPr>
        <w:t>℃温度下的暗光环境中将浆状混合物蒸发干燥。</w:t>
      </w:r>
    </w:p>
    <w:p>
      <w:pPr>
        <w:spacing w:line="360" w:lineRule="auto"/>
        <w:rPr>
          <w:szCs w:val="21"/>
        </w:rPr>
      </w:pPr>
      <w:r>
        <w:rPr>
          <w:szCs w:val="21"/>
        </w:rPr>
        <w:t>A.</w:t>
      </w:r>
      <w:r>
        <w:rPr>
          <w:rFonts w:hint="eastAsia"/>
          <w:szCs w:val="21"/>
        </w:rPr>
        <w:t>5</w:t>
      </w:r>
      <w:r>
        <w:rPr>
          <w:szCs w:val="21"/>
        </w:rPr>
        <w:t xml:space="preserve">.2 </w:t>
      </w:r>
      <w:r>
        <w:rPr>
          <w:rFonts w:hAnsi="宋体"/>
          <w:szCs w:val="21"/>
        </w:rPr>
        <w:t>将干燥后的样品与氟化钡</w:t>
      </w:r>
      <w:r>
        <w:rPr>
          <w:szCs w:val="21"/>
        </w:rPr>
        <w:t>-</w:t>
      </w:r>
      <w:r>
        <w:rPr>
          <w:rFonts w:hAnsi="宋体"/>
          <w:szCs w:val="21"/>
        </w:rPr>
        <w:t>石墨载体调和，称量后装入石墨电极帽，用</w:t>
      </w:r>
      <w:r>
        <w:rPr>
          <w:szCs w:val="21"/>
        </w:rPr>
        <w:t>d-c</w:t>
      </w:r>
      <w:r>
        <w:rPr>
          <w:rFonts w:hAnsi="宋体"/>
          <w:szCs w:val="21"/>
        </w:rPr>
        <w:t>电弧感光。用相机记录光谱，与标准谱线进行对比。</w:t>
      </w:r>
    </w:p>
    <w:p>
      <w:pPr>
        <w:pStyle w:val="2"/>
        <w:spacing w:before="240" w:after="240" w:line="360" w:lineRule="auto"/>
      </w:pPr>
      <w:r>
        <w:t>A.</w:t>
      </w:r>
      <w:r>
        <w:rPr>
          <w:rFonts w:hint="eastAsia"/>
        </w:rPr>
        <w:t>6</w:t>
      </w:r>
      <w:r>
        <w:t>装置</w:t>
      </w:r>
    </w:p>
    <w:p>
      <w:pPr>
        <w:spacing w:line="360" w:lineRule="auto"/>
        <w:rPr>
          <w:szCs w:val="21"/>
        </w:rPr>
      </w:pPr>
      <w:r>
        <w:rPr>
          <w:szCs w:val="21"/>
        </w:rPr>
        <w:t>A.</w:t>
      </w:r>
      <w:r>
        <w:rPr>
          <w:rFonts w:hint="eastAsia"/>
          <w:szCs w:val="21"/>
        </w:rPr>
        <w:t>6</w:t>
      </w:r>
      <w:r>
        <w:rPr>
          <w:szCs w:val="21"/>
        </w:rPr>
        <w:t xml:space="preserve">.1 </w:t>
      </w:r>
      <w:r>
        <w:rPr>
          <w:rFonts w:hAnsi="宋体"/>
          <w:szCs w:val="21"/>
        </w:rPr>
        <w:t>光谱摄制仪</w:t>
      </w:r>
      <w:r>
        <w:rPr>
          <w:szCs w:val="21"/>
        </w:rPr>
        <w:t>——</w:t>
      </w:r>
      <w:r>
        <w:rPr>
          <w:rFonts w:hAnsi="宋体"/>
          <w:szCs w:val="21"/>
        </w:rPr>
        <w:t>推荐使用能够分辨</w:t>
      </w:r>
      <w:r>
        <w:rPr>
          <w:szCs w:val="21"/>
        </w:rPr>
        <w:t>220</w:t>
      </w:r>
      <w:r>
        <w:rPr>
          <w:rFonts w:hAnsi="宋体"/>
          <w:szCs w:val="21"/>
        </w:rPr>
        <w:t>～</w:t>
      </w:r>
      <w:r>
        <w:rPr>
          <w:szCs w:val="21"/>
        </w:rPr>
        <w:t>400nm</w:t>
      </w:r>
      <w:r>
        <w:rPr>
          <w:rFonts w:hAnsi="宋体"/>
          <w:szCs w:val="21"/>
        </w:rPr>
        <w:t>范围内光谱线的光谱摄制仪。仪器的互反线性离差应小于</w:t>
      </w:r>
      <w:r>
        <w:rPr>
          <w:szCs w:val="21"/>
        </w:rPr>
        <w:t>0.3nm/mm</w:t>
      </w:r>
      <w:r>
        <w:rPr>
          <w:rFonts w:hAnsi="宋体"/>
          <w:szCs w:val="21"/>
        </w:rPr>
        <w:t>。</w:t>
      </w:r>
    </w:p>
    <w:p>
      <w:pPr>
        <w:spacing w:line="360" w:lineRule="auto"/>
        <w:rPr>
          <w:szCs w:val="21"/>
        </w:rPr>
      </w:pPr>
      <w:r>
        <w:rPr>
          <w:szCs w:val="21"/>
        </w:rPr>
        <w:t>A.</w:t>
      </w:r>
      <w:r>
        <w:rPr>
          <w:rFonts w:hint="eastAsia"/>
          <w:szCs w:val="21"/>
        </w:rPr>
        <w:t>6</w:t>
      </w:r>
      <w:r>
        <w:rPr>
          <w:szCs w:val="21"/>
        </w:rPr>
        <w:t xml:space="preserve">.2 </w:t>
      </w:r>
      <w:r>
        <w:rPr>
          <w:rFonts w:hAnsi="宋体"/>
          <w:szCs w:val="21"/>
        </w:rPr>
        <w:t>感光源</w:t>
      </w:r>
      <w:r>
        <w:rPr>
          <w:szCs w:val="21"/>
        </w:rPr>
        <w:t>——</w:t>
      </w:r>
      <w:r>
        <w:rPr>
          <w:rFonts w:hAnsi="宋体"/>
          <w:szCs w:val="21"/>
        </w:rPr>
        <w:t>维持</w:t>
      </w:r>
      <w:r>
        <w:rPr>
          <w:szCs w:val="21"/>
        </w:rPr>
        <w:t>12-A</w:t>
      </w:r>
      <w:r>
        <w:rPr>
          <w:rFonts w:hint="eastAsia"/>
          <w:szCs w:val="21"/>
        </w:rPr>
        <w:t xml:space="preserve"> </w:t>
      </w:r>
      <w:r>
        <w:rPr>
          <w:szCs w:val="21"/>
        </w:rPr>
        <w:t xml:space="preserve"> d-c</w:t>
      </w:r>
      <w:r>
        <w:rPr>
          <w:rFonts w:hAnsi="宋体"/>
          <w:szCs w:val="21"/>
        </w:rPr>
        <w:t>电弧的电弧源。</w:t>
      </w:r>
    </w:p>
    <w:p>
      <w:pPr>
        <w:spacing w:line="360" w:lineRule="auto"/>
        <w:rPr>
          <w:szCs w:val="21"/>
        </w:rPr>
      </w:pPr>
      <w:r>
        <w:rPr>
          <w:szCs w:val="21"/>
        </w:rPr>
        <w:t>A.</w:t>
      </w:r>
      <w:r>
        <w:rPr>
          <w:rFonts w:hint="eastAsia"/>
          <w:szCs w:val="21"/>
        </w:rPr>
        <w:t>6</w:t>
      </w:r>
      <w:r>
        <w:rPr>
          <w:szCs w:val="21"/>
        </w:rPr>
        <w:t xml:space="preserve">.3 </w:t>
      </w:r>
      <w:r>
        <w:rPr>
          <w:rFonts w:hAnsi="宋体"/>
          <w:szCs w:val="21"/>
        </w:rPr>
        <w:t>感光台</w:t>
      </w:r>
      <w:r>
        <w:rPr>
          <w:szCs w:val="21"/>
        </w:rPr>
        <w:t>——</w:t>
      </w:r>
      <w:r>
        <w:rPr>
          <w:rFonts w:hAnsi="宋体"/>
          <w:szCs w:val="21"/>
        </w:rPr>
        <w:t>普通可调节水冷电极夹。</w:t>
      </w:r>
    </w:p>
    <w:p>
      <w:pPr>
        <w:spacing w:line="360" w:lineRule="auto"/>
        <w:rPr>
          <w:szCs w:val="21"/>
        </w:rPr>
      </w:pPr>
      <w:r>
        <w:rPr>
          <w:szCs w:val="21"/>
        </w:rPr>
        <w:t>A.</w:t>
      </w:r>
      <w:r>
        <w:rPr>
          <w:rFonts w:hint="eastAsia"/>
          <w:szCs w:val="21"/>
        </w:rPr>
        <w:t>6</w:t>
      </w:r>
      <w:r>
        <w:rPr>
          <w:szCs w:val="21"/>
        </w:rPr>
        <w:t xml:space="preserve">.4 </w:t>
      </w:r>
      <w:r>
        <w:rPr>
          <w:rFonts w:hAnsi="宋体"/>
          <w:szCs w:val="21"/>
        </w:rPr>
        <w:t>天平</w:t>
      </w:r>
      <w:r>
        <w:rPr>
          <w:szCs w:val="21"/>
        </w:rPr>
        <w:t>——</w:t>
      </w:r>
      <w:r>
        <w:rPr>
          <w:rFonts w:hAnsi="宋体"/>
          <w:szCs w:val="21"/>
        </w:rPr>
        <w:t>精度</w:t>
      </w:r>
      <w:r>
        <w:rPr>
          <w:szCs w:val="21"/>
        </w:rPr>
        <w:t>0.5mg</w:t>
      </w:r>
      <w:r>
        <w:rPr>
          <w:rFonts w:hAnsi="宋体"/>
          <w:szCs w:val="21"/>
        </w:rPr>
        <w:t>，量程大于</w:t>
      </w:r>
      <w:r>
        <w:rPr>
          <w:szCs w:val="21"/>
        </w:rPr>
        <w:t>1.0g</w:t>
      </w:r>
      <w:r>
        <w:rPr>
          <w:rFonts w:hAnsi="宋体"/>
          <w:szCs w:val="21"/>
        </w:rPr>
        <w:t>的扭矩天平。</w:t>
      </w:r>
    </w:p>
    <w:p>
      <w:pPr>
        <w:spacing w:line="360" w:lineRule="auto"/>
        <w:rPr>
          <w:szCs w:val="21"/>
        </w:rPr>
      </w:pPr>
      <w:r>
        <w:rPr>
          <w:szCs w:val="21"/>
        </w:rPr>
        <w:t>A.</w:t>
      </w:r>
      <w:r>
        <w:rPr>
          <w:rFonts w:hint="eastAsia"/>
          <w:szCs w:val="21"/>
        </w:rPr>
        <w:t>6</w:t>
      </w:r>
      <w:r>
        <w:rPr>
          <w:szCs w:val="21"/>
        </w:rPr>
        <w:t xml:space="preserve">.5 </w:t>
      </w:r>
      <w:r>
        <w:rPr>
          <w:rFonts w:hAnsi="宋体"/>
          <w:szCs w:val="21"/>
        </w:rPr>
        <w:t>粉碎搅拌器</w:t>
      </w:r>
      <w:r>
        <w:rPr>
          <w:szCs w:val="21"/>
        </w:rPr>
        <w:t>——</w:t>
      </w:r>
      <w:r>
        <w:rPr>
          <w:rFonts w:hAnsi="宋体"/>
          <w:szCs w:val="21"/>
        </w:rPr>
        <w:t>具有塑料小瓶和小球的力学搅拌器。</w:t>
      </w:r>
    </w:p>
    <w:p>
      <w:pPr>
        <w:spacing w:line="360" w:lineRule="auto"/>
        <w:rPr>
          <w:szCs w:val="21"/>
        </w:rPr>
      </w:pPr>
      <w:r>
        <w:rPr>
          <w:szCs w:val="21"/>
        </w:rPr>
        <w:t>A.</w:t>
      </w:r>
      <w:r>
        <w:rPr>
          <w:rFonts w:hint="eastAsia"/>
          <w:szCs w:val="21"/>
        </w:rPr>
        <w:t>6</w:t>
      </w:r>
      <w:r>
        <w:rPr>
          <w:szCs w:val="21"/>
        </w:rPr>
        <w:t xml:space="preserve">.6 </w:t>
      </w:r>
      <w:r>
        <w:rPr>
          <w:rFonts w:hAnsi="宋体"/>
          <w:szCs w:val="21"/>
        </w:rPr>
        <w:t>比较仪</w:t>
      </w:r>
      <w:r>
        <w:rPr>
          <w:szCs w:val="21"/>
        </w:rPr>
        <w:t>——</w:t>
      </w:r>
      <w:r>
        <w:rPr>
          <w:rFonts w:hAnsi="宋体"/>
          <w:szCs w:val="21"/>
        </w:rPr>
        <w:t>普通型。</w:t>
      </w:r>
    </w:p>
    <w:p>
      <w:pPr>
        <w:spacing w:line="360" w:lineRule="auto"/>
        <w:rPr>
          <w:szCs w:val="21"/>
        </w:rPr>
      </w:pPr>
      <w:r>
        <w:rPr>
          <w:szCs w:val="21"/>
        </w:rPr>
        <w:t>A.</w:t>
      </w:r>
      <w:r>
        <w:rPr>
          <w:rFonts w:hint="eastAsia"/>
          <w:szCs w:val="21"/>
        </w:rPr>
        <w:t>6</w:t>
      </w:r>
      <w:r>
        <w:rPr>
          <w:szCs w:val="21"/>
        </w:rPr>
        <w:t xml:space="preserve">.7 </w:t>
      </w:r>
      <w:r>
        <w:rPr>
          <w:rFonts w:hAnsi="宋体"/>
          <w:szCs w:val="21"/>
        </w:rPr>
        <w:t>相片处理仪器</w:t>
      </w:r>
      <w:r>
        <w:rPr>
          <w:szCs w:val="21"/>
        </w:rPr>
        <w:t>——</w:t>
      </w:r>
      <w:r>
        <w:rPr>
          <w:rFonts w:hAnsi="宋体"/>
          <w:szCs w:val="21"/>
        </w:rPr>
        <w:t>遵守</w:t>
      </w:r>
      <w:r>
        <w:rPr>
          <w:szCs w:val="21"/>
        </w:rPr>
        <w:t>E115</w:t>
      </w:r>
      <w:r>
        <w:rPr>
          <w:rFonts w:hAnsi="宋体"/>
          <w:szCs w:val="21"/>
        </w:rPr>
        <w:t>准则。</w:t>
      </w:r>
    </w:p>
    <w:p>
      <w:pPr>
        <w:spacing w:line="360" w:lineRule="auto"/>
        <w:rPr>
          <w:szCs w:val="21"/>
        </w:rPr>
      </w:pPr>
      <w:r>
        <w:rPr>
          <w:szCs w:val="21"/>
        </w:rPr>
        <w:t>A.</w:t>
      </w:r>
      <w:r>
        <w:rPr>
          <w:rFonts w:hint="eastAsia"/>
          <w:szCs w:val="21"/>
        </w:rPr>
        <w:t>6</w:t>
      </w:r>
      <w:r>
        <w:rPr>
          <w:szCs w:val="21"/>
        </w:rPr>
        <w:t xml:space="preserve">.8 </w:t>
      </w:r>
      <w:r>
        <w:rPr>
          <w:rFonts w:hAnsi="宋体"/>
          <w:szCs w:val="21"/>
        </w:rPr>
        <w:t>水蒸气制备浴</w:t>
      </w:r>
      <w:r>
        <w:rPr>
          <w:szCs w:val="21"/>
        </w:rPr>
        <w:t>——</w:t>
      </w:r>
      <w:r>
        <w:rPr>
          <w:rFonts w:hAnsi="宋体"/>
          <w:szCs w:val="21"/>
        </w:rPr>
        <w:t>普通型。</w:t>
      </w:r>
    </w:p>
    <w:p>
      <w:pPr>
        <w:spacing w:line="360" w:lineRule="auto"/>
        <w:rPr>
          <w:szCs w:val="21"/>
        </w:rPr>
      </w:pPr>
      <w:r>
        <w:rPr>
          <w:szCs w:val="21"/>
        </w:rPr>
        <w:t>A.</w:t>
      </w:r>
      <w:r>
        <w:rPr>
          <w:rFonts w:hint="eastAsia"/>
          <w:szCs w:val="21"/>
        </w:rPr>
        <w:t>6</w:t>
      </w:r>
      <w:r>
        <w:rPr>
          <w:szCs w:val="21"/>
        </w:rPr>
        <w:t xml:space="preserve">.9 </w:t>
      </w:r>
      <w:r>
        <w:rPr>
          <w:rFonts w:hAnsi="宋体"/>
          <w:szCs w:val="21"/>
        </w:rPr>
        <w:t>干燥皿</w:t>
      </w:r>
      <w:r>
        <w:rPr>
          <w:szCs w:val="21"/>
        </w:rPr>
        <w:t>——</w:t>
      </w:r>
      <w:r>
        <w:rPr>
          <w:rFonts w:hAnsi="宋体"/>
          <w:szCs w:val="21"/>
        </w:rPr>
        <w:t>普通型，不锈钢材料。</w:t>
      </w:r>
    </w:p>
    <w:p>
      <w:pPr>
        <w:spacing w:line="360" w:lineRule="auto"/>
        <w:rPr>
          <w:szCs w:val="21"/>
        </w:rPr>
      </w:pPr>
      <w:r>
        <w:rPr>
          <w:szCs w:val="21"/>
        </w:rPr>
        <w:t>A.</w:t>
      </w:r>
      <w:r>
        <w:rPr>
          <w:rFonts w:hint="eastAsia"/>
          <w:szCs w:val="21"/>
        </w:rPr>
        <w:t>6</w:t>
      </w:r>
      <w:r>
        <w:rPr>
          <w:szCs w:val="21"/>
        </w:rPr>
        <w:t xml:space="preserve">.10 </w:t>
      </w:r>
      <w:r>
        <w:rPr>
          <w:rFonts w:hAnsi="宋体"/>
          <w:szCs w:val="21"/>
        </w:rPr>
        <w:t>烧杯</w:t>
      </w:r>
      <w:r>
        <w:rPr>
          <w:szCs w:val="21"/>
        </w:rPr>
        <w:t>——25mL</w:t>
      </w:r>
      <w:r>
        <w:rPr>
          <w:rFonts w:hAnsi="宋体"/>
          <w:szCs w:val="21"/>
        </w:rPr>
        <w:t>或</w:t>
      </w:r>
      <w:r>
        <w:rPr>
          <w:szCs w:val="21"/>
        </w:rPr>
        <w:t>50mLTFE</w:t>
      </w:r>
      <w:r>
        <w:rPr>
          <w:rFonts w:hAnsi="宋体"/>
          <w:szCs w:val="21"/>
        </w:rPr>
        <w:t>碳氟树脂材料。</w:t>
      </w:r>
    </w:p>
    <w:p>
      <w:pPr>
        <w:spacing w:line="360" w:lineRule="auto"/>
        <w:rPr>
          <w:szCs w:val="21"/>
        </w:rPr>
      </w:pPr>
      <w:r>
        <w:rPr>
          <w:szCs w:val="21"/>
        </w:rPr>
        <w:t>A.</w:t>
      </w:r>
      <w:r>
        <w:rPr>
          <w:rFonts w:hint="eastAsia"/>
          <w:szCs w:val="21"/>
        </w:rPr>
        <w:t>6</w:t>
      </w:r>
      <w:r>
        <w:rPr>
          <w:szCs w:val="21"/>
        </w:rPr>
        <w:t xml:space="preserve">.11 </w:t>
      </w:r>
      <w:r>
        <w:rPr>
          <w:rFonts w:hAnsi="宋体"/>
          <w:szCs w:val="21"/>
        </w:rPr>
        <w:t>搅拌棒</w:t>
      </w:r>
      <w:r>
        <w:rPr>
          <w:szCs w:val="21"/>
        </w:rPr>
        <w:t>——TFE</w:t>
      </w:r>
      <w:r>
        <w:rPr>
          <w:rFonts w:hAnsi="宋体"/>
          <w:szCs w:val="21"/>
        </w:rPr>
        <w:t>碳氟树脂材料。</w:t>
      </w:r>
    </w:p>
    <w:p>
      <w:pPr>
        <w:spacing w:line="360" w:lineRule="auto"/>
        <w:rPr>
          <w:szCs w:val="21"/>
        </w:rPr>
      </w:pPr>
      <w:r>
        <w:rPr>
          <w:szCs w:val="21"/>
        </w:rPr>
        <w:t>A.</w:t>
      </w:r>
      <w:r>
        <w:rPr>
          <w:rFonts w:hint="eastAsia"/>
          <w:szCs w:val="21"/>
        </w:rPr>
        <w:t>6</w:t>
      </w:r>
      <w:r>
        <w:rPr>
          <w:szCs w:val="21"/>
        </w:rPr>
        <w:t xml:space="preserve">.12 </w:t>
      </w:r>
      <w:r>
        <w:rPr>
          <w:rFonts w:hAnsi="宋体"/>
          <w:szCs w:val="21"/>
        </w:rPr>
        <w:t>电极</w:t>
      </w:r>
      <w:r>
        <w:rPr>
          <w:szCs w:val="21"/>
        </w:rPr>
        <w:t>——ASTM S-1</w:t>
      </w:r>
      <w:r>
        <w:rPr>
          <w:rFonts w:hAnsi="宋体"/>
          <w:szCs w:val="21"/>
        </w:rPr>
        <w:t>，</w:t>
      </w:r>
      <w:r>
        <w:rPr>
          <w:szCs w:val="21"/>
        </w:rPr>
        <w:t>S-2</w:t>
      </w:r>
      <w:r>
        <w:rPr>
          <w:rFonts w:hAnsi="宋体"/>
          <w:szCs w:val="21"/>
        </w:rPr>
        <w:t>和</w:t>
      </w:r>
      <w:r>
        <w:rPr>
          <w:szCs w:val="21"/>
        </w:rPr>
        <w:t>C-1</w:t>
      </w:r>
      <w:r>
        <w:rPr>
          <w:rFonts w:hAnsi="宋体"/>
          <w:szCs w:val="21"/>
        </w:rPr>
        <w:t>型。</w:t>
      </w:r>
    </w:p>
    <w:p>
      <w:pPr>
        <w:pStyle w:val="2"/>
        <w:spacing w:before="240" w:after="240" w:line="360" w:lineRule="auto"/>
      </w:pPr>
      <w:r>
        <w:t>A.</w:t>
      </w:r>
      <w:r>
        <w:rPr>
          <w:rFonts w:hint="eastAsia"/>
        </w:rPr>
        <w:t>7</w:t>
      </w:r>
      <w:r>
        <w:t>试剂</w:t>
      </w:r>
    </w:p>
    <w:p>
      <w:pPr>
        <w:spacing w:line="360" w:lineRule="auto"/>
        <w:rPr>
          <w:szCs w:val="21"/>
        </w:rPr>
      </w:pPr>
      <w:r>
        <w:rPr>
          <w:szCs w:val="21"/>
        </w:rPr>
        <w:t>A.</w:t>
      </w:r>
      <w:r>
        <w:rPr>
          <w:rFonts w:hint="eastAsia"/>
          <w:szCs w:val="21"/>
        </w:rPr>
        <w:t>7</w:t>
      </w:r>
      <w:r>
        <w:rPr>
          <w:szCs w:val="21"/>
        </w:rPr>
        <w:t xml:space="preserve">.1 </w:t>
      </w:r>
      <w:r>
        <w:rPr>
          <w:rFonts w:hAnsi="宋体"/>
          <w:szCs w:val="21"/>
        </w:rPr>
        <w:t>氟化钡（</w:t>
      </w:r>
      <w:r>
        <w:rPr>
          <w:szCs w:val="21"/>
        </w:rPr>
        <w:t>BaF</w:t>
      </w:r>
      <w:r>
        <w:rPr>
          <w:szCs w:val="21"/>
          <w:vertAlign w:val="subscript"/>
        </w:rPr>
        <w:t>2</w:t>
      </w:r>
      <w:r>
        <w:rPr>
          <w:rFonts w:hAnsi="宋体"/>
          <w:szCs w:val="21"/>
        </w:rPr>
        <w:t>）</w:t>
      </w:r>
      <w:r>
        <w:rPr>
          <w:szCs w:val="21"/>
        </w:rPr>
        <w:t>——</w:t>
      </w:r>
      <w:r>
        <w:rPr>
          <w:rFonts w:hAnsi="宋体"/>
          <w:szCs w:val="21"/>
        </w:rPr>
        <w:t>纯度大于</w:t>
      </w:r>
      <w:r>
        <w:rPr>
          <w:szCs w:val="21"/>
        </w:rPr>
        <w:t>99.90%</w:t>
      </w:r>
      <w:r>
        <w:rPr>
          <w:rFonts w:hAnsi="宋体"/>
          <w:szCs w:val="21"/>
        </w:rPr>
        <w:t>，粒度小于</w:t>
      </w:r>
      <w:r>
        <w:rPr>
          <w:szCs w:val="21"/>
        </w:rPr>
        <w:t>10</w:t>
      </w:r>
      <w:r>
        <w:rPr>
          <w:rFonts w:eastAsia="仿宋_GB2312"/>
          <w:szCs w:val="21"/>
        </w:rPr>
        <w:t>ц</w:t>
      </w:r>
      <w:r>
        <w:rPr>
          <w:szCs w:val="21"/>
        </w:rPr>
        <w:t>m</w:t>
      </w:r>
      <w:r>
        <w:rPr>
          <w:rFonts w:hAnsi="宋体"/>
          <w:szCs w:val="21"/>
        </w:rPr>
        <w:t>。</w:t>
      </w:r>
    </w:p>
    <w:p>
      <w:pPr>
        <w:spacing w:line="360" w:lineRule="auto"/>
        <w:rPr>
          <w:szCs w:val="21"/>
        </w:rPr>
      </w:pPr>
      <w:r>
        <w:rPr>
          <w:szCs w:val="21"/>
        </w:rPr>
        <w:t>A.</w:t>
      </w:r>
      <w:r>
        <w:rPr>
          <w:rFonts w:hint="eastAsia"/>
          <w:szCs w:val="21"/>
        </w:rPr>
        <w:t>7</w:t>
      </w:r>
      <w:r>
        <w:rPr>
          <w:szCs w:val="21"/>
        </w:rPr>
        <w:t xml:space="preserve">.2 </w:t>
      </w:r>
      <w:r>
        <w:rPr>
          <w:rFonts w:hAnsi="宋体"/>
          <w:szCs w:val="21"/>
        </w:rPr>
        <w:t>氟化钡</w:t>
      </w:r>
      <w:r>
        <w:rPr>
          <w:szCs w:val="21"/>
        </w:rPr>
        <w:t>-</w:t>
      </w:r>
      <w:r>
        <w:rPr>
          <w:rFonts w:hAnsi="宋体"/>
          <w:szCs w:val="21"/>
        </w:rPr>
        <w:t>石墨载体</w:t>
      </w:r>
      <w:r>
        <w:rPr>
          <w:szCs w:val="21"/>
        </w:rPr>
        <w:t>——</w:t>
      </w:r>
      <w:r>
        <w:rPr>
          <w:rFonts w:hAnsi="宋体"/>
          <w:szCs w:val="21"/>
        </w:rPr>
        <w:t>将</w:t>
      </w:r>
      <w:r>
        <w:rPr>
          <w:szCs w:val="21"/>
        </w:rPr>
        <w:t>BaF</w:t>
      </w:r>
      <w:r>
        <w:rPr>
          <w:szCs w:val="21"/>
          <w:vertAlign w:val="subscript"/>
        </w:rPr>
        <w:t>2</w:t>
      </w:r>
      <w:r>
        <w:rPr>
          <w:rFonts w:hAnsi="宋体"/>
          <w:szCs w:val="21"/>
        </w:rPr>
        <w:t>和石墨以</w:t>
      </w:r>
      <w:r>
        <w:rPr>
          <w:szCs w:val="21"/>
        </w:rPr>
        <w:t>5:95</w:t>
      </w:r>
      <w:r>
        <w:rPr>
          <w:rFonts w:hAnsi="宋体"/>
          <w:szCs w:val="21"/>
        </w:rPr>
        <w:t>比例放入有塑料球的塑料瓶中，用机械混合器均匀化。</w:t>
      </w:r>
    </w:p>
    <w:p>
      <w:pPr>
        <w:spacing w:line="360" w:lineRule="auto"/>
        <w:rPr>
          <w:szCs w:val="21"/>
        </w:rPr>
      </w:pPr>
      <w:r>
        <w:rPr>
          <w:szCs w:val="21"/>
        </w:rPr>
        <w:t>A.</w:t>
      </w:r>
      <w:r>
        <w:rPr>
          <w:rFonts w:hint="eastAsia"/>
          <w:szCs w:val="21"/>
        </w:rPr>
        <w:t>7</w:t>
      </w:r>
      <w:r>
        <w:rPr>
          <w:szCs w:val="21"/>
        </w:rPr>
        <w:t xml:space="preserve">.3 </w:t>
      </w:r>
      <w:r>
        <w:rPr>
          <w:rFonts w:hAnsi="宋体"/>
          <w:szCs w:val="21"/>
        </w:rPr>
        <w:t>镉</w:t>
      </w:r>
      <w:r>
        <w:rPr>
          <w:szCs w:val="21"/>
        </w:rPr>
        <w:t>——</w:t>
      </w:r>
      <w:r>
        <w:rPr>
          <w:rFonts w:hAnsi="宋体"/>
          <w:szCs w:val="21"/>
        </w:rPr>
        <w:t>金属镉，纯度大于</w:t>
      </w:r>
      <w:r>
        <w:rPr>
          <w:szCs w:val="21"/>
        </w:rPr>
        <w:t>99.99%</w:t>
      </w:r>
      <w:r>
        <w:rPr>
          <w:rFonts w:hAnsi="宋体"/>
          <w:szCs w:val="21"/>
        </w:rPr>
        <w:t>。</w:t>
      </w:r>
    </w:p>
    <w:p>
      <w:pPr>
        <w:spacing w:line="360" w:lineRule="auto"/>
        <w:rPr>
          <w:szCs w:val="21"/>
        </w:rPr>
      </w:pPr>
      <w:r>
        <w:rPr>
          <w:szCs w:val="21"/>
        </w:rPr>
        <w:t>A.</w:t>
      </w:r>
      <w:r>
        <w:rPr>
          <w:rFonts w:hint="eastAsia"/>
          <w:szCs w:val="21"/>
        </w:rPr>
        <w:t>7</w:t>
      </w:r>
      <w:r>
        <w:rPr>
          <w:szCs w:val="21"/>
        </w:rPr>
        <w:t xml:space="preserve">.4 </w:t>
      </w:r>
      <w:r>
        <w:rPr>
          <w:rFonts w:hAnsi="宋体"/>
          <w:szCs w:val="21"/>
        </w:rPr>
        <w:t>石墨</w:t>
      </w:r>
      <w:r>
        <w:rPr>
          <w:szCs w:val="21"/>
        </w:rPr>
        <w:t>——</w:t>
      </w:r>
      <w:r>
        <w:rPr>
          <w:rFonts w:hAnsi="宋体"/>
          <w:szCs w:val="21"/>
        </w:rPr>
        <w:t>光谱纯度，</w:t>
      </w:r>
      <w:r>
        <w:rPr>
          <w:szCs w:val="21"/>
        </w:rPr>
        <w:t>200</w:t>
      </w:r>
      <w:r>
        <w:rPr>
          <w:rFonts w:hAnsi="宋体"/>
          <w:szCs w:val="21"/>
        </w:rPr>
        <w:t>目，非微粒型。</w:t>
      </w:r>
    </w:p>
    <w:p>
      <w:pPr>
        <w:spacing w:line="360" w:lineRule="auto"/>
        <w:rPr>
          <w:szCs w:val="21"/>
        </w:rPr>
      </w:pPr>
      <w:r>
        <w:rPr>
          <w:szCs w:val="21"/>
        </w:rPr>
        <w:t>A.</w:t>
      </w:r>
      <w:r>
        <w:rPr>
          <w:rFonts w:hint="eastAsia"/>
          <w:szCs w:val="21"/>
        </w:rPr>
        <w:t>7</w:t>
      </w:r>
      <w:r>
        <w:rPr>
          <w:szCs w:val="21"/>
        </w:rPr>
        <w:t xml:space="preserve">.5 </w:t>
      </w:r>
      <w:r>
        <w:rPr>
          <w:rFonts w:hAnsi="宋体"/>
          <w:szCs w:val="21"/>
        </w:rPr>
        <w:t>盐酸（</w:t>
      </w:r>
      <w:r>
        <w:rPr>
          <w:szCs w:val="21"/>
        </w:rPr>
        <w:t>6</w:t>
      </w:r>
      <w:r>
        <w:rPr>
          <w:rFonts w:hint="eastAsia"/>
          <w:szCs w:val="21"/>
        </w:rPr>
        <w:t xml:space="preserve"> mol/L</w:t>
      </w:r>
      <w:r>
        <w:rPr>
          <w:rFonts w:hAnsi="宋体"/>
          <w:szCs w:val="21"/>
        </w:rPr>
        <w:t>）</w:t>
      </w:r>
      <w:r>
        <w:rPr>
          <w:szCs w:val="21"/>
        </w:rPr>
        <w:t>——</w:t>
      </w:r>
      <w:r>
        <w:rPr>
          <w:rFonts w:hAnsi="宋体"/>
          <w:szCs w:val="21"/>
        </w:rPr>
        <w:t>用二次蒸馏水稀释</w:t>
      </w:r>
      <w:r>
        <w:rPr>
          <w:szCs w:val="21"/>
        </w:rPr>
        <w:t>500mL</w:t>
      </w:r>
      <w:r>
        <w:rPr>
          <w:rFonts w:hAnsi="宋体"/>
          <w:szCs w:val="21"/>
        </w:rPr>
        <w:t>复蒸馏盐酸（</w:t>
      </w:r>
      <w:r>
        <w:rPr>
          <w:rFonts w:hint="eastAsia" w:hAnsi="宋体"/>
          <w:szCs w:val="21"/>
        </w:rPr>
        <w:t>相对密度</w:t>
      </w:r>
      <w:r>
        <w:rPr>
          <w:szCs w:val="21"/>
        </w:rPr>
        <w:t>1.19</w:t>
      </w:r>
      <w:r>
        <w:rPr>
          <w:rFonts w:hAnsi="宋体"/>
          <w:szCs w:val="21"/>
        </w:rPr>
        <w:t>）至</w:t>
      </w:r>
      <w:r>
        <w:rPr>
          <w:szCs w:val="21"/>
        </w:rPr>
        <w:t>1L</w:t>
      </w:r>
      <w:r>
        <w:rPr>
          <w:rFonts w:hAnsi="宋体"/>
          <w:szCs w:val="21"/>
        </w:rPr>
        <w:t>。</w:t>
      </w:r>
    </w:p>
    <w:p>
      <w:pPr>
        <w:spacing w:line="360" w:lineRule="auto"/>
        <w:rPr>
          <w:szCs w:val="21"/>
        </w:rPr>
      </w:pPr>
      <w:r>
        <w:rPr>
          <w:szCs w:val="21"/>
        </w:rPr>
        <w:t>A.</w:t>
      </w:r>
      <w:r>
        <w:rPr>
          <w:rFonts w:hint="eastAsia"/>
          <w:szCs w:val="21"/>
        </w:rPr>
        <w:t>7</w:t>
      </w:r>
      <w:r>
        <w:rPr>
          <w:szCs w:val="21"/>
        </w:rPr>
        <w:t xml:space="preserve">.6 </w:t>
      </w:r>
      <w:r>
        <w:rPr>
          <w:rFonts w:hAnsi="宋体"/>
          <w:szCs w:val="21"/>
        </w:rPr>
        <w:t>铟</w:t>
      </w:r>
      <w:r>
        <w:rPr>
          <w:szCs w:val="21"/>
        </w:rPr>
        <w:t>——</w:t>
      </w:r>
      <w:r>
        <w:rPr>
          <w:rFonts w:hAnsi="宋体"/>
          <w:szCs w:val="21"/>
        </w:rPr>
        <w:t>金属铟，纯度大于</w:t>
      </w:r>
      <w:r>
        <w:rPr>
          <w:szCs w:val="21"/>
        </w:rPr>
        <w:t>99.99%</w:t>
      </w:r>
      <w:r>
        <w:rPr>
          <w:rFonts w:hAnsi="宋体"/>
          <w:szCs w:val="21"/>
        </w:rPr>
        <w:t>。</w:t>
      </w:r>
    </w:p>
    <w:p>
      <w:pPr>
        <w:spacing w:line="360" w:lineRule="auto"/>
        <w:rPr>
          <w:szCs w:val="21"/>
        </w:rPr>
      </w:pPr>
      <w:r>
        <w:rPr>
          <w:szCs w:val="21"/>
        </w:rPr>
        <w:t>A.</w:t>
      </w:r>
      <w:r>
        <w:rPr>
          <w:rFonts w:hint="eastAsia"/>
          <w:szCs w:val="21"/>
        </w:rPr>
        <w:t>7</w:t>
      </w:r>
      <w:r>
        <w:rPr>
          <w:szCs w:val="21"/>
        </w:rPr>
        <w:t xml:space="preserve">.7 </w:t>
      </w:r>
      <w:r>
        <w:rPr>
          <w:rFonts w:hAnsi="宋体"/>
          <w:szCs w:val="21"/>
        </w:rPr>
        <w:t>硝酸（</w:t>
      </w:r>
      <w:r>
        <w:rPr>
          <w:szCs w:val="21"/>
        </w:rPr>
        <w:t>8</w:t>
      </w:r>
      <w:r>
        <w:rPr>
          <w:rFonts w:hint="eastAsia"/>
          <w:szCs w:val="21"/>
        </w:rPr>
        <w:t xml:space="preserve"> mol/L</w:t>
      </w:r>
      <w:r>
        <w:rPr>
          <w:rFonts w:hAnsi="宋体"/>
          <w:szCs w:val="21"/>
        </w:rPr>
        <w:t>）</w:t>
      </w:r>
      <w:r>
        <w:rPr>
          <w:szCs w:val="21"/>
        </w:rPr>
        <w:t>——</w:t>
      </w:r>
      <w:r>
        <w:rPr>
          <w:rFonts w:hAnsi="宋体"/>
          <w:szCs w:val="21"/>
        </w:rPr>
        <w:t>用二次蒸馏水稀释复蒸馏硝酸（</w:t>
      </w:r>
      <w:r>
        <w:rPr>
          <w:rFonts w:hint="eastAsia" w:hAnsi="宋体"/>
          <w:szCs w:val="21"/>
        </w:rPr>
        <w:t>相对密度</w:t>
      </w:r>
      <w:r>
        <w:rPr>
          <w:szCs w:val="21"/>
        </w:rPr>
        <w:t>1.42</w:t>
      </w:r>
      <w:r>
        <w:rPr>
          <w:rFonts w:hAnsi="宋体"/>
          <w:szCs w:val="21"/>
        </w:rPr>
        <w:t>）至</w:t>
      </w:r>
      <w:r>
        <w:rPr>
          <w:szCs w:val="21"/>
        </w:rPr>
        <w:t>1L</w:t>
      </w:r>
      <w:r>
        <w:rPr>
          <w:rFonts w:hAnsi="宋体"/>
          <w:szCs w:val="21"/>
        </w:rPr>
        <w:t>。</w:t>
      </w:r>
    </w:p>
    <w:p>
      <w:pPr>
        <w:spacing w:line="360" w:lineRule="auto"/>
        <w:rPr>
          <w:szCs w:val="21"/>
        </w:rPr>
      </w:pPr>
      <w:r>
        <w:rPr>
          <w:szCs w:val="21"/>
        </w:rPr>
        <w:t>A.</w:t>
      </w:r>
      <w:r>
        <w:rPr>
          <w:rFonts w:hint="eastAsia"/>
          <w:szCs w:val="21"/>
        </w:rPr>
        <w:t>7</w:t>
      </w:r>
      <w:r>
        <w:rPr>
          <w:szCs w:val="21"/>
        </w:rPr>
        <w:t xml:space="preserve">.8 </w:t>
      </w:r>
      <w:r>
        <w:rPr>
          <w:rFonts w:hAnsi="宋体"/>
          <w:szCs w:val="21"/>
        </w:rPr>
        <w:t>银</w:t>
      </w:r>
      <w:r>
        <w:rPr>
          <w:szCs w:val="21"/>
        </w:rPr>
        <w:t>——</w:t>
      </w:r>
      <w:r>
        <w:rPr>
          <w:rFonts w:hAnsi="宋体"/>
          <w:szCs w:val="21"/>
        </w:rPr>
        <w:t>金属银，纯度大于</w:t>
      </w:r>
      <w:r>
        <w:rPr>
          <w:szCs w:val="21"/>
        </w:rPr>
        <w:t>99.99%</w:t>
      </w:r>
      <w:r>
        <w:rPr>
          <w:rFonts w:hAnsi="宋体"/>
          <w:szCs w:val="21"/>
        </w:rPr>
        <w:t>。</w:t>
      </w:r>
    </w:p>
    <w:p>
      <w:pPr>
        <w:pStyle w:val="2"/>
        <w:spacing w:before="240" w:after="240" w:line="360" w:lineRule="auto"/>
      </w:pPr>
      <w:r>
        <w:t>A.</w:t>
      </w:r>
      <w:r>
        <w:rPr>
          <w:rFonts w:hint="eastAsia"/>
        </w:rPr>
        <w:t>8</w:t>
      </w:r>
      <w:r>
        <w:t>操作过程</w:t>
      </w:r>
    </w:p>
    <w:p>
      <w:pPr>
        <w:spacing w:line="360" w:lineRule="auto"/>
        <w:rPr>
          <w:szCs w:val="21"/>
        </w:rPr>
      </w:pPr>
      <w:r>
        <w:rPr>
          <w:szCs w:val="21"/>
        </w:rPr>
        <w:t>A.</w:t>
      </w:r>
      <w:r>
        <w:rPr>
          <w:rFonts w:hint="eastAsia"/>
          <w:szCs w:val="21"/>
        </w:rPr>
        <w:t>8</w:t>
      </w:r>
      <w:r>
        <w:rPr>
          <w:szCs w:val="21"/>
        </w:rPr>
        <w:t xml:space="preserve">.1 </w:t>
      </w:r>
      <w:r>
        <w:rPr>
          <w:rFonts w:hAnsi="宋体"/>
          <w:szCs w:val="21"/>
        </w:rPr>
        <w:t>标样准备</w:t>
      </w:r>
    </w:p>
    <w:p>
      <w:pPr>
        <w:spacing w:line="360" w:lineRule="auto"/>
        <w:ind w:left="180"/>
        <w:rPr>
          <w:szCs w:val="21"/>
        </w:rPr>
      </w:pPr>
      <w:r>
        <w:rPr>
          <w:szCs w:val="21"/>
        </w:rPr>
        <w:t>A.</w:t>
      </w:r>
      <w:r>
        <w:rPr>
          <w:rFonts w:hint="eastAsia"/>
          <w:szCs w:val="21"/>
        </w:rPr>
        <w:t>8</w:t>
      </w:r>
      <w:r>
        <w:rPr>
          <w:szCs w:val="21"/>
        </w:rPr>
        <w:t xml:space="preserve">.1.1 </w:t>
      </w:r>
      <w:r>
        <w:rPr>
          <w:rFonts w:hAnsi="宋体"/>
          <w:szCs w:val="21"/>
        </w:rPr>
        <w:t>至少准备四份标样，每份含有杂质元素</w:t>
      </w:r>
      <w:r>
        <w:rPr>
          <w:szCs w:val="21"/>
        </w:rPr>
        <w:t>1цg/g</w:t>
      </w:r>
      <w:r>
        <w:rPr>
          <w:rFonts w:hAnsi="宋体"/>
          <w:szCs w:val="21"/>
        </w:rPr>
        <w:t>～</w:t>
      </w:r>
      <w:r>
        <w:rPr>
          <w:szCs w:val="21"/>
        </w:rPr>
        <w:t>1000цg/g</w:t>
      </w:r>
      <w:r>
        <w:rPr>
          <w:rFonts w:hAnsi="宋体"/>
          <w:szCs w:val="21"/>
        </w:rPr>
        <w:t>，和具有已知杂质氧化物或盐类的石墨载体混合，进行检测。</w:t>
      </w:r>
    </w:p>
    <w:p>
      <w:pPr>
        <w:spacing w:line="360" w:lineRule="auto"/>
        <w:ind w:left="180"/>
        <w:rPr>
          <w:szCs w:val="21"/>
        </w:rPr>
      </w:pPr>
      <w:r>
        <w:rPr>
          <w:szCs w:val="21"/>
        </w:rPr>
        <w:t>A.</w:t>
      </w:r>
      <w:r>
        <w:rPr>
          <w:rFonts w:hint="eastAsia"/>
          <w:szCs w:val="21"/>
        </w:rPr>
        <w:t>8</w:t>
      </w:r>
      <w:r>
        <w:rPr>
          <w:szCs w:val="21"/>
        </w:rPr>
        <w:t xml:space="preserve">.1.2 </w:t>
      </w:r>
      <w:r>
        <w:rPr>
          <w:rFonts w:hAnsi="宋体"/>
          <w:szCs w:val="21"/>
        </w:rPr>
        <w:t>取银</w:t>
      </w:r>
      <w:r>
        <w:rPr>
          <w:szCs w:val="21"/>
        </w:rPr>
        <w:t>20.00g</w:t>
      </w:r>
      <w:r>
        <w:rPr>
          <w:rFonts w:hAnsi="宋体"/>
          <w:szCs w:val="21"/>
        </w:rPr>
        <w:t>，铟</w:t>
      </w:r>
      <w:r>
        <w:rPr>
          <w:szCs w:val="21"/>
        </w:rPr>
        <w:t>3.75g</w:t>
      </w:r>
      <w:r>
        <w:rPr>
          <w:rFonts w:hAnsi="宋体"/>
          <w:szCs w:val="21"/>
        </w:rPr>
        <w:t>和镉</w:t>
      </w:r>
      <w:r>
        <w:rPr>
          <w:szCs w:val="21"/>
        </w:rPr>
        <w:t>1.25g</w:t>
      </w:r>
      <w:r>
        <w:rPr>
          <w:rFonts w:hAnsi="宋体"/>
          <w:szCs w:val="21"/>
        </w:rPr>
        <w:t>，溶解于</w:t>
      </w:r>
      <w:r>
        <w:rPr>
          <w:szCs w:val="21"/>
        </w:rPr>
        <w:t>75mL</w:t>
      </w:r>
      <w:r>
        <w:rPr>
          <w:rFonts w:hint="eastAsia"/>
          <w:szCs w:val="21"/>
        </w:rPr>
        <w:t xml:space="preserve"> </w:t>
      </w:r>
      <w:r>
        <w:rPr>
          <w:szCs w:val="21"/>
        </w:rPr>
        <w:t>8</w:t>
      </w:r>
      <w:r>
        <w:rPr>
          <w:rFonts w:hint="eastAsia"/>
          <w:szCs w:val="21"/>
        </w:rPr>
        <w:t xml:space="preserve"> mol/L</w:t>
      </w:r>
      <w:r>
        <w:rPr>
          <w:rFonts w:hAnsi="宋体"/>
          <w:szCs w:val="21"/>
        </w:rPr>
        <w:t>硝酸中。在长颈瓶中冷却并用二次蒸馏水稀释至</w:t>
      </w:r>
      <w:r>
        <w:rPr>
          <w:szCs w:val="21"/>
        </w:rPr>
        <w:t>200mL</w:t>
      </w:r>
      <w:r>
        <w:rPr>
          <w:rFonts w:hAnsi="宋体"/>
          <w:szCs w:val="21"/>
        </w:rPr>
        <w:t>。</w:t>
      </w:r>
    </w:p>
    <w:p>
      <w:pPr>
        <w:spacing w:line="360" w:lineRule="auto"/>
        <w:ind w:left="180"/>
        <w:rPr>
          <w:szCs w:val="21"/>
        </w:rPr>
      </w:pPr>
      <w:r>
        <w:rPr>
          <w:szCs w:val="21"/>
        </w:rPr>
        <w:t>A.</w:t>
      </w:r>
      <w:r>
        <w:rPr>
          <w:rFonts w:hint="eastAsia"/>
          <w:szCs w:val="21"/>
        </w:rPr>
        <w:t>8</w:t>
      </w:r>
      <w:r>
        <w:rPr>
          <w:szCs w:val="21"/>
        </w:rPr>
        <w:t xml:space="preserve">.1.3 </w:t>
      </w:r>
      <w:r>
        <w:rPr>
          <w:rFonts w:hAnsi="宋体"/>
          <w:szCs w:val="21"/>
        </w:rPr>
        <w:t>分别吸取</w:t>
      </w:r>
      <w:r>
        <w:rPr>
          <w:szCs w:val="21"/>
        </w:rPr>
        <w:t>2mLAg-In-Cd</w:t>
      </w:r>
      <w:r>
        <w:rPr>
          <w:rFonts w:hAnsi="宋体"/>
          <w:szCs w:val="21"/>
        </w:rPr>
        <w:t>溶液（见</w:t>
      </w:r>
      <w:r>
        <w:rPr>
          <w:rFonts w:hint="eastAsia"/>
          <w:szCs w:val="21"/>
        </w:rPr>
        <w:t>8</w:t>
      </w:r>
      <w:r>
        <w:rPr>
          <w:szCs w:val="21"/>
        </w:rPr>
        <w:t>.1.2</w:t>
      </w:r>
      <w:r>
        <w:rPr>
          <w:rFonts w:hAnsi="宋体"/>
          <w:szCs w:val="21"/>
        </w:rPr>
        <w:t>）注入</w:t>
      </w:r>
      <w:r>
        <w:rPr>
          <w:szCs w:val="21"/>
        </w:rPr>
        <w:t>5</w:t>
      </w:r>
      <w:r>
        <w:rPr>
          <w:rFonts w:hAnsi="宋体"/>
          <w:szCs w:val="21"/>
        </w:rPr>
        <w:t>只</w:t>
      </w:r>
      <w:r>
        <w:rPr>
          <w:szCs w:val="21"/>
        </w:rPr>
        <w:t>TFE</w:t>
      </w:r>
      <w:r>
        <w:rPr>
          <w:rFonts w:hAnsi="宋体"/>
          <w:szCs w:val="21"/>
        </w:rPr>
        <w:t>碳氟树脂烧杯中（容量</w:t>
      </w:r>
      <w:r>
        <w:rPr>
          <w:szCs w:val="21"/>
        </w:rPr>
        <w:t>25mL</w:t>
      </w:r>
      <w:r>
        <w:rPr>
          <w:rFonts w:hAnsi="宋体"/>
          <w:szCs w:val="21"/>
        </w:rPr>
        <w:t>），称取</w:t>
      </w:r>
      <w:r>
        <w:rPr>
          <w:szCs w:val="21"/>
        </w:rPr>
        <w:t>250±1mg</w:t>
      </w:r>
      <w:r>
        <w:rPr>
          <w:rFonts w:hAnsi="宋体"/>
          <w:szCs w:val="21"/>
        </w:rPr>
        <w:t>石墨加入一烧杯中，分别称取</w:t>
      </w:r>
      <w:r>
        <w:rPr>
          <w:szCs w:val="21"/>
        </w:rPr>
        <w:t>250±1mg</w:t>
      </w:r>
      <w:r>
        <w:rPr>
          <w:rFonts w:hAnsi="宋体"/>
          <w:szCs w:val="21"/>
        </w:rPr>
        <w:t>石墨标准样（见</w:t>
      </w:r>
      <w:r>
        <w:rPr>
          <w:rFonts w:hint="eastAsia"/>
          <w:szCs w:val="21"/>
        </w:rPr>
        <w:t>8</w:t>
      </w:r>
      <w:r>
        <w:rPr>
          <w:szCs w:val="21"/>
        </w:rPr>
        <w:t>.1.1</w:t>
      </w:r>
      <w:r>
        <w:rPr>
          <w:rFonts w:hAnsi="宋体"/>
          <w:szCs w:val="21"/>
        </w:rPr>
        <w:t>）加入其余四个烧杯。</w:t>
      </w:r>
    </w:p>
    <w:p>
      <w:pPr>
        <w:spacing w:line="360" w:lineRule="auto"/>
        <w:ind w:left="180"/>
        <w:rPr>
          <w:szCs w:val="21"/>
        </w:rPr>
      </w:pPr>
      <w:r>
        <w:rPr>
          <w:szCs w:val="21"/>
        </w:rPr>
        <w:t>A.</w:t>
      </w:r>
      <w:r>
        <w:rPr>
          <w:rFonts w:hint="eastAsia"/>
          <w:szCs w:val="21"/>
        </w:rPr>
        <w:t>8</w:t>
      </w:r>
      <w:r>
        <w:rPr>
          <w:szCs w:val="21"/>
        </w:rPr>
        <w:t xml:space="preserve">.1.4 </w:t>
      </w:r>
      <w:r>
        <w:rPr>
          <w:rFonts w:hAnsi="宋体"/>
          <w:szCs w:val="21"/>
        </w:rPr>
        <w:t>用</w:t>
      </w:r>
      <w:r>
        <w:rPr>
          <w:szCs w:val="21"/>
        </w:rPr>
        <w:t>TFE</w:t>
      </w:r>
      <w:r>
        <w:rPr>
          <w:rFonts w:hAnsi="宋体"/>
          <w:szCs w:val="21"/>
        </w:rPr>
        <w:t>碳氟树脂搅拌棒使各个溶液充分混合，然后从</w:t>
      </w:r>
      <w:r>
        <w:rPr>
          <w:rFonts w:hint="eastAsia"/>
          <w:szCs w:val="21"/>
        </w:rPr>
        <w:t>8</w:t>
      </w:r>
      <w:r>
        <w:rPr>
          <w:szCs w:val="21"/>
        </w:rPr>
        <w:t>.2.5</w:t>
      </w:r>
      <w:r>
        <w:rPr>
          <w:rFonts w:hAnsi="宋体"/>
          <w:szCs w:val="21"/>
        </w:rPr>
        <w:t>开始按程序准备试样。</w:t>
      </w:r>
    </w:p>
    <w:p>
      <w:pPr>
        <w:spacing w:line="360" w:lineRule="auto"/>
        <w:rPr>
          <w:szCs w:val="21"/>
        </w:rPr>
      </w:pPr>
      <w:r>
        <w:rPr>
          <w:szCs w:val="21"/>
        </w:rPr>
        <w:t>A.</w:t>
      </w:r>
      <w:r>
        <w:rPr>
          <w:rFonts w:hint="eastAsia"/>
          <w:szCs w:val="21"/>
        </w:rPr>
        <w:t>8</w:t>
      </w:r>
      <w:r>
        <w:rPr>
          <w:szCs w:val="21"/>
        </w:rPr>
        <w:t xml:space="preserve">.2 </w:t>
      </w:r>
      <w:r>
        <w:rPr>
          <w:rFonts w:hAnsi="宋体"/>
          <w:szCs w:val="21"/>
        </w:rPr>
        <w:t>试样准备</w:t>
      </w:r>
    </w:p>
    <w:p>
      <w:pPr>
        <w:spacing w:line="360" w:lineRule="auto"/>
        <w:ind w:firstLine="360"/>
        <w:rPr>
          <w:szCs w:val="21"/>
        </w:rPr>
      </w:pPr>
      <w:r>
        <w:rPr>
          <w:szCs w:val="21"/>
        </w:rPr>
        <w:t>A.</w:t>
      </w:r>
      <w:r>
        <w:rPr>
          <w:rFonts w:hint="eastAsia"/>
          <w:szCs w:val="21"/>
        </w:rPr>
        <w:t>8</w:t>
      </w:r>
      <w:r>
        <w:rPr>
          <w:szCs w:val="21"/>
        </w:rPr>
        <w:t xml:space="preserve">.2.1 </w:t>
      </w:r>
      <w:r>
        <w:rPr>
          <w:rFonts w:hAnsi="宋体"/>
          <w:szCs w:val="21"/>
        </w:rPr>
        <w:t>用锉刀清洁</w:t>
      </w:r>
      <w:r>
        <w:rPr>
          <w:szCs w:val="21"/>
        </w:rPr>
        <w:t>0.5</w:t>
      </w:r>
      <w:r>
        <w:rPr>
          <w:rFonts w:hAnsi="宋体"/>
          <w:szCs w:val="21"/>
        </w:rPr>
        <w:t>～</w:t>
      </w:r>
      <w:r>
        <w:rPr>
          <w:szCs w:val="21"/>
        </w:rPr>
        <w:t>1.0g</w:t>
      </w:r>
      <w:r>
        <w:rPr>
          <w:rFonts w:hAnsi="宋体"/>
          <w:szCs w:val="21"/>
        </w:rPr>
        <w:t>试样，用有机溶剂洗净，晾干。</w:t>
      </w:r>
    </w:p>
    <w:p>
      <w:pPr>
        <w:spacing w:line="360" w:lineRule="auto"/>
        <w:ind w:firstLine="360"/>
        <w:rPr>
          <w:szCs w:val="21"/>
        </w:rPr>
      </w:pPr>
      <w:r>
        <w:rPr>
          <w:szCs w:val="21"/>
        </w:rPr>
        <w:t>A.</w:t>
      </w:r>
      <w:r>
        <w:rPr>
          <w:rFonts w:hint="eastAsia"/>
          <w:szCs w:val="21"/>
        </w:rPr>
        <w:t>8</w:t>
      </w:r>
      <w:r>
        <w:rPr>
          <w:szCs w:val="21"/>
        </w:rPr>
        <w:t xml:space="preserve">.2.2 </w:t>
      </w:r>
      <w:r>
        <w:rPr>
          <w:rFonts w:hAnsi="宋体"/>
          <w:szCs w:val="21"/>
        </w:rPr>
        <w:t>称量</w:t>
      </w:r>
      <w:r>
        <w:rPr>
          <w:szCs w:val="21"/>
        </w:rPr>
        <w:t>1mg</w:t>
      </w:r>
      <w:r>
        <w:rPr>
          <w:rFonts w:hAnsi="宋体"/>
          <w:szCs w:val="21"/>
        </w:rPr>
        <w:t>试样，放入</w:t>
      </w:r>
      <w:r>
        <w:rPr>
          <w:szCs w:val="21"/>
        </w:rPr>
        <w:t>25mL</w:t>
      </w:r>
      <w:r>
        <w:rPr>
          <w:rFonts w:hAnsi="宋体"/>
          <w:szCs w:val="21"/>
        </w:rPr>
        <w:t>的</w:t>
      </w:r>
      <w:r>
        <w:rPr>
          <w:szCs w:val="21"/>
        </w:rPr>
        <w:t>TFE</w:t>
      </w:r>
      <w:r>
        <w:rPr>
          <w:rFonts w:hAnsi="宋体"/>
          <w:szCs w:val="21"/>
        </w:rPr>
        <w:t>碳氟树脂烧杯中。</w:t>
      </w:r>
    </w:p>
    <w:p>
      <w:pPr>
        <w:spacing w:line="360" w:lineRule="auto"/>
        <w:ind w:firstLine="360"/>
        <w:rPr>
          <w:szCs w:val="21"/>
        </w:rPr>
      </w:pPr>
      <w:r>
        <w:rPr>
          <w:szCs w:val="21"/>
        </w:rPr>
        <w:t>A.</w:t>
      </w:r>
      <w:r>
        <w:rPr>
          <w:rFonts w:hint="eastAsia"/>
          <w:szCs w:val="21"/>
        </w:rPr>
        <w:t>8</w:t>
      </w:r>
      <w:r>
        <w:rPr>
          <w:szCs w:val="21"/>
        </w:rPr>
        <w:t xml:space="preserve">.2.3 </w:t>
      </w:r>
      <w:r>
        <w:rPr>
          <w:rFonts w:hAnsi="宋体"/>
          <w:szCs w:val="21"/>
        </w:rPr>
        <w:t>加入</w:t>
      </w:r>
      <w:r>
        <w:rPr>
          <w:szCs w:val="21"/>
        </w:rPr>
        <w:t>5mL</w:t>
      </w:r>
      <w:r>
        <w:rPr>
          <w:rFonts w:hint="eastAsia"/>
          <w:szCs w:val="21"/>
        </w:rPr>
        <w:t xml:space="preserve"> </w:t>
      </w:r>
      <w:r>
        <w:rPr>
          <w:szCs w:val="21"/>
        </w:rPr>
        <w:t>8</w:t>
      </w:r>
      <w:r>
        <w:rPr>
          <w:rFonts w:hint="eastAsia"/>
          <w:szCs w:val="21"/>
        </w:rPr>
        <w:t>mol/L</w:t>
      </w:r>
      <w:r>
        <w:rPr>
          <w:rFonts w:hAnsi="宋体"/>
          <w:szCs w:val="21"/>
        </w:rPr>
        <w:t>硝酸，让试样完全溶解。</w:t>
      </w:r>
    </w:p>
    <w:p>
      <w:pPr>
        <w:spacing w:line="360" w:lineRule="auto"/>
        <w:ind w:firstLine="360"/>
        <w:rPr>
          <w:szCs w:val="21"/>
        </w:rPr>
      </w:pPr>
      <w:r>
        <w:rPr>
          <w:szCs w:val="21"/>
        </w:rPr>
        <w:t>A.</w:t>
      </w:r>
      <w:r>
        <w:rPr>
          <w:rFonts w:hint="eastAsia"/>
          <w:szCs w:val="21"/>
        </w:rPr>
        <w:t>8</w:t>
      </w:r>
      <w:r>
        <w:rPr>
          <w:szCs w:val="21"/>
        </w:rPr>
        <w:t xml:space="preserve">.2.4 </w:t>
      </w:r>
      <w:r>
        <w:rPr>
          <w:rFonts w:hAnsi="宋体"/>
          <w:szCs w:val="21"/>
        </w:rPr>
        <w:t>称量与试样等量的石墨，误差</w:t>
      </w:r>
      <w:r>
        <w:rPr>
          <w:szCs w:val="21"/>
        </w:rPr>
        <w:t>±1mg</w:t>
      </w:r>
      <w:r>
        <w:rPr>
          <w:rFonts w:hAnsi="宋体"/>
          <w:szCs w:val="21"/>
        </w:rPr>
        <w:t>，加入烧杯中。用</w:t>
      </w:r>
      <w:r>
        <w:rPr>
          <w:szCs w:val="21"/>
        </w:rPr>
        <w:t>TFE</w:t>
      </w:r>
      <w:r>
        <w:rPr>
          <w:rFonts w:hAnsi="宋体"/>
          <w:szCs w:val="21"/>
        </w:rPr>
        <w:t>碳氟树脂棒搅拌混合。</w:t>
      </w:r>
    </w:p>
    <w:p>
      <w:pPr>
        <w:spacing w:line="360" w:lineRule="auto"/>
        <w:ind w:firstLine="360"/>
        <w:rPr>
          <w:szCs w:val="21"/>
        </w:rPr>
      </w:pPr>
      <w:r>
        <w:rPr>
          <w:szCs w:val="21"/>
        </w:rPr>
        <w:t>A.</w:t>
      </w:r>
      <w:r>
        <w:rPr>
          <w:rFonts w:hint="eastAsia"/>
          <w:szCs w:val="21"/>
        </w:rPr>
        <w:t>8</w:t>
      </w:r>
      <w:r>
        <w:rPr>
          <w:szCs w:val="21"/>
        </w:rPr>
        <w:t xml:space="preserve">.2.5 </w:t>
      </w:r>
      <w:r>
        <w:rPr>
          <w:rFonts w:hAnsi="宋体"/>
          <w:szCs w:val="21"/>
        </w:rPr>
        <w:t>在</w:t>
      </w:r>
      <w:r>
        <w:rPr>
          <w:rFonts w:hint="eastAsia" w:hAnsi="宋体"/>
          <w:szCs w:val="21"/>
        </w:rPr>
        <w:t>水</w:t>
      </w:r>
      <w:r>
        <w:rPr>
          <w:rFonts w:hAnsi="宋体"/>
          <w:szCs w:val="21"/>
        </w:rPr>
        <w:t>浴中蒸发干燥。</w:t>
      </w:r>
    </w:p>
    <w:p>
      <w:pPr>
        <w:spacing w:line="360" w:lineRule="auto"/>
        <w:ind w:firstLine="360"/>
        <w:rPr>
          <w:szCs w:val="21"/>
        </w:rPr>
      </w:pPr>
      <w:r>
        <w:rPr>
          <w:szCs w:val="21"/>
        </w:rPr>
        <w:t>A.</w:t>
      </w:r>
      <w:r>
        <w:rPr>
          <w:rFonts w:hint="eastAsia"/>
          <w:szCs w:val="21"/>
        </w:rPr>
        <w:t>8</w:t>
      </w:r>
      <w:r>
        <w:rPr>
          <w:szCs w:val="21"/>
        </w:rPr>
        <w:t xml:space="preserve">.2.6 </w:t>
      </w:r>
      <w:r>
        <w:rPr>
          <w:rFonts w:hAnsi="宋体"/>
          <w:szCs w:val="21"/>
        </w:rPr>
        <w:t>冷却试样后加入</w:t>
      </w:r>
      <w:r>
        <w:rPr>
          <w:szCs w:val="21"/>
        </w:rPr>
        <w:t>1mL</w:t>
      </w:r>
      <w:r>
        <w:rPr>
          <w:rFonts w:hAnsi="宋体"/>
          <w:szCs w:val="21"/>
        </w:rPr>
        <w:t>二次蒸馏水，用</w:t>
      </w:r>
      <w:r>
        <w:rPr>
          <w:szCs w:val="21"/>
        </w:rPr>
        <w:t>TFE</w:t>
      </w:r>
      <w:r>
        <w:rPr>
          <w:rFonts w:hAnsi="宋体"/>
          <w:szCs w:val="21"/>
        </w:rPr>
        <w:t>碳氟树脂棒搅拌至浆状。</w:t>
      </w:r>
    </w:p>
    <w:p>
      <w:pPr>
        <w:spacing w:line="360" w:lineRule="auto"/>
        <w:ind w:firstLine="360"/>
        <w:rPr>
          <w:szCs w:val="21"/>
        </w:rPr>
      </w:pPr>
      <w:r>
        <w:rPr>
          <w:szCs w:val="21"/>
        </w:rPr>
        <w:t>A.</w:t>
      </w:r>
      <w:r>
        <w:rPr>
          <w:rFonts w:hint="eastAsia"/>
          <w:szCs w:val="21"/>
        </w:rPr>
        <w:t>8</w:t>
      </w:r>
      <w:r>
        <w:rPr>
          <w:szCs w:val="21"/>
        </w:rPr>
        <w:t xml:space="preserve">.2.7 </w:t>
      </w:r>
      <w:r>
        <w:rPr>
          <w:rFonts w:hAnsi="宋体"/>
          <w:szCs w:val="21"/>
        </w:rPr>
        <w:t>加入</w:t>
      </w:r>
      <w:r>
        <w:rPr>
          <w:szCs w:val="21"/>
        </w:rPr>
        <w:t>3mL</w:t>
      </w:r>
      <w:r>
        <w:rPr>
          <w:rFonts w:hint="eastAsia"/>
          <w:szCs w:val="21"/>
        </w:rPr>
        <w:t xml:space="preserve"> </w:t>
      </w:r>
      <w:r>
        <w:rPr>
          <w:szCs w:val="21"/>
        </w:rPr>
        <w:t>6</w:t>
      </w:r>
      <w:r>
        <w:rPr>
          <w:rFonts w:hint="eastAsia"/>
          <w:szCs w:val="21"/>
        </w:rPr>
        <w:t>mol/L</w:t>
      </w:r>
      <w:r>
        <w:rPr>
          <w:rFonts w:hAnsi="宋体"/>
          <w:szCs w:val="21"/>
        </w:rPr>
        <w:t>盐酸，搅拌均匀。</w:t>
      </w:r>
    </w:p>
    <w:p>
      <w:pPr>
        <w:spacing w:line="360" w:lineRule="auto"/>
        <w:ind w:firstLine="360"/>
        <w:rPr>
          <w:szCs w:val="21"/>
        </w:rPr>
      </w:pPr>
      <w:r>
        <w:rPr>
          <w:szCs w:val="21"/>
        </w:rPr>
        <w:t>A.</w:t>
      </w:r>
      <w:r>
        <w:rPr>
          <w:rFonts w:hint="eastAsia"/>
          <w:szCs w:val="21"/>
        </w:rPr>
        <w:t>8</w:t>
      </w:r>
      <w:r>
        <w:rPr>
          <w:szCs w:val="21"/>
        </w:rPr>
        <w:t xml:space="preserve">.2.8 </w:t>
      </w:r>
      <w:r>
        <w:rPr>
          <w:rFonts w:hAnsi="宋体"/>
          <w:szCs w:val="21"/>
        </w:rPr>
        <w:t>在蒸发浴中用暗光或无光环境蒸发干燥。</w:t>
      </w:r>
    </w:p>
    <w:p>
      <w:pPr>
        <w:spacing w:line="360" w:lineRule="auto"/>
        <w:ind w:firstLine="360"/>
        <w:rPr>
          <w:szCs w:val="21"/>
        </w:rPr>
      </w:pPr>
      <w:r>
        <w:rPr>
          <w:szCs w:val="21"/>
        </w:rPr>
        <w:t>A.</w:t>
      </w:r>
      <w:r>
        <w:rPr>
          <w:rFonts w:hint="eastAsia"/>
          <w:szCs w:val="21"/>
        </w:rPr>
        <w:t>8</w:t>
      </w:r>
      <w:r>
        <w:rPr>
          <w:szCs w:val="21"/>
        </w:rPr>
        <w:t xml:space="preserve">.2.9 </w:t>
      </w:r>
      <w:r>
        <w:rPr>
          <w:rFonts w:hAnsi="宋体"/>
          <w:szCs w:val="21"/>
        </w:rPr>
        <w:t>将烧杯置于干燥箱中，无光环境下</w:t>
      </w:r>
      <w:r>
        <w:rPr>
          <w:szCs w:val="21"/>
        </w:rPr>
        <w:t>85±5</w:t>
      </w:r>
      <w:r>
        <w:rPr>
          <w:rFonts w:hAnsi="宋体"/>
          <w:szCs w:val="21"/>
        </w:rPr>
        <w:t>℃放置</w:t>
      </w:r>
      <w:r>
        <w:rPr>
          <w:szCs w:val="21"/>
        </w:rPr>
        <w:t>3</w:t>
      </w:r>
      <w:r>
        <w:rPr>
          <w:rFonts w:hAnsi="宋体"/>
          <w:szCs w:val="21"/>
        </w:rPr>
        <w:t>小时。</w:t>
      </w:r>
    </w:p>
    <w:p>
      <w:pPr>
        <w:spacing w:line="360" w:lineRule="auto"/>
        <w:ind w:firstLine="360"/>
        <w:rPr>
          <w:szCs w:val="21"/>
        </w:rPr>
      </w:pPr>
      <w:r>
        <w:rPr>
          <w:szCs w:val="21"/>
        </w:rPr>
        <w:t>A.</w:t>
      </w:r>
      <w:r>
        <w:rPr>
          <w:rFonts w:hint="eastAsia"/>
          <w:szCs w:val="21"/>
        </w:rPr>
        <w:t>8</w:t>
      </w:r>
      <w:r>
        <w:rPr>
          <w:szCs w:val="21"/>
        </w:rPr>
        <w:t xml:space="preserve">.2.10 </w:t>
      </w:r>
      <w:r>
        <w:rPr>
          <w:rFonts w:hAnsi="宋体"/>
          <w:szCs w:val="21"/>
        </w:rPr>
        <w:t>冷却后在</w:t>
      </w:r>
      <w:r>
        <w:rPr>
          <w:szCs w:val="21"/>
        </w:rPr>
        <w:t>TFE</w:t>
      </w:r>
      <w:r>
        <w:rPr>
          <w:rFonts w:hAnsi="宋体"/>
          <w:szCs w:val="21"/>
        </w:rPr>
        <w:t>碳氟脂棒在烧杯中树研磨试样。</w:t>
      </w:r>
    </w:p>
    <w:p>
      <w:pPr>
        <w:spacing w:line="360" w:lineRule="auto"/>
        <w:ind w:firstLine="360"/>
        <w:rPr>
          <w:szCs w:val="21"/>
        </w:rPr>
      </w:pPr>
      <w:r>
        <w:rPr>
          <w:szCs w:val="21"/>
        </w:rPr>
        <w:t>A.</w:t>
      </w:r>
      <w:r>
        <w:rPr>
          <w:rFonts w:hint="eastAsia"/>
          <w:szCs w:val="21"/>
        </w:rPr>
        <w:t>8</w:t>
      </w:r>
      <w:r>
        <w:rPr>
          <w:szCs w:val="21"/>
        </w:rPr>
        <w:t xml:space="preserve">.2.11 </w:t>
      </w:r>
      <w:r>
        <w:rPr>
          <w:rFonts w:hAnsi="宋体"/>
          <w:szCs w:val="21"/>
        </w:rPr>
        <w:t>将</w:t>
      </w:r>
      <w:r>
        <w:rPr>
          <w:szCs w:val="21"/>
        </w:rPr>
        <w:t>100mg</w:t>
      </w:r>
      <w:r>
        <w:rPr>
          <w:rFonts w:hAnsi="宋体"/>
          <w:szCs w:val="21"/>
        </w:rPr>
        <w:t>试样和</w:t>
      </w:r>
      <w:r>
        <w:rPr>
          <w:szCs w:val="21"/>
        </w:rPr>
        <w:t>100mgBaF</w:t>
      </w:r>
      <w:r>
        <w:rPr>
          <w:szCs w:val="21"/>
          <w:vertAlign w:val="subscript"/>
        </w:rPr>
        <w:t>2</w:t>
      </w:r>
      <w:r>
        <w:rPr>
          <w:szCs w:val="21"/>
        </w:rPr>
        <w:t>-</w:t>
      </w:r>
      <w:r>
        <w:rPr>
          <w:rFonts w:hAnsi="宋体"/>
          <w:szCs w:val="21"/>
        </w:rPr>
        <w:t>石墨载体在有塑料球的塑料瓶中用混合器混合</w:t>
      </w:r>
      <w:r>
        <w:rPr>
          <w:szCs w:val="21"/>
        </w:rPr>
        <w:t>30</w:t>
      </w:r>
      <w:r>
        <w:rPr>
          <w:rFonts w:hAnsi="宋体"/>
          <w:szCs w:val="21"/>
        </w:rPr>
        <w:t>秒。</w:t>
      </w:r>
    </w:p>
    <w:p>
      <w:pPr>
        <w:spacing w:line="360" w:lineRule="auto"/>
        <w:ind w:firstLine="360"/>
        <w:rPr>
          <w:szCs w:val="21"/>
        </w:rPr>
      </w:pPr>
      <w:r>
        <w:rPr>
          <w:rFonts w:hAnsi="宋体"/>
          <w:szCs w:val="21"/>
        </w:rPr>
        <w:t>注：载体实际为</w:t>
      </w:r>
      <w:r>
        <w:rPr>
          <w:szCs w:val="21"/>
        </w:rPr>
        <w:t>BaF</w:t>
      </w:r>
      <w:r>
        <w:rPr>
          <w:szCs w:val="21"/>
          <w:vertAlign w:val="subscript"/>
        </w:rPr>
        <w:t>2</w:t>
      </w:r>
      <w:r>
        <w:rPr>
          <w:rFonts w:hAnsi="宋体"/>
          <w:szCs w:val="21"/>
        </w:rPr>
        <w:t>和</w:t>
      </w:r>
      <w:r>
        <w:rPr>
          <w:szCs w:val="21"/>
        </w:rPr>
        <w:t>AgCl</w:t>
      </w:r>
      <w:r>
        <w:rPr>
          <w:rFonts w:hAnsi="宋体"/>
          <w:szCs w:val="21"/>
        </w:rPr>
        <w:t>的混合物。如果银在试样中没有转化为</w:t>
      </w:r>
      <w:r>
        <w:rPr>
          <w:szCs w:val="21"/>
        </w:rPr>
        <w:t>AgCl</w:t>
      </w:r>
      <w:r>
        <w:rPr>
          <w:rFonts w:hAnsi="宋体"/>
          <w:szCs w:val="21"/>
        </w:rPr>
        <w:t>，那么用</w:t>
      </w:r>
      <w:r>
        <w:rPr>
          <w:szCs w:val="21"/>
        </w:rPr>
        <w:t>BaF</w:t>
      </w:r>
      <w:r>
        <w:rPr>
          <w:szCs w:val="21"/>
          <w:vertAlign w:val="subscript"/>
        </w:rPr>
        <w:t>2</w:t>
      </w:r>
      <w:r>
        <w:rPr>
          <w:szCs w:val="21"/>
        </w:rPr>
        <w:t>-</w:t>
      </w:r>
      <w:r>
        <w:rPr>
          <w:rFonts w:hAnsi="宋体"/>
          <w:szCs w:val="21"/>
        </w:rPr>
        <w:t>石墨是不充分的。</w:t>
      </w:r>
    </w:p>
    <w:p>
      <w:pPr>
        <w:spacing w:line="360" w:lineRule="auto"/>
        <w:ind w:firstLine="360"/>
        <w:rPr>
          <w:szCs w:val="21"/>
        </w:rPr>
      </w:pPr>
      <w:r>
        <w:rPr>
          <w:szCs w:val="21"/>
        </w:rPr>
        <w:t>A.</w:t>
      </w:r>
      <w:r>
        <w:rPr>
          <w:rFonts w:hint="eastAsia"/>
          <w:szCs w:val="21"/>
        </w:rPr>
        <w:t>8</w:t>
      </w:r>
      <w:r>
        <w:rPr>
          <w:szCs w:val="21"/>
        </w:rPr>
        <w:t xml:space="preserve">.2.12 </w:t>
      </w:r>
      <w:r>
        <w:rPr>
          <w:rFonts w:hAnsi="宋体"/>
          <w:szCs w:val="21"/>
        </w:rPr>
        <w:t>称量两份</w:t>
      </w:r>
      <w:r>
        <w:rPr>
          <w:szCs w:val="21"/>
        </w:rPr>
        <w:t>50mg</w:t>
      </w:r>
      <w:r>
        <w:rPr>
          <w:rFonts w:hAnsi="宋体"/>
          <w:szCs w:val="21"/>
        </w:rPr>
        <w:t>的试样和标样物料，置于</w:t>
      </w:r>
      <w:r>
        <w:rPr>
          <w:szCs w:val="21"/>
        </w:rPr>
        <w:t>ASTM S-2</w:t>
      </w:r>
      <w:r>
        <w:rPr>
          <w:rFonts w:hAnsi="宋体"/>
          <w:szCs w:val="21"/>
        </w:rPr>
        <w:t>型阳极帽中。</w:t>
      </w:r>
    </w:p>
    <w:p>
      <w:pPr>
        <w:spacing w:line="360" w:lineRule="auto"/>
        <w:ind w:firstLine="360"/>
        <w:rPr>
          <w:szCs w:val="21"/>
        </w:rPr>
      </w:pPr>
      <w:r>
        <w:rPr>
          <w:szCs w:val="21"/>
        </w:rPr>
        <w:t>A.</w:t>
      </w:r>
      <w:r>
        <w:rPr>
          <w:rFonts w:hint="eastAsia"/>
          <w:szCs w:val="21"/>
        </w:rPr>
        <w:t>8</w:t>
      </w:r>
      <w:r>
        <w:rPr>
          <w:szCs w:val="21"/>
        </w:rPr>
        <w:t xml:space="preserve">.2.13 </w:t>
      </w:r>
      <w:r>
        <w:rPr>
          <w:rFonts w:hAnsi="宋体"/>
          <w:szCs w:val="21"/>
        </w:rPr>
        <w:t>拍打阳极帽使物料溢出，用以下条件进行激发。</w:t>
      </w:r>
    </w:p>
    <w:p>
      <w:pPr>
        <w:spacing w:line="360" w:lineRule="auto"/>
        <w:rPr>
          <w:szCs w:val="21"/>
        </w:rPr>
      </w:pPr>
      <w:r>
        <w:rPr>
          <w:szCs w:val="21"/>
        </w:rPr>
        <w:t>A.</w:t>
      </w:r>
      <w:r>
        <w:rPr>
          <w:rFonts w:hint="eastAsia"/>
          <w:szCs w:val="21"/>
        </w:rPr>
        <w:t>8</w:t>
      </w:r>
      <w:r>
        <w:rPr>
          <w:szCs w:val="21"/>
        </w:rPr>
        <w:t xml:space="preserve">.3 </w:t>
      </w:r>
      <w:r>
        <w:rPr>
          <w:rFonts w:hAnsi="宋体"/>
          <w:szCs w:val="21"/>
        </w:rPr>
        <w:t>光谱拍摄</w:t>
      </w:r>
      <w:r>
        <w:rPr>
          <w:szCs w:val="21"/>
        </w:rPr>
        <w:t>——</w:t>
      </w:r>
      <w:r>
        <w:rPr>
          <w:rFonts w:hAnsi="宋体"/>
          <w:szCs w:val="21"/>
        </w:rPr>
        <w:t>激发和曝光条件</w:t>
      </w:r>
      <w:r>
        <w:rPr>
          <w:rFonts w:hint="eastAsia" w:hAnsi="宋体"/>
          <w:szCs w:val="21"/>
        </w:rPr>
        <w:t>见表A.1。</w:t>
      </w:r>
    </w:p>
    <w:p>
      <w:pPr>
        <w:widowControl/>
        <w:jc w:val="center"/>
        <w:rPr>
          <w:szCs w:val="21"/>
        </w:rPr>
      </w:pPr>
      <w:r>
        <w:rPr>
          <w:szCs w:val="21"/>
        </w:rPr>
        <w:br w:type="page"/>
      </w:r>
      <w:r>
        <w:rPr>
          <w:rFonts w:hint="eastAsia" w:eastAsia="黑体"/>
          <w:szCs w:val="21"/>
        </w:rPr>
        <w:t>表A.1 激发和曝光条件</w:t>
      </w: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95"/>
        <w:gridCol w:w="4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放电</w:t>
            </w:r>
          </w:p>
        </w:tc>
        <w:tc>
          <w:tcPr>
            <w:tcW w:w="4077" w:type="dxa"/>
            <w:vAlign w:val="center"/>
          </w:tcPr>
          <w:p>
            <w:r>
              <w:rPr>
                <w:rFonts w:hint="eastAsia"/>
              </w:rPr>
              <w:t>直流</w:t>
            </w:r>
            <w:r>
              <w:t>电弧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电流</w:t>
            </w:r>
            <w:r>
              <w:rPr>
                <w:rFonts w:hint="eastAsia"/>
              </w:rPr>
              <w:t>/</w:t>
            </w:r>
            <w:r>
              <w:t>A</w:t>
            </w:r>
          </w:p>
        </w:tc>
        <w:tc>
          <w:tcPr>
            <w:tcW w:w="4077" w:type="dxa"/>
            <w:vAlign w:val="center"/>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电极帽</w:t>
            </w:r>
            <w:r>
              <w:rPr>
                <w:rFonts w:hint="eastAsia"/>
              </w:rPr>
              <w:t>/</w:t>
            </w:r>
            <w:r>
              <w:t>mm</w:t>
            </w:r>
          </w:p>
        </w:tc>
        <w:tc>
          <w:tcPr>
            <w:tcW w:w="4077" w:type="dxa"/>
            <w:vAlign w:val="center"/>
          </w:tcPr>
          <w:p>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预烧</w:t>
            </w:r>
            <w:r>
              <w:rPr>
                <w:rFonts w:hint="eastAsia"/>
              </w:rPr>
              <w:t>/</w:t>
            </w:r>
            <w:r>
              <w:t>s</w:t>
            </w:r>
          </w:p>
        </w:tc>
        <w:tc>
          <w:tcPr>
            <w:tcW w:w="4077" w:type="dxa"/>
            <w:vAlign w:val="center"/>
          </w:tcPr>
          <w:p>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曝光</w:t>
            </w:r>
            <w:r>
              <w:rPr>
                <w:rFonts w:hint="eastAsia"/>
              </w:rPr>
              <w:t>/</w:t>
            </w:r>
            <w:r>
              <w:t>s</w:t>
            </w:r>
          </w:p>
        </w:tc>
        <w:tc>
          <w:tcPr>
            <w:tcW w:w="4077" w:type="dxa"/>
            <w:vAlign w:val="center"/>
          </w:tcPr>
          <w:p>
            <w: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trPr>
        <w:tc>
          <w:tcPr>
            <w:tcW w:w="4395" w:type="dxa"/>
            <w:vAlign w:val="center"/>
          </w:tcPr>
          <w:p>
            <w:r>
              <w:t>光门宽度</w:t>
            </w:r>
            <w:r>
              <w:rPr>
                <w:rFonts w:hint="eastAsia"/>
              </w:rPr>
              <w:t>/</w:t>
            </w:r>
            <w:r>
              <w:t>цm</w:t>
            </w:r>
          </w:p>
        </w:tc>
        <w:tc>
          <w:tcPr>
            <w:tcW w:w="4077" w:type="dxa"/>
            <w:vAlign w:val="center"/>
          </w:tcPr>
          <w:p>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波长范围</w:t>
            </w:r>
            <w:r>
              <w:rPr>
                <w:rFonts w:hint="eastAsia"/>
              </w:rPr>
              <w:t>/</w:t>
            </w:r>
            <w:r>
              <w:t>nm</w:t>
            </w:r>
          </w:p>
        </w:tc>
        <w:tc>
          <w:tcPr>
            <w:tcW w:w="4077" w:type="dxa"/>
            <w:vAlign w:val="center"/>
          </w:tcPr>
          <w:p>
            <w:r>
              <w:t>210～440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exact"/>
        </w:trPr>
        <w:tc>
          <w:tcPr>
            <w:tcW w:w="4395" w:type="dxa"/>
            <w:vAlign w:val="center"/>
          </w:tcPr>
          <w:p>
            <w:r>
              <w:t>光传播</w:t>
            </w:r>
          </w:p>
          <w:p>
            <w:r>
              <w:t>总滤镜</w:t>
            </w:r>
          </w:p>
          <w:p>
            <w:r>
              <w:t>分滤镜</w:t>
            </w:r>
          </w:p>
        </w:tc>
        <w:tc>
          <w:tcPr>
            <w:tcW w:w="4077" w:type="dxa"/>
            <w:vAlign w:val="center"/>
          </w:tcPr>
          <w:p/>
          <w:p>
            <w:r>
              <w:t>25%T</w:t>
            </w:r>
          </w:p>
          <w:p>
            <w:r>
              <w:t>100/10%T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4395" w:type="dxa"/>
            <w:vAlign w:val="center"/>
          </w:tcPr>
          <w:p>
            <w:r>
              <w:t>感光剂</w:t>
            </w:r>
          </w:p>
        </w:tc>
        <w:tc>
          <w:tcPr>
            <w:tcW w:w="4077" w:type="dxa"/>
            <w:vAlign w:val="center"/>
          </w:tcPr>
          <w:p>
            <w:r>
              <w:t>SA#1</w:t>
            </w:r>
          </w:p>
        </w:tc>
      </w:tr>
    </w:tbl>
    <w:p>
      <w:pPr>
        <w:spacing w:line="360" w:lineRule="auto"/>
        <w:rPr>
          <w:szCs w:val="21"/>
        </w:rPr>
      </w:pPr>
    </w:p>
    <w:p>
      <w:pPr>
        <w:spacing w:line="360" w:lineRule="auto"/>
        <w:rPr>
          <w:szCs w:val="21"/>
        </w:rPr>
      </w:pPr>
      <w:r>
        <w:rPr>
          <w:szCs w:val="21"/>
        </w:rPr>
        <w:t>A.</w:t>
      </w:r>
      <w:r>
        <w:rPr>
          <w:rFonts w:hint="eastAsia"/>
          <w:szCs w:val="21"/>
        </w:rPr>
        <w:t>8</w:t>
      </w:r>
      <w:r>
        <w:rPr>
          <w:szCs w:val="21"/>
        </w:rPr>
        <w:t xml:space="preserve">.4 </w:t>
      </w:r>
      <w:r>
        <w:rPr>
          <w:rFonts w:hAnsi="宋体"/>
          <w:szCs w:val="21"/>
        </w:rPr>
        <w:t>拍摄过程</w:t>
      </w:r>
      <w:r>
        <w:rPr>
          <w:szCs w:val="21"/>
        </w:rPr>
        <w:t>——</w:t>
      </w:r>
      <w:r>
        <w:rPr>
          <w:rFonts w:hAnsi="宋体"/>
          <w:szCs w:val="21"/>
        </w:rPr>
        <w:t>按</w:t>
      </w:r>
      <w:r>
        <w:rPr>
          <w:szCs w:val="21"/>
        </w:rPr>
        <w:t>E115</w:t>
      </w:r>
      <w:r>
        <w:rPr>
          <w:rFonts w:hAnsi="宋体"/>
          <w:szCs w:val="21"/>
        </w:rPr>
        <w:t>准则进行</w:t>
      </w:r>
    </w:p>
    <w:p>
      <w:pPr>
        <w:pStyle w:val="2"/>
        <w:spacing w:before="240" w:after="240" w:line="360" w:lineRule="auto"/>
      </w:pPr>
      <w:r>
        <w:t>A.</w:t>
      </w:r>
      <w:r>
        <w:rPr>
          <w:rFonts w:hint="eastAsia"/>
        </w:rPr>
        <w:t>9</w:t>
      </w:r>
      <w:r>
        <w:t>计算</w:t>
      </w:r>
    </w:p>
    <w:p>
      <w:pPr>
        <w:spacing w:line="360" w:lineRule="auto"/>
        <w:ind w:firstLine="315" w:firstLineChars="150"/>
        <w:rPr>
          <w:szCs w:val="21"/>
        </w:rPr>
      </w:pPr>
      <w:r>
        <w:rPr>
          <w:rFonts w:hAnsi="宋体"/>
          <w:szCs w:val="21"/>
        </w:rPr>
        <w:t>用肉眼比较试样杂质谱线和标准谱线的</w:t>
      </w:r>
      <w:r>
        <w:rPr>
          <w:rFonts w:hint="eastAsia" w:hAnsi="宋体"/>
          <w:szCs w:val="21"/>
        </w:rPr>
        <w:t>黑</w:t>
      </w:r>
      <w:r>
        <w:rPr>
          <w:rFonts w:hAnsi="宋体"/>
          <w:szCs w:val="21"/>
        </w:rPr>
        <w:t>度。用表</w:t>
      </w:r>
      <w:r>
        <w:rPr>
          <w:rFonts w:hint="eastAsia" w:hAnsi="宋体"/>
          <w:szCs w:val="21"/>
        </w:rPr>
        <w:t>A.2</w:t>
      </w:r>
      <w:r>
        <w:rPr>
          <w:rFonts w:hAnsi="宋体"/>
          <w:szCs w:val="21"/>
        </w:rPr>
        <w:t>中的谱线估计杂质浓度。</w:t>
      </w:r>
    </w:p>
    <w:p>
      <w:pPr>
        <w:widowControl/>
        <w:jc w:val="center"/>
        <w:rPr>
          <w:rFonts w:eastAsia="黑体"/>
          <w:szCs w:val="21"/>
        </w:rPr>
      </w:pPr>
      <w:r>
        <w:rPr>
          <w:rFonts w:hint="eastAsia" w:eastAsia="黑体"/>
          <w:szCs w:val="21"/>
        </w:rPr>
        <w:t>表A.2</w:t>
      </w:r>
      <w:r>
        <w:rPr>
          <w:rFonts w:eastAsia="黑体"/>
          <w:szCs w:val="21"/>
        </w:rPr>
        <w:t>谱线</w:t>
      </w:r>
    </w:p>
    <w:tbl>
      <w:tblPr>
        <w:tblStyle w:val="12"/>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74"/>
        <w:gridCol w:w="2841"/>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元素</w:t>
            </w:r>
          </w:p>
        </w:tc>
        <w:tc>
          <w:tcPr>
            <w:tcW w:w="2841" w:type="dxa"/>
            <w:vAlign w:val="center"/>
          </w:tcPr>
          <w:p>
            <w:pPr>
              <w:jc w:val="center"/>
            </w:pPr>
            <w:r>
              <w:t>波长</w:t>
            </w:r>
            <w:r>
              <w:rPr>
                <w:rFonts w:hint="eastAsia"/>
              </w:rPr>
              <w:t>/</w:t>
            </w:r>
            <w:r>
              <w:t>nm</w:t>
            </w:r>
          </w:p>
        </w:tc>
        <w:tc>
          <w:tcPr>
            <w:tcW w:w="2791" w:type="dxa"/>
            <w:vAlign w:val="center"/>
          </w:tcPr>
          <w:p>
            <w:pPr>
              <w:jc w:val="center"/>
            </w:pPr>
            <w:r>
              <w:t>浓度范围</w:t>
            </w:r>
            <w:r>
              <w:rPr>
                <w:rFonts w:hint="eastAsia"/>
              </w:rPr>
              <w:t>/(</w:t>
            </w:r>
            <w:r>
              <w:t>цg/g</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Al</w:t>
            </w:r>
          </w:p>
        </w:tc>
        <w:tc>
          <w:tcPr>
            <w:tcW w:w="2841" w:type="dxa"/>
            <w:vAlign w:val="center"/>
          </w:tcPr>
          <w:p>
            <w:pPr>
              <w:jc w:val="center"/>
            </w:pPr>
            <w:r>
              <w:t>256.80</w:t>
            </w:r>
            <w:r>
              <w:rPr>
                <w:rFonts w:hint="eastAsia"/>
              </w:rPr>
              <w:t>,</w:t>
            </w:r>
            <w:r>
              <w:t xml:space="preserve">308.22 </w:t>
            </w:r>
            <w:r>
              <w:rPr>
                <w:rFonts w:hint="eastAsia"/>
              </w:rPr>
              <w:t>,</w:t>
            </w:r>
            <w:r>
              <w:t>309.27</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As</w:t>
            </w:r>
          </w:p>
        </w:tc>
        <w:tc>
          <w:tcPr>
            <w:tcW w:w="2841" w:type="dxa"/>
            <w:vAlign w:val="center"/>
          </w:tcPr>
          <w:p>
            <w:pPr>
              <w:jc w:val="center"/>
            </w:pPr>
            <w:r>
              <w:t>234.98</w:t>
            </w:r>
          </w:p>
        </w:tc>
        <w:tc>
          <w:tcPr>
            <w:tcW w:w="2791" w:type="dxa"/>
            <w:vAlign w:val="center"/>
          </w:tcPr>
          <w:p>
            <w:pPr>
              <w:jc w:val="center"/>
            </w:pPr>
            <w:r>
              <w:t>50～500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B</w:t>
            </w:r>
          </w:p>
        </w:tc>
        <w:tc>
          <w:tcPr>
            <w:tcW w:w="2841" w:type="dxa"/>
            <w:vAlign w:val="center"/>
          </w:tcPr>
          <w:p>
            <w:pPr>
              <w:jc w:val="center"/>
            </w:pPr>
            <w:r>
              <w:t>249.68</w:t>
            </w:r>
            <w:r>
              <w:rPr>
                <w:rFonts w:hint="eastAsia"/>
              </w:rPr>
              <w:t>,</w:t>
            </w:r>
            <w:r>
              <w:t>249.77</w:t>
            </w:r>
          </w:p>
        </w:tc>
        <w:tc>
          <w:tcPr>
            <w:tcW w:w="2791" w:type="dxa"/>
            <w:vAlign w:val="center"/>
          </w:tcPr>
          <w:p>
            <w:pPr>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Be</w:t>
            </w:r>
          </w:p>
        </w:tc>
        <w:tc>
          <w:tcPr>
            <w:tcW w:w="2841" w:type="dxa"/>
            <w:vAlign w:val="center"/>
          </w:tcPr>
          <w:p>
            <w:pPr>
              <w:jc w:val="center"/>
            </w:pPr>
            <w:r>
              <w:t>234.86</w:t>
            </w:r>
          </w:p>
        </w:tc>
        <w:tc>
          <w:tcPr>
            <w:tcW w:w="2791" w:type="dxa"/>
            <w:vAlign w:val="center"/>
          </w:tcPr>
          <w:p>
            <w:pPr>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Bi</w:t>
            </w:r>
          </w:p>
        </w:tc>
        <w:tc>
          <w:tcPr>
            <w:tcW w:w="2841" w:type="dxa"/>
            <w:vAlign w:val="center"/>
          </w:tcPr>
          <w:p>
            <w:pPr>
              <w:jc w:val="center"/>
            </w:pPr>
            <w:r>
              <w:t>306.77</w:t>
            </w:r>
          </w:p>
        </w:tc>
        <w:tc>
          <w:tcPr>
            <w:tcW w:w="2791" w:type="dxa"/>
            <w:vAlign w:val="center"/>
          </w:tcPr>
          <w:p>
            <w:pPr>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Ca</w:t>
            </w:r>
          </w:p>
        </w:tc>
        <w:tc>
          <w:tcPr>
            <w:tcW w:w="2841" w:type="dxa"/>
            <w:vAlign w:val="center"/>
          </w:tcPr>
          <w:p>
            <w:pPr>
              <w:jc w:val="center"/>
            </w:pPr>
            <w:r>
              <w:t>393.37,422.67</w:t>
            </w:r>
          </w:p>
        </w:tc>
        <w:tc>
          <w:tcPr>
            <w:tcW w:w="2791" w:type="dxa"/>
            <w:vAlign w:val="center"/>
          </w:tcPr>
          <w:p>
            <w:pPr>
              <w:jc w:val="center"/>
            </w:pPr>
            <w:r>
              <w:t>50～1000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Co</w:t>
            </w:r>
          </w:p>
        </w:tc>
        <w:tc>
          <w:tcPr>
            <w:tcW w:w="2841" w:type="dxa"/>
            <w:vAlign w:val="center"/>
          </w:tcPr>
          <w:p>
            <w:pPr>
              <w:jc w:val="center"/>
            </w:pPr>
            <w:r>
              <w:t>240.72,304.40</w:t>
            </w:r>
          </w:p>
        </w:tc>
        <w:tc>
          <w:tcPr>
            <w:tcW w:w="2791" w:type="dxa"/>
            <w:vAlign w:val="center"/>
          </w:tcPr>
          <w:p>
            <w:pPr>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Cr</w:t>
            </w:r>
          </w:p>
        </w:tc>
        <w:tc>
          <w:tcPr>
            <w:tcW w:w="2841" w:type="dxa"/>
            <w:vAlign w:val="center"/>
          </w:tcPr>
          <w:p>
            <w:pPr>
              <w:jc w:val="center"/>
            </w:pPr>
            <w:r>
              <w:t>283.56</w:t>
            </w:r>
          </w:p>
        </w:tc>
        <w:tc>
          <w:tcPr>
            <w:tcW w:w="2791" w:type="dxa"/>
            <w:vAlign w:val="center"/>
          </w:tcPr>
          <w:p>
            <w:pPr>
              <w:jc w:val="center"/>
            </w:pPr>
            <w:r>
              <w:t>10～1000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Cu</w:t>
            </w:r>
          </w:p>
        </w:tc>
        <w:tc>
          <w:tcPr>
            <w:tcW w:w="2841" w:type="dxa"/>
            <w:vAlign w:val="center"/>
          </w:tcPr>
          <w:p>
            <w:pPr>
              <w:jc w:val="center"/>
            </w:pPr>
            <w:r>
              <w:t>324.75,327.40</w:t>
            </w:r>
          </w:p>
        </w:tc>
        <w:tc>
          <w:tcPr>
            <w:tcW w:w="2791" w:type="dxa"/>
            <w:vAlign w:val="center"/>
          </w:tcPr>
          <w:p>
            <w:pPr>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Fe</w:t>
            </w:r>
          </w:p>
        </w:tc>
        <w:tc>
          <w:tcPr>
            <w:tcW w:w="2841" w:type="dxa"/>
            <w:vAlign w:val="center"/>
          </w:tcPr>
          <w:p>
            <w:pPr>
              <w:jc w:val="center"/>
            </w:pPr>
            <w:r>
              <w:t>283.56,302.06</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Mg</w:t>
            </w:r>
          </w:p>
        </w:tc>
        <w:tc>
          <w:tcPr>
            <w:tcW w:w="2841" w:type="dxa"/>
            <w:vAlign w:val="center"/>
          </w:tcPr>
          <w:p>
            <w:pPr>
              <w:jc w:val="center"/>
            </w:pPr>
            <w:r>
              <w:t>279.55,280.11</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Mn</w:t>
            </w:r>
          </w:p>
        </w:tc>
        <w:tc>
          <w:tcPr>
            <w:tcW w:w="2841" w:type="dxa"/>
            <w:vAlign w:val="center"/>
          </w:tcPr>
          <w:p>
            <w:pPr>
              <w:jc w:val="center"/>
            </w:pPr>
            <w:r>
              <w:t>279.83,280.11</w:t>
            </w:r>
          </w:p>
        </w:tc>
        <w:tc>
          <w:tcPr>
            <w:tcW w:w="2791" w:type="dxa"/>
            <w:vAlign w:val="center"/>
          </w:tcPr>
          <w:p>
            <w:pPr>
              <w:jc w:val="center"/>
            </w:pPr>
            <w:r>
              <w:t>10～500</w:t>
            </w:r>
          </w:p>
        </w:tc>
      </w:tr>
    </w:tbl>
    <w:p>
      <w:pPr>
        <w:widowControl/>
        <w:jc w:val="center"/>
        <w:rPr>
          <w:rFonts w:eastAsia="黑体"/>
          <w:szCs w:val="21"/>
        </w:rPr>
      </w:pPr>
      <w:r>
        <w:rPr>
          <w:rFonts w:hint="eastAsia" w:eastAsia="黑体"/>
          <w:szCs w:val="21"/>
        </w:rPr>
        <w:t>表A.2(续)</w:t>
      </w:r>
    </w:p>
    <w:tbl>
      <w:tblPr>
        <w:tblStyle w:val="12"/>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74"/>
        <w:gridCol w:w="2841"/>
        <w:gridCol w:w="27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Mo</w:t>
            </w:r>
          </w:p>
        </w:tc>
        <w:tc>
          <w:tcPr>
            <w:tcW w:w="2841" w:type="dxa"/>
            <w:vAlign w:val="center"/>
          </w:tcPr>
          <w:p>
            <w:pPr>
              <w:jc w:val="center"/>
            </w:pPr>
            <w:r>
              <w:t>317.04,313.26</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Na</w:t>
            </w:r>
          </w:p>
        </w:tc>
        <w:tc>
          <w:tcPr>
            <w:tcW w:w="2841" w:type="dxa"/>
            <w:vAlign w:val="center"/>
          </w:tcPr>
          <w:p>
            <w:pPr>
              <w:jc w:val="center"/>
            </w:pPr>
            <w:r>
              <w:t>330.23</w:t>
            </w:r>
          </w:p>
        </w:tc>
        <w:tc>
          <w:tcPr>
            <w:tcW w:w="2791" w:type="dxa"/>
            <w:vAlign w:val="center"/>
          </w:tcPr>
          <w:p>
            <w:pPr>
              <w:jc w:val="center"/>
            </w:pPr>
            <w:r>
              <w:t>50～500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Ni</w:t>
            </w:r>
          </w:p>
        </w:tc>
        <w:tc>
          <w:tcPr>
            <w:tcW w:w="2841" w:type="dxa"/>
            <w:vAlign w:val="center"/>
          </w:tcPr>
          <w:p>
            <w:pPr>
              <w:jc w:val="center"/>
            </w:pPr>
            <w:r>
              <w:t>305.08,300.25</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P</w:t>
            </w:r>
          </w:p>
        </w:tc>
        <w:tc>
          <w:tcPr>
            <w:tcW w:w="2841" w:type="dxa"/>
            <w:vAlign w:val="center"/>
          </w:tcPr>
          <w:p>
            <w:pPr>
              <w:jc w:val="center"/>
            </w:pPr>
            <w:r>
              <w:t>255.33</w:t>
            </w:r>
          </w:p>
        </w:tc>
        <w:tc>
          <w:tcPr>
            <w:tcW w:w="2791" w:type="dxa"/>
            <w:vAlign w:val="center"/>
          </w:tcPr>
          <w:p>
            <w:pPr>
              <w:jc w:val="center"/>
            </w:pPr>
            <w:r>
              <w:t>100～1000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Pb</w:t>
            </w:r>
          </w:p>
        </w:tc>
        <w:tc>
          <w:tcPr>
            <w:tcW w:w="2841" w:type="dxa"/>
            <w:vAlign w:val="center"/>
          </w:tcPr>
          <w:p>
            <w:pPr>
              <w:jc w:val="center"/>
            </w:pPr>
            <w:r>
              <w:t>283.31,261.42</w:t>
            </w:r>
          </w:p>
        </w:tc>
        <w:tc>
          <w:tcPr>
            <w:tcW w:w="2791" w:type="dxa"/>
            <w:vAlign w:val="center"/>
          </w:tcPr>
          <w:p>
            <w:pPr>
              <w:jc w:val="center"/>
            </w:pPr>
            <w:r>
              <w:t>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Si</w:t>
            </w:r>
          </w:p>
        </w:tc>
        <w:tc>
          <w:tcPr>
            <w:tcW w:w="2841" w:type="dxa"/>
            <w:vAlign w:val="center"/>
          </w:tcPr>
          <w:p>
            <w:pPr>
              <w:jc w:val="center"/>
            </w:pPr>
            <w:r>
              <w:t>251.61,251.43</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Sn</w:t>
            </w:r>
          </w:p>
        </w:tc>
        <w:tc>
          <w:tcPr>
            <w:tcW w:w="2841" w:type="dxa"/>
            <w:vAlign w:val="center"/>
          </w:tcPr>
          <w:p>
            <w:pPr>
              <w:jc w:val="center"/>
            </w:pPr>
            <w:r>
              <w:t>284.00,317.50</w:t>
            </w:r>
          </w:p>
        </w:tc>
        <w:tc>
          <w:tcPr>
            <w:tcW w:w="2791" w:type="dxa"/>
            <w:vAlign w:val="center"/>
          </w:tcPr>
          <w:p>
            <w:pPr>
              <w:jc w:val="center"/>
            </w:pPr>
            <w:r>
              <w:t>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Ti</w:t>
            </w:r>
          </w:p>
        </w:tc>
        <w:tc>
          <w:tcPr>
            <w:tcW w:w="2841" w:type="dxa"/>
            <w:vAlign w:val="center"/>
          </w:tcPr>
          <w:p>
            <w:pPr>
              <w:jc w:val="center"/>
            </w:pPr>
            <w:r>
              <w:t>334.90,322.35</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V</w:t>
            </w:r>
          </w:p>
        </w:tc>
        <w:tc>
          <w:tcPr>
            <w:tcW w:w="2841" w:type="dxa"/>
            <w:vAlign w:val="center"/>
          </w:tcPr>
          <w:p>
            <w:pPr>
              <w:jc w:val="center"/>
            </w:pPr>
            <w:r>
              <w:t>318.34,318.40</w:t>
            </w:r>
          </w:p>
        </w:tc>
        <w:tc>
          <w:tcPr>
            <w:tcW w:w="2791" w:type="dxa"/>
            <w:vAlign w:val="center"/>
          </w:tcPr>
          <w:p>
            <w:pPr>
              <w:jc w:val="center"/>
            </w:pPr>
            <w:r>
              <w:t>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Zn</w:t>
            </w:r>
          </w:p>
        </w:tc>
        <w:tc>
          <w:tcPr>
            <w:tcW w:w="2841" w:type="dxa"/>
            <w:vAlign w:val="center"/>
          </w:tcPr>
          <w:p>
            <w:pPr>
              <w:jc w:val="center"/>
            </w:pPr>
            <w:r>
              <w:t>334.50</w:t>
            </w:r>
            <w:r>
              <w:rPr>
                <w:rFonts w:hint="eastAsia"/>
              </w:rPr>
              <w:t>,</w:t>
            </w:r>
            <w:r>
              <w:t>330.26</w:t>
            </w:r>
          </w:p>
        </w:tc>
        <w:tc>
          <w:tcPr>
            <w:tcW w:w="2791" w:type="dxa"/>
            <w:vAlign w:val="center"/>
          </w:tcPr>
          <w:p>
            <w:pPr>
              <w:jc w:val="center"/>
            </w:pPr>
            <w:r>
              <w:t>10～500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874" w:type="dxa"/>
            <w:vAlign w:val="center"/>
          </w:tcPr>
          <w:p>
            <w:pPr>
              <w:jc w:val="center"/>
            </w:pPr>
            <w:r>
              <w:t>Zr</w:t>
            </w:r>
          </w:p>
        </w:tc>
        <w:tc>
          <w:tcPr>
            <w:tcW w:w="2841" w:type="dxa"/>
            <w:vAlign w:val="center"/>
          </w:tcPr>
          <w:p>
            <w:pPr>
              <w:jc w:val="center"/>
            </w:pPr>
            <w:r>
              <w:t>339.20</w:t>
            </w:r>
            <w:r>
              <w:rPr>
                <w:rFonts w:hint="eastAsia"/>
              </w:rPr>
              <w:t>,</w:t>
            </w:r>
            <w:r>
              <w:t>334.82</w:t>
            </w:r>
          </w:p>
        </w:tc>
        <w:tc>
          <w:tcPr>
            <w:tcW w:w="2791" w:type="dxa"/>
            <w:vAlign w:val="center"/>
          </w:tcPr>
          <w:p>
            <w:pPr>
              <w:jc w:val="center"/>
            </w:pPr>
            <w:r>
              <w:t>100～1000</w:t>
            </w:r>
          </w:p>
        </w:tc>
      </w:tr>
    </w:tbl>
    <w:p/>
    <w:p>
      <w:pPr>
        <w:pStyle w:val="2"/>
        <w:spacing w:before="240" w:after="240" w:line="360" w:lineRule="auto"/>
      </w:pPr>
      <w:r>
        <w:t>A.</w:t>
      </w:r>
      <w:r>
        <w:rPr>
          <w:rFonts w:hint="eastAsia"/>
        </w:rPr>
        <w:t>10</w:t>
      </w:r>
      <w:r>
        <w:t xml:space="preserve"> 精度和误差</w:t>
      </w:r>
    </w:p>
    <w:p>
      <w:pPr>
        <w:spacing w:line="360" w:lineRule="auto"/>
        <w:rPr>
          <w:szCs w:val="21"/>
        </w:rPr>
      </w:pPr>
      <w:r>
        <w:rPr>
          <w:szCs w:val="21"/>
        </w:rPr>
        <w:t>A.</w:t>
      </w:r>
      <w:r>
        <w:rPr>
          <w:rFonts w:hint="eastAsia"/>
          <w:szCs w:val="21"/>
        </w:rPr>
        <w:t>10</w:t>
      </w:r>
      <w:r>
        <w:rPr>
          <w:szCs w:val="21"/>
        </w:rPr>
        <w:t xml:space="preserve">.1 </w:t>
      </w:r>
      <w:r>
        <w:rPr>
          <w:rFonts w:hAnsi="宋体"/>
          <w:szCs w:val="21"/>
        </w:rPr>
        <w:t>精度</w:t>
      </w:r>
      <w:r>
        <w:rPr>
          <w:szCs w:val="21"/>
        </w:rPr>
        <w:t>——</w:t>
      </w:r>
      <w:r>
        <w:rPr>
          <w:rFonts w:hAnsi="宋体"/>
          <w:szCs w:val="21"/>
        </w:rPr>
        <w:t>用肉眼比较试样谱线和标样谱线，有经验的分析人员的分析结果误差在两个指数范围内，即杂质试剂浓度的</w:t>
      </w:r>
      <w:r>
        <w:rPr>
          <w:szCs w:val="21"/>
        </w:rPr>
        <w:t>50%</w:t>
      </w:r>
      <w:r>
        <w:rPr>
          <w:rFonts w:hAnsi="宋体"/>
          <w:szCs w:val="21"/>
        </w:rPr>
        <w:t>～</w:t>
      </w:r>
      <w:r>
        <w:rPr>
          <w:szCs w:val="21"/>
        </w:rPr>
        <w:t>200%</w:t>
      </w:r>
      <w:r>
        <w:rPr>
          <w:rFonts w:hAnsi="宋体"/>
          <w:szCs w:val="21"/>
        </w:rPr>
        <w:t>。</w:t>
      </w:r>
    </w:p>
    <w:p>
      <w:pPr>
        <w:spacing w:line="360" w:lineRule="auto"/>
        <w:rPr>
          <w:szCs w:val="21"/>
        </w:rPr>
      </w:pPr>
      <w:r>
        <w:rPr>
          <w:szCs w:val="21"/>
        </w:rPr>
        <w:t>A.</w:t>
      </w:r>
      <w:r>
        <w:rPr>
          <w:rFonts w:hint="eastAsia"/>
          <w:szCs w:val="21"/>
        </w:rPr>
        <w:t>10</w:t>
      </w:r>
      <w:r>
        <w:rPr>
          <w:szCs w:val="21"/>
        </w:rPr>
        <w:t xml:space="preserve">.2 </w:t>
      </w:r>
      <w:r>
        <w:rPr>
          <w:rFonts w:hAnsi="宋体"/>
          <w:szCs w:val="21"/>
        </w:rPr>
        <w:t>误差</w:t>
      </w:r>
      <w:r>
        <w:rPr>
          <w:szCs w:val="21"/>
        </w:rPr>
        <w:t>——</w:t>
      </w:r>
      <w:r>
        <w:rPr>
          <w:rFonts w:hAnsi="宋体"/>
          <w:szCs w:val="21"/>
        </w:rPr>
        <w:t>由于没有关于该方法误差的可信文献材料，所以无法确定误差范围。</w:t>
      </w:r>
    </w:p>
    <w:p>
      <w:pPr>
        <w:widowControl/>
        <w:spacing w:line="360" w:lineRule="auto"/>
        <w:jc w:val="left"/>
        <w:rPr>
          <w:kern w:val="0"/>
          <w:szCs w:val="20"/>
        </w:rPr>
      </w:pPr>
    </w:p>
    <w:p>
      <w:pPr>
        <w:pStyle w:val="46"/>
        <w:numPr>
          <w:ilvl w:val="0"/>
          <w:numId w:val="0"/>
        </w:numPr>
        <w:spacing w:line="360" w:lineRule="auto"/>
        <w:jc w:val="center"/>
        <w:rPr>
          <w:rFonts w:eastAsia="黑体"/>
          <w:szCs w:val="21"/>
        </w:rPr>
      </w:pPr>
      <w:r>
        <w:rPr>
          <w:rFonts w:eastAsia="黑体"/>
          <w:szCs w:val="21"/>
        </w:rPr>
        <w:br w:type="page"/>
      </w:r>
      <w:r>
        <w:rPr>
          <w:rFonts w:eastAsia="黑体"/>
          <w:szCs w:val="21"/>
        </w:rPr>
        <w:t>附录</w:t>
      </w:r>
      <w:r>
        <w:rPr>
          <w:rFonts w:hint="eastAsia" w:eastAsia="黑体"/>
          <w:szCs w:val="21"/>
        </w:rPr>
        <w:t>B</w:t>
      </w:r>
    </w:p>
    <w:p>
      <w:pPr>
        <w:pStyle w:val="46"/>
        <w:numPr>
          <w:ilvl w:val="0"/>
          <w:numId w:val="0"/>
        </w:numPr>
        <w:spacing w:line="360" w:lineRule="auto"/>
        <w:jc w:val="center"/>
        <w:rPr>
          <w:rFonts w:eastAsia="黑体"/>
          <w:szCs w:val="21"/>
        </w:rPr>
      </w:pPr>
      <w:r>
        <w:rPr>
          <w:rFonts w:eastAsia="黑体"/>
          <w:szCs w:val="21"/>
        </w:rPr>
        <w:t>（规范性）</w:t>
      </w:r>
    </w:p>
    <w:p>
      <w:pPr>
        <w:pStyle w:val="46"/>
        <w:numPr>
          <w:ilvl w:val="0"/>
          <w:numId w:val="0"/>
        </w:numPr>
        <w:spacing w:line="360" w:lineRule="auto"/>
        <w:jc w:val="center"/>
        <w:rPr>
          <w:rFonts w:eastAsia="黑体"/>
          <w:szCs w:val="21"/>
        </w:rPr>
      </w:pPr>
      <w:r>
        <w:rPr>
          <w:rFonts w:eastAsia="黑体"/>
          <w:szCs w:val="21"/>
        </w:rPr>
        <w:t>涡流探伤检测方法</w:t>
      </w:r>
    </w:p>
    <w:p>
      <w:pPr>
        <w:pStyle w:val="2"/>
        <w:spacing w:before="240" w:after="240"/>
      </w:pPr>
      <w:r>
        <w:rPr>
          <w:rFonts w:hint="eastAsia"/>
        </w:rPr>
        <w:t>B</w:t>
      </w:r>
      <w:r>
        <w:t>.1适用范围</w:t>
      </w:r>
    </w:p>
    <w:p>
      <w:pPr>
        <w:spacing w:line="360" w:lineRule="auto"/>
        <w:ind w:firstLine="420" w:firstLineChars="200"/>
        <w:rPr>
          <w:szCs w:val="21"/>
        </w:rPr>
      </w:pPr>
      <w:r>
        <w:rPr>
          <w:szCs w:val="21"/>
        </w:rPr>
        <w:t>本方法规定了核级银-铟-镉合金棒材涡流探伤的检验要求、对比试样、检验设备、检验条件和检验步骤、结果评定、检验报告等。</w:t>
      </w:r>
    </w:p>
    <w:p>
      <w:pPr>
        <w:spacing w:line="360" w:lineRule="auto"/>
        <w:ind w:firstLine="420" w:firstLineChars="200"/>
        <w:rPr>
          <w:szCs w:val="21"/>
        </w:rPr>
      </w:pPr>
      <w:r>
        <w:rPr>
          <w:szCs w:val="21"/>
        </w:rPr>
        <w:t>本方法适用于Φ6mm~Φ12mm的核级银-铟-镉合金棒材的涡流检测。</w:t>
      </w:r>
    </w:p>
    <w:p>
      <w:pPr>
        <w:spacing w:line="360" w:lineRule="auto"/>
        <w:ind w:firstLine="420" w:firstLineChars="200"/>
        <w:rPr>
          <w:szCs w:val="21"/>
        </w:rPr>
      </w:pPr>
      <w:r>
        <w:rPr>
          <w:szCs w:val="21"/>
        </w:rPr>
        <w:t>其他规格可参照本标准执行。</w:t>
      </w:r>
    </w:p>
    <w:p>
      <w:pPr>
        <w:pStyle w:val="2"/>
        <w:spacing w:before="240" w:after="240"/>
      </w:pPr>
      <w:r>
        <w:rPr>
          <w:rFonts w:hint="eastAsia"/>
        </w:rPr>
        <w:t>B</w:t>
      </w:r>
      <w:r>
        <w:t>.2参考文件</w:t>
      </w:r>
    </w:p>
    <w:p>
      <w:pPr>
        <w:spacing w:line="360" w:lineRule="auto"/>
        <w:ind w:firstLine="420" w:firstLineChars="200"/>
        <w:rPr>
          <w:szCs w:val="21"/>
        </w:rPr>
      </w:pPr>
      <w:r>
        <w:rPr>
          <w:szCs w:val="21"/>
        </w:rPr>
        <w:t>GB/T 9445    无损检测  人员资格鉴定与认证（GB/T 9445-2008，ISO 9712:2005，IDT）</w:t>
      </w:r>
    </w:p>
    <w:p>
      <w:pPr>
        <w:spacing w:line="360" w:lineRule="auto"/>
        <w:ind w:firstLine="420" w:firstLineChars="200"/>
        <w:rPr>
          <w:szCs w:val="21"/>
        </w:rPr>
      </w:pPr>
      <w:r>
        <w:rPr>
          <w:szCs w:val="21"/>
        </w:rPr>
        <w:t>GB/T 12604.6  无损检测    术语   涡流检测</w:t>
      </w:r>
    </w:p>
    <w:p>
      <w:pPr>
        <w:spacing w:line="360" w:lineRule="auto"/>
        <w:ind w:firstLine="420" w:firstLineChars="200"/>
        <w:rPr>
          <w:szCs w:val="21"/>
        </w:rPr>
      </w:pPr>
      <w:r>
        <w:rPr>
          <w:szCs w:val="21"/>
        </w:rPr>
        <w:t>GB/T 14480   涡流探伤系统性能测试方法</w:t>
      </w:r>
    </w:p>
    <w:p>
      <w:pPr>
        <w:spacing w:line="360" w:lineRule="auto"/>
        <w:ind w:firstLine="420" w:firstLineChars="200"/>
        <w:rPr>
          <w:szCs w:val="21"/>
        </w:rPr>
      </w:pPr>
      <w:r>
        <w:rPr>
          <w:szCs w:val="21"/>
        </w:rPr>
        <w:t>GJB 2908-97   涡流检验方法</w:t>
      </w:r>
    </w:p>
    <w:p>
      <w:pPr>
        <w:pStyle w:val="2"/>
        <w:spacing w:before="240" w:after="240"/>
      </w:pPr>
      <w:r>
        <w:rPr>
          <w:rFonts w:hint="eastAsia"/>
        </w:rPr>
        <w:t>B</w:t>
      </w:r>
      <w:r>
        <w:t>.</w:t>
      </w:r>
      <w:r>
        <w:rPr>
          <w:rFonts w:hint="eastAsia"/>
        </w:rPr>
        <w:t>3</w:t>
      </w:r>
      <w:r>
        <w:t>检测要求</w:t>
      </w:r>
    </w:p>
    <w:p>
      <w:pPr>
        <w:spacing w:line="360" w:lineRule="auto"/>
        <w:rPr>
          <w:szCs w:val="21"/>
        </w:rPr>
      </w:pPr>
      <w:r>
        <w:rPr>
          <w:rFonts w:hint="eastAsia"/>
          <w:szCs w:val="21"/>
        </w:rPr>
        <w:t>B</w:t>
      </w:r>
      <w:r>
        <w:rPr>
          <w:szCs w:val="21"/>
        </w:rPr>
        <w:t>.</w:t>
      </w:r>
      <w:r>
        <w:rPr>
          <w:rFonts w:hint="eastAsia"/>
          <w:szCs w:val="21"/>
        </w:rPr>
        <w:t>3</w:t>
      </w:r>
      <w:r>
        <w:rPr>
          <w:szCs w:val="21"/>
        </w:rPr>
        <w:t>.1人员</w:t>
      </w:r>
    </w:p>
    <w:p>
      <w:pPr>
        <w:spacing w:line="360" w:lineRule="auto"/>
        <w:ind w:firstLine="420" w:firstLineChars="200"/>
        <w:rPr>
          <w:szCs w:val="21"/>
        </w:rPr>
      </w:pPr>
      <w:r>
        <w:rPr>
          <w:rFonts w:hint="eastAsia"/>
          <w:szCs w:val="21"/>
        </w:rPr>
        <w:t>B</w:t>
      </w:r>
      <w:r>
        <w:rPr>
          <w:szCs w:val="21"/>
        </w:rPr>
        <w:t>.</w:t>
      </w:r>
      <w:r>
        <w:rPr>
          <w:rFonts w:hint="eastAsia"/>
          <w:szCs w:val="21"/>
        </w:rPr>
        <w:t>3</w:t>
      </w:r>
      <w:r>
        <w:rPr>
          <w:szCs w:val="21"/>
        </w:rPr>
        <w:t>.1.1检测人员应按照相关要求参加涡流检测技术方面的专门培训，取得涡流专业技术资格等级证书，并在有效期内从事与规定技术等级相适应的检测工作。</w:t>
      </w:r>
    </w:p>
    <w:p>
      <w:pPr>
        <w:spacing w:line="360" w:lineRule="auto"/>
        <w:ind w:firstLine="420" w:firstLineChars="200"/>
        <w:rPr>
          <w:szCs w:val="21"/>
        </w:rPr>
      </w:pPr>
      <w:r>
        <w:rPr>
          <w:rFonts w:hint="eastAsia"/>
          <w:szCs w:val="21"/>
        </w:rPr>
        <w:t>B</w:t>
      </w:r>
      <w:r>
        <w:rPr>
          <w:szCs w:val="21"/>
        </w:rPr>
        <w:t>.</w:t>
      </w:r>
      <w:r>
        <w:rPr>
          <w:rFonts w:hint="eastAsia"/>
          <w:szCs w:val="21"/>
        </w:rPr>
        <w:t>3</w:t>
      </w:r>
      <w:r>
        <w:rPr>
          <w:szCs w:val="21"/>
        </w:rPr>
        <w:t>.1.2使用设备进行检测、记录检测结果并对检测结果进行分级，必须由取得涡流专业技术资格Ⅰ级或Ⅰ级以上等级证书的人员进行。</w:t>
      </w:r>
    </w:p>
    <w:p>
      <w:pPr>
        <w:spacing w:line="360" w:lineRule="auto"/>
        <w:ind w:firstLine="420" w:firstLineChars="200"/>
        <w:rPr>
          <w:szCs w:val="21"/>
        </w:rPr>
      </w:pPr>
      <w:r>
        <w:rPr>
          <w:rFonts w:hint="eastAsia"/>
          <w:szCs w:val="21"/>
        </w:rPr>
        <w:t>B</w:t>
      </w:r>
      <w:r>
        <w:rPr>
          <w:szCs w:val="21"/>
        </w:rPr>
        <w:t>.</w:t>
      </w:r>
      <w:r>
        <w:rPr>
          <w:rFonts w:hint="eastAsia"/>
          <w:szCs w:val="21"/>
        </w:rPr>
        <w:t>3</w:t>
      </w:r>
      <w:r>
        <w:rPr>
          <w:szCs w:val="21"/>
        </w:rPr>
        <w:t>.1.3调整和校验设备、编写和签发检测报告、评定检测结果，必须由取得涡流专业技术资格Ⅱ级或Ⅱ级以上等级证书的人员进行。</w:t>
      </w:r>
    </w:p>
    <w:p>
      <w:pPr>
        <w:spacing w:line="360" w:lineRule="auto"/>
        <w:rPr>
          <w:szCs w:val="21"/>
        </w:rPr>
      </w:pPr>
      <w:r>
        <w:rPr>
          <w:rFonts w:hint="eastAsia"/>
          <w:szCs w:val="21"/>
        </w:rPr>
        <w:t>B</w:t>
      </w:r>
      <w:r>
        <w:rPr>
          <w:szCs w:val="21"/>
        </w:rPr>
        <w:t>.</w:t>
      </w:r>
      <w:r>
        <w:rPr>
          <w:rFonts w:hint="eastAsia"/>
          <w:szCs w:val="21"/>
        </w:rPr>
        <w:t>3</w:t>
      </w:r>
      <w:r>
        <w:rPr>
          <w:szCs w:val="21"/>
        </w:rPr>
        <w:t>.2环境</w:t>
      </w:r>
    </w:p>
    <w:p>
      <w:pPr>
        <w:spacing w:line="360" w:lineRule="auto"/>
        <w:ind w:firstLine="420" w:firstLineChars="200"/>
        <w:rPr>
          <w:szCs w:val="21"/>
        </w:rPr>
      </w:pPr>
      <w:r>
        <w:rPr>
          <w:rFonts w:hint="eastAsia"/>
          <w:szCs w:val="21"/>
        </w:rPr>
        <w:t>B</w:t>
      </w:r>
      <w:r>
        <w:rPr>
          <w:szCs w:val="21"/>
        </w:rPr>
        <w:t>.</w:t>
      </w:r>
      <w:r>
        <w:rPr>
          <w:rFonts w:hint="eastAsia"/>
          <w:szCs w:val="21"/>
        </w:rPr>
        <w:t>3</w:t>
      </w:r>
      <w:r>
        <w:rPr>
          <w:szCs w:val="21"/>
        </w:rPr>
        <w:t>.2.1检验场地应清洁、通风，温度不高于40</w:t>
      </w:r>
      <w:r>
        <w:rPr>
          <w:rFonts w:hint="eastAsia"/>
          <w:szCs w:val="21"/>
        </w:rPr>
        <w:t>℃</w:t>
      </w:r>
      <w:r>
        <w:rPr>
          <w:szCs w:val="21"/>
        </w:rPr>
        <w:t>，相对湿度不大于80%。</w:t>
      </w:r>
    </w:p>
    <w:p>
      <w:pPr>
        <w:spacing w:line="360" w:lineRule="auto"/>
        <w:ind w:firstLine="420" w:firstLineChars="200"/>
        <w:rPr>
          <w:szCs w:val="21"/>
        </w:rPr>
      </w:pPr>
      <w:r>
        <w:rPr>
          <w:rFonts w:hint="eastAsia"/>
          <w:szCs w:val="21"/>
        </w:rPr>
        <w:t>B</w:t>
      </w:r>
      <w:r>
        <w:rPr>
          <w:szCs w:val="21"/>
        </w:rPr>
        <w:t>.</w:t>
      </w:r>
      <w:r>
        <w:rPr>
          <w:rFonts w:hint="eastAsia"/>
          <w:szCs w:val="21"/>
        </w:rPr>
        <w:t>3</w:t>
      </w:r>
      <w:r>
        <w:rPr>
          <w:szCs w:val="21"/>
        </w:rPr>
        <w:t>.2.2检验场地不应有影响仪器设备正常工作的磁场、震动、腐蚀性气体及其他干扰。</w:t>
      </w:r>
    </w:p>
    <w:p>
      <w:pPr>
        <w:spacing w:line="360" w:lineRule="auto"/>
        <w:rPr>
          <w:szCs w:val="21"/>
        </w:rPr>
      </w:pPr>
      <w:r>
        <w:rPr>
          <w:rFonts w:hint="eastAsia"/>
          <w:szCs w:val="21"/>
        </w:rPr>
        <w:t>B</w:t>
      </w:r>
      <w:r>
        <w:rPr>
          <w:szCs w:val="21"/>
        </w:rPr>
        <w:t>.</w:t>
      </w:r>
      <w:r>
        <w:rPr>
          <w:rFonts w:hint="eastAsia"/>
          <w:szCs w:val="21"/>
        </w:rPr>
        <w:t>3</w:t>
      </w:r>
      <w:r>
        <w:rPr>
          <w:szCs w:val="21"/>
        </w:rPr>
        <w:t>.3仪器设备</w:t>
      </w:r>
    </w:p>
    <w:p>
      <w:pPr>
        <w:spacing w:line="360" w:lineRule="auto"/>
        <w:ind w:firstLine="420" w:firstLineChars="200"/>
        <w:rPr>
          <w:szCs w:val="21"/>
        </w:rPr>
      </w:pPr>
      <w:r>
        <w:rPr>
          <w:szCs w:val="21"/>
        </w:rPr>
        <w:t>选用全自动涡流探伤仪，应按照要求对涡流探伤仪每年进行1次系统性能测试，测试结果应满足表</w:t>
      </w:r>
      <w:r>
        <w:rPr>
          <w:rFonts w:hint="eastAsia"/>
          <w:szCs w:val="21"/>
        </w:rPr>
        <w:t>B.1</w:t>
      </w:r>
      <w:r>
        <w:rPr>
          <w:szCs w:val="21"/>
        </w:rPr>
        <w:t>的要求</w:t>
      </w:r>
      <w:r>
        <w:rPr>
          <w:rFonts w:hint="eastAsia"/>
          <w:szCs w:val="21"/>
        </w:rPr>
        <w:t>。</w:t>
      </w:r>
    </w:p>
    <w:p>
      <w:pPr>
        <w:widowControl/>
        <w:jc w:val="center"/>
        <w:rPr>
          <w:rFonts w:eastAsia="黑体"/>
          <w:szCs w:val="21"/>
        </w:rPr>
      </w:pPr>
      <w:r>
        <w:rPr>
          <w:rFonts w:eastAsia="黑体"/>
          <w:szCs w:val="21"/>
        </w:rPr>
        <w:br w:type="page"/>
      </w:r>
      <w:r>
        <w:rPr>
          <w:rFonts w:eastAsia="黑体"/>
          <w:szCs w:val="21"/>
        </w:rPr>
        <w:t>表</w:t>
      </w:r>
      <w:r>
        <w:rPr>
          <w:rFonts w:hint="eastAsia" w:eastAsia="黑体"/>
          <w:szCs w:val="21"/>
        </w:rPr>
        <w:t>B.1涡流探伤仪鉴定标准</w:t>
      </w:r>
    </w:p>
    <w:tbl>
      <w:tblPr>
        <w:tblStyle w:val="12"/>
        <w:tblpPr w:leftFromText="180" w:rightFromText="180" w:vertAnchor="page" w:horzAnchor="margin" w:tblpXSpec="center" w:tblpY="25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226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检测项目</w:t>
            </w:r>
          </w:p>
        </w:tc>
        <w:tc>
          <w:tcPr>
            <w:tcW w:w="2262" w:type="dxa"/>
            <w:vAlign w:val="center"/>
          </w:tcPr>
          <w:p>
            <w:pPr>
              <w:adjustRightInd w:val="0"/>
              <w:snapToGrid w:val="0"/>
              <w:spacing w:line="360" w:lineRule="auto"/>
              <w:jc w:val="center"/>
              <w:rPr>
                <w:sz w:val="18"/>
                <w:szCs w:val="18"/>
              </w:rPr>
            </w:pPr>
            <w:r>
              <w:rPr>
                <w:sz w:val="18"/>
                <w:szCs w:val="18"/>
              </w:rPr>
              <w:t>合格标准</w:t>
            </w:r>
          </w:p>
        </w:tc>
        <w:tc>
          <w:tcPr>
            <w:tcW w:w="2127" w:type="dxa"/>
            <w:vAlign w:val="center"/>
          </w:tcPr>
          <w:p>
            <w:pPr>
              <w:adjustRightInd w:val="0"/>
              <w:snapToGrid w:val="0"/>
              <w:spacing w:line="360" w:lineRule="auto"/>
              <w:jc w:val="center"/>
              <w:rPr>
                <w:sz w:val="18"/>
                <w:szCs w:val="18"/>
              </w:rPr>
            </w:pPr>
            <w:r>
              <w:rPr>
                <w:sz w:val="18"/>
                <w:szCs w:val="18"/>
              </w:rPr>
              <w:t>测试次数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填充系数</w:t>
            </w:r>
          </w:p>
        </w:tc>
        <w:tc>
          <w:tcPr>
            <w:tcW w:w="2262" w:type="dxa"/>
            <w:vAlign w:val="center"/>
          </w:tcPr>
          <w:p>
            <w:pPr>
              <w:adjustRightInd w:val="0"/>
              <w:snapToGrid w:val="0"/>
              <w:spacing w:line="360" w:lineRule="auto"/>
              <w:jc w:val="center"/>
              <w:rPr>
                <w:sz w:val="18"/>
                <w:szCs w:val="18"/>
              </w:rPr>
            </w:pPr>
            <w:r>
              <w:rPr>
                <w:sz w:val="18"/>
                <w:szCs w:val="18"/>
              </w:rPr>
              <w:t>0.80~0.95</w:t>
            </w:r>
          </w:p>
        </w:tc>
        <w:tc>
          <w:tcPr>
            <w:tcW w:w="2127" w:type="dxa"/>
            <w:vAlign w:val="center"/>
          </w:tcPr>
          <w:p>
            <w:pPr>
              <w:adjustRightInd w:val="0"/>
              <w:snapToGrid w:val="0"/>
              <w:spacing w:line="360" w:lineRule="auto"/>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信噪比</w:t>
            </w:r>
          </w:p>
        </w:tc>
        <w:tc>
          <w:tcPr>
            <w:tcW w:w="2262" w:type="dxa"/>
            <w:vAlign w:val="center"/>
          </w:tcPr>
          <w:p>
            <w:pPr>
              <w:adjustRightInd w:val="0"/>
              <w:snapToGrid w:val="0"/>
              <w:spacing w:line="360" w:lineRule="auto"/>
              <w:jc w:val="center"/>
              <w:rPr>
                <w:sz w:val="18"/>
                <w:szCs w:val="18"/>
              </w:rPr>
            </w:pPr>
            <w:r>
              <w:rPr>
                <w:sz w:val="18"/>
                <w:szCs w:val="18"/>
              </w:rPr>
              <w:t>≥10 dB</w:t>
            </w:r>
          </w:p>
        </w:tc>
        <w:tc>
          <w:tcPr>
            <w:tcW w:w="2127" w:type="dxa"/>
            <w:vAlign w:val="center"/>
          </w:tcPr>
          <w:p>
            <w:pPr>
              <w:adjustRightInd w:val="0"/>
              <w:snapToGrid w:val="0"/>
              <w:spacing w:line="360" w:lineRule="auto"/>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周向灵敏度</w:t>
            </w:r>
          </w:p>
        </w:tc>
        <w:tc>
          <w:tcPr>
            <w:tcW w:w="2262" w:type="dxa"/>
            <w:vAlign w:val="center"/>
          </w:tcPr>
          <w:p>
            <w:pPr>
              <w:adjustRightInd w:val="0"/>
              <w:snapToGrid w:val="0"/>
              <w:spacing w:line="360" w:lineRule="auto"/>
              <w:jc w:val="center"/>
              <w:rPr>
                <w:sz w:val="18"/>
                <w:szCs w:val="18"/>
              </w:rPr>
            </w:pPr>
            <w:r>
              <w:rPr>
                <w:sz w:val="18"/>
                <w:szCs w:val="18"/>
              </w:rPr>
              <w:t>≤3dB</w:t>
            </w:r>
          </w:p>
        </w:tc>
        <w:tc>
          <w:tcPr>
            <w:tcW w:w="2127" w:type="dxa"/>
            <w:vAlign w:val="center"/>
          </w:tcPr>
          <w:p>
            <w:pPr>
              <w:adjustRightInd w:val="0"/>
              <w:snapToGrid w:val="0"/>
              <w:spacing w:line="360" w:lineRule="auto"/>
              <w:jc w:val="center"/>
              <w:rPr>
                <w:sz w:val="18"/>
                <w:szCs w:val="18"/>
              </w:rPr>
            </w:pPr>
            <w:r>
              <w:rPr>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检测稳定性</w:t>
            </w:r>
          </w:p>
        </w:tc>
        <w:tc>
          <w:tcPr>
            <w:tcW w:w="2262" w:type="dxa"/>
            <w:vAlign w:val="center"/>
          </w:tcPr>
          <w:p>
            <w:pPr>
              <w:adjustRightInd w:val="0"/>
              <w:snapToGrid w:val="0"/>
              <w:spacing w:line="360" w:lineRule="auto"/>
              <w:jc w:val="center"/>
              <w:rPr>
                <w:sz w:val="18"/>
                <w:szCs w:val="18"/>
              </w:rPr>
            </w:pPr>
            <w:r>
              <w:rPr>
                <w:sz w:val="18"/>
                <w:szCs w:val="18"/>
              </w:rPr>
              <w:t>平均幅值差≤±2dB</w:t>
            </w:r>
          </w:p>
        </w:tc>
        <w:tc>
          <w:tcPr>
            <w:tcW w:w="2127" w:type="dxa"/>
            <w:vAlign w:val="center"/>
          </w:tcPr>
          <w:p>
            <w:pPr>
              <w:adjustRightInd w:val="0"/>
              <w:snapToGrid w:val="0"/>
              <w:spacing w:line="360" w:lineRule="auto"/>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漏报率</w:t>
            </w:r>
          </w:p>
        </w:tc>
        <w:tc>
          <w:tcPr>
            <w:tcW w:w="2262" w:type="dxa"/>
            <w:vAlign w:val="center"/>
          </w:tcPr>
          <w:p>
            <w:pPr>
              <w:adjustRightInd w:val="0"/>
              <w:snapToGrid w:val="0"/>
              <w:spacing w:line="360" w:lineRule="auto"/>
              <w:jc w:val="center"/>
              <w:rPr>
                <w:sz w:val="18"/>
                <w:szCs w:val="18"/>
              </w:rPr>
            </w:pPr>
            <w:r>
              <w:rPr>
                <w:sz w:val="18"/>
                <w:szCs w:val="18"/>
              </w:rPr>
              <w:t>0%</w:t>
            </w:r>
          </w:p>
        </w:tc>
        <w:tc>
          <w:tcPr>
            <w:tcW w:w="2127" w:type="dxa"/>
            <w:vAlign w:val="center"/>
          </w:tcPr>
          <w:p>
            <w:pPr>
              <w:adjustRightInd w:val="0"/>
              <w:snapToGrid w:val="0"/>
              <w:spacing w:line="360" w:lineRule="auto"/>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头尾盲区</w:t>
            </w:r>
          </w:p>
        </w:tc>
        <w:tc>
          <w:tcPr>
            <w:tcW w:w="2262" w:type="dxa"/>
            <w:vAlign w:val="center"/>
          </w:tcPr>
          <w:p>
            <w:pPr>
              <w:adjustRightInd w:val="0"/>
              <w:snapToGrid w:val="0"/>
              <w:spacing w:line="360" w:lineRule="auto"/>
              <w:jc w:val="center"/>
              <w:rPr>
                <w:sz w:val="18"/>
                <w:szCs w:val="18"/>
              </w:rPr>
            </w:pPr>
            <w:r>
              <w:rPr>
                <w:sz w:val="18"/>
                <w:szCs w:val="18"/>
              </w:rPr>
              <w:t>≤30mm</w:t>
            </w:r>
          </w:p>
        </w:tc>
        <w:tc>
          <w:tcPr>
            <w:tcW w:w="2127" w:type="dxa"/>
            <w:vAlign w:val="center"/>
          </w:tcPr>
          <w:p>
            <w:pPr>
              <w:adjustRightInd w:val="0"/>
              <w:snapToGrid w:val="0"/>
              <w:spacing w:line="360" w:lineRule="auto"/>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缺陷定位误差</w:t>
            </w:r>
          </w:p>
        </w:tc>
        <w:tc>
          <w:tcPr>
            <w:tcW w:w="2262" w:type="dxa"/>
            <w:vAlign w:val="center"/>
          </w:tcPr>
          <w:p>
            <w:pPr>
              <w:adjustRightInd w:val="0"/>
              <w:snapToGrid w:val="0"/>
              <w:spacing w:line="360" w:lineRule="auto"/>
              <w:jc w:val="center"/>
              <w:rPr>
                <w:sz w:val="18"/>
                <w:szCs w:val="18"/>
              </w:rPr>
            </w:pPr>
            <w:r>
              <w:rPr>
                <w:sz w:val="18"/>
                <w:szCs w:val="18"/>
              </w:rPr>
              <w:t>≤±20mm</w:t>
            </w:r>
          </w:p>
        </w:tc>
        <w:tc>
          <w:tcPr>
            <w:tcW w:w="2127" w:type="dxa"/>
            <w:vAlign w:val="center"/>
          </w:tcPr>
          <w:p>
            <w:pPr>
              <w:adjustRightInd w:val="0"/>
              <w:snapToGrid w:val="0"/>
              <w:spacing w:line="360" w:lineRule="auto"/>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vAlign w:val="center"/>
          </w:tcPr>
          <w:p>
            <w:pPr>
              <w:adjustRightInd w:val="0"/>
              <w:snapToGrid w:val="0"/>
              <w:spacing w:line="360" w:lineRule="auto"/>
              <w:jc w:val="center"/>
              <w:rPr>
                <w:sz w:val="18"/>
                <w:szCs w:val="18"/>
              </w:rPr>
            </w:pPr>
            <w:r>
              <w:rPr>
                <w:sz w:val="18"/>
                <w:szCs w:val="18"/>
              </w:rPr>
              <w:t>传动速度波动</w:t>
            </w:r>
          </w:p>
        </w:tc>
        <w:tc>
          <w:tcPr>
            <w:tcW w:w="2262" w:type="dxa"/>
            <w:vAlign w:val="center"/>
          </w:tcPr>
          <w:p>
            <w:pPr>
              <w:adjustRightInd w:val="0"/>
              <w:snapToGrid w:val="0"/>
              <w:spacing w:line="360" w:lineRule="auto"/>
              <w:jc w:val="center"/>
              <w:rPr>
                <w:sz w:val="18"/>
                <w:szCs w:val="18"/>
              </w:rPr>
            </w:pPr>
            <w:r>
              <w:rPr>
                <w:sz w:val="18"/>
                <w:szCs w:val="18"/>
              </w:rPr>
              <w:t>≤±</w:t>
            </w:r>
            <w:r>
              <w:rPr>
                <w:rFonts w:hint="eastAsia"/>
                <w:sz w:val="18"/>
                <w:szCs w:val="18"/>
              </w:rPr>
              <w:t>5</w:t>
            </w:r>
            <w:r>
              <w:rPr>
                <w:sz w:val="18"/>
                <w:szCs w:val="18"/>
              </w:rPr>
              <w:t>%</w:t>
            </w:r>
          </w:p>
        </w:tc>
        <w:tc>
          <w:tcPr>
            <w:tcW w:w="2127" w:type="dxa"/>
            <w:vAlign w:val="center"/>
          </w:tcPr>
          <w:p>
            <w:pPr>
              <w:adjustRightInd w:val="0"/>
              <w:snapToGrid w:val="0"/>
              <w:spacing w:line="360" w:lineRule="auto"/>
              <w:jc w:val="center"/>
              <w:rPr>
                <w:sz w:val="18"/>
                <w:szCs w:val="18"/>
              </w:rPr>
            </w:pPr>
            <w:r>
              <w:rPr>
                <w:sz w:val="18"/>
                <w:szCs w:val="18"/>
              </w:rPr>
              <w:t>3</w:t>
            </w:r>
          </w:p>
        </w:tc>
      </w:tr>
    </w:tbl>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rPr>
          <w:szCs w:val="21"/>
        </w:rPr>
      </w:pPr>
      <w:r>
        <w:rPr>
          <w:rFonts w:hint="eastAsia"/>
          <w:szCs w:val="21"/>
        </w:rPr>
        <w:t>B</w:t>
      </w:r>
      <w:r>
        <w:rPr>
          <w:szCs w:val="21"/>
        </w:rPr>
        <w:t>.</w:t>
      </w:r>
      <w:r>
        <w:rPr>
          <w:rFonts w:hint="eastAsia"/>
          <w:szCs w:val="21"/>
        </w:rPr>
        <w:t>3</w:t>
      </w:r>
      <w:r>
        <w:rPr>
          <w:szCs w:val="21"/>
        </w:rPr>
        <w:t>.4被检棒材</w:t>
      </w:r>
    </w:p>
    <w:p>
      <w:pPr>
        <w:spacing w:line="360" w:lineRule="auto"/>
        <w:ind w:firstLine="420" w:firstLineChars="200"/>
        <w:rPr>
          <w:szCs w:val="21"/>
        </w:rPr>
      </w:pPr>
      <w:r>
        <w:rPr>
          <w:szCs w:val="21"/>
        </w:rPr>
        <w:t>被检棒材直线度应满足不大于0.25mm/300mm，尺寸公差应满足技术条件要求，表面应清洁，不得有铁磁性残留物、油污、金属屑等，表面粗糙度应满足Ra≤1.6μm</w:t>
      </w:r>
      <w:r>
        <w:rPr>
          <w:rFonts w:hint="eastAsia"/>
          <w:szCs w:val="21"/>
        </w:rPr>
        <w:t>，</w:t>
      </w:r>
      <w:r>
        <w:rPr>
          <w:szCs w:val="21"/>
        </w:rPr>
        <w:t>端头不应有毛刺和飞边，棒材长度应大于700mm或满足设备的传动要求。</w:t>
      </w:r>
    </w:p>
    <w:p>
      <w:pPr>
        <w:pStyle w:val="2"/>
        <w:spacing w:before="240" w:after="240"/>
      </w:pPr>
      <w:r>
        <w:rPr>
          <w:rFonts w:hint="eastAsia"/>
        </w:rPr>
        <w:t>B</w:t>
      </w:r>
      <w:r>
        <w:t>.</w:t>
      </w:r>
      <w:r>
        <w:rPr>
          <w:rFonts w:hint="eastAsia"/>
        </w:rPr>
        <w:t xml:space="preserve">4  </w:t>
      </w:r>
      <w:r>
        <w:t>检测方法</w:t>
      </w:r>
    </w:p>
    <w:p>
      <w:pPr>
        <w:spacing w:line="360" w:lineRule="auto"/>
        <w:ind w:firstLine="420" w:firstLineChars="200"/>
        <w:rPr>
          <w:szCs w:val="21"/>
        </w:rPr>
      </w:pPr>
      <w:r>
        <w:rPr>
          <w:szCs w:val="21"/>
        </w:rPr>
        <w:t>核级银-铟-镉棒采用涡流外穿式检测法进行检测。</w:t>
      </w:r>
    </w:p>
    <w:p>
      <w:pPr>
        <w:spacing w:line="360" w:lineRule="auto"/>
        <w:rPr>
          <w:szCs w:val="21"/>
        </w:rPr>
      </w:pPr>
      <w:r>
        <w:rPr>
          <w:rFonts w:hint="eastAsia"/>
          <w:szCs w:val="21"/>
        </w:rPr>
        <w:t>B</w:t>
      </w:r>
      <w:r>
        <w:rPr>
          <w:szCs w:val="21"/>
        </w:rPr>
        <w:t>.</w:t>
      </w:r>
      <w:r>
        <w:rPr>
          <w:rFonts w:hint="eastAsia"/>
          <w:szCs w:val="21"/>
        </w:rPr>
        <w:t>4</w:t>
      </w:r>
      <w:r>
        <w:rPr>
          <w:szCs w:val="21"/>
        </w:rPr>
        <w:t>.1检测探头</w:t>
      </w:r>
    </w:p>
    <w:p>
      <w:pPr>
        <w:spacing w:line="360" w:lineRule="auto"/>
        <w:ind w:firstLine="420" w:firstLineChars="200"/>
        <w:rPr>
          <w:szCs w:val="21"/>
        </w:rPr>
      </w:pPr>
      <w:r>
        <w:rPr>
          <w:szCs w:val="21"/>
        </w:rPr>
        <w:t>涡流检测采用差动式探头，</w:t>
      </w:r>
      <w:r>
        <w:rPr>
          <w:rFonts w:hint="eastAsia"/>
          <w:szCs w:val="21"/>
        </w:rPr>
        <w:t>激励</w:t>
      </w:r>
      <w:r>
        <w:rPr>
          <w:szCs w:val="21"/>
        </w:rPr>
        <w:t>频率：50 KHz~200 KHz。</w:t>
      </w:r>
    </w:p>
    <w:p>
      <w:pPr>
        <w:spacing w:line="360" w:lineRule="auto"/>
        <w:rPr>
          <w:szCs w:val="21"/>
        </w:rPr>
      </w:pPr>
      <w:r>
        <w:rPr>
          <w:rFonts w:hint="eastAsia"/>
          <w:szCs w:val="21"/>
        </w:rPr>
        <w:t>B</w:t>
      </w:r>
      <w:r>
        <w:rPr>
          <w:szCs w:val="21"/>
        </w:rPr>
        <w:t>.</w:t>
      </w:r>
      <w:r>
        <w:rPr>
          <w:rFonts w:hint="eastAsia"/>
          <w:szCs w:val="21"/>
        </w:rPr>
        <w:t>4</w:t>
      </w:r>
      <w:r>
        <w:rPr>
          <w:szCs w:val="21"/>
        </w:rPr>
        <w:t>.2检测参数</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.2.1频率选择</w:t>
      </w:r>
    </w:p>
    <w:p>
      <w:pPr>
        <w:adjustRightInd w:val="0"/>
        <w:snapToGrid w:val="0"/>
        <w:spacing w:line="360" w:lineRule="auto"/>
        <w:ind w:firstLine="420" w:firstLineChars="200"/>
        <w:rPr>
          <w:szCs w:val="21"/>
        </w:rPr>
      </w:pPr>
      <w:r>
        <w:rPr>
          <w:szCs w:val="21"/>
        </w:rPr>
        <w:t>涡流检测深度取决于根据检测频率估算出标准透入深度，涡流检测中涡流的有效透入深度等于3倍的标准透入深度。不同的检测频率对应的标准透入深度参考表</w:t>
      </w:r>
      <w:r>
        <w:rPr>
          <w:rFonts w:hint="eastAsia"/>
          <w:szCs w:val="21"/>
        </w:rPr>
        <w:t>A.2</w:t>
      </w:r>
      <w:r>
        <w:rPr>
          <w:szCs w:val="21"/>
        </w:rPr>
        <w:t>。</w:t>
      </w:r>
    </w:p>
    <w:p>
      <w:pPr>
        <w:adjustRightInd w:val="0"/>
        <w:snapToGrid w:val="0"/>
        <w:spacing w:line="360" w:lineRule="auto"/>
        <w:ind w:firstLine="420" w:firstLineChars="200"/>
        <w:rPr>
          <w:szCs w:val="21"/>
        </w:rPr>
      </w:pPr>
      <w:r>
        <w:rPr>
          <w:szCs w:val="21"/>
        </w:rPr>
        <w:t>对于非铁磁性材料，标准渗透深度公式为</w:t>
      </w:r>
      <w:r>
        <w:rPr>
          <w:position w:val="-32"/>
          <w:sz w:val="15"/>
          <w:szCs w:val="15"/>
        </w:rPr>
        <w:object>
          <v:shape id="_x0000_i1025" o:spt="75" type="#_x0000_t75" style="height:35.65pt;width:50.4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szCs w:val="21"/>
        </w:rPr>
        <w:t>，式中：δ—标准透入深度，单位：m；σ—材料的电导率，单位：S/m；</w:t>
      </w:r>
      <w:r>
        <w:rPr>
          <w:szCs w:val="21"/>
        </w:rPr>
        <w:object>
          <v:shape id="_x0000_i1026" o:spt="75" type="#_x0000_t75" style="height:16.15pt;width:12.1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szCs w:val="21"/>
        </w:rPr>
        <w:t>—频率，单位：Hz。将核级银铟镉合金棒的电导率带入公式，可得核级银铟镉合金棒的标准透入深度公式为</w:t>
      </w:r>
      <w:r>
        <w:rPr>
          <w:sz w:val="15"/>
          <w:szCs w:val="15"/>
        </w:rPr>
        <w:object>
          <v:shape id="_x0000_i1027" o:spt="75" type="#_x0000_t75" style="height:36.35pt;width:100.2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szCs w:val="21"/>
        </w:rPr>
        <w:t>，具体可查下表：</w:t>
      </w:r>
    </w:p>
    <w:p>
      <w:pPr>
        <w:adjustRightInd w:val="0"/>
        <w:snapToGrid w:val="0"/>
        <w:spacing w:line="360" w:lineRule="auto"/>
        <w:rPr>
          <w:szCs w:val="21"/>
        </w:rPr>
      </w:pPr>
    </w:p>
    <w:p>
      <w:pPr>
        <w:spacing w:line="360" w:lineRule="auto"/>
        <w:jc w:val="center"/>
        <w:rPr>
          <w:rFonts w:eastAsia="黑体"/>
          <w:szCs w:val="21"/>
        </w:rPr>
      </w:pPr>
      <w:r>
        <w:rPr>
          <w:rFonts w:eastAsia="黑体"/>
          <w:szCs w:val="21"/>
        </w:rPr>
        <w:br w:type="page"/>
      </w:r>
      <w:r>
        <w:rPr>
          <w:rFonts w:eastAsia="黑体"/>
          <w:szCs w:val="21"/>
        </w:rPr>
        <w:t>表</w:t>
      </w:r>
      <w:r>
        <w:rPr>
          <w:rFonts w:hint="eastAsia" w:eastAsia="黑体"/>
          <w:szCs w:val="21"/>
        </w:rPr>
        <w:t>B</w:t>
      </w:r>
      <w:r>
        <w:rPr>
          <w:rFonts w:eastAsia="黑体"/>
          <w:szCs w:val="21"/>
        </w:rPr>
        <w:t>.</w:t>
      </w:r>
      <w:r>
        <w:rPr>
          <w:rFonts w:hint="eastAsia" w:eastAsia="黑体"/>
          <w:szCs w:val="21"/>
        </w:rPr>
        <w:t>2</w:t>
      </w:r>
      <w:r>
        <w:rPr>
          <w:rFonts w:eastAsia="黑体"/>
          <w:szCs w:val="21"/>
        </w:rPr>
        <w:t xml:space="preserve"> </w:t>
      </w:r>
      <w:r>
        <w:rPr>
          <w:rFonts w:hint="eastAsia" w:eastAsia="黑体"/>
          <w:szCs w:val="21"/>
        </w:rPr>
        <w:t>核级</w:t>
      </w:r>
      <w:r>
        <w:rPr>
          <w:rFonts w:eastAsia="黑体"/>
          <w:szCs w:val="21"/>
        </w:rPr>
        <w:t>银</w:t>
      </w:r>
      <w:r>
        <w:rPr>
          <w:rFonts w:hint="eastAsia" w:eastAsia="黑体"/>
          <w:szCs w:val="21"/>
        </w:rPr>
        <w:t>-</w:t>
      </w:r>
      <w:r>
        <w:rPr>
          <w:rFonts w:eastAsia="黑体"/>
          <w:szCs w:val="21"/>
        </w:rPr>
        <w:t>铟</w:t>
      </w:r>
      <w:r>
        <w:rPr>
          <w:rFonts w:hint="eastAsia" w:eastAsia="黑体"/>
          <w:szCs w:val="21"/>
        </w:rPr>
        <w:t>-</w:t>
      </w:r>
      <w:r>
        <w:rPr>
          <w:rFonts w:eastAsia="黑体"/>
          <w:szCs w:val="21"/>
        </w:rPr>
        <w:t>镉合金棒标准渗透深度-频率一览表</w:t>
      </w:r>
    </w:p>
    <w:tbl>
      <w:tblPr>
        <w:tblStyle w:val="12"/>
        <w:tblpPr w:leftFromText="180" w:rightFromText="180" w:vertAnchor="text" w:horzAnchor="margin" w:tblpXSpec="center" w:tblpY="1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1777"/>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频率（kHz）</w:t>
            </w:r>
          </w:p>
        </w:tc>
        <w:tc>
          <w:tcPr>
            <w:tcW w:w="1777" w:type="dxa"/>
            <w:vAlign w:val="center"/>
          </w:tcPr>
          <w:p>
            <w:pPr>
              <w:spacing w:line="300" w:lineRule="auto"/>
              <w:jc w:val="center"/>
              <w:rPr>
                <w:sz w:val="18"/>
                <w:szCs w:val="18"/>
              </w:rPr>
            </w:pPr>
            <w:r>
              <w:rPr>
                <w:rFonts w:hint="eastAsia"/>
                <w:sz w:val="18"/>
                <w:szCs w:val="18"/>
              </w:rPr>
              <w:t>标准渗透深度(m)</w:t>
            </w:r>
          </w:p>
        </w:tc>
        <w:tc>
          <w:tcPr>
            <w:tcW w:w="1701" w:type="dxa"/>
          </w:tcPr>
          <w:p>
            <w:pPr>
              <w:spacing w:line="300" w:lineRule="auto"/>
              <w:jc w:val="center"/>
              <w:rPr>
                <w:sz w:val="18"/>
                <w:szCs w:val="18"/>
              </w:rPr>
            </w:pPr>
            <w:r>
              <w:rPr>
                <w:rFonts w:hint="eastAsia"/>
                <w:sz w:val="18"/>
                <w:szCs w:val="18"/>
              </w:rPr>
              <w:t>频率（kHz）</w:t>
            </w:r>
          </w:p>
        </w:tc>
        <w:tc>
          <w:tcPr>
            <w:tcW w:w="1984" w:type="dxa"/>
            <w:vAlign w:val="center"/>
          </w:tcPr>
          <w:p>
            <w:pPr>
              <w:spacing w:line="300" w:lineRule="auto"/>
              <w:jc w:val="center"/>
              <w:rPr>
                <w:sz w:val="18"/>
                <w:szCs w:val="18"/>
              </w:rPr>
            </w:pPr>
            <w:r>
              <w:rPr>
                <w:rFonts w:hint="eastAsia"/>
                <w:sz w:val="18"/>
                <w:szCs w:val="18"/>
              </w:rPr>
              <w:t>标准渗透深度(m)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50</w:t>
            </w:r>
          </w:p>
        </w:tc>
        <w:tc>
          <w:tcPr>
            <w:tcW w:w="1777" w:type="dxa"/>
            <w:vAlign w:val="center"/>
          </w:tcPr>
          <w:p>
            <w:pPr>
              <w:spacing w:line="300" w:lineRule="auto"/>
              <w:jc w:val="center"/>
              <w:rPr>
                <w:sz w:val="18"/>
                <w:szCs w:val="18"/>
              </w:rPr>
            </w:pPr>
            <w:r>
              <w:rPr>
                <w:rFonts w:hint="eastAsia"/>
                <w:sz w:val="18"/>
                <w:szCs w:val="18"/>
              </w:rPr>
              <w:t>0.853×10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150</w:t>
            </w:r>
          </w:p>
        </w:tc>
        <w:tc>
          <w:tcPr>
            <w:tcW w:w="1984" w:type="dxa"/>
            <w:vAlign w:val="center"/>
          </w:tcPr>
          <w:p>
            <w:pPr>
              <w:spacing w:line="300" w:lineRule="auto"/>
              <w:jc w:val="center"/>
              <w:rPr>
                <w:sz w:val="18"/>
                <w:szCs w:val="18"/>
              </w:rPr>
            </w:pPr>
            <w:r>
              <w:rPr>
                <w:rFonts w:hint="eastAsia"/>
                <w:sz w:val="18"/>
                <w:szCs w:val="18"/>
              </w:rPr>
              <w:t>0.493×10</w:t>
            </w:r>
            <w:r>
              <w:rPr>
                <w:rFonts w:hint="eastAsia"/>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70</w:t>
            </w:r>
          </w:p>
        </w:tc>
        <w:tc>
          <w:tcPr>
            <w:tcW w:w="1777" w:type="dxa"/>
            <w:vAlign w:val="center"/>
          </w:tcPr>
          <w:p>
            <w:pPr>
              <w:spacing w:line="300" w:lineRule="auto"/>
              <w:jc w:val="center"/>
              <w:rPr>
                <w:sz w:val="18"/>
                <w:szCs w:val="18"/>
              </w:rPr>
            </w:pPr>
            <w:r>
              <w:rPr>
                <w:rFonts w:hint="eastAsia"/>
                <w:sz w:val="18"/>
                <w:szCs w:val="18"/>
              </w:rPr>
              <w:t>0.721×10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160</w:t>
            </w:r>
          </w:p>
        </w:tc>
        <w:tc>
          <w:tcPr>
            <w:tcW w:w="1984" w:type="dxa"/>
            <w:vAlign w:val="center"/>
          </w:tcPr>
          <w:p>
            <w:pPr>
              <w:spacing w:line="300" w:lineRule="auto"/>
              <w:jc w:val="center"/>
              <w:rPr>
                <w:sz w:val="18"/>
                <w:szCs w:val="18"/>
              </w:rPr>
            </w:pPr>
            <w:r>
              <w:rPr>
                <w:rFonts w:hint="eastAsia"/>
                <w:sz w:val="18"/>
                <w:szCs w:val="18"/>
              </w:rPr>
              <w:t>0.477×10</w:t>
            </w:r>
            <w:r>
              <w:rPr>
                <w:rFonts w:hint="eastAsia"/>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90</w:t>
            </w:r>
          </w:p>
        </w:tc>
        <w:tc>
          <w:tcPr>
            <w:tcW w:w="1777" w:type="dxa"/>
            <w:vAlign w:val="center"/>
          </w:tcPr>
          <w:p>
            <w:pPr>
              <w:spacing w:line="300" w:lineRule="auto"/>
              <w:jc w:val="center"/>
              <w:rPr>
                <w:sz w:val="18"/>
                <w:szCs w:val="18"/>
              </w:rPr>
            </w:pPr>
            <w:r>
              <w:rPr>
                <w:rFonts w:hint="eastAsia"/>
                <w:sz w:val="18"/>
                <w:szCs w:val="18"/>
              </w:rPr>
              <w:t>0.636×10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180</w:t>
            </w:r>
          </w:p>
        </w:tc>
        <w:tc>
          <w:tcPr>
            <w:tcW w:w="1984" w:type="dxa"/>
            <w:vAlign w:val="center"/>
          </w:tcPr>
          <w:p>
            <w:pPr>
              <w:spacing w:line="300" w:lineRule="auto"/>
              <w:jc w:val="center"/>
              <w:rPr>
                <w:sz w:val="18"/>
                <w:szCs w:val="18"/>
              </w:rPr>
            </w:pPr>
            <w:r>
              <w:rPr>
                <w:rFonts w:hint="eastAsia"/>
                <w:sz w:val="18"/>
                <w:szCs w:val="18"/>
              </w:rPr>
              <w:t>0.450×10</w:t>
            </w:r>
            <w:r>
              <w:rPr>
                <w:rFonts w:hint="eastAsia"/>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110</w:t>
            </w:r>
          </w:p>
        </w:tc>
        <w:tc>
          <w:tcPr>
            <w:tcW w:w="1777" w:type="dxa"/>
            <w:vAlign w:val="center"/>
          </w:tcPr>
          <w:p>
            <w:pPr>
              <w:spacing w:line="300" w:lineRule="auto"/>
              <w:jc w:val="center"/>
              <w:rPr>
                <w:sz w:val="18"/>
                <w:szCs w:val="18"/>
              </w:rPr>
            </w:pPr>
            <w:r>
              <w:rPr>
                <w:rFonts w:hint="eastAsia"/>
                <w:sz w:val="18"/>
                <w:szCs w:val="18"/>
              </w:rPr>
              <w:t>0.604×10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187</w:t>
            </w:r>
          </w:p>
        </w:tc>
        <w:tc>
          <w:tcPr>
            <w:tcW w:w="1984" w:type="dxa"/>
            <w:vAlign w:val="center"/>
          </w:tcPr>
          <w:p>
            <w:pPr>
              <w:spacing w:line="300" w:lineRule="auto"/>
              <w:jc w:val="center"/>
              <w:rPr>
                <w:sz w:val="18"/>
                <w:szCs w:val="18"/>
              </w:rPr>
            </w:pPr>
            <w:r>
              <w:rPr>
                <w:rFonts w:hint="eastAsia"/>
                <w:sz w:val="18"/>
                <w:szCs w:val="18"/>
              </w:rPr>
              <w:t>0.441×10</w:t>
            </w:r>
            <w:r>
              <w:rPr>
                <w:rFonts w:hint="eastAsia"/>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130</w:t>
            </w:r>
          </w:p>
        </w:tc>
        <w:tc>
          <w:tcPr>
            <w:tcW w:w="1777" w:type="dxa"/>
            <w:vAlign w:val="center"/>
          </w:tcPr>
          <w:p>
            <w:pPr>
              <w:spacing w:line="300" w:lineRule="auto"/>
              <w:jc w:val="center"/>
              <w:rPr>
                <w:sz w:val="18"/>
                <w:szCs w:val="18"/>
              </w:rPr>
            </w:pPr>
            <w:r>
              <w:rPr>
                <w:rFonts w:hint="eastAsia"/>
                <w:sz w:val="18"/>
                <w:szCs w:val="18"/>
              </w:rPr>
              <w:t>0.530×10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200</w:t>
            </w:r>
          </w:p>
        </w:tc>
        <w:tc>
          <w:tcPr>
            <w:tcW w:w="1984" w:type="dxa"/>
            <w:vAlign w:val="center"/>
          </w:tcPr>
          <w:p>
            <w:pPr>
              <w:spacing w:line="300" w:lineRule="auto"/>
              <w:jc w:val="center"/>
              <w:rPr>
                <w:sz w:val="18"/>
                <w:szCs w:val="18"/>
              </w:rPr>
            </w:pPr>
            <w:r>
              <w:rPr>
                <w:rFonts w:hint="eastAsia"/>
                <w:sz w:val="18"/>
                <w:szCs w:val="18"/>
              </w:rPr>
              <w:t>0.427×10</w:t>
            </w:r>
            <w:r>
              <w:rPr>
                <w:rFonts w:hint="eastAsia"/>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vAlign w:val="center"/>
          </w:tcPr>
          <w:p>
            <w:pPr>
              <w:spacing w:line="300" w:lineRule="auto"/>
              <w:jc w:val="center"/>
              <w:rPr>
                <w:sz w:val="18"/>
                <w:szCs w:val="18"/>
              </w:rPr>
            </w:pPr>
            <w:r>
              <w:rPr>
                <w:rFonts w:hint="eastAsia"/>
                <w:sz w:val="18"/>
                <w:szCs w:val="18"/>
              </w:rPr>
              <w:t>142</w:t>
            </w:r>
          </w:p>
        </w:tc>
        <w:tc>
          <w:tcPr>
            <w:tcW w:w="1777" w:type="dxa"/>
            <w:vAlign w:val="center"/>
          </w:tcPr>
          <w:p>
            <w:pPr>
              <w:spacing w:line="300" w:lineRule="auto"/>
              <w:jc w:val="center"/>
              <w:rPr>
                <w:sz w:val="18"/>
                <w:szCs w:val="18"/>
                <w:vertAlign w:val="superscript"/>
              </w:rPr>
            </w:pPr>
            <w:r>
              <w:rPr>
                <w:rFonts w:hint="eastAsia"/>
                <w:sz w:val="18"/>
                <w:szCs w:val="18"/>
              </w:rPr>
              <w:t>0.503×10</w:t>
            </w:r>
            <w:r>
              <w:rPr>
                <w:rFonts w:hint="eastAsia"/>
                <w:sz w:val="18"/>
                <w:szCs w:val="18"/>
                <w:vertAlign w:val="superscript"/>
              </w:rPr>
              <w:t>-3</w:t>
            </w:r>
          </w:p>
        </w:tc>
        <w:tc>
          <w:tcPr>
            <w:tcW w:w="1701" w:type="dxa"/>
            <w:vAlign w:val="center"/>
          </w:tcPr>
          <w:p>
            <w:pPr>
              <w:spacing w:line="300" w:lineRule="auto"/>
              <w:jc w:val="center"/>
              <w:rPr>
                <w:sz w:val="18"/>
                <w:szCs w:val="18"/>
              </w:rPr>
            </w:pPr>
            <w:r>
              <w:rPr>
                <w:rFonts w:hint="eastAsia"/>
                <w:sz w:val="18"/>
                <w:szCs w:val="18"/>
              </w:rPr>
              <w:t>/</w:t>
            </w:r>
          </w:p>
        </w:tc>
        <w:tc>
          <w:tcPr>
            <w:tcW w:w="1984" w:type="dxa"/>
            <w:vAlign w:val="center"/>
          </w:tcPr>
          <w:p>
            <w:pPr>
              <w:spacing w:line="300" w:lineRule="auto"/>
              <w:jc w:val="center"/>
              <w:rPr>
                <w:sz w:val="18"/>
                <w:szCs w:val="18"/>
              </w:rPr>
            </w:pPr>
            <w:r>
              <w:rPr>
                <w:rFonts w:hint="eastAsia"/>
                <w:sz w:val="18"/>
                <w:szCs w:val="18"/>
              </w:rPr>
              <w:t>/</w:t>
            </w:r>
          </w:p>
        </w:tc>
      </w:tr>
    </w:tbl>
    <w:p>
      <w:pPr>
        <w:widowControl/>
        <w:jc w:val="left"/>
        <w:rPr>
          <w:szCs w:val="21"/>
        </w:rPr>
      </w:pP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.2.</w:t>
      </w:r>
      <w:r>
        <w:rPr>
          <w:rFonts w:hint="eastAsia"/>
          <w:szCs w:val="21"/>
        </w:rPr>
        <w:t>2</w:t>
      </w:r>
      <w:r>
        <w:rPr>
          <w:szCs w:val="21"/>
        </w:rPr>
        <w:t>滤波：根据选定的检测速度和检测频率，选择合适的滤波。</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.2.</w:t>
      </w:r>
      <w:r>
        <w:rPr>
          <w:rFonts w:hint="eastAsia"/>
          <w:szCs w:val="21"/>
        </w:rPr>
        <w:t>3</w:t>
      </w:r>
      <w:r>
        <w:rPr>
          <w:szCs w:val="21"/>
        </w:rPr>
        <w:t>相位：调节滤波使3个人工伤信号清晰可辨，将噪声信号的相位角调至水平方向，使缺陷信号和噪声信号有一定的夹角。</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.2.</w:t>
      </w:r>
      <w:r>
        <w:rPr>
          <w:rFonts w:hint="eastAsia"/>
          <w:szCs w:val="21"/>
        </w:rPr>
        <w:t>4</w:t>
      </w:r>
      <w:r>
        <w:rPr>
          <w:szCs w:val="21"/>
        </w:rPr>
        <w:t xml:space="preserve"> 报警限设置：调节增益</w:t>
      </w:r>
      <w:r>
        <w:rPr>
          <w:rFonts w:hint="eastAsia"/>
          <w:szCs w:val="21"/>
        </w:rPr>
        <w:t>将人工缺陷信号调到记录满屏幅度的50%~70%之间，</w:t>
      </w:r>
      <w:r>
        <w:rPr>
          <w:szCs w:val="21"/>
        </w:rPr>
        <w:t>并按照三个人工缺陷上的最小幅值设定报警限，</w:t>
      </w:r>
      <w:r>
        <w:rPr>
          <w:rFonts w:hint="eastAsia"/>
          <w:szCs w:val="21"/>
        </w:rPr>
        <w:t>连续3次通过线圈</w:t>
      </w:r>
      <w:r>
        <w:rPr>
          <w:szCs w:val="21"/>
        </w:rPr>
        <w:t>使得人工伤标样上3个人工缺陷均能报警。</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.2.</w:t>
      </w:r>
      <w:r>
        <w:rPr>
          <w:rFonts w:hint="eastAsia"/>
          <w:szCs w:val="21"/>
        </w:rPr>
        <w:t>5</w:t>
      </w:r>
      <w:r>
        <w:rPr>
          <w:szCs w:val="21"/>
        </w:rPr>
        <w:t xml:space="preserve"> </w:t>
      </w:r>
      <w:r>
        <w:rPr>
          <w:rFonts w:hint="eastAsia"/>
          <w:szCs w:val="21"/>
        </w:rPr>
        <w:t>灵敏度</w:t>
      </w:r>
      <w:r>
        <w:rPr>
          <w:szCs w:val="21"/>
        </w:rPr>
        <w:t>：</w:t>
      </w:r>
      <w:r>
        <w:rPr>
          <w:rFonts w:hint="eastAsia"/>
          <w:szCs w:val="21"/>
        </w:rPr>
        <w:t>根据选定的检测频率调节灵敏度，报警限设置完成后，采用使对比试样上三个人工缺陷刚刚报警的灵敏度增加3dB进行检测</w:t>
      </w:r>
      <w:r>
        <w:rPr>
          <w:szCs w:val="21"/>
        </w:rPr>
        <w:t>。</w:t>
      </w:r>
    </w:p>
    <w:p>
      <w:pPr>
        <w:spacing w:line="360" w:lineRule="auto"/>
        <w:rPr>
          <w:szCs w:val="21"/>
        </w:rPr>
      </w:pPr>
      <w:r>
        <w:rPr>
          <w:rFonts w:hint="eastAsia"/>
          <w:szCs w:val="21"/>
        </w:rPr>
        <w:t>B</w:t>
      </w:r>
      <w:r>
        <w:rPr>
          <w:szCs w:val="21"/>
        </w:rPr>
        <w:t>.</w:t>
      </w:r>
      <w:r>
        <w:rPr>
          <w:rFonts w:hint="eastAsia"/>
          <w:szCs w:val="21"/>
        </w:rPr>
        <w:t>4</w:t>
      </w:r>
      <w:r>
        <w:rPr>
          <w:szCs w:val="21"/>
        </w:rPr>
        <w:t>.3</w:t>
      </w:r>
      <w:r>
        <w:rPr>
          <w:rFonts w:hint="eastAsia"/>
          <w:szCs w:val="21"/>
        </w:rPr>
        <w:t>对比试样</w:t>
      </w:r>
    </w:p>
    <w:p>
      <w:pPr>
        <w:spacing w:line="360" w:lineRule="auto"/>
        <w:ind w:firstLine="525" w:firstLineChars="250"/>
        <w:rPr>
          <w:szCs w:val="21"/>
        </w:rPr>
      </w:pPr>
      <w:r>
        <w:rPr>
          <w:rFonts w:hint="eastAsia"/>
          <w:szCs w:val="21"/>
        </w:rPr>
        <w:t>B</w:t>
      </w:r>
      <w:r>
        <w:rPr>
          <w:szCs w:val="21"/>
        </w:rPr>
        <w:t>.</w:t>
      </w:r>
      <w:r>
        <w:rPr>
          <w:rFonts w:hint="eastAsia"/>
          <w:szCs w:val="21"/>
        </w:rPr>
        <w:t>4</w:t>
      </w:r>
      <w:r>
        <w:rPr>
          <w:szCs w:val="21"/>
        </w:rPr>
        <w:t>.3.1用途</w:t>
      </w:r>
    </w:p>
    <w:p>
      <w:pPr>
        <w:spacing w:line="360" w:lineRule="auto"/>
        <w:ind w:firstLine="525" w:firstLineChars="250"/>
        <w:rPr>
          <w:szCs w:val="21"/>
        </w:rPr>
      </w:pPr>
      <w:r>
        <w:rPr>
          <w:rFonts w:hint="eastAsia"/>
          <w:szCs w:val="21"/>
        </w:rPr>
        <w:t>对比试样</w:t>
      </w:r>
      <w:r>
        <w:rPr>
          <w:szCs w:val="21"/>
        </w:rPr>
        <w:t>用于</w:t>
      </w:r>
      <w:r>
        <w:rPr>
          <w:rFonts w:hint="eastAsia"/>
          <w:szCs w:val="21"/>
        </w:rPr>
        <w:t>对涡流检测系统进行调试和检查，确定检测参数（如：检测频率、灵敏度等）</w:t>
      </w:r>
      <w:r>
        <w:rPr>
          <w:szCs w:val="21"/>
        </w:rPr>
        <w:t>，</w:t>
      </w:r>
      <w:r>
        <w:rPr>
          <w:rFonts w:hint="eastAsia"/>
          <w:szCs w:val="21"/>
        </w:rPr>
        <w:t>确定验收水平</w:t>
      </w:r>
      <w:r>
        <w:rPr>
          <w:szCs w:val="21"/>
        </w:rPr>
        <w:t>及在探伤过程中</w:t>
      </w:r>
      <w:r>
        <w:rPr>
          <w:rFonts w:hint="eastAsia"/>
          <w:szCs w:val="21"/>
        </w:rPr>
        <w:t>监测检测系统长时间工作的稳定性</w:t>
      </w:r>
      <w:r>
        <w:rPr>
          <w:szCs w:val="21"/>
        </w:rPr>
        <w:t>，是检测</w:t>
      </w:r>
      <w:r>
        <w:rPr>
          <w:rFonts w:hint="eastAsia"/>
          <w:szCs w:val="21"/>
        </w:rPr>
        <w:t>核级</w:t>
      </w:r>
      <w:r>
        <w:rPr>
          <w:szCs w:val="21"/>
        </w:rPr>
        <w:t>银</w:t>
      </w:r>
      <w:r>
        <w:rPr>
          <w:rFonts w:hint="eastAsia"/>
          <w:szCs w:val="21"/>
        </w:rPr>
        <w:t>-</w:t>
      </w:r>
      <w:r>
        <w:rPr>
          <w:szCs w:val="21"/>
        </w:rPr>
        <w:t>铟</w:t>
      </w:r>
      <w:r>
        <w:rPr>
          <w:rFonts w:hint="eastAsia"/>
          <w:szCs w:val="21"/>
        </w:rPr>
        <w:t>-</w:t>
      </w:r>
      <w:r>
        <w:rPr>
          <w:szCs w:val="21"/>
        </w:rPr>
        <w:t>镉棒材缺陷的重要依据。</w:t>
      </w:r>
    </w:p>
    <w:p>
      <w:pPr>
        <w:spacing w:line="360" w:lineRule="auto"/>
        <w:ind w:firstLine="525" w:firstLineChars="250"/>
        <w:rPr>
          <w:szCs w:val="21"/>
        </w:rPr>
      </w:pPr>
      <w:r>
        <w:rPr>
          <w:rFonts w:hint="eastAsia"/>
          <w:szCs w:val="21"/>
        </w:rPr>
        <w:t>B</w:t>
      </w:r>
      <w:r>
        <w:rPr>
          <w:szCs w:val="21"/>
        </w:rPr>
        <w:t>.</w:t>
      </w:r>
      <w:r>
        <w:rPr>
          <w:rFonts w:hint="eastAsia"/>
          <w:szCs w:val="21"/>
        </w:rPr>
        <w:t>4</w:t>
      </w:r>
      <w:r>
        <w:rPr>
          <w:szCs w:val="21"/>
        </w:rPr>
        <w:t>.3. 2材质</w:t>
      </w:r>
    </w:p>
    <w:p>
      <w:pPr>
        <w:spacing w:line="360" w:lineRule="auto"/>
        <w:ind w:firstLine="525" w:firstLineChars="250"/>
        <w:rPr>
          <w:szCs w:val="21"/>
        </w:rPr>
      </w:pPr>
      <w:r>
        <w:rPr>
          <w:rFonts w:hint="eastAsia"/>
          <w:szCs w:val="21"/>
        </w:rPr>
        <w:t>对比试样</w:t>
      </w:r>
      <w:r>
        <w:rPr>
          <w:szCs w:val="21"/>
        </w:rPr>
        <w:t>的材质应为Ag80InCd，</w:t>
      </w:r>
      <w:r>
        <w:rPr>
          <w:rFonts w:hint="eastAsia"/>
          <w:szCs w:val="21"/>
        </w:rPr>
        <w:t>热处理后组织、性能及表面质量</w:t>
      </w:r>
      <w:r>
        <w:rPr>
          <w:szCs w:val="21"/>
        </w:rPr>
        <w:t>与被检棒材一致。</w:t>
      </w:r>
    </w:p>
    <w:p>
      <w:pPr>
        <w:spacing w:line="360" w:lineRule="auto"/>
        <w:ind w:firstLine="525" w:firstLineChars="250"/>
        <w:rPr>
          <w:szCs w:val="21"/>
        </w:rPr>
      </w:pPr>
      <w:r>
        <w:rPr>
          <w:rFonts w:hint="eastAsia"/>
          <w:szCs w:val="21"/>
        </w:rPr>
        <w:t>B</w:t>
      </w:r>
      <w:r>
        <w:rPr>
          <w:szCs w:val="21"/>
        </w:rPr>
        <w:t>.</w:t>
      </w:r>
      <w:r>
        <w:rPr>
          <w:rFonts w:hint="eastAsia"/>
          <w:szCs w:val="21"/>
        </w:rPr>
        <w:t>4</w:t>
      </w:r>
      <w:r>
        <w:rPr>
          <w:szCs w:val="21"/>
        </w:rPr>
        <w:t>.3. 3</w:t>
      </w:r>
      <w:r>
        <w:rPr>
          <w:rFonts w:hint="eastAsia"/>
          <w:szCs w:val="21"/>
        </w:rPr>
        <w:t>对比试样</w:t>
      </w:r>
      <w:r>
        <w:rPr>
          <w:szCs w:val="21"/>
        </w:rPr>
        <w:t>人工缺陷类型及尺寸</w:t>
      </w:r>
    </w:p>
    <w:p>
      <w:pPr>
        <w:spacing w:line="360" w:lineRule="auto"/>
        <w:ind w:firstLine="525" w:firstLineChars="250"/>
        <w:rPr>
          <w:szCs w:val="21"/>
        </w:rPr>
      </w:pPr>
      <w:r>
        <w:rPr>
          <w:szCs w:val="21"/>
        </w:rPr>
        <w:t>针对棒材表面及近表面缺陷面积应小于棒材截面积的3%的技术要求，不同规格棒材探伤的横向刻槽人工缺陷尺寸的选择参考表</w:t>
      </w:r>
      <w:r>
        <w:rPr>
          <w:rFonts w:hint="eastAsia"/>
          <w:szCs w:val="21"/>
        </w:rPr>
        <w:t>B.3</w:t>
      </w:r>
      <w:r>
        <w:rPr>
          <w:szCs w:val="21"/>
        </w:rPr>
        <w:t>：</w:t>
      </w:r>
    </w:p>
    <w:p>
      <w:pPr>
        <w:widowControl/>
        <w:jc w:val="center"/>
        <w:rPr>
          <w:rFonts w:eastAsia="黑体"/>
          <w:szCs w:val="21"/>
        </w:rPr>
      </w:pPr>
      <w:r>
        <w:rPr>
          <w:rFonts w:eastAsia="黑体"/>
          <w:szCs w:val="21"/>
        </w:rPr>
        <w:t>表</w:t>
      </w:r>
      <w:r>
        <w:rPr>
          <w:rFonts w:hint="eastAsia" w:eastAsia="黑体"/>
          <w:szCs w:val="21"/>
        </w:rPr>
        <w:t>B.3</w:t>
      </w:r>
      <w:r>
        <w:rPr>
          <w:rFonts w:eastAsia="黑体"/>
          <w:szCs w:val="21"/>
        </w:rPr>
        <w:t>不同规格棒材人工缺陷尺寸参考表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0"/>
        <w:gridCol w:w="1778"/>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050" w:type="dxa"/>
            <w:vAlign w:val="center"/>
          </w:tcPr>
          <w:p>
            <w:pPr>
              <w:spacing w:line="360" w:lineRule="auto"/>
              <w:jc w:val="center"/>
              <w:rPr>
                <w:sz w:val="18"/>
                <w:szCs w:val="18"/>
              </w:rPr>
            </w:pPr>
            <w:r>
              <w:rPr>
                <w:sz w:val="18"/>
                <w:szCs w:val="18"/>
              </w:rPr>
              <w:t>棒材直径（mm）</w:t>
            </w:r>
          </w:p>
        </w:tc>
        <w:tc>
          <w:tcPr>
            <w:tcW w:w="1778" w:type="dxa"/>
            <w:vAlign w:val="center"/>
          </w:tcPr>
          <w:p>
            <w:pPr>
              <w:spacing w:line="360" w:lineRule="auto"/>
              <w:jc w:val="center"/>
              <w:rPr>
                <w:sz w:val="18"/>
                <w:szCs w:val="18"/>
              </w:rPr>
            </w:pPr>
            <w:r>
              <w:rPr>
                <w:sz w:val="18"/>
                <w:szCs w:val="18"/>
              </w:rPr>
              <w:t>深(mm)</w:t>
            </w:r>
          </w:p>
        </w:tc>
        <w:tc>
          <w:tcPr>
            <w:tcW w:w="1707" w:type="dxa"/>
            <w:vAlign w:val="center"/>
          </w:tcPr>
          <w:p>
            <w:pPr>
              <w:spacing w:line="360" w:lineRule="auto"/>
              <w:jc w:val="center"/>
              <w:rPr>
                <w:sz w:val="18"/>
                <w:szCs w:val="18"/>
              </w:rPr>
            </w:pPr>
            <w:r>
              <w:rPr>
                <w:sz w:val="18"/>
                <w:szCs w:val="18"/>
              </w:rPr>
              <w:t>宽(mm)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6≤d＜7</w:t>
            </w:r>
          </w:p>
        </w:tc>
        <w:tc>
          <w:tcPr>
            <w:tcW w:w="1778" w:type="dxa"/>
            <w:vAlign w:val="center"/>
          </w:tcPr>
          <w:p>
            <w:pPr>
              <w:spacing w:line="360" w:lineRule="auto"/>
              <w:jc w:val="center"/>
              <w:rPr>
                <w:sz w:val="18"/>
                <w:szCs w:val="18"/>
              </w:rPr>
            </w:pPr>
            <w:r>
              <w:rPr>
                <w:sz w:val="18"/>
                <w:szCs w:val="18"/>
              </w:rPr>
              <w:t>0.4</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7≤d＜8</w:t>
            </w:r>
          </w:p>
        </w:tc>
        <w:tc>
          <w:tcPr>
            <w:tcW w:w="1778" w:type="dxa"/>
            <w:vAlign w:val="center"/>
          </w:tcPr>
          <w:p>
            <w:pPr>
              <w:spacing w:line="360" w:lineRule="auto"/>
              <w:jc w:val="center"/>
              <w:rPr>
                <w:sz w:val="18"/>
                <w:szCs w:val="18"/>
              </w:rPr>
            </w:pPr>
            <w:r>
              <w:rPr>
                <w:sz w:val="18"/>
                <w:szCs w:val="18"/>
              </w:rPr>
              <w:t>0.48</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8≤d＜8.5</w:t>
            </w:r>
          </w:p>
        </w:tc>
        <w:tc>
          <w:tcPr>
            <w:tcW w:w="1778" w:type="dxa"/>
            <w:vAlign w:val="center"/>
          </w:tcPr>
          <w:p>
            <w:pPr>
              <w:spacing w:line="360" w:lineRule="auto"/>
              <w:jc w:val="center"/>
              <w:rPr>
                <w:sz w:val="18"/>
                <w:szCs w:val="18"/>
              </w:rPr>
            </w:pPr>
            <w:r>
              <w:rPr>
                <w:sz w:val="18"/>
                <w:szCs w:val="18"/>
              </w:rPr>
              <w:t>0.54</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8.5≤d＜9</w:t>
            </w:r>
          </w:p>
        </w:tc>
        <w:tc>
          <w:tcPr>
            <w:tcW w:w="1778" w:type="dxa"/>
            <w:vAlign w:val="center"/>
          </w:tcPr>
          <w:p>
            <w:pPr>
              <w:spacing w:line="360" w:lineRule="auto"/>
              <w:jc w:val="center"/>
              <w:rPr>
                <w:sz w:val="18"/>
                <w:szCs w:val="18"/>
              </w:rPr>
            </w:pPr>
            <w:r>
              <w:rPr>
                <w:sz w:val="18"/>
                <w:szCs w:val="18"/>
              </w:rPr>
              <w:t>0.59</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9≤d＜10</w:t>
            </w:r>
          </w:p>
        </w:tc>
        <w:tc>
          <w:tcPr>
            <w:tcW w:w="1778" w:type="dxa"/>
            <w:vAlign w:val="center"/>
          </w:tcPr>
          <w:p>
            <w:pPr>
              <w:spacing w:line="360" w:lineRule="auto"/>
              <w:jc w:val="center"/>
              <w:rPr>
                <w:sz w:val="18"/>
                <w:szCs w:val="18"/>
              </w:rPr>
            </w:pPr>
            <w:r>
              <w:rPr>
                <w:sz w:val="18"/>
                <w:szCs w:val="18"/>
              </w:rPr>
              <w:t>0.7</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10≤d＜11</w:t>
            </w:r>
          </w:p>
        </w:tc>
        <w:tc>
          <w:tcPr>
            <w:tcW w:w="1778" w:type="dxa"/>
            <w:vAlign w:val="center"/>
          </w:tcPr>
          <w:p>
            <w:pPr>
              <w:spacing w:line="360" w:lineRule="auto"/>
              <w:jc w:val="center"/>
              <w:rPr>
                <w:sz w:val="18"/>
                <w:szCs w:val="18"/>
              </w:rPr>
            </w:pPr>
            <w:r>
              <w:rPr>
                <w:sz w:val="18"/>
                <w:szCs w:val="18"/>
              </w:rPr>
              <w:t>0.7</w:t>
            </w:r>
          </w:p>
        </w:tc>
        <w:tc>
          <w:tcPr>
            <w:tcW w:w="1707" w:type="dxa"/>
            <w:vAlign w:val="center"/>
          </w:tcPr>
          <w:p>
            <w:pPr>
              <w:spacing w:line="360" w:lineRule="auto"/>
              <w:jc w:val="center"/>
              <w:rPr>
                <w:sz w:val="18"/>
                <w:szCs w:val="18"/>
              </w:rPr>
            </w:pP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0" w:type="dxa"/>
            <w:vAlign w:val="center"/>
          </w:tcPr>
          <w:p>
            <w:pPr>
              <w:spacing w:line="360" w:lineRule="auto"/>
              <w:jc w:val="center"/>
              <w:rPr>
                <w:sz w:val="18"/>
                <w:szCs w:val="18"/>
              </w:rPr>
            </w:pPr>
            <w:r>
              <w:rPr>
                <w:sz w:val="18"/>
                <w:szCs w:val="18"/>
              </w:rPr>
              <w:t>11≤d＜12</w:t>
            </w:r>
          </w:p>
        </w:tc>
        <w:tc>
          <w:tcPr>
            <w:tcW w:w="1778" w:type="dxa"/>
            <w:vAlign w:val="center"/>
          </w:tcPr>
          <w:p>
            <w:pPr>
              <w:spacing w:line="360" w:lineRule="auto"/>
              <w:jc w:val="center"/>
              <w:rPr>
                <w:sz w:val="18"/>
                <w:szCs w:val="18"/>
              </w:rPr>
            </w:pPr>
            <w:r>
              <w:rPr>
                <w:sz w:val="18"/>
                <w:szCs w:val="18"/>
              </w:rPr>
              <w:t>0.8</w:t>
            </w:r>
          </w:p>
        </w:tc>
        <w:tc>
          <w:tcPr>
            <w:tcW w:w="1707" w:type="dxa"/>
            <w:vAlign w:val="center"/>
          </w:tcPr>
          <w:p>
            <w:pPr>
              <w:spacing w:line="360" w:lineRule="auto"/>
              <w:jc w:val="center"/>
              <w:rPr>
                <w:sz w:val="18"/>
                <w:szCs w:val="18"/>
              </w:rPr>
            </w:pPr>
            <w:r>
              <w:rPr>
                <w:sz w:val="18"/>
                <w:szCs w:val="18"/>
              </w:rPr>
              <w:t>0.4</w:t>
            </w:r>
          </w:p>
        </w:tc>
      </w:tr>
    </w:tbl>
    <w:p>
      <w:pPr>
        <w:spacing w:line="360" w:lineRule="auto"/>
        <w:ind w:firstLine="420"/>
        <w:rPr>
          <w:sz w:val="18"/>
          <w:szCs w:val="18"/>
        </w:rPr>
      </w:pPr>
      <w:r>
        <w:rPr>
          <w:szCs w:val="21"/>
        </w:rPr>
        <w:t xml:space="preserve">                  </w:t>
      </w:r>
      <w:r>
        <w:rPr>
          <w:sz w:val="18"/>
          <w:szCs w:val="18"/>
        </w:rPr>
        <w:t>注：槽深公差为±0.01mm，槽宽公差为±0.02mm。</w:t>
      </w:r>
    </w:p>
    <w:p>
      <w:pPr>
        <w:spacing w:line="360" w:lineRule="auto"/>
        <w:ind w:firstLine="420"/>
        <w:rPr>
          <w:szCs w:val="21"/>
        </w:rPr>
      </w:pPr>
      <w:r>
        <w:rPr>
          <w:rFonts w:hint="eastAsia"/>
          <w:szCs w:val="21"/>
        </w:rPr>
        <w:t>B</w:t>
      </w:r>
      <w:r>
        <w:rPr>
          <w:szCs w:val="21"/>
        </w:rPr>
        <w:t>.</w:t>
      </w:r>
      <w:r>
        <w:rPr>
          <w:rFonts w:hint="eastAsia"/>
          <w:szCs w:val="21"/>
        </w:rPr>
        <w:t>4</w:t>
      </w:r>
      <w:r>
        <w:rPr>
          <w:szCs w:val="21"/>
        </w:rPr>
        <w:t>.3. 4</w:t>
      </w:r>
      <w:r>
        <w:rPr>
          <w:rFonts w:hint="eastAsia"/>
          <w:szCs w:val="21"/>
        </w:rPr>
        <w:t>对比试样</w:t>
      </w:r>
      <w:r>
        <w:rPr>
          <w:szCs w:val="21"/>
        </w:rPr>
        <w:t>人工缺陷位置</w:t>
      </w:r>
    </w:p>
    <w:p>
      <w:pPr>
        <w:spacing w:line="360" w:lineRule="auto"/>
        <w:ind w:firstLine="420" w:firstLineChars="200"/>
        <w:rPr>
          <w:szCs w:val="21"/>
        </w:rPr>
      </w:pPr>
      <w:r>
        <w:rPr>
          <w:szCs w:val="21"/>
        </w:rPr>
        <w:t>对比试样上相邻人工缺陷的间距、人工缺陷与棒材端部的间距，以在检测条件下能够清楚分辨缺陷信号和端头效应并能获得清晰的缺陷信号为准。一般情况下，人工伤对比</w:t>
      </w:r>
      <w:r>
        <w:rPr>
          <w:rFonts w:hint="eastAsia"/>
          <w:szCs w:val="21"/>
        </w:rPr>
        <w:t>试</w:t>
      </w:r>
      <w:r>
        <w:rPr>
          <w:szCs w:val="21"/>
        </w:rPr>
        <w:t>样长度应不小于700mm，每种规格对比</w:t>
      </w:r>
      <w:r>
        <w:rPr>
          <w:rFonts w:hint="eastAsia"/>
          <w:szCs w:val="21"/>
        </w:rPr>
        <w:t>试</w:t>
      </w:r>
      <w:r>
        <w:rPr>
          <w:szCs w:val="21"/>
        </w:rPr>
        <w:t>样上应加工有3个缺陷，相邻的两个人工缺陷间距应大于20mm，但不大于200mm，且周向按120°间隔分布。用于检测端头盲区的人工缺陷为平底孔缺陷，</w:t>
      </w:r>
      <w:r>
        <w:rPr>
          <w:rFonts w:hint="eastAsia"/>
          <w:szCs w:val="21"/>
        </w:rPr>
        <w:t>平底孔尺寸一</w:t>
      </w:r>
      <w:r>
        <w:rPr>
          <w:szCs w:val="21"/>
        </w:rPr>
        <w:t>般为Φ1.0×2.0mm，其位置与棒材端头之间距离应不大于30mm。</w:t>
      </w:r>
    </w:p>
    <w:p>
      <w:pPr>
        <w:spacing w:line="360" w:lineRule="auto"/>
        <w:rPr>
          <w:szCs w:val="21"/>
        </w:rPr>
      </w:pPr>
      <w:r>
        <w:rPr>
          <w:rFonts w:hint="eastAsia"/>
          <w:szCs w:val="21"/>
        </w:rPr>
        <w:t>B</w:t>
      </w:r>
      <w:r>
        <w:rPr>
          <w:szCs w:val="21"/>
        </w:rPr>
        <w:t>.</w:t>
      </w:r>
      <w:r>
        <w:rPr>
          <w:rFonts w:hint="eastAsia"/>
          <w:szCs w:val="21"/>
        </w:rPr>
        <w:t>4</w:t>
      </w:r>
      <w:r>
        <w:rPr>
          <w:szCs w:val="21"/>
        </w:rPr>
        <w:t>.4设备调试、检测步骤和记录填写</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.4.1传动设备调试</w:t>
      </w:r>
    </w:p>
    <w:p>
      <w:pPr>
        <w:spacing w:line="360" w:lineRule="auto"/>
        <w:ind w:firstLine="420" w:firstLineChars="200"/>
        <w:rPr>
          <w:szCs w:val="21"/>
        </w:rPr>
      </w:pPr>
      <w:r>
        <w:rPr>
          <w:szCs w:val="21"/>
        </w:rPr>
        <w:t>根据受检试样直径，选用并安装符合检测要求的涡流探头及导向套。调节探头对中架、驱动压轮及测长编码器压轮位置，使检测线圈中心与被检试样中心一致，且试样送进平稳，运行自如，然后锁紧固定螺栓。</w:t>
      </w:r>
    </w:p>
    <w:p>
      <w:pPr>
        <w:spacing w:line="360" w:lineRule="auto"/>
        <w:ind w:firstLine="420" w:firstLineChars="200"/>
        <w:rPr>
          <w:szCs w:val="21"/>
        </w:rPr>
      </w:pPr>
      <w:r>
        <w:rPr>
          <w:rFonts w:hint="eastAsia"/>
          <w:szCs w:val="21"/>
        </w:rPr>
        <w:t>B</w:t>
      </w:r>
      <w:r>
        <w:rPr>
          <w:szCs w:val="21"/>
        </w:rPr>
        <w:t>.</w:t>
      </w:r>
      <w:r>
        <w:rPr>
          <w:rFonts w:hint="eastAsia"/>
          <w:szCs w:val="21"/>
        </w:rPr>
        <w:t>4</w:t>
      </w:r>
      <w:r>
        <w:rPr>
          <w:szCs w:val="21"/>
        </w:rPr>
        <w:t>.4.2探伤调试</w:t>
      </w:r>
    </w:p>
    <w:p>
      <w:pPr>
        <w:spacing w:line="360" w:lineRule="auto"/>
        <w:ind w:firstLine="420" w:firstLineChars="200"/>
        <w:rPr>
          <w:szCs w:val="21"/>
        </w:rPr>
      </w:pPr>
      <w:r>
        <w:rPr>
          <w:rFonts w:hint="eastAsia"/>
          <w:szCs w:val="21"/>
        </w:rPr>
        <w:t>在</w:t>
      </w:r>
      <w:r>
        <w:rPr>
          <w:szCs w:val="21"/>
        </w:rPr>
        <w:t>电源电压稳定的情况下，启动涡流操作系统开关，并打开探伤仪开关，预热15-20分钟后进行调试或检验。在机械传动设备运行正常的情况下，将</w:t>
      </w:r>
      <w:r>
        <w:rPr>
          <w:rFonts w:hint="eastAsia"/>
          <w:szCs w:val="21"/>
        </w:rPr>
        <w:t>对比试样</w:t>
      </w:r>
      <w:r>
        <w:rPr>
          <w:szCs w:val="21"/>
        </w:rPr>
        <w:t>通过探头，选择仪器激励频率、增益、相位、滤波、噪声等检测参数，使仪器显示出清晰可辨的人工缺陷信号</w:t>
      </w:r>
      <w:r>
        <w:rPr>
          <w:rFonts w:hint="eastAsia"/>
          <w:szCs w:val="21"/>
        </w:rPr>
        <w:t>调整缺陷信号达到记录满屏幅度的50%~70%之间</w:t>
      </w:r>
      <w:r>
        <w:rPr>
          <w:szCs w:val="21"/>
        </w:rPr>
        <w:t>，并设置合适的报警限。</w:t>
      </w:r>
    </w:p>
    <w:p>
      <w:pPr>
        <w:spacing w:line="360" w:lineRule="auto"/>
        <w:ind w:firstLine="420" w:firstLineChars="200"/>
        <w:rPr>
          <w:szCs w:val="21"/>
        </w:rPr>
      </w:pPr>
      <w:r>
        <w:rPr>
          <w:szCs w:val="21"/>
        </w:rPr>
        <w:t>在检测条件、参数完全相同的情况下，</w:t>
      </w:r>
      <w:r>
        <w:rPr>
          <w:rFonts w:hint="eastAsia"/>
          <w:szCs w:val="21"/>
        </w:rPr>
        <w:t>对比试样</w:t>
      </w:r>
      <w:r>
        <w:rPr>
          <w:szCs w:val="21"/>
        </w:rPr>
        <w:t>应连续至少3次通过检测线圈，检测设备对3个相同尺寸的人工缺陷必须100％报警，且检测系统自动测长、超标缺陷（起点）自动定位显示（记录）值与实际值误差均应不大于±20mm，检测结果重复性应良好。</w:t>
      </w:r>
    </w:p>
    <w:p>
      <w:pPr>
        <w:widowControl/>
        <w:spacing w:line="360" w:lineRule="auto"/>
        <w:ind w:firstLine="420" w:firstLineChars="200"/>
        <w:jc w:val="left"/>
        <w:rPr>
          <w:szCs w:val="21"/>
        </w:rPr>
      </w:pPr>
      <w:r>
        <w:rPr>
          <w:rFonts w:hint="eastAsia"/>
          <w:szCs w:val="21"/>
        </w:rPr>
        <w:t>B</w:t>
      </w:r>
      <w:r>
        <w:rPr>
          <w:szCs w:val="21"/>
        </w:rPr>
        <w:t>.</w:t>
      </w:r>
      <w:r>
        <w:rPr>
          <w:rFonts w:hint="eastAsia"/>
          <w:szCs w:val="21"/>
        </w:rPr>
        <w:t>4</w:t>
      </w:r>
      <w:r>
        <w:rPr>
          <w:szCs w:val="21"/>
        </w:rPr>
        <w:t>.4.3检测</w:t>
      </w:r>
    </w:p>
    <w:p>
      <w:pPr>
        <w:spacing w:line="360" w:lineRule="auto"/>
        <w:ind w:firstLine="420" w:firstLineChars="200"/>
        <w:rPr>
          <w:szCs w:val="21"/>
        </w:rPr>
      </w:pPr>
      <w:r>
        <w:rPr>
          <w:szCs w:val="21"/>
        </w:rPr>
        <w:t>保持检测系统的状态及检测参数不变，对</w:t>
      </w:r>
      <w:r>
        <w:rPr>
          <w:rFonts w:hint="eastAsia"/>
          <w:szCs w:val="21"/>
        </w:rPr>
        <w:t>产品</w:t>
      </w:r>
      <w:r>
        <w:rPr>
          <w:szCs w:val="21"/>
        </w:rPr>
        <w:t>逐支检验。</w:t>
      </w:r>
    </w:p>
    <w:p>
      <w:pPr>
        <w:spacing w:line="360" w:lineRule="auto"/>
        <w:ind w:firstLine="420" w:firstLineChars="200"/>
        <w:rPr>
          <w:szCs w:val="21"/>
        </w:rPr>
      </w:pPr>
      <w:r>
        <w:rPr>
          <w:szCs w:val="21"/>
        </w:rPr>
        <w:t>在检验过程中应对设备的检验状态进行定期校验。每班检测开始、检测结束需采用</w:t>
      </w:r>
      <w:r>
        <w:rPr>
          <w:rFonts w:hint="eastAsia"/>
          <w:szCs w:val="21"/>
        </w:rPr>
        <w:t>对比试样</w:t>
      </w:r>
      <w:r>
        <w:rPr>
          <w:szCs w:val="21"/>
        </w:rPr>
        <w:t>对仪器进行校核，检验过程中每2小时必须用</w:t>
      </w:r>
      <w:r>
        <w:rPr>
          <w:rFonts w:hint="eastAsia"/>
          <w:szCs w:val="21"/>
        </w:rPr>
        <w:t>对比试样</w:t>
      </w:r>
      <w:r>
        <w:rPr>
          <w:szCs w:val="21"/>
        </w:rPr>
        <w:t>校核仪器的工作状态，对比试样连续3次通过检测线圈，若对比试样上的</w:t>
      </w:r>
      <w:r>
        <w:rPr>
          <w:rFonts w:hint="eastAsia"/>
          <w:szCs w:val="21"/>
        </w:rPr>
        <w:t>人工</w:t>
      </w:r>
      <w:r>
        <w:rPr>
          <w:szCs w:val="21"/>
        </w:rPr>
        <w:t>缺陷3次均能全部报警，说明设备状态正常，产品检验结果有效，可继续检验。否则须重新调整设备，并对上次校验后所检测的</w:t>
      </w:r>
      <w:r>
        <w:rPr>
          <w:rFonts w:hint="eastAsia"/>
          <w:szCs w:val="21"/>
        </w:rPr>
        <w:t>产品</w:t>
      </w:r>
      <w:r>
        <w:rPr>
          <w:szCs w:val="21"/>
        </w:rPr>
        <w:t>重新复检。</w:t>
      </w:r>
    </w:p>
    <w:p>
      <w:pPr>
        <w:spacing w:line="360" w:lineRule="auto"/>
        <w:ind w:firstLine="420" w:firstLineChars="200"/>
        <w:rPr>
          <w:szCs w:val="21"/>
        </w:rPr>
      </w:pPr>
      <w:r>
        <w:rPr>
          <w:szCs w:val="21"/>
        </w:rPr>
        <w:t>探伤过程中，对</w:t>
      </w:r>
      <w:r>
        <w:rPr>
          <w:rFonts w:hint="eastAsia"/>
          <w:szCs w:val="21"/>
        </w:rPr>
        <w:t>产品</w:t>
      </w:r>
      <w:r>
        <w:rPr>
          <w:szCs w:val="21"/>
        </w:rPr>
        <w:t>进行编号，记录探伤结果，保证探伤棒材编号与检测结果</w:t>
      </w:r>
      <w:r>
        <w:rPr>
          <w:rFonts w:hint="eastAsia"/>
          <w:szCs w:val="21"/>
        </w:rPr>
        <w:t>一一</w:t>
      </w:r>
      <w:r>
        <w:rPr>
          <w:szCs w:val="21"/>
        </w:rPr>
        <w:t>对应。</w:t>
      </w:r>
    </w:p>
    <w:p>
      <w:pPr>
        <w:widowControl/>
        <w:jc w:val="left"/>
        <w:rPr>
          <w:szCs w:val="21"/>
        </w:rPr>
      </w:pPr>
    </w:p>
    <w:p>
      <w:pPr>
        <w:pStyle w:val="2"/>
        <w:spacing w:before="240" w:after="240"/>
      </w:pPr>
      <w:r>
        <w:rPr>
          <w:rFonts w:hint="eastAsia"/>
        </w:rPr>
        <w:t>B</w:t>
      </w:r>
      <w:r>
        <w:t>.</w:t>
      </w:r>
      <w:r>
        <w:rPr>
          <w:rFonts w:hint="eastAsia"/>
        </w:rPr>
        <w:t>4</w:t>
      </w:r>
      <w:r>
        <w:t>.5判定标准</w:t>
      </w:r>
    </w:p>
    <w:p>
      <w:pPr>
        <w:spacing w:line="360" w:lineRule="auto"/>
        <w:ind w:firstLine="525" w:firstLineChars="250"/>
        <w:rPr>
          <w:szCs w:val="21"/>
        </w:rPr>
      </w:pPr>
      <w:r>
        <w:rPr>
          <w:szCs w:val="21"/>
        </w:rPr>
        <w:t>A.</w:t>
      </w:r>
      <w:r>
        <w:rPr>
          <w:rFonts w:hint="eastAsia"/>
          <w:szCs w:val="21"/>
        </w:rPr>
        <w:t>4</w:t>
      </w:r>
      <w:r>
        <w:rPr>
          <w:szCs w:val="21"/>
        </w:rPr>
        <w:t>.5.1不允许存在大于参考缺陷幅值的当量缺陷。</w:t>
      </w:r>
    </w:p>
    <w:p>
      <w:pPr>
        <w:spacing w:line="360" w:lineRule="auto"/>
        <w:ind w:firstLine="525" w:firstLineChars="250"/>
        <w:rPr>
          <w:szCs w:val="21"/>
        </w:rPr>
      </w:pPr>
      <w:r>
        <w:rPr>
          <w:szCs w:val="21"/>
        </w:rPr>
        <w:t>A.</w:t>
      </w:r>
      <w:r>
        <w:rPr>
          <w:rFonts w:hint="eastAsia"/>
          <w:szCs w:val="21"/>
        </w:rPr>
        <w:t>4</w:t>
      </w:r>
      <w:r>
        <w:rPr>
          <w:szCs w:val="21"/>
        </w:rPr>
        <w:t>.5.2经过探伤的棒材，如出现报警信号，不能确定报警信号是否为缺陷报警，则对此棒材进行至少两次以上的复检，若仍出现一次报警则判为不合格。</w:t>
      </w:r>
    </w:p>
    <w:p>
      <w:pPr>
        <w:spacing w:line="360" w:lineRule="auto"/>
        <w:ind w:firstLine="525" w:firstLineChars="250"/>
        <w:rPr>
          <w:szCs w:val="21"/>
        </w:rPr>
      </w:pPr>
      <w:r>
        <w:rPr>
          <w:szCs w:val="21"/>
        </w:rPr>
        <w:t>A.</w:t>
      </w:r>
      <w:r>
        <w:rPr>
          <w:rFonts w:hint="eastAsia"/>
          <w:szCs w:val="21"/>
        </w:rPr>
        <w:t>4</w:t>
      </w:r>
      <w:r>
        <w:rPr>
          <w:szCs w:val="21"/>
        </w:rPr>
        <w:t>.5.3经过探伤的棒材，未出现报警信号，但其缺陷幅值接近报警限，应对其进行两次复探，若有一次报警则该棒材判为不合格。</w:t>
      </w:r>
    </w:p>
    <w:p>
      <w:pPr>
        <w:pStyle w:val="2"/>
        <w:spacing w:before="240" w:after="240"/>
      </w:pPr>
      <w:r>
        <w:rPr>
          <w:rFonts w:hint="eastAsia"/>
        </w:rPr>
        <w:t>B</w:t>
      </w:r>
      <w:r>
        <w:t>.</w:t>
      </w:r>
      <w:r>
        <w:rPr>
          <w:rFonts w:hint="eastAsia"/>
        </w:rPr>
        <w:t>5检验报告</w:t>
      </w:r>
    </w:p>
    <w:p>
      <w:r>
        <w:rPr>
          <w:rFonts w:hint="eastAsia"/>
        </w:rPr>
        <w:t>检验报告包括以下内容：</w:t>
      </w:r>
    </w:p>
    <w:p/>
    <w:p>
      <w:pPr>
        <w:pStyle w:val="51"/>
        <w:numPr>
          <w:ilvl w:val="0"/>
          <w:numId w:val="4"/>
        </w:numPr>
        <w:spacing w:line="360" w:lineRule="auto"/>
        <w:ind w:leftChars="0" w:firstLineChars="0"/>
        <w:rPr>
          <w:rFonts w:ascii="Times New Roman"/>
        </w:rPr>
      </w:pPr>
      <w:r>
        <w:rPr>
          <w:rFonts w:hint="eastAsia" w:ascii="Times New Roman"/>
        </w:rPr>
        <w:t>被检件的名称、材料牌号、规格、状态、炉（批）号、数量；</w:t>
      </w:r>
    </w:p>
    <w:p>
      <w:pPr>
        <w:pStyle w:val="51"/>
        <w:numPr>
          <w:ilvl w:val="0"/>
          <w:numId w:val="4"/>
        </w:numPr>
        <w:spacing w:line="360" w:lineRule="auto"/>
        <w:ind w:leftChars="0" w:firstLineChars="0"/>
        <w:rPr>
          <w:rFonts w:ascii="Times New Roman"/>
        </w:rPr>
      </w:pPr>
      <w:r>
        <w:rPr>
          <w:rFonts w:hint="eastAsia" w:ascii="Times New Roman"/>
        </w:rPr>
        <w:t>对比试样的规格、编号；</w:t>
      </w:r>
    </w:p>
    <w:p>
      <w:pPr>
        <w:pStyle w:val="51"/>
        <w:numPr>
          <w:ilvl w:val="0"/>
          <w:numId w:val="4"/>
        </w:numPr>
        <w:spacing w:line="360" w:lineRule="auto"/>
        <w:ind w:leftChars="0" w:firstLineChars="0"/>
        <w:rPr>
          <w:rFonts w:ascii="Times New Roman"/>
        </w:rPr>
      </w:pPr>
      <w:r>
        <w:rPr>
          <w:rFonts w:hint="eastAsia" w:ascii="Times New Roman"/>
        </w:rPr>
        <w:t>仪器设备的型号及检测探头的规格；</w:t>
      </w:r>
    </w:p>
    <w:p>
      <w:pPr>
        <w:pStyle w:val="51"/>
        <w:numPr>
          <w:ilvl w:val="0"/>
          <w:numId w:val="4"/>
        </w:numPr>
        <w:spacing w:line="360" w:lineRule="auto"/>
        <w:ind w:leftChars="0" w:firstLineChars="0"/>
        <w:rPr>
          <w:rFonts w:ascii="Times New Roman"/>
        </w:rPr>
      </w:pPr>
      <w:r>
        <w:rPr>
          <w:rFonts w:hint="eastAsia" w:ascii="Times New Roman"/>
        </w:rPr>
        <w:t>检验结果的评定；</w:t>
      </w:r>
    </w:p>
    <w:p>
      <w:pPr>
        <w:pStyle w:val="51"/>
        <w:numPr>
          <w:ilvl w:val="0"/>
          <w:numId w:val="4"/>
        </w:numPr>
        <w:spacing w:line="360" w:lineRule="auto"/>
        <w:ind w:leftChars="0" w:firstLineChars="0"/>
        <w:rPr>
          <w:rFonts w:ascii="Times New Roman"/>
        </w:rPr>
      </w:pPr>
      <w:r>
        <w:rPr>
          <w:rFonts w:hint="eastAsia" w:ascii="Times New Roman"/>
        </w:rPr>
        <w:t>检验日期；</w:t>
      </w:r>
    </w:p>
    <w:p>
      <w:pPr>
        <w:pStyle w:val="51"/>
        <w:numPr>
          <w:ilvl w:val="0"/>
          <w:numId w:val="4"/>
        </w:numPr>
        <w:spacing w:line="360" w:lineRule="auto"/>
        <w:ind w:leftChars="0" w:firstLineChars="0"/>
        <w:rPr>
          <w:rFonts w:ascii="Times New Roman"/>
        </w:rPr>
      </w:pPr>
      <w:r>
        <w:rPr>
          <w:rFonts w:hint="eastAsia" w:ascii="Times New Roman"/>
        </w:rPr>
        <w:t>检验、审核人员签名，盖章；</w:t>
      </w:r>
    </w:p>
    <w:p>
      <w:pPr>
        <w:pStyle w:val="51"/>
        <w:numPr>
          <w:ilvl w:val="0"/>
          <w:numId w:val="4"/>
        </w:numPr>
        <w:spacing w:line="360" w:lineRule="auto"/>
        <w:ind w:leftChars="0" w:firstLineChars="0"/>
        <w:rPr>
          <w:rFonts w:ascii="Times New Roman"/>
        </w:rPr>
      </w:pPr>
      <w:r>
        <w:rPr>
          <w:rFonts w:hint="eastAsia" w:ascii="Times New Roman"/>
        </w:rPr>
        <w:t>其他。</w:t>
      </w:r>
    </w:p>
    <w:sectPr>
      <w:footerReference r:id="rId7" w:type="default"/>
      <w:headerReference r:id="rId6" w:type="even"/>
      <w:footerReference r:id="rId8" w:type="even"/>
      <w:pgSz w:w="11907" w:h="16840"/>
      <w:pgMar w:top="2126" w:right="1418" w:bottom="1559" w:left="1418" w:header="720" w:footer="720" w:gutter="0"/>
      <w:pgNumType w:start="1"/>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5721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4"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ffectLst/>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68.95pt;margin-top:782.1pt;height:11pt;width:13.1pt;mso-position-horizontal-relative:page;mso-position-vertical-relative:page;z-index:-25165926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QsnC2gAAAA0BAAAPAAAAAAAAAAEAIAAAACIAAABkcnMv&#10;ZG93bnJldi54bWxQSwECFAAUAAAACACHTuJAlPsZJwECAAARBAAADgAAAAAAAAABACAAAAApAQAA&#10;ZHJzL2Uyb0RvYy54bWxQSwUGAAAAAAYABgBZAQAAnAUAAAAA&#10;">
              <v:fill on="f" focussize="0,0"/>
              <v:stroke on="f"/>
              <v:imagedata o:title=""/>
              <o:lock v:ext="edit" aspectratio="f"/>
              <v:textbox inset="0mm,0mm,0mm,0mm">
                <w:txbxContent>
                  <w:p>
                    <w:pPr>
                      <w:rPr>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kern w:val="0"/>
        <w:sz w:val="20"/>
        <w:szCs w:val="20"/>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Style w:val="15"/>
      </w:rPr>
      <w:fldChar w:fldCharType="begin"/>
    </w:r>
    <w:r>
      <w:rPr>
        <w:rStyle w:val="15"/>
      </w:rPr>
      <w:instrText xml:space="preserve"> PAGE </w:instrText>
    </w:r>
    <w:r>
      <w:rPr>
        <w:rStyle w:val="15"/>
      </w:rPr>
      <w:fldChar w:fldCharType="separate"/>
    </w:r>
    <w:r>
      <w:rPr>
        <w:rStyle w:val="15"/>
      </w:rPr>
      <w:t>5</w:t>
    </w:r>
    <w:r>
      <w:rPr>
        <w:rStyle w:val="1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8100" w:right="360" w:hanging="8100" w:hangingChars="4500"/>
      <w:jc w:val="left"/>
      <w:rPr>
        <w:kern w:val="0"/>
        <w:sz w:val="20"/>
        <w:szCs w:val="20"/>
      </w:rPr>
    </w:pPr>
    <w:r>
      <w:rPr>
        <w:rStyle w:val="15"/>
        <w:sz w:val="18"/>
        <w:szCs w:val="18"/>
      </w:rPr>
      <w:fldChar w:fldCharType="begin"/>
    </w:r>
    <w:r>
      <w:rPr>
        <w:rStyle w:val="15"/>
        <w:sz w:val="18"/>
        <w:szCs w:val="18"/>
      </w:rPr>
      <w:instrText xml:space="preserve"> PAGE </w:instrText>
    </w:r>
    <w:r>
      <w:rPr>
        <w:rStyle w:val="15"/>
        <w:sz w:val="18"/>
        <w:szCs w:val="18"/>
      </w:rPr>
      <w:fldChar w:fldCharType="separate"/>
    </w:r>
    <w:r>
      <w:rPr>
        <w:rStyle w:val="15"/>
        <w:sz w:val="18"/>
        <w:szCs w:val="18"/>
      </w:rPr>
      <w:t>4</w:t>
    </w:r>
    <w:r>
      <w:rPr>
        <w:rStyle w:val="15"/>
        <w:sz w:val="18"/>
        <w:szCs w:val="18"/>
      </w:rPr>
      <w:fldChar w:fldCharType="end"/>
    </w:r>
    <w:r>
      <mc:AlternateContent>
        <mc:Choice Requires="wps">
          <w:drawing>
            <wp:anchor distT="0" distB="0" distL="114300" distR="114300" simplePos="0" relativeHeight="251658240"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3" name="Text Box 7"/>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ffectLst/>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68.95pt;margin-top:782.1pt;height:11pt;width:13.1pt;mso-position-horizontal-relative:page;mso-position-vertical-relative:page;z-index:-251658240;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dCycLaAAAADQEAAA8AAAAAAAAAAQAgAAAAIgAAAGRycy9k&#10;b3ducmV2LnhtbFBLAQIUABQAAAAIAIdO4kAxBUb0AAIAABEEAAAOAAAAAAAAAAEAIAAAACkBAABk&#10;cnMvZTJvRG9jLnhtbFBLBQYAAAAABgAGAFkBAACbBQAAAAA=&#10;">
              <v:fill on="f" focussize="0,0"/>
              <v:stroke on="f"/>
              <v:imagedata o:title=""/>
              <o:lock v:ext="edit" aspectratio="f"/>
              <v:textbox inset="0mm,0mm,0mm,0mm">
                <w:txbxContent>
                  <w:p>
                    <w:pPr>
                      <w:rPr>
                        <w:szCs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rPr>
        <w:b/>
        <w:sz w:val="21"/>
        <w:szCs w:val="21"/>
        <w:lang w:val="de-DE"/>
      </w:rPr>
    </w:pPr>
  </w:p>
  <w:p>
    <w:pPr>
      <w:pStyle w:val="11"/>
      <w:pBdr>
        <w:bottom w:val="none" w:color="auto" w:sz="0" w:space="0"/>
      </w:pBdr>
      <w:jc w:val="right"/>
      <w:rPr>
        <w:b/>
        <w:sz w:val="21"/>
        <w:szCs w:val="21"/>
        <w:lang w:val="de-DE"/>
      </w:rPr>
    </w:pPr>
  </w:p>
  <w:p>
    <w:pPr>
      <w:pStyle w:val="11"/>
      <w:pBdr>
        <w:bottom w:val="none" w:color="auto" w:sz="0" w:space="0"/>
      </w:pBdr>
      <w:jc w:val="right"/>
      <w:rPr>
        <w:sz w:val="21"/>
        <w:szCs w:val="21"/>
      </w:rPr>
    </w:pPr>
    <w:r>
      <w:rPr>
        <w:rFonts w:hint="eastAsia"/>
        <w:b/>
        <w:sz w:val="21"/>
        <w:szCs w:val="21"/>
        <w:lang w:val="de-DE"/>
      </w:rPr>
      <w:t>GB</w:t>
    </w:r>
    <w:r>
      <w:rPr>
        <w:b/>
        <w:sz w:val="21"/>
        <w:szCs w:val="21"/>
        <w:lang w:val="de-DE"/>
      </w:rPr>
      <w:t>/T</w:t>
    </w:r>
    <w:r>
      <w:rPr>
        <w:rFonts w:hint="eastAsia"/>
        <w:b/>
        <w:sz w:val="21"/>
        <w:szCs w:val="21"/>
        <w:lang w:val="de-DE"/>
      </w:rPr>
      <w:t xml:space="preserve"> </w:t>
    </w:r>
    <w:r>
      <w:rPr>
        <w:rFonts w:hint="eastAsia" w:ascii="黑体" w:hAnsi="黑体" w:eastAsia="黑体"/>
        <w:sz w:val="21"/>
        <w:szCs w:val="21"/>
        <w:lang w:val="de-DE"/>
      </w:rPr>
      <w:t>XXXX-</w:t>
    </w:r>
    <w:r>
      <w:rPr>
        <w:rFonts w:ascii="黑体" w:hAnsi="黑体" w:eastAsia="黑体"/>
        <w:sz w:val="21"/>
        <w:szCs w:val="21"/>
        <w:lang w:val="de-DE"/>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rPr>
        <w:b/>
        <w:sz w:val="21"/>
        <w:szCs w:val="21"/>
        <w:lang w:val="de-DE"/>
      </w:rPr>
    </w:pPr>
  </w:p>
  <w:p>
    <w:pPr>
      <w:pStyle w:val="11"/>
      <w:pBdr>
        <w:bottom w:val="none" w:color="auto" w:sz="0" w:space="0"/>
      </w:pBdr>
      <w:jc w:val="left"/>
      <w:rPr>
        <w:b/>
        <w:sz w:val="21"/>
        <w:szCs w:val="21"/>
        <w:lang w:val="de-DE"/>
      </w:rPr>
    </w:pPr>
  </w:p>
  <w:p>
    <w:pPr>
      <w:pStyle w:val="11"/>
      <w:pBdr>
        <w:bottom w:val="none" w:color="auto" w:sz="0" w:space="0"/>
      </w:pBdr>
      <w:jc w:val="left"/>
      <w:rPr>
        <w:sz w:val="21"/>
        <w:szCs w:val="21"/>
      </w:rPr>
    </w:pPr>
    <w:r>
      <w:rPr>
        <w:rFonts w:hint="eastAsia"/>
        <w:b/>
        <w:sz w:val="21"/>
        <w:szCs w:val="21"/>
        <w:lang w:val="de-DE"/>
      </w:rPr>
      <w:t>GB</w:t>
    </w:r>
    <w:r>
      <w:rPr>
        <w:b/>
        <w:sz w:val="21"/>
        <w:szCs w:val="21"/>
        <w:lang w:val="de-DE"/>
      </w:rPr>
      <w:t>/T</w:t>
    </w:r>
    <w:r>
      <w:rPr>
        <w:rFonts w:hint="eastAsia"/>
        <w:b/>
        <w:sz w:val="21"/>
        <w:szCs w:val="21"/>
        <w:lang w:val="de-DE"/>
      </w:rPr>
      <w:t xml:space="preserve"> </w:t>
    </w:r>
    <w:r>
      <w:rPr>
        <w:rFonts w:hint="eastAsia" w:ascii="黑体" w:hAnsi="黑体" w:eastAsia="黑体"/>
        <w:sz w:val="21"/>
        <w:szCs w:val="21"/>
        <w:lang w:val="de-DE"/>
      </w:rPr>
      <w:t>XXXX</w:t>
    </w:r>
    <w:r>
      <w:rPr>
        <w:rFonts w:ascii="黑体" w:hAnsi="黑体" w:eastAsia="黑体"/>
        <w:sz w:val="21"/>
        <w:szCs w:val="21"/>
        <w:lang w:val="de-DE"/>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567"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2D3D26AF"/>
    <w:multiLevelType w:val="multilevel"/>
    <w:tmpl w:val="2D3D26AF"/>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2">
    <w:nsid w:val="50977E95"/>
    <w:multiLevelType w:val="multilevel"/>
    <w:tmpl w:val="50977E9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17E3818"/>
    <w:multiLevelType w:val="multilevel"/>
    <w:tmpl w:val="717E3818"/>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hdrShapeDefaults>
    <o:shapelayout v:ext="edit">
      <o:idmap v:ext="edit" data="4"/>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6"/>
    <w:rsid w:val="00000B0B"/>
    <w:rsid w:val="00001E39"/>
    <w:rsid w:val="00002243"/>
    <w:rsid w:val="00003665"/>
    <w:rsid w:val="00003C06"/>
    <w:rsid w:val="000044EE"/>
    <w:rsid w:val="000058E9"/>
    <w:rsid w:val="000062CE"/>
    <w:rsid w:val="000064FE"/>
    <w:rsid w:val="000067DB"/>
    <w:rsid w:val="00006E0B"/>
    <w:rsid w:val="0000719D"/>
    <w:rsid w:val="00007B3C"/>
    <w:rsid w:val="00007EF8"/>
    <w:rsid w:val="00011724"/>
    <w:rsid w:val="000131A8"/>
    <w:rsid w:val="000131D1"/>
    <w:rsid w:val="0001519C"/>
    <w:rsid w:val="00015215"/>
    <w:rsid w:val="000170C9"/>
    <w:rsid w:val="0001779B"/>
    <w:rsid w:val="0002226C"/>
    <w:rsid w:val="000245D4"/>
    <w:rsid w:val="00024B9A"/>
    <w:rsid w:val="00024DD6"/>
    <w:rsid w:val="00026081"/>
    <w:rsid w:val="0003028F"/>
    <w:rsid w:val="0003111C"/>
    <w:rsid w:val="0003113E"/>
    <w:rsid w:val="000313A0"/>
    <w:rsid w:val="000325C4"/>
    <w:rsid w:val="00032659"/>
    <w:rsid w:val="00032C25"/>
    <w:rsid w:val="000347D0"/>
    <w:rsid w:val="00035DE3"/>
    <w:rsid w:val="00035F49"/>
    <w:rsid w:val="00036A5B"/>
    <w:rsid w:val="0004073E"/>
    <w:rsid w:val="000416FA"/>
    <w:rsid w:val="00041DE1"/>
    <w:rsid w:val="0004343F"/>
    <w:rsid w:val="0004385B"/>
    <w:rsid w:val="000445AF"/>
    <w:rsid w:val="00044683"/>
    <w:rsid w:val="00045DDB"/>
    <w:rsid w:val="000461F8"/>
    <w:rsid w:val="00047CD2"/>
    <w:rsid w:val="000521F3"/>
    <w:rsid w:val="00052C43"/>
    <w:rsid w:val="0005334C"/>
    <w:rsid w:val="000533B4"/>
    <w:rsid w:val="00053BFF"/>
    <w:rsid w:val="00060BA7"/>
    <w:rsid w:val="00060E3C"/>
    <w:rsid w:val="00061241"/>
    <w:rsid w:val="00061F0E"/>
    <w:rsid w:val="0006382A"/>
    <w:rsid w:val="00063906"/>
    <w:rsid w:val="0006792A"/>
    <w:rsid w:val="0007148C"/>
    <w:rsid w:val="00073A12"/>
    <w:rsid w:val="00073BA9"/>
    <w:rsid w:val="00075747"/>
    <w:rsid w:val="00075B25"/>
    <w:rsid w:val="00077271"/>
    <w:rsid w:val="000811ED"/>
    <w:rsid w:val="000817B1"/>
    <w:rsid w:val="000827B0"/>
    <w:rsid w:val="000839C8"/>
    <w:rsid w:val="00083E27"/>
    <w:rsid w:val="0008439F"/>
    <w:rsid w:val="000843D1"/>
    <w:rsid w:val="0008466B"/>
    <w:rsid w:val="00085127"/>
    <w:rsid w:val="0008522F"/>
    <w:rsid w:val="00086CD0"/>
    <w:rsid w:val="00090376"/>
    <w:rsid w:val="00093057"/>
    <w:rsid w:val="0009563A"/>
    <w:rsid w:val="0009593D"/>
    <w:rsid w:val="000A0F3A"/>
    <w:rsid w:val="000A27C6"/>
    <w:rsid w:val="000B04C3"/>
    <w:rsid w:val="000B0DC5"/>
    <w:rsid w:val="000B1125"/>
    <w:rsid w:val="000B2DE3"/>
    <w:rsid w:val="000B3223"/>
    <w:rsid w:val="000B498D"/>
    <w:rsid w:val="000B4A74"/>
    <w:rsid w:val="000B6C9C"/>
    <w:rsid w:val="000B7833"/>
    <w:rsid w:val="000C2E1B"/>
    <w:rsid w:val="000C540D"/>
    <w:rsid w:val="000C5E23"/>
    <w:rsid w:val="000D24E6"/>
    <w:rsid w:val="000D2A5C"/>
    <w:rsid w:val="000D2F99"/>
    <w:rsid w:val="000D4722"/>
    <w:rsid w:val="000D5DF5"/>
    <w:rsid w:val="000E0A2C"/>
    <w:rsid w:val="000E14B2"/>
    <w:rsid w:val="000E19E3"/>
    <w:rsid w:val="000E3748"/>
    <w:rsid w:val="000E4B59"/>
    <w:rsid w:val="000E4B87"/>
    <w:rsid w:val="000E5B09"/>
    <w:rsid w:val="000E6CFF"/>
    <w:rsid w:val="000E6E23"/>
    <w:rsid w:val="000E7EFF"/>
    <w:rsid w:val="000F1620"/>
    <w:rsid w:val="000F1CB8"/>
    <w:rsid w:val="000F1DB3"/>
    <w:rsid w:val="000F29E3"/>
    <w:rsid w:val="000F3629"/>
    <w:rsid w:val="000F3774"/>
    <w:rsid w:val="000F5127"/>
    <w:rsid w:val="000F5F13"/>
    <w:rsid w:val="000F6681"/>
    <w:rsid w:val="000F6950"/>
    <w:rsid w:val="000F6AD2"/>
    <w:rsid w:val="00100285"/>
    <w:rsid w:val="001007AD"/>
    <w:rsid w:val="00101906"/>
    <w:rsid w:val="00103CD4"/>
    <w:rsid w:val="00104A3F"/>
    <w:rsid w:val="00104D16"/>
    <w:rsid w:val="001056C8"/>
    <w:rsid w:val="00114D96"/>
    <w:rsid w:val="00116C3A"/>
    <w:rsid w:val="00116F7B"/>
    <w:rsid w:val="001172F8"/>
    <w:rsid w:val="00117569"/>
    <w:rsid w:val="0012125B"/>
    <w:rsid w:val="00121353"/>
    <w:rsid w:val="00121FC1"/>
    <w:rsid w:val="001220DD"/>
    <w:rsid w:val="00122200"/>
    <w:rsid w:val="00122FBF"/>
    <w:rsid w:val="00123B69"/>
    <w:rsid w:val="001245F4"/>
    <w:rsid w:val="00124C67"/>
    <w:rsid w:val="00126F2F"/>
    <w:rsid w:val="001270B0"/>
    <w:rsid w:val="00127512"/>
    <w:rsid w:val="00127C72"/>
    <w:rsid w:val="00130D7B"/>
    <w:rsid w:val="0013284B"/>
    <w:rsid w:val="001329D9"/>
    <w:rsid w:val="001340BA"/>
    <w:rsid w:val="00134AA9"/>
    <w:rsid w:val="00135672"/>
    <w:rsid w:val="001356BF"/>
    <w:rsid w:val="00135A21"/>
    <w:rsid w:val="00135B6A"/>
    <w:rsid w:val="00135DB9"/>
    <w:rsid w:val="001361F5"/>
    <w:rsid w:val="001365A1"/>
    <w:rsid w:val="00136BA4"/>
    <w:rsid w:val="0013779B"/>
    <w:rsid w:val="00137928"/>
    <w:rsid w:val="00140673"/>
    <w:rsid w:val="00140ADE"/>
    <w:rsid w:val="00141931"/>
    <w:rsid w:val="00141CAE"/>
    <w:rsid w:val="00141D5E"/>
    <w:rsid w:val="00141DBD"/>
    <w:rsid w:val="00141DEC"/>
    <w:rsid w:val="0014381A"/>
    <w:rsid w:val="00146D73"/>
    <w:rsid w:val="00147304"/>
    <w:rsid w:val="00147D7B"/>
    <w:rsid w:val="00152EA0"/>
    <w:rsid w:val="001536A1"/>
    <w:rsid w:val="0015533A"/>
    <w:rsid w:val="00155EA8"/>
    <w:rsid w:val="001562B8"/>
    <w:rsid w:val="0015639B"/>
    <w:rsid w:val="00157604"/>
    <w:rsid w:val="00157F40"/>
    <w:rsid w:val="00160073"/>
    <w:rsid w:val="00160F6F"/>
    <w:rsid w:val="001611C9"/>
    <w:rsid w:val="00161FEB"/>
    <w:rsid w:val="001621A8"/>
    <w:rsid w:val="00163611"/>
    <w:rsid w:val="001648B7"/>
    <w:rsid w:val="0016696F"/>
    <w:rsid w:val="00167921"/>
    <w:rsid w:val="00167DCF"/>
    <w:rsid w:val="00171BB7"/>
    <w:rsid w:val="00172196"/>
    <w:rsid w:val="0017271A"/>
    <w:rsid w:val="00172A27"/>
    <w:rsid w:val="00172C86"/>
    <w:rsid w:val="001732A9"/>
    <w:rsid w:val="0017482B"/>
    <w:rsid w:val="0017549D"/>
    <w:rsid w:val="00175EF0"/>
    <w:rsid w:val="00176696"/>
    <w:rsid w:val="00177E93"/>
    <w:rsid w:val="00182EC3"/>
    <w:rsid w:val="00183771"/>
    <w:rsid w:val="001862EE"/>
    <w:rsid w:val="00190A34"/>
    <w:rsid w:val="00192E03"/>
    <w:rsid w:val="00193B6D"/>
    <w:rsid w:val="00194AF2"/>
    <w:rsid w:val="0019548F"/>
    <w:rsid w:val="00196133"/>
    <w:rsid w:val="00196FF6"/>
    <w:rsid w:val="001A06EB"/>
    <w:rsid w:val="001A1BF2"/>
    <w:rsid w:val="001A20DB"/>
    <w:rsid w:val="001A3AC3"/>
    <w:rsid w:val="001A5379"/>
    <w:rsid w:val="001A63D1"/>
    <w:rsid w:val="001A668F"/>
    <w:rsid w:val="001A6956"/>
    <w:rsid w:val="001A6F1E"/>
    <w:rsid w:val="001A76C6"/>
    <w:rsid w:val="001B0ECF"/>
    <w:rsid w:val="001B0F78"/>
    <w:rsid w:val="001B1783"/>
    <w:rsid w:val="001B1A09"/>
    <w:rsid w:val="001B420C"/>
    <w:rsid w:val="001B68DC"/>
    <w:rsid w:val="001B69AE"/>
    <w:rsid w:val="001B7797"/>
    <w:rsid w:val="001B7C97"/>
    <w:rsid w:val="001C0044"/>
    <w:rsid w:val="001C03E5"/>
    <w:rsid w:val="001C1967"/>
    <w:rsid w:val="001C1BBA"/>
    <w:rsid w:val="001C27B9"/>
    <w:rsid w:val="001C34B9"/>
    <w:rsid w:val="001C4EBD"/>
    <w:rsid w:val="001C597B"/>
    <w:rsid w:val="001C6209"/>
    <w:rsid w:val="001C6F79"/>
    <w:rsid w:val="001D02D7"/>
    <w:rsid w:val="001D09CE"/>
    <w:rsid w:val="001D0CFC"/>
    <w:rsid w:val="001D27D4"/>
    <w:rsid w:val="001D28E3"/>
    <w:rsid w:val="001D3B99"/>
    <w:rsid w:val="001D4558"/>
    <w:rsid w:val="001D49FC"/>
    <w:rsid w:val="001D5CE9"/>
    <w:rsid w:val="001D664A"/>
    <w:rsid w:val="001D79E8"/>
    <w:rsid w:val="001E1004"/>
    <w:rsid w:val="001E13EF"/>
    <w:rsid w:val="001E37DD"/>
    <w:rsid w:val="001E4BDE"/>
    <w:rsid w:val="001E504C"/>
    <w:rsid w:val="001E5CFD"/>
    <w:rsid w:val="001E62A2"/>
    <w:rsid w:val="001E717C"/>
    <w:rsid w:val="001E78CA"/>
    <w:rsid w:val="001F169D"/>
    <w:rsid w:val="001F203E"/>
    <w:rsid w:val="001F2222"/>
    <w:rsid w:val="001F3134"/>
    <w:rsid w:val="001F41E2"/>
    <w:rsid w:val="001F4646"/>
    <w:rsid w:val="001F4785"/>
    <w:rsid w:val="001F54BF"/>
    <w:rsid w:val="001F5F90"/>
    <w:rsid w:val="001F69FB"/>
    <w:rsid w:val="001F7C4A"/>
    <w:rsid w:val="002001B4"/>
    <w:rsid w:val="0020079F"/>
    <w:rsid w:val="00201192"/>
    <w:rsid w:val="002026E5"/>
    <w:rsid w:val="00203E79"/>
    <w:rsid w:val="002041D2"/>
    <w:rsid w:val="00204B32"/>
    <w:rsid w:val="00204EAE"/>
    <w:rsid w:val="00205C4D"/>
    <w:rsid w:val="00207963"/>
    <w:rsid w:val="00210CF8"/>
    <w:rsid w:val="00214A58"/>
    <w:rsid w:val="002176F7"/>
    <w:rsid w:val="002177EA"/>
    <w:rsid w:val="00221E0B"/>
    <w:rsid w:val="00221F74"/>
    <w:rsid w:val="0022709F"/>
    <w:rsid w:val="002276EC"/>
    <w:rsid w:val="00230E5E"/>
    <w:rsid w:val="00231E24"/>
    <w:rsid w:val="00232109"/>
    <w:rsid w:val="002347FE"/>
    <w:rsid w:val="00234D76"/>
    <w:rsid w:val="00237157"/>
    <w:rsid w:val="00237743"/>
    <w:rsid w:val="00240000"/>
    <w:rsid w:val="002415B5"/>
    <w:rsid w:val="002417F8"/>
    <w:rsid w:val="00241C4A"/>
    <w:rsid w:val="00243AB4"/>
    <w:rsid w:val="00244EF5"/>
    <w:rsid w:val="002457EE"/>
    <w:rsid w:val="00245B5A"/>
    <w:rsid w:val="002462F9"/>
    <w:rsid w:val="0024678D"/>
    <w:rsid w:val="00250166"/>
    <w:rsid w:val="0025119C"/>
    <w:rsid w:val="0025209D"/>
    <w:rsid w:val="00252F12"/>
    <w:rsid w:val="002533C8"/>
    <w:rsid w:val="00253A42"/>
    <w:rsid w:val="00254244"/>
    <w:rsid w:val="0025580E"/>
    <w:rsid w:val="00257A26"/>
    <w:rsid w:val="0026058A"/>
    <w:rsid w:val="0026185D"/>
    <w:rsid w:val="00262549"/>
    <w:rsid w:val="00263C64"/>
    <w:rsid w:val="00263ED8"/>
    <w:rsid w:val="002655E0"/>
    <w:rsid w:val="002660A2"/>
    <w:rsid w:val="00266234"/>
    <w:rsid w:val="00266584"/>
    <w:rsid w:val="002676D5"/>
    <w:rsid w:val="00272012"/>
    <w:rsid w:val="00273B47"/>
    <w:rsid w:val="0027408B"/>
    <w:rsid w:val="002751C3"/>
    <w:rsid w:val="00277CAC"/>
    <w:rsid w:val="00277E97"/>
    <w:rsid w:val="002802B0"/>
    <w:rsid w:val="00280995"/>
    <w:rsid w:val="00280D7C"/>
    <w:rsid w:val="00281C2F"/>
    <w:rsid w:val="00283ADA"/>
    <w:rsid w:val="00283E2B"/>
    <w:rsid w:val="002851E4"/>
    <w:rsid w:val="00285AAC"/>
    <w:rsid w:val="00285B33"/>
    <w:rsid w:val="0028687A"/>
    <w:rsid w:val="0029044B"/>
    <w:rsid w:val="00292A5B"/>
    <w:rsid w:val="0029303E"/>
    <w:rsid w:val="00293AB7"/>
    <w:rsid w:val="002954E3"/>
    <w:rsid w:val="002970C4"/>
    <w:rsid w:val="00297262"/>
    <w:rsid w:val="002A0213"/>
    <w:rsid w:val="002A0EFB"/>
    <w:rsid w:val="002A1DD4"/>
    <w:rsid w:val="002A2022"/>
    <w:rsid w:val="002A24B3"/>
    <w:rsid w:val="002A3415"/>
    <w:rsid w:val="002A3632"/>
    <w:rsid w:val="002A3E4E"/>
    <w:rsid w:val="002A3FAE"/>
    <w:rsid w:val="002A5E7F"/>
    <w:rsid w:val="002A6E0E"/>
    <w:rsid w:val="002B2561"/>
    <w:rsid w:val="002B2B54"/>
    <w:rsid w:val="002B4C2D"/>
    <w:rsid w:val="002B4CB5"/>
    <w:rsid w:val="002B5150"/>
    <w:rsid w:val="002B5273"/>
    <w:rsid w:val="002B59D1"/>
    <w:rsid w:val="002B630F"/>
    <w:rsid w:val="002B74BB"/>
    <w:rsid w:val="002C0579"/>
    <w:rsid w:val="002C1BAB"/>
    <w:rsid w:val="002C20F5"/>
    <w:rsid w:val="002C29E5"/>
    <w:rsid w:val="002C43AB"/>
    <w:rsid w:val="002C4EA6"/>
    <w:rsid w:val="002C50FA"/>
    <w:rsid w:val="002C58A9"/>
    <w:rsid w:val="002C593D"/>
    <w:rsid w:val="002C5B18"/>
    <w:rsid w:val="002C6F54"/>
    <w:rsid w:val="002C7EC0"/>
    <w:rsid w:val="002D0261"/>
    <w:rsid w:val="002D028D"/>
    <w:rsid w:val="002D04E9"/>
    <w:rsid w:val="002D0A7D"/>
    <w:rsid w:val="002D12DF"/>
    <w:rsid w:val="002D16B8"/>
    <w:rsid w:val="002D1A65"/>
    <w:rsid w:val="002D1EE7"/>
    <w:rsid w:val="002D33F6"/>
    <w:rsid w:val="002D5290"/>
    <w:rsid w:val="002D57BE"/>
    <w:rsid w:val="002D7A8F"/>
    <w:rsid w:val="002D7E75"/>
    <w:rsid w:val="002E015F"/>
    <w:rsid w:val="002E2CB7"/>
    <w:rsid w:val="002E4D2B"/>
    <w:rsid w:val="002E513D"/>
    <w:rsid w:val="002E567B"/>
    <w:rsid w:val="002E5A28"/>
    <w:rsid w:val="002E6533"/>
    <w:rsid w:val="002F35B0"/>
    <w:rsid w:val="002F4A3B"/>
    <w:rsid w:val="002F6FBD"/>
    <w:rsid w:val="002F7015"/>
    <w:rsid w:val="002F705D"/>
    <w:rsid w:val="00301636"/>
    <w:rsid w:val="00301E75"/>
    <w:rsid w:val="003039AD"/>
    <w:rsid w:val="00303D13"/>
    <w:rsid w:val="00303E87"/>
    <w:rsid w:val="003044B7"/>
    <w:rsid w:val="003074A8"/>
    <w:rsid w:val="003100C5"/>
    <w:rsid w:val="003141F6"/>
    <w:rsid w:val="00314486"/>
    <w:rsid w:val="003147B4"/>
    <w:rsid w:val="00314D2E"/>
    <w:rsid w:val="0031765C"/>
    <w:rsid w:val="0032042A"/>
    <w:rsid w:val="00320922"/>
    <w:rsid w:val="00321FE7"/>
    <w:rsid w:val="0032250B"/>
    <w:rsid w:val="0032279D"/>
    <w:rsid w:val="00322B9F"/>
    <w:rsid w:val="0032312E"/>
    <w:rsid w:val="00323739"/>
    <w:rsid w:val="003239A8"/>
    <w:rsid w:val="00324731"/>
    <w:rsid w:val="00324952"/>
    <w:rsid w:val="00326588"/>
    <w:rsid w:val="00326DA7"/>
    <w:rsid w:val="00327B01"/>
    <w:rsid w:val="00330EC1"/>
    <w:rsid w:val="00332D44"/>
    <w:rsid w:val="0033393C"/>
    <w:rsid w:val="00333D5E"/>
    <w:rsid w:val="0033406F"/>
    <w:rsid w:val="003346B5"/>
    <w:rsid w:val="00334C2D"/>
    <w:rsid w:val="00334F25"/>
    <w:rsid w:val="00335540"/>
    <w:rsid w:val="00335901"/>
    <w:rsid w:val="00335995"/>
    <w:rsid w:val="00336C8F"/>
    <w:rsid w:val="00336E5A"/>
    <w:rsid w:val="003414FF"/>
    <w:rsid w:val="003428F9"/>
    <w:rsid w:val="00343318"/>
    <w:rsid w:val="003433CA"/>
    <w:rsid w:val="003436C2"/>
    <w:rsid w:val="00344E35"/>
    <w:rsid w:val="00345739"/>
    <w:rsid w:val="00347DD5"/>
    <w:rsid w:val="003500F3"/>
    <w:rsid w:val="00352AF7"/>
    <w:rsid w:val="003536D3"/>
    <w:rsid w:val="00354003"/>
    <w:rsid w:val="00354F93"/>
    <w:rsid w:val="003556A0"/>
    <w:rsid w:val="00356850"/>
    <w:rsid w:val="00357093"/>
    <w:rsid w:val="003572B0"/>
    <w:rsid w:val="00357DA4"/>
    <w:rsid w:val="00360846"/>
    <w:rsid w:val="003608A8"/>
    <w:rsid w:val="00361BE3"/>
    <w:rsid w:val="00362631"/>
    <w:rsid w:val="00363163"/>
    <w:rsid w:val="003634C3"/>
    <w:rsid w:val="00364A47"/>
    <w:rsid w:val="00365F8D"/>
    <w:rsid w:val="00366C96"/>
    <w:rsid w:val="0036754B"/>
    <w:rsid w:val="00367B20"/>
    <w:rsid w:val="0037034C"/>
    <w:rsid w:val="00370712"/>
    <w:rsid w:val="003716D1"/>
    <w:rsid w:val="00371EDF"/>
    <w:rsid w:val="0037336D"/>
    <w:rsid w:val="00373422"/>
    <w:rsid w:val="00373EDD"/>
    <w:rsid w:val="00374A89"/>
    <w:rsid w:val="003756C0"/>
    <w:rsid w:val="00376339"/>
    <w:rsid w:val="00376D11"/>
    <w:rsid w:val="00376EE1"/>
    <w:rsid w:val="0038301D"/>
    <w:rsid w:val="003831F4"/>
    <w:rsid w:val="00384F9F"/>
    <w:rsid w:val="0038569E"/>
    <w:rsid w:val="003860F8"/>
    <w:rsid w:val="00386F98"/>
    <w:rsid w:val="00387D11"/>
    <w:rsid w:val="0039123B"/>
    <w:rsid w:val="00391547"/>
    <w:rsid w:val="00392040"/>
    <w:rsid w:val="0039267A"/>
    <w:rsid w:val="003945B3"/>
    <w:rsid w:val="003959A4"/>
    <w:rsid w:val="003965D9"/>
    <w:rsid w:val="0039721B"/>
    <w:rsid w:val="00397FBD"/>
    <w:rsid w:val="003A0272"/>
    <w:rsid w:val="003A0F3E"/>
    <w:rsid w:val="003A12A3"/>
    <w:rsid w:val="003A28B3"/>
    <w:rsid w:val="003A2AC4"/>
    <w:rsid w:val="003A36E3"/>
    <w:rsid w:val="003A39DC"/>
    <w:rsid w:val="003A4610"/>
    <w:rsid w:val="003A47FB"/>
    <w:rsid w:val="003A5269"/>
    <w:rsid w:val="003B0423"/>
    <w:rsid w:val="003B0437"/>
    <w:rsid w:val="003B0C25"/>
    <w:rsid w:val="003B27C1"/>
    <w:rsid w:val="003B2D4D"/>
    <w:rsid w:val="003B42A2"/>
    <w:rsid w:val="003B5091"/>
    <w:rsid w:val="003B5553"/>
    <w:rsid w:val="003B78EE"/>
    <w:rsid w:val="003B7AB2"/>
    <w:rsid w:val="003B7E3D"/>
    <w:rsid w:val="003C0BE5"/>
    <w:rsid w:val="003C1637"/>
    <w:rsid w:val="003C2056"/>
    <w:rsid w:val="003C45AC"/>
    <w:rsid w:val="003C5C98"/>
    <w:rsid w:val="003C7C0B"/>
    <w:rsid w:val="003D0F4F"/>
    <w:rsid w:val="003D1BBC"/>
    <w:rsid w:val="003D1D5E"/>
    <w:rsid w:val="003D20BB"/>
    <w:rsid w:val="003D334D"/>
    <w:rsid w:val="003D3B65"/>
    <w:rsid w:val="003D3F12"/>
    <w:rsid w:val="003D50AC"/>
    <w:rsid w:val="003E12D9"/>
    <w:rsid w:val="003E46AD"/>
    <w:rsid w:val="003E4CAD"/>
    <w:rsid w:val="003E6947"/>
    <w:rsid w:val="003E6A82"/>
    <w:rsid w:val="003E7AFB"/>
    <w:rsid w:val="003E7CD4"/>
    <w:rsid w:val="003F072B"/>
    <w:rsid w:val="003F170F"/>
    <w:rsid w:val="003F2148"/>
    <w:rsid w:val="003F399D"/>
    <w:rsid w:val="003F538F"/>
    <w:rsid w:val="004003D7"/>
    <w:rsid w:val="00401275"/>
    <w:rsid w:val="00402F01"/>
    <w:rsid w:val="00403A30"/>
    <w:rsid w:val="004041FD"/>
    <w:rsid w:val="004052B0"/>
    <w:rsid w:val="00406178"/>
    <w:rsid w:val="0041006A"/>
    <w:rsid w:val="004146C2"/>
    <w:rsid w:val="00414A63"/>
    <w:rsid w:val="00415096"/>
    <w:rsid w:val="00415EC0"/>
    <w:rsid w:val="004165EC"/>
    <w:rsid w:val="004169D4"/>
    <w:rsid w:val="00417966"/>
    <w:rsid w:val="00417BE6"/>
    <w:rsid w:val="00417EB9"/>
    <w:rsid w:val="004208C2"/>
    <w:rsid w:val="00420BE5"/>
    <w:rsid w:val="00421BFF"/>
    <w:rsid w:val="004276E9"/>
    <w:rsid w:val="0042795B"/>
    <w:rsid w:val="00427A92"/>
    <w:rsid w:val="00427C88"/>
    <w:rsid w:val="00427F6C"/>
    <w:rsid w:val="00430D86"/>
    <w:rsid w:val="00430DC8"/>
    <w:rsid w:val="00434104"/>
    <w:rsid w:val="00435BBF"/>
    <w:rsid w:val="00436792"/>
    <w:rsid w:val="00436B46"/>
    <w:rsid w:val="00440076"/>
    <w:rsid w:val="0044037A"/>
    <w:rsid w:val="00440F7F"/>
    <w:rsid w:val="00441BB1"/>
    <w:rsid w:val="0044517A"/>
    <w:rsid w:val="00446973"/>
    <w:rsid w:val="00447E69"/>
    <w:rsid w:val="00450835"/>
    <w:rsid w:val="00450956"/>
    <w:rsid w:val="00450A0E"/>
    <w:rsid w:val="00450ED3"/>
    <w:rsid w:val="0045118F"/>
    <w:rsid w:val="00451DDA"/>
    <w:rsid w:val="00452A35"/>
    <w:rsid w:val="00453C1C"/>
    <w:rsid w:val="00453F3F"/>
    <w:rsid w:val="00454C5D"/>
    <w:rsid w:val="0045500C"/>
    <w:rsid w:val="00456868"/>
    <w:rsid w:val="0045712B"/>
    <w:rsid w:val="004606BE"/>
    <w:rsid w:val="00460D2E"/>
    <w:rsid w:val="00461B92"/>
    <w:rsid w:val="00463185"/>
    <w:rsid w:val="0046405C"/>
    <w:rsid w:val="0046561F"/>
    <w:rsid w:val="00465A24"/>
    <w:rsid w:val="00466406"/>
    <w:rsid w:val="00466CAC"/>
    <w:rsid w:val="00466F36"/>
    <w:rsid w:val="004671E4"/>
    <w:rsid w:val="004700B4"/>
    <w:rsid w:val="0047052F"/>
    <w:rsid w:val="00470BB3"/>
    <w:rsid w:val="00471FF5"/>
    <w:rsid w:val="00472698"/>
    <w:rsid w:val="00472D7D"/>
    <w:rsid w:val="0047465C"/>
    <w:rsid w:val="00474949"/>
    <w:rsid w:val="0048051E"/>
    <w:rsid w:val="00481911"/>
    <w:rsid w:val="00482222"/>
    <w:rsid w:val="0048319A"/>
    <w:rsid w:val="00484D75"/>
    <w:rsid w:val="00484E0E"/>
    <w:rsid w:val="00485C3D"/>
    <w:rsid w:val="00486309"/>
    <w:rsid w:val="0048688B"/>
    <w:rsid w:val="004874D3"/>
    <w:rsid w:val="00487B88"/>
    <w:rsid w:val="00490181"/>
    <w:rsid w:val="00490AC3"/>
    <w:rsid w:val="004917F3"/>
    <w:rsid w:val="00491C1C"/>
    <w:rsid w:val="004921D2"/>
    <w:rsid w:val="0049355A"/>
    <w:rsid w:val="004935E2"/>
    <w:rsid w:val="00493BE9"/>
    <w:rsid w:val="00493E31"/>
    <w:rsid w:val="00495307"/>
    <w:rsid w:val="004955C5"/>
    <w:rsid w:val="00496679"/>
    <w:rsid w:val="0049765B"/>
    <w:rsid w:val="004A1956"/>
    <w:rsid w:val="004A381A"/>
    <w:rsid w:val="004A3A74"/>
    <w:rsid w:val="004A4DDC"/>
    <w:rsid w:val="004A60C1"/>
    <w:rsid w:val="004A7C39"/>
    <w:rsid w:val="004B37F2"/>
    <w:rsid w:val="004B38C9"/>
    <w:rsid w:val="004B4672"/>
    <w:rsid w:val="004B4815"/>
    <w:rsid w:val="004B5FA4"/>
    <w:rsid w:val="004B7B05"/>
    <w:rsid w:val="004B7C79"/>
    <w:rsid w:val="004C056F"/>
    <w:rsid w:val="004C1449"/>
    <w:rsid w:val="004C1D81"/>
    <w:rsid w:val="004C2983"/>
    <w:rsid w:val="004C304E"/>
    <w:rsid w:val="004C4C97"/>
    <w:rsid w:val="004C4E30"/>
    <w:rsid w:val="004C5BEE"/>
    <w:rsid w:val="004C7FD5"/>
    <w:rsid w:val="004D1913"/>
    <w:rsid w:val="004D1E15"/>
    <w:rsid w:val="004D457C"/>
    <w:rsid w:val="004D511C"/>
    <w:rsid w:val="004D7508"/>
    <w:rsid w:val="004D7ADA"/>
    <w:rsid w:val="004E24E9"/>
    <w:rsid w:val="004E3094"/>
    <w:rsid w:val="004E34FE"/>
    <w:rsid w:val="004E353A"/>
    <w:rsid w:val="004E460B"/>
    <w:rsid w:val="004E60A5"/>
    <w:rsid w:val="004E64C6"/>
    <w:rsid w:val="004E6A4D"/>
    <w:rsid w:val="004E6C48"/>
    <w:rsid w:val="004F0E92"/>
    <w:rsid w:val="004F1224"/>
    <w:rsid w:val="004F1EF0"/>
    <w:rsid w:val="004F23F0"/>
    <w:rsid w:val="004F29BA"/>
    <w:rsid w:val="004F3C4F"/>
    <w:rsid w:val="004F4380"/>
    <w:rsid w:val="004F6EE6"/>
    <w:rsid w:val="0050079F"/>
    <w:rsid w:val="00502331"/>
    <w:rsid w:val="005028A7"/>
    <w:rsid w:val="005033DA"/>
    <w:rsid w:val="005041D5"/>
    <w:rsid w:val="005065D2"/>
    <w:rsid w:val="00506F99"/>
    <w:rsid w:val="0051002D"/>
    <w:rsid w:val="0051049C"/>
    <w:rsid w:val="00511719"/>
    <w:rsid w:val="00511B63"/>
    <w:rsid w:val="00511C50"/>
    <w:rsid w:val="005133D7"/>
    <w:rsid w:val="00513E73"/>
    <w:rsid w:val="00514478"/>
    <w:rsid w:val="005208B2"/>
    <w:rsid w:val="00521EDF"/>
    <w:rsid w:val="00522CBC"/>
    <w:rsid w:val="00523393"/>
    <w:rsid w:val="00523612"/>
    <w:rsid w:val="0052503B"/>
    <w:rsid w:val="005265B0"/>
    <w:rsid w:val="00531AE9"/>
    <w:rsid w:val="00533970"/>
    <w:rsid w:val="005340F6"/>
    <w:rsid w:val="00536402"/>
    <w:rsid w:val="00536831"/>
    <w:rsid w:val="0054001A"/>
    <w:rsid w:val="00541D05"/>
    <w:rsid w:val="005426D9"/>
    <w:rsid w:val="00542A83"/>
    <w:rsid w:val="00544BA0"/>
    <w:rsid w:val="00545179"/>
    <w:rsid w:val="00545947"/>
    <w:rsid w:val="005460DE"/>
    <w:rsid w:val="00550034"/>
    <w:rsid w:val="00550506"/>
    <w:rsid w:val="00550D79"/>
    <w:rsid w:val="00552420"/>
    <w:rsid w:val="00552BEE"/>
    <w:rsid w:val="00553F3C"/>
    <w:rsid w:val="005541B9"/>
    <w:rsid w:val="005544C1"/>
    <w:rsid w:val="00555C7F"/>
    <w:rsid w:val="00556D8A"/>
    <w:rsid w:val="0055758E"/>
    <w:rsid w:val="005618D8"/>
    <w:rsid w:val="00561B61"/>
    <w:rsid w:val="00561C4E"/>
    <w:rsid w:val="00562AF4"/>
    <w:rsid w:val="00563CBF"/>
    <w:rsid w:val="005644AC"/>
    <w:rsid w:val="0056497B"/>
    <w:rsid w:val="00564D27"/>
    <w:rsid w:val="005662F9"/>
    <w:rsid w:val="00566370"/>
    <w:rsid w:val="0056696D"/>
    <w:rsid w:val="00566D18"/>
    <w:rsid w:val="00567A8B"/>
    <w:rsid w:val="00570035"/>
    <w:rsid w:val="00571B91"/>
    <w:rsid w:val="00572C02"/>
    <w:rsid w:val="00572E5A"/>
    <w:rsid w:val="005735A7"/>
    <w:rsid w:val="00575155"/>
    <w:rsid w:val="00575C31"/>
    <w:rsid w:val="005762EC"/>
    <w:rsid w:val="005768E8"/>
    <w:rsid w:val="00576BCA"/>
    <w:rsid w:val="0057712D"/>
    <w:rsid w:val="0057723E"/>
    <w:rsid w:val="005819B1"/>
    <w:rsid w:val="005819C3"/>
    <w:rsid w:val="00582787"/>
    <w:rsid w:val="005831A1"/>
    <w:rsid w:val="00584465"/>
    <w:rsid w:val="00584619"/>
    <w:rsid w:val="0058529A"/>
    <w:rsid w:val="005857C2"/>
    <w:rsid w:val="0058723E"/>
    <w:rsid w:val="00587256"/>
    <w:rsid w:val="005918A2"/>
    <w:rsid w:val="005921F6"/>
    <w:rsid w:val="00594342"/>
    <w:rsid w:val="00595151"/>
    <w:rsid w:val="005958B1"/>
    <w:rsid w:val="005967CD"/>
    <w:rsid w:val="00597639"/>
    <w:rsid w:val="005A0EF3"/>
    <w:rsid w:val="005A16D0"/>
    <w:rsid w:val="005A25F8"/>
    <w:rsid w:val="005A3DEC"/>
    <w:rsid w:val="005A7CE2"/>
    <w:rsid w:val="005B04C2"/>
    <w:rsid w:val="005B148D"/>
    <w:rsid w:val="005B29B4"/>
    <w:rsid w:val="005B4922"/>
    <w:rsid w:val="005B518C"/>
    <w:rsid w:val="005B7C80"/>
    <w:rsid w:val="005C0AFA"/>
    <w:rsid w:val="005C2043"/>
    <w:rsid w:val="005C277D"/>
    <w:rsid w:val="005C2E3E"/>
    <w:rsid w:val="005C323C"/>
    <w:rsid w:val="005C46A5"/>
    <w:rsid w:val="005C4AEC"/>
    <w:rsid w:val="005D0B85"/>
    <w:rsid w:val="005D2918"/>
    <w:rsid w:val="005D387A"/>
    <w:rsid w:val="005D3FB6"/>
    <w:rsid w:val="005D51A8"/>
    <w:rsid w:val="005D533B"/>
    <w:rsid w:val="005E04FF"/>
    <w:rsid w:val="005E0BB2"/>
    <w:rsid w:val="005E0BDD"/>
    <w:rsid w:val="005E1DD8"/>
    <w:rsid w:val="005E2E5B"/>
    <w:rsid w:val="005E3F72"/>
    <w:rsid w:val="005E4BDC"/>
    <w:rsid w:val="005E4C3E"/>
    <w:rsid w:val="005E5374"/>
    <w:rsid w:val="005E5948"/>
    <w:rsid w:val="005E5E1D"/>
    <w:rsid w:val="005E6F1E"/>
    <w:rsid w:val="005F0E6D"/>
    <w:rsid w:val="005F10C6"/>
    <w:rsid w:val="005F1454"/>
    <w:rsid w:val="005F281D"/>
    <w:rsid w:val="005F2838"/>
    <w:rsid w:val="005F56F4"/>
    <w:rsid w:val="005F5820"/>
    <w:rsid w:val="005F5EBA"/>
    <w:rsid w:val="005F63BB"/>
    <w:rsid w:val="005F6C48"/>
    <w:rsid w:val="006005BE"/>
    <w:rsid w:val="00603A59"/>
    <w:rsid w:val="00603CB9"/>
    <w:rsid w:val="00606F29"/>
    <w:rsid w:val="00607BB8"/>
    <w:rsid w:val="00610842"/>
    <w:rsid w:val="0061171E"/>
    <w:rsid w:val="00611CCA"/>
    <w:rsid w:val="006138CF"/>
    <w:rsid w:val="006148D0"/>
    <w:rsid w:val="00614B24"/>
    <w:rsid w:val="00615906"/>
    <w:rsid w:val="00616C00"/>
    <w:rsid w:val="0061746A"/>
    <w:rsid w:val="006175FC"/>
    <w:rsid w:val="00617625"/>
    <w:rsid w:val="00620147"/>
    <w:rsid w:val="00620433"/>
    <w:rsid w:val="0062220F"/>
    <w:rsid w:val="00623CCE"/>
    <w:rsid w:val="006240AC"/>
    <w:rsid w:val="00624345"/>
    <w:rsid w:val="006246A1"/>
    <w:rsid w:val="006247E0"/>
    <w:rsid w:val="00626886"/>
    <w:rsid w:val="00627BE8"/>
    <w:rsid w:val="00631ACF"/>
    <w:rsid w:val="00632E1F"/>
    <w:rsid w:val="00633CF1"/>
    <w:rsid w:val="00634036"/>
    <w:rsid w:val="0063628F"/>
    <w:rsid w:val="0063629C"/>
    <w:rsid w:val="00636F14"/>
    <w:rsid w:val="00637312"/>
    <w:rsid w:val="006375C4"/>
    <w:rsid w:val="00637FA0"/>
    <w:rsid w:val="00641240"/>
    <w:rsid w:val="006418C1"/>
    <w:rsid w:val="00642040"/>
    <w:rsid w:val="00644D28"/>
    <w:rsid w:val="00646A20"/>
    <w:rsid w:val="006509BA"/>
    <w:rsid w:val="00650AF4"/>
    <w:rsid w:val="00650BDF"/>
    <w:rsid w:val="00652403"/>
    <w:rsid w:val="00653248"/>
    <w:rsid w:val="00654394"/>
    <w:rsid w:val="006545DA"/>
    <w:rsid w:val="006546C5"/>
    <w:rsid w:val="006550E5"/>
    <w:rsid w:val="00656012"/>
    <w:rsid w:val="006600A7"/>
    <w:rsid w:val="00660712"/>
    <w:rsid w:val="00661387"/>
    <w:rsid w:val="00661B2E"/>
    <w:rsid w:val="00662450"/>
    <w:rsid w:val="006633F7"/>
    <w:rsid w:val="006636A9"/>
    <w:rsid w:val="0066619F"/>
    <w:rsid w:val="006665C9"/>
    <w:rsid w:val="00667752"/>
    <w:rsid w:val="006707FB"/>
    <w:rsid w:val="0067173A"/>
    <w:rsid w:val="00672141"/>
    <w:rsid w:val="00672979"/>
    <w:rsid w:val="006749AF"/>
    <w:rsid w:val="00675494"/>
    <w:rsid w:val="00675A1D"/>
    <w:rsid w:val="00675D3A"/>
    <w:rsid w:val="00675FE2"/>
    <w:rsid w:val="006804CB"/>
    <w:rsid w:val="0068191A"/>
    <w:rsid w:val="00681D0F"/>
    <w:rsid w:val="00681E79"/>
    <w:rsid w:val="006851FB"/>
    <w:rsid w:val="00685699"/>
    <w:rsid w:val="006860F4"/>
    <w:rsid w:val="00687129"/>
    <w:rsid w:val="00687BCB"/>
    <w:rsid w:val="00687E94"/>
    <w:rsid w:val="0069018C"/>
    <w:rsid w:val="0069123C"/>
    <w:rsid w:val="00691280"/>
    <w:rsid w:val="006929B5"/>
    <w:rsid w:val="0069325C"/>
    <w:rsid w:val="00693845"/>
    <w:rsid w:val="006953A4"/>
    <w:rsid w:val="006962F9"/>
    <w:rsid w:val="006979D3"/>
    <w:rsid w:val="006A0E29"/>
    <w:rsid w:val="006A19BC"/>
    <w:rsid w:val="006A19F5"/>
    <w:rsid w:val="006A1EA3"/>
    <w:rsid w:val="006A56A2"/>
    <w:rsid w:val="006A5836"/>
    <w:rsid w:val="006A59BC"/>
    <w:rsid w:val="006A79C8"/>
    <w:rsid w:val="006A7DE7"/>
    <w:rsid w:val="006B1304"/>
    <w:rsid w:val="006B1914"/>
    <w:rsid w:val="006B6751"/>
    <w:rsid w:val="006C0227"/>
    <w:rsid w:val="006C1F3E"/>
    <w:rsid w:val="006C24C7"/>
    <w:rsid w:val="006C2BF3"/>
    <w:rsid w:val="006C2FDF"/>
    <w:rsid w:val="006C3577"/>
    <w:rsid w:val="006C4069"/>
    <w:rsid w:val="006C4340"/>
    <w:rsid w:val="006C5CA6"/>
    <w:rsid w:val="006C7221"/>
    <w:rsid w:val="006C7369"/>
    <w:rsid w:val="006D04CF"/>
    <w:rsid w:val="006D14BB"/>
    <w:rsid w:val="006D3362"/>
    <w:rsid w:val="006D368E"/>
    <w:rsid w:val="006D3EB1"/>
    <w:rsid w:val="006D51A5"/>
    <w:rsid w:val="006D5445"/>
    <w:rsid w:val="006E02F0"/>
    <w:rsid w:val="006E144B"/>
    <w:rsid w:val="006E223E"/>
    <w:rsid w:val="006E23DB"/>
    <w:rsid w:val="006E3BF1"/>
    <w:rsid w:val="006E49C7"/>
    <w:rsid w:val="006E5E5A"/>
    <w:rsid w:val="006E6A3C"/>
    <w:rsid w:val="006E6AB6"/>
    <w:rsid w:val="006F0DA9"/>
    <w:rsid w:val="006F2D87"/>
    <w:rsid w:val="006F2E4E"/>
    <w:rsid w:val="006F5D6F"/>
    <w:rsid w:val="006F5E9C"/>
    <w:rsid w:val="00700409"/>
    <w:rsid w:val="0070424B"/>
    <w:rsid w:val="0070519F"/>
    <w:rsid w:val="0070534C"/>
    <w:rsid w:val="00706805"/>
    <w:rsid w:val="00706C9B"/>
    <w:rsid w:val="00707170"/>
    <w:rsid w:val="00710CCC"/>
    <w:rsid w:val="00714C4D"/>
    <w:rsid w:val="00715DAC"/>
    <w:rsid w:val="00715E0C"/>
    <w:rsid w:val="007208F4"/>
    <w:rsid w:val="00721B11"/>
    <w:rsid w:val="00721C1A"/>
    <w:rsid w:val="007273FF"/>
    <w:rsid w:val="0073151F"/>
    <w:rsid w:val="0073320E"/>
    <w:rsid w:val="0073361A"/>
    <w:rsid w:val="00733E43"/>
    <w:rsid w:val="00734BF3"/>
    <w:rsid w:val="00734F20"/>
    <w:rsid w:val="00735262"/>
    <w:rsid w:val="007354A9"/>
    <w:rsid w:val="007364AE"/>
    <w:rsid w:val="007375A4"/>
    <w:rsid w:val="007406AB"/>
    <w:rsid w:val="007425D8"/>
    <w:rsid w:val="0074288A"/>
    <w:rsid w:val="00743858"/>
    <w:rsid w:val="00743F8D"/>
    <w:rsid w:val="007474EA"/>
    <w:rsid w:val="00747939"/>
    <w:rsid w:val="00750D61"/>
    <w:rsid w:val="00751F65"/>
    <w:rsid w:val="00753B71"/>
    <w:rsid w:val="00754387"/>
    <w:rsid w:val="007558A9"/>
    <w:rsid w:val="007568AC"/>
    <w:rsid w:val="00757808"/>
    <w:rsid w:val="007601AC"/>
    <w:rsid w:val="0076161E"/>
    <w:rsid w:val="00761A09"/>
    <w:rsid w:val="007624A2"/>
    <w:rsid w:val="00763609"/>
    <w:rsid w:val="007637E9"/>
    <w:rsid w:val="00766BA2"/>
    <w:rsid w:val="00767908"/>
    <w:rsid w:val="00767DEE"/>
    <w:rsid w:val="00770C2D"/>
    <w:rsid w:val="007723FF"/>
    <w:rsid w:val="00773C97"/>
    <w:rsid w:val="0077437F"/>
    <w:rsid w:val="00774B46"/>
    <w:rsid w:val="007750CA"/>
    <w:rsid w:val="00775D6A"/>
    <w:rsid w:val="00775F61"/>
    <w:rsid w:val="00776362"/>
    <w:rsid w:val="00776904"/>
    <w:rsid w:val="00781942"/>
    <w:rsid w:val="007824AD"/>
    <w:rsid w:val="00784F72"/>
    <w:rsid w:val="007905A6"/>
    <w:rsid w:val="00790769"/>
    <w:rsid w:val="007921BA"/>
    <w:rsid w:val="0079295F"/>
    <w:rsid w:val="00792F70"/>
    <w:rsid w:val="007A02AC"/>
    <w:rsid w:val="007A05D1"/>
    <w:rsid w:val="007A4028"/>
    <w:rsid w:val="007A459C"/>
    <w:rsid w:val="007A47F1"/>
    <w:rsid w:val="007A4F70"/>
    <w:rsid w:val="007A523D"/>
    <w:rsid w:val="007A5338"/>
    <w:rsid w:val="007A59A9"/>
    <w:rsid w:val="007B00B8"/>
    <w:rsid w:val="007B085D"/>
    <w:rsid w:val="007B0F83"/>
    <w:rsid w:val="007B3ECD"/>
    <w:rsid w:val="007B4533"/>
    <w:rsid w:val="007B46F4"/>
    <w:rsid w:val="007B768B"/>
    <w:rsid w:val="007B7A4E"/>
    <w:rsid w:val="007C0EC4"/>
    <w:rsid w:val="007C0FB7"/>
    <w:rsid w:val="007C124E"/>
    <w:rsid w:val="007C27C0"/>
    <w:rsid w:val="007C2C51"/>
    <w:rsid w:val="007C354D"/>
    <w:rsid w:val="007C3945"/>
    <w:rsid w:val="007C3AC7"/>
    <w:rsid w:val="007C3B73"/>
    <w:rsid w:val="007C6B41"/>
    <w:rsid w:val="007C7A3F"/>
    <w:rsid w:val="007D14B4"/>
    <w:rsid w:val="007D160D"/>
    <w:rsid w:val="007D1EC9"/>
    <w:rsid w:val="007D31BD"/>
    <w:rsid w:val="007D5A1D"/>
    <w:rsid w:val="007E039D"/>
    <w:rsid w:val="007E03EC"/>
    <w:rsid w:val="007E0913"/>
    <w:rsid w:val="007E1900"/>
    <w:rsid w:val="007E348F"/>
    <w:rsid w:val="007E3AB8"/>
    <w:rsid w:val="007E4A1F"/>
    <w:rsid w:val="007E4D6B"/>
    <w:rsid w:val="007E5C8B"/>
    <w:rsid w:val="007F18CF"/>
    <w:rsid w:val="007F336E"/>
    <w:rsid w:val="007F46BE"/>
    <w:rsid w:val="007F7992"/>
    <w:rsid w:val="0080307F"/>
    <w:rsid w:val="00803B92"/>
    <w:rsid w:val="00803C71"/>
    <w:rsid w:val="00803D29"/>
    <w:rsid w:val="00804FAF"/>
    <w:rsid w:val="00805E91"/>
    <w:rsid w:val="008100CC"/>
    <w:rsid w:val="008102BE"/>
    <w:rsid w:val="00810372"/>
    <w:rsid w:val="0081087A"/>
    <w:rsid w:val="00810984"/>
    <w:rsid w:val="00810E4F"/>
    <w:rsid w:val="00811B7F"/>
    <w:rsid w:val="008148A3"/>
    <w:rsid w:val="00816C88"/>
    <w:rsid w:val="00820CAE"/>
    <w:rsid w:val="00821717"/>
    <w:rsid w:val="00821EEE"/>
    <w:rsid w:val="0082473F"/>
    <w:rsid w:val="008278D1"/>
    <w:rsid w:val="008310B3"/>
    <w:rsid w:val="008317CA"/>
    <w:rsid w:val="00833165"/>
    <w:rsid w:val="0083368E"/>
    <w:rsid w:val="008338A3"/>
    <w:rsid w:val="00834128"/>
    <w:rsid w:val="00834B17"/>
    <w:rsid w:val="0083555F"/>
    <w:rsid w:val="00835602"/>
    <w:rsid w:val="00837A3E"/>
    <w:rsid w:val="0084050F"/>
    <w:rsid w:val="00840630"/>
    <w:rsid w:val="00842177"/>
    <w:rsid w:val="00843D82"/>
    <w:rsid w:val="00844701"/>
    <w:rsid w:val="008454DB"/>
    <w:rsid w:val="00846B9D"/>
    <w:rsid w:val="00846FF9"/>
    <w:rsid w:val="00847403"/>
    <w:rsid w:val="008474D9"/>
    <w:rsid w:val="00847602"/>
    <w:rsid w:val="00847663"/>
    <w:rsid w:val="00850233"/>
    <w:rsid w:val="00850788"/>
    <w:rsid w:val="0085105F"/>
    <w:rsid w:val="0085196F"/>
    <w:rsid w:val="00852E1F"/>
    <w:rsid w:val="00853B3C"/>
    <w:rsid w:val="00853E2C"/>
    <w:rsid w:val="00854604"/>
    <w:rsid w:val="0085637C"/>
    <w:rsid w:val="0085651C"/>
    <w:rsid w:val="008571CF"/>
    <w:rsid w:val="0085729E"/>
    <w:rsid w:val="008573BE"/>
    <w:rsid w:val="008579FF"/>
    <w:rsid w:val="00860D2F"/>
    <w:rsid w:val="00860DE2"/>
    <w:rsid w:val="00861B86"/>
    <w:rsid w:val="0086229C"/>
    <w:rsid w:val="00862308"/>
    <w:rsid w:val="00862964"/>
    <w:rsid w:val="00862B4C"/>
    <w:rsid w:val="00862B5E"/>
    <w:rsid w:val="00862CFB"/>
    <w:rsid w:val="00864899"/>
    <w:rsid w:val="00866DBA"/>
    <w:rsid w:val="0087015C"/>
    <w:rsid w:val="0087020B"/>
    <w:rsid w:val="008708EE"/>
    <w:rsid w:val="00870EC6"/>
    <w:rsid w:val="008713A1"/>
    <w:rsid w:val="0087171B"/>
    <w:rsid w:val="00871DE1"/>
    <w:rsid w:val="00873397"/>
    <w:rsid w:val="00874ACB"/>
    <w:rsid w:val="00875B99"/>
    <w:rsid w:val="00875FF6"/>
    <w:rsid w:val="0087655E"/>
    <w:rsid w:val="00876F71"/>
    <w:rsid w:val="008773FB"/>
    <w:rsid w:val="00877620"/>
    <w:rsid w:val="008819E0"/>
    <w:rsid w:val="00881EFC"/>
    <w:rsid w:val="00882742"/>
    <w:rsid w:val="0088491C"/>
    <w:rsid w:val="0088685A"/>
    <w:rsid w:val="00886B5A"/>
    <w:rsid w:val="00887204"/>
    <w:rsid w:val="00887B5C"/>
    <w:rsid w:val="008915F2"/>
    <w:rsid w:val="00891965"/>
    <w:rsid w:val="00891EE6"/>
    <w:rsid w:val="0089207F"/>
    <w:rsid w:val="008922F3"/>
    <w:rsid w:val="00894191"/>
    <w:rsid w:val="00895159"/>
    <w:rsid w:val="00895D94"/>
    <w:rsid w:val="00896E27"/>
    <w:rsid w:val="008A0158"/>
    <w:rsid w:val="008A08D9"/>
    <w:rsid w:val="008A2998"/>
    <w:rsid w:val="008A3E89"/>
    <w:rsid w:val="008A7134"/>
    <w:rsid w:val="008B0983"/>
    <w:rsid w:val="008B0BF3"/>
    <w:rsid w:val="008B0DB7"/>
    <w:rsid w:val="008B1D90"/>
    <w:rsid w:val="008B24EB"/>
    <w:rsid w:val="008B2C2E"/>
    <w:rsid w:val="008B359C"/>
    <w:rsid w:val="008B3DAB"/>
    <w:rsid w:val="008B54F6"/>
    <w:rsid w:val="008B563E"/>
    <w:rsid w:val="008B64BB"/>
    <w:rsid w:val="008B6D3C"/>
    <w:rsid w:val="008B776A"/>
    <w:rsid w:val="008B7CBD"/>
    <w:rsid w:val="008B7DDD"/>
    <w:rsid w:val="008C0482"/>
    <w:rsid w:val="008C1B15"/>
    <w:rsid w:val="008C2267"/>
    <w:rsid w:val="008C2CF9"/>
    <w:rsid w:val="008C3009"/>
    <w:rsid w:val="008C3DB3"/>
    <w:rsid w:val="008C5946"/>
    <w:rsid w:val="008C598A"/>
    <w:rsid w:val="008C5E77"/>
    <w:rsid w:val="008C6D02"/>
    <w:rsid w:val="008C7419"/>
    <w:rsid w:val="008C7470"/>
    <w:rsid w:val="008C74DD"/>
    <w:rsid w:val="008C7B97"/>
    <w:rsid w:val="008C7C73"/>
    <w:rsid w:val="008D05BB"/>
    <w:rsid w:val="008D12F1"/>
    <w:rsid w:val="008D17C5"/>
    <w:rsid w:val="008D1D84"/>
    <w:rsid w:val="008D3C7B"/>
    <w:rsid w:val="008D481B"/>
    <w:rsid w:val="008D61D9"/>
    <w:rsid w:val="008D6280"/>
    <w:rsid w:val="008D6379"/>
    <w:rsid w:val="008D6B50"/>
    <w:rsid w:val="008D7B7D"/>
    <w:rsid w:val="008D7DBC"/>
    <w:rsid w:val="008E1110"/>
    <w:rsid w:val="008E2B92"/>
    <w:rsid w:val="008E3431"/>
    <w:rsid w:val="008E378A"/>
    <w:rsid w:val="008E3B2F"/>
    <w:rsid w:val="008E4434"/>
    <w:rsid w:val="008E60FA"/>
    <w:rsid w:val="008E6342"/>
    <w:rsid w:val="008E6549"/>
    <w:rsid w:val="008E6EB7"/>
    <w:rsid w:val="008E7166"/>
    <w:rsid w:val="008F0517"/>
    <w:rsid w:val="008F0D86"/>
    <w:rsid w:val="008F13FC"/>
    <w:rsid w:val="008F2220"/>
    <w:rsid w:val="008F2A55"/>
    <w:rsid w:val="008F2F04"/>
    <w:rsid w:val="008F3456"/>
    <w:rsid w:val="008F36CB"/>
    <w:rsid w:val="008F4EF7"/>
    <w:rsid w:val="008F587A"/>
    <w:rsid w:val="00900294"/>
    <w:rsid w:val="00901B88"/>
    <w:rsid w:val="009024A9"/>
    <w:rsid w:val="00902BCC"/>
    <w:rsid w:val="00903EB9"/>
    <w:rsid w:val="00905E21"/>
    <w:rsid w:val="009077D6"/>
    <w:rsid w:val="00907EE1"/>
    <w:rsid w:val="009113C3"/>
    <w:rsid w:val="00913F75"/>
    <w:rsid w:val="00914394"/>
    <w:rsid w:val="009156DD"/>
    <w:rsid w:val="00915DA2"/>
    <w:rsid w:val="00917264"/>
    <w:rsid w:val="00917941"/>
    <w:rsid w:val="0092336B"/>
    <w:rsid w:val="0092488D"/>
    <w:rsid w:val="00925647"/>
    <w:rsid w:val="00926271"/>
    <w:rsid w:val="009265ED"/>
    <w:rsid w:val="009274B7"/>
    <w:rsid w:val="00930709"/>
    <w:rsid w:val="0093101C"/>
    <w:rsid w:val="009326D5"/>
    <w:rsid w:val="009334C2"/>
    <w:rsid w:val="00934439"/>
    <w:rsid w:val="00937D7A"/>
    <w:rsid w:val="009407B7"/>
    <w:rsid w:val="00940899"/>
    <w:rsid w:val="00941185"/>
    <w:rsid w:val="009412F8"/>
    <w:rsid w:val="00941A73"/>
    <w:rsid w:val="00944369"/>
    <w:rsid w:val="009448F3"/>
    <w:rsid w:val="00946E48"/>
    <w:rsid w:val="009522C0"/>
    <w:rsid w:val="00952498"/>
    <w:rsid w:val="00952A60"/>
    <w:rsid w:val="0095325B"/>
    <w:rsid w:val="009537E4"/>
    <w:rsid w:val="009548C2"/>
    <w:rsid w:val="00955D32"/>
    <w:rsid w:val="009568FA"/>
    <w:rsid w:val="00956B05"/>
    <w:rsid w:val="00957999"/>
    <w:rsid w:val="009604CC"/>
    <w:rsid w:val="00960F2A"/>
    <w:rsid w:val="0096198A"/>
    <w:rsid w:val="00961F0B"/>
    <w:rsid w:val="009629E6"/>
    <w:rsid w:val="0096649F"/>
    <w:rsid w:val="0096738D"/>
    <w:rsid w:val="00970F0E"/>
    <w:rsid w:val="00971A09"/>
    <w:rsid w:val="00975061"/>
    <w:rsid w:val="0097618F"/>
    <w:rsid w:val="009767DF"/>
    <w:rsid w:val="00976E74"/>
    <w:rsid w:val="0098135E"/>
    <w:rsid w:val="00982798"/>
    <w:rsid w:val="00985566"/>
    <w:rsid w:val="0098609F"/>
    <w:rsid w:val="00990117"/>
    <w:rsid w:val="009904E9"/>
    <w:rsid w:val="0099090B"/>
    <w:rsid w:val="009912EE"/>
    <w:rsid w:val="0099331F"/>
    <w:rsid w:val="00995046"/>
    <w:rsid w:val="00997397"/>
    <w:rsid w:val="009976BB"/>
    <w:rsid w:val="0099771C"/>
    <w:rsid w:val="00997C5C"/>
    <w:rsid w:val="00997D40"/>
    <w:rsid w:val="00997DA1"/>
    <w:rsid w:val="009A0223"/>
    <w:rsid w:val="009A04FA"/>
    <w:rsid w:val="009A063D"/>
    <w:rsid w:val="009A13A0"/>
    <w:rsid w:val="009A1D52"/>
    <w:rsid w:val="009A315E"/>
    <w:rsid w:val="009A38C7"/>
    <w:rsid w:val="009A476E"/>
    <w:rsid w:val="009A585E"/>
    <w:rsid w:val="009A6414"/>
    <w:rsid w:val="009A664D"/>
    <w:rsid w:val="009A68C8"/>
    <w:rsid w:val="009A6E37"/>
    <w:rsid w:val="009A764F"/>
    <w:rsid w:val="009A7834"/>
    <w:rsid w:val="009B04E8"/>
    <w:rsid w:val="009B074A"/>
    <w:rsid w:val="009B1D09"/>
    <w:rsid w:val="009B26E9"/>
    <w:rsid w:val="009B3E72"/>
    <w:rsid w:val="009B505B"/>
    <w:rsid w:val="009B5BBC"/>
    <w:rsid w:val="009C0E9B"/>
    <w:rsid w:val="009C446F"/>
    <w:rsid w:val="009C4AC6"/>
    <w:rsid w:val="009C5C13"/>
    <w:rsid w:val="009D1075"/>
    <w:rsid w:val="009D252D"/>
    <w:rsid w:val="009D4050"/>
    <w:rsid w:val="009D5EC0"/>
    <w:rsid w:val="009D6426"/>
    <w:rsid w:val="009D7AC1"/>
    <w:rsid w:val="009D7E2D"/>
    <w:rsid w:val="009E0692"/>
    <w:rsid w:val="009E4331"/>
    <w:rsid w:val="009E494F"/>
    <w:rsid w:val="009E51D9"/>
    <w:rsid w:val="009E5C97"/>
    <w:rsid w:val="009E6390"/>
    <w:rsid w:val="009E6762"/>
    <w:rsid w:val="009F119F"/>
    <w:rsid w:val="009F23E3"/>
    <w:rsid w:val="009F276B"/>
    <w:rsid w:val="009F340F"/>
    <w:rsid w:val="009F36F3"/>
    <w:rsid w:val="009F3C97"/>
    <w:rsid w:val="009F3DF7"/>
    <w:rsid w:val="009F52E4"/>
    <w:rsid w:val="009F5787"/>
    <w:rsid w:val="009F6C98"/>
    <w:rsid w:val="00A00454"/>
    <w:rsid w:val="00A00567"/>
    <w:rsid w:val="00A03F12"/>
    <w:rsid w:val="00A05BA3"/>
    <w:rsid w:val="00A0659B"/>
    <w:rsid w:val="00A10E91"/>
    <w:rsid w:val="00A10FD7"/>
    <w:rsid w:val="00A118A1"/>
    <w:rsid w:val="00A123AC"/>
    <w:rsid w:val="00A12ACD"/>
    <w:rsid w:val="00A142BB"/>
    <w:rsid w:val="00A15087"/>
    <w:rsid w:val="00A1745B"/>
    <w:rsid w:val="00A17B39"/>
    <w:rsid w:val="00A2014E"/>
    <w:rsid w:val="00A204E4"/>
    <w:rsid w:val="00A21D44"/>
    <w:rsid w:val="00A239BE"/>
    <w:rsid w:val="00A23B46"/>
    <w:rsid w:val="00A23F5E"/>
    <w:rsid w:val="00A2427E"/>
    <w:rsid w:val="00A24703"/>
    <w:rsid w:val="00A2473B"/>
    <w:rsid w:val="00A247EA"/>
    <w:rsid w:val="00A324E4"/>
    <w:rsid w:val="00A35197"/>
    <w:rsid w:val="00A3541B"/>
    <w:rsid w:val="00A36533"/>
    <w:rsid w:val="00A36F9F"/>
    <w:rsid w:val="00A375F4"/>
    <w:rsid w:val="00A40058"/>
    <w:rsid w:val="00A418C1"/>
    <w:rsid w:val="00A4196B"/>
    <w:rsid w:val="00A4199C"/>
    <w:rsid w:val="00A422D8"/>
    <w:rsid w:val="00A42508"/>
    <w:rsid w:val="00A42A16"/>
    <w:rsid w:val="00A462C7"/>
    <w:rsid w:val="00A46688"/>
    <w:rsid w:val="00A46A34"/>
    <w:rsid w:val="00A50326"/>
    <w:rsid w:val="00A50BE7"/>
    <w:rsid w:val="00A5172C"/>
    <w:rsid w:val="00A521D7"/>
    <w:rsid w:val="00A5239B"/>
    <w:rsid w:val="00A52ED1"/>
    <w:rsid w:val="00A55532"/>
    <w:rsid w:val="00A55B94"/>
    <w:rsid w:val="00A56A21"/>
    <w:rsid w:val="00A572DD"/>
    <w:rsid w:val="00A617DF"/>
    <w:rsid w:val="00A62079"/>
    <w:rsid w:val="00A62D2B"/>
    <w:rsid w:val="00A634BF"/>
    <w:rsid w:val="00A64256"/>
    <w:rsid w:val="00A642EB"/>
    <w:rsid w:val="00A66B0B"/>
    <w:rsid w:val="00A6729C"/>
    <w:rsid w:val="00A71002"/>
    <w:rsid w:val="00A71C8C"/>
    <w:rsid w:val="00A72774"/>
    <w:rsid w:val="00A728A3"/>
    <w:rsid w:val="00A7518B"/>
    <w:rsid w:val="00A778D6"/>
    <w:rsid w:val="00A81FCD"/>
    <w:rsid w:val="00A833AD"/>
    <w:rsid w:val="00A83886"/>
    <w:rsid w:val="00A848DE"/>
    <w:rsid w:val="00A84DB3"/>
    <w:rsid w:val="00A85063"/>
    <w:rsid w:val="00A85685"/>
    <w:rsid w:val="00A85C82"/>
    <w:rsid w:val="00A8705E"/>
    <w:rsid w:val="00A8748C"/>
    <w:rsid w:val="00A878C6"/>
    <w:rsid w:val="00A87C63"/>
    <w:rsid w:val="00A910BD"/>
    <w:rsid w:val="00A921BE"/>
    <w:rsid w:val="00A93B90"/>
    <w:rsid w:val="00A94FBA"/>
    <w:rsid w:val="00A9556F"/>
    <w:rsid w:val="00A966EC"/>
    <w:rsid w:val="00A97147"/>
    <w:rsid w:val="00A9777B"/>
    <w:rsid w:val="00A97AEB"/>
    <w:rsid w:val="00AA0358"/>
    <w:rsid w:val="00AA03B7"/>
    <w:rsid w:val="00AA1949"/>
    <w:rsid w:val="00AA1959"/>
    <w:rsid w:val="00AA34BA"/>
    <w:rsid w:val="00AA4DA8"/>
    <w:rsid w:val="00AA502F"/>
    <w:rsid w:val="00AA5A3E"/>
    <w:rsid w:val="00AA6F57"/>
    <w:rsid w:val="00AB2B96"/>
    <w:rsid w:val="00AB3D37"/>
    <w:rsid w:val="00AB4CF1"/>
    <w:rsid w:val="00AB4F2D"/>
    <w:rsid w:val="00AB57E7"/>
    <w:rsid w:val="00AB6EAB"/>
    <w:rsid w:val="00AB7111"/>
    <w:rsid w:val="00AC03EC"/>
    <w:rsid w:val="00AC0F3E"/>
    <w:rsid w:val="00AC17D6"/>
    <w:rsid w:val="00AC28DD"/>
    <w:rsid w:val="00AC3E76"/>
    <w:rsid w:val="00AC5DF3"/>
    <w:rsid w:val="00AC7283"/>
    <w:rsid w:val="00AC72F5"/>
    <w:rsid w:val="00AD0585"/>
    <w:rsid w:val="00AD0F19"/>
    <w:rsid w:val="00AD1A5C"/>
    <w:rsid w:val="00AD1E59"/>
    <w:rsid w:val="00AD2161"/>
    <w:rsid w:val="00AD3798"/>
    <w:rsid w:val="00AD5BBE"/>
    <w:rsid w:val="00AD6E78"/>
    <w:rsid w:val="00AD7022"/>
    <w:rsid w:val="00AD7636"/>
    <w:rsid w:val="00AD7DD0"/>
    <w:rsid w:val="00AD7F92"/>
    <w:rsid w:val="00AE0292"/>
    <w:rsid w:val="00AE2E33"/>
    <w:rsid w:val="00AE30EB"/>
    <w:rsid w:val="00AE3AED"/>
    <w:rsid w:val="00AE539C"/>
    <w:rsid w:val="00AE54BA"/>
    <w:rsid w:val="00AE6456"/>
    <w:rsid w:val="00AE6B94"/>
    <w:rsid w:val="00AE74E5"/>
    <w:rsid w:val="00AF0F1C"/>
    <w:rsid w:val="00AF1F3B"/>
    <w:rsid w:val="00AF1F6C"/>
    <w:rsid w:val="00AF2073"/>
    <w:rsid w:val="00AF6A90"/>
    <w:rsid w:val="00B01DF0"/>
    <w:rsid w:val="00B01FA1"/>
    <w:rsid w:val="00B02E48"/>
    <w:rsid w:val="00B038A4"/>
    <w:rsid w:val="00B04E9E"/>
    <w:rsid w:val="00B0522A"/>
    <w:rsid w:val="00B0559E"/>
    <w:rsid w:val="00B066A1"/>
    <w:rsid w:val="00B07AFA"/>
    <w:rsid w:val="00B07F28"/>
    <w:rsid w:val="00B10012"/>
    <w:rsid w:val="00B100AC"/>
    <w:rsid w:val="00B1238F"/>
    <w:rsid w:val="00B1332F"/>
    <w:rsid w:val="00B15051"/>
    <w:rsid w:val="00B22DD7"/>
    <w:rsid w:val="00B22E27"/>
    <w:rsid w:val="00B2352B"/>
    <w:rsid w:val="00B23734"/>
    <w:rsid w:val="00B23769"/>
    <w:rsid w:val="00B23C54"/>
    <w:rsid w:val="00B24230"/>
    <w:rsid w:val="00B245D8"/>
    <w:rsid w:val="00B259C7"/>
    <w:rsid w:val="00B25C0E"/>
    <w:rsid w:val="00B2656D"/>
    <w:rsid w:val="00B26686"/>
    <w:rsid w:val="00B2785B"/>
    <w:rsid w:val="00B301B6"/>
    <w:rsid w:val="00B31883"/>
    <w:rsid w:val="00B31FE9"/>
    <w:rsid w:val="00B327F5"/>
    <w:rsid w:val="00B32803"/>
    <w:rsid w:val="00B32834"/>
    <w:rsid w:val="00B33EC9"/>
    <w:rsid w:val="00B34886"/>
    <w:rsid w:val="00B34D44"/>
    <w:rsid w:val="00B35246"/>
    <w:rsid w:val="00B368EC"/>
    <w:rsid w:val="00B41285"/>
    <w:rsid w:val="00B43AA8"/>
    <w:rsid w:val="00B44076"/>
    <w:rsid w:val="00B452FA"/>
    <w:rsid w:val="00B45C3A"/>
    <w:rsid w:val="00B47CA5"/>
    <w:rsid w:val="00B50988"/>
    <w:rsid w:val="00B54E5B"/>
    <w:rsid w:val="00B6327B"/>
    <w:rsid w:val="00B64256"/>
    <w:rsid w:val="00B65BCC"/>
    <w:rsid w:val="00B6626F"/>
    <w:rsid w:val="00B664B5"/>
    <w:rsid w:val="00B66BE5"/>
    <w:rsid w:val="00B70A7E"/>
    <w:rsid w:val="00B7136D"/>
    <w:rsid w:val="00B71665"/>
    <w:rsid w:val="00B7253E"/>
    <w:rsid w:val="00B72E45"/>
    <w:rsid w:val="00B73626"/>
    <w:rsid w:val="00B7383F"/>
    <w:rsid w:val="00B74039"/>
    <w:rsid w:val="00B74C40"/>
    <w:rsid w:val="00B757D7"/>
    <w:rsid w:val="00B77A0D"/>
    <w:rsid w:val="00B8017B"/>
    <w:rsid w:val="00B83A0A"/>
    <w:rsid w:val="00B83C3F"/>
    <w:rsid w:val="00B84368"/>
    <w:rsid w:val="00B85326"/>
    <w:rsid w:val="00B8645B"/>
    <w:rsid w:val="00B86557"/>
    <w:rsid w:val="00B86AC9"/>
    <w:rsid w:val="00B91F47"/>
    <w:rsid w:val="00B92E21"/>
    <w:rsid w:val="00B93F53"/>
    <w:rsid w:val="00B946A8"/>
    <w:rsid w:val="00B9543A"/>
    <w:rsid w:val="00B96B44"/>
    <w:rsid w:val="00B96C2F"/>
    <w:rsid w:val="00B96FD1"/>
    <w:rsid w:val="00B977FE"/>
    <w:rsid w:val="00BA0829"/>
    <w:rsid w:val="00BA1E60"/>
    <w:rsid w:val="00BA3997"/>
    <w:rsid w:val="00BA39D6"/>
    <w:rsid w:val="00BA5473"/>
    <w:rsid w:val="00BA567A"/>
    <w:rsid w:val="00BA62FE"/>
    <w:rsid w:val="00BA64C6"/>
    <w:rsid w:val="00BB01B7"/>
    <w:rsid w:val="00BB08BD"/>
    <w:rsid w:val="00BB0C9C"/>
    <w:rsid w:val="00BB0E6F"/>
    <w:rsid w:val="00BB3859"/>
    <w:rsid w:val="00BB422F"/>
    <w:rsid w:val="00BB454A"/>
    <w:rsid w:val="00BB5464"/>
    <w:rsid w:val="00BB5748"/>
    <w:rsid w:val="00BB6087"/>
    <w:rsid w:val="00BC18EE"/>
    <w:rsid w:val="00BC1B09"/>
    <w:rsid w:val="00BC403D"/>
    <w:rsid w:val="00BC4B28"/>
    <w:rsid w:val="00BC4EE0"/>
    <w:rsid w:val="00BC55ED"/>
    <w:rsid w:val="00BC5FE3"/>
    <w:rsid w:val="00BC76E7"/>
    <w:rsid w:val="00BC77D2"/>
    <w:rsid w:val="00BD0A03"/>
    <w:rsid w:val="00BD0D88"/>
    <w:rsid w:val="00BD30EB"/>
    <w:rsid w:val="00BD3D6B"/>
    <w:rsid w:val="00BD4FA1"/>
    <w:rsid w:val="00BD5481"/>
    <w:rsid w:val="00BD6B68"/>
    <w:rsid w:val="00BD7083"/>
    <w:rsid w:val="00BD741D"/>
    <w:rsid w:val="00BE19B7"/>
    <w:rsid w:val="00BE270C"/>
    <w:rsid w:val="00BE33AE"/>
    <w:rsid w:val="00BE4913"/>
    <w:rsid w:val="00BE4D41"/>
    <w:rsid w:val="00BE5A76"/>
    <w:rsid w:val="00BE5D24"/>
    <w:rsid w:val="00BE772A"/>
    <w:rsid w:val="00BF2E7F"/>
    <w:rsid w:val="00BF412F"/>
    <w:rsid w:val="00BF4E4F"/>
    <w:rsid w:val="00BF74FC"/>
    <w:rsid w:val="00BF7C8A"/>
    <w:rsid w:val="00C02317"/>
    <w:rsid w:val="00C02451"/>
    <w:rsid w:val="00C0415A"/>
    <w:rsid w:val="00C061B8"/>
    <w:rsid w:val="00C06217"/>
    <w:rsid w:val="00C06783"/>
    <w:rsid w:val="00C07303"/>
    <w:rsid w:val="00C07704"/>
    <w:rsid w:val="00C11452"/>
    <w:rsid w:val="00C118E1"/>
    <w:rsid w:val="00C12D58"/>
    <w:rsid w:val="00C144BC"/>
    <w:rsid w:val="00C14598"/>
    <w:rsid w:val="00C145EC"/>
    <w:rsid w:val="00C233CA"/>
    <w:rsid w:val="00C2428A"/>
    <w:rsid w:val="00C24FD6"/>
    <w:rsid w:val="00C269FB"/>
    <w:rsid w:val="00C30B9A"/>
    <w:rsid w:val="00C31501"/>
    <w:rsid w:val="00C328B9"/>
    <w:rsid w:val="00C33067"/>
    <w:rsid w:val="00C349B7"/>
    <w:rsid w:val="00C35299"/>
    <w:rsid w:val="00C35C8B"/>
    <w:rsid w:val="00C35CA0"/>
    <w:rsid w:val="00C41757"/>
    <w:rsid w:val="00C422CD"/>
    <w:rsid w:val="00C423A4"/>
    <w:rsid w:val="00C4401B"/>
    <w:rsid w:val="00C440F0"/>
    <w:rsid w:val="00C4470A"/>
    <w:rsid w:val="00C50586"/>
    <w:rsid w:val="00C514D6"/>
    <w:rsid w:val="00C53542"/>
    <w:rsid w:val="00C53FB4"/>
    <w:rsid w:val="00C54D33"/>
    <w:rsid w:val="00C55B95"/>
    <w:rsid w:val="00C5625B"/>
    <w:rsid w:val="00C56337"/>
    <w:rsid w:val="00C573BD"/>
    <w:rsid w:val="00C578FC"/>
    <w:rsid w:val="00C6075F"/>
    <w:rsid w:val="00C65A4A"/>
    <w:rsid w:val="00C67547"/>
    <w:rsid w:val="00C70B3E"/>
    <w:rsid w:val="00C71A35"/>
    <w:rsid w:val="00C71C06"/>
    <w:rsid w:val="00C73473"/>
    <w:rsid w:val="00C73F98"/>
    <w:rsid w:val="00C753DE"/>
    <w:rsid w:val="00C76A90"/>
    <w:rsid w:val="00C76EDF"/>
    <w:rsid w:val="00C775DE"/>
    <w:rsid w:val="00C77891"/>
    <w:rsid w:val="00C77BDB"/>
    <w:rsid w:val="00C803B2"/>
    <w:rsid w:val="00C803E4"/>
    <w:rsid w:val="00C80584"/>
    <w:rsid w:val="00C80B1F"/>
    <w:rsid w:val="00C81069"/>
    <w:rsid w:val="00C8259D"/>
    <w:rsid w:val="00C82E0D"/>
    <w:rsid w:val="00C834E5"/>
    <w:rsid w:val="00C83DB0"/>
    <w:rsid w:val="00C84AA8"/>
    <w:rsid w:val="00C8519A"/>
    <w:rsid w:val="00C863BE"/>
    <w:rsid w:val="00C869D1"/>
    <w:rsid w:val="00C86ECA"/>
    <w:rsid w:val="00C870D4"/>
    <w:rsid w:val="00C91593"/>
    <w:rsid w:val="00C91B93"/>
    <w:rsid w:val="00C935EF"/>
    <w:rsid w:val="00C94609"/>
    <w:rsid w:val="00C9501F"/>
    <w:rsid w:val="00C97F0A"/>
    <w:rsid w:val="00CA056F"/>
    <w:rsid w:val="00CA131E"/>
    <w:rsid w:val="00CA2A3D"/>
    <w:rsid w:val="00CA3ED6"/>
    <w:rsid w:val="00CA4A8C"/>
    <w:rsid w:val="00CA4F2E"/>
    <w:rsid w:val="00CA55A6"/>
    <w:rsid w:val="00CA59F0"/>
    <w:rsid w:val="00CA7367"/>
    <w:rsid w:val="00CB097B"/>
    <w:rsid w:val="00CB2A1B"/>
    <w:rsid w:val="00CB320A"/>
    <w:rsid w:val="00CB334D"/>
    <w:rsid w:val="00CB3933"/>
    <w:rsid w:val="00CB6286"/>
    <w:rsid w:val="00CB759D"/>
    <w:rsid w:val="00CC12A0"/>
    <w:rsid w:val="00CC1590"/>
    <w:rsid w:val="00CC32B9"/>
    <w:rsid w:val="00CC6251"/>
    <w:rsid w:val="00CD1269"/>
    <w:rsid w:val="00CD2858"/>
    <w:rsid w:val="00CD506B"/>
    <w:rsid w:val="00CD5461"/>
    <w:rsid w:val="00CD5BA1"/>
    <w:rsid w:val="00CD7EC9"/>
    <w:rsid w:val="00CE209E"/>
    <w:rsid w:val="00CE26B8"/>
    <w:rsid w:val="00CE4824"/>
    <w:rsid w:val="00CE75D1"/>
    <w:rsid w:val="00CF0CBB"/>
    <w:rsid w:val="00CF0D9A"/>
    <w:rsid w:val="00CF1755"/>
    <w:rsid w:val="00CF1DD0"/>
    <w:rsid w:val="00CF1F35"/>
    <w:rsid w:val="00CF390D"/>
    <w:rsid w:val="00CF490D"/>
    <w:rsid w:val="00CF4E2F"/>
    <w:rsid w:val="00CF4F5A"/>
    <w:rsid w:val="00CF5205"/>
    <w:rsid w:val="00CF56FC"/>
    <w:rsid w:val="00CF657F"/>
    <w:rsid w:val="00CF6823"/>
    <w:rsid w:val="00CF6C16"/>
    <w:rsid w:val="00CF7C6E"/>
    <w:rsid w:val="00D0028C"/>
    <w:rsid w:val="00D00388"/>
    <w:rsid w:val="00D00A46"/>
    <w:rsid w:val="00D01342"/>
    <w:rsid w:val="00D022B6"/>
    <w:rsid w:val="00D02BCD"/>
    <w:rsid w:val="00D03CCD"/>
    <w:rsid w:val="00D03E5B"/>
    <w:rsid w:val="00D044E4"/>
    <w:rsid w:val="00D072DD"/>
    <w:rsid w:val="00D07EBB"/>
    <w:rsid w:val="00D111F2"/>
    <w:rsid w:val="00D11AE9"/>
    <w:rsid w:val="00D12038"/>
    <w:rsid w:val="00D123EA"/>
    <w:rsid w:val="00D1309F"/>
    <w:rsid w:val="00D13335"/>
    <w:rsid w:val="00D143A9"/>
    <w:rsid w:val="00D14975"/>
    <w:rsid w:val="00D14AB6"/>
    <w:rsid w:val="00D14D46"/>
    <w:rsid w:val="00D15CDC"/>
    <w:rsid w:val="00D15DDF"/>
    <w:rsid w:val="00D1670B"/>
    <w:rsid w:val="00D17CD7"/>
    <w:rsid w:val="00D22534"/>
    <w:rsid w:val="00D22F1E"/>
    <w:rsid w:val="00D237EB"/>
    <w:rsid w:val="00D23E30"/>
    <w:rsid w:val="00D2424C"/>
    <w:rsid w:val="00D2512D"/>
    <w:rsid w:val="00D252EA"/>
    <w:rsid w:val="00D260A3"/>
    <w:rsid w:val="00D279F1"/>
    <w:rsid w:val="00D27D9F"/>
    <w:rsid w:val="00D305F6"/>
    <w:rsid w:val="00D32874"/>
    <w:rsid w:val="00D36EAF"/>
    <w:rsid w:val="00D40C41"/>
    <w:rsid w:val="00D41CA4"/>
    <w:rsid w:val="00D41DDB"/>
    <w:rsid w:val="00D44806"/>
    <w:rsid w:val="00D44ECF"/>
    <w:rsid w:val="00D45201"/>
    <w:rsid w:val="00D45A35"/>
    <w:rsid w:val="00D46E8F"/>
    <w:rsid w:val="00D50152"/>
    <w:rsid w:val="00D50226"/>
    <w:rsid w:val="00D534CD"/>
    <w:rsid w:val="00D54139"/>
    <w:rsid w:val="00D54397"/>
    <w:rsid w:val="00D5551C"/>
    <w:rsid w:val="00D55C8E"/>
    <w:rsid w:val="00D56741"/>
    <w:rsid w:val="00D600CF"/>
    <w:rsid w:val="00D60D5C"/>
    <w:rsid w:val="00D63B60"/>
    <w:rsid w:val="00D64B55"/>
    <w:rsid w:val="00D66445"/>
    <w:rsid w:val="00D67103"/>
    <w:rsid w:val="00D6735D"/>
    <w:rsid w:val="00D673B1"/>
    <w:rsid w:val="00D677B4"/>
    <w:rsid w:val="00D707FB"/>
    <w:rsid w:val="00D71296"/>
    <w:rsid w:val="00D715FE"/>
    <w:rsid w:val="00D7222D"/>
    <w:rsid w:val="00D722B3"/>
    <w:rsid w:val="00D733DA"/>
    <w:rsid w:val="00D738BE"/>
    <w:rsid w:val="00D753D2"/>
    <w:rsid w:val="00D7542F"/>
    <w:rsid w:val="00D75BE6"/>
    <w:rsid w:val="00D7709D"/>
    <w:rsid w:val="00D80A2D"/>
    <w:rsid w:val="00D8178D"/>
    <w:rsid w:val="00D822BE"/>
    <w:rsid w:val="00D84389"/>
    <w:rsid w:val="00D8687A"/>
    <w:rsid w:val="00D8739A"/>
    <w:rsid w:val="00D91844"/>
    <w:rsid w:val="00D92CD6"/>
    <w:rsid w:val="00DA06CD"/>
    <w:rsid w:val="00DA2A4F"/>
    <w:rsid w:val="00DA326C"/>
    <w:rsid w:val="00DA3684"/>
    <w:rsid w:val="00DA5479"/>
    <w:rsid w:val="00DA5D53"/>
    <w:rsid w:val="00DA6AD0"/>
    <w:rsid w:val="00DB09C1"/>
    <w:rsid w:val="00DB1E6B"/>
    <w:rsid w:val="00DB34D5"/>
    <w:rsid w:val="00DB3B41"/>
    <w:rsid w:val="00DB5B11"/>
    <w:rsid w:val="00DB74A3"/>
    <w:rsid w:val="00DC12A4"/>
    <w:rsid w:val="00DC218F"/>
    <w:rsid w:val="00DC3D4A"/>
    <w:rsid w:val="00DC4594"/>
    <w:rsid w:val="00DC4A1B"/>
    <w:rsid w:val="00DC5415"/>
    <w:rsid w:val="00DC5668"/>
    <w:rsid w:val="00DC63B0"/>
    <w:rsid w:val="00DC7CCF"/>
    <w:rsid w:val="00DC7D22"/>
    <w:rsid w:val="00DD2A13"/>
    <w:rsid w:val="00DD2E79"/>
    <w:rsid w:val="00DD2F60"/>
    <w:rsid w:val="00DD3E04"/>
    <w:rsid w:val="00DD4C05"/>
    <w:rsid w:val="00DD5E13"/>
    <w:rsid w:val="00DE0B2B"/>
    <w:rsid w:val="00DE133C"/>
    <w:rsid w:val="00DE15CD"/>
    <w:rsid w:val="00DE19AA"/>
    <w:rsid w:val="00DE2FCF"/>
    <w:rsid w:val="00DE476A"/>
    <w:rsid w:val="00DE493A"/>
    <w:rsid w:val="00DE4B9F"/>
    <w:rsid w:val="00DE60BF"/>
    <w:rsid w:val="00DE6396"/>
    <w:rsid w:val="00DF2178"/>
    <w:rsid w:val="00DF4124"/>
    <w:rsid w:val="00DF4294"/>
    <w:rsid w:val="00DF4641"/>
    <w:rsid w:val="00DF4C3E"/>
    <w:rsid w:val="00DF5224"/>
    <w:rsid w:val="00DF5C39"/>
    <w:rsid w:val="00DF6206"/>
    <w:rsid w:val="00DF66C6"/>
    <w:rsid w:val="00DF6915"/>
    <w:rsid w:val="00E00B50"/>
    <w:rsid w:val="00E02F32"/>
    <w:rsid w:val="00E07D43"/>
    <w:rsid w:val="00E10508"/>
    <w:rsid w:val="00E10AB7"/>
    <w:rsid w:val="00E1219C"/>
    <w:rsid w:val="00E122C5"/>
    <w:rsid w:val="00E12A0C"/>
    <w:rsid w:val="00E12AC0"/>
    <w:rsid w:val="00E138C9"/>
    <w:rsid w:val="00E13D8E"/>
    <w:rsid w:val="00E13DC6"/>
    <w:rsid w:val="00E16014"/>
    <w:rsid w:val="00E16785"/>
    <w:rsid w:val="00E16D0A"/>
    <w:rsid w:val="00E177E1"/>
    <w:rsid w:val="00E17F86"/>
    <w:rsid w:val="00E20203"/>
    <w:rsid w:val="00E21B74"/>
    <w:rsid w:val="00E21E02"/>
    <w:rsid w:val="00E21FD0"/>
    <w:rsid w:val="00E226BA"/>
    <w:rsid w:val="00E22840"/>
    <w:rsid w:val="00E2285C"/>
    <w:rsid w:val="00E232A0"/>
    <w:rsid w:val="00E256BA"/>
    <w:rsid w:val="00E25F05"/>
    <w:rsid w:val="00E26364"/>
    <w:rsid w:val="00E270E6"/>
    <w:rsid w:val="00E300FB"/>
    <w:rsid w:val="00E32A40"/>
    <w:rsid w:val="00E3330B"/>
    <w:rsid w:val="00E3381A"/>
    <w:rsid w:val="00E346F6"/>
    <w:rsid w:val="00E348F0"/>
    <w:rsid w:val="00E350E5"/>
    <w:rsid w:val="00E36612"/>
    <w:rsid w:val="00E36BB8"/>
    <w:rsid w:val="00E36F97"/>
    <w:rsid w:val="00E43175"/>
    <w:rsid w:val="00E442C7"/>
    <w:rsid w:val="00E44902"/>
    <w:rsid w:val="00E44BB1"/>
    <w:rsid w:val="00E455E0"/>
    <w:rsid w:val="00E460A3"/>
    <w:rsid w:val="00E46F71"/>
    <w:rsid w:val="00E46FA0"/>
    <w:rsid w:val="00E5025A"/>
    <w:rsid w:val="00E503BB"/>
    <w:rsid w:val="00E507CD"/>
    <w:rsid w:val="00E51232"/>
    <w:rsid w:val="00E51C0A"/>
    <w:rsid w:val="00E544ED"/>
    <w:rsid w:val="00E5700A"/>
    <w:rsid w:val="00E617F4"/>
    <w:rsid w:val="00E61F02"/>
    <w:rsid w:val="00E63397"/>
    <w:rsid w:val="00E637CD"/>
    <w:rsid w:val="00E64350"/>
    <w:rsid w:val="00E70755"/>
    <w:rsid w:val="00E714CF"/>
    <w:rsid w:val="00E71F88"/>
    <w:rsid w:val="00E742AF"/>
    <w:rsid w:val="00E74A8B"/>
    <w:rsid w:val="00E75E3F"/>
    <w:rsid w:val="00E8236B"/>
    <w:rsid w:val="00E828F8"/>
    <w:rsid w:val="00E838B1"/>
    <w:rsid w:val="00E84332"/>
    <w:rsid w:val="00E8469B"/>
    <w:rsid w:val="00E84B72"/>
    <w:rsid w:val="00E864E5"/>
    <w:rsid w:val="00E87B33"/>
    <w:rsid w:val="00E915BC"/>
    <w:rsid w:val="00E938A4"/>
    <w:rsid w:val="00E94BFC"/>
    <w:rsid w:val="00E96733"/>
    <w:rsid w:val="00EA07ED"/>
    <w:rsid w:val="00EA0E4F"/>
    <w:rsid w:val="00EA2DB6"/>
    <w:rsid w:val="00EA307F"/>
    <w:rsid w:val="00EA3A32"/>
    <w:rsid w:val="00EA405E"/>
    <w:rsid w:val="00EA47AC"/>
    <w:rsid w:val="00EA59CE"/>
    <w:rsid w:val="00EA73A7"/>
    <w:rsid w:val="00EA79DF"/>
    <w:rsid w:val="00EB0338"/>
    <w:rsid w:val="00EB2886"/>
    <w:rsid w:val="00EB3435"/>
    <w:rsid w:val="00EB39FE"/>
    <w:rsid w:val="00EB4072"/>
    <w:rsid w:val="00EB4C4A"/>
    <w:rsid w:val="00EB52F4"/>
    <w:rsid w:val="00EB5407"/>
    <w:rsid w:val="00EB55D6"/>
    <w:rsid w:val="00EB612F"/>
    <w:rsid w:val="00EB72A5"/>
    <w:rsid w:val="00EC2D6A"/>
    <w:rsid w:val="00EC32D2"/>
    <w:rsid w:val="00EC35DE"/>
    <w:rsid w:val="00EC4EAA"/>
    <w:rsid w:val="00EC5300"/>
    <w:rsid w:val="00ED1B9D"/>
    <w:rsid w:val="00ED2807"/>
    <w:rsid w:val="00EE13C2"/>
    <w:rsid w:val="00EE1F02"/>
    <w:rsid w:val="00EE2147"/>
    <w:rsid w:val="00EE2598"/>
    <w:rsid w:val="00EE281E"/>
    <w:rsid w:val="00EE351B"/>
    <w:rsid w:val="00EE3A7C"/>
    <w:rsid w:val="00EE5CDD"/>
    <w:rsid w:val="00EE6B2A"/>
    <w:rsid w:val="00EE767A"/>
    <w:rsid w:val="00EE7DCB"/>
    <w:rsid w:val="00EF039A"/>
    <w:rsid w:val="00EF03FD"/>
    <w:rsid w:val="00EF0B0C"/>
    <w:rsid w:val="00EF0F84"/>
    <w:rsid w:val="00EF1FE3"/>
    <w:rsid w:val="00EF2C0E"/>
    <w:rsid w:val="00EF5AA3"/>
    <w:rsid w:val="00EF60F9"/>
    <w:rsid w:val="00EF6439"/>
    <w:rsid w:val="00EF6EBA"/>
    <w:rsid w:val="00F00997"/>
    <w:rsid w:val="00F02C5B"/>
    <w:rsid w:val="00F04087"/>
    <w:rsid w:val="00F05FDD"/>
    <w:rsid w:val="00F06D68"/>
    <w:rsid w:val="00F10EBC"/>
    <w:rsid w:val="00F12531"/>
    <w:rsid w:val="00F12798"/>
    <w:rsid w:val="00F128E2"/>
    <w:rsid w:val="00F13502"/>
    <w:rsid w:val="00F16290"/>
    <w:rsid w:val="00F17719"/>
    <w:rsid w:val="00F2172C"/>
    <w:rsid w:val="00F2339F"/>
    <w:rsid w:val="00F23886"/>
    <w:rsid w:val="00F254B8"/>
    <w:rsid w:val="00F263A2"/>
    <w:rsid w:val="00F27C33"/>
    <w:rsid w:val="00F30CDC"/>
    <w:rsid w:val="00F314CC"/>
    <w:rsid w:val="00F3309B"/>
    <w:rsid w:val="00F34C41"/>
    <w:rsid w:val="00F3653D"/>
    <w:rsid w:val="00F365A7"/>
    <w:rsid w:val="00F4040B"/>
    <w:rsid w:val="00F40773"/>
    <w:rsid w:val="00F40E66"/>
    <w:rsid w:val="00F40FFF"/>
    <w:rsid w:val="00F41078"/>
    <w:rsid w:val="00F43218"/>
    <w:rsid w:val="00F43DBE"/>
    <w:rsid w:val="00F46EAF"/>
    <w:rsid w:val="00F47533"/>
    <w:rsid w:val="00F479B2"/>
    <w:rsid w:val="00F51167"/>
    <w:rsid w:val="00F5296E"/>
    <w:rsid w:val="00F531F2"/>
    <w:rsid w:val="00F533B9"/>
    <w:rsid w:val="00F56124"/>
    <w:rsid w:val="00F56340"/>
    <w:rsid w:val="00F56A12"/>
    <w:rsid w:val="00F61689"/>
    <w:rsid w:val="00F61DC4"/>
    <w:rsid w:val="00F62097"/>
    <w:rsid w:val="00F62C51"/>
    <w:rsid w:val="00F62EA0"/>
    <w:rsid w:val="00F62EC4"/>
    <w:rsid w:val="00F630E9"/>
    <w:rsid w:val="00F639D6"/>
    <w:rsid w:val="00F700F4"/>
    <w:rsid w:val="00F7017B"/>
    <w:rsid w:val="00F716D4"/>
    <w:rsid w:val="00F72276"/>
    <w:rsid w:val="00F728E0"/>
    <w:rsid w:val="00F72A2E"/>
    <w:rsid w:val="00F72B13"/>
    <w:rsid w:val="00F73374"/>
    <w:rsid w:val="00F73B3B"/>
    <w:rsid w:val="00F77D52"/>
    <w:rsid w:val="00F8072F"/>
    <w:rsid w:val="00F82882"/>
    <w:rsid w:val="00F82A46"/>
    <w:rsid w:val="00F82B4C"/>
    <w:rsid w:val="00F82E06"/>
    <w:rsid w:val="00F844CE"/>
    <w:rsid w:val="00F848A7"/>
    <w:rsid w:val="00F84CA7"/>
    <w:rsid w:val="00F84FD8"/>
    <w:rsid w:val="00F8542D"/>
    <w:rsid w:val="00F86389"/>
    <w:rsid w:val="00F8642C"/>
    <w:rsid w:val="00F87B26"/>
    <w:rsid w:val="00F90ABA"/>
    <w:rsid w:val="00F91AD9"/>
    <w:rsid w:val="00F93EB7"/>
    <w:rsid w:val="00F95A85"/>
    <w:rsid w:val="00F97266"/>
    <w:rsid w:val="00FA0342"/>
    <w:rsid w:val="00FA09C6"/>
    <w:rsid w:val="00FA0C12"/>
    <w:rsid w:val="00FA4A03"/>
    <w:rsid w:val="00FA4D87"/>
    <w:rsid w:val="00FA5474"/>
    <w:rsid w:val="00FA69AC"/>
    <w:rsid w:val="00FA6A3D"/>
    <w:rsid w:val="00FA751C"/>
    <w:rsid w:val="00FA7CC5"/>
    <w:rsid w:val="00FA7DE3"/>
    <w:rsid w:val="00FB2289"/>
    <w:rsid w:val="00FB3860"/>
    <w:rsid w:val="00FB3F26"/>
    <w:rsid w:val="00FC0C40"/>
    <w:rsid w:val="00FC12F6"/>
    <w:rsid w:val="00FC2129"/>
    <w:rsid w:val="00FC3C00"/>
    <w:rsid w:val="00FC3D8B"/>
    <w:rsid w:val="00FC430F"/>
    <w:rsid w:val="00FC4833"/>
    <w:rsid w:val="00FC62FE"/>
    <w:rsid w:val="00FC679A"/>
    <w:rsid w:val="00FD06E4"/>
    <w:rsid w:val="00FD08B3"/>
    <w:rsid w:val="00FD21EE"/>
    <w:rsid w:val="00FD345E"/>
    <w:rsid w:val="00FD4D9E"/>
    <w:rsid w:val="00FE03EC"/>
    <w:rsid w:val="00FE0725"/>
    <w:rsid w:val="00FE0D35"/>
    <w:rsid w:val="00FE2ADD"/>
    <w:rsid w:val="00FE32BF"/>
    <w:rsid w:val="00FE36FA"/>
    <w:rsid w:val="00FE4E43"/>
    <w:rsid w:val="00FE5AF2"/>
    <w:rsid w:val="00FE65C7"/>
    <w:rsid w:val="00FE7055"/>
    <w:rsid w:val="00FF00AD"/>
    <w:rsid w:val="00FF1488"/>
    <w:rsid w:val="00FF2CBB"/>
    <w:rsid w:val="00FF3386"/>
    <w:rsid w:val="12332381"/>
    <w:rsid w:val="472C7087"/>
    <w:rsid w:val="59C96608"/>
    <w:rsid w:val="729144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Lines="100" w:afterLines="100"/>
      <w:outlineLvl w:val="0"/>
    </w:pPr>
    <w:rPr>
      <w:rFonts w:eastAsia="黑体"/>
      <w:bCs/>
      <w:kern w:val="44"/>
      <w:szCs w:val="44"/>
    </w:rPr>
  </w:style>
  <w:style w:type="paragraph" w:styleId="3">
    <w:name w:val="heading 2"/>
    <w:basedOn w:val="1"/>
    <w:next w:val="1"/>
    <w:link w:val="41"/>
    <w:unhideWhenUsed/>
    <w:qFormat/>
    <w:uiPriority w:val="0"/>
    <w:pPr>
      <w:keepNext/>
      <w:keepLines/>
      <w:spacing w:beforeLines="100" w:afterLines="100"/>
      <w:outlineLvl w:val="1"/>
    </w:pPr>
    <w:rPr>
      <w:rFonts w:ascii="Cambria" w:hAnsi="Cambria" w:eastAsia="黑体"/>
      <w:bCs/>
      <w:szCs w:val="32"/>
    </w:rPr>
  </w:style>
  <w:style w:type="paragraph" w:styleId="4">
    <w:name w:val="heading 3"/>
    <w:basedOn w:val="1"/>
    <w:next w:val="1"/>
    <w:link w:val="42"/>
    <w:unhideWhenUsed/>
    <w:qFormat/>
    <w:uiPriority w:val="0"/>
    <w:pPr>
      <w:keepNext/>
      <w:keepLines/>
      <w:spacing w:line="360" w:lineRule="auto"/>
      <w:outlineLvl w:val="2"/>
    </w:pPr>
    <w:rPr>
      <w:bCs/>
      <w:szCs w:val="32"/>
    </w:rPr>
  </w:style>
  <w:style w:type="paragraph" w:styleId="5">
    <w:name w:val="heading 5"/>
    <w:basedOn w:val="1"/>
    <w:next w:val="1"/>
    <w:link w:val="17"/>
    <w:qFormat/>
    <w:uiPriority w:val="0"/>
    <w:pPr>
      <w:keepNext/>
      <w:keepLines/>
      <w:spacing w:before="280" w:after="290" w:line="374" w:lineRule="auto"/>
      <w:outlineLvl w:val="4"/>
    </w:pPr>
    <w:rPr>
      <w:rFonts w:ascii="Calibri" w:hAnsi="Calibri" w:cs="宋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0"/>
    <w:semiHidden/>
    <w:unhideWhenUsed/>
    <w:qFormat/>
    <w:uiPriority w:val="0"/>
    <w:rPr>
      <w:rFonts w:ascii="宋体"/>
      <w:sz w:val="18"/>
      <w:szCs w:val="18"/>
    </w:rPr>
  </w:style>
  <w:style w:type="paragraph" w:styleId="7">
    <w:name w:val="annotation text"/>
    <w:basedOn w:val="1"/>
    <w:semiHidden/>
    <w:qFormat/>
    <w:uiPriority w:val="0"/>
    <w:pPr>
      <w:jc w:val="left"/>
    </w:pPr>
  </w:style>
  <w:style w:type="paragraph" w:styleId="8">
    <w:name w:val="Date"/>
    <w:basedOn w:val="1"/>
    <w:next w:val="1"/>
    <w:qFormat/>
    <w:uiPriority w:val="0"/>
    <w:pPr>
      <w:ind w:left="100" w:leftChars="2500"/>
    </w:pPr>
  </w:style>
  <w:style w:type="paragraph" w:styleId="9">
    <w:name w:val="Balloon Text"/>
    <w:basedOn w:val="1"/>
    <w:link w:val="20"/>
    <w:qFormat/>
    <w:uiPriority w:val="0"/>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semiHidden/>
    <w:qFormat/>
    <w:uiPriority w:val="0"/>
    <w:rPr>
      <w:sz w:val="21"/>
      <w:szCs w:val="21"/>
    </w:rPr>
  </w:style>
  <w:style w:type="character" w:customStyle="1" w:styleId="17">
    <w:name w:val="标题 5 Char"/>
    <w:link w:val="5"/>
    <w:qFormat/>
    <w:locked/>
    <w:uiPriority w:val="0"/>
    <w:rPr>
      <w:rFonts w:ascii="Calibri" w:hAnsi="Calibri" w:eastAsia="宋体" w:cs="宋体"/>
      <w:b/>
      <w:bCs/>
      <w:kern w:val="2"/>
      <w:sz w:val="28"/>
      <w:szCs w:val="28"/>
      <w:lang w:val="en-US" w:eastAsia="zh-CN" w:bidi="ar-SA"/>
    </w:rPr>
  </w:style>
  <w:style w:type="character" w:customStyle="1" w:styleId="18">
    <w:name w:val="段 Char"/>
    <w:link w:val="19"/>
    <w:qFormat/>
    <w:uiPriority w:val="0"/>
    <w:rPr>
      <w:rFonts w:ascii="宋体"/>
      <w:sz w:val="21"/>
      <w:lang w:val="en-US" w:eastAsia="zh-CN" w:bidi="ar-SA"/>
    </w:rPr>
  </w:style>
  <w:style w:type="paragraph" w:customStyle="1" w:styleId="19">
    <w:name w:val="段"/>
    <w:link w:val="1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批注框文本 Char"/>
    <w:link w:val="9"/>
    <w:qFormat/>
    <w:uiPriority w:val="0"/>
    <w:rPr>
      <w:kern w:val="2"/>
      <w:sz w:val="18"/>
      <w:szCs w:val="18"/>
    </w:rPr>
  </w:style>
  <w:style w:type="character" w:customStyle="1" w:styleId="21">
    <w:name w:val="tgt1 Char"/>
    <w:link w:val="22"/>
    <w:qFormat/>
    <w:uiPriority w:val="0"/>
    <w:rPr>
      <w:rFonts w:ascii="宋体" w:hAnsi="宋体" w:eastAsia="宋体" w:cs="宋体"/>
      <w:sz w:val="24"/>
      <w:szCs w:val="24"/>
      <w:lang w:val="en-US" w:eastAsia="zh-CN" w:bidi="ar-SA"/>
    </w:rPr>
  </w:style>
  <w:style w:type="paragraph" w:customStyle="1" w:styleId="22">
    <w:name w:val="tgt1"/>
    <w:basedOn w:val="1"/>
    <w:link w:val="21"/>
    <w:qFormat/>
    <w:uiPriority w:val="0"/>
    <w:pPr>
      <w:widowControl/>
      <w:spacing w:after="150"/>
      <w:jc w:val="left"/>
    </w:pPr>
    <w:rPr>
      <w:rFonts w:ascii="宋体" w:hAnsi="宋体" w:cs="宋体"/>
      <w:kern w:val="0"/>
      <w:sz w:val="24"/>
    </w:rPr>
  </w:style>
  <w:style w:type="character" w:customStyle="1" w:styleId="23">
    <w:name w:val="页脚 Char"/>
    <w:link w:val="10"/>
    <w:qFormat/>
    <w:uiPriority w:val="99"/>
    <w:rPr>
      <w:kern w:val="2"/>
      <w:sz w:val="18"/>
      <w:szCs w:val="18"/>
    </w:rPr>
  </w:style>
  <w:style w:type="character" w:customStyle="1" w:styleId="24">
    <w:name w:val="一级条标题{858D7CFB-ED40-4347-BF05-701D383B685F}"/>
    <w:link w:val="25"/>
    <w:qFormat/>
    <w:uiPriority w:val="0"/>
    <w:rPr>
      <w:rFonts w:ascii="黑体" w:eastAsia="黑体"/>
      <w:sz w:val="21"/>
    </w:rPr>
  </w:style>
  <w:style w:type="paragraph" w:customStyle="1" w:styleId="25">
    <w:name w:val="一级条标题"/>
    <w:basedOn w:val="26"/>
    <w:next w:val="19"/>
    <w:link w:val="24"/>
    <w:qFormat/>
    <w:uiPriority w:val="0"/>
    <w:pPr>
      <w:tabs>
        <w:tab w:val="left" w:pos="360"/>
      </w:tabs>
      <w:spacing w:beforeLines="0" w:afterLines="0"/>
      <w:outlineLvl w:val="2"/>
    </w:pPr>
  </w:style>
  <w:style w:type="paragraph" w:customStyle="1" w:styleId="26">
    <w:name w:val="章标题"/>
    <w:next w:val="19"/>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27">
    <w:name w:val="sh141"/>
    <w:qFormat/>
    <w:uiPriority w:val="0"/>
    <w:rPr>
      <w:color w:val="2B2B2B"/>
      <w:sz w:val="21"/>
      <w:szCs w:val="21"/>
    </w:rPr>
  </w:style>
  <w:style w:type="paragraph" w:customStyle="1" w:styleId="28">
    <w:name w:val="二级条标题"/>
    <w:basedOn w:val="25"/>
    <w:next w:val="19"/>
    <w:qFormat/>
    <w:uiPriority w:val="0"/>
    <w:pPr>
      <w:outlineLvl w:val="3"/>
    </w:pPr>
  </w:style>
  <w:style w:type="paragraph" w:customStyle="1" w:styleId="2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0">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31">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32">
    <w:name w:val="三级条标题"/>
    <w:basedOn w:val="28"/>
    <w:next w:val="19"/>
    <w:qFormat/>
    <w:uiPriority w:val="0"/>
    <w:pPr>
      <w:outlineLvl w:val="4"/>
    </w:pPr>
  </w:style>
  <w:style w:type="paragraph" w:customStyle="1" w:styleId="33">
    <w:name w:val="五级条标题"/>
    <w:basedOn w:val="34"/>
    <w:next w:val="19"/>
    <w:qFormat/>
    <w:uiPriority w:val="0"/>
    <w:pPr>
      <w:tabs>
        <w:tab w:val="left" w:pos="360"/>
      </w:tabs>
      <w:outlineLvl w:val="6"/>
    </w:pPr>
  </w:style>
  <w:style w:type="paragraph" w:customStyle="1" w:styleId="34">
    <w:name w:val="四级条标题"/>
    <w:basedOn w:val="32"/>
    <w:next w:val="19"/>
    <w:qFormat/>
    <w:uiPriority w:val="0"/>
    <w:pPr>
      <w:outlineLvl w:val="5"/>
    </w:pPr>
  </w:style>
  <w:style w:type="paragraph" w:customStyle="1" w:styleId="35">
    <w:name w:val="注×："/>
    <w:qFormat/>
    <w:uiPriority w:val="0"/>
    <w:pPr>
      <w:widowControl w:val="0"/>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7">
    <w:name w:val="_Style 33"/>
    <w:basedOn w:val="1"/>
    <w:qFormat/>
    <w:uiPriority w:val="0"/>
    <w:rPr>
      <w:szCs w:val="20"/>
    </w:rPr>
  </w:style>
  <w:style w:type="character" w:customStyle="1" w:styleId="38">
    <w:name w:val="标题 1 Char"/>
    <w:basedOn w:val="14"/>
    <w:link w:val="2"/>
    <w:qFormat/>
    <w:uiPriority w:val="0"/>
    <w:rPr>
      <w:rFonts w:eastAsia="黑体"/>
      <w:bCs/>
      <w:kern w:val="44"/>
      <w:sz w:val="21"/>
      <w:szCs w:val="44"/>
    </w:rPr>
  </w:style>
  <w:style w:type="paragraph" w:styleId="39">
    <w:name w:val="List Paragraph"/>
    <w:basedOn w:val="1"/>
    <w:uiPriority w:val="99"/>
    <w:pPr>
      <w:ind w:firstLine="420" w:firstLineChars="200"/>
    </w:pPr>
  </w:style>
  <w:style w:type="character" w:customStyle="1" w:styleId="40">
    <w:name w:val="文档结构图 Char"/>
    <w:basedOn w:val="14"/>
    <w:link w:val="6"/>
    <w:semiHidden/>
    <w:qFormat/>
    <w:uiPriority w:val="0"/>
    <w:rPr>
      <w:rFonts w:ascii="宋体"/>
      <w:kern w:val="2"/>
      <w:sz w:val="18"/>
      <w:szCs w:val="18"/>
    </w:rPr>
  </w:style>
  <w:style w:type="character" w:customStyle="1" w:styleId="41">
    <w:name w:val="标题 2 Char"/>
    <w:basedOn w:val="14"/>
    <w:link w:val="3"/>
    <w:uiPriority w:val="0"/>
    <w:rPr>
      <w:rFonts w:ascii="Cambria" w:hAnsi="Cambria" w:eastAsia="黑体" w:cs="Times New Roman"/>
      <w:bCs/>
      <w:kern w:val="2"/>
      <w:sz w:val="21"/>
      <w:szCs w:val="32"/>
    </w:rPr>
  </w:style>
  <w:style w:type="character" w:customStyle="1" w:styleId="42">
    <w:name w:val="标题 3 Char"/>
    <w:basedOn w:val="14"/>
    <w:link w:val="4"/>
    <w:uiPriority w:val="0"/>
    <w:rPr>
      <w:rFonts w:eastAsia="宋体"/>
      <w:bCs/>
      <w:kern w:val="2"/>
      <w:sz w:val="21"/>
      <w:szCs w:val="32"/>
    </w:rPr>
  </w:style>
  <w:style w:type="character" w:styleId="43">
    <w:name w:val="Placeholder Text"/>
    <w:basedOn w:val="14"/>
    <w:unhideWhenUsed/>
    <w:uiPriority w:val="99"/>
    <w:rPr>
      <w:color w:val="808080"/>
    </w:rPr>
  </w:style>
  <w:style w:type="paragraph" w:customStyle="1" w:styleId="44">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character" w:customStyle="1" w:styleId="45">
    <w:name w:val="一级条标题 Char"/>
    <w:basedOn w:val="14"/>
    <w:uiPriority w:val="0"/>
    <w:rPr>
      <w:rFonts w:ascii="黑体" w:eastAsia="黑体"/>
      <w:sz w:val="21"/>
      <w:lang w:val="en-US" w:eastAsia="zh-CN" w:bidi="ar-SA"/>
    </w:rPr>
  </w:style>
  <w:style w:type="paragraph" w:customStyle="1" w:styleId="46">
    <w:name w:val="二级无标题条"/>
    <w:basedOn w:val="1"/>
    <w:uiPriority w:val="0"/>
    <w:pPr>
      <w:numPr>
        <w:ilvl w:val="3"/>
        <w:numId w:val="1"/>
      </w:numPr>
    </w:pPr>
  </w:style>
  <w:style w:type="paragraph" w:customStyle="1" w:styleId="47">
    <w:name w:val="三级无标题条"/>
    <w:basedOn w:val="1"/>
    <w:uiPriority w:val="0"/>
    <w:pPr>
      <w:numPr>
        <w:ilvl w:val="4"/>
        <w:numId w:val="1"/>
      </w:numPr>
    </w:pPr>
  </w:style>
  <w:style w:type="paragraph" w:customStyle="1" w:styleId="48">
    <w:name w:val="四级无标题条"/>
    <w:basedOn w:val="1"/>
    <w:qFormat/>
    <w:uiPriority w:val="0"/>
    <w:pPr>
      <w:numPr>
        <w:ilvl w:val="5"/>
        <w:numId w:val="1"/>
      </w:numPr>
    </w:pPr>
  </w:style>
  <w:style w:type="paragraph" w:customStyle="1" w:styleId="49">
    <w:name w:val="五级无标题条"/>
    <w:basedOn w:val="1"/>
    <w:uiPriority w:val="0"/>
    <w:pPr>
      <w:numPr>
        <w:ilvl w:val="6"/>
        <w:numId w:val="1"/>
      </w:numPr>
    </w:pPr>
  </w:style>
  <w:style w:type="paragraph" w:customStyle="1" w:styleId="50">
    <w:name w:val="一级无标题条"/>
    <w:basedOn w:val="1"/>
    <w:uiPriority w:val="0"/>
    <w:pPr>
      <w:numPr>
        <w:ilvl w:val="2"/>
        <w:numId w:val="1"/>
      </w:numPr>
    </w:pPr>
  </w:style>
  <w:style w:type="paragraph" w:customStyle="1" w:styleId="51">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3.bin"/><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F1579-F2A4-4161-95CE-6808850210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7529</Words>
  <Characters>3446</Characters>
  <Lines>28</Lines>
  <Paragraphs>21</Paragraphs>
  <TotalTime>56</TotalTime>
  <ScaleCrop>false</ScaleCrop>
  <LinksUpToDate>false</LinksUpToDate>
  <CharactersWithSpaces>10954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2021-03-08T08:50:00Z</dcterms:created>
  <dc:creator>wsy</dc:creator>
  <dc:description>文件由 Solid Converter PDF 建立，版本：5.0   Build 627</dc:description>
  <cp:lastModifiedBy>CathayMok</cp:lastModifiedBy>
  <cp:lastPrinted>2021-03-01T05:11:00Z</cp:lastPrinted>
  <dcterms:modified xsi:type="dcterms:W3CDTF">2021-03-10T08:04:00Z</dcterms:modified>
  <dc:title>有色金属标准制、修订程序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