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b/>
          <w:bCs/>
          <w:sz w:val="24"/>
          <w:szCs w:val="32"/>
        </w:rPr>
      </w:pPr>
      <w:r>
        <w:rPr>
          <w:rFonts w:hint="eastAsia" w:ascii="宋体" w:hAnsi="宋体" w:eastAsia="宋体" w:cs="Times New Roman"/>
          <w:b/>
          <w:bCs/>
          <w:sz w:val="24"/>
          <w:szCs w:val="32"/>
        </w:rPr>
        <w:t>《阴极保护用钛阳极》标准编制说明</w:t>
      </w:r>
    </w:p>
    <w:p>
      <w:pPr>
        <w:numPr>
          <w:ilvl w:val="0"/>
          <w:numId w:val="2"/>
        </w:numPr>
        <w:spacing w:before="156" w:beforeLines="50" w:after="156" w:afterLines="50" w:line="400" w:lineRule="exact"/>
        <w:rPr>
          <w:rFonts w:ascii="宋体" w:hAnsi="宋体" w:eastAsia="宋体" w:cs="Times New Roman"/>
          <w:b/>
          <w:sz w:val="24"/>
          <w:szCs w:val="21"/>
        </w:rPr>
      </w:pPr>
      <w:r>
        <w:rPr>
          <w:rFonts w:hint="eastAsia" w:ascii="宋体" w:hAnsi="宋体" w:eastAsia="宋体" w:cs="Times New Roman"/>
          <w:b/>
          <w:sz w:val="24"/>
          <w:szCs w:val="21"/>
        </w:rPr>
        <w:t>工作简况</w:t>
      </w:r>
    </w:p>
    <w:p>
      <w:pPr>
        <w:spacing w:line="312" w:lineRule="auto"/>
        <w:rPr>
          <w:rFonts w:ascii="宋体" w:hAnsi="宋体" w:eastAsia="宋体" w:cs="Times New Roman"/>
          <w:sz w:val="24"/>
          <w:szCs w:val="24"/>
        </w:rPr>
      </w:pPr>
      <w:r>
        <w:rPr>
          <w:rFonts w:hint="eastAsia" w:ascii="宋体" w:hAnsi="宋体" w:eastAsia="宋体" w:cs="Times New Roman"/>
          <w:b/>
          <w:sz w:val="24"/>
          <w:szCs w:val="24"/>
        </w:rPr>
        <w:t>1．本标准项目涉及的产品简况：</w:t>
      </w:r>
      <w:r>
        <w:rPr>
          <w:rFonts w:ascii="宋体" w:hAnsi="宋体" w:eastAsia="宋体" w:cs="Times New Roman"/>
          <w:sz w:val="24"/>
          <w:szCs w:val="24"/>
        </w:rPr>
        <w:t>本标准主要适用于土壤及淡水环境、大气环境中钢筋混凝土外加电流阴极保护用钛阳极。</w:t>
      </w:r>
      <w:r>
        <w:rPr>
          <w:rFonts w:hint="eastAsia" w:ascii="宋体" w:hAnsi="宋体" w:eastAsia="宋体" w:cs="Times New Roman"/>
          <w:sz w:val="24"/>
          <w:szCs w:val="24"/>
        </w:rPr>
        <w:t>对</w:t>
      </w:r>
      <w:r>
        <w:rPr>
          <w:rFonts w:ascii="宋体" w:hAnsi="宋体" w:eastAsia="宋体" w:cs="Times New Roman"/>
          <w:sz w:val="24"/>
          <w:szCs w:val="24"/>
        </w:rPr>
        <w:t>钛阳极产品的形状和规格</w:t>
      </w:r>
      <w:r>
        <w:rPr>
          <w:rFonts w:hint="eastAsia" w:ascii="宋体" w:hAnsi="宋体" w:eastAsia="宋体" w:cs="Times New Roman"/>
          <w:sz w:val="24"/>
          <w:szCs w:val="24"/>
        </w:rPr>
        <w:t>、</w:t>
      </w:r>
      <w:r>
        <w:rPr>
          <w:rFonts w:ascii="宋体" w:hAnsi="宋体" w:eastAsia="宋体" w:cs="Times New Roman"/>
          <w:sz w:val="24"/>
          <w:szCs w:val="24"/>
        </w:rPr>
        <w:t>钛阳极产品的技术要求</w:t>
      </w:r>
      <w:r>
        <w:rPr>
          <w:rFonts w:hint="eastAsia" w:ascii="宋体" w:hAnsi="宋体" w:eastAsia="宋体" w:cs="Times New Roman"/>
          <w:sz w:val="24"/>
          <w:szCs w:val="24"/>
        </w:rPr>
        <w:t>、</w:t>
      </w:r>
      <w:r>
        <w:rPr>
          <w:rFonts w:ascii="宋体" w:hAnsi="宋体" w:eastAsia="宋体" w:cs="Times New Roman"/>
          <w:sz w:val="24"/>
          <w:szCs w:val="24"/>
        </w:rPr>
        <w:t>阳极产品原材料要求、成品外观及结合力等要求及检验方法</w:t>
      </w:r>
      <w:r>
        <w:rPr>
          <w:rFonts w:hint="eastAsia" w:ascii="宋体" w:hAnsi="宋体" w:eastAsia="宋体" w:cs="Times New Roman"/>
          <w:sz w:val="24"/>
          <w:szCs w:val="24"/>
        </w:rPr>
        <w:t>、</w:t>
      </w:r>
      <w:r>
        <w:rPr>
          <w:rFonts w:ascii="宋体" w:hAnsi="宋体" w:eastAsia="宋体" w:cs="Times New Roman"/>
          <w:sz w:val="24"/>
          <w:szCs w:val="24"/>
        </w:rPr>
        <w:t>产品在不同环境中强化寿命检测方法</w:t>
      </w:r>
      <w:r>
        <w:rPr>
          <w:rFonts w:hint="eastAsia" w:ascii="宋体" w:hAnsi="宋体" w:eastAsia="宋体" w:cs="Times New Roman"/>
          <w:sz w:val="24"/>
          <w:szCs w:val="24"/>
        </w:rPr>
        <w:t>、</w:t>
      </w:r>
      <w:r>
        <w:rPr>
          <w:rFonts w:ascii="宋体" w:hAnsi="宋体" w:eastAsia="宋体" w:cs="Times New Roman"/>
          <w:sz w:val="24"/>
          <w:szCs w:val="24"/>
        </w:rPr>
        <w:t>检验规则</w:t>
      </w:r>
      <w:r>
        <w:rPr>
          <w:rFonts w:hint="eastAsia" w:ascii="宋体" w:hAnsi="宋体" w:eastAsia="宋体" w:cs="Times New Roman"/>
          <w:sz w:val="24"/>
          <w:szCs w:val="24"/>
        </w:rPr>
        <w:t>、</w:t>
      </w:r>
      <w:r>
        <w:rPr>
          <w:rFonts w:ascii="宋体" w:hAnsi="宋体" w:eastAsia="宋体" w:cs="Times New Roman"/>
          <w:sz w:val="24"/>
          <w:szCs w:val="24"/>
        </w:rPr>
        <w:t>标志、包装、运输、贮存、质量证明书、合同等</w:t>
      </w:r>
      <w:r>
        <w:rPr>
          <w:rFonts w:hint="eastAsia" w:ascii="宋体" w:hAnsi="宋体" w:eastAsia="宋体" w:cs="Times New Roman"/>
          <w:sz w:val="24"/>
          <w:szCs w:val="24"/>
        </w:rPr>
        <w:t>进行了规定</w:t>
      </w:r>
      <w:r>
        <w:rPr>
          <w:rFonts w:ascii="宋体" w:hAnsi="宋体" w:eastAsia="宋体" w:cs="Times New Roman"/>
          <w:sz w:val="24"/>
          <w:szCs w:val="24"/>
        </w:rPr>
        <w:t>。</w:t>
      </w:r>
    </w:p>
    <w:p>
      <w:pPr>
        <w:spacing w:line="312" w:lineRule="auto"/>
        <w:rPr>
          <w:rFonts w:ascii="宋体" w:hAnsi="宋体" w:eastAsia="宋体" w:cs="Times New Roman"/>
          <w:sz w:val="24"/>
          <w:szCs w:val="24"/>
        </w:rPr>
      </w:pPr>
      <w:r>
        <w:rPr>
          <w:rFonts w:hint="eastAsia" w:ascii="宋体" w:hAnsi="宋体" w:eastAsia="宋体" w:cs="Times New Roman"/>
          <w:b/>
          <w:sz w:val="24"/>
          <w:szCs w:val="24"/>
        </w:rPr>
        <w:t>2. 任务来源：</w:t>
      </w:r>
      <w:r>
        <w:rPr>
          <w:rFonts w:ascii="Times New Roman" w:hAnsi="Times New Roman" w:eastAsia="宋体" w:cs="Times New Roman"/>
          <w:sz w:val="24"/>
          <w:szCs w:val="24"/>
        </w:rPr>
        <w:t>根据工信厅科函[2019]126号，由西安泰金工业电化学技术有限公司、西北有色金属研究院承担行业标准《阴极保护用钛阳极》的编制工作，项目计划号：</w:t>
      </w:r>
      <w:r>
        <w:fldChar w:fldCharType="begin"/>
      </w:r>
      <w:r>
        <w:instrText xml:space="preserve"> HYPERLINK "http://219.239.107.155:8080/TaskBook.aspx?id=YSCPXT05192019" </w:instrText>
      </w:r>
      <w:r>
        <w:fldChar w:fldCharType="separate"/>
      </w:r>
      <w:r>
        <w:rPr>
          <w:rFonts w:ascii="Times New Roman" w:hAnsi="Times New Roman" w:eastAsia="宋体" w:cs="Times New Roman"/>
          <w:sz w:val="24"/>
          <w:szCs w:val="24"/>
        </w:rPr>
        <w:t>2019-0468T-YS</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，计划完成时间2020年。</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标准项目申报单位简况：西安泰金工业电化学技术有限公司是国家大型综合性研究单位西北有色金属研究院控股的高新技术企业，企业注册资本8000万元。公司主要以工业电化学技术、玻璃封接制品为主导，以成套电解设备及装置为发展方向，研发、生产高科技产品。公司自成立以来，在理论研究及应用研究方面开设了多项课题，其中《电活性钛阳极》荣获陕西省科学技术成果二等奖，《液体导电涂层电极研制》荣获中国有色金属工业总公司三等奖，《阴极保护用高性能涂层钛阳极复合材料》获陕西省科技进步二等奖，并获得国家重点新产品，同时钛阳极获得了西安市名牌产品。《锂电池封接用特种玻璃》被列入国家新材料高新产品目录，该研制项目荣获中国有色金属工业科学技术二等奖和陕西省有色金属管理局科技进步二等奖。获授权专利30余项，20余项课题获国家及省市区资金资助，主编行标一项，参编国标4项。现为西安市级技术中心，西安市钛电极工程研发中心，陕西省创新研发中心。公司现有员工196人，年产值达3亿人民币，年出口约500万美元。</w:t>
      </w:r>
    </w:p>
    <w:p>
      <w:pPr>
        <w:spacing w:line="312" w:lineRule="auto"/>
        <w:rPr>
          <w:rFonts w:ascii="宋体" w:hAnsi="宋体" w:eastAsia="宋体" w:cs="Times New Roman"/>
          <w:sz w:val="24"/>
          <w:szCs w:val="24"/>
        </w:rPr>
      </w:pPr>
      <w:r>
        <w:rPr>
          <w:rFonts w:hint="eastAsia" w:ascii="宋体" w:hAnsi="宋体" w:eastAsia="宋体" w:cs="Times New Roman"/>
          <w:b/>
          <w:sz w:val="24"/>
          <w:szCs w:val="24"/>
        </w:rPr>
        <w:t>3.主要工作过程以及主要工作内容：</w:t>
      </w:r>
      <w:r>
        <w:rPr>
          <w:rFonts w:ascii="Times New Roman" w:hAnsi="Times New Roman" w:eastAsia="宋体" w:cs="Times New Roman"/>
          <w:sz w:val="24"/>
          <w:szCs w:val="24"/>
        </w:rPr>
        <w:t>为了做好本标准的制订工作，我们成立了标准编制小组，制订了标准编制计划，在NACE标准和YS/T 828-2012《土壤及淡水环境阴极保护用钛阳极》标准基础上，结合国内阳极生产厂家的生产工艺及产品技术水平和用户的需求，按照标准编写模板GB/T1.1中行业标准的编写格式要求，于2020年8月起草了该标准的标准草案，并征求了国内主要阳极生产厂家和主要用户的意见。2020年9月又召集公司有关生产、销售及分析检测人员对该标准的草案稿进行了认真、细致的讨论，几经修改，最终确定了该标准的</w:t>
      </w:r>
      <w:r>
        <w:rPr>
          <w:rFonts w:hint="eastAsia" w:ascii="宋体" w:hAnsi="宋体" w:eastAsia="宋体" w:cs="Times New Roman"/>
          <w:sz w:val="24"/>
          <w:szCs w:val="24"/>
        </w:rPr>
        <w:t>预审稿。</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2020年8月12日在青岛召开的有色金属标准讨论会上，西部新锆核材料有限公司、宝钛集团有限公司、西部金属材料股份有限公司、厦门虹鹭钨钼工业有限公司、湖南湘投金天钛金属股份有限公司等单位对本标准提出以下修改意见：</w:t>
      </w:r>
    </w:p>
    <w:p>
      <w:pPr>
        <w:spacing w:line="312" w:lineRule="auto"/>
        <w:rPr>
          <w:rFonts w:ascii="Times New Roman" w:hAnsi="Times New Roman" w:eastAsia="宋体" w:cs="Times New Roman"/>
          <w:sz w:val="24"/>
          <w:szCs w:val="24"/>
        </w:rPr>
      </w:pPr>
      <w:r>
        <w:rPr>
          <w:rFonts w:ascii="Times New Roman" w:hAnsi="Times New Roman" w:eastAsia="宋体" w:cs="Times New Roman"/>
          <w:sz w:val="24"/>
          <w:szCs w:val="24"/>
        </w:rPr>
        <w:t>1. 对标准格式按照新的标准化工作导则 第1部分：标准化文件的结构和起草规则进行排版；</w:t>
      </w:r>
    </w:p>
    <w:p>
      <w:pPr>
        <w:spacing w:line="312" w:lineRule="auto"/>
        <w:rPr>
          <w:rFonts w:ascii="Times New Roman" w:hAnsi="Times New Roman" w:eastAsia="宋体" w:cs="Times New Roman"/>
          <w:sz w:val="24"/>
          <w:szCs w:val="24"/>
        </w:rPr>
      </w:pPr>
      <w:r>
        <w:rPr>
          <w:rFonts w:ascii="Times New Roman" w:hAnsi="Times New Roman" w:eastAsia="宋体" w:cs="Times New Roman"/>
          <w:sz w:val="24"/>
          <w:szCs w:val="24"/>
        </w:rPr>
        <w:t>2. 删除第5章5.2钛阳极产品一节；</w:t>
      </w:r>
    </w:p>
    <w:p>
      <w:pPr>
        <w:spacing w:line="312" w:lineRule="auto"/>
        <w:rPr>
          <w:rFonts w:ascii="Times New Roman" w:hAnsi="Times New Roman" w:eastAsia="宋体" w:cs="Times New Roman"/>
          <w:sz w:val="24"/>
          <w:szCs w:val="24"/>
        </w:rPr>
      </w:pPr>
      <w:r>
        <w:rPr>
          <w:rFonts w:ascii="Times New Roman" w:hAnsi="Times New Roman" w:eastAsia="宋体" w:cs="Times New Roman"/>
          <w:sz w:val="24"/>
          <w:szCs w:val="24"/>
        </w:rPr>
        <w:t>3. 将第五章标题由材料、钛阳极产品、产品质量改为</w:t>
      </w:r>
      <w:r>
        <w:rPr>
          <w:rFonts w:hint="eastAsia" w:ascii="Times New Roman" w:hAnsi="Times New Roman" w:eastAsia="宋体" w:cs="Times New Roman"/>
          <w:sz w:val="24"/>
          <w:szCs w:val="24"/>
        </w:rPr>
        <w:t>化学成分</w:t>
      </w:r>
      <w:r>
        <w:rPr>
          <w:rFonts w:ascii="Times New Roman" w:hAnsi="Times New Roman" w:eastAsia="宋体" w:cs="Times New Roman"/>
          <w:sz w:val="24"/>
          <w:szCs w:val="24"/>
        </w:rPr>
        <w:t>、外形尺寸及其允许偏差、表面质量、</w:t>
      </w:r>
      <w:r>
        <w:rPr>
          <w:rFonts w:hint="eastAsia" w:ascii="Times New Roman" w:hAnsi="Times New Roman" w:eastAsia="宋体" w:cs="Times New Roman"/>
          <w:sz w:val="24"/>
          <w:szCs w:val="24"/>
        </w:rPr>
        <w:t>结合力</w:t>
      </w:r>
      <w:r>
        <w:rPr>
          <w:rFonts w:ascii="Times New Roman" w:hAnsi="Times New Roman" w:eastAsia="宋体" w:cs="Times New Roman"/>
          <w:sz w:val="24"/>
          <w:szCs w:val="24"/>
        </w:rPr>
        <w:t>、强化寿命；</w:t>
      </w:r>
    </w:p>
    <w:p>
      <w:pPr>
        <w:spacing w:line="312" w:lineRule="auto"/>
        <w:rPr>
          <w:rFonts w:ascii="Times New Roman" w:hAnsi="Times New Roman" w:eastAsia="宋体" w:cs="Times New Roman"/>
          <w:sz w:val="24"/>
          <w:szCs w:val="24"/>
        </w:rPr>
      </w:pPr>
      <w:r>
        <w:rPr>
          <w:rFonts w:ascii="Times New Roman" w:hAnsi="Times New Roman" w:eastAsia="宋体" w:cs="Times New Roman"/>
          <w:sz w:val="24"/>
          <w:szCs w:val="24"/>
        </w:rPr>
        <w:t>4. 将第六章标题由产品的几何尺寸、 产品的表面质量、涂层与基体的结合、强化寿命改为化学成分、外形尺寸及其允许偏差、表面质量、</w:t>
      </w:r>
      <w:r>
        <w:rPr>
          <w:rFonts w:hint="eastAsia" w:ascii="Times New Roman" w:hAnsi="Times New Roman" w:eastAsia="宋体" w:cs="Times New Roman"/>
          <w:sz w:val="24"/>
          <w:szCs w:val="24"/>
        </w:rPr>
        <w:t>结合力</w:t>
      </w:r>
      <w:r>
        <w:rPr>
          <w:rFonts w:ascii="Times New Roman" w:hAnsi="Times New Roman" w:eastAsia="宋体" w:cs="Times New Roman"/>
          <w:sz w:val="24"/>
          <w:szCs w:val="24"/>
        </w:rPr>
        <w:t>、强化寿命；</w:t>
      </w:r>
    </w:p>
    <w:p>
      <w:pPr>
        <w:spacing w:line="312" w:lineRule="auto"/>
        <w:rPr>
          <w:rFonts w:ascii="Times New Roman" w:hAnsi="Times New Roman" w:eastAsia="宋体" w:cs="Times New Roman"/>
          <w:sz w:val="24"/>
          <w:szCs w:val="24"/>
        </w:rPr>
      </w:pPr>
      <w:r>
        <w:rPr>
          <w:rFonts w:ascii="Times New Roman" w:hAnsi="Times New Roman" w:eastAsia="宋体" w:cs="Times New Roman"/>
          <w:sz w:val="24"/>
          <w:szCs w:val="24"/>
        </w:rPr>
        <w:t>5. 添加7.5检验结果的判定。</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针对以上建议，本标准作了相应修改。</w:t>
      </w:r>
    </w:p>
    <w:p>
      <w:pPr>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020</w:t>
      </w:r>
      <w:r>
        <w:rPr>
          <w:rFonts w:hint="eastAsia" w:ascii="Times New Roman" w:hAnsi="Times New Roman" w:eastAsia="宋体" w:cs="Times New Roman"/>
          <w:sz w:val="24"/>
          <w:szCs w:val="24"/>
        </w:rPr>
        <w:t>年1</w:t>
      </w:r>
      <w:r>
        <w:rPr>
          <w:rFonts w:ascii="Times New Roman" w:hAnsi="Times New Roman" w:eastAsia="宋体" w:cs="Times New Roman"/>
          <w:sz w:val="24"/>
          <w:szCs w:val="24"/>
        </w:rPr>
        <w:t>1</w:t>
      </w:r>
      <w:r>
        <w:rPr>
          <w:rFonts w:hint="eastAsia" w:ascii="Times New Roman" w:hAnsi="Times New Roman" w:eastAsia="宋体" w:cs="Times New Roman"/>
          <w:sz w:val="24"/>
          <w:szCs w:val="24"/>
        </w:rPr>
        <w:t>月4日在桐乡召开的有色金属标准年会上，西安赛特思迈钛业有限公司、宝鸡拓普达钛业有限公司、宁夏东方钽业股份有限公司、湖南湘投金天钛金属股份有限公司等单位对本标准提出以下修改意见：</w:t>
      </w:r>
    </w:p>
    <w:p>
      <w:pPr>
        <w:spacing w:line="312"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1．删除规范引用文件编号的日期；</w:t>
      </w:r>
    </w:p>
    <w:p>
      <w:pPr>
        <w:spacing w:line="312" w:lineRule="auto"/>
        <w:rPr>
          <w:rFonts w:ascii="Times New Roman" w:hAnsi="Times New Roman" w:eastAsia="宋体" w:cs="Times New Roman"/>
          <w:sz w:val="24"/>
          <w:szCs w:val="24"/>
        </w:rPr>
      </w:pPr>
      <w:r>
        <w:rPr>
          <w:rFonts w:ascii="Times New Roman" w:hAnsi="Times New Roman" w:eastAsia="宋体" w:cs="Times New Roman"/>
          <w:sz w:val="24"/>
          <w:szCs w:val="24"/>
        </w:rPr>
        <w:t>2. 将第3章术语和定义的试样改为随炉试样；</w:t>
      </w:r>
    </w:p>
    <w:p>
      <w:pPr>
        <w:spacing w:line="312" w:lineRule="auto"/>
        <w:rPr>
          <w:rFonts w:ascii="Times New Roman" w:hAnsi="Times New Roman" w:eastAsia="宋体" w:cs="Times New Roman"/>
          <w:sz w:val="24"/>
          <w:szCs w:val="24"/>
        </w:rPr>
      </w:pPr>
      <w:r>
        <w:rPr>
          <w:rFonts w:ascii="Times New Roman" w:hAnsi="Times New Roman" w:eastAsia="宋体" w:cs="Times New Roman"/>
          <w:sz w:val="24"/>
          <w:szCs w:val="24"/>
        </w:rPr>
        <w:t>3. 删除第</w:t>
      </w:r>
      <w:r>
        <w:rPr>
          <w:rFonts w:hint="eastAsia" w:ascii="Times New Roman" w:hAnsi="Times New Roman" w:eastAsia="宋体" w:cs="Times New Roman"/>
          <w:sz w:val="24"/>
          <w:szCs w:val="24"/>
        </w:rPr>
        <w:t>4</w:t>
      </w:r>
      <w:r>
        <w:rPr>
          <w:rFonts w:ascii="Times New Roman" w:hAnsi="Times New Roman" w:eastAsia="宋体" w:cs="Times New Roman"/>
          <w:sz w:val="24"/>
          <w:szCs w:val="24"/>
        </w:rPr>
        <w:t>章</w:t>
      </w:r>
      <w:r>
        <w:rPr>
          <w:rFonts w:hint="eastAsia" w:ascii="Times New Roman" w:hAnsi="Times New Roman" w:eastAsia="宋体" w:cs="Times New Roman"/>
          <w:sz w:val="24"/>
          <w:szCs w:val="24"/>
        </w:rPr>
        <w:t>4</w:t>
      </w:r>
      <w:r>
        <w:rPr>
          <w:rFonts w:ascii="Times New Roman" w:hAnsi="Times New Roman" w:eastAsia="宋体" w:cs="Times New Roman"/>
          <w:sz w:val="24"/>
          <w:szCs w:val="24"/>
        </w:rPr>
        <w:t>.1中阳极产品的类型；</w:t>
      </w:r>
    </w:p>
    <w:p>
      <w:pPr>
        <w:spacing w:line="312"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 将第</w:t>
      </w:r>
      <w:r>
        <w:rPr>
          <w:rFonts w:hint="eastAsia" w:ascii="Times New Roman" w:hAnsi="Times New Roman" w:eastAsia="宋体" w:cs="Times New Roman"/>
          <w:sz w:val="24"/>
          <w:szCs w:val="24"/>
        </w:rPr>
        <w:t>6</w:t>
      </w:r>
      <w:r>
        <w:rPr>
          <w:rFonts w:ascii="Times New Roman" w:hAnsi="Times New Roman" w:eastAsia="宋体" w:cs="Times New Roman"/>
          <w:sz w:val="24"/>
          <w:szCs w:val="24"/>
        </w:rPr>
        <w:t>章标题检验改为试验方法</w:t>
      </w:r>
    </w:p>
    <w:p>
      <w:pPr>
        <w:spacing w:line="312"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对附录</w:t>
      </w:r>
      <w:r>
        <w:rPr>
          <w:rFonts w:hint="eastAsia" w:ascii="Times New Roman" w:hAnsi="Times New Roman" w:eastAsia="宋体" w:cs="Times New Roman"/>
          <w:sz w:val="24"/>
          <w:szCs w:val="24"/>
        </w:rPr>
        <w:t>A</w:t>
      </w:r>
      <w:r>
        <w:rPr>
          <w:rFonts w:ascii="Times New Roman" w:hAnsi="Times New Roman" w:eastAsia="宋体" w:cs="Times New Roman"/>
          <w:sz w:val="24"/>
          <w:szCs w:val="24"/>
        </w:rPr>
        <w:t>、附录</w:t>
      </w:r>
      <w:r>
        <w:rPr>
          <w:rFonts w:hint="eastAsia" w:ascii="Times New Roman" w:hAnsi="Times New Roman" w:eastAsia="宋体" w:cs="Times New Roman"/>
          <w:sz w:val="24"/>
          <w:szCs w:val="24"/>
        </w:rPr>
        <w:t>B</w:t>
      </w:r>
      <w:r>
        <w:rPr>
          <w:rFonts w:ascii="Times New Roman" w:hAnsi="Times New Roman" w:eastAsia="宋体" w:cs="Times New Roman"/>
          <w:sz w:val="24"/>
          <w:szCs w:val="24"/>
        </w:rPr>
        <w:t>格式进行修改。</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针对以上建议，本标准作了相应修改，形成了审定稿。</w:t>
      </w:r>
    </w:p>
    <w:p>
      <w:pPr>
        <w:numPr>
          <w:ilvl w:val="0"/>
          <w:numId w:val="2"/>
        </w:numPr>
        <w:spacing w:before="156" w:beforeLines="50" w:after="156" w:afterLines="50" w:line="400" w:lineRule="exact"/>
        <w:rPr>
          <w:rFonts w:ascii="宋体" w:hAnsi="宋体" w:eastAsia="宋体" w:cs="Times New Roman"/>
          <w:b/>
          <w:sz w:val="24"/>
          <w:szCs w:val="21"/>
        </w:rPr>
      </w:pPr>
      <w:r>
        <w:rPr>
          <w:rFonts w:hint="eastAsia" w:ascii="宋体" w:hAnsi="宋体" w:eastAsia="宋体" w:cs="Times New Roman"/>
          <w:b/>
          <w:sz w:val="24"/>
          <w:szCs w:val="21"/>
        </w:rPr>
        <w:t>标准编制原则</w:t>
      </w:r>
    </w:p>
    <w:p>
      <w:pPr>
        <w:spacing w:line="400" w:lineRule="exact"/>
        <w:rPr>
          <w:rFonts w:ascii="宋体" w:hAnsi="宋体" w:eastAsia="宋体" w:cs="Times New Roman"/>
          <w:b/>
          <w:sz w:val="24"/>
          <w:szCs w:val="21"/>
        </w:rPr>
      </w:pPr>
      <w:r>
        <w:rPr>
          <w:rFonts w:hint="eastAsia" w:ascii="宋体" w:hAnsi="宋体" w:eastAsia="宋体" w:cs="Times New Roman"/>
          <w:b/>
          <w:sz w:val="24"/>
          <w:szCs w:val="21"/>
        </w:rPr>
        <w:t>1. 本标准编制原则</w:t>
      </w:r>
    </w:p>
    <w:p>
      <w:pPr>
        <w:spacing w:line="312" w:lineRule="auto"/>
        <w:rPr>
          <w:rFonts w:ascii="宋体" w:hAnsi="宋体" w:eastAsia="宋体" w:cs="Times New Roman"/>
          <w:sz w:val="24"/>
          <w:szCs w:val="21"/>
        </w:rPr>
      </w:pPr>
      <w:r>
        <w:rPr>
          <w:rFonts w:hint="eastAsia" w:ascii="宋体" w:hAnsi="宋体" w:eastAsia="宋体" w:cs="Times New Roman"/>
          <w:sz w:val="24"/>
          <w:szCs w:val="21"/>
        </w:rPr>
        <w:t xml:space="preserve">    本标准的制定格式严格按照</w:t>
      </w:r>
      <w:r>
        <w:rPr>
          <w:rFonts w:ascii="Times New Roman" w:hAnsi="Times New Roman" w:eastAsia="宋体" w:cs="Times New Roman"/>
          <w:sz w:val="24"/>
          <w:szCs w:val="21"/>
        </w:rPr>
        <w:t>GB/T 1.1-2020</w:t>
      </w:r>
      <w:r>
        <w:rPr>
          <w:rFonts w:ascii="宋体" w:hAnsi="宋体" w:eastAsia="宋体" w:cs="Times New Roman"/>
          <w:sz w:val="24"/>
          <w:szCs w:val="21"/>
        </w:rPr>
        <w:t>《标准化工作导则</w:t>
      </w:r>
      <w:r>
        <w:rPr>
          <w:rFonts w:hint="eastAsia" w:ascii="宋体" w:hAnsi="宋体" w:eastAsia="宋体" w:cs="Times New Roman"/>
          <w:sz w:val="24"/>
          <w:szCs w:val="21"/>
        </w:rPr>
        <w:t xml:space="preserve"> </w:t>
      </w:r>
      <w:r>
        <w:rPr>
          <w:rFonts w:ascii="宋体" w:hAnsi="宋体" w:eastAsia="宋体" w:cs="Times New Roman"/>
          <w:sz w:val="24"/>
          <w:szCs w:val="21"/>
        </w:rPr>
        <w:t>第</w:t>
      </w:r>
      <w:r>
        <w:rPr>
          <w:rFonts w:hint="eastAsia" w:ascii="宋体" w:hAnsi="宋体" w:eastAsia="宋体" w:cs="Times New Roman"/>
          <w:sz w:val="24"/>
          <w:szCs w:val="21"/>
        </w:rPr>
        <w:t>1</w:t>
      </w:r>
      <w:r>
        <w:rPr>
          <w:rFonts w:ascii="宋体" w:hAnsi="宋体" w:eastAsia="宋体" w:cs="Times New Roman"/>
          <w:sz w:val="24"/>
          <w:szCs w:val="21"/>
        </w:rPr>
        <w:t>部分：标准化文件的结构和起草规则》的规定编写的。</w:t>
      </w:r>
      <w:r>
        <w:rPr>
          <w:rFonts w:hint="eastAsia" w:ascii="宋体" w:hAnsi="宋体" w:eastAsia="宋体" w:cs="Times New Roman"/>
          <w:sz w:val="24"/>
          <w:szCs w:val="21"/>
        </w:rPr>
        <w:t>为指导和规范阴极保护用钛阳极产品的贸易，针对供需双方的要求，对阴极保护用钛阳极产品的技术要求、试验方法、检验规则及标志、包装、运输、贮存、质量证明书、合同等内容作出了相应的规定。</w:t>
      </w:r>
    </w:p>
    <w:p>
      <w:pPr>
        <w:numPr>
          <w:ilvl w:val="0"/>
          <w:numId w:val="2"/>
        </w:numPr>
        <w:spacing w:line="400" w:lineRule="exact"/>
        <w:jc w:val="left"/>
        <w:rPr>
          <w:rFonts w:ascii="宋体" w:hAnsi="宋体" w:eastAsia="宋体" w:cs="Times New Roman"/>
          <w:b/>
          <w:sz w:val="24"/>
          <w:szCs w:val="24"/>
        </w:rPr>
      </w:pPr>
      <w:r>
        <w:rPr>
          <w:rFonts w:hint="eastAsia" w:ascii="宋体" w:hAnsi="宋体" w:eastAsia="宋体" w:cs="Times New Roman"/>
          <w:b/>
          <w:sz w:val="24"/>
          <w:szCs w:val="24"/>
        </w:rPr>
        <w:t>标准主要内容与修订依据</w:t>
      </w:r>
    </w:p>
    <w:p>
      <w:pPr>
        <w:spacing w:line="312"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本标准规定了阴极保护用钛阳极产品的技术要求、试验方法、检验规则及标志、包装、运输、贮存、质量证明书、合同等内容。</w:t>
      </w:r>
    </w:p>
    <w:p>
      <w:pPr>
        <w:spacing w:line="400" w:lineRule="exact"/>
        <w:rPr>
          <w:rFonts w:ascii="宋体" w:hAnsi="宋体" w:eastAsia="宋体" w:cs="Times New Roman"/>
          <w:b/>
          <w:bCs/>
          <w:sz w:val="24"/>
          <w:szCs w:val="21"/>
        </w:rPr>
      </w:pPr>
      <w:r>
        <w:rPr>
          <w:rFonts w:hint="eastAsia" w:ascii="宋体" w:hAnsi="宋体" w:eastAsia="宋体" w:cs="Times New Roman"/>
          <w:b/>
          <w:bCs/>
          <w:sz w:val="24"/>
          <w:szCs w:val="21"/>
        </w:rPr>
        <w:t>（1）主要技术要求</w:t>
      </w:r>
    </w:p>
    <w:p>
      <w:pPr>
        <w:spacing w:line="312"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本标准技术指标综合考虑当前国内外钛阳极产品的生产水平和用户使用要求的变化，化繁就简，抓主要关键指标，以追求经济合理性和可操作性。</w:t>
      </w:r>
    </w:p>
    <w:p>
      <w:pPr>
        <w:spacing w:line="400" w:lineRule="exact"/>
        <w:rPr>
          <w:rFonts w:ascii="宋体" w:hAnsi="宋体" w:eastAsia="宋体" w:cs="Times New Roman"/>
          <w:b/>
          <w:bCs/>
          <w:sz w:val="24"/>
          <w:szCs w:val="21"/>
        </w:rPr>
      </w:pPr>
      <w:r>
        <w:rPr>
          <w:rFonts w:hint="eastAsia" w:ascii="宋体" w:hAnsi="宋体" w:eastAsia="宋体" w:cs="Times New Roman"/>
          <w:b/>
          <w:bCs/>
          <w:sz w:val="24"/>
          <w:szCs w:val="21"/>
        </w:rPr>
        <w:t>a.材料</w:t>
      </w:r>
    </w:p>
    <w:p>
      <w:pPr>
        <w:spacing w:line="312"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阳极基体采用钛材，其化学成份应符合GB/T 3620中的规定。</w:t>
      </w:r>
    </w:p>
    <w:p>
      <w:pPr>
        <w:spacing w:line="312"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涂层所用的贵金属溶液为氯铱酸，应符合标准YS/T 595</w:t>
      </w:r>
      <w:r>
        <w:rPr>
          <w:rFonts w:hint="eastAsia" w:ascii="Times New Roman" w:hAnsi="Times New Roman" w:eastAsia="宋体" w:cs="Times New Roman"/>
          <w:sz w:val="24"/>
          <w:szCs w:val="21"/>
        </w:rPr>
        <w:t>-</w:t>
      </w:r>
      <w:r>
        <w:rPr>
          <w:rFonts w:ascii="Times New Roman" w:hAnsi="Times New Roman" w:eastAsia="宋体" w:cs="Times New Roman"/>
          <w:sz w:val="24"/>
          <w:szCs w:val="21"/>
        </w:rPr>
        <w:t>2006的规定。</w:t>
      </w:r>
    </w:p>
    <w:p>
      <w:pPr>
        <w:spacing w:line="400" w:lineRule="exact"/>
        <w:rPr>
          <w:rFonts w:ascii="宋体" w:hAnsi="宋体" w:eastAsia="宋体" w:cs="Times New Roman"/>
          <w:b/>
          <w:bCs/>
          <w:sz w:val="24"/>
          <w:szCs w:val="21"/>
        </w:rPr>
      </w:pPr>
      <w:r>
        <w:rPr>
          <w:rFonts w:hint="eastAsia" w:ascii="宋体" w:hAnsi="宋体" w:eastAsia="宋体" w:cs="Times New Roman"/>
          <w:b/>
          <w:bCs/>
          <w:sz w:val="24"/>
          <w:szCs w:val="21"/>
        </w:rPr>
        <w:t>b</w:t>
      </w:r>
      <w:r>
        <w:rPr>
          <w:rFonts w:ascii="宋体" w:hAnsi="宋体" w:eastAsia="宋体" w:cs="Times New Roman"/>
          <w:b/>
          <w:bCs/>
          <w:sz w:val="24"/>
          <w:szCs w:val="21"/>
        </w:rPr>
        <w:t>.</w:t>
      </w:r>
      <w:r>
        <w:rPr>
          <w:rFonts w:hint="eastAsia" w:ascii="宋体" w:hAnsi="宋体" w:eastAsia="宋体" w:cs="Times New Roman"/>
          <w:b/>
          <w:bCs/>
          <w:sz w:val="24"/>
          <w:szCs w:val="21"/>
        </w:rPr>
        <w:t>外形尺寸及其允许偏差</w:t>
      </w:r>
    </w:p>
    <w:p>
      <w:pPr>
        <w:spacing w:line="312" w:lineRule="auto"/>
        <w:ind w:firstLine="480" w:firstLineChars="200"/>
        <w:rPr>
          <w:rFonts w:ascii="Times New Roman" w:hAnsi="Times New Roman" w:eastAsia="宋体" w:cs="Times New Roman"/>
          <w:sz w:val="24"/>
          <w:szCs w:val="21"/>
        </w:rPr>
      </w:pPr>
      <w:r>
        <w:rPr>
          <w:rFonts w:hint="eastAsia" w:ascii="宋体" w:hAnsi="宋体" w:eastAsia="宋体" w:cs="Times New Roman"/>
          <w:sz w:val="24"/>
          <w:szCs w:val="21"/>
        </w:rPr>
        <w:t>阴</w:t>
      </w:r>
      <w:r>
        <w:rPr>
          <w:rFonts w:ascii="Times New Roman" w:hAnsi="Times New Roman" w:eastAsia="宋体" w:cs="Times New Roman"/>
          <w:sz w:val="24"/>
          <w:szCs w:val="21"/>
        </w:rPr>
        <w:t>极保护用钛阳极产品针对不同客户对产品形状和尺寸有不同的要求，不能一概而论，故本标准中分常用的丝、管、棒、网阳极规格和非定型产品两种，其中非定型产品“应符合签订的订货合同要求”。</w:t>
      </w:r>
    </w:p>
    <w:p>
      <w:pPr>
        <w:spacing w:line="400" w:lineRule="exact"/>
        <w:rPr>
          <w:rFonts w:ascii="宋体" w:hAnsi="宋体" w:eastAsia="宋体" w:cs="Times New Roman"/>
          <w:b/>
          <w:bCs/>
          <w:sz w:val="24"/>
          <w:szCs w:val="21"/>
        </w:rPr>
      </w:pPr>
      <w:r>
        <w:rPr>
          <w:rFonts w:hint="eastAsia" w:ascii="宋体" w:hAnsi="宋体" w:eastAsia="宋体" w:cs="Times New Roman"/>
          <w:b/>
          <w:bCs/>
          <w:sz w:val="24"/>
          <w:szCs w:val="21"/>
        </w:rPr>
        <w:t>c.表面质量</w:t>
      </w:r>
    </w:p>
    <w:p>
      <w:pPr>
        <w:spacing w:line="312"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根据阳极性能要求，阳极表面应无污染、无脏物；每平方米的划痕不得超过三处，每个划痕长度小于10mm，宽度小于2mm；每平方米的擦伤不得超过两处，每处擦伤面积小于5mm</w:t>
      </w:r>
      <w:r>
        <w:rPr>
          <w:rFonts w:ascii="Times New Roman" w:hAnsi="Times New Roman" w:eastAsia="宋体" w:cs="Times New Roman"/>
          <w:sz w:val="24"/>
          <w:szCs w:val="21"/>
          <w:vertAlign w:val="superscript"/>
        </w:rPr>
        <w:t>2</w:t>
      </w:r>
      <w:r>
        <w:rPr>
          <w:rFonts w:ascii="Times New Roman" w:hAnsi="Times New Roman" w:eastAsia="宋体" w:cs="Times New Roman"/>
          <w:sz w:val="24"/>
          <w:szCs w:val="21"/>
        </w:rPr>
        <w:t>。</w:t>
      </w:r>
    </w:p>
    <w:p>
      <w:pPr>
        <w:spacing w:line="400" w:lineRule="exact"/>
        <w:rPr>
          <w:rFonts w:ascii="宋体" w:hAnsi="宋体" w:eastAsia="宋体" w:cs="Times New Roman"/>
          <w:b/>
          <w:bCs/>
          <w:sz w:val="24"/>
          <w:szCs w:val="21"/>
        </w:rPr>
      </w:pPr>
      <w:r>
        <w:rPr>
          <w:rFonts w:hint="eastAsia" w:ascii="宋体" w:hAnsi="宋体" w:eastAsia="宋体" w:cs="Times New Roman"/>
          <w:b/>
          <w:bCs/>
          <w:sz w:val="24"/>
          <w:szCs w:val="21"/>
        </w:rPr>
        <w:t>d.结合力</w:t>
      </w:r>
    </w:p>
    <w:p>
      <w:pPr>
        <w:spacing w:line="312" w:lineRule="auto"/>
        <w:ind w:firstLine="480" w:firstLineChars="200"/>
        <w:rPr>
          <w:rFonts w:ascii="宋体" w:hAnsi="宋体" w:eastAsia="宋体" w:cs="Times New Roman"/>
          <w:sz w:val="24"/>
          <w:szCs w:val="21"/>
        </w:rPr>
      </w:pPr>
      <w:r>
        <w:rPr>
          <w:rFonts w:ascii="Times New Roman" w:hAnsi="Times New Roman" w:eastAsia="宋体" w:cs="Times New Roman"/>
          <w:sz w:val="24"/>
          <w:szCs w:val="21"/>
        </w:rPr>
        <w:t>涂层与基体结合状态是钛阳极涂层质量的重要参数，本参数是根据公司企标制定的，完全满足钛阳级使用状况。在试样上截取20mm×100mm的试片，涂层朝外，绕在Ф20mm金属棒上，弯曲180度，涂层应无剥离</w:t>
      </w:r>
      <w:r>
        <w:rPr>
          <w:rFonts w:ascii="宋体" w:hAnsi="宋体" w:eastAsia="宋体" w:cs="Times New Roman"/>
          <w:sz w:val="24"/>
          <w:szCs w:val="21"/>
        </w:rPr>
        <w:t>。</w:t>
      </w:r>
    </w:p>
    <w:p>
      <w:pPr>
        <w:spacing w:line="400" w:lineRule="exact"/>
        <w:rPr>
          <w:rFonts w:ascii="宋体" w:hAnsi="宋体" w:eastAsia="宋体" w:cs="Times New Roman"/>
          <w:b/>
          <w:bCs/>
          <w:sz w:val="24"/>
          <w:szCs w:val="24"/>
        </w:rPr>
      </w:pPr>
      <w:r>
        <w:rPr>
          <w:rFonts w:hint="eastAsia" w:ascii="宋体" w:hAnsi="宋体" w:eastAsia="宋体" w:cs="Times New Roman"/>
          <w:b/>
          <w:bCs/>
          <w:sz w:val="24"/>
          <w:szCs w:val="24"/>
        </w:rPr>
        <w:t>e.强化寿命</w:t>
      </w:r>
    </w:p>
    <w:p>
      <w:pPr>
        <w:spacing w:line="312"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阴极保护用钛阳极产品的寿命是钛阳极的重要参数，在阴极保护工程中是必不可少的指标。强化寿命是指阳极试片在规定的电解液中，在规定电流密度下进行电解反应的时间。主要参考了NACE TM0108-2012和NACE TM0294-2007方法标准。</w:t>
      </w:r>
    </w:p>
    <w:p>
      <w:pPr>
        <w:spacing w:line="400" w:lineRule="exact"/>
        <w:rPr>
          <w:rFonts w:ascii="宋体" w:hAnsi="宋体" w:eastAsia="宋体" w:cs="Times New Roman"/>
          <w:b/>
          <w:bCs/>
          <w:sz w:val="24"/>
          <w:szCs w:val="21"/>
        </w:rPr>
      </w:pPr>
      <w:r>
        <w:rPr>
          <w:rFonts w:hint="eastAsia" w:ascii="宋体" w:hAnsi="宋体" w:eastAsia="宋体" w:cs="Times New Roman"/>
          <w:b/>
          <w:bCs/>
          <w:sz w:val="24"/>
          <w:szCs w:val="21"/>
        </w:rPr>
        <w:t>（2）主要的试验方法</w:t>
      </w:r>
    </w:p>
    <w:p>
      <w:pPr>
        <w:spacing w:line="312"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本标准详细规定了阴极保护用钛阳极产品的寿命检验方法。因目前美国国家腐蚀工程协会对阴极保护用钛阳极的测试方法制定了相关标准，本标准主要参照NACE TM0108-2012和NACE TM0294-2007，并进行了更为详细深入的实验测试，特制定了附录A和附录B。</w:t>
      </w:r>
    </w:p>
    <w:p>
      <w:pPr>
        <w:spacing w:line="312" w:lineRule="auto"/>
        <w:rPr>
          <w:rFonts w:ascii="Times New Roman" w:hAnsi="宋体" w:eastAsia="宋体" w:cs="Times New Roman"/>
          <w:b/>
          <w:bCs/>
          <w:sz w:val="24"/>
          <w:szCs w:val="24"/>
        </w:rPr>
      </w:pPr>
      <w:r>
        <w:rPr>
          <w:rFonts w:hint="eastAsia" w:ascii="Times New Roman" w:hAnsi="宋体" w:eastAsia="宋体" w:cs="Times New Roman"/>
          <w:b/>
          <w:bCs/>
          <w:sz w:val="24"/>
          <w:szCs w:val="24"/>
        </w:rPr>
        <w:t>（3）检验规则</w:t>
      </w:r>
    </w:p>
    <w:p>
      <w:pPr>
        <w:spacing w:line="312"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通过与用户充分的沟通，收集相关的用户要求，最终制定了检验规则。检验项目有尺寸、阳极表面质量、结合力、强化寿命等，其中强化寿命检验数据出厂时暂无，如用户需要可在试验结束后提供。</w:t>
      </w:r>
    </w:p>
    <w:p>
      <w:pPr>
        <w:widowControl/>
        <w:autoSpaceDE w:val="0"/>
        <w:autoSpaceDN w:val="0"/>
        <w:spacing w:line="400" w:lineRule="exact"/>
        <w:rPr>
          <w:rFonts w:ascii="宋体" w:hAnsi="宋体" w:eastAsia="宋体" w:cs="Times New Roman"/>
          <w:b/>
          <w:bCs/>
          <w:kern w:val="0"/>
          <w:sz w:val="24"/>
          <w:szCs w:val="21"/>
        </w:rPr>
      </w:pPr>
      <w:r>
        <w:rPr>
          <w:rFonts w:hint="eastAsia" w:ascii="宋体" w:hAnsi="宋体" w:eastAsia="宋体" w:cs="Times New Roman"/>
          <w:b/>
          <w:bCs/>
          <w:kern w:val="0"/>
          <w:sz w:val="24"/>
          <w:szCs w:val="20"/>
        </w:rPr>
        <w:t>（4）</w:t>
      </w:r>
      <w:r>
        <w:rPr>
          <w:rFonts w:hint="eastAsia" w:ascii="宋体" w:hAnsi="宋体" w:eastAsia="宋体" w:cs="Times New Roman"/>
          <w:b/>
          <w:bCs/>
          <w:kern w:val="0"/>
          <w:sz w:val="24"/>
          <w:szCs w:val="21"/>
        </w:rPr>
        <w:t>标志、包装、运输、贮存、质量证明书、合同</w:t>
      </w:r>
    </w:p>
    <w:p>
      <w:pPr>
        <w:spacing w:line="312"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根据供需双方的要求，在标志、包装、运输、贮存、质量证明书、合同几个方面都做出了相关规定。</w:t>
      </w:r>
    </w:p>
    <w:p>
      <w:pPr>
        <w:widowControl/>
        <w:autoSpaceDE w:val="0"/>
        <w:autoSpaceDN w:val="0"/>
        <w:spacing w:line="400" w:lineRule="exact"/>
        <w:rPr>
          <w:rFonts w:ascii="宋体" w:hAnsi="Times New Roman" w:eastAsia="宋体" w:cs="Times New Roman"/>
          <w:kern w:val="0"/>
          <w:szCs w:val="20"/>
        </w:rPr>
      </w:pPr>
      <w:r>
        <w:rPr>
          <w:rFonts w:hint="eastAsia" w:ascii="宋体" w:hAnsi="Times New Roman" w:eastAsia="宋体" w:cs="Times New Roman"/>
          <w:kern w:val="0"/>
          <w:szCs w:val="20"/>
        </w:rPr>
        <w:t xml:space="preserve"> </w:t>
      </w:r>
      <w:r>
        <w:rPr>
          <w:rFonts w:hint="eastAsia" w:ascii="宋体" w:hAnsi="宋体" w:eastAsia="宋体" w:cs="Times New Roman"/>
          <w:b/>
          <w:bCs/>
          <w:kern w:val="0"/>
          <w:sz w:val="24"/>
          <w:szCs w:val="21"/>
        </w:rPr>
        <w:t>（5）主要试验（或验证）的分析、综述报告</w:t>
      </w:r>
    </w:p>
    <w:p>
      <w:pPr>
        <w:spacing w:line="312"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现将我公司生产的土壤及淡水环境阴极保护用钛阳极产品的指标验证情况陈述如下：</w:t>
      </w:r>
    </w:p>
    <w:p>
      <w:pPr>
        <w:spacing w:before="156" w:beforeLines="50" w:after="156" w:afterLines="50" w:line="400" w:lineRule="exact"/>
        <w:rPr>
          <w:rFonts w:ascii="宋体" w:hAnsi="宋体" w:eastAsia="宋体" w:cs="Times New Roman"/>
          <w:b/>
          <w:bCs/>
          <w:sz w:val="24"/>
          <w:szCs w:val="21"/>
        </w:rPr>
      </w:pPr>
      <w:r>
        <w:rPr>
          <w:rFonts w:hint="eastAsia" w:ascii="宋体" w:hAnsi="宋体" w:eastAsia="宋体" w:cs="Times New Roman"/>
          <w:b/>
          <w:bCs/>
          <w:sz w:val="24"/>
          <w:szCs w:val="21"/>
        </w:rPr>
        <w:t>a. 强化寿命</w:t>
      </w:r>
    </w:p>
    <w:p>
      <w:pPr>
        <w:spacing w:line="312"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标准中对强化寿命要求为：</w:t>
      </w:r>
      <w:r>
        <w:rPr>
          <w:rFonts w:ascii="宋体" w:hAnsi="宋体" w:eastAsia="宋体" w:cs="Times New Roman"/>
          <w:sz w:val="24"/>
          <w:szCs w:val="21"/>
        </w:rPr>
        <w:t>在温度为30±5℃，电流密度为10000A/m</w:t>
      </w:r>
      <w:r>
        <w:rPr>
          <w:rFonts w:ascii="宋体" w:hAnsi="宋体" w:eastAsia="宋体" w:cs="Times New Roman"/>
          <w:sz w:val="24"/>
          <w:szCs w:val="21"/>
          <w:vertAlign w:val="superscript"/>
        </w:rPr>
        <w:t>2</w:t>
      </w:r>
      <w:r>
        <w:rPr>
          <w:rFonts w:ascii="宋体" w:hAnsi="宋体" w:eastAsia="宋体" w:cs="Times New Roman"/>
          <w:sz w:val="24"/>
          <w:szCs w:val="21"/>
        </w:rPr>
        <w:t>，1mol/L的H</w:t>
      </w:r>
      <w:r>
        <w:rPr>
          <w:rFonts w:ascii="宋体" w:hAnsi="宋体" w:eastAsia="宋体" w:cs="Times New Roman"/>
          <w:sz w:val="24"/>
          <w:szCs w:val="21"/>
          <w:vertAlign w:val="subscript"/>
        </w:rPr>
        <w:t>2</w:t>
      </w:r>
      <w:r>
        <w:rPr>
          <w:rFonts w:ascii="宋体" w:hAnsi="宋体" w:eastAsia="宋体" w:cs="Times New Roman"/>
          <w:sz w:val="24"/>
          <w:szCs w:val="21"/>
        </w:rPr>
        <w:t>SO</w:t>
      </w:r>
      <w:r>
        <w:rPr>
          <w:rFonts w:ascii="宋体" w:hAnsi="宋体" w:eastAsia="宋体" w:cs="Times New Roman"/>
          <w:sz w:val="24"/>
          <w:szCs w:val="21"/>
          <w:vertAlign w:val="subscript"/>
        </w:rPr>
        <w:t>4</w:t>
      </w:r>
      <w:r>
        <w:rPr>
          <w:rFonts w:ascii="宋体" w:hAnsi="宋体" w:eastAsia="宋体" w:cs="Times New Roman"/>
          <w:sz w:val="24"/>
          <w:szCs w:val="21"/>
        </w:rPr>
        <w:t>溶液中</w:t>
      </w:r>
      <w:r>
        <w:rPr>
          <w:rFonts w:hint="eastAsia" w:ascii="宋体" w:hAnsi="宋体" w:eastAsia="宋体" w:cs="Times New Roman"/>
          <w:sz w:val="24"/>
          <w:szCs w:val="21"/>
        </w:rPr>
        <w:t>进行，</w:t>
      </w:r>
      <w:r>
        <w:rPr>
          <w:rFonts w:ascii="宋体" w:hAnsi="宋体" w:eastAsia="宋体" w:cs="Times New Roman"/>
          <w:sz w:val="24"/>
          <w:szCs w:val="21"/>
        </w:rPr>
        <w:t>强化寿命测试完成时，阳极表面通过的总电荷密度达到或超过阳极实际使用寿命期限内阳极表面通过的总电荷密度。</w:t>
      </w:r>
    </w:p>
    <w:p>
      <w:pPr>
        <w:jc w:val="center"/>
        <w:rPr>
          <w:rFonts w:ascii="Times New Roman" w:hAnsi="Times New Roman" w:eastAsia="宋体" w:cs="Times New Roman"/>
          <w:sz w:val="24"/>
          <w:szCs w:val="28"/>
          <w:vertAlign w:val="subscript"/>
        </w:rPr>
      </w:pPr>
      <w:r>
        <w:rPr>
          <w:rFonts w:ascii="Times New Roman" w:hAnsi="Times New Roman" w:eastAsia="宋体" w:cs="Times New Roman"/>
          <w:sz w:val="24"/>
          <w:szCs w:val="28"/>
        </w:rPr>
        <w:t>j</w:t>
      </w:r>
      <w:r>
        <w:rPr>
          <w:rFonts w:ascii="Times New Roman" w:hAnsi="Times New Roman" w:eastAsia="宋体" w:cs="Times New Roman"/>
          <w:sz w:val="24"/>
          <w:szCs w:val="28"/>
          <w:vertAlign w:val="subscript"/>
        </w:rPr>
        <w:t>a</w:t>
      </w:r>
      <w:r>
        <w:rPr>
          <w:rFonts w:ascii="Times New Roman" w:hAnsi="Times New Roman" w:eastAsia="宋体" w:cs="Times New Roman"/>
          <w:sz w:val="24"/>
          <w:szCs w:val="28"/>
        </w:rPr>
        <w:t>t</w:t>
      </w:r>
      <w:r>
        <w:rPr>
          <w:rFonts w:ascii="Times New Roman" w:hAnsi="Times New Roman" w:eastAsia="宋体" w:cs="Times New Roman"/>
          <w:sz w:val="24"/>
          <w:szCs w:val="28"/>
          <w:vertAlign w:val="subscript"/>
        </w:rPr>
        <w:t>a</w:t>
      </w:r>
      <w:r>
        <w:rPr>
          <w:rFonts w:ascii="Times New Roman" w:hAnsi="Times New Roman" w:eastAsia="宋体" w:cs="Times New Roman"/>
          <w:sz w:val="24"/>
          <w:szCs w:val="28"/>
        </w:rPr>
        <w:t>≥j</w:t>
      </w:r>
      <w:r>
        <w:rPr>
          <w:rFonts w:ascii="Times New Roman" w:hAnsi="Times New Roman" w:eastAsia="宋体" w:cs="Times New Roman"/>
          <w:sz w:val="24"/>
          <w:szCs w:val="28"/>
          <w:vertAlign w:val="subscript"/>
        </w:rPr>
        <w:t>s</w:t>
      </w:r>
      <w:r>
        <w:rPr>
          <w:rFonts w:ascii="Times New Roman" w:hAnsi="Times New Roman" w:eastAsia="宋体" w:cs="Times New Roman"/>
          <w:sz w:val="24"/>
          <w:szCs w:val="28"/>
        </w:rPr>
        <w:t>t</w:t>
      </w:r>
      <w:r>
        <w:rPr>
          <w:rFonts w:ascii="Times New Roman" w:hAnsi="Times New Roman" w:eastAsia="宋体" w:cs="Times New Roman"/>
          <w:sz w:val="24"/>
          <w:szCs w:val="28"/>
          <w:vertAlign w:val="subscript"/>
        </w:rPr>
        <w:t>s</w:t>
      </w:r>
    </w:p>
    <w:p>
      <w:pPr>
        <w:rPr>
          <w:rFonts w:ascii="Times New Roman" w:hAnsi="Times New Roman" w:eastAsia="宋体" w:cs="Times New Roman"/>
          <w:sz w:val="24"/>
          <w:szCs w:val="18"/>
        </w:rPr>
      </w:pPr>
      <w:r>
        <w:rPr>
          <w:rFonts w:hint="eastAsia" w:ascii="Times New Roman" w:hAnsi="Times New Roman" w:eastAsia="宋体" w:cs="Times New Roman"/>
          <w:sz w:val="24"/>
          <w:szCs w:val="18"/>
        </w:rPr>
        <w:t>式中：</w:t>
      </w:r>
    </w:p>
    <w:p>
      <w:pPr>
        <w:widowControl/>
        <w:autoSpaceDE w:val="0"/>
        <w:autoSpaceDN w:val="0"/>
        <w:jc w:val="left"/>
        <w:rPr>
          <w:rFonts w:ascii="宋体" w:hAnsi="宋体" w:eastAsia="宋体" w:cs="Times New Roman"/>
          <w:kern w:val="0"/>
          <w:szCs w:val="21"/>
        </w:rPr>
      </w:pPr>
      <w:r>
        <w:rPr>
          <w:rFonts w:hint="eastAsia" w:ascii="宋体" w:hAnsi="宋体" w:eastAsia="宋体" w:cs="Times New Roman"/>
          <w:color w:val="FF0000"/>
          <w:kern w:val="0"/>
          <w:sz w:val="24"/>
          <w:szCs w:val="20"/>
        </w:rPr>
        <w:t xml:space="preserve"> </w:t>
      </w:r>
      <w:r>
        <w:rPr>
          <w:rFonts w:ascii="宋体" w:hAnsi="宋体" w:eastAsia="宋体" w:cs="Times New Roman"/>
          <w:kern w:val="0"/>
          <w:szCs w:val="21"/>
        </w:rPr>
        <w:t>j</w:t>
      </w:r>
      <w:r>
        <w:rPr>
          <w:rFonts w:ascii="宋体" w:hAnsi="宋体" w:eastAsia="宋体" w:cs="Times New Roman"/>
          <w:kern w:val="0"/>
          <w:szCs w:val="21"/>
          <w:vertAlign w:val="subscript"/>
        </w:rPr>
        <w:t>a</w:t>
      </w:r>
      <w:r>
        <w:rPr>
          <w:rFonts w:hint="eastAsia" w:ascii="宋体" w:hAnsi="宋体" w:eastAsia="宋体" w:cs="Times New Roman"/>
          <w:kern w:val="0"/>
          <w:szCs w:val="21"/>
        </w:rPr>
        <w:t>-</w:t>
      </w:r>
      <w:r>
        <w:rPr>
          <w:rFonts w:ascii="宋体" w:hAnsi="宋体" w:eastAsia="宋体" w:cs="Times New Roman"/>
          <w:kern w:val="0"/>
          <w:szCs w:val="21"/>
        </w:rPr>
        <w:t>强化寿命测试中阳极表面的电流密度，单位为A/m</w:t>
      </w:r>
      <w:r>
        <w:rPr>
          <w:rFonts w:ascii="宋体" w:hAnsi="宋体" w:eastAsia="宋体" w:cs="Times New Roman"/>
          <w:kern w:val="0"/>
          <w:szCs w:val="21"/>
          <w:vertAlign w:val="superscript"/>
        </w:rPr>
        <w:t>2</w:t>
      </w:r>
      <w:r>
        <w:rPr>
          <w:rFonts w:ascii="宋体" w:hAnsi="宋体" w:eastAsia="宋体" w:cs="Times New Roman"/>
          <w:kern w:val="0"/>
          <w:szCs w:val="21"/>
        </w:rPr>
        <w:t>；</w:t>
      </w:r>
    </w:p>
    <w:p>
      <w:pPr>
        <w:jc w:val="left"/>
        <w:rPr>
          <w:rFonts w:ascii="宋体" w:hAnsi="宋体" w:eastAsia="宋体" w:cs="Times New Roman"/>
          <w:szCs w:val="21"/>
        </w:rPr>
      </w:pPr>
      <w:r>
        <w:rPr>
          <w:rFonts w:hint="eastAsia" w:ascii="宋体" w:hAnsi="宋体" w:eastAsia="宋体" w:cs="Times New Roman"/>
          <w:kern w:val="0"/>
          <w:szCs w:val="21"/>
        </w:rPr>
        <w:t xml:space="preserve"> </w:t>
      </w:r>
      <w:r>
        <w:rPr>
          <w:rFonts w:ascii="宋体" w:hAnsi="宋体" w:eastAsia="宋体" w:cs="Times New Roman"/>
          <w:szCs w:val="21"/>
        </w:rPr>
        <w:t>j</w:t>
      </w:r>
      <w:r>
        <w:rPr>
          <w:rFonts w:ascii="宋体" w:hAnsi="宋体" w:eastAsia="宋体" w:cs="Times New Roman"/>
          <w:szCs w:val="21"/>
          <w:vertAlign w:val="subscript"/>
        </w:rPr>
        <w:t>s</w:t>
      </w:r>
      <w:r>
        <w:rPr>
          <w:rFonts w:hint="eastAsia" w:ascii="宋体" w:hAnsi="宋体" w:eastAsia="宋体" w:cs="Times New Roman"/>
          <w:szCs w:val="21"/>
        </w:rPr>
        <w:t>-</w:t>
      </w:r>
      <w:r>
        <w:rPr>
          <w:rFonts w:ascii="宋体" w:hAnsi="宋体" w:eastAsia="宋体" w:cs="Times New Roman"/>
          <w:szCs w:val="21"/>
        </w:rPr>
        <w:t>实际使用过程中阳极表面的电流密度，单位为A/m</w:t>
      </w:r>
      <w:r>
        <w:rPr>
          <w:rFonts w:ascii="宋体" w:hAnsi="宋体" w:eastAsia="宋体" w:cs="Times New Roman"/>
          <w:szCs w:val="21"/>
          <w:vertAlign w:val="superscript"/>
        </w:rPr>
        <w:t>2</w:t>
      </w:r>
      <w:r>
        <w:rPr>
          <w:rFonts w:ascii="宋体" w:hAnsi="宋体" w:eastAsia="宋体" w:cs="Times New Roman"/>
          <w:szCs w:val="21"/>
        </w:rPr>
        <w:t>；</w:t>
      </w:r>
    </w:p>
    <w:p>
      <w:pPr>
        <w:jc w:val="left"/>
        <w:rPr>
          <w:rFonts w:ascii="宋体" w:hAnsi="宋体" w:eastAsia="宋体" w:cs="Times New Roman"/>
          <w:szCs w:val="21"/>
        </w:rPr>
      </w:pPr>
      <w:r>
        <w:rPr>
          <w:rFonts w:hint="eastAsia" w:ascii="宋体" w:hAnsi="宋体" w:eastAsia="宋体" w:cs="Times New Roman"/>
          <w:kern w:val="0"/>
          <w:szCs w:val="21"/>
        </w:rPr>
        <w:t xml:space="preserve"> </w:t>
      </w:r>
      <w:r>
        <w:rPr>
          <w:rFonts w:ascii="宋体" w:hAnsi="宋体" w:eastAsia="宋体" w:cs="Times New Roman"/>
          <w:szCs w:val="21"/>
        </w:rPr>
        <w:t>t</w:t>
      </w:r>
      <w:r>
        <w:rPr>
          <w:rFonts w:ascii="宋体" w:hAnsi="宋体" w:eastAsia="宋体" w:cs="Times New Roman"/>
          <w:szCs w:val="21"/>
          <w:vertAlign w:val="subscript"/>
        </w:rPr>
        <w:t>a</w:t>
      </w:r>
      <w:r>
        <w:rPr>
          <w:rFonts w:hint="eastAsia" w:ascii="宋体" w:hAnsi="宋体" w:eastAsia="宋体" w:cs="Times New Roman"/>
          <w:szCs w:val="21"/>
        </w:rPr>
        <w:t>-</w:t>
      </w:r>
      <w:r>
        <w:rPr>
          <w:rFonts w:ascii="宋体" w:hAnsi="宋体" w:eastAsia="宋体" w:cs="Times New Roman"/>
          <w:szCs w:val="21"/>
        </w:rPr>
        <w:t>强化寿命，单位为小时（h）；</w:t>
      </w:r>
    </w:p>
    <w:p>
      <w:pPr>
        <w:jc w:val="left"/>
        <w:rPr>
          <w:rFonts w:ascii="宋体" w:hAnsi="宋体" w:eastAsia="宋体" w:cs="Times New Roman"/>
          <w:szCs w:val="21"/>
        </w:rPr>
      </w:pPr>
      <w:r>
        <w:rPr>
          <w:rFonts w:hint="eastAsia" w:ascii="宋体" w:hAnsi="宋体" w:eastAsia="宋体" w:cs="Times New Roman"/>
          <w:szCs w:val="21"/>
        </w:rPr>
        <w:t xml:space="preserve"> </w:t>
      </w:r>
      <w:r>
        <w:rPr>
          <w:rFonts w:ascii="宋体" w:hAnsi="宋体" w:eastAsia="宋体" w:cs="Times New Roman"/>
          <w:szCs w:val="21"/>
        </w:rPr>
        <w:t>t</w:t>
      </w:r>
      <w:r>
        <w:rPr>
          <w:rFonts w:ascii="宋体" w:hAnsi="宋体" w:eastAsia="宋体" w:cs="Times New Roman"/>
          <w:szCs w:val="21"/>
          <w:vertAlign w:val="subscript"/>
        </w:rPr>
        <w:t>s</w:t>
      </w:r>
      <w:r>
        <w:rPr>
          <w:rFonts w:hint="eastAsia" w:ascii="宋体" w:hAnsi="宋体" w:eastAsia="宋体" w:cs="Times New Roman"/>
          <w:szCs w:val="21"/>
        </w:rPr>
        <w:t>-</w:t>
      </w:r>
      <w:r>
        <w:rPr>
          <w:rFonts w:ascii="宋体" w:hAnsi="宋体" w:eastAsia="宋体" w:cs="Times New Roman"/>
          <w:szCs w:val="21"/>
        </w:rPr>
        <w:t>实际使用寿命，单位为小时（h）。</w:t>
      </w:r>
    </w:p>
    <w:p>
      <w:pPr>
        <w:spacing w:line="312"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我公司钛带阳极产品强化寿命情况见表1。</w:t>
      </w:r>
    </w:p>
    <w:p>
      <w:pPr>
        <w:spacing w:before="156" w:beforeLines="50" w:after="156" w:afterLines="50"/>
        <w:jc w:val="center"/>
        <w:rPr>
          <w:rFonts w:ascii="宋体" w:hAnsi="宋体" w:eastAsia="宋体" w:cs="Times New Roman"/>
          <w:szCs w:val="21"/>
        </w:rPr>
      </w:pPr>
      <w:r>
        <w:rPr>
          <w:rFonts w:hint="eastAsia" w:ascii="宋体" w:hAnsi="宋体" w:eastAsia="宋体" w:cs="Times New Roman"/>
          <w:szCs w:val="21"/>
        </w:rPr>
        <w:t>表1 产品强化寿命</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18"/>
        <w:gridCol w:w="1218"/>
        <w:gridCol w:w="1218"/>
        <w:gridCol w:w="1235"/>
        <w:gridCol w:w="1219"/>
        <w:gridCol w:w="1219"/>
        <w:gridCol w:w="12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218" w:type="dxa"/>
            <w:shd w:val="clear" w:color="auto" w:fill="auto"/>
            <w:vAlign w:val="center"/>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试样编号</w:t>
            </w:r>
          </w:p>
        </w:tc>
        <w:tc>
          <w:tcPr>
            <w:tcW w:w="1218"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vertAlign w:val="subscript"/>
              </w:rPr>
            </w:pPr>
            <w:r>
              <w:rPr>
                <w:rFonts w:ascii="Times New Roman" w:hAnsi="Times New Roman" w:eastAsia="宋体" w:cs="Times New Roman"/>
                <w:szCs w:val="21"/>
              </w:rPr>
              <w:t>j</w:t>
            </w:r>
            <w:r>
              <w:rPr>
                <w:rFonts w:ascii="Times New Roman" w:hAnsi="Times New Roman" w:eastAsia="宋体" w:cs="Times New Roman"/>
                <w:szCs w:val="21"/>
                <w:vertAlign w:val="subscript"/>
              </w:rPr>
              <w:t>a</w:t>
            </w:r>
            <w:r>
              <w:rPr>
                <w:rFonts w:hint="eastAsia" w:ascii="Times New Roman" w:hAnsi="Times New Roman" w:eastAsia="宋体" w:cs="Times New Roman"/>
                <w:szCs w:val="21"/>
              </w:rPr>
              <w:t>（</w:t>
            </w:r>
            <w:r>
              <w:rPr>
                <w:rFonts w:ascii="Times New Roman" w:hAnsi="Times New Roman" w:eastAsia="宋体" w:cs="Times New Roman"/>
                <w:szCs w:val="21"/>
              </w:rPr>
              <w:t>A/m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w:t>
            </w:r>
          </w:p>
        </w:tc>
        <w:tc>
          <w:tcPr>
            <w:tcW w:w="1218"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t</w:t>
            </w:r>
            <w:r>
              <w:rPr>
                <w:rFonts w:ascii="Times New Roman" w:hAnsi="Times New Roman" w:eastAsia="宋体" w:cs="Times New Roman"/>
                <w:szCs w:val="21"/>
                <w:vertAlign w:val="subscript"/>
              </w:rPr>
              <w:t>a</w:t>
            </w:r>
            <w:r>
              <w:rPr>
                <w:rFonts w:ascii="Times New Roman" w:hAnsi="Times New Roman" w:eastAsia="宋体" w:cs="Times New Roman"/>
                <w:szCs w:val="21"/>
              </w:rPr>
              <w:t xml:space="preserve"> </w:t>
            </w:r>
            <w:r>
              <w:rPr>
                <w:rFonts w:hint="eastAsia" w:ascii="Times New Roman" w:hAnsi="Times New Roman" w:eastAsia="宋体" w:cs="Times New Roman"/>
                <w:szCs w:val="21"/>
              </w:rPr>
              <w:t>（h）</w:t>
            </w:r>
          </w:p>
        </w:tc>
        <w:tc>
          <w:tcPr>
            <w:tcW w:w="1218"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j</w:t>
            </w:r>
            <w:r>
              <w:rPr>
                <w:rFonts w:ascii="Times New Roman" w:hAnsi="Times New Roman" w:eastAsia="宋体" w:cs="Times New Roman"/>
                <w:szCs w:val="21"/>
                <w:vertAlign w:val="subscript"/>
              </w:rPr>
              <w:t>a</w:t>
            </w:r>
            <w:r>
              <w:rPr>
                <w:rFonts w:ascii="Times New Roman" w:hAnsi="Times New Roman" w:eastAsia="宋体" w:cs="Times New Roman"/>
                <w:szCs w:val="21"/>
              </w:rPr>
              <w:t>t</w:t>
            </w:r>
            <w:r>
              <w:rPr>
                <w:rFonts w:ascii="Times New Roman" w:hAnsi="Times New Roman" w:eastAsia="宋体" w:cs="Times New Roman"/>
                <w:szCs w:val="21"/>
                <w:vertAlign w:val="subscript"/>
              </w:rPr>
              <w:t>a</w:t>
            </w:r>
            <w:r>
              <w:rPr>
                <w:rFonts w:hint="eastAsia" w:ascii="Times New Roman" w:hAnsi="Times New Roman" w:eastAsia="宋体" w:cs="Times New Roman"/>
                <w:szCs w:val="21"/>
              </w:rPr>
              <w:t>（</w:t>
            </w:r>
            <w:r>
              <w:rPr>
                <w:rFonts w:ascii="Times New Roman" w:hAnsi="Times New Roman" w:eastAsia="宋体" w:cs="Times New Roman"/>
                <w:szCs w:val="21"/>
              </w:rPr>
              <w:t>A·h/m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w:t>
            </w:r>
          </w:p>
        </w:tc>
        <w:tc>
          <w:tcPr>
            <w:tcW w:w="1219"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j</w:t>
            </w:r>
            <w:r>
              <w:rPr>
                <w:rFonts w:ascii="Times New Roman" w:hAnsi="Times New Roman" w:eastAsia="宋体" w:cs="Times New Roman"/>
                <w:szCs w:val="21"/>
                <w:vertAlign w:val="subscript"/>
              </w:rPr>
              <w:t>s</w:t>
            </w:r>
            <w:r>
              <w:rPr>
                <w:rFonts w:ascii="Times New Roman" w:hAnsi="Times New Roman" w:eastAsia="宋体" w:cs="Times New Roman"/>
                <w:szCs w:val="21"/>
              </w:rPr>
              <w:t xml:space="preserve"> </w:t>
            </w:r>
            <w:r>
              <w:rPr>
                <w:rFonts w:hint="eastAsia" w:ascii="Times New Roman" w:hAnsi="Times New Roman" w:eastAsia="宋体" w:cs="Times New Roman"/>
                <w:szCs w:val="21"/>
              </w:rPr>
              <w:t>（</w:t>
            </w:r>
            <w:r>
              <w:rPr>
                <w:rFonts w:ascii="Times New Roman" w:hAnsi="Times New Roman" w:eastAsia="宋体" w:cs="Times New Roman"/>
                <w:szCs w:val="21"/>
              </w:rPr>
              <w:t>A/m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w:t>
            </w:r>
          </w:p>
        </w:tc>
        <w:tc>
          <w:tcPr>
            <w:tcW w:w="1219"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vertAlign w:val="subscript"/>
              </w:rPr>
            </w:pPr>
            <w:r>
              <w:rPr>
                <w:rFonts w:ascii="Times New Roman" w:hAnsi="Times New Roman" w:eastAsia="宋体" w:cs="Times New Roman"/>
                <w:szCs w:val="21"/>
              </w:rPr>
              <w:t>t</w:t>
            </w:r>
            <w:r>
              <w:rPr>
                <w:rFonts w:ascii="Times New Roman" w:hAnsi="Times New Roman" w:eastAsia="宋体" w:cs="Times New Roman"/>
                <w:szCs w:val="21"/>
                <w:vertAlign w:val="subscript"/>
              </w:rPr>
              <w:t>s</w:t>
            </w:r>
            <w:r>
              <w:rPr>
                <w:rFonts w:hint="eastAsia" w:ascii="Times New Roman" w:hAnsi="Times New Roman" w:eastAsia="宋体" w:cs="Times New Roman"/>
                <w:szCs w:val="21"/>
              </w:rPr>
              <w:t>（h）</w:t>
            </w:r>
          </w:p>
        </w:tc>
        <w:tc>
          <w:tcPr>
            <w:tcW w:w="1219"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j</w:t>
            </w:r>
            <w:r>
              <w:rPr>
                <w:rFonts w:ascii="Times New Roman" w:hAnsi="Times New Roman" w:eastAsia="宋体" w:cs="Times New Roman"/>
                <w:szCs w:val="21"/>
                <w:vertAlign w:val="subscript"/>
              </w:rPr>
              <w:t>s</w:t>
            </w:r>
            <w:r>
              <w:rPr>
                <w:rFonts w:ascii="Times New Roman" w:hAnsi="Times New Roman" w:eastAsia="宋体" w:cs="Times New Roman"/>
                <w:szCs w:val="21"/>
              </w:rPr>
              <w:t>t</w:t>
            </w:r>
            <w:r>
              <w:rPr>
                <w:rFonts w:ascii="Times New Roman" w:hAnsi="Times New Roman" w:eastAsia="宋体" w:cs="Times New Roman"/>
                <w:szCs w:val="21"/>
                <w:vertAlign w:val="subscript"/>
              </w:rPr>
              <w:t>s</w:t>
            </w:r>
            <w:r>
              <w:rPr>
                <w:rFonts w:ascii="Times New Roman" w:hAnsi="Times New Roman" w:eastAsia="宋体" w:cs="Times New Roman"/>
                <w:szCs w:val="21"/>
              </w:rPr>
              <w:t xml:space="preserve"> </w:t>
            </w:r>
            <w:r>
              <w:rPr>
                <w:rFonts w:hint="eastAsia" w:ascii="Times New Roman" w:hAnsi="Times New Roman" w:eastAsia="宋体" w:cs="Times New Roman"/>
                <w:szCs w:val="21"/>
              </w:rPr>
              <w:t>（</w:t>
            </w:r>
            <w:r>
              <w:rPr>
                <w:rFonts w:ascii="Times New Roman" w:hAnsi="Times New Roman" w:eastAsia="宋体" w:cs="Times New Roman"/>
                <w:szCs w:val="21"/>
              </w:rPr>
              <w:t>A·h/m</w:t>
            </w:r>
            <w:r>
              <w:rPr>
                <w:rFonts w:ascii="Times New Roman" w:hAnsi="Times New Roman" w:eastAsia="宋体" w:cs="Times New Roman"/>
                <w:szCs w:val="21"/>
                <w:vertAlign w:val="superscript"/>
              </w:rPr>
              <w:t>2</w:t>
            </w:r>
            <w:r>
              <w:rPr>
                <w:rFonts w:hint="eastAsia" w:ascii="Times New Roman" w:hAnsi="Times New Roman" w:eastAsia="宋体" w:cs="Times New Roman"/>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18"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2020-01</w:t>
            </w:r>
          </w:p>
        </w:tc>
        <w:tc>
          <w:tcPr>
            <w:tcW w:w="1218"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10000</w:t>
            </w:r>
          </w:p>
        </w:tc>
        <w:tc>
          <w:tcPr>
            <w:tcW w:w="1218"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80</w:t>
            </w:r>
          </w:p>
        </w:tc>
        <w:tc>
          <w:tcPr>
            <w:tcW w:w="1218"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800000</w:t>
            </w:r>
          </w:p>
        </w:tc>
        <w:tc>
          <w:tcPr>
            <w:tcW w:w="1219"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1.34</w:t>
            </w:r>
          </w:p>
        </w:tc>
        <w:tc>
          <w:tcPr>
            <w:tcW w:w="1219"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438000</w:t>
            </w:r>
          </w:p>
        </w:tc>
        <w:tc>
          <w:tcPr>
            <w:tcW w:w="1219"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586920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18"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2020-02</w:t>
            </w:r>
          </w:p>
        </w:tc>
        <w:tc>
          <w:tcPr>
            <w:tcW w:w="1218"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10000</w:t>
            </w:r>
          </w:p>
        </w:tc>
        <w:tc>
          <w:tcPr>
            <w:tcW w:w="1218"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82</w:t>
            </w:r>
          </w:p>
        </w:tc>
        <w:tc>
          <w:tcPr>
            <w:tcW w:w="1218"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820000</w:t>
            </w:r>
          </w:p>
        </w:tc>
        <w:tc>
          <w:tcPr>
            <w:tcW w:w="1219"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1.34</w:t>
            </w:r>
          </w:p>
        </w:tc>
        <w:tc>
          <w:tcPr>
            <w:tcW w:w="1219"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438000</w:t>
            </w:r>
          </w:p>
        </w:tc>
        <w:tc>
          <w:tcPr>
            <w:tcW w:w="1219" w:type="dxa"/>
            <w:shd w:val="clear" w:color="auto" w:fill="auto"/>
          </w:tcPr>
          <w:p>
            <w:pPr>
              <w:spacing w:before="156" w:beforeLines="50" w:after="156" w:afterLines="50" w:line="400" w:lineRule="exact"/>
              <w:jc w:val="center"/>
              <w:rPr>
                <w:rFonts w:ascii="宋体" w:hAnsi="宋体" w:eastAsia="宋体" w:cs="Times New Roman"/>
                <w:szCs w:val="21"/>
              </w:rPr>
            </w:pPr>
            <w:r>
              <w:rPr>
                <w:rFonts w:ascii="Times New Roman" w:hAnsi="Times New Roman" w:eastAsia="宋体" w:cs="Times New Roman"/>
                <w:szCs w:val="21"/>
              </w:rPr>
              <w:t>586920</w:t>
            </w:r>
          </w:p>
        </w:tc>
      </w:tr>
    </w:tbl>
    <w:p>
      <w:pPr>
        <w:spacing w:before="156" w:beforeLines="50" w:after="156" w:afterLines="50" w:line="400" w:lineRule="exact"/>
        <w:rPr>
          <w:rFonts w:ascii="宋体" w:hAnsi="宋体" w:eastAsia="宋体" w:cs="Times New Roman"/>
          <w:b/>
          <w:bCs/>
          <w:sz w:val="24"/>
          <w:szCs w:val="21"/>
        </w:rPr>
      </w:pPr>
      <w:r>
        <w:rPr>
          <w:rFonts w:hint="eastAsia" w:ascii="宋体" w:hAnsi="宋体" w:eastAsia="宋体" w:cs="Times New Roman"/>
          <w:b/>
          <w:bCs/>
          <w:sz w:val="24"/>
          <w:szCs w:val="21"/>
        </w:rPr>
        <w:t>b. 表面质量</w:t>
      </w:r>
    </w:p>
    <w:p>
      <w:pPr>
        <w:spacing w:line="312"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本标准中规定阳极表面质量如下：无污染，无脏物。阳极表面每平方米的划痕不得超过三处，每个划痕长度小于10</w:t>
      </w:r>
      <w:r>
        <w:rPr>
          <w:rFonts w:ascii="Times New Roman" w:hAnsi="Times New Roman" w:eastAsia="宋体" w:cs="Times New Roman"/>
          <w:sz w:val="24"/>
          <w:szCs w:val="21"/>
        </w:rPr>
        <w:t xml:space="preserve">mm </w:t>
      </w:r>
      <w:r>
        <w:rPr>
          <w:rFonts w:hint="eastAsia" w:ascii="Times New Roman" w:hAnsi="Times New Roman" w:eastAsia="宋体" w:cs="Times New Roman"/>
          <w:sz w:val="24"/>
          <w:szCs w:val="21"/>
        </w:rPr>
        <w:t>，宽小于2</w:t>
      </w:r>
      <w:r>
        <w:rPr>
          <w:rFonts w:ascii="Times New Roman" w:hAnsi="Times New Roman" w:eastAsia="宋体" w:cs="Times New Roman"/>
          <w:sz w:val="24"/>
          <w:szCs w:val="21"/>
        </w:rPr>
        <w:t>mm</w:t>
      </w:r>
      <w:r>
        <w:rPr>
          <w:rFonts w:hint="eastAsia" w:ascii="Times New Roman" w:hAnsi="Times New Roman" w:eastAsia="宋体" w:cs="Times New Roman"/>
          <w:sz w:val="24"/>
          <w:szCs w:val="21"/>
        </w:rPr>
        <w:t>。阳极表面每平方米的擦伤不得超过二处，每处擦伤面积小于5</w:t>
      </w:r>
      <w:r>
        <w:rPr>
          <w:rFonts w:ascii="Times New Roman" w:hAnsi="Times New Roman" w:eastAsia="宋体" w:cs="Times New Roman"/>
          <w:sz w:val="24"/>
          <w:szCs w:val="21"/>
        </w:rPr>
        <w:t>mm</w:t>
      </w:r>
      <w:r>
        <w:rPr>
          <w:rFonts w:ascii="Times New Roman" w:hAnsi="Times New Roman" w:eastAsia="宋体" w:cs="Times New Roman"/>
          <w:sz w:val="24"/>
          <w:szCs w:val="21"/>
          <w:vertAlign w:val="superscript"/>
        </w:rPr>
        <w:t>2</w:t>
      </w:r>
      <w:r>
        <w:rPr>
          <w:rFonts w:hint="eastAsia" w:ascii="Times New Roman" w:hAnsi="Times New Roman" w:eastAsia="宋体" w:cs="Times New Roman"/>
          <w:sz w:val="24"/>
          <w:szCs w:val="21"/>
        </w:rPr>
        <w:t>。</w:t>
      </w:r>
    </w:p>
    <w:p>
      <w:pPr>
        <w:spacing w:before="156" w:beforeLines="50" w:after="156" w:afterLines="50"/>
        <w:jc w:val="center"/>
        <w:rPr>
          <w:rFonts w:ascii="Times New Roman" w:hAnsi="Times New Roman" w:eastAsia="宋体" w:cs="Times New Roman"/>
          <w:szCs w:val="21"/>
        </w:rPr>
      </w:pPr>
      <w:r>
        <w:rPr>
          <w:rFonts w:hint="eastAsia" w:ascii="Times New Roman" w:hAnsi="Times New Roman" w:eastAsia="宋体" w:cs="Times New Roman"/>
          <w:szCs w:val="21"/>
        </w:rPr>
        <w:t>表2 试样的表面质量情况</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457"/>
        <w:gridCol w:w="2132"/>
        <w:gridCol w:w="1656"/>
        <w:gridCol w:w="21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57"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试样编号</w:t>
            </w:r>
          </w:p>
        </w:tc>
        <w:tc>
          <w:tcPr>
            <w:tcW w:w="2132"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污染、脏物情况</w:t>
            </w:r>
          </w:p>
        </w:tc>
        <w:tc>
          <w:tcPr>
            <w:tcW w:w="165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划痕情况</w:t>
            </w:r>
          </w:p>
        </w:tc>
        <w:tc>
          <w:tcPr>
            <w:tcW w:w="212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擦伤情况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57"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1</w:t>
            </w:r>
          </w:p>
        </w:tc>
        <w:tc>
          <w:tcPr>
            <w:tcW w:w="2132"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c>
          <w:tcPr>
            <w:tcW w:w="165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c>
          <w:tcPr>
            <w:tcW w:w="212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1处，3mm</w:t>
            </w:r>
            <w:r>
              <w:rPr>
                <w:rFonts w:ascii="Times New Roman" w:hAnsi="Times New Roman" w:eastAsia="宋体" w:cs="Times New Roman"/>
                <w:szCs w:val="21"/>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57"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2132"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c>
          <w:tcPr>
            <w:tcW w:w="165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1处，5mm</w:t>
            </w:r>
          </w:p>
        </w:tc>
        <w:tc>
          <w:tcPr>
            <w:tcW w:w="212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57"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3</w:t>
            </w:r>
          </w:p>
        </w:tc>
        <w:tc>
          <w:tcPr>
            <w:tcW w:w="2132"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c>
          <w:tcPr>
            <w:tcW w:w="165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c>
          <w:tcPr>
            <w:tcW w:w="212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r>
    </w:tbl>
    <w:p>
      <w:pPr>
        <w:spacing w:before="156" w:beforeLines="50" w:after="156" w:afterLines="50" w:line="400" w:lineRule="exact"/>
        <w:rPr>
          <w:rFonts w:ascii="宋体" w:hAnsi="宋体" w:eastAsia="宋体" w:cs="Times New Roman"/>
          <w:b/>
          <w:bCs/>
          <w:sz w:val="24"/>
          <w:szCs w:val="21"/>
        </w:rPr>
      </w:pPr>
      <w:r>
        <w:rPr>
          <w:rFonts w:hint="eastAsia" w:ascii="宋体" w:hAnsi="宋体" w:eastAsia="宋体" w:cs="Times New Roman"/>
          <w:b/>
          <w:bCs/>
          <w:sz w:val="24"/>
          <w:szCs w:val="21"/>
        </w:rPr>
        <w:t>c. 涂层与基材结合状态</w:t>
      </w:r>
    </w:p>
    <w:p>
      <w:pPr>
        <w:spacing w:line="312"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本标准中的涂层表层结合状态检验：绕Ф20金属棒弯曲180度涂层无剥落为合格。</w:t>
      </w:r>
    </w:p>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表3阳极涂层与基材结合状态情况</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168"/>
        <w:gridCol w:w="2843"/>
        <w:gridCol w:w="23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68"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p>
          <w:p>
            <w:pPr>
              <w:spacing w:before="156" w:beforeLines="50" w:after="156" w:afterLines="50" w:line="400" w:lineRule="exact"/>
              <w:jc w:val="center"/>
              <w:rPr>
                <w:rFonts w:ascii="Times New Roman" w:hAnsi="Times New Roman" w:eastAsia="宋体" w:cs="Times New Roman"/>
                <w:szCs w:val="21"/>
              </w:rPr>
            </w:pPr>
          </w:p>
        </w:tc>
        <w:tc>
          <w:tcPr>
            <w:tcW w:w="2843"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剥离情况</w:t>
            </w:r>
          </w:p>
        </w:tc>
        <w:tc>
          <w:tcPr>
            <w:tcW w:w="2360"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检验结果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68"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1</w:t>
            </w:r>
          </w:p>
        </w:tc>
        <w:tc>
          <w:tcPr>
            <w:tcW w:w="2843"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无剥离</w:t>
            </w:r>
          </w:p>
        </w:tc>
        <w:tc>
          <w:tcPr>
            <w:tcW w:w="2360"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68"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2843"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无剥离</w:t>
            </w:r>
          </w:p>
        </w:tc>
        <w:tc>
          <w:tcPr>
            <w:tcW w:w="2360"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68"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3</w:t>
            </w:r>
          </w:p>
        </w:tc>
        <w:tc>
          <w:tcPr>
            <w:tcW w:w="2843"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无剥离</w:t>
            </w:r>
          </w:p>
        </w:tc>
        <w:tc>
          <w:tcPr>
            <w:tcW w:w="2360"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合格</w:t>
            </w:r>
          </w:p>
        </w:tc>
      </w:tr>
    </w:tbl>
    <w:p>
      <w:pPr>
        <w:spacing w:line="312" w:lineRule="auto"/>
        <w:ind w:firstLine="480"/>
        <w:rPr>
          <w:rFonts w:ascii="宋体" w:hAnsi="宋体" w:eastAsia="宋体" w:cs="Times New Roman"/>
          <w:sz w:val="24"/>
          <w:szCs w:val="21"/>
        </w:rPr>
      </w:pPr>
      <w:r>
        <w:rPr>
          <w:rFonts w:hint="eastAsia" w:ascii="宋体" w:hAnsi="宋体" w:eastAsia="宋体" w:cs="Times New Roman"/>
          <w:sz w:val="24"/>
          <w:szCs w:val="21"/>
        </w:rPr>
        <w:t>现将我公司生产的大气环境钢筋混凝土阴极保护用钛阳极产品的指标验证情况陈述如下：</w:t>
      </w:r>
    </w:p>
    <w:p>
      <w:pPr>
        <w:spacing w:before="156" w:beforeLines="50" w:after="156" w:afterLines="50" w:line="400" w:lineRule="exact"/>
        <w:rPr>
          <w:rFonts w:ascii="宋体" w:hAnsi="宋体" w:eastAsia="宋体" w:cs="Times New Roman"/>
          <w:b/>
          <w:bCs/>
          <w:sz w:val="24"/>
          <w:szCs w:val="21"/>
        </w:rPr>
      </w:pPr>
      <w:r>
        <w:rPr>
          <w:rFonts w:hint="eastAsia" w:ascii="宋体" w:hAnsi="宋体" w:eastAsia="宋体" w:cs="Times New Roman"/>
          <w:b/>
          <w:bCs/>
          <w:sz w:val="24"/>
          <w:szCs w:val="21"/>
        </w:rPr>
        <w:t>a. 强化寿命</w:t>
      </w:r>
    </w:p>
    <w:p>
      <w:pPr>
        <w:spacing w:line="312"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标准中对强化寿命要求为：</w:t>
      </w:r>
      <w:r>
        <w:rPr>
          <w:rFonts w:ascii="Times New Roman" w:hAnsi="Times New Roman" w:eastAsia="宋体" w:cs="Times New Roman"/>
          <w:sz w:val="24"/>
          <w:szCs w:val="21"/>
        </w:rPr>
        <w:t>在温度为20±5℃，</w:t>
      </w:r>
      <w:r>
        <w:rPr>
          <w:rFonts w:hint="eastAsia" w:ascii="Times New Roman" w:hAnsi="Times New Roman" w:eastAsia="宋体" w:cs="Times New Roman"/>
          <w:sz w:val="24"/>
          <w:szCs w:val="21"/>
        </w:rPr>
        <w:t>分别在</w:t>
      </w:r>
      <w:r>
        <w:rPr>
          <w:rFonts w:ascii="Times New Roman" w:hAnsi="Times New Roman" w:eastAsia="宋体" w:cs="Times New Roman"/>
          <w:sz w:val="24"/>
          <w:szCs w:val="21"/>
        </w:rPr>
        <w:t>NaC</w:t>
      </w:r>
      <w:r>
        <w:rPr>
          <w:rFonts w:hint="eastAsia" w:ascii="Times New Roman" w:hAnsi="Times New Roman" w:eastAsia="宋体" w:cs="Times New Roman"/>
          <w:sz w:val="24"/>
          <w:szCs w:val="21"/>
        </w:rPr>
        <w:t>l水溶液（3</w:t>
      </w:r>
      <w:r>
        <w:rPr>
          <w:rFonts w:ascii="Times New Roman" w:hAnsi="Times New Roman" w:eastAsia="宋体" w:cs="Times New Roman"/>
          <w:sz w:val="24"/>
          <w:szCs w:val="21"/>
        </w:rPr>
        <w:t>0</w:t>
      </w:r>
      <w:r>
        <w:rPr>
          <w:rFonts w:hint="eastAsia" w:ascii="Times New Roman" w:hAnsi="Times New Roman" w:eastAsia="宋体" w:cs="Times New Roman"/>
          <w:sz w:val="24"/>
          <w:szCs w:val="21"/>
        </w:rPr>
        <w:t>g/</w:t>
      </w:r>
      <w:r>
        <w:rPr>
          <w:rFonts w:ascii="Times New Roman" w:hAnsi="Times New Roman" w:eastAsia="宋体" w:cs="Times New Roman"/>
          <w:sz w:val="24"/>
          <w:szCs w:val="21"/>
        </w:rPr>
        <w:t>L</w:t>
      </w:r>
      <w:r>
        <w:rPr>
          <w:rFonts w:hint="eastAsia" w:ascii="Times New Roman" w:hAnsi="Times New Roman" w:eastAsia="宋体" w:cs="Times New Roman"/>
          <w:sz w:val="24"/>
          <w:szCs w:val="21"/>
        </w:rPr>
        <w:t>）、</w:t>
      </w:r>
      <w:r>
        <w:rPr>
          <w:rFonts w:ascii="Times New Roman" w:hAnsi="Times New Roman" w:eastAsia="宋体" w:cs="Times New Roman"/>
          <w:sz w:val="24"/>
          <w:szCs w:val="21"/>
        </w:rPr>
        <w:t>N</w:t>
      </w:r>
      <w:r>
        <w:rPr>
          <w:rFonts w:hint="eastAsia" w:ascii="Times New Roman" w:hAnsi="Times New Roman" w:eastAsia="宋体" w:cs="Times New Roman"/>
          <w:sz w:val="24"/>
          <w:szCs w:val="21"/>
        </w:rPr>
        <w:t>a</w:t>
      </w:r>
      <w:r>
        <w:rPr>
          <w:rFonts w:ascii="Times New Roman" w:hAnsi="Times New Roman" w:eastAsia="宋体" w:cs="Times New Roman"/>
          <w:sz w:val="24"/>
          <w:szCs w:val="21"/>
        </w:rPr>
        <w:t>OH</w:t>
      </w:r>
      <w:r>
        <w:rPr>
          <w:rFonts w:hint="eastAsia" w:ascii="Times New Roman" w:hAnsi="Times New Roman" w:eastAsia="宋体" w:cs="Times New Roman"/>
          <w:sz w:val="24"/>
          <w:szCs w:val="21"/>
        </w:rPr>
        <w:t>水溶液（5</w:t>
      </w:r>
      <w:r>
        <w:rPr>
          <w:rFonts w:ascii="Times New Roman" w:hAnsi="Times New Roman" w:eastAsia="宋体" w:cs="Times New Roman"/>
          <w:sz w:val="24"/>
          <w:szCs w:val="21"/>
        </w:rPr>
        <w:t>0</w:t>
      </w:r>
      <w:r>
        <w:rPr>
          <w:rFonts w:hint="eastAsia" w:ascii="Times New Roman" w:hAnsi="Times New Roman" w:eastAsia="宋体" w:cs="Times New Roman"/>
          <w:sz w:val="24"/>
          <w:szCs w:val="21"/>
        </w:rPr>
        <w:t>g</w:t>
      </w:r>
      <w:r>
        <w:rPr>
          <w:rFonts w:ascii="Times New Roman" w:hAnsi="Times New Roman" w:eastAsia="宋体" w:cs="Times New Roman"/>
          <w:sz w:val="24"/>
          <w:szCs w:val="21"/>
        </w:rPr>
        <w:t>/L</w:t>
      </w:r>
      <w:r>
        <w:rPr>
          <w:rFonts w:hint="eastAsia" w:ascii="Times New Roman" w:hAnsi="Times New Roman" w:eastAsia="宋体" w:cs="Times New Roman"/>
          <w:sz w:val="24"/>
          <w:szCs w:val="21"/>
        </w:rPr>
        <w:t>）及砂浆模拟孔隙液（0.20% Ca(OH)</w:t>
      </w:r>
      <w:r>
        <w:rPr>
          <w:rFonts w:hint="eastAsia" w:ascii="Times New Roman" w:hAnsi="Times New Roman" w:eastAsia="宋体" w:cs="Times New Roman"/>
          <w:sz w:val="24"/>
          <w:szCs w:val="21"/>
          <w:vertAlign w:val="subscript"/>
        </w:rPr>
        <w:t>2</w:t>
      </w:r>
      <w:r>
        <w:rPr>
          <w:rFonts w:hint="eastAsia" w:ascii="Times New Roman" w:hAnsi="Times New Roman" w:eastAsia="宋体" w:cs="Times New Roman"/>
          <w:sz w:val="24"/>
          <w:szCs w:val="21"/>
        </w:rPr>
        <w:t xml:space="preserve"> , 3.20% KCl, 1.00% KOH, 2.45% NaOH）中进行。</w:t>
      </w:r>
      <w:r>
        <w:rPr>
          <w:rFonts w:ascii="Times New Roman" w:hAnsi="Times New Roman" w:eastAsia="宋体" w:cs="Times New Roman"/>
          <w:sz w:val="24"/>
          <w:szCs w:val="21"/>
        </w:rPr>
        <w:t>强化寿命测试完成时，阳极表面通过的总电荷密度达到或超过阳极实际使用寿命期限内阳极表面通过的总电荷密度。</w:t>
      </w:r>
    </w:p>
    <w:p>
      <w:pPr>
        <w:spacing w:line="312"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我公司网带阳极产品强化寿命情况见表</w:t>
      </w:r>
      <w:r>
        <w:rPr>
          <w:rFonts w:ascii="Times New Roman" w:hAnsi="Times New Roman" w:eastAsia="宋体" w:cs="Times New Roman"/>
          <w:sz w:val="24"/>
          <w:szCs w:val="21"/>
        </w:rPr>
        <w:t>4，表</w:t>
      </w:r>
      <w:r>
        <w:rPr>
          <w:rFonts w:hint="eastAsia" w:ascii="Times New Roman" w:hAnsi="Times New Roman" w:eastAsia="宋体" w:cs="Times New Roman"/>
          <w:sz w:val="24"/>
          <w:szCs w:val="21"/>
        </w:rPr>
        <w:t>5</w:t>
      </w:r>
      <w:r>
        <w:rPr>
          <w:rFonts w:ascii="Times New Roman" w:hAnsi="Times New Roman" w:eastAsia="宋体" w:cs="Times New Roman"/>
          <w:sz w:val="24"/>
          <w:szCs w:val="21"/>
        </w:rPr>
        <w:t>，表</w:t>
      </w:r>
      <w:r>
        <w:rPr>
          <w:rFonts w:hint="eastAsia" w:ascii="Times New Roman" w:hAnsi="Times New Roman" w:eastAsia="宋体" w:cs="Times New Roman"/>
          <w:sz w:val="24"/>
          <w:szCs w:val="21"/>
        </w:rPr>
        <w:t>6</w:t>
      </w:r>
      <w:r>
        <w:rPr>
          <w:rFonts w:ascii="Times New Roman" w:hAnsi="Times New Roman" w:eastAsia="宋体" w:cs="Times New Roman"/>
          <w:sz w:val="24"/>
          <w:szCs w:val="21"/>
        </w:rPr>
        <w:t>。</w:t>
      </w:r>
    </w:p>
    <w:p>
      <w:pPr>
        <w:spacing w:before="156" w:beforeLines="50" w:after="156" w:afterLines="50"/>
        <w:jc w:val="center"/>
        <w:rPr>
          <w:rFonts w:ascii="Times New Roman" w:hAnsi="Times New Roman" w:eastAsia="宋体" w:cs="Times New Roman"/>
          <w:szCs w:val="21"/>
        </w:rPr>
      </w:pPr>
      <w:bookmarkStart w:id="0" w:name="_Toc51578792"/>
      <w:bookmarkStart w:id="1" w:name="_Toc180394346"/>
      <w:r>
        <w:rPr>
          <w:rFonts w:hint="eastAsia" w:ascii="Times New Roman" w:hAnsi="Times New Roman" w:eastAsia="宋体" w:cs="Times New Roman"/>
          <w:szCs w:val="21"/>
        </w:rPr>
        <w:t xml:space="preserve">表 </w:t>
      </w:r>
      <w:r>
        <w:rPr>
          <w:rFonts w:ascii="Times New Roman" w:hAnsi="Times New Roman" w:eastAsia="宋体" w:cs="Times New Roman"/>
          <w:szCs w:val="21"/>
        </w:rPr>
        <w:t>4 阳极在30g/L NaCl溶液中测试寿命的结果</w:t>
      </w:r>
      <w:bookmarkEnd w:id="0"/>
      <w:bookmarkEnd w:id="1"/>
    </w:p>
    <w:tbl>
      <w:tblPr>
        <w:tblStyle w:val="7"/>
        <w:tblpPr w:leftFromText="180" w:rightFromText="180" w:vertAnchor="text" w:horzAnchor="margin" w:tblpY="6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52"/>
        <w:gridCol w:w="1275"/>
        <w:gridCol w:w="1434"/>
        <w:gridCol w:w="1434"/>
        <w:gridCol w:w="1594"/>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测试</w:t>
            </w: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时间</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电流(mA)</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电压(V)</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阳极电位</w:t>
            </w:r>
          </w:p>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vs.SCE(V)</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溶液pH值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反向电流</w:t>
            </w:r>
          </w:p>
        </w:tc>
        <w:tc>
          <w:tcPr>
            <w:tcW w:w="666"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1min</w:t>
            </w:r>
          </w:p>
        </w:tc>
        <w:tc>
          <w:tcPr>
            <w:tcW w:w="749"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1.91</w:t>
            </w:r>
          </w:p>
        </w:tc>
        <w:tc>
          <w:tcPr>
            <w:tcW w:w="833" w:type="pct"/>
            <w:shd w:val="clear" w:color="auto" w:fill="auto"/>
            <w:noWrap/>
            <w:vAlign w:val="bottom"/>
          </w:tcPr>
          <w:p>
            <w:pPr>
              <w:widowControl/>
              <w:jc w:val="center"/>
              <w:rPr>
                <w:rFonts w:ascii="Times New Roman" w:hAnsi="Times New Roman" w:eastAsia="宋体" w:cs="Times New Roman"/>
                <w:kern w:val="0"/>
                <w:szCs w:val="21"/>
              </w:rPr>
            </w:pPr>
          </w:p>
        </w:tc>
        <w:tc>
          <w:tcPr>
            <w:tcW w:w="774" w:type="pct"/>
            <w:shd w:val="clear" w:color="auto" w:fill="auto"/>
            <w:noWrap/>
            <w:vAlign w:val="bottom"/>
          </w:tcPr>
          <w:p>
            <w:pPr>
              <w:widowControl/>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1h</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2.40</w:t>
            </w:r>
          </w:p>
        </w:tc>
        <w:tc>
          <w:tcPr>
            <w:tcW w:w="833" w:type="pct"/>
            <w:shd w:val="clear" w:color="auto" w:fill="auto"/>
            <w:noWrap/>
            <w:vAlign w:val="center"/>
          </w:tcPr>
          <w:p>
            <w:pPr>
              <w:widowControl/>
              <w:jc w:val="center"/>
              <w:rPr>
                <w:rFonts w:ascii="Times New Roman" w:hAnsi="Times New Roman" w:eastAsia="宋体" w:cs="Times New Roman"/>
                <w:kern w:val="0"/>
                <w:szCs w:val="21"/>
              </w:rPr>
            </w:pPr>
          </w:p>
        </w:tc>
        <w:tc>
          <w:tcPr>
            <w:tcW w:w="774" w:type="pct"/>
            <w:shd w:val="clear" w:color="auto" w:fill="auto"/>
            <w:noWrap/>
            <w:vAlign w:val="center"/>
          </w:tcPr>
          <w:p>
            <w:pPr>
              <w:widowControl/>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8.8h</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2.23</w:t>
            </w:r>
          </w:p>
        </w:tc>
        <w:tc>
          <w:tcPr>
            <w:tcW w:w="833" w:type="pct"/>
            <w:shd w:val="clear" w:color="auto" w:fill="auto"/>
            <w:noWrap/>
            <w:vAlign w:val="center"/>
          </w:tcPr>
          <w:p>
            <w:pPr>
              <w:widowControl/>
              <w:jc w:val="center"/>
              <w:rPr>
                <w:rFonts w:ascii="Times New Roman" w:hAnsi="Times New Roman" w:eastAsia="宋体" w:cs="Times New Roman"/>
                <w:kern w:val="0"/>
                <w:szCs w:val="21"/>
              </w:rPr>
            </w:pPr>
          </w:p>
        </w:tc>
        <w:tc>
          <w:tcPr>
            <w:tcW w:w="774" w:type="pct"/>
            <w:shd w:val="clear" w:color="auto" w:fill="auto"/>
            <w:noWrap/>
            <w:vAlign w:val="center"/>
          </w:tcPr>
          <w:p>
            <w:pPr>
              <w:widowControl/>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正常电流</w:t>
            </w: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1h</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2.53</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1.181</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24h</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2.49</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1.177</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2.28</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1.187</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2.45</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1.333</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28days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2.61</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1.456</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42days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2.62</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1.484</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56days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2.61</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1.480</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70days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2.64</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1.508</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84days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2.65</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1.520</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98days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2.80</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1.534</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112days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2.72</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1.551</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126days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2.67</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1.536</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140days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2.74</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1.583</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154days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2.71</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1.550</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168days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2.67</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1.591</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29" w:type="pct"/>
            <w:shd w:val="clear" w:color="auto" w:fill="auto"/>
            <w:noWrap/>
            <w:vAlign w:val="center"/>
          </w:tcPr>
          <w:p>
            <w:pPr>
              <w:widowControl/>
              <w:jc w:val="center"/>
              <w:rPr>
                <w:rFonts w:ascii="Times New Roman" w:hAnsi="Times New Roman" w:eastAsia="宋体" w:cs="Times New Roman"/>
                <w:kern w:val="0"/>
                <w:szCs w:val="21"/>
              </w:rPr>
            </w:pPr>
          </w:p>
        </w:tc>
        <w:tc>
          <w:tcPr>
            <w:tcW w:w="66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180days</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749"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2.71</w:t>
            </w:r>
          </w:p>
        </w:tc>
        <w:tc>
          <w:tcPr>
            <w:tcW w:w="833"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1.579</w:t>
            </w:r>
          </w:p>
        </w:tc>
        <w:tc>
          <w:tcPr>
            <w:tcW w:w="77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7.8</w:t>
            </w:r>
          </w:p>
        </w:tc>
      </w:tr>
    </w:tbl>
    <w:p>
      <w:pPr>
        <w:spacing w:before="156" w:beforeLines="50" w:after="156" w:afterLines="50"/>
        <w:jc w:val="center"/>
        <w:rPr>
          <w:rFonts w:ascii="Times New Roman" w:hAnsi="Times New Roman" w:eastAsia="宋体" w:cs="Times New Roman"/>
          <w:szCs w:val="21"/>
        </w:rPr>
      </w:pPr>
      <w:bookmarkStart w:id="2" w:name="_Toc51578793"/>
      <w:bookmarkStart w:id="3" w:name="_Toc180394347"/>
      <w:r>
        <w:rPr>
          <w:rFonts w:hint="eastAsia" w:ascii="Times New Roman" w:hAnsi="Times New Roman" w:eastAsia="宋体" w:cs="Times New Roman"/>
          <w:szCs w:val="21"/>
        </w:rPr>
        <w:t xml:space="preserve">表 </w:t>
      </w:r>
      <w:r>
        <w:rPr>
          <w:rFonts w:ascii="Times New Roman" w:hAnsi="Times New Roman" w:eastAsia="宋体" w:cs="Times New Roman"/>
          <w:szCs w:val="21"/>
        </w:rPr>
        <w:t>5 阳极在40g/L NaOH溶液中测试寿命的结果</w:t>
      </w:r>
      <w:bookmarkEnd w:id="2"/>
      <w:bookmarkEnd w:id="3"/>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15"/>
        <w:gridCol w:w="1271"/>
        <w:gridCol w:w="1271"/>
        <w:gridCol w:w="1305"/>
        <w:gridCol w:w="2304"/>
        <w:gridCol w:w="1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测试</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时间</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电流(mA)</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电压(V)</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阳极电位vs.SCE(V)</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溶液pH值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反向电流</w:t>
            </w:r>
          </w:p>
        </w:tc>
        <w:tc>
          <w:tcPr>
            <w:tcW w:w="664"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1min</w:t>
            </w:r>
          </w:p>
        </w:tc>
        <w:tc>
          <w:tcPr>
            <w:tcW w:w="664"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1.42</w:t>
            </w:r>
          </w:p>
        </w:tc>
        <w:tc>
          <w:tcPr>
            <w:tcW w:w="1204" w:type="pct"/>
            <w:shd w:val="clear" w:color="auto" w:fill="auto"/>
            <w:noWrap/>
            <w:vAlign w:val="bottom"/>
          </w:tcPr>
          <w:p>
            <w:pPr>
              <w:widowControl/>
              <w:jc w:val="center"/>
              <w:rPr>
                <w:rFonts w:ascii="Times New Roman" w:hAnsi="Times New Roman" w:eastAsia="宋体" w:cs="Times New Roman"/>
                <w:kern w:val="0"/>
                <w:szCs w:val="21"/>
              </w:rPr>
            </w:pPr>
          </w:p>
        </w:tc>
        <w:tc>
          <w:tcPr>
            <w:tcW w:w="681" w:type="pct"/>
            <w:shd w:val="clear" w:color="auto" w:fill="auto"/>
            <w:noWrap/>
            <w:vAlign w:val="bottom"/>
          </w:tcPr>
          <w:p>
            <w:pPr>
              <w:widowControl/>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1h</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1.66</w:t>
            </w:r>
          </w:p>
        </w:tc>
        <w:tc>
          <w:tcPr>
            <w:tcW w:w="1204" w:type="pct"/>
            <w:shd w:val="clear" w:color="auto" w:fill="auto"/>
            <w:noWrap/>
            <w:vAlign w:val="center"/>
          </w:tcPr>
          <w:p>
            <w:pPr>
              <w:widowControl/>
              <w:jc w:val="center"/>
              <w:rPr>
                <w:rFonts w:ascii="Times New Roman" w:hAnsi="Times New Roman" w:eastAsia="宋体" w:cs="Times New Roman"/>
                <w:kern w:val="0"/>
                <w:szCs w:val="21"/>
              </w:rPr>
            </w:pPr>
          </w:p>
        </w:tc>
        <w:tc>
          <w:tcPr>
            <w:tcW w:w="681" w:type="pct"/>
            <w:shd w:val="clear" w:color="auto" w:fill="auto"/>
            <w:noWrap/>
            <w:vAlign w:val="center"/>
          </w:tcPr>
          <w:p>
            <w:pPr>
              <w:widowControl/>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8h</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1.64</w:t>
            </w:r>
          </w:p>
        </w:tc>
        <w:tc>
          <w:tcPr>
            <w:tcW w:w="1204" w:type="pct"/>
            <w:shd w:val="clear" w:color="auto" w:fill="auto"/>
            <w:noWrap/>
            <w:vAlign w:val="center"/>
          </w:tcPr>
          <w:p>
            <w:pPr>
              <w:widowControl/>
              <w:jc w:val="center"/>
              <w:rPr>
                <w:rFonts w:ascii="Times New Roman" w:hAnsi="Times New Roman" w:eastAsia="宋体" w:cs="Times New Roman"/>
                <w:kern w:val="0"/>
                <w:szCs w:val="21"/>
              </w:rPr>
            </w:pPr>
          </w:p>
        </w:tc>
        <w:tc>
          <w:tcPr>
            <w:tcW w:w="681" w:type="pct"/>
            <w:shd w:val="clear" w:color="auto" w:fill="auto"/>
            <w:noWrap/>
            <w:vAlign w:val="center"/>
          </w:tcPr>
          <w:p>
            <w:pPr>
              <w:widowControl/>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正常电流</w:t>
            </w:r>
          </w:p>
        </w:tc>
        <w:tc>
          <w:tcPr>
            <w:tcW w:w="664"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1h</w:t>
            </w:r>
          </w:p>
        </w:tc>
        <w:tc>
          <w:tcPr>
            <w:tcW w:w="664"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1.91</w:t>
            </w:r>
          </w:p>
        </w:tc>
        <w:tc>
          <w:tcPr>
            <w:tcW w:w="1204"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0.577</w:t>
            </w:r>
          </w:p>
        </w:tc>
        <w:tc>
          <w:tcPr>
            <w:tcW w:w="681"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24h</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1.91</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0.585</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1.94</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0.606</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1.93</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0.605</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28days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1.95</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0.594</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42days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1.95</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0.617</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56days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1.93</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0.610</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70days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1.96</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0.625</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84days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1.96</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0.620</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98days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1.94</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0.602</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112days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1.99</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0.633</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126days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1.97</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0.629</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140days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2.03</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0.650</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154days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2.00</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0.645</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168days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2.05</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0.663</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05" w:type="pct"/>
            <w:shd w:val="clear" w:color="auto" w:fill="auto"/>
            <w:noWrap/>
            <w:vAlign w:val="center"/>
          </w:tcPr>
          <w:p>
            <w:pPr>
              <w:widowControl/>
              <w:jc w:val="center"/>
              <w:rPr>
                <w:rFonts w:ascii="Times New Roman" w:hAnsi="Times New Roman" w:eastAsia="宋体" w:cs="Times New Roman"/>
                <w:kern w:val="0"/>
                <w:szCs w:val="21"/>
              </w:rPr>
            </w:pP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180days</w:t>
            </w:r>
          </w:p>
        </w:tc>
        <w:tc>
          <w:tcPr>
            <w:tcW w:w="66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8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2.02</w:t>
            </w:r>
          </w:p>
        </w:tc>
        <w:tc>
          <w:tcPr>
            <w:tcW w:w="120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0.656</w:t>
            </w:r>
          </w:p>
        </w:tc>
        <w:tc>
          <w:tcPr>
            <w:tcW w:w="68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12.0</w:t>
            </w:r>
          </w:p>
        </w:tc>
      </w:tr>
    </w:tbl>
    <w:p>
      <w:pPr>
        <w:spacing w:before="156" w:beforeLines="50" w:after="156" w:afterLines="50"/>
        <w:jc w:val="center"/>
        <w:rPr>
          <w:rFonts w:ascii="Times New Roman" w:hAnsi="Times New Roman" w:eastAsia="宋体" w:cs="Times New Roman"/>
          <w:szCs w:val="21"/>
        </w:rPr>
      </w:pPr>
      <w:bookmarkStart w:id="4" w:name="_Toc51578794"/>
      <w:bookmarkStart w:id="5" w:name="_Toc180394348"/>
      <w:r>
        <w:rPr>
          <w:rFonts w:hint="eastAsia" w:ascii="Times New Roman" w:hAnsi="Times New Roman" w:eastAsia="宋体" w:cs="Times New Roman"/>
          <w:szCs w:val="21"/>
        </w:rPr>
        <w:t xml:space="preserve">表 </w:t>
      </w:r>
      <w:r>
        <w:rPr>
          <w:rFonts w:ascii="Times New Roman" w:hAnsi="Times New Roman" w:eastAsia="宋体" w:cs="Times New Roman"/>
          <w:szCs w:val="21"/>
        </w:rPr>
        <w:t>6 阳极在模拟孔隙液中测试寿命的结果</w:t>
      </w:r>
      <w:bookmarkEnd w:id="4"/>
      <w:bookmarkEnd w:id="5"/>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99"/>
        <w:gridCol w:w="1213"/>
        <w:gridCol w:w="1445"/>
        <w:gridCol w:w="1229"/>
        <w:gridCol w:w="2683"/>
        <w:gridCol w:w="1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测试</w:t>
            </w: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时间</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电流(mA)</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电压(V)</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阳极电位vs.SCE(V)</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溶液pH值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反向电流</w:t>
            </w:r>
          </w:p>
        </w:tc>
        <w:tc>
          <w:tcPr>
            <w:tcW w:w="634"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1min</w:t>
            </w:r>
          </w:p>
        </w:tc>
        <w:tc>
          <w:tcPr>
            <w:tcW w:w="755"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1.23</w:t>
            </w:r>
          </w:p>
        </w:tc>
        <w:tc>
          <w:tcPr>
            <w:tcW w:w="1402" w:type="pct"/>
            <w:shd w:val="clear" w:color="auto" w:fill="auto"/>
            <w:noWrap/>
            <w:vAlign w:val="bottom"/>
          </w:tcPr>
          <w:p>
            <w:pPr>
              <w:widowControl/>
              <w:jc w:val="center"/>
              <w:rPr>
                <w:rFonts w:ascii="Times New Roman" w:hAnsi="Times New Roman" w:eastAsia="宋体" w:cs="Times New Roman"/>
                <w:kern w:val="0"/>
                <w:szCs w:val="21"/>
              </w:rPr>
            </w:pPr>
          </w:p>
        </w:tc>
        <w:tc>
          <w:tcPr>
            <w:tcW w:w="836" w:type="pct"/>
            <w:shd w:val="clear" w:color="auto" w:fill="auto"/>
            <w:noWrap/>
            <w:vAlign w:val="bottom"/>
          </w:tcPr>
          <w:p>
            <w:pPr>
              <w:widowControl/>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1h</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1.74</w:t>
            </w:r>
          </w:p>
        </w:tc>
        <w:tc>
          <w:tcPr>
            <w:tcW w:w="1402" w:type="pct"/>
            <w:shd w:val="clear" w:color="auto" w:fill="auto"/>
            <w:noWrap/>
            <w:vAlign w:val="center"/>
          </w:tcPr>
          <w:p>
            <w:pPr>
              <w:widowControl/>
              <w:jc w:val="center"/>
              <w:rPr>
                <w:rFonts w:ascii="Times New Roman" w:hAnsi="Times New Roman" w:eastAsia="宋体" w:cs="Times New Roman"/>
                <w:kern w:val="0"/>
                <w:szCs w:val="21"/>
              </w:rPr>
            </w:pPr>
          </w:p>
        </w:tc>
        <w:tc>
          <w:tcPr>
            <w:tcW w:w="836" w:type="pct"/>
            <w:shd w:val="clear" w:color="auto" w:fill="auto"/>
            <w:noWrap/>
            <w:vAlign w:val="center"/>
          </w:tcPr>
          <w:p>
            <w:pPr>
              <w:widowControl/>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8h</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1.70</w:t>
            </w:r>
          </w:p>
        </w:tc>
        <w:tc>
          <w:tcPr>
            <w:tcW w:w="1402" w:type="pct"/>
            <w:shd w:val="clear" w:color="auto" w:fill="auto"/>
            <w:noWrap/>
            <w:vAlign w:val="center"/>
          </w:tcPr>
          <w:p>
            <w:pPr>
              <w:widowControl/>
              <w:jc w:val="center"/>
              <w:rPr>
                <w:rFonts w:ascii="Times New Roman" w:hAnsi="Times New Roman" w:eastAsia="宋体" w:cs="Times New Roman"/>
                <w:kern w:val="0"/>
                <w:szCs w:val="21"/>
              </w:rPr>
            </w:pPr>
          </w:p>
        </w:tc>
        <w:tc>
          <w:tcPr>
            <w:tcW w:w="836" w:type="pct"/>
            <w:shd w:val="clear" w:color="auto" w:fill="auto"/>
            <w:noWrap/>
            <w:vAlign w:val="center"/>
          </w:tcPr>
          <w:p>
            <w:pPr>
              <w:widowControl/>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正常电流</w:t>
            </w: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1h</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1.90</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0.540</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24h</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1.90</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0.553</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1.93</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0.566</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1.91</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0.562</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28days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1.93</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0.566</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42days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1.93</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0.572</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56days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1.92</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0.565</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70days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1.94</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0.578</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84days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1.93</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0.575</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98days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1.80</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0.567</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112days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1.92</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0.585</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126days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1.92</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0.577</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140days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2.02</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0.602</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154days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1.98</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0.588</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168days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2.01</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0.604</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31" w:type="pct"/>
            <w:shd w:val="clear" w:color="auto" w:fill="auto"/>
            <w:noWrap/>
            <w:vAlign w:val="center"/>
          </w:tcPr>
          <w:p>
            <w:pPr>
              <w:widowControl/>
              <w:jc w:val="center"/>
              <w:rPr>
                <w:rFonts w:ascii="Times New Roman" w:hAnsi="Times New Roman" w:eastAsia="宋体" w:cs="Times New Roman"/>
                <w:kern w:val="0"/>
                <w:szCs w:val="21"/>
              </w:rPr>
            </w:pPr>
          </w:p>
        </w:tc>
        <w:tc>
          <w:tcPr>
            <w:tcW w:w="634"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180days</w:t>
            </w:r>
          </w:p>
        </w:tc>
        <w:tc>
          <w:tcPr>
            <w:tcW w:w="755"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17.8</w:t>
            </w:r>
          </w:p>
        </w:tc>
        <w:tc>
          <w:tcPr>
            <w:tcW w:w="64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1.98</w:t>
            </w:r>
          </w:p>
        </w:tc>
        <w:tc>
          <w:tcPr>
            <w:tcW w:w="1402"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0.596</w:t>
            </w:r>
          </w:p>
        </w:tc>
        <w:tc>
          <w:tcPr>
            <w:tcW w:w="836" w:type="pct"/>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12.3</w:t>
            </w:r>
          </w:p>
        </w:tc>
      </w:tr>
    </w:tbl>
    <w:p>
      <w:pPr>
        <w:spacing w:before="156" w:beforeLines="50" w:after="156" w:afterLines="50" w:line="400" w:lineRule="exact"/>
        <w:rPr>
          <w:rFonts w:ascii="宋体" w:hAnsi="宋体" w:eastAsia="宋体" w:cs="Times New Roman"/>
          <w:b/>
          <w:bCs/>
          <w:sz w:val="24"/>
          <w:szCs w:val="21"/>
        </w:rPr>
      </w:pPr>
      <w:r>
        <w:rPr>
          <w:rFonts w:hint="eastAsia" w:ascii="宋体" w:hAnsi="宋体" w:eastAsia="宋体" w:cs="Times New Roman"/>
          <w:b/>
          <w:bCs/>
          <w:sz w:val="24"/>
          <w:szCs w:val="21"/>
        </w:rPr>
        <w:t>b. 表面质量</w:t>
      </w:r>
    </w:p>
    <w:p>
      <w:pPr>
        <w:spacing w:line="312"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本标准中规定阳极表面质量如下：无污染，无脏物。阳极表面每平方米的划痕不得超过三处，每个划痕长度小于10</w:t>
      </w:r>
      <w:r>
        <w:rPr>
          <w:rFonts w:ascii="Times New Roman" w:hAnsi="Times New Roman" w:eastAsia="宋体" w:cs="Times New Roman"/>
          <w:sz w:val="24"/>
          <w:szCs w:val="21"/>
        </w:rPr>
        <w:t xml:space="preserve">mm </w:t>
      </w:r>
      <w:r>
        <w:rPr>
          <w:rFonts w:hint="eastAsia" w:ascii="Times New Roman" w:hAnsi="Times New Roman" w:eastAsia="宋体" w:cs="Times New Roman"/>
          <w:sz w:val="24"/>
          <w:szCs w:val="21"/>
        </w:rPr>
        <w:t>，宽小于2</w:t>
      </w:r>
      <w:r>
        <w:rPr>
          <w:rFonts w:ascii="Times New Roman" w:hAnsi="Times New Roman" w:eastAsia="宋体" w:cs="Times New Roman"/>
          <w:sz w:val="24"/>
          <w:szCs w:val="21"/>
        </w:rPr>
        <w:t>mm</w:t>
      </w:r>
      <w:r>
        <w:rPr>
          <w:rFonts w:hint="eastAsia" w:ascii="Times New Roman" w:hAnsi="Times New Roman" w:eastAsia="宋体" w:cs="Times New Roman"/>
          <w:sz w:val="24"/>
          <w:szCs w:val="21"/>
        </w:rPr>
        <w:t>。阳极表面每平方米的擦伤不得超过二处，每处擦伤面积小于5</w:t>
      </w:r>
      <w:r>
        <w:rPr>
          <w:rFonts w:ascii="Times New Roman" w:hAnsi="Times New Roman" w:eastAsia="宋体" w:cs="Times New Roman"/>
          <w:sz w:val="24"/>
          <w:szCs w:val="21"/>
        </w:rPr>
        <w:t>mm</w:t>
      </w:r>
      <w:r>
        <w:rPr>
          <w:rFonts w:ascii="Times New Roman" w:hAnsi="Times New Roman" w:eastAsia="宋体" w:cs="Times New Roman"/>
          <w:sz w:val="24"/>
          <w:szCs w:val="21"/>
          <w:vertAlign w:val="superscript"/>
        </w:rPr>
        <w:t>2</w:t>
      </w:r>
      <w:r>
        <w:rPr>
          <w:rFonts w:hint="eastAsia" w:ascii="Times New Roman" w:hAnsi="Times New Roman" w:eastAsia="宋体" w:cs="Times New Roman"/>
          <w:sz w:val="24"/>
          <w:szCs w:val="21"/>
        </w:rPr>
        <w:t>。</w:t>
      </w:r>
    </w:p>
    <w:p>
      <w:pPr>
        <w:widowControl/>
        <w:autoSpaceDE w:val="0"/>
        <w:autoSpaceDN w:val="0"/>
        <w:spacing w:before="156" w:beforeLines="50" w:after="156" w:afterLines="50"/>
        <w:jc w:val="center"/>
        <w:rPr>
          <w:rFonts w:ascii="Times New Roman" w:hAnsi="Times New Roman" w:eastAsia="宋体" w:cs="Times New Roman"/>
          <w:szCs w:val="21"/>
        </w:rPr>
      </w:pPr>
      <w:r>
        <w:rPr>
          <w:rFonts w:hint="eastAsia" w:ascii="Times New Roman" w:hAnsi="Times New Roman" w:eastAsia="宋体" w:cs="Times New Roman"/>
          <w:szCs w:val="21"/>
        </w:rPr>
        <w:t>表</w:t>
      </w:r>
      <w:r>
        <w:rPr>
          <w:rFonts w:ascii="Times New Roman" w:hAnsi="Times New Roman" w:eastAsia="宋体" w:cs="Times New Roman"/>
          <w:szCs w:val="21"/>
        </w:rPr>
        <w:t xml:space="preserve">7 </w:t>
      </w:r>
      <w:r>
        <w:rPr>
          <w:rFonts w:hint="eastAsia" w:ascii="Times New Roman" w:hAnsi="Times New Roman" w:eastAsia="宋体" w:cs="Times New Roman"/>
          <w:szCs w:val="21"/>
        </w:rPr>
        <w:t>试样的表面质量情况</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457"/>
        <w:gridCol w:w="2132"/>
        <w:gridCol w:w="1656"/>
        <w:gridCol w:w="21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57"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试样编号</w:t>
            </w:r>
          </w:p>
        </w:tc>
        <w:tc>
          <w:tcPr>
            <w:tcW w:w="2132"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污染、脏物情况</w:t>
            </w:r>
          </w:p>
        </w:tc>
        <w:tc>
          <w:tcPr>
            <w:tcW w:w="165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划痕情况</w:t>
            </w:r>
          </w:p>
        </w:tc>
        <w:tc>
          <w:tcPr>
            <w:tcW w:w="212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擦伤情况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57"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1</w:t>
            </w:r>
          </w:p>
        </w:tc>
        <w:tc>
          <w:tcPr>
            <w:tcW w:w="2132"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c>
          <w:tcPr>
            <w:tcW w:w="165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c>
          <w:tcPr>
            <w:tcW w:w="212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1处，</w:t>
            </w:r>
            <w:r>
              <w:rPr>
                <w:rFonts w:hint="eastAsia" w:ascii="Times New Roman" w:hAnsi="Times New Roman" w:eastAsia="宋体" w:cs="Times New Roman"/>
                <w:sz w:val="24"/>
                <w:szCs w:val="21"/>
              </w:rPr>
              <w:t>2</w:t>
            </w:r>
            <w:r>
              <w:rPr>
                <w:rFonts w:ascii="Times New Roman" w:hAnsi="Times New Roman" w:eastAsia="宋体" w:cs="Times New Roman"/>
                <w:sz w:val="24"/>
                <w:szCs w:val="21"/>
              </w:rPr>
              <w:t>mm</w:t>
            </w:r>
            <w:r>
              <w:rPr>
                <w:rFonts w:ascii="Times New Roman" w:hAnsi="Times New Roman" w:eastAsia="宋体" w:cs="Times New Roman"/>
                <w:sz w:val="24"/>
                <w:szCs w:val="21"/>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57"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2132"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c>
          <w:tcPr>
            <w:tcW w:w="165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c>
          <w:tcPr>
            <w:tcW w:w="212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57"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3</w:t>
            </w:r>
          </w:p>
        </w:tc>
        <w:tc>
          <w:tcPr>
            <w:tcW w:w="2132"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c>
          <w:tcPr>
            <w:tcW w:w="165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1处，3mm</w:t>
            </w:r>
          </w:p>
        </w:tc>
        <w:tc>
          <w:tcPr>
            <w:tcW w:w="2126"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w:t>
            </w:r>
          </w:p>
        </w:tc>
      </w:tr>
    </w:tbl>
    <w:p>
      <w:pPr>
        <w:spacing w:before="156" w:beforeLines="50" w:after="156" w:afterLines="50" w:line="400" w:lineRule="exact"/>
        <w:rPr>
          <w:rFonts w:ascii="宋体" w:hAnsi="宋体" w:eastAsia="宋体" w:cs="Times New Roman"/>
          <w:b/>
          <w:bCs/>
          <w:sz w:val="24"/>
          <w:szCs w:val="21"/>
        </w:rPr>
      </w:pPr>
      <w:r>
        <w:rPr>
          <w:rFonts w:hint="eastAsia" w:ascii="宋体" w:hAnsi="宋体" w:eastAsia="宋体" w:cs="Times New Roman"/>
          <w:b/>
          <w:bCs/>
          <w:sz w:val="24"/>
          <w:szCs w:val="21"/>
        </w:rPr>
        <w:t>c. 涂层与基材结合状态</w:t>
      </w:r>
    </w:p>
    <w:p>
      <w:pPr>
        <w:spacing w:line="312"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本标准中的涂层表层结合状态检验：绕Ф20金属棒弯曲180度涂层无剥落为合格。</w:t>
      </w:r>
    </w:p>
    <w:p>
      <w:pPr>
        <w:widowControl/>
        <w:autoSpaceDE w:val="0"/>
        <w:autoSpaceDN w:val="0"/>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表8 阳极涂层与基材结合状态情况</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168"/>
        <w:gridCol w:w="2843"/>
        <w:gridCol w:w="23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68"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p>
          <w:p>
            <w:pPr>
              <w:spacing w:before="156" w:beforeLines="50" w:after="156" w:afterLines="50" w:line="400" w:lineRule="exact"/>
              <w:jc w:val="center"/>
              <w:rPr>
                <w:rFonts w:ascii="Times New Roman" w:hAnsi="Times New Roman" w:eastAsia="宋体" w:cs="Times New Roman"/>
                <w:szCs w:val="21"/>
              </w:rPr>
            </w:pPr>
          </w:p>
        </w:tc>
        <w:tc>
          <w:tcPr>
            <w:tcW w:w="2843"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剥离情况</w:t>
            </w:r>
          </w:p>
        </w:tc>
        <w:tc>
          <w:tcPr>
            <w:tcW w:w="2360"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检验结果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68"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1</w:t>
            </w:r>
          </w:p>
        </w:tc>
        <w:tc>
          <w:tcPr>
            <w:tcW w:w="2843"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无剥离</w:t>
            </w:r>
          </w:p>
        </w:tc>
        <w:tc>
          <w:tcPr>
            <w:tcW w:w="2360"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68"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2843"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无剥离</w:t>
            </w:r>
          </w:p>
        </w:tc>
        <w:tc>
          <w:tcPr>
            <w:tcW w:w="2360"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68"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3</w:t>
            </w:r>
          </w:p>
        </w:tc>
        <w:tc>
          <w:tcPr>
            <w:tcW w:w="2843"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无剥离</w:t>
            </w:r>
          </w:p>
        </w:tc>
        <w:tc>
          <w:tcPr>
            <w:tcW w:w="2360" w:type="dxa"/>
            <w:shd w:val="clear" w:color="auto" w:fill="auto"/>
            <w:vAlign w:val="center"/>
          </w:tcPr>
          <w:p>
            <w:pPr>
              <w:spacing w:before="156" w:beforeLines="50" w:after="156" w:afterLines="50" w:line="400" w:lineRule="exact"/>
              <w:jc w:val="center"/>
              <w:rPr>
                <w:rFonts w:ascii="Times New Roman" w:hAnsi="Times New Roman" w:eastAsia="宋体" w:cs="Times New Roman"/>
                <w:szCs w:val="21"/>
              </w:rPr>
            </w:pPr>
            <w:r>
              <w:rPr>
                <w:rFonts w:ascii="Times New Roman" w:hAnsi="Times New Roman" w:eastAsia="宋体" w:cs="Times New Roman"/>
                <w:szCs w:val="21"/>
              </w:rPr>
              <w:t>合格</w:t>
            </w:r>
          </w:p>
        </w:tc>
      </w:tr>
    </w:tbl>
    <w:p>
      <w:pPr>
        <w:numPr>
          <w:ilvl w:val="0"/>
          <w:numId w:val="2"/>
        </w:numPr>
        <w:spacing w:before="156" w:beforeLines="50" w:after="156" w:afterLines="50" w:line="400" w:lineRule="exact"/>
        <w:rPr>
          <w:rFonts w:ascii="宋体" w:hAnsi="宋体" w:eastAsia="宋体" w:cs="Times New Roman"/>
          <w:b/>
          <w:sz w:val="24"/>
          <w:szCs w:val="21"/>
        </w:rPr>
      </w:pPr>
      <w:r>
        <w:rPr>
          <w:rFonts w:hint="eastAsia" w:ascii="宋体" w:hAnsi="宋体" w:eastAsia="宋体" w:cs="Times New Roman"/>
          <w:b/>
          <w:sz w:val="24"/>
          <w:szCs w:val="21"/>
        </w:rPr>
        <w:t>标准水平分析</w:t>
      </w:r>
    </w:p>
    <w:p>
      <w:pPr>
        <w:spacing w:line="312" w:lineRule="auto"/>
        <w:ind w:firstLine="480" w:firstLineChars="200"/>
        <w:rPr>
          <w:rFonts w:ascii="宋体" w:hAnsi="宋体" w:eastAsia="宋体" w:cs="Times New Roman"/>
          <w:sz w:val="24"/>
          <w:szCs w:val="21"/>
        </w:rPr>
      </w:pPr>
      <w:r>
        <w:rPr>
          <w:rFonts w:ascii="宋体" w:hAnsi="宋体" w:eastAsia="宋体" w:cs="Times New Roman"/>
          <w:sz w:val="24"/>
          <w:szCs w:val="21"/>
        </w:rPr>
        <w:t>国内现有与阴极保护相关的标准主要涉及阴极保护设计规范、阴极保护施工及验收规范、镁锌等牺牲阳极应用技术等，国外与阴极保护相关且有权威性的技术规范主要有美国、英国和苏联的技术规范，所涉及的标准也主要为阴极保护设计规范、阴极保护施工及验收规范，目前修订的标准</w:t>
      </w:r>
      <w:r>
        <w:rPr>
          <w:rFonts w:hint="eastAsia" w:ascii="Times New Roman" w:hAnsi="Times New Roman" w:eastAsia="宋体" w:cs="Times New Roman"/>
          <w:sz w:val="24"/>
          <w:szCs w:val="21"/>
        </w:rPr>
        <w:t>Y</w:t>
      </w:r>
      <w:r>
        <w:rPr>
          <w:rFonts w:ascii="Times New Roman" w:hAnsi="Times New Roman" w:eastAsia="宋体" w:cs="Times New Roman"/>
          <w:sz w:val="24"/>
          <w:szCs w:val="21"/>
        </w:rPr>
        <w:t>S/T 828-2012</w:t>
      </w:r>
      <w:r>
        <w:rPr>
          <w:rFonts w:ascii="宋体" w:hAnsi="宋体" w:eastAsia="宋体" w:cs="Times New Roman"/>
          <w:sz w:val="24"/>
          <w:szCs w:val="21"/>
        </w:rPr>
        <w:t>《土壤及淡水阴极保护用钛阳极》已实施</w:t>
      </w:r>
      <w:r>
        <w:rPr>
          <w:rFonts w:ascii="Times New Roman" w:hAnsi="Times New Roman" w:eastAsia="宋体" w:cs="Times New Roman"/>
          <w:sz w:val="24"/>
          <w:szCs w:val="21"/>
        </w:rPr>
        <w:t>7年</w:t>
      </w:r>
      <w:r>
        <w:rPr>
          <w:rFonts w:ascii="宋体" w:hAnsi="宋体" w:eastAsia="宋体" w:cs="Times New Roman"/>
          <w:sz w:val="24"/>
          <w:szCs w:val="21"/>
        </w:rPr>
        <w:t>，随着技术的不断发展，该标准涉及的产品范围已不能满足产品市场的需</w:t>
      </w:r>
      <w:r>
        <w:rPr>
          <w:rFonts w:hint="eastAsia" w:ascii="宋体" w:hAnsi="宋体" w:eastAsia="宋体" w:cs="Times New Roman"/>
          <w:sz w:val="24"/>
          <w:szCs w:val="21"/>
        </w:rPr>
        <w:t>求</w:t>
      </w:r>
      <w:r>
        <w:rPr>
          <w:rFonts w:ascii="宋体" w:hAnsi="宋体" w:eastAsia="宋体" w:cs="Times New Roman"/>
          <w:sz w:val="24"/>
          <w:szCs w:val="21"/>
        </w:rPr>
        <w:t>，本标准的修订将为我国阴极保护领域提供标准的钛阳极，使提供的钛阳极涂层类型规范化、阳极寿命可检测，这样可以保证钛阳极在阴极保护系统中正常工作几十年，给金属构件提供有效的保护，对于完善和健全我国防腐蚀标准架构、安全、节能具有重要意义</w:t>
      </w:r>
      <w:r>
        <w:rPr>
          <w:rFonts w:hint="eastAsia" w:ascii="宋体" w:hAnsi="宋体" w:eastAsia="宋体" w:cs="Times New Roman"/>
          <w:sz w:val="24"/>
          <w:szCs w:val="21"/>
        </w:rPr>
        <w:t>，</w:t>
      </w:r>
      <w:r>
        <w:rPr>
          <w:rFonts w:ascii="宋体" w:hAnsi="宋体" w:eastAsia="宋体" w:cs="Times New Roman"/>
          <w:sz w:val="24"/>
          <w:szCs w:val="21"/>
        </w:rPr>
        <w:t>也可使该类产品更快的融入国际市场。</w:t>
      </w:r>
    </w:p>
    <w:p>
      <w:pPr>
        <w:spacing w:line="312"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本标准在制定过程中，充分考虑了我国阴极保护用钛阳极行业的市场需求以及用户的要求，标准的技术指标合理、先进，达到了国内先进水平。</w:t>
      </w:r>
    </w:p>
    <w:p>
      <w:pPr>
        <w:numPr>
          <w:ilvl w:val="0"/>
          <w:numId w:val="2"/>
        </w:numPr>
        <w:spacing w:before="156" w:beforeLines="50" w:after="156" w:afterLines="50" w:line="400" w:lineRule="exact"/>
        <w:rPr>
          <w:rFonts w:ascii="宋体" w:hAnsi="宋体" w:eastAsia="宋体" w:cs="Times New Roman"/>
          <w:b/>
          <w:sz w:val="24"/>
          <w:szCs w:val="21"/>
        </w:rPr>
      </w:pPr>
      <w:r>
        <w:rPr>
          <w:rFonts w:hint="eastAsia" w:ascii="宋体" w:hAnsi="宋体" w:eastAsia="宋体" w:cs="Times New Roman"/>
          <w:b/>
          <w:sz w:val="24"/>
          <w:szCs w:val="21"/>
        </w:rPr>
        <w:t>与现行法律、法规和强制性国家标准及相关标准协调配套情况</w:t>
      </w:r>
    </w:p>
    <w:p>
      <w:pPr>
        <w:spacing w:line="312"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本标准是对</w:t>
      </w:r>
      <w:r>
        <w:rPr>
          <w:rFonts w:ascii="Times New Roman" w:hAnsi="Times New Roman" w:eastAsia="宋体" w:cs="Times New Roman"/>
          <w:sz w:val="24"/>
          <w:szCs w:val="21"/>
        </w:rPr>
        <w:t>YS/T 828-2012</w:t>
      </w:r>
      <w:r>
        <w:rPr>
          <w:rFonts w:hint="eastAsia" w:ascii="宋体" w:hAnsi="宋体" w:eastAsia="宋体" w:cs="Times New Roman"/>
          <w:sz w:val="24"/>
          <w:szCs w:val="21"/>
        </w:rPr>
        <w:t>《土壤及淡水环境阴极保护用钛阳极》标准的修订。</w:t>
      </w:r>
    </w:p>
    <w:p>
      <w:pPr>
        <w:numPr>
          <w:ilvl w:val="0"/>
          <w:numId w:val="2"/>
        </w:numPr>
        <w:spacing w:before="156" w:beforeLines="50" w:after="156" w:afterLines="50" w:line="400" w:lineRule="exact"/>
        <w:rPr>
          <w:rFonts w:ascii="宋体" w:hAnsi="宋体" w:eastAsia="宋体" w:cs="Times New Roman"/>
          <w:b/>
          <w:sz w:val="24"/>
          <w:szCs w:val="21"/>
        </w:rPr>
      </w:pPr>
      <w:r>
        <w:rPr>
          <w:rFonts w:hint="eastAsia" w:ascii="宋体" w:hAnsi="宋体" w:eastAsia="宋体" w:cs="Times New Roman"/>
          <w:b/>
          <w:sz w:val="24"/>
          <w:szCs w:val="21"/>
        </w:rPr>
        <w:t>重大分歧意见的处理经过和依据</w:t>
      </w:r>
    </w:p>
    <w:p>
      <w:pPr>
        <w:spacing w:before="156" w:beforeLines="50" w:after="156" w:afterLines="50" w:line="400" w:lineRule="exact"/>
        <w:rPr>
          <w:rFonts w:ascii="宋体" w:hAnsi="宋体" w:eastAsia="宋体" w:cs="Times New Roman"/>
          <w:sz w:val="24"/>
          <w:szCs w:val="21"/>
        </w:rPr>
      </w:pPr>
      <w:r>
        <w:rPr>
          <w:rFonts w:hint="eastAsia" w:ascii="宋体" w:hAnsi="宋体" w:eastAsia="宋体" w:cs="Times New Roman"/>
          <w:sz w:val="24"/>
          <w:szCs w:val="21"/>
        </w:rPr>
        <w:t xml:space="preserve"> </w:t>
      </w:r>
      <w:r>
        <w:rPr>
          <w:rFonts w:ascii="宋体" w:hAnsi="宋体" w:eastAsia="宋体" w:cs="Times New Roman"/>
          <w:sz w:val="24"/>
          <w:szCs w:val="21"/>
        </w:rPr>
        <w:t xml:space="preserve">   无。</w:t>
      </w:r>
    </w:p>
    <w:p>
      <w:pPr>
        <w:numPr>
          <w:ilvl w:val="0"/>
          <w:numId w:val="2"/>
        </w:numPr>
        <w:spacing w:before="156" w:beforeLines="50" w:after="156" w:afterLines="50" w:line="400" w:lineRule="exact"/>
        <w:rPr>
          <w:rFonts w:ascii="宋体" w:hAnsi="宋体" w:eastAsia="宋体" w:cs="Times New Roman"/>
          <w:b/>
          <w:sz w:val="24"/>
          <w:szCs w:val="21"/>
        </w:rPr>
      </w:pPr>
      <w:r>
        <w:rPr>
          <w:rFonts w:hint="eastAsia" w:ascii="宋体" w:hAnsi="宋体" w:eastAsia="宋体" w:cs="Times New Roman"/>
          <w:b/>
          <w:sz w:val="24"/>
          <w:szCs w:val="24"/>
        </w:rPr>
        <w:t>标准作为强制性或推荐性行业标准的建议</w:t>
      </w:r>
    </w:p>
    <w:p>
      <w:pPr>
        <w:spacing w:line="312" w:lineRule="auto"/>
        <w:ind w:firstLine="480" w:firstLineChars="200"/>
        <w:rPr>
          <w:rFonts w:ascii="宋体" w:hAnsi="宋体" w:eastAsia="宋体" w:cs="Times New Roman"/>
          <w:sz w:val="24"/>
          <w:szCs w:val="24"/>
        </w:rPr>
      </w:pPr>
      <w:r>
        <w:rPr>
          <w:rFonts w:hint="eastAsia" w:ascii="宋体" w:hAnsi="宋体" w:eastAsia="宋体" w:cs="Times New Roman"/>
          <w:sz w:val="24"/>
          <w:szCs w:val="21"/>
        </w:rPr>
        <w:t>本标准是根据我国实际生产使用情况制定的，其整体内容达到国内先进水平。建议作为推荐性行业标准发布实施。</w:t>
      </w:r>
    </w:p>
    <w:p>
      <w:pPr>
        <w:numPr>
          <w:ilvl w:val="0"/>
          <w:numId w:val="2"/>
        </w:numPr>
        <w:spacing w:before="156" w:beforeLines="50" w:after="156" w:afterLines="50" w:line="400" w:lineRule="exact"/>
        <w:ind w:left="357" w:hanging="357"/>
        <w:rPr>
          <w:rFonts w:ascii="宋体" w:hAnsi="宋体" w:eastAsia="宋体" w:cs="Times New Roman"/>
          <w:b/>
          <w:sz w:val="24"/>
          <w:szCs w:val="24"/>
        </w:rPr>
      </w:pPr>
      <w:r>
        <w:rPr>
          <w:rFonts w:hint="eastAsia" w:ascii="宋体" w:hAnsi="宋体" w:eastAsia="宋体" w:cs="Times New Roman"/>
          <w:b/>
          <w:sz w:val="24"/>
          <w:szCs w:val="24"/>
        </w:rPr>
        <w:t>贯彻标准的要求和措施建议</w:t>
      </w:r>
    </w:p>
    <w:p>
      <w:pPr>
        <w:spacing w:line="312" w:lineRule="auto"/>
        <w:ind w:firstLine="480" w:firstLineChars="200"/>
        <w:rPr>
          <w:rFonts w:ascii="宋体" w:hAnsi="宋体" w:eastAsia="宋体" w:cs="Times New Roman"/>
          <w:sz w:val="24"/>
          <w:szCs w:val="24"/>
        </w:rPr>
      </w:pPr>
      <w:r>
        <w:rPr>
          <w:rFonts w:ascii="宋体" w:hAnsi="宋体" w:eastAsia="宋体" w:cs="Times New Roman"/>
          <w:sz w:val="24"/>
          <w:szCs w:val="24"/>
        </w:rPr>
        <w:t>无。</w:t>
      </w:r>
    </w:p>
    <w:p>
      <w:pPr>
        <w:numPr>
          <w:ilvl w:val="0"/>
          <w:numId w:val="2"/>
        </w:numPr>
        <w:spacing w:line="400" w:lineRule="exact"/>
        <w:rPr>
          <w:rFonts w:ascii="宋体" w:hAnsi="宋体" w:eastAsia="宋体" w:cs="Times New Roman"/>
          <w:b/>
          <w:sz w:val="24"/>
          <w:szCs w:val="24"/>
        </w:rPr>
      </w:pPr>
      <w:r>
        <w:rPr>
          <w:rFonts w:hint="eastAsia" w:ascii="宋体" w:hAnsi="宋体" w:eastAsia="宋体" w:cs="Times New Roman"/>
          <w:b/>
          <w:sz w:val="24"/>
          <w:szCs w:val="21"/>
        </w:rPr>
        <w:t>废止现行有关标准的建议</w:t>
      </w:r>
    </w:p>
    <w:p>
      <w:pPr>
        <w:spacing w:line="312"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无。</w:t>
      </w:r>
    </w:p>
    <w:p>
      <w:pPr>
        <w:numPr>
          <w:ilvl w:val="0"/>
          <w:numId w:val="2"/>
        </w:numPr>
        <w:spacing w:before="156" w:beforeLines="50" w:after="156" w:afterLines="50" w:line="400" w:lineRule="exact"/>
        <w:rPr>
          <w:rFonts w:ascii="宋体" w:hAnsi="宋体" w:eastAsia="宋体" w:cs="Times New Roman"/>
          <w:b/>
          <w:sz w:val="24"/>
          <w:szCs w:val="24"/>
        </w:rPr>
      </w:pPr>
      <w:r>
        <w:rPr>
          <w:rFonts w:hint="eastAsia" w:ascii="宋体" w:hAnsi="宋体" w:eastAsia="宋体" w:cs="Times New Roman"/>
          <w:b/>
          <w:sz w:val="24"/>
          <w:szCs w:val="21"/>
        </w:rPr>
        <w:t>其他予以说明的事项</w:t>
      </w:r>
    </w:p>
    <w:p>
      <w:pPr>
        <w:spacing w:line="312" w:lineRule="auto"/>
        <w:ind w:firstLine="480" w:firstLineChars="200"/>
        <w:rPr>
          <w:rFonts w:ascii="宋体" w:hAnsi="宋体" w:eastAsia="宋体" w:cs="Times New Roman"/>
          <w:sz w:val="24"/>
          <w:szCs w:val="24"/>
        </w:rPr>
      </w:pPr>
      <w:r>
        <w:rPr>
          <w:rFonts w:hint="eastAsia" w:ascii="宋体" w:hAnsi="宋体" w:eastAsia="宋体" w:cs="Times New Roman"/>
          <w:sz w:val="24"/>
          <w:szCs w:val="21"/>
        </w:rPr>
        <w:t>无。</w:t>
      </w:r>
    </w:p>
    <w:p>
      <w:pPr>
        <w:numPr>
          <w:ilvl w:val="0"/>
          <w:numId w:val="2"/>
        </w:numPr>
        <w:spacing w:line="400" w:lineRule="exact"/>
        <w:ind w:left="357" w:hanging="357"/>
        <w:rPr>
          <w:rFonts w:ascii="宋体" w:hAnsi="宋体" w:eastAsia="宋体" w:cs="Times New Roman"/>
          <w:b/>
          <w:sz w:val="24"/>
          <w:szCs w:val="24"/>
        </w:rPr>
      </w:pPr>
      <w:r>
        <w:rPr>
          <w:rFonts w:hint="eastAsia" w:ascii="宋体" w:hAnsi="宋体" w:eastAsia="宋体" w:cs="Times New Roman"/>
          <w:b/>
          <w:sz w:val="24"/>
          <w:szCs w:val="21"/>
        </w:rPr>
        <w:t>预期效果</w:t>
      </w:r>
    </w:p>
    <w:p>
      <w:pPr>
        <w:spacing w:line="312"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本标准的制定将为生产、使用、贸易三方提供最基本的技术依据，在本标准的基础之上促使生产方正确采用原材料，合理调整生产工艺，完善检测手段,更细致地划分本企业的产品，为用户生产出更满意的产品，让使用方合理、高效率低消耗地使用本产品。它将会带来技术进步、性能提高的竞争局面。</w:t>
      </w:r>
    </w:p>
    <w:p>
      <w:pPr>
        <w:spacing w:line="400" w:lineRule="exact"/>
        <w:jc w:val="right"/>
        <w:rPr>
          <w:rFonts w:ascii="Times New Roman" w:hAnsi="Times New Roman" w:eastAsia="宋体" w:cs="Times New Roman"/>
          <w:sz w:val="24"/>
          <w:szCs w:val="32"/>
        </w:rPr>
      </w:pPr>
      <w:bookmarkStart w:id="26" w:name="_GoBack"/>
      <w:r>
        <w:rPr>
          <w:rFonts w:hint="eastAsia" w:ascii="宋体" w:hAnsi="宋体" w:eastAsia="宋体" w:cs="Times New Roman"/>
          <w:sz w:val="24"/>
          <w:szCs w:val="32"/>
        </w:rPr>
        <w:t>《阴极保护用钛阳极》标准编制组</w:t>
      </w:r>
      <w:r>
        <w:rPr>
          <w:rFonts w:ascii="Times New Roman" w:hAnsi="Times New Roman" w:eastAsia="宋体" w:cs="Times New Roman"/>
          <w:sz w:val="24"/>
          <w:szCs w:val="32"/>
        </w:rPr>
        <w:t>202</w:t>
      </w:r>
      <w:r>
        <w:rPr>
          <w:rFonts w:hint="eastAsia" w:ascii="Times New Roman" w:hAnsi="Times New Roman" w:eastAsia="宋体" w:cs="Times New Roman"/>
          <w:sz w:val="24"/>
          <w:szCs w:val="32"/>
          <w:lang w:val="en-US" w:eastAsia="zh-CN"/>
        </w:rPr>
        <w:t>1</w:t>
      </w:r>
      <w:r>
        <w:rPr>
          <w:rFonts w:ascii="Times New Roman" w:hAnsi="Times New Roman" w:eastAsia="宋体" w:cs="Times New Roman"/>
          <w:sz w:val="24"/>
          <w:szCs w:val="32"/>
        </w:rPr>
        <w:t>.1.12</w:t>
      </w:r>
    </w:p>
    <w:bookmarkEnd w:id="26"/>
    <w:p>
      <w:pPr>
        <w:widowControl/>
        <w:jc w:val="left"/>
      </w:pPr>
      <w:r>
        <w:br w:type="page"/>
      </w:r>
    </w:p>
    <w:p>
      <w:pPr>
        <w:pStyle w:val="10"/>
        <w:spacing w:line="360" w:lineRule="auto"/>
        <w:ind w:firstLine="0" w:firstLineChars="0"/>
        <w:jc w:val="center"/>
        <w:outlineLvl w:val="0"/>
        <w:rPr>
          <w:rFonts w:ascii="黑体" w:hAnsi="黑体" w:eastAsia="黑体"/>
        </w:rPr>
      </w:pPr>
      <w:bookmarkStart w:id="6" w:name="_Toc55844949"/>
      <w:r>
        <w:rPr>
          <w:rFonts w:hint="eastAsia" w:ascii="Times New Roman" w:eastAsia="黑体"/>
        </w:rPr>
        <w:t>附录A</w:t>
      </w:r>
      <w:bookmarkEnd w:id="6"/>
    </w:p>
    <w:p>
      <w:pPr>
        <w:pStyle w:val="12"/>
        <w:numPr>
          <w:ilvl w:val="0"/>
          <w:numId w:val="0"/>
        </w:numPr>
        <w:spacing w:before="0" w:after="0" w:line="360" w:lineRule="auto"/>
        <w:outlineLvl w:val="9"/>
        <w:rPr>
          <w:rFonts w:ascii="Times New Roman"/>
        </w:rPr>
      </w:pPr>
      <w:r>
        <w:rPr>
          <w:rFonts w:hint="eastAsia" w:ascii="Times New Roman"/>
        </w:rPr>
        <w:t>(规范性)</w:t>
      </w:r>
    </w:p>
    <w:p>
      <w:pPr>
        <w:pStyle w:val="12"/>
        <w:numPr>
          <w:ilvl w:val="0"/>
          <w:numId w:val="0"/>
        </w:numPr>
        <w:spacing w:before="0" w:after="0" w:line="360" w:lineRule="auto"/>
        <w:outlineLvl w:val="9"/>
        <w:rPr>
          <w:rFonts w:ascii="Times New Roman"/>
        </w:rPr>
      </w:pPr>
      <w:bookmarkStart w:id="7" w:name="_Toc51402382"/>
      <w:r>
        <w:rPr>
          <w:rFonts w:hint="eastAsia" w:ascii="Times New Roman"/>
        </w:rPr>
        <w:t>土壤及淡水环境阴极保护用钛阳极强化寿命检测方法</w:t>
      </w:r>
      <w:bookmarkEnd w:id="7"/>
    </w:p>
    <w:p>
      <w:pPr>
        <w:widowControl/>
        <w:spacing w:before="312" w:beforeLines="100" w:after="312" w:afterLines="100" w:line="360" w:lineRule="auto"/>
        <w:jc w:val="left"/>
        <w:outlineLvl w:val="0"/>
        <w:rPr>
          <w:rFonts w:ascii="黑体" w:hAnsi="黑体" w:eastAsia="黑体"/>
          <w:kern w:val="0"/>
          <w:szCs w:val="21"/>
        </w:rPr>
      </w:pPr>
      <w:bookmarkStart w:id="8" w:name="_Toc55844950"/>
      <w:r>
        <w:rPr>
          <w:rFonts w:hint="eastAsia" w:ascii="黑体" w:hAnsi="黑体" w:eastAsia="黑体"/>
          <w:kern w:val="0"/>
          <w:szCs w:val="21"/>
        </w:rPr>
        <w:t>A</w:t>
      </w:r>
      <w:r>
        <w:rPr>
          <w:rFonts w:ascii="黑体" w:hAnsi="黑体" w:eastAsia="黑体"/>
          <w:kern w:val="0"/>
          <w:szCs w:val="21"/>
        </w:rPr>
        <w:t xml:space="preserve">.1 </w:t>
      </w:r>
      <w:r>
        <w:rPr>
          <w:rFonts w:hint="eastAsia" w:ascii="黑体" w:hAnsi="黑体" w:eastAsia="黑体"/>
          <w:kern w:val="0"/>
          <w:szCs w:val="21"/>
        </w:rPr>
        <w:t>方法原理</w:t>
      </w:r>
      <w:bookmarkEnd w:id="8"/>
    </w:p>
    <w:p>
      <w:pPr>
        <w:pStyle w:val="19"/>
        <w:widowControl/>
        <w:tabs>
          <w:tab w:val="left" w:pos="360"/>
        </w:tabs>
        <w:wordWrap w:val="0"/>
        <w:overflowPunct w:val="0"/>
        <w:autoSpaceDE w:val="0"/>
        <w:textAlignment w:val="baseline"/>
        <w:rPr>
          <w:rFonts w:ascii="宋体" w:hAnsi="宋体"/>
          <w:kern w:val="21"/>
          <w:szCs w:val="20"/>
        </w:rPr>
      </w:pPr>
      <w:bookmarkStart w:id="9" w:name="_Toc55844951"/>
      <w:r>
        <w:rPr>
          <w:rFonts w:hint="eastAsia" w:ascii="宋体" w:hAnsi="宋体"/>
          <w:kern w:val="21"/>
          <w:szCs w:val="20"/>
        </w:rPr>
        <w:t>本附录适合土壤及淡水环境阴极保护用钛阳极的强化寿命测试，用来评价钛阳极是否能在额定电流输出条件下达到规定的设计寿命。</w:t>
      </w:r>
    </w:p>
    <w:p>
      <w:pPr>
        <w:pStyle w:val="19"/>
        <w:widowControl/>
        <w:tabs>
          <w:tab w:val="left" w:pos="360"/>
        </w:tabs>
        <w:wordWrap w:val="0"/>
        <w:overflowPunct w:val="0"/>
        <w:autoSpaceDE w:val="0"/>
        <w:textAlignment w:val="baseline"/>
      </w:pPr>
      <w:r>
        <w:t>钛阳极实际使用寿命</w:t>
      </w:r>
      <w:r>
        <w:rPr>
          <w:rFonts w:hint="eastAsia"/>
        </w:rPr>
        <w:t>一般在10年以上，本附录</w:t>
      </w:r>
      <w:r>
        <w:t>采用大电流测强化寿命。</w:t>
      </w:r>
      <w:r>
        <w:rPr>
          <w:rFonts w:ascii="宋体" w:hAnsi="宋体"/>
        </w:rPr>
        <w:t>在规定电流密度下，阳极表面</w:t>
      </w:r>
      <w:r>
        <w:rPr>
          <w:rFonts w:hint="eastAsia" w:ascii="宋体" w:hAnsi="宋体"/>
        </w:rPr>
        <w:t>强化寿命测试</w:t>
      </w:r>
      <w:r>
        <w:rPr>
          <w:rFonts w:ascii="宋体" w:hAnsi="宋体"/>
        </w:rPr>
        <w:t>通过的总电荷密度达到或超过阳极实际使用寿命期限内阳极表面通过的总电荷密度</w:t>
      </w:r>
      <w:r>
        <w:rPr>
          <w:rFonts w:hint="eastAsia" w:ascii="宋体" w:hAnsi="宋体"/>
        </w:rPr>
        <w:t>判断阳极寿命为合格，否则判阳极寿命不合格。</w:t>
      </w:r>
    </w:p>
    <w:p>
      <w:pPr>
        <w:widowControl/>
        <w:spacing w:before="312" w:beforeLines="100" w:after="312" w:afterLines="100" w:line="360" w:lineRule="auto"/>
        <w:jc w:val="left"/>
        <w:outlineLvl w:val="0"/>
        <w:rPr>
          <w:rFonts w:ascii="黑体" w:hAnsi="黑体" w:eastAsia="黑体"/>
          <w:kern w:val="0"/>
          <w:szCs w:val="21"/>
        </w:rPr>
      </w:pPr>
      <w:r>
        <w:rPr>
          <w:rFonts w:hint="eastAsia" w:ascii="黑体" w:hAnsi="黑体" w:eastAsia="黑体"/>
          <w:kern w:val="0"/>
          <w:szCs w:val="21"/>
        </w:rPr>
        <w:t>A</w:t>
      </w:r>
      <w:r>
        <w:rPr>
          <w:rFonts w:ascii="黑体" w:hAnsi="黑体" w:eastAsia="黑体"/>
          <w:kern w:val="0"/>
          <w:szCs w:val="21"/>
        </w:rPr>
        <w:t xml:space="preserve">.2 </w:t>
      </w:r>
      <w:r>
        <w:rPr>
          <w:rFonts w:hint="eastAsia" w:ascii="黑体" w:hAnsi="黑体" w:eastAsia="黑体"/>
          <w:kern w:val="0"/>
          <w:szCs w:val="21"/>
        </w:rPr>
        <w:t>试剂</w:t>
      </w:r>
      <w:bookmarkEnd w:id="9"/>
    </w:p>
    <w:p>
      <w:pPr>
        <w:pStyle w:val="10"/>
        <w:ind w:firstLine="420"/>
        <w:rPr>
          <w:rFonts w:ascii="Times New Roman"/>
        </w:rPr>
      </w:pPr>
      <w:r>
        <w:rPr>
          <w:rFonts w:hint="eastAsia" w:ascii="Times New Roman"/>
        </w:rPr>
        <w:t>除非另有说明，在分析中仅使用确认为分析纯的试剂，所用水为蒸馏水或去离子水或相当纯度的水。</w:t>
      </w:r>
    </w:p>
    <w:p>
      <w:pPr>
        <w:pStyle w:val="19"/>
        <w:widowControl/>
        <w:tabs>
          <w:tab w:val="left" w:pos="360"/>
        </w:tabs>
        <w:wordWrap w:val="0"/>
        <w:overflowPunct w:val="0"/>
        <w:autoSpaceDE w:val="0"/>
        <w:ind w:firstLine="0" w:firstLineChars="0"/>
        <w:textAlignment w:val="baseline"/>
        <w:rPr>
          <w:rFonts w:ascii="宋体" w:hAnsi="宋体"/>
        </w:rPr>
      </w:pPr>
      <w:r>
        <w:rPr>
          <w:rFonts w:hint="eastAsia" w:ascii="黑体" w:hAnsi="黑体" w:eastAsia="黑体"/>
        </w:rPr>
        <w:t>A</w:t>
      </w:r>
      <w:r>
        <w:rPr>
          <w:rFonts w:ascii="黑体" w:hAnsi="黑体" w:eastAsia="黑体"/>
        </w:rPr>
        <w:t xml:space="preserve">.2.1 </w:t>
      </w:r>
      <w:r>
        <w:rPr>
          <w:rFonts w:hint="eastAsia"/>
        </w:rPr>
        <w:t>硫酸</w:t>
      </w:r>
      <w:r>
        <w:rPr>
          <w:rFonts w:hint="eastAsia" w:ascii="宋体" w:hAnsi="宋体"/>
        </w:rPr>
        <w:t>（ρ1</w:t>
      </w:r>
      <w:r>
        <w:rPr>
          <w:rFonts w:ascii="宋体" w:hAnsi="宋体"/>
        </w:rPr>
        <w:t>.84</w:t>
      </w:r>
      <w:r>
        <w:rPr>
          <w:rFonts w:hint="eastAsia" w:ascii="宋体" w:hAnsi="宋体"/>
        </w:rPr>
        <w:t>g</w:t>
      </w:r>
      <w:r>
        <w:rPr>
          <w:rFonts w:ascii="宋体" w:hAnsi="宋体"/>
        </w:rPr>
        <w:t>/cm</w:t>
      </w:r>
      <w:r>
        <w:rPr>
          <w:rFonts w:ascii="宋体" w:hAnsi="宋体"/>
          <w:vertAlign w:val="superscript"/>
        </w:rPr>
        <w:t>3</w:t>
      </w:r>
      <w:r>
        <w:rPr>
          <w:rFonts w:hint="eastAsia" w:ascii="宋体" w:hAnsi="宋体"/>
        </w:rPr>
        <w:t>）。</w:t>
      </w:r>
    </w:p>
    <w:p>
      <w:pPr>
        <w:pStyle w:val="19"/>
        <w:widowControl/>
        <w:tabs>
          <w:tab w:val="left" w:pos="360"/>
        </w:tabs>
        <w:wordWrap w:val="0"/>
        <w:overflowPunct w:val="0"/>
        <w:autoSpaceDE w:val="0"/>
        <w:ind w:firstLine="0" w:firstLineChars="0"/>
        <w:textAlignment w:val="baseline"/>
        <w:rPr>
          <w:rFonts w:ascii="黑体" w:hAnsi="黑体" w:eastAsia="黑体"/>
        </w:rPr>
      </w:pPr>
      <w:r>
        <w:rPr>
          <w:rFonts w:hint="eastAsia" w:ascii="黑体" w:hAnsi="黑体" w:eastAsia="黑体"/>
        </w:rPr>
        <w:t>A.</w:t>
      </w:r>
      <w:r>
        <w:rPr>
          <w:rFonts w:ascii="黑体" w:hAnsi="黑体" w:eastAsia="黑体"/>
        </w:rPr>
        <w:t>2</w:t>
      </w:r>
      <w:r>
        <w:rPr>
          <w:rFonts w:hint="eastAsia" w:ascii="黑体" w:hAnsi="黑体" w:eastAsia="黑体"/>
        </w:rPr>
        <w:t>.</w:t>
      </w:r>
      <w:r>
        <w:rPr>
          <w:rFonts w:ascii="黑体" w:hAnsi="黑体" w:eastAsia="黑体"/>
        </w:rPr>
        <w:t>2</w:t>
      </w:r>
      <w:r>
        <w:rPr>
          <w:rFonts w:ascii="宋体" w:hAnsi="宋体"/>
        </w:rPr>
        <w:t xml:space="preserve"> </w:t>
      </w:r>
      <w:r>
        <w:rPr>
          <w:rFonts w:hint="eastAsia" w:ascii="宋体" w:hAnsi="宋体"/>
        </w:rPr>
        <w:t>硫酸电解液(</w:t>
      </w:r>
      <w:r>
        <w:rPr>
          <w:rFonts w:ascii="宋体" w:hAnsi="宋体"/>
        </w:rPr>
        <w:t>1</w:t>
      </w:r>
      <w:r>
        <w:rPr>
          <w:rFonts w:hint="eastAsia" w:ascii="宋体" w:hAnsi="宋体"/>
        </w:rPr>
        <w:t>mol/</w:t>
      </w:r>
      <w:r>
        <w:rPr>
          <w:rFonts w:ascii="宋体" w:hAnsi="宋体"/>
        </w:rPr>
        <w:t>L</w:t>
      </w:r>
      <w:r>
        <w:rPr>
          <w:rFonts w:hint="eastAsia" w:ascii="宋体" w:hAnsi="宋体"/>
        </w:rPr>
        <w:t>)</w:t>
      </w:r>
      <w:r>
        <w:rPr>
          <w:rFonts w:ascii="宋体" w:hAnsi="宋体"/>
        </w:rPr>
        <w:t>:</w:t>
      </w:r>
      <w:r>
        <w:rPr>
          <w:rFonts w:hint="eastAsia" w:ascii="宋体" w:hAnsi="宋体"/>
        </w:rPr>
        <w:t>量取5</w:t>
      </w:r>
      <w:r>
        <w:rPr>
          <w:rFonts w:ascii="宋体" w:hAnsi="宋体"/>
        </w:rPr>
        <w:t>4.3</w:t>
      </w:r>
      <w:r>
        <w:rPr>
          <w:rFonts w:hint="eastAsia" w:ascii="宋体" w:hAnsi="宋体"/>
        </w:rPr>
        <w:t>ml的硫酸，将其配成1</w:t>
      </w:r>
      <w:r>
        <w:rPr>
          <w:rFonts w:ascii="宋体" w:hAnsi="宋体"/>
        </w:rPr>
        <w:t>L</w:t>
      </w:r>
      <w:r>
        <w:rPr>
          <w:rFonts w:hint="eastAsia" w:ascii="宋体" w:hAnsi="宋体"/>
        </w:rPr>
        <w:t>的溶液。用时现配。</w:t>
      </w:r>
    </w:p>
    <w:p>
      <w:pPr>
        <w:widowControl/>
        <w:spacing w:before="312" w:beforeLines="100" w:after="312" w:afterLines="100" w:line="360" w:lineRule="auto"/>
        <w:jc w:val="left"/>
        <w:outlineLvl w:val="0"/>
        <w:rPr>
          <w:rFonts w:ascii="黑体" w:hAnsi="黑体" w:eastAsia="黑体"/>
          <w:kern w:val="0"/>
          <w:szCs w:val="21"/>
        </w:rPr>
      </w:pPr>
      <w:bookmarkStart w:id="10" w:name="_Toc55844952"/>
      <w:r>
        <w:rPr>
          <w:rFonts w:hint="eastAsia" w:ascii="黑体" w:hAnsi="黑体" w:eastAsia="黑体"/>
          <w:kern w:val="0"/>
          <w:szCs w:val="21"/>
        </w:rPr>
        <w:t>A</w:t>
      </w:r>
      <w:r>
        <w:rPr>
          <w:rFonts w:ascii="黑体" w:hAnsi="黑体" w:eastAsia="黑体"/>
          <w:kern w:val="0"/>
          <w:szCs w:val="21"/>
        </w:rPr>
        <w:t>.3 仪器</w:t>
      </w:r>
      <w:r>
        <w:rPr>
          <w:rFonts w:hint="eastAsia" w:ascii="黑体" w:hAnsi="黑体" w:eastAsia="黑体"/>
          <w:kern w:val="0"/>
          <w:szCs w:val="21"/>
        </w:rPr>
        <w:t>与</w:t>
      </w:r>
      <w:r>
        <w:rPr>
          <w:rFonts w:ascii="黑体" w:hAnsi="黑体" w:eastAsia="黑体"/>
          <w:kern w:val="0"/>
          <w:szCs w:val="21"/>
        </w:rPr>
        <w:t>设备</w:t>
      </w:r>
      <w:bookmarkEnd w:id="10"/>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3</w:t>
      </w:r>
      <w:r>
        <w:rPr>
          <w:rFonts w:hint="eastAsia" w:ascii="黑体" w:hAnsi="黑体" w:eastAsia="黑体"/>
        </w:rPr>
        <w:t>.1</w:t>
      </w:r>
      <w:r>
        <w:rPr>
          <w:rFonts w:hint="eastAsia"/>
        </w:rPr>
        <w:t xml:space="preserve"> 电源：直流电源。</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3</w:t>
      </w:r>
      <w:r>
        <w:rPr>
          <w:rFonts w:hint="eastAsia" w:ascii="黑体" w:hAnsi="黑体" w:eastAsia="黑体"/>
        </w:rPr>
        <w:t>.2</w:t>
      </w:r>
      <w:r>
        <w:rPr>
          <w:rFonts w:hint="eastAsia"/>
        </w:rPr>
        <w:t xml:space="preserve"> 电流表：0.5级。</w:t>
      </w:r>
    </w:p>
    <w:p>
      <w:pPr>
        <w:pStyle w:val="19"/>
        <w:widowControl/>
        <w:tabs>
          <w:tab w:val="left" w:pos="360"/>
        </w:tabs>
        <w:wordWrap w:val="0"/>
        <w:overflowPunct w:val="0"/>
        <w:autoSpaceDE w:val="0"/>
        <w:ind w:left="360" w:hanging="360" w:firstLineChars="0"/>
        <w:textAlignment w:val="baseline"/>
      </w:pPr>
      <w:r>
        <w:rPr>
          <w:rFonts w:hint="eastAsia" w:ascii="黑体" w:hAnsi="黑体" w:eastAsia="黑体"/>
        </w:rPr>
        <w:t>A.</w:t>
      </w:r>
      <w:r>
        <w:rPr>
          <w:rFonts w:ascii="黑体" w:hAnsi="黑体" w:eastAsia="黑体"/>
        </w:rPr>
        <w:t>3</w:t>
      </w:r>
      <w:r>
        <w:rPr>
          <w:rFonts w:hint="eastAsia" w:ascii="黑体" w:hAnsi="黑体" w:eastAsia="黑体"/>
        </w:rPr>
        <w:t>.3</w:t>
      </w:r>
      <w:r>
        <w:rPr>
          <w:rFonts w:hint="eastAsia"/>
        </w:rPr>
        <w:t xml:space="preserve"> </w:t>
      </w:r>
      <w:r>
        <w:rPr>
          <w:rFonts w:hint="eastAsia" w:ascii="宋体" w:hAnsi="宋体"/>
        </w:rPr>
        <w:t>电压表：阻抗≥10MΩ</w:t>
      </w:r>
      <w:r>
        <w:rPr>
          <w:rFonts w:hint="eastAsia"/>
        </w:rPr>
        <w:t>。</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3</w:t>
      </w:r>
      <w:r>
        <w:rPr>
          <w:rFonts w:hint="eastAsia" w:ascii="黑体" w:hAnsi="黑体" w:eastAsia="黑体"/>
        </w:rPr>
        <w:t>.4</w:t>
      </w:r>
      <w:r>
        <w:rPr>
          <w:rFonts w:hint="eastAsia"/>
        </w:rPr>
        <w:t xml:space="preserve"> 参比电极：饱和甘汞电极。</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3</w:t>
      </w:r>
      <w:r>
        <w:rPr>
          <w:rFonts w:hint="eastAsia" w:ascii="黑体" w:hAnsi="黑体" w:eastAsia="黑体"/>
        </w:rPr>
        <w:t>.</w:t>
      </w:r>
      <w:r>
        <w:rPr>
          <w:rFonts w:ascii="黑体" w:hAnsi="黑体" w:eastAsia="黑体"/>
        </w:rPr>
        <w:t>5</w:t>
      </w:r>
      <w:r>
        <w:rPr>
          <w:rFonts w:hint="eastAsia"/>
        </w:rPr>
        <w:t xml:space="preserve"> 阴极：</w:t>
      </w:r>
      <w:r>
        <w:rPr>
          <w:rFonts w:hint="eastAsia" w:ascii="宋体" w:hAnsi="宋体"/>
        </w:rPr>
        <w:t>宽1</w:t>
      </w:r>
      <w:r>
        <w:rPr>
          <w:rFonts w:ascii="宋体" w:hAnsi="宋体"/>
        </w:rPr>
        <w:t>5</w:t>
      </w:r>
      <w:r>
        <w:rPr>
          <w:rFonts w:hint="eastAsia" w:ascii="宋体" w:hAnsi="宋体"/>
        </w:rPr>
        <w:t>mm，长200mm，厚</w:t>
      </w:r>
      <w:r>
        <w:rPr>
          <w:rFonts w:ascii="宋体" w:hAnsi="宋体"/>
        </w:rPr>
        <w:t>3</w:t>
      </w:r>
      <w:r>
        <w:rPr>
          <w:rFonts w:hint="eastAsia" w:ascii="宋体" w:hAnsi="宋体"/>
        </w:rPr>
        <w:t>mm的钛板。</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3</w:t>
      </w:r>
      <w:r>
        <w:rPr>
          <w:rFonts w:hint="eastAsia" w:ascii="黑体" w:hAnsi="黑体" w:eastAsia="黑体"/>
        </w:rPr>
        <w:t>.</w:t>
      </w:r>
      <w:r>
        <w:rPr>
          <w:rFonts w:ascii="黑体" w:hAnsi="黑体" w:eastAsia="黑体"/>
        </w:rPr>
        <w:t>6</w:t>
      </w:r>
      <w:r>
        <w:rPr>
          <w:rFonts w:hint="eastAsia" w:ascii="黑体" w:hAnsi="黑体" w:eastAsia="黑体"/>
        </w:rPr>
        <w:t xml:space="preserve"> </w:t>
      </w:r>
      <w:r>
        <w:rPr>
          <w:rFonts w:hint="eastAsia"/>
        </w:rPr>
        <w:t>阳极：</w:t>
      </w:r>
      <w:r>
        <w:rPr>
          <w:rFonts w:hint="eastAsia" w:ascii="宋体" w:hAnsi="宋体"/>
        </w:rPr>
        <w:t>采用直径大于1.6mm、长200mm的钛丝与试片没有涂层的一面焊接</w:t>
      </w:r>
      <w:r>
        <w:rPr>
          <w:rFonts w:hint="eastAsia"/>
        </w:rPr>
        <w:t>。</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3</w:t>
      </w:r>
      <w:r>
        <w:rPr>
          <w:rFonts w:hint="eastAsia" w:ascii="黑体" w:hAnsi="黑体" w:eastAsia="黑体"/>
        </w:rPr>
        <w:t>.</w:t>
      </w:r>
      <w:r>
        <w:rPr>
          <w:rFonts w:ascii="黑体" w:hAnsi="黑体" w:eastAsia="黑体"/>
        </w:rPr>
        <w:t>7</w:t>
      </w:r>
      <w:r>
        <w:rPr>
          <w:rFonts w:hint="eastAsia"/>
        </w:rPr>
        <w:t xml:space="preserve"> 恒温水浴：</w:t>
      </w:r>
      <w:r>
        <w:rPr>
          <w:rFonts w:hint="eastAsia" w:ascii="宋体" w:hAnsi="宋体"/>
        </w:rPr>
        <w:t>温度范围20℃</w:t>
      </w:r>
      <w:r>
        <w:rPr>
          <w:rFonts w:ascii="宋体" w:hAnsi="宋体"/>
        </w:rPr>
        <w:t>-</w:t>
      </w:r>
      <w:r>
        <w:rPr>
          <w:rFonts w:hint="eastAsia" w:ascii="宋体" w:hAnsi="宋体"/>
        </w:rPr>
        <w:t>100℃</w:t>
      </w:r>
      <w:r>
        <w:rPr>
          <w:rFonts w:hint="eastAsia"/>
        </w:rPr>
        <w:t>。</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3</w:t>
      </w:r>
      <w:r>
        <w:rPr>
          <w:rFonts w:hint="eastAsia" w:ascii="黑体" w:hAnsi="黑体" w:eastAsia="黑体"/>
        </w:rPr>
        <w:t>.</w:t>
      </w:r>
      <w:r>
        <w:rPr>
          <w:rFonts w:ascii="黑体" w:hAnsi="黑体" w:eastAsia="黑体"/>
        </w:rPr>
        <w:t xml:space="preserve">8 </w:t>
      </w:r>
      <w:r>
        <w:rPr>
          <w:rFonts w:hint="eastAsia"/>
        </w:rPr>
        <w:t>烧杯：</w:t>
      </w:r>
      <w:r>
        <w:rPr>
          <w:rFonts w:hint="eastAsia" w:ascii="宋体" w:hAnsi="宋体"/>
        </w:rPr>
        <w:t>容积为1</w:t>
      </w:r>
      <w:r>
        <w:rPr>
          <w:rFonts w:ascii="宋体" w:hAnsi="宋体"/>
        </w:rPr>
        <w:t>L</w:t>
      </w:r>
      <w:r>
        <w:rPr>
          <w:rFonts w:hint="eastAsia" w:ascii="宋体" w:hAnsi="宋体"/>
        </w:rPr>
        <w:t>带橡皮塞，能固定温度计，电极，鲁金毛细管</w:t>
      </w:r>
      <w:r>
        <w:rPr>
          <w:rFonts w:hint="eastAsia"/>
        </w:rPr>
        <w:t>。</w:t>
      </w:r>
    </w:p>
    <w:p>
      <w:pPr>
        <w:widowControl/>
        <w:spacing w:before="312" w:beforeLines="100" w:after="312" w:afterLines="100" w:line="360" w:lineRule="auto"/>
        <w:jc w:val="left"/>
        <w:outlineLvl w:val="0"/>
        <w:rPr>
          <w:rFonts w:ascii="黑体" w:hAnsi="黑体" w:eastAsia="黑体"/>
          <w:kern w:val="0"/>
          <w:szCs w:val="21"/>
        </w:rPr>
      </w:pPr>
      <w:bookmarkStart w:id="11" w:name="_Toc55844953"/>
      <w:r>
        <w:rPr>
          <w:rFonts w:hint="eastAsia" w:ascii="黑体" w:hAnsi="黑体" w:eastAsia="黑体"/>
          <w:kern w:val="0"/>
          <w:szCs w:val="21"/>
        </w:rPr>
        <w:t>A</w:t>
      </w:r>
      <w:r>
        <w:rPr>
          <w:rFonts w:ascii="黑体" w:hAnsi="黑体" w:eastAsia="黑体"/>
          <w:kern w:val="0"/>
          <w:szCs w:val="21"/>
        </w:rPr>
        <w:t xml:space="preserve">.4 </w:t>
      </w:r>
      <w:r>
        <w:rPr>
          <w:rFonts w:hint="eastAsia" w:ascii="黑体" w:hAnsi="黑体" w:eastAsia="黑体"/>
          <w:kern w:val="0"/>
          <w:szCs w:val="21"/>
        </w:rPr>
        <w:t>分析步骤</w:t>
      </w:r>
      <w:bookmarkEnd w:id="11"/>
    </w:p>
    <w:p>
      <w:pPr>
        <w:pStyle w:val="20"/>
        <w:spacing w:before="156" w:beforeLines="50" w:after="156" w:afterLines="50" w:line="360" w:lineRule="auto"/>
        <w:rPr>
          <w:rFonts w:hAnsi="黑体"/>
        </w:rPr>
      </w:pPr>
      <w:bookmarkStart w:id="12" w:name="_Toc55844954"/>
      <w:r>
        <w:rPr>
          <w:rFonts w:hint="eastAsia" w:hAnsi="黑体"/>
        </w:rPr>
        <w:t>A.</w:t>
      </w:r>
      <w:r>
        <w:rPr>
          <w:rFonts w:hAnsi="黑体"/>
        </w:rPr>
        <w:t>4.1</w:t>
      </w:r>
      <w:bookmarkEnd w:id="12"/>
      <w:r>
        <w:rPr>
          <w:rFonts w:hint="eastAsia" w:hAnsi="黑体"/>
        </w:rPr>
        <w:t>样品</w:t>
      </w:r>
    </w:p>
    <w:p>
      <w:pPr>
        <w:pStyle w:val="19"/>
        <w:widowControl/>
        <w:tabs>
          <w:tab w:val="left" w:pos="360"/>
        </w:tabs>
        <w:wordWrap w:val="0"/>
        <w:overflowPunct w:val="0"/>
        <w:autoSpaceDE w:val="0"/>
        <w:ind w:firstLineChars="0"/>
        <w:textAlignment w:val="baseline"/>
        <w:rPr>
          <w:rFonts w:ascii="宋体" w:hAnsi="宋体"/>
          <w:kern w:val="21"/>
          <w:szCs w:val="20"/>
        </w:rPr>
      </w:pPr>
      <w:bookmarkStart w:id="13" w:name="_Toc55844955"/>
      <w:r>
        <w:rPr>
          <w:rFonts w:hint="eastAsia" w:ascii="宋体" w:hAnsi="宋体"/>
          <w:kern w:val="21"/>
          <w:szCs w:val="20"/>
        </w:rPr>
        <w:t>从随炉试样上裁取长×宽为20mm×10mm的试片，数量2片。</w:t>
      </w:r>
    </w:p>
    <w:p>
      <w:pPr>
        <w:pStyle w:val="20"/>
        <w:spacing w:before="156" w:beforeLines="50" w:after="156" w:afterLines="50" w:line="360" w:lineRule="auto"/>
        <w:rPr>
          <w:rFonts w:hAnsi="黑体"/>
        </w:rPr>
      </w:pPr>
      <w:r>
        <w:rPr>
          <w:rFonts w:hAnsi="黑体"/>
        </w:rPr>
        <w:t xml:space="preserve">A.4.2 </w:t>
      </w:r>
      <w:r>
        <w:rPr>
          <w:rFonts w:hint="eastAsia" w:hAnsi="黑体"/>
        </w:rPr>
        <w:t>试验步骤</w:t>
      </w:r>
      <w:bookmarkEnd w:id="13"/>
    </w:p>
    <w:p>
      <w:pPr>
        <w:pStyle w:val="19"/>
        <w:widowControl/>
        <w:tabs>
          <w:tab w:val="left" w:pos="360"/>
        </w:tabs>
        <w:wordWrap w:val="0"/>
        <w:overflowPunct w:val="0"/>
        <w:autoSpaceDE w:val="0"/>
        <w:ind w:firstLine="0" w:firstLineChars="0"/>
        <w:textAlignment w:val="baseline"/>
        <w:rPr>
          <w:rFonts w:ascii="宋体" w:hAnsi="宋体"/>
        </w:rPr>
      </w:pPr>
      <w:r>
        <w:rPr>
          <w:rFonts w:hint="eastAsia" w:ascii="黑体" w:hAnsi="黑体" w:eastAsia="黑体"/>
        </w:rPr>
        <w:t>A.</w:t>
      </w:r>
      <w:r>
        <w:rPr>
          <w:rFonts w:ascii="黑体" w:hAnsi="黑体" w:eastAsia="黑体"/>
        </w:rPr>
        <w:t>4</w:t>
      </w:r>
      <w:r>
        <w:rPr>
          <w:rFonts w:hint="eastAsia" w:ascii="黑体" w:hAnsi="黑体" w:eastAsia="黑体"/>
        </w:rPr>
        <w:t>.</w:t>
      </w:r>
      <w:r>
        <w:rPr>
          <w:rFonts w:ascii="黑体" w:hAnsi="黑体" w:eastAsia="黑体"/>
        </w:rPr>
        <w:t>2</w:t>
      </w:r>
      <w:r>
        <w:rPr>
          <w:rFonts w:hint="eastAsia" w:ascii="黑体" w:hAnsi="黑体" w:eastAsia="黑体"/>
        </w:rPr>
        <w:t>.</w:t>
      </w:r>
      <w:r>
        <w:rPr>
          <w:rFonts w:ascii="黑体" w:hAnsi="黑体" w:eastAsia="黑体"/>
        </w:rPr>
        <w:t>1</w:t>
      </w:r>
      <w:r>
        <w:rPr>
          <w:rFonts w:hint="eastAsia"/>
        </w:rPr>
        <w:t xml:space="preserve"> 试验过程中</w:t>
      </w:r>
      <w:r>
        <w:rPr>
          <w:rFonts w:hint="eastAsia" w:ascii="宋体" w:hAnsi="宋体"/>
        </w:rPr>
        <w:t>，电解液始终保持在</w:t>
      </w:r>
      <w:r>
        <w:rPr>
          <w:rFonts w:ascii="宋体" w:hAnsi="宋体"/>
        </w:rPr>
        <w:t>10</w:t>
      </w:r>
      <w:r>
        <w:rPr>
          <w:rFonts w:hint="eastAsia" w:ascii="宋体" w:hAnsi="宋体"/>
        </w:rPr>
        <w:t>00mL±5%的水平，如果试验中溶液有蒸发，可以用蒸馏水或去离子水补充到</w:t>
      </w:r>
      <w:r>
        <w:rPr>
          <w:rFonts w:ascii="宋体" w:hAnsi="宋体"/>
        </w:rPr>
        <w:t>10</w:t>
      </w:r>
      <w:r>
        <w:rPr>
          <w:rFonts w:hint="eastAsia" w:ascii="宋体" w:hAnsi="宋体"/>
        </w:rPr>
        <w:t>00mL。</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4</w:t>
      </w:r>
      <w:r>
        <w:rPr>
          <w:rFonts w:hint="eastAsia" w:ascii="黑体" w:hAnsi="黑体" w:eastAsia="黑体"/>
        </w:rPr>
        <w:t>.</w:t>
      </w:r>
      <w:r>
        <w:rPr>
          <w:rFonts w:ascii="黑体" w:hAnsi="黑体" w:eastAsia="黑体"/>
        </w:rPr>
        <w:t>2</w:t>
      </w:r>
      <w:r>
        <w:rPr>
          <w:rFonts w:hint="eastAsia" w:ascii="黑体" w:hAnsi="黑体" w:eastAsia="黑体"/>
        </w:rPr>
        <w:t>.</w:t>
      </w:r>
      <w:r>
        <w:rPr>
          <w:rFonts w:ascii="黑体" w:hAnsi="黑体" w:eastAsia="黑体"/>
        </w:rPr>
        <w:t>2</w:t>
      </w:r>
      <w:r>
        <w:rPr>
          <w:rFonts w:hint="eastAsia"/>
        </w:rPr>
        <w:t xml:space="preserve"> </w:t>
      </w:r>
      <w:r>
        <w:rPr>
          <w:rFonts w:hint="eastAsia" w:ascii="宋体" w:hAnsi="宋体"/>
        </w:rPr>
        <w:t>阳极和阴极之间的距离为19mm左右，同时阳极和阴极底端距离烧杯底10mm左右，在测试过程中阳极试片始终完全浸没在电解液中。</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4</w:t>
      </w:r>
      <w:r>
        <w:rPr>
          <w:rFonts w:hint="eastAsia" w:ascii="黑体" w:hAnsi="黑体" w:eastAsia="黑体"/>
        </w:rPr>
        <w:t>.</w:t>
      </w:r>
      <w:r>
        <w:rPr>
          <w:rFonts w:ascii="黑体" w:hAnsi="黑体" w:eastAsia="黑体"/>
        </w:rPr>
        <w:t>2</w:t>
      </w:r>
      <w:r>
        <w:rPr>
          <w:rFonts w:hint="eastAsia" w:ascii="黑体" w:hAnsi="黑体" w:eastAsia="黑体"/>
        </w:rPr>
        <w:t>.</w:t>
      </w:r>
      <w:r>
        <w:rPr>
          <w:rFonts w:ascii="黑体" w:hAnsi="黑体" w:eastAsia="黑体"/>
        </w:rPr>
        <w:t>3</w:t>
      </w:r>
      <w:r>
        <w:rPr>
          <w:rFonts w:hint="eastAsia"/>
        </w:rPr>
        <w:t xml:space="preserve"> 鲁金毛细管测试端靠近阳极表面，距离为鲁金毛细管端部内径的2倍左右。</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4</w:t>
      </w:r>
      <w:r>
        <w:rPr>
          <w:rFonts w:hint="eastAsia" w:ascii="黑体" w:hAnsi="黑体" w:eastAsia="黑体"/>
        </w:rPr>
        <w:t>.</w:t>
      </w:r>
      <w:r>
        <w:rPr>
          <w:rFonts w:ascii="黑体" w:hAnsi="黑体" w:eastAsia="黑体"/>
        </w:rPr>
        <w:t>2</w:t>
      </w:r>
      <w:r>
        <w:rPr>
          <w:rFonts w:hint="eastAsia" w:ascii="黑体" w:hAnsi="黑体" w:eastAsia="黑体"/>
        </w:rPr>
        <w:t>.</w:t>
      </w:r>
      <w:r>
        <w:rPr>
          <w:rFonts w:ascii="黑体" w:hAnsi="黑体" w:eastAsia="黑体"/>
        </w:rPr>
        <w:t xml:space="preserve">4 </w:t>
      </w:r>
      <w:r>
        <w:rPr>
          <w:rFonts w:hint="eastAsia" w:ascii="宋体" w:hAnsi="宋体"/>
        </w:rPr>
        <w:t>水浴温度保持在30±5℃</w:t>
      </w:r>
      <w:r>
        <w:rPr>
          <w:rFonts w:hint="eastAsia"/>
        </w:rPr>
        <w:t>。</w:t>
      </w:r>
    </w:p>
    <w:p>
      <w:pPr>
        <w:pStyle w:val="19"/>
        <w:widowControl/>
        <w:tabs>
          <w:tab w:val="left" w:pos="360"/>
        </w:tabs>
        <w:wordWrap w:val="0"/>
        <w:overflowPunct w:val="0"/>
        <w:autoSpaceDE w:val="0"/>
        <w:ind w:firstLine="0" w:firstLineChars="0"/>
        <w:textAlignment w:val="baseline"/>
        <w:rPr>
          <w:rFonts w:ascii="宋体" w:hAnsi="宋体"/>
        </w:rPr>
      </w:pPr>
      <w:r>
        <w:rPr>
          <w:rFonts w:hint="eastAsia" w:ascii="黑体" w:hAnsi="黑体" w:eastAsia="黑体"/>
        </w:rPr>
        <w:t>A.</w:t>
      </w:r>
      <w:r>
        <w:rPr>
          <w:rFonts w:ascii="黑体" w:hAnsi="黑体" w:eastAsia="黑体"/>
        </w:rPr>
        <w:t>4</w:t>
      </w:r>
      <w:r>
        <w:rPr>
          <w:rFonts w:hint="eastAsia" w:ascii="黑体" w:hAnsi="黑体" w:eastAsia="黑体"/>
        </w:rPr>
        <w:t>.</w:t>
      </w:r>
      <w:r>
        <w:rPr>
          <w:rFonts w:ascii="黑体" w:hAnsi="黑体" w:eastAsia="黑体"/>
        </w:rPr>
        <w:t>2</w:t>
      </w:r>
      <w:r>
        <w:rPr>
          <w:rFonts w:hint="eastAsia" w:ascii="黑体" w:hAnsi="黑体" w:eastAsia="黑体"/>
        </w:rPr>
        <w:t>.</w:t>
      </w:r>
      <w:r>
        <w:rPr>
          <w:rFonts w:ascii="黑体" w:hAnsi="黑体" w:eastAsia="黑体"/>
        </w:rPr>
        <w:t>5</w:t>
      </w:r>
      <w:r>
        <w:rPr>
          <w:rFonts w:hint="eastAsia"/>
        </w:rPr>
        <w:t xml:space="preserve"> </w:t>
      </w:r>
      <w:r>
        <w:rPr>
          <w:rFonts w:hint="eastAsia" w:ascii="宋体" w:hAnsi="宋体"/>
        </w:rPr>
        <w:t>按图 A</w:t>
      </w:r>
      <w:r>
        <w:rPr>
          <w:rFonts w:ascii="宋体" w:hAnsi="宋体"/>
        </w:rPr>
        <w:t>.</w:t>
      </w:r>
      <w:r>
        <w:rPr>
          <w:rFonts w:hint="eastAsia" w:ascii="宋体" w:hAnsi="宋体"/>
        </w:rPr>
        <w:t>1连接阴极、阳极、电源、甘汞电极等。</w:t>
      </w:r>
    </w:p>
    <w:p>
      <w:pPr>
        <w:pStyle w:val="10"/>
        <w:ind w:firstLine="2730" w:firstLineChars="1300"/>
      </w:pPr>
      <w:r>
        <w:drawing>
          <wp:inline distT="0" distB="0" distL="0" distR="0">
            <wp:extent cx="2295525" cy="19621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295525" cy="1962150"/>
                    </a:xfrm>
                    <a:prstGeom prst="rect">
                      <a:avLst/>
                    </a:prstGeom>
                    <a:noFill/>
                    <a:ln>
                      <a:noFill/>
                    </a:ln>
                  </pic:spPr>
                </pic:pic>
              </a:graphicData>
            </a:graphic>
          </wp:inline>
        </w:drawing>
      </w:r>
    </w:p>
    <w:p>
      <w:pPr>
        <w:pStyle w:val="10"/>
        <w:ind w:firstLine="420" w:firstLineChars="280"/>
        <w:jc w:val="center"/>
        <w:rPr>
          <w:rFonts w:ascii="Times New Roman"/>
          <w:sz w:val="15"/>
          <w:szCs w:val="15"/>
        </w:rPr>
      </w:pPr>
      <w:r>
        <w:rPr>
          <w:rFonts w:ascii="Times New Roman"/>
          <w:sz w:val="15"/>
          <w:szCs w:val="15"/>
        </w:rPr>
        <w:t>1.直流电源      2.电流表     3.电压表     4参比电极</w:t>
      </w:r>
      <w:r>
        <w:rPr>
          <w:rFonts w:hint="eastAsia" w:ascii="Times New Roman"/>
          <w:sz w:val="15"/>
          <w:szCs w:val="15"/>
        </w:rPr>
        <w:t xml:space="preserve"> </w:t>
      </w:r>
      <w:r>
        <w:rPr>
          <w:rFonts w:ascii="Times New Roman"/>
          <w:sz w:val="15"/>
          <w:szCs w:val="15"/>
        </w:rPr>
        <w:t xml:space="preserve"> 5阳极(测试电极)    6阴极     7. 水浴</w:t>
      </w:r>
    </w:p>
    <w:p>
      <w:pPr>
        <w:pStyle w:val="2"/>
        <w:spacing w:before="156" w:beforeLines="50" w:after="156" w:afterLines="50"/>
        <w:jc w:val="center"/>
        <w:rPr>
          <w:rFonts w:ascii="黑体" w:hAnsi="黑体"/>
          <w:szCs w:val="21"/>
        </w:rPr>
      </w:pPr>
      <w:bookmarkStart w:id="14" w:name="_Toc55845062"/>
      <w:bookmarkStart w:id="15" w:name="_Toc55845247"/>
      <w:r>
        <w:rPr>
          <w:rFonts w:hint="eastAsia" w:ascii="黑体" w:hAnsi="黑体"/>
        </w:rPr>
        <w:t>图 A.</w:t>
      </w:r>
      <w:r>
        <w:rPr>
          <w:rFonts w:ascii="黑体" w:hAnsi="黑体"/>
        </w:rPr>
        <w:fldChar w:fldCharType="begin"/>
      </w:r>
      <w:r>
        <w:rPr>
          <w:rFonts w:ascii="黑体" w:hAnsi="黑体"/>
        </w:rPr>
        <w:instrText xml:space="preserve"> </w:instrText>
      </w:r>
      <w:r>
        <w:rPr>
          <w:rFonts w:hint="eastAsia" w:ascii="黑体" w:hAnsi="黑体"/>
        </w:rPr>
        <w:instrText xml:space="preserve">SEQ 图_A. \* ARABIC</w:instrText>
      </w:r>
      <w:r>
        <w:rPr>
          <w:rFonts w:ascii="黑体" w:hAnsi="黑体"/>
        </w:rPr>
        <w:instrText xml:space="preserve"> </w:instrText>
      </w:r>
      <w:r>
        <w:rPr>
          <w:rFonts w:ascii="黑体" w:hAnsi="黑体"/>
        </w:rPr>
        <w:fldChar w:fldCharType="separate"/>
      </w:r>
      <w:r>
        <w:rPr>
          <w:rFonts w:ascii="黑体" w:hAnsi="黑体"/>
        </w:rPr>
        <w:t>1</w:t>
      </w:r>
      <w:r>
        <w:rPr>
          <w:rFonts w:ascii="黑体" w:hAnsi="黑体"/>
        </w:rPr>
        <w:fldChar w:fldCharType="end"/>
      </w:r>
      <w:r>
        <w:rPr>
          <w:rFonts w:ascii="黑体" w:hAnsi="黑体"/>
          <w:szCs w:val="21"/>
        </w:rPr>
        <w:t xml:space="preserve"> 测试装置示意图</w:t>
      </w:r>
      <w:bookmarkEnd w:id="14"/>
      <w:bookmarkEnd w:id="15"/>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4</w:t>
      </w:r>
      <w:r>
        <w:rPr>
          <w:rFonts w:hint="eastAsia" w:ascii="黑体" w:hAnsi="黑体" w:eastAsia="黑体"/>
        </w:rPr>
        <w:t>.</w:t>
      </w:r>
      <w:r>
        <w:rPr>
          <w:rFonts w:ascii="黑体" w:hAnsi="黑体" w:eastAsia="黑体"/>
        </w:rPr>
        <w:t>2</w:t>
      </w:r>
      <w:r>
        <w:rPr>
          <w:rFonts w:hint="eastAsia" w:ascii="黑体" w:hAnsi="黑体" w:eastAsia="黑体"/>
        </w:rPr>
        <w:t>.</w:t>
      </w:r>
      <w:r>
        <w:rPr>
          <w:rFonts w:ascii="黑体" w:hAnsi="黑体" w:eastAsia="黑体"/>
        </w:rPr>
        <w:t>6</w:t>
      </w:r>
      <w:r>
        <w:rPr>
          <w:rFonts w:hint="eastAsia"/>
        </w:rPr>
        <w:t xml:space="preserve"> 接通电源，按规定的电流密度进行电解，记录反应开始的阳极电位、电流密度值、时间。</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4</w:t>
      </w:r>
      <w:r>
        <w:rPr>
          <w:rFonts w:hint="eastAsia" w:ascii="黑体" w:hAnsi="黑体" w:eastAsia="黑体"/>
        </w:rPr>
        <w:t>.</w:t>
      </w:r>
      <w:r>
        <w:rPr>
          <w:rFonts w:ascii="黑体" w:hAnsi="黑体" w:eastAsia="黑体"/>
        </w:rPr>
        <w:t>2</w:t>
      </w:r>
      <w:r>
        <w:rPr>
          <w:rFonts w:hint="eastAsia" w:ascii="黑体" w:hAnsi="黑体" w:eastAsia="黑体"/>
        </w:rPr>
        <w:t>.</w:t>
      </w:r>
      <w:r>
        <w:rPr>
          <w:rFonts w:ascii="黑体" w:hAnsi="黑体" w:eastAsia="黑体"/>
        </w:rPr>
        <w:t>7</w:t>
      </w:r>
      <w:r>
        <w:rPr>
          <w:rFonts w:hint="eastAsia"/>
        </w:rPr>
        <w:t xml:space="preserve"> 每天观察电解槽电解液的液面高度，并及时补进蒸馏水；每天记录一次阳极电位、电流密度值、水浴温度。</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4</w:t>
      </w:r>
      <w:r>
        <w:rPr>
          <w:rFonts w:hint="eastAsia" w:ascii="黑体" w:hAnsi="黑体" w:eastAsia="黑体"/>
        </w:rPr>
        <w:t>.</w:t>
      </w:r>
      <w:r>
        <w:rPr>
          <w:rFonts w:ascii="黑体" w:hAnsi="黑体" w:eastAsia="黑体"/>
        </w:rPr>
        <w:t>2</w:t>
      </w:r>
      <w:r>
        <w:rPr>
          <w:rFonts w:hint="eastAsia" w:ascii="黑体" w:hAnsi="黑体" w:eastAsia="黑体"/>
        </w:rPr>
        <w:t>.</w:t>
      </w:r>
      <w:r>
        <w:rPr>
          <w:rFonts w:ascii="黑体" w:hAnsi="黑体" w:eastAsia="黑体"/>
        </w:rPr>
        <w:t>8</w:t>
      </w:r>
      <w:r>
        <w:rPr>
          <w:rFonts w:hint="eastAsia" w:ascii="黑体" w:hAnsi="黑体" w:eastAsia="黑体"/>
        </w:rPr>
        <w:t xml:space="preserve"> </w:t>
      </w:r>
      <w:r>
        <w:rPr>
          <w:rFonts w:hint="eastAsia"/>
        </w:rPr>
        <w:t>当阳极电位比测试刚开始电位上升</w:t>
      </w:r>
      <w:r>
        <w:rPr>
          <w:rFonts w:hint="eastAsia" w:ascii="宋体" w:hAnsi="宋体"/>
        </w:rPr>
        <w:t>5V</w:t>
      </w:r>
      <w:r>
        <w:rPr>
          <w:rFonts w:hint="eastAsia"/>
        </w:rPr>
        <w:t>时停止试验，记录此刻的时间。</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4</w:t>
      </w:r>
      <w:r>
        <w:rPr>
          <w:rFonts w:hint="eastAsia" w:ascii="黑体" w:hAnsi="黑体" w:eastAsia="黑体"/>
        </w:rPr>
        <w:t>.</w:t>
      </w:r>
      <w:r>
        <w:rPr>
          <w:rFonts w:ascii="黑体" w:hAnsi="黑体" w:eastAsia="黑体"/>
        </w:rPr>
        <w:t>2</w:t>
      </w:r>
      <w:r>
        <w:rPr>
          <w:rFonts w:hint="eastAsia" w:ascii="黑体" w:hAnsi="黑体" w:eastAsia="黑体"/>
        </w:rPr>
        <w:t>.</w:t>
      </w:r>
      <w:r>
        <w:rPr>
          <w:rFonts w:ascii="黑体" w:hAnsi="黑体" w:eastAsia="黑体"/>
        </w:rPr>
        <w:t xml:space="preserve">9 </w:t>
      </w:r>
      <w:r>
        <w:rPr>
          <w:rFonts w:hint="eastAsia"/>
        </w:rPr>
        <w:t>计算从开始反应到停止试验的累积时间，即为该试片的实际强化寿命检验结果。</w:t>
      </w:r>
    </w:p>
    <w:p>
      <w:pPr>
        <w:widowControl/>
        <w:spacing w:before="312" w:beforeLines="100" w:after="312" w:afterLines="100" w:line="360" w:lineRule="auto"/>
        <w:jc w:val="left"/>
        <w:outlineLvl w:val="0"/>
        <w:rPr>
          <w:rFonts w:ascii="黑体" w:hAnsi="黑体" w:eastAsia="黑体"/>
          <w:kern w:val="0"/>
          <w:szCs w:val="21"/>
        </w:rPr>
      </w:pPr>
      <w:bookmarkStart w:id="16" w:name="_Toc55844956"/>
      <w:r>
        <w:rPr>
          <w:rFonts w:hint="eastAsia" w:ascii="黑体" w:hAnsi="黑体" w:eastAsia="黑体"/>
          <w:kern w:val="0"/>
          <w:szCs w:val="21"/>
        </w:rPr>
        <w:t>A</w:t>
      </w:r>
      <w:r>
        <w:rPr>
          <w:rFonts w:ascii="黑体" w:hAnsi="黑体" w:eastAsia="黑体"/>
          <w:kern w:val="0"/>
          <w:szCs w:val="21"/>
        </w:rPr>
        <w:t>.5 报告</w:t>
      </w:r>
      <w:bookmarkEnd w:id="16"/>
    </w:p>
    <w:p>
      <w:pPr>
        <w:pStyle w:val="19"/>
        <w:widowControl/>
        <w:tabs>
          <w:tab w:val="left" w:pos="360"/>
        </w:tabs>
        <w:wordWrap w:val="0"/>
        <w:overflowPunct w:val="0"/>
        <w:autoSpaceDE w:val="0"/>
        <w:textAlignment w:val="baseline"/>
      </w:pPr>
      <w:r>
        <w:rPr>
          <w:rFonts w:hint="eastAsia"/>
        </w:rPr>
        <w:t>试验报告内容：</w:t>
      </w:r>
    </w:p>
    <w:p>
      <w:pPr>
        <w:pStyle w:val="19"/>
        <w:widowControl/>
        <w:numPr>
          <w:ilvl w:val="0"/>
          <w:numId w:val="3"/>
        </w:numPr>
        <w:tabs>
          <w:tab w:val="left" w:pos="360"/>
        </w:tabs>
        <w:wordWrap w:val="0"/>
        <w:overflowPunct w:val="0"/>
        <w:autoSpaceDE w:val="0"/>
        <w:ind w:firstLineChars="0"/>
        <w:textAlignment w:val="baseline"/>
      </w:pPr>
      <w:r>
        <w:rPr>
          <w:rFonts w:hint="eastAsia"/>
        </w:rPr>
        <w:t>实验室名称；</w:t>
      </w:r>
    </w:p>
    <w:p>
      <w:pPr>
        <w:pStyle w:val="19"/>
        <w:widowControl/>
        <w:numPr>
          <w:ilvl w:val="0"/>
          <w:numId w:val="3"/>
        </w:numPr>
        <w:tabs>
          <w:tab w:val="left" w:pos="360"/>
        </w:tabs>
        <w:wordWrap w:val="0"/>
        <w:overflowPunct w:val="0"/>
        <w:autoSpaceDE w:val="0"/>
        <w:ind w:firstLineChars="0"/>
        <w:textAlignment w:val="baseline"/>
      </w:pPr>
      <w:r>
        <w:rPr>
          <w:rFonts w:hint="eastAsia"/>
        </w:rPr>
        <w:t>每个阳极试片测试的日期、时间；</w:t>
      </w:r>
    </w:p>
    <w:p>
      <w:pPr>
        <w:pStyle w:val="19"/>
        <w:widowControl/>
        <w:numPr>
          <w:ilvl w:val="0"/>
          <w:numId w:val="3"/>
        </w:numPr>
        <w:tabs>
          <w:tab w:val="left" w:pos="360"/>
        </w:tabs>
        <w:wordWrap w:val="0"/>
        <w:overflowPunct w:val="0"/>
        <w:autoSpaceDE w:val="0"/>
        <w:ind w:firstLineChars="0"/>
        <w:textAlignment w:val="baseline"/>
      </w:pPr>
      <w:r>
        <w:rPr>
          <w:rFonts w:hint="eastAsia"/>
        </w:rPr>
        <w:t>阳极电位、电流密度、电解槽温度；</w:t>
      </w:r>
    </w:p>
    <w:p>
      <w:pPr>
        <w:pStyle w:val="19"/>
        <w:widowControl/>
        <w:numPr>
          <w:ilvl w:val="0"/>
          <w:numId w:val="3"/>
        </w:numPr>
        <w:tabs>
          <w:tab w:val="left" w:pos="360"/>
        </w:tabs>
        <w:wordWrap w:val="0"/>
        <w:overflowPunct w:val="0"/>
        <w:autoSpaceDE w:val="0"/>
        <w:ind w:firstLineChars="0"/>
        <w:textAlignment w:val="baseline"/>
      </w:pPr>
      <w:r>
        <w:rPr>
          <w:rFonts w:hint="eastAsia"/>
        </w:rPr>
        <w:t>每个阳极试片的强化寿命。</w:t>
      </w:r>
    </w:p>
    <w:p>
      <w:pPr>
        <w:widowControl/>
        <w:jc w:val="left"/>
        <w:rPr>
          <w:rFonts w:ascii="Times New Roman" w:hAnsi="Times New Roman" w:eastAsia="宋体" w:cs="Times New Roman"/>
          <w:szCs w:val="24"/>
        </w:rPr>
      </w:pPr>
      <w:r>
        <w:br w:type="page"/>
      </w:r>
    </w:p>
    <w:p>
      <w:pPr>
        <w:pStyle w:val="12"/>
        <w:numPr>
          <w:ilvl w:val="0"/>
          <w:numId w:val="0"/>
        </w:numPr>
        <w:spacing w:before="567" w:after="0" w:line="360" w:lineRule="auto"/>
        <w:rPr>
          <w:rFonts w:ascii="Times New Roman"/>
        </w:rPr>
      </w:pPr>
      <w:bookmarkStart w:id="17" w:name="_Toc55844957"/>
      <w:r>
        <w:rPr>
          <w:rFonts w:hint="eastAsia" w:ascii="Times New Roman"/>
        </w:rPr>
        <w:t>附录</w:t>
      </w:r>
      <w:r>
        <w:rPr>
          <w:rFonts w:ascii="Times New Roman"/>
        </w:rPr>
        <w:t>B</w:t>
      </w:r>
      <w:r>
        <w:rPr>
          <w:rFonts w:ascii="Times New Roman"/>
        </w:rPr>
        <w:br w:type="textWrapping"/>
      </w:r>
      <w:r>
        <w:rPr>
          <w:rFonts w:ascii="Times New Roman"/>
        </w:rPr>
        <w:t>（</w:t>
      </w:r>
      <w:r>
        <w:rPr>
          <w:rFonts w:hint="eastAsia" w:ascii="Times New Roman"/>
        </w:rPr>
        <w:t>规范性</w:t>
      </w:r>
      <w:r>
        <w:rPr>
          <w:rFonts w:ascii="Times New Roman"/>
        </w:rPr>
        <w:t>）</w:t>
      </w:r>
      <w:r>
        <w:rPr>
          <w:rFonts w:ascii="Times New Roman"/>
        </w:rPr>
        <w:br w:type="textWrapping"/>
      </w:r>
      <w:r>
        <w:rPr>
          <w:rFonts w:hint="eastAsia" w:ascii="Times New Roman"/>
        </w:rPr>
        <w:t>大气环境中钢筋混凝土阴极保护用钛阳极强化寿命检测方法</w:t>
      </w:r>
      <w:bookmarkEnd w:id="17"/>
    </w:p>
    <w:p>
      <w:pPr>
        <w:widowControl/>
        <w:spacing w:before="312" w:beforeLines="100" w:after="312" w:afterLines="100" w:line="360" w:lineRule="auto"/>
        <w:jc w:val="left"/>
        <w:outlineLvl w:val="0"/>
        <w:rPr>
          <w:rFonts w:ascii="黑体" w:hAnsi="黑体" w:eastAsia="黑体"/>
          <w:kern w:val="0"/>
          <w:szCs w:val="21"/>
        </w:rPr>
      </w:pPr>
      <w:bookmarkStart w:id="18" w:name="_Toc55844958"/>
      <w:r>
        <w:rPr>
          <w:rFonts w:ascii="黑体" w:hAnsi="黑体" w:eastAsia="黑体"/>
          <w:kern w:val="0"/>
          <w:szCs w:val="21"/>
        </w:rPr>
        <w:t xml:space="preserve">B.1 </w:t>
      </w:r>
      <w:r>
        <w:rPr>
          <w:rFonts w:hint="eastAsia" w:ascii="黑体" w:hAnsi="黑体" w:eastAsia="黑体"/>
          <w:kern w:val="0"/>
          <w:szCs w:val="21"/>
        </w:rPr>
        <w:t>方法原理</w:t>
      </w:r>
      <w:bookmarkEnd w:id="18"/>
    </w:p>
    <w:p>
      <w:pPr>
        <w:pStyle w:val="19"/>
        <w:widowControl/>
        <w:tabs>
          <w:tab w:val="left" w:pos="360"/>
        </w:tabs>
        <w:wordWrap w:val="0"/>
        <w:overflowPunct w:val="0"/>
        <w:autoSpaceDE w:val="0"/>
        <w:textAlignment w:val="baseline"/>
        <w:rPr>
          <w:rFonts w:ascii="宋体" w:hAnsi="宋体"/>
          <w:kern w:val="21"/>
          <w:szCs w:val="20"/>
        </w:rPr>
      </w:pPr>
      <w:bookmarkStart w:id="19" w:name="_Toc55844959"/>
      <w:r>
        <w:rPr>
          <w:rFonts w:hint="eastAsia" w:ascii="宋体" w:hAnsi="宋体"/>
          <w:kern w:val="21"/>
          <w:szCs w:val="20"/>
        </w:rPr>
        <w:t>本附录适合大气环境中钢筋混凝土阴极保护用钛阳极的强化寿命测试，用来评价钛阳极是否能在额定电流输出条件下达到规定的设计寿命。</w:t>
      </w:r>
    </w:p>
    <w:p>
      <w:pPr>
        <w:pStyle w:val="19"/>
        <w:widowControl/>
        <w:tabs>
          <w:tab w:val="left" w:pos="360"/>
        </w:tabs>
        <w:wordWrap w:val="0"/>
        <w:overflowPunct w:val="0"/>
        <w:autoSpaceDE w:val="0"/>
        <w:textAlignment w:val="baseline"/>
      </w:pPr>
      <w:r>
        <w:rPr>
          <w:rFonts w:hint="eastAsia" w:ascii="宋体" w:hAnsi="宋体"/>
          <w:kern w:val="21"/>
          <w:szCs w:val="20"/>
        </w:rPr>
        <w:t>大气环境中钢筋混凝土</w:t>
      </w:r>
      <w:r>
        <w:rPr>
          <w:rFonts w:hint="eastAsia" w:hAnsi="宋体"/>
        </w:rPr>
        <w:t>阴极保护用钛阳极在体系一开始通电时，可能会出现阴极极化现象。所以阳极应具备耐短暂反向电流的能力。强化寿命实验需要在</w:t>
      </w:r>
      <w:r>
        <w:rPr>
          <w:rFonts w:hAnsi="宋体"/>
        </w:rPr>
        <w:t>NaC</w:t>
      </w:r>
      <w:r>
        <w:rPr>
          <w:rFonts w:hint="eastAsia" w:hAnsi="宋体"/>
        </w:rPr>
        <w:t>l水溶液（3</w:t>
      </w:r>
      <w:r>
        <w:rPr>
          <w:rFonts w:hAnsi="宋体"/>
        </w:rPr>
        <w:t>0</w:t>
      </w:r>
      <w:r>
        <w:rPr>
          <w:rFonts w:hint="eastAsia" w:hAnsi="宋体"/>
        </w:rPr>
        <w:t>g/</w:t>
      </w:r>
      <w:r>
        <w:rPr>
          <w:rFonts w:hAnsi="宋体"/>
        </w:rPr>
        <w:t>L</w:t>
      </w:r>
      <w:r>
        <w:rPr>
          <w:rFonts w:hint="eastAsia" w:hAnsi="宋体"/>
        </w:rPr>
        <w:t>）、</w:t>
      </w:r>
      <w:r>
        <w:rPr>
          <w:rFonts w:hAnsi="宋体"/>
        </w:rPr>
        <w:t>N</w:t>
      </w:r>
      <w:r>
        <w:rPr>
          <w:rFonts w:hint="eastAsia" w:hAnsi="宋体"/>
        </w:rPr>
        <w:t>a</w:t>
      </w:r>
      <w:r>
        <w:rPr>
          <w:rFonts w:hAnsi="宋体"/>
        </w:rPr>
        <w:t>OH</w:t>
      </w:r>
      <w:r>
        <w:rPr>
          <w:rFonts w:hint="eastAsia" w:hAnsi="宋体"/>
        </w:rPr>
        <w:t>水溶液（5</w:t>
      </w:r>
      <w:r>
        <w:rPr>
          <w:rFonts w:hAnsi="宋体"/>
        </w:rPr>
        <w:t>0</w:t>
      </w:r>
      <w:r>
        <w:rPr>
          <w:rFonts w:hint="eastAsia" w:hAnsi="宋体"/>
        </w:rPr>
        <w:t>g</w:t>
      </w:r>
      <w:r>
        <w:rPr>
          <w:rFonts w:hAnsi="宋体"/>
        </w:rPr>
        <w:t>/L</w:t>
      </w:r>
      <w:r>
        <w:rPr>
          <w:rFonts w:hint="eastAsia" w:hAnsi="宋体"/>
        </w:rPr>
        <w:t>）及砂浆模拟孔隙液（0.20% Ca(OH)</w:t>
      </w:r>
      <w:r>
        <w:rPr>
          <w:rFonts w:hint="eastAsia" w:hAnsi="宋体"/>
          <w:vertAlign w:val="subscript"/>
        </w:rPr>
        <w:t>2</w:t>
      </w:r>
      <w:r>
        <w:rPr>
          <w:rFonts w:hint="eastAsia" w:hAnsi="宋体"/>
        </w:rPr>
        <w:t xml:space="preserve"> , 3.20% KCl, 1.00% KOH, 2.45% NaOH）中进行。在三种测试液中，</w:t>
      </w:r>
      <w:r>
        <w:rPr>
          <w:rFonts w:ascii="宋体" w:hAnsi="宋体"/>
        </w:rPr>
        <w:t>在规定电流密度下，阳极表面</w:t>
      </w:r>
      <w:r>
        <w:rPr>
          <w:rFonts w:hint="eastAsia" w:ascii="宋体" w:hAnsi="宋体"/>
        </w:rPr>
        <w:t>强化寿命测试</w:t>
      </w:r>
      <w:r>
        <w:rPr>
          <w:rFonts w:ascii="宋体" w:hAnsi="宋体"/>
        </w:rPr>
        <w:t>通过的总电荷密度</w:t>
      </w:r>
      <w:r>
        <w:rPr>
          <w:rFonts w:hint="eastAsia" w:ascii="宋体" w:hAnsi="宋体"/>
        </w:rPr>
        <w:t>都</w:t>
      </w:r>
      <w:r>
        <w:rPr>
          <w:rFonts w:ascii="宋体" w:hAnsi="宋体"/>
        </w:rPr>
        <w:t>达到或超过阳极实际使用寿命期限内阳极表面通过的总电荷密度</w:t>
      </w:r>
      <w:r>
        <w:rPr>
          <w:rFonts w:hint="eastAsia" w:ascii="宋体" w:hAnsi="宋体"/>
        </w:rPr>
        <w:t>，且反向电流测试合格，判该阳极合格，否则为不合格。</w:t>
      </w:r>
    </w:p>
    <w:p>
      <w:pPr>
        <w:widowControl/>
        <w:spacing w:before="312" w:beforeLines="100" w:after="312" w:afterLines="100" w:line="360" w:lineRule="auto"/>
        <w:jc w:val="left"/>
        <w:outlineLvl w:val="0"/>
        <w:rPr>
          <w:rFonts w:ascii="黑体" w:hAnsi="黑体" w:eastAsia="黑体"/>
          <w:kern w:val="0"/>
          <w:szCs w:val="21"/>
        </w:rPr>
      </w:pPr>
      <w:r>
        <w:rPr>
          <w:rFonts w:ascii="黑体" w:hAnsi="黑体" w:eastAsia="黑体"/>
          <w:kern w:val="0"/>
          <w:szCs w:val="21"/>
        </w:rPr>
        <w:t xml:space="preserve">B.2 </w:t>
      </w:r>
      <w:r>
        <w:rPr>
          <w:rFonts w:hint="eastAsia" w:ascii="黑体" w:hAnsi="黑体" w:eastAsia="黑体"/>
          <w:kern w:val="0"/>
          <w:szCs w:val="21"/>
        </w:rPr>
        <w:t>试剂</w:t>
      </w:r>
      <w:bookmarkEnd w:id="19"/>
    </w:p>
    <w:p>
      <w:pPr>
        <w:pStyle w:val="10"/>
        <w:ind w:firstLine="420"/>
        <w:rPr>
          <w:rFonts w:ascii="Times New Roman"/>
        </w:rPr>
      </w:pPr>
      <w:bookmarkStart w:id="20" w:name="_Toc55844960"/>
      <w:r>
        <w:rPr>
          <w:rFonts w:hint="eastAsia" w:ascii="Times New Roman"/>
        </w:rPr>
        <w:t>除非另有说明，在分析中仅使用确认为分析纯的试剂，所用水为蒸馏水或去离子水或相当纯度的水。</w:t>
      </w:r>
    </w:p>
    <w:p>
      <w:pPr>
        <w:pStyle w:val="10"/>
        <w:tabs>
          <w:tab w:val="center" w:pos="4363"/>
        </w:tabs>
        <w:ind w:firstLine="0" w:firstLineChars="0"/>
        <w:rPr>
          <w:rFonts w:hAnsi="宋体"/>
        </w:rPr>
      </w:pPr>
      <w:r>
        <w:rPr>
          <w:rFonts w:ascii="黑体" w:hAnsi="黑体" w:eastAsia="黑体"/>
          <w:kern w:val="2"/>
          <w:szCs w:val="24"/>
        </w:rPr>
        <w:t>B.</w:t>
      </w:r>
      <w:r>
        <w:rPr>
          <w:rFonts w:hint="eastAsia" w:ascii="黑体" w:hAnsi="黑体" w:eastAsia="黑体"/>
          <w:kern w:val="2"/>
          <w:szCs w:val="24"/>
        </w:rPr>
        <w:t>2</w:t>
      </w:r>
      <w:r>
        <w:rPr>
          <w:rFonts w:ascii="黑体" w:hAnsi="黑体" w:eastAsia="黑体"/>
          <w:kern w:val="2"/>
          <w:szCs w:val="24"/>
        </w:rPr>
        <w:t>.1</w:t>
      </w:r>
      <w:r>
        <w:rPr>
          <w:rFonts w:hAnsi="宋体"/>
        </w:rPr>
        <w:t xml:space="preserve"> NaC</w:t>
      </w:r>
      <w:r>
        <w:rPr>
          <w:rFonts w:hint="eastAsia" w:hAnsi="宋体"/>
        </w:rPr>
        <w:t>l水溶液（3</w:t>
      </w:r>
      <w:r>
        <w:rPr>
          <w:rFonts w:hAnsi="宋体"/>
        </w:rPr>
        <w:t>0</w:t>
      </w:r>
      <w:r>
        <w:rPr>
          <w:rFonts w:hint="eastAsia" w:hAnsi="宋体"/>
        </w:rPr>
        <w:t>g/</w:t>
      </w:r>
      <w:r>
        <w:rPr>
          <w:rFonts w:hAnsi="宋体"/>
        </w:rPr>
        <w:t>L</w:t>
      </w:r>
      <w:r>
        <w:rPr>
          <w:rFonts w:hint="eastAsia" w:hAnsi="宋体"/>
        </w:rPr>
        <w:t>）：</w:t>
      </w:r>
      <w:r>
        <w:rPr>
          <w:rFonts w:hAnsi="宋体"/>
        </w:rPr>
        <w:t>称</w:t>
      </w:r>
      <w:r>
        <w:rPr>
          <w:rFonts w:hint="eastAsia" w:hAnsi="宋体"/>
        </w:rPr>
        <w:t>取</w:t>
      </w:r>
      <w:r>
        <w:rPr>
          <w:rFonts w:hAnsi="宋体"/>
        </w:rPr>
        <w:t>30g的NaCl</w:t>
      </w:r>
      <w:r>
        <w:rPr>
          <w:rFonts w:hint="eastAsia" w:hAnsi="宋体"/>
        </w:rPr>
        <w:t>溶于1</w:t>
      </w:r>
      <w:r>
        <w:rPr>
          <w:rFonts w:hAnsi="宋体"/>
        </w:rPr>
        <w:t>L</w:t>
      </w:r>
      <w:r>
        <w:rPr>
          <w:rFonts w:hint="eastAsia" w:hAnsi="宋体"/>
        </w:rPr>
        <w:t>水中。用时现配。</w:t>
      </w:r>
    </w:p>
    <w:p>
      <w:pPr>
        <w:pStyle w:val="10"/>
        <w:tabs>
          <w:tab w:val="center" w:pos="4363"/>
        </w:tabs>
        <w:ind w:firstLine="0" w:firstLineChars="0"/>
        <w:rPr>
          <w:rFonts w:hAnsi="宋体"/>
        </w:rPr>
      </w:pPr>
      <w:r>
        <w:rPr>
          <w:rFonts w:hint="eastAsia" w:ascii="黑体" w:hAnsi="黑体" w:eastAsia="黑体"/>
          <w:kern w:val="2"/>
          <w:szCs w:val="24"/>
        </w:rPr>
        <w:t>B</w:t>
      </w:r>
      <w:r>
        <w:rPr>
          <w:rFonts w:ascii="黑体" w:hAnsi="黑体" w:eastAsia="黑体"/>
          <w:kern w:val="2"/>
          <w:szCs w:val="24"/>
        </w:rPr>
        <w:t>.2.2</w:t>
      </w:r>
      <w:r>
        <w:rPr>
          <w:rFonts w:hAnsi="宋体"/>
        </w:rPr>
        <w:t xml:space="preserve"> N</w:t>
      </w:r>
      <w:r>
        <w:rPr>
          <w:rFonts w:hint="eastAsia" w:hAnsi="宋体"/>
        </w:rPr>
        <w:t>a</w:t>
      </w:r>
      <w:r>
        <w:rPr>
          <w:rFonts w:hAnsi="宋体"/>
        </w:rPr>
        <w:t>OH</w:t>
      </w:r>
      <w:r>
        <w:rPr>
          <w:rFonts w:hint="eastAsia" w:hAnsi="宋体"/>
        </w:rPr>
        <w:t>水溶液（5</w:t>
      </w:r>
      <w:r>
        <w:rPr>
          <w:rFonts w:hAnsi="宋体"/>
        </w:rPr>
        <w:t>0</w:t>
      </w:r>
      <w:r>
        <w:rPr>
          <w:rFonts w:hint="eastAsia" w:hAnsi="宋体"/>
        </w:rPr>
        <w:t>g</w:t>
      </w:r>
      <w:r>
        <w:rPr>
          <w:rFonts w:hAnsi="宋体"/>
        </w:rPr>
        <w:t>/L</w:t>
      </w:r>
      <w:r>
        <w:rPr>
          <w:rFonts w:hint="eastAsia" w:hAnsi="宋体"/>
        </w:rPr>
        <w:t>）：称取NaOH 5</w:t>
      </w:r>
      <w:r>
        <w:rPr>
          <w:rFonts w:hAnsi="宋体"/>
        </w:rPr>
        <w:t>0</w:t>
      </w:r>
      <w:r>
        <w:rPr>
          <w:rFonts w:hint="eastAsia" w:hAnsi="宋体"/>
        </w:rPr>
        <w:t>g溶于1</w:t>
      </w:r>
      <w:r>
        <w:rPr>
          <w:rFonts w:hAnsi="宋体"/>
        </w:rPr>
        <w:t>L</w:t>
      </w:r>
      <w:r>
        <w:rPr>
          <w:rFonts w:hint="eastAsia" w:hAnsi="宋体"/>
        </w:rPr>
        <w:t>水中。用时现配。</w:t>
      </w:r>
    </w:p>
    <w:p>
      <w:pPr>
        <w:pStyle w:val="10"/>
        <w:ind w:firstLine="0" w:firstLineChars="0"/>
        <w:rPr>
          <w:rFonts w:hAnsi="宋体"/>
        </w:rPr>
      </w:pPr>
      <w:r>
        <w:rPr>
          <w:rFonts w:hint="eastAsia" w:ascii="黑体" w:hAnsi="黑体" w:eastAsia="黑体"/>
          <w:kern w:val="2"/>
          <w:szCs w:val="24"/>
        </w:rPr>
        <w:t>B</w:t>
      </w:r>
      <w:r>
        <w:rPr>
          <w:rFonts w:ascii="黑体" w:hAnsi="黑体" w:eastAsia="黑体"/>
          <w:kern w:val="2"/>
          <w:szCs w:val="24"/>
        </w:rPr>
        <w:t>.2.3</w:t>
      </w:r>
      <w:r>
        <w:rPr>
          <w:rFonts w:hAnsi="宋体"/>
        </w:rPr>
        <w:t xml:space="preserve"> </w:t>
      </w:r>
      <w:r>
        <w:rPr>
          <w:rFonts w:hint="eastAsia" w:hAnsi="宋体"/>
        </w:rPr>
        <w:t>砂浆模拟孔隙液（0.20% Ca(OH)</w:t>
      </w:r>
      <w:r>
        <w:rPr>
          <w:rFonts w:hint="eastAsia" w:hAnsi="宋体"/>
          <w:vertAlign w:val="subscript"/>
        </w:rPr>
        <w:t>2</w:t>
      </w:r>
      <w:r>
        <w:rPr>
          <w:rFonts w:hint="eastAsia" w:hAnsi="宋体"/>
        </w:rPr>
        <w:t xml:space="preserve"> , 3.20% KCl, 1.00% KOH, 2.45% NaOH）：</w:t>
      </w:r>
      <w:r>
        <w:rPr>
          <w:rFonts w:hAnsi="宋体"/>
        </w:rPr>
        <w:t>称26.3g NaOH固体颗粒，缓慢加入盛有1.0L蒸馏水</w:t>
      </w:r>
      <w:r>
        <w:rPr>
          <w:rFonts w:hint="eastAsia" w:hAnsi="宋体"/>
        </w:rPr>
        <w:t>。</w:t>
      </w:r>
      <w:r>
        <w:rPr>
          <w:rFonts w:hAnsi="宋体"/>
        </w:rPr>
        <w:t>称10.74g KOH固体颗粒，缓慢加入以上溶液中，摇晃直至颗粒完全溶解。称34.35g KCl，加入溶液中，摇晃直至晶粒完全溶解。称2.15g Ca(OH)</w:t>
      </w:r>
      <w:r>
        <w:rPr>
          <w:rFonts w:hAnsi="宋体"/>
          <w:vertAlign w:val="subscript"/>
        </w:rPr>
        <w:t>2</w:t>
      </w:r>
      <w:r>
        <w:rPr>
          <w:rFonts w:hAnsi="宋体"/>
        </w:rPr>
        <w:t>加入溶液中，溶液需要磁力搅拌器搅拌均匀直到冷却。将电极和鲁金毛细管装好后，将</w:t>
      </w:r>
      <w:r>
        <w:rPr>
          <w:rFonts w:hint="eastAsia" w:hAnsi="宋体"/>
        </w:rPr>
        <w:t>4</w:t>
      </w:r>
      <w:r>
        <w:rPr>
          <w:rFonts w:hAnsi="宋体"/>
        </w:rPr>
        <w:t>0到</w:t>
      </w:r>
      <w:r>
        <w:rPr>
          <w:rFonts w:hint="eastAsia" w:hAnsi="宋体"/>
        </w:rPr>
        <w:t>5</w:t>
      </w:r>
      <w:r>
        <w:rPr>
          <w:rFonts w:hAnsi="宋体"/>
        </w:rPr>
        <w:t>0网孔的砂装入实验装置，完全覆盖阳极，然后注入孔隙液，排出装置中所有气体。</w:t>
      </w:r>
    </w:p>
    <w:p>
      <w:pPr>
        <w:widowControl/>
        <w:spacing w:before="312" w:beforeLines="100" w:after="312" w:afterLines="100" w:line="360" w:lineRule="auto"/>
        <w:jc w:val="left"/>
        <w:outlineLvl w:val="0"/>
        <w:rPr>
          <w:rFonts w:ascii="黑体" w:hAnsi="黑体" w:eastAsia="黑体"/>
          <w:kern w:val="0"/>
          <w:szCs w:val="21"/>
        </w:rPr>
      </w:pPr>
      <w:r>
        <w:rPr>
          <w:rFonts w:ascii="黑体" w:hAnsi="黑体" w:eastAsia="黑体"/>
          <w:kern w:val="0"/>
          <w:szCs w:val="21"/>
        </w:rPr>
        <w:t>B.3</w:t>
      </w:r>
      <w:r>
        <w:rPr>
          <w:rFonts w:hint="eastAsia" w:ascii="黑体" w:hAnsi="黑体" w:eastAsia="黑体"/>
          <w:kern w:val="0"/>
          <w:szCs w:val="21"/>
        </w:rPr>
        <w:t xml:space="preserve"> 仪器与设备</w:t>
      </w:r>
      <w:bookmarkEnd w:id="20"/>
    </w:p>
    <w:p>
      <w:pPr>
        <w:pStyle w:val="19"/>
        <w:widowControl/>
        <w:tabs>
          <w:tab w:val="left" w:pos="360"/>
        </w:tabs>
        <w:wordWrap w:val="0"/>
        <w:overflowPunct w:val="0"/>
        <w:autoSpaceDE w:val="0"/>
        <w:ind w:firstLine="0" w:firstLineChars="0"/>
        <w:textAlignment w:val="baseline"/>
      </w:pPr>
      <w:r>
        <w:rPr>
          <w:rFonts w:ascii="黑体" w:hAnsi="黑体" w:eastAsia="黑体"/>
        </w:rPr>
        <w:t>B</w:t>
      </w:r>
      <w:r>
        <w:rPr>
          <w:rFonts w:hint="eastAsia" w:ascii="黑体" w:hAnsi="黑体" w:eastAsia="黑体"/>
        </w:rPr>
        <w:t>.</w:t>
      </w:r>
      <w:r>
        <w:rPr>
          <w:rFonts w:ascii="黑体" w:hAnsi="黑体" w:eastAsia="黑体"/>
        </w:rPr>
        <w:t>3</w:t>
      </w:r>
      <w:r>
        <w:rPr>
          <w:rFonts w:hint="eastAsia" w:ascii="黑体" w:hAnsi="黑体" w:eastAsia="黑体"/>
        </w:rPr>
        <w:t>.1</w:t>
      </w:r>
      <w:r>
        <w:rPr>
          <w:rFonts w:hint="eastAsia"/>
        </w:rPr>
        <w:t xml:space="preserve"> 电源：</w:t>
      </w:r>
      <w:r>
        <w:rPr>
          <w:rFonts w:hAnsi="宋体"/>
        </w:rPr>
        <w:t>直流电源</w:t>
      </w:r>
      <w:r>
        <w:rPr>
          <w:rFonts w:hint="eastAsia"/>
        </w:rPr>
        <w:t>。</w:t>
      </w:r>
    </w:p>
    <w:p>
      <w:pPr>
        <w:pStyle w:val="19"/>
        <w:widowControl/>
        <w:tabs>
          <w:tab w:val="left" w:pos="360"/>
        </w:tabs>
        <w:wordWrap w:val="0"/>
        <w:overflowPunct w:val="0"/>
        <w:autoSpaceDE w:val="0"/>
        <w:ind w:firstLine="0" w:firstLineChars="0"/>
        <w:textAlignment w:val="baseline"/>
      </w:pPr>
      <w:r>
        <w:rPr>
          <w:rFonts w:ascii="黑体" w:hAnsi="黑体" w:eastAsia="黑体"/>
        </w:rPr>
        <w:t>B</w:t>
      </w:r>
      <w:r>
        <w:rPr>
          <w:rFonts w:hint="eastAsia" w:ascii="黑体" w:hAnsi="黑体" w:eastAsia="黑体"/>
        </w:rPr>
        <w:t>.</w:t>
      </w:r>
      <w:r>
        <w:rPr>
          <w:rFonts w:ascii="黑体" w:hAnsi="黑体" w:eastAsia="黑体"/>
        </w:rPr>
        <w:t>3</w:t>
      </w:r>
      <w:r>
        <w:rPr>
          <w:rFonts w:hint="eastAsia" w:ascii="黑体" w:hAnsi="黑体" w:eastAsia="黑体"/>
        </w:rPr>
        <w:t>.2</w:t>
      </w:r>
      <w:r>
        <w:rPr>
          <w:rFonts w:hint="eastAsia"/>
        </w:rPr>
        <w:t xml:space="preserve"> 电流表：0.5级。</w:t>
      </w:r>
    </w:p>
    <w:p>
      <w:pPr>
        <w:pStyle w:val="19"/>
        <w:widowControl/>
        <w:tabs>
          <w:tab w:val="left" w:pos="360"/>
        </w:tabs>
        <w:wordWrap w:val="0"/>
        <w:overflowPunct w:val="0"/>
        <w:autoSpaceDE w:val="0"/>
        <w:ind w:left="360" w:hanging="360" w:firstLineChars="0"/>
        <w:textAlignment w:val="baseline"/>
      </w:pPr>
      <w:r>
        <w:rPr>
          <w:rFonts w:ascii="黑体" w:hAnsi="黑体" w:eastAsia="黑体"/>
        </w:rPr>
        <w:t>B</w:t>
      </w:r>
      <w:r>
        <w:rPr>
          <w:rFonts w:hint="eastAsia" w:ascii="黑体" w:hAnsi="黑体" w:eastAsia="黑体"/>
        </w:rPr>
        <w:t>.</w:t>
      </w:r>
      <w:r>
        <w:rPr>
          <w:rFonts w:ascii="黑体" w:hAnsi="黑体" w:eastAsia="黑体"/>
        </w:rPr>
        <w:t>3</w:t>
      </w:r>
      <w:r>
        <w:rPr>
          <w:rFonts w:hint="eastAsia" w:ascii="黑体" w:hAnsi="黑体" w:eastAsia="黑体"/>
        </w:rPr>
        <w:t>.3</w:t>
      </w:r>
      <w:r>
        <w:rPr>
          <w:rFonts w:hint="eastAsia"/>
        </w:rPr>
        <w:t xml:space="preserve"> </w:t>
      </w:r>
      <w:r>
        <w:rPr>
          <w:rFonts w:hint="eastAsia" w:ascii="宋体" w:hAnsi="宋体"/>
        </w:rPr>
        <w:t>电压表：阻抗≥10MΩ</w:t>
      </w:r>
      <w:r>
        <w:rPr>
          <w:rFonts w:hint="eastAsia"/>
        </w:rPr>
        <w:t>。</w:t>
      </w:r>
    </w:p>
    <w:p>
      <w:pPr>
        <w:pStyle w:val="19"/>
        <w:widowControl/>
        <w:tabs>
          <w:tab w:val="left" w:pos="360"/>
        </w:tabs>
        <w:wordWrap w:val="0"/>
        <w:overflowPunct w:val="0"/>
        <w:autoSpaceDE w:val="0"/>
        <w:ind w:firstLine="0" w:firstLineChars="0"/>
        <w:textAlignment w:val="baseline"/>
      </w:pPr>
      <w:r>
        <w:rPr>
          <w:rFonts w:ascii="黑体" w:hAnsi="黑体" w:eastAsia="黑体"/>
        </w:rPr>
        <w:t>B</w:t>
      </w:r>
      <w:r>
        <w:rPr>
          <w:rFonts w:hint="eastAsia" w:ascii="黑体" w:hAnsi="黑体" w:eastAsia="黑体"/>
        </w:rPr>
        <w:t>.</w:t>
      </w:r>
      <w:r>
        <w:rPr>
          <w:rFonts w:ascii="黑体" w:hAnsi="黑体" w:eastAsia="黑体"/>
        </w:rPr>
        <w:t>3</w:t>
      </w:r>
      <w:r>
        <w:rPr>
          <w:rFonts w:hint="eastAsia" w:ascii="黑体" w:hAnsi="黑体" w:eastAsia="黑体"/>
        </w:rPr>
        <w:t>.4</w:t>
      </w:r>
      <w:r>
        <w:rPr>
          <w:rFonts w:hint="eastAsia"/>
        </w:rPr>
        <w:t xml:space="preserve"> 参比电极：饱和甘汞电极。</w:t>
      </w:r>
    </w:p>
    <w:p>
      <w:pPr>
        <w:pStyle w:val="19"/>
        <w:widowControl/>
        <w:tabs>
          <w:tab w:val="left" w:pos="360"/>
        </w:tabs>
        <w:wordWrap w:val="0"/>
        <w:overflowPunct w:val="0"/>
        <w:autoSpaceDE w:val="0"/>
        <w:ind w:firstLine="0" w:firstLineChars="0"/>
        <w:textAlignment w:val="baseline"/>
      </w:pPr>
      <w:r>
        <w:rPr>
          <w:rFonts w:ascii="黑体" w:hAnsi="黑体" w:eastAsia="黑体"/>
        </w:rPr>
        <w:t>B</w:t>
      </w:r>
      <w:r>
        <w:rPr>
          <w:rFonts w:hint="eastAsia" w:ascii="黑体" w:hAnsi="黑体" w:eastAsia="黑体"/>
        </w:rPr>
        <w:t>.</w:t>
      </w:r>
      <w:r>
        <w:rPr>
          <w:rFonts w:ascii="黑体" w:hAnsi="黑体" w:eastAsia="黑体"/>
        </w:rPr>
        <w:t>3</w:t>
      </w:r>
      <w:r>
        <w:rPr>
          <w:rFonts w:hint="eastAsia" w:ascii="黑体" w:hAnsi="黑体" w:eastAsia="黑体"/>
        </w:rPr>
        <w:t>.</w:t>
      </w:r>
      <w:r>
        <w:rPr>
          <w:rFonts w:ascii="黑体" w:hAnsi="黑体" w:eastAsia="黑体"/>
        </w:rPr>
        <w:t>5</w:t>
      </w:r>
      <w:r>
        <w:rPr>
          <w:rFonts w:hint="eastAsia"/>
        </w:rPr>
        <w:t xml:space="preserve"> 阴极：</w:t>
      </w:r>
      <w:r>
        <w:rPr>
          <w:rFonts w:hint="eastAsia" w:ascii="宋体" w:hAnsi="宋体"/>
        </w:rPr>
        <w:t>宽1</w:t>
      </w:r>
      <w:r>
        <w:rPr>
          <w:rFonts w:ascii="宋体" w:hAnsi="宋体"/>
        </w:rPr>
        <w:t>5</w:t>
      </w:r>
      <w:r>
        <w:rPr>
          <w:rFonts w:hint="eastAsia" w:ascii="宋体" w:hAnsi="宋体"/>
        </w:rPr>
        <w:t>mm，长200mm，厚</w:t>
      </w:r>
      <w:r>
        <w:rPr>
          <w:rFonts w:ascii="宋体" w:hAnsi="宋体"/>
        </w:rPr>
        <w:t>3</w:t>
      </w:r>
      <w:r>
        <w:rPr>
          <w:rFonts w:hint="eastAsia" w:ascii="宋体" w:hAnsi="宋体"/>
        </w:rPr>
        <w:t>mm的钛板。</w:t>
      </w:r>
    </w:p>
    <w:p>
      <w:pPr>
        <w:pStyle w:val="19"/>
        <w:widowControl/>
        <w:tabs>
          <w:tab w:val="left" w:pos="360"/>
        </w:tabs>
        <w:wordWrap w:val="0"/>
        <w:overflowPunct w:val="0"/>
        <w:autoSpaceDE w:val="0"/>
        <w:ind w:firstLine="0" w:firstLineChars="0"/>
        <w:textAlignment w:val="baseline"/>
      </w:pPr>
      <w:r>
        <w:rPr>
          <w:rFonts w:ascii="黑体" w:hAnsi="黑体" w:eastAsia="黑体"/>
        </w:rPr>
        <w:t>B</w:t>
      </w:r>
      <w:r>
        <w:rPr>
          <w:rFonts w:hint="eastAsia" w:ascii="黑体" w:hAnsi="黑体" w:eastAsia="黑体"/>
        </w:rPr>
        <w:t>.</w:t>
      </w:r>
      <w:r>
        <w:rPr>
          <w:rFonts w:ascii="黑体" w:hAnsi="黑体" w:eastAsia="黑体"/>
        </w:rPr>
        <w:t>3</w:t>
      </w:r>
      <w:r>
        <w:rPr>
          <w:rFonts w:hint="eastAsia" w:ascii="黑体" w:hAnsi="黑体" w:eastAsia="黑体"/>
        </w:rPr>
        <w:t>.</w:t>
      </w:r>
      <w:r>
        <w:rPr>
          <w:rFonts w:ascii="黑体" w:hAnsi="黑体" w:eastAsia="黑体"/>
        </w:rPr>
        <w:t>6</w:t>
      </w:r>
      <w:r>
        <w:rPr>
          <w:rFonts w:hint="eastAsia" w:ascii="黑体" w:hAnsi="黑体" w:eastAsia="黑体"/>
        </w:rPr>
        <w:t xml:space="preserve"> </w:t>
      </w:r>
      <w:r>
        <w:rPr>
          <w:rFonts w:hint="eastAsia"/>
        </w:rPr>
        <w:t>阳极：</w:t>
      </w:r>
      <w:r>
        <w:rPr>
          <w:rFonts w:hint="eastAsia" w:ascii="宋体" w:hAnsi="宋体"/>
        </w:rPr>
        <w:t>采用直径大于1.6mm、长200mm的钛丝与试片没有涂层的一面焊接</w:t>
      </w:r>
      <w:r>
        <w:rPr>
          <w:rFonts w:hint="eastAsia"/>
        </w:rPr>
        <w:t>。</w:t>
      </w:r>
    </w:p>
    <w:p>
      <w:pPr>
        <w:pStyle w:val="19"/>
        <w:widowControl/>
        <w:tabs>
          <w:tab w:val="left" w:pos="360"/>
        </w:tabs>
        <w:wordWrap w:val="0"/>
        <w:overflowPunct w:val="0"/>
        <w:autoSpaceDE w:val="0"/>
        <w:ind w:firstLine="0" w:firstLineChars="0"/>
        <w:textAlignment w:val="baseline"/>
      </w:pPr>
      <w:r>
        <w:rPr>
          <w:rFonts w:ascii="黑体" w:hAnsi="黑体" w:eastAsia="黑体"/>
        </w:rPr>
        <w:t>B</w:t>
      </w:r>
      <w:r>
        <w:rPr>
          <w:rFonts w:hint="eastAsia" w:ascii="黑体" w:hAnsi="黑体" w:eastAsia="黑体"/>
        </w:rPr>
        <w:t>.</w:t>
      </w:r>
      <w:r>
        <w:rPr>
          <w:rFonts w:ascii="黑体" w:hAnsi="黑体" w:eastAsia="黑体"/>
        </w:rPr>
        <w:t>3</w:t>
      </w:r>
      <w:r>
        <w:rPr>
          <w:rFonts w:hint="eastAsia" w:ascii="黑体" w:hAnsi="黑体" w:eastAsia="黑体"/>
        </w:rPr>
        <w:t>.</w:t>
      </w:r>
      <w:r>
        <w:rPr>
          <w:rFonts w:ascii="黑体" w:hAnsi="黑体" w:eastAsia="黑体"/>
        </w:rPr>
        <w:t>7</w:t>
      </w:r>
      <w:r>
        <w:rPr>
          <w:rFonts w:hint="eastAsia"/>
        </w:rPr>
        <w:t xml:space="preserve"> 恒温水浴：</w:t>
      </w:r>
      <w:r>
        <w:rPr>
          <w:rFonts w:hint="eastAsia" w:ascii="宋体" w:hAnsi="宋体"/>
        </w:rPr>
        <w:t>温度范围20℃-100℃</w:t>
      </w:r>
      <w:r>
        <w:rPr>
          <w:rFonts w:hint="eastAsia"/>
        </w:rPr>
        <w:t>。</w:t>
      </w:r>
    </w:p>
    <w:p>
      <w:pPr>
        <w:pStyle w:val="19"/>
        <w:widowControl/>
        <w:tabs>
          <w:tab w:val="left" w:pos="360"/>
        </w:tabs>
        <w:wordWrap w:val="0"/>
        <w:overflowPunct w:val="0"/>
        <w:autoSpaceDE w:val="0"/>
        <w:ind w:firstLine="0" w:firstLineChars="0"/>
        <w:textAlignment w:val="baseline"/>
      </w:pPr>
      <w:r>
        <w:rPr>
          <w:rFonts w:hint="eastAsia" w:ascii="黑体" w:hAnsi="黑体" w:eastAsia="黑体"/>
        </w:rPr>
        <w:t>A.</w:t>
      </w:r>
      <w:r>
        <w:rPr>
          <w:rFonts w:ascii="黑体" w:hAnsi="黑体" w:eastAsia="黑体"/>
        </w:rPr>
        <w:t>3</w:t>
      </w:r>
      <w:r>
        <w:rPr>
          <w:rFonts w:hint="eastAsia" w:ascii="黑体" w:hAnsi="黑体" w:eastAsia="黑体"/>
        </w:rPr>
        <w:t>.</w:t>
      </w:r>
      <w:r>
        <w:rPr>
          <w:rFonts w:ascii="黑体" w:hAnsi="黑体" w:eastAsia="黑体"/>
        </w:rPr>
        <w:t xml:space="preserve">8 </w:t>
      </w:r>
      <w:r>
        <w:rPr>
          <w:rFonts w:hint="eastAsia"/>
        </w:rPr>
        <w:t>烧杯：</w:t>
      </w:r>
      <w:r>
        <w:rPr>
          <w:rFonts w:hint="eastAsia" w:ascii="宋体" w:hAnsi="宋体"/>
        </w:rPr>
        <w:t>容积为1</w:t>
      </w:r>
      <w:r>
        <w:rPr>
          <w:rFonts w:ascii="宋体" w:hAnsi="宋体"/>
        </w:rPr>
        <w:t>L</w:t>
      </w:r>
      <w:r>
        <w:rPr>
          <w:rFonts w:hint="eastAsia" w:ascii="宋体" w:hAnsi="宋体"/>
        </w:rPr>
        <w:t>带橡皮塞，能固定温度计，电极，鲁金毛细管</w:t>
      </w:r>
      <w:r>
        <w:rPr>
          <w:rFonts w:hint="eastAsia"/>
        </w:rPr>
        <w:t>。</w:t>
      </w:r>
    </w:p>
    <w:p>
      <w:pPr>
        <w:widowControl/>
        <w:spacing w:before="312" w:beforeLines="100" w:after="312" w:afterLines="100" w:line="360" w:lineRule="auto"/>
        <w:jc w:val="left"/>
        <w:outlineLvl w:val="0"/>
        <w:rPr>
          <w:rFonts w:ascii="黑体" w:hAnsi="黑体" w:eastAsia="黑体"/>
          <w:kern w:val="0"/>
          <w:szCs w:val="21"/>
        </w:rPr>
      </w:pPr>
      <w:bookmarkStart w:id="21" w:name="_Toc55844961"/>
      <w:r>
        <w:rPr>
          <w:rFonts w:ascii="黑体" w:hAnsi="黑体" w:eastAsia="黑体"/>
          <w:kern w:val="0"/>
          <w:szCs w:val="21"/>
        </w:rPr>
        <w:t>B.4</w:t>
      </w:r>
      <w:r>
        <w:rPr>
          <w:rFonts w:hint="eastAsia" w:ascii="黑体" w:hAnsi="黑体" w:eastAsia="黑体"/>
          <w:kern w:val="0"/>
          <w:szCs w:val="21"/>
        </w:rPr>
        <w:t xml:space="preserve"> 分析步骤</w:t>
      </w:r>
      <w:bookmarkEnd w:id="21"/>
    </w:p>
    <w:p>
      <w:pPr>
        <w:pStyle w:val="20"/>
        <w:spacing w:before="156" w:beforeLines="50" w:after="156" w:afterLines="50" w:line="360" w:lineRule="auto"/>
        <w:rPr>
          <w:rFonts w:hAnsi="黑体"/>
        </w:rPr>
      </w:pPr>
      <w:bookmarkStart w:id="22" w:name="_Toc55844962"/>
      <w:r>
        <w:rPr>
          <w:rFonts w:hAnsi="黑体"/>
        </w:rPr>
        <w:t>B</w:t>
      </w:r>
      <w:r>
        <w:rPr>
          <w:rFonts w:hint="eastAsia" w:hAnsi="黑体"/>
        </w:rPr>
        <w:t>.</w:t>
      </w:r>
      <w:r>
        <w:rPr>
          <w:rFonts w:hAnsi="黑体"/>
        </w:rPr>
        <w:t xml:space="preserve">4.1 </w:t>
      </w:r>
      <w:bookmarkEnd w:id="22"/>
      <w:r>
        <w:rPr>
          <w:rFonts w:hint="eastAsia" w:hAnsi="黑体"/>
        </w:rPr>
        <w:t>样品</w:t>
      </w:r>
    </w:p>
    <w:p>
      <w:pPr>
        <w:pStyle w:val="19"/>
        <w:widowControl/>
        <w:tabs>
          <w:tab w:val="left" w:pos="360"/>
        </w:tabs>
        <w:wordWrap w:val="0"/>
        <w:overflowPunct w:val="0"/>
        <w:autoSpaceDE w:val="0"/>
        <w:ind w:firstLineChars="0"/>
        <w:textAlignment w:val="baseline"/>
        <w:rPr>
          <w:rFonts w:ascii="宋体" w:hAnsi="宋体"/>
          <w:kern w:val="21"/>
          <w:szCs w:val="20"/>
        </w:rPr>
      </w:pPr>
      <w:bookmarkStart w:id="23" w:name="_Toc55844963"/>
      <w:r>
        <w:rPr>
          <w:rFonts w:hint="eastAsia" w:ascii="宋体" w:hAnsi="宋体"/>
          <w:kern w:val="21"/>
          <w:szCs w:val="20"/>
        </w:rPr>
        <w:t>从随炉试样上裁取长×宽为</w:t>
      </w:r>
      <w:r>
        <w:rPr>
          <w:rFonts w:ascii="宋体" w:hAnsi="宋体"/>
          <w:kern w:val="21"/>
          <w:szCs w:val="20"/>
        </w:rPr>
        <w:t>50</w:t>
      </w:r>
      <w:r>
        <w:rPr>
          <w:rFonts w:hint="eastAsia" w:ascii="宋体" w:hAnsi="宋体"/>
          <w:kern w:val="21"/>
          <w:szCs w:val="20"/>
        </w:rPr>
        <w:t>mm×</w:t>
      </w:r>
      <w:r>
        <w:rPr>
          <w:rFonts w:ascii="宋体" w:hAnsi="宋体"/>
          <w:kern w:val="21"/>
          <w:szCs w:val="20"/>
        </w:rPr>
        <w:t>4</w:t>
      </w:r>
      <w:r>
        <w:rPr>
          <w:rFonts w:hint="eastAsia" w:ascii="宋体" w:hAnsi="宋体"/>
          <w:kern w:val="21"/>
          <w:szCs w:val="20"/>
        </w:rPr>
        <w:t>0mm试片，数量</w:t>
      </w:r>
      <w:r>
        <w:rPr>
          <w:rFonts w:ascii="宋体" w:hAnsi="宋体"/>
          <w:kern w:val="21"/>
          <w:szCs w:val="20"/>
        </w:rPr>
        <w:t>6</w:t>
      </w:r>
      <w:r>
        <w:rPr>
          <w:rFonts w:hint="eastAsia" w:ascii="宋体" w:hAnsi="宋体"/>
          <w:kern w:val="21"/>
          <w:szCs w:val="20"/>
        </w:rPr>
        <w:t>片。</w:t>
      </w:r>
    </w:p>
    <w:p>
      <w:pPr>
        <w:pStyle w:val="20"/>
        <w:spacing w:before="156" w:beforeLines="50" w:after="156" w:afterLines="50" w:line="360" w:lineRule="auto"/>
        <w:rPr>
          <w:rFonts w:hAnsi="黑体"/>
        </w:rPr>
      </w:pPr>
      <w:r>
        <w:rPr>
          <w:rFonts w:hint="eastAsia" w:hAnsi="黑体"/>
        </w:rPr>
        <w:t>B</w:t>
      </w:r>
      <w:r>
        <w:rPr>
          <w:rFonts w:hAnsi="黑体"/>
        </w:rPr>
        <w:t xml:space="preserve">.4.2 </w:t>
      </w:r>
      <w:r>
        <w:rPr>
          <w:rFonts w:hint="eastAsia" w:hAnsi="黑体"/>
        </w:rPr>
        <w:t>试验步骤</w:t>
      </w:r>
      <w:bookmarkEnd w:id="23"/>
    </w:p>
    <w:p>
      <w:pPr>
        <w:pStyle w:val="10"/>
        <w:spacing w:line="360" w:lineRule="auto"/>
        <w:ind w:firstLine="0" w:firstLineChars="0"/>
        <w:jc w:val="center"/>
      </w:pPr>
      <w:r>
        <w:drawing>
          <wp:inline distT="0" distB="0" distL="0" distR="0">
            <wp:extent cx="4777105" cy="305308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777105" cy="3053080"/>
                    </a:xfrm>
                    <a:prstGeom prst="rect">
                      <a:avLst/>
                    </a:prstGeom>
                    <a:noFill/>
                    <a:ln>
                      <a:noFill/>
                    </a:ln>
                  </pic:spPr>
                </pic:pic>
              </a:graphicData>
            </a:graphic>
          </wp:inline>
        </w:drawing>
      </w:r>
    </w:p>
    <w:p>
      <w:pPr>
        <w:pStyle w:val="10"/>
        <w:ind w:firstLine="420" w:firstLineChars="280"/>
        <w:jc w:val="center"/>
        <w:rPr>
          <w:rFonts w:ascii="Times New Roman"/>
          <w:sz w:val="15"/>
          <w:szCs w:val="15"/>
        </w:rPr>
      </w:pPr>
      <w:r>
        <w:rPr>
          <w:rFonts w:ascii="Times New Roman"/>
          <w:sz w:val="15"/>
          <w:szCs w:val="15"/>
        </w:rPr>
        <w:t>1.直流电源      2.电流表     3.电压表     4参比电极</w:t>
      </w:r>
      <w:r>
        <w:rPr>
          <w:rFonts w:hint="eastAsia" w:ascii="Times New Roman"/>
          <w:sz w:val="15"/>
          <w:szCs w:val="15"/>
        </w:rPr>
        <w:t xml:space="preserve">（或附加阳极） </w:t>
      </w:r>
      <w:r>
        <w:rPr>
          <w:rFonts w:ascii="Times New Roman"/>
          <w:sz w:val="15"/>
          <w:szCs w:val="15"/>
        </w:rPr>
        <w:t xml:space="preserve"> 5阳极(测试电极)    6阴极     7. 水浴</w:t>
      </w:r>
    </w:p>
    <w:p>
      <w:pPr>
        <w:pStyle w:val="2"/>
        <w:spacing w:before="156" w:beforeLines="50" w:after="156" w:afterLines="50"/>
        <w:jc w:val="center"/>
        <w:rPr>
          <w:rFonts w:ascii="黑体" w:hAnsi="黑体"/>
          <w:sz w:val="21"/>
          <w:szCs w:val="21"/>
        </w:rPr>
      </w:pPr>
      <w:bookmarkStart w:id="24" w:name="_Toc51578557"/>
      <w:r>
        <w:rPr>
          <w:rFonts w:hint="eastAsia" w:ascii="黑体" w:hAnsi="黑体"/>
          <w:sz w:val="21"/>
          <w:szCs w:val="21"/>
        </w:rPr>
        <w:t>图 B.</w:t>
      </w:r>
      <w:r>
        <w:rPr>
          <w:rFonts w:ascii="黑体" w:hAnsi="黑体"/>
          <w:sz w:val="21"/>
          <w:szCs w:val="21"/>
        </w:rPr>
        <w:fldChar w:fldCharType="begin"/>
      </w:r>
      <w:r>
        <w:rPr>
          <w:rFonts w:ascii="黑体" w:hAnsi="黑体"/>
          <w:sz w:val="21"/>
          <w:szCs w:val="21"/>
        </w:rPr>
        <w:instrText xml:space="preserve"> </w:instrText>
      </w:r>
      <w:r>
        <w:rPr>
          <w:rFonts w:hint="eastAsia" w:ascii="黑体" w:hAnsi="黑体"/>
          <w:sz w:val="21"/>
          <w:szCs w:val="21"/>
        </w:rPr>
        <w:instrText xml:space="preserve">SEQ 图_B. \* ARABIC</w:instrText>
      </w:r>
      <w:r>
        <w:rPr>
          <w:rFonts w:ascii="黑体" w:hAnsi="黑体"/>
          <w:sz w:val="21"/>
          <w:szCs w:val="21"/>
        </w:rPr>
        <w:instrText xml:space="preserve"> </w:instrText>
      </w:r>
      <w:r>
        <w:rPr>
          <w:rFonts w:ascii="黑体" w:hAnsi="黑体"/>
          <w:sz w:val="21"/>
          <w:szCs w:val="21"/>
        </w:rPr>
        <w:fldChar w:fldCharType="separate"/>
      </w:r>
      <w:r>
        <w:rPr>
          <w:rFonts w:ascii="黑体" w:hAnsi="黑体"/>
          <w:sz w:val="21"/>
          <w:szCs w:val="21"/>
        </w:rPr>
        <w:t>1</w:t>
      </w:r>
      <w:r>
        <w:rPr>
          <w:rFonts w:ascii="黑体" w:hAnsi="黑体"/>
          <w:sz w:val="21"/>
          <w:szCs w:val="21"/>
        </w:rPr>
        <w:fldChar w:fldCharType="end"/>
      </w:r>
      <w:r>
        <w:rPr>
          <w:rFonts w:ascii="黑体" w:hAnsi="黑体"/>
          <w:sz w:val="21"/>
          <w:szCs w:val="21"/>
        </w:rPr>
        <w:t xml:space="preserve"> 测试装置示意图</w:t>
      </w:r>
      <w:bookmarkEnd w:id="24"/>
    </w:p>
    <w:p>
      <w:pPr>
        <w:pStyle w:val="10"/>
        <w:ind w:firstLine="0" w:firstLineChars="0"/>
        <w:rPr>
          <w:rFonts w:ascii="Times New Roman"/>
        </w:rPr>
      </w:pPr>
      <w:r>
        <w:rPr>
          <w:rFonts w:ascii="黑体" w:hAnsi="黑体" w:eastAsia="黑体"/>
          <w:kern w:val="2"/>
          <w:szCs w:val="24"/>
        </w:rPr>
        <w:t>B.4.2.1</w:t>
      </w:r>
      <w:r>
        <w:rPr>
          <w:rFonts w:ascii="Times New Roman"/>
        </w:rPr>
        <w:t xml:space="preserve"> </w:t>
      </w:r>
      <w:r>
        <w:rPr>
          <w:rFonts w:hAnsi="宋体"/>
        </w:rPr>
        <w:t>阴极棒与被测阳极应该固定于橡皮塞上，间距保持在50mm。</w:t>
      </w:r>
    </w:p>
    <w:p>
      <w:pPr>
        <w:pStyle w:val="10"/>
        <w:ind w:firstLine="0" w:firstLineChars="0"/>
        <w:rPr>
          <w:rFonts w:ascii="Times New Roman"/>
        </w:rPr>
      </w:pPr>
      <w:r>
        <w:rPr>
          <w:rFonts w:ascii="黑体" w:hAnsi="黑体" w:eastAsia="黑体"/>
          <w:kern w:val="2"/>
          <w:szCs w:val="24"/>
        </w:rPr>
        <w:t>B.4.2</w:t>
      </w:r>
      <w:r>
        <w:rPr>
          <w:rFonts w:hint="eastAsia" w:ascii="黑体" w:hAnsi="黑体" w:eastAsia="黑体"/>
          <w:kern w:val="2"/>
          <w:szCs w:val="24"/>
        </w:rPr>
        <w:t>.</w:t>
      </w:r>
      <w:r>
        <w:rPr>
          <w:rFonts w:ascii="黑体" w:hAnsi="黑体" w:eastAsia="黑体"/>
          <w:kern w:val="2"/>
          <w:szCs w:val="24"/>
        </w:rPr>
        <w:t>2</w:t>
      </w:r>
      <w:r>
        <w:rPr>
          <w:rFonts w:ascii="Times New Roman"/>
        </w:rPr>
        <w:t xml:space="preserve"> 附加阳极应固定在以上两种电极中间。</w:t>
      </w:r>
    </w:p>
    <w:p>
      <w:pPr>
        <w:pStyle w:val="10"/>
        <w:ind w:firstLine="0" w:firstLineChars="0"/>
        <w:rPr>
          <w:rFonts w:ascii="Times New Roman"/>
        </w:rPr>
      </w:pPr>
      <w:r>
        <w:rPr>
          <w:rFonts w:ascii="黑体" w:hAnsi="黑体" w:eastAsia="黑体"/>
          <w:kern w:val="2"/>
          <w:szCs w:val="24"/>
        </w:rPr>
        <w:t>B.4.2.3</w:t>
      </w:r>
      <w:r>
        <w:rPr>
          <w:rFonts w:ascii="Times New Roman"/>
        </w:rPr>
        <w:t xml:space="preserve"> </w:t>
      </w:r>
      <w:r>
        <w:rPr>
          <w:rFonts w:hAnsi="宋体"/>
        </w:rPr>
        <w:t>测试装置中注入大约1000mL的电解质溶液，保证阳极试样完全浸入溶液中。实验中溶液要保持静止，温度控制在20±5</w:t>
      </w:r>
      <w:r>
        <w:rPr>
          <w:rFonts w:hint="eastAsia" w:hAnsi="宋体" w:cs="宋体"/>
        </w:rPr>
        <w:t>℃，按照图B</w:t>
      </w:r>
      <w:r>
        <w:rPr>
          <w:rFonts w:hAnsi="宋体" w:cs="宋体"/>
        </w:rPr>
        <w:t>.1</w:t>
      </w:r>
      <w:r>
        <w:rPr>
          <w:rFonts w:hint="eastAsia" w:hAnsi="宋体"/>
        </w:rPr>
        <w:t>连接阴极、阳极、电源、甘汞电极等</w:t>
      </w:r>
      <w:r>
        <w:rPr>
          <w:rFonts w:hAnsi="宋体"/>
        </w:rPr>
        <w:t>。</w:t>
      </w:r>
    </w:p>
    <w:p>
      <w:pPr>
        <w:pStyle w:val="10"/>
        <w:ind w:firstLine="0" w:firstLineChars="0"/>
        <w:rPr>
          <w:rFonts w:ascii="Times New Roman"/>
        </w:rPr>
      </w:pPr>
      <w:r>
        <w:rPr>
          <w:rFonts w:ascii="黑体" w:hAnsi="黑体" w:eastAsia="黑体"/>
          <w:kern w:val="2"/>
          <w:szCs w:val="24"/>
        </w:rPr>
        <w:t>B.4.2.4</w:t>
      </w:r>
      <w:r>
        <w:rPr>
          <w:rFonts w:ascii="Times New Roman"/>
        </w:rPr>
        <w:t xml:space="preserve"> </w:t>
      </w:r>
      <w:r>
        <w:rPr>
          <w:rFonts w:hAnsi="宋体"/>
        </w:rPr>
        <w:t>实验开始时要记录溶液pH值</w:t>
      </w:r>
      <w:r>
        <w:rPr>
          <w:rFonts w:hint="eastAsia" w:hAnsi="宋体"/>
        </w:rPr>
        <w:t>，</w:t>
      </w:r>
      <w:r>
        <w:rPr>
          <w:rFonts w:hAnsi="宋体"/>
        </w:rPr>
        <w:t>之后每大约100小时记录一次pH值</w:t>
      </w:r>
      <w:r>
        <w:rPr>
          <w:rFonts w:hint="eastAsia" w:hAnsi="宋体"/>
        </w:rPr>
        <w:t>，</w:t>
      </w:r>
      <w:r>
        <w:rPr>
          <w:rFonts w:hAnsi="宋体"/>
        </w:rPr>
        <w:t>而在此期间要检查溶液的蒸发量，并加入蒸馏水或去离子水到1000mL</w:t>
      </w:r>
      <w:r>
        <w:rPr>
          <w:rFonts w:ascii="Times New Roman"/>
        </w:rPr>
        <w:t>。</w:t>
      </w:r>
    </w:p>
    <w:p>
      <w:pPr>
        <w:pStyle w:val="10"/>
        <w:ind w:firstLine="0" w:firstLineChars="0"/>
        <w:rPr>
          <w:rFonts w:ascii="Times New Roman"/>
        </w:rPr>
      </w:pPr>
      <w:r>
        <w:rPr>
          <w:rFonts w:ascii="黑体" w:hAnsi="黑体" w:eastAsia="黑体"/>
          <w:kern w:val="2"/>
          <w:szCs w:val="24"/>
        </w:rPr>
        <w:t>B.4.2.5</w:t>
      </w:r>
      <w:r>
        <w:rPr>
          <w:rFonts w:ascii="Times New Roman"/>
        </w:rPr>
        <w:t xml:space="preserve"> 电流反向测试应先做，电源负极接被检测阳极，电源正极接附加阳极。</w:t>
      </w:r>
    </w:p>
    <w:p>
      <w:pPr>
        <w:pStyle w:val="10"/>
        <w:ind w:firstLine="0" w:firstLineChars="0"/>
        <w:rPr>
          <w:rFonts w:hAnsi="宋体"/>
        </w:rPr>
      </w:pPr>
      <w:r>
        <w:rPr>
          <w:rFonts w:ascii="黑体" w:hAnsi="黑体" w:eastAsia="黑体"/>
          <w:kern w:val="2"/>
          <w:szCs w:val="24"/>
        </w:rPr>
        <w:t>B.4.2.6</w:t>
      </w:r>
      <w:r>
        <w:rPr>
          <w:rFonts w:ascii="Times New Roman"/>
        </w:rPr>
        <w:t xml:space="preserve"> </w:t>
      </w:r>
      <w:r>
        <w:rPr>
          <w:rFonts w:hAnsi="宋体"/>
        </w:rPr>
        <w:t>被测试阳极须在反向电流或阴极极化的条件下测8个小时，电流设定在17.8mA。此测试使阳极表面电荷密度总和达到71A</w:t>
      </w:r>
      <w:r>
        <w:rPr>
          <w:rFonts w:hint="eastAsia" w:hAnsi="宋体"/>
        </w:rPr>
        <w:t>·</w:t>
      </w:r>
      <w:r>
        <w:rPr>
          <w:rFonts w:hAnsi="宋体"/>
        </w:rPr>
        <w:t>h/m</w:t>
      </w:r>
      <w:r>
        <w:rPr>
          <w:rFonts w:hAnsi="宋体"/>
          <w:vertAlign w:val="superscript"/>
        </w:rPr>
        <w:t>2</w:t>
      </w:r>
      <w:r>
        <w:rPr>
          <w:rFonts w:hAnsi="宋体"/>
        </w:rPr>
        <w:t>。</w:t>
      </w:r>
    </w:p>
    <w:p>
      <w:pPr>
        <w:pStyle w:val="10"/>
        <w:ind w:firstLine="0" w:firstLineChars="0"/>
        <w:rPr>
          <w:rFonts w:ascii="Times New Roman"/>
        </w:rPr>
      </w:pPr>
      <w:r>
        <w:rPr>
          <w:rFonts w:ascii="黑体" w:hAnsi="黑体" w:eastAsia="黑体"/>
          <w:kern w:val="2"/>
          <w:szCs w:val="24"/>
        </w:rPr>
        <w:t>B.4.2.7</w:t>
      </w:r>
      <w:r>
        <w:rPr>
          <w:rFonts w:ascii="Times New Roman"/>
        </w:rPr>
        <w:t xml:space="preserve"> </w:t>
      </w:r>
      <w:r>
        <w:rPr>
          <w:rFonts w:hAnsi="宋体"/>
        </w:rPr>
        <w:t>在电流反向测试中，每一个电解池的电流和电压须分别在1分钟，1小时和8小时测量。电压的测量是用电压表测被测电极与附加阳极之间的电压。</w:t>
      </w:r>
    </w:p>
    <w:p>
      <w:pPr>
        <w:pStyle w:val="10"/>
        <w:ind w:firstLine="0" w:firstLineChars="0"/>
        <w:rPr>
          <w:rFonts w:ascii="Times New Roman"/>
        </w:rPr>
      </w:pPr>
      <w:r>
        <w:rPr>
          <w:rFonts w:ascii="黑体" w:hAnsi="黑体" w:eastAsia="黑体"/>
          <w:kern w:val="2"/>
          <w:szCs w:val="24"/>
        </w:rPr>
        <w:t>B.4.2.8</w:t>
      </w:r>
      <w:r>
        <w:rPr>
          <w:rFonts w:ascii="Times New Roman"/>
        </w:rPr>
        <w:t xml:space="preserve"> 反向电流测试完毕后，电源接头就应变换位置，正极接被测阳极，负极接阴极。附加阳极此时应该从装置上移除。将鲁金毛细管安装到装置中，以测量阳极电位。而且装置中的砂需要清空，装入新的砂，检测电解液，以保证完成</w:t>
      </w:r>
      <w:r>
        <w:rPr>
          <w:rFonts w:hint="eastAsia" w:ascii="Times New Roman"/>
        </w:rPr>
        <w:t>后续</w:t>
      </w:r>
      <w:r>
        <w:rPr>
          <w:rFonts w:ascii="Times New Roman"/>
        </w:rPr>
        <w:t>的实验。</w:t>
      </w:r>
    </w:p>
    <w:p>
      <w:pPr>
        <w:pStyle w:val="10"/>
        <w:ind w:firstLine="0" w:firstLineChars="0"/>
        <w:rPr>
          <w:rFonts w:hAnsi="宋体"/>
        </w:rPr>
      </w:pPr>
      <w:r>
        <w:rPr>
          <w:rFonts w:ascii="黑体" w:hAnsi="黑体" w:eastAsia="黑体"/>
          <w:kern w:val="2"/>
          <w:szCs w:val="24"/>
        </w:rPr>
        <w:t xml:space="preserve">B.4.2.9 </w:t>
      </w:r>
      <w:r>
        <w:rPr>
          <w:rFonts w:hAnsi="宋体"/>
        </w:rPr>
        <w:t>被测阳极须在17.8mA下完成正常</w:t>
      </w:r>
      <w:r>
        <w:rPr>
          <w:rFonts w:hint="eastAsia" w:hAnsi="宋体"/>
        </w:rPr>
        <w:t>或</w:t>
      </w:r>
      <w:r>
        <w:rPr>
          <w:rFonts w:hAnsi="宋体"/>
        </w:rPr>
        <w:t>阳极极化过程。</w:t>
      </w:r>
    </w:p>
    <w:p>
      <w:pPr>
        <w:pStyle w:val="10"/>
        <w:ind w:firstLine="0" w:firstLineChars="0"/>
        <w:rPr>
          <w:rFonts w:ascii="Times New Roman"/>
        </w:rPr>
      </w:pPr>
      <w:r>
        <w:rPr>
          <w:rFonts w:ascii="黑体" w:hAnsi="黑体" w:eastAsia="黑体"/>
          <w:kern w:val="2"/>
          <w:szCs w:val="24"/>
        </w:rPr>
        <w:t>B.4.2.10</w:t>
      </w:r>
      <w:r>
        <w:rPr>
          <w:rFonts w:ascii="Times New Roman"/>
        </w:rPr>
        <w:t xml:space="preserve"> 以下参数要在</w:t>
      </w:r>
      <w:r>
        <w:rPr>
          <w:rFonts w:hint="eastAsia" w:ascii="Times New Roman"/>
        </w:rPr>
        <w:t>正常</w:t>
      </w:r>
      <w:r>
        <w:rPr>
          <w:rFonts w:ascii="Times New Roman"/>
        </w:rPr>
        <w:t>或阳极极化测试中测量</w:t>
      </w:r>
      <w:r>
        <w:rPr>
          <w:rFonts w:hint="eastAsia" w:ascii="Times New Roman"/>
        </w:rPr>
        <w:t>。</w:t>
      </w:r>
    </w:p>
    <w:p>
      <w:pPr>
        <w:pStyle w:val="10"/>
        <w:ind w:firstLine="0" w:firstLineChars="0"/>
        <w:rPr>
          <w:rFonts w:hAnsi="宋体"/>
        </w:rPr>
      </w:pPr>
      <w:r>
        <w:rPr>
          <w:rFonts w:hAnsi="宋体"/>
          <w:kern w:val="2"/>
          <w:szCs w:val="24"/>
        </w:rPr>
        <w:t>B.4.2.10.1</w:t>
      </w:r>
      <w:r>
        <w:rPr>
          <w:rFonts w:ascii="Times New Roman"/>
        </w:rPr>
        <w:t xml:space="preserve"> </w:t>
      </w:r>
      <w:r>
        <w:rPr>
          <w:rFonts w:hAnsi="宋体"/>
        </w:rPr>
        <w:t>电解池电压和电流应分别在1小时，24小时，7天，14天，28天，42天，56天，70天，84天，98天，112天，126天，140天，154天，168天，180天测量。</w:t>
      </w:r>
    </w:p>
    <w:p>
      <w:pPr>
        <w:pStyle w:val="10"/>
        <w:ind w:firstLine="0" w:firstLineChars="0"/>
        <w:rPr>
          <w:rFonts w:hAnsi="宋体"/>
        </w:rPr>
      </w:pPr>
      <w:r>
        <w:rPr>
          <w:rFonts w:hAnsi="宋体"/>
          <w:kern w:val="2"/>
          <w:szCs w:val="24"/>
        </w:rPr>
        <w:t xml:space="preserve">B.4.2.10.2 </w:t>
      </w:r>
      <w:r>
        <w:rPr>
          <w:rFonts w:hAnsi="宋体"/>
        </w:rPr>
        <w:t>用饱和甘汞参比电极测量阳极电位，测量周期和</w:t>
      </w:r>
      <w:r>
        <w:rPr>
          <w:rFonts w:hAnsi="宋体"/>
          <w:kern w:val="2"/>
          <w:szCs w:val="24"/>
        </w:rPr>
        <w:t>B.4.2.10.1</w:t>
      </w:r>
      <w:r>
        <w:rPr>
          <w:rFonts w:hAnsi="宋体"/>
        </w:rPr>
        <w:t>中相同。电位的测量需要使用一个大阻抗电压表（10MΩ或更大）接被测电极和饱和甘汞电极。</w:t>
      </w:r>
    </w:p>
    <w:p>
      <w:pPr>
        <w:pStyle w:val="10"/>
        <w:ind w:firstLine="0" w:firstLineChars="0"/>
        <w:rPr>
          <w:rFonts w:hAnsi="宋体"/>
        </w:rPr>
      </w:pPr>
      <w:r>
        <w:rPr>
          <w:rFonts w:ascii="黑体" w:hAnsi="黑体" w:eastAsia="黑体"/>
          <w:kern w:val="2"/>
          <w:szCs w:val="24"/>
        </w:rPr>
        <w:t>B.4.2.11</w:t>
      </w:r>
      <w:r>
        <w:rPr>
          <w:rFonts w:ascii="Times New Roman"/>
        </w:rPr>
        <w:t xml:space="preserve"> </w:t>
      </w:r>
      <w:r>
        <w:rPr>
          <w:rFonts w:hAnsi="宋体"/>
        </w:rPr>
        <w:t>测试中体系通过的电荷总量测量精度应达到±1%。在实验结束时，电荷密度不应小于38500A</w:t>
      </w:r>
      <w:r>
        <w:rPr>
          <w:rFonts w:hint="eastAsia" w:hAnsi="宋体"/>
        </w:rPr>
        <w:t>·</w:t>
      </w:r>
      <w:r>
        <w:rPr>
          <w:rFonts w:hAnsi="宋体"/>
        </w:rPr>
        <w:t>h/m</w:t>
      </w:r>
      <w:r>
        <w:rPr>
          <w:rFonts w:hAnsi="宋体"/>
          <w:vertAlign w:val="superscript"/>
        </w:rPr>
        <w:t>2</w:t>
      </w:r>
      <w:r>
        <w:rPr>
          <w:rFonts w:hAnsi="宋体"/>
        </w:rPr>
        <w:t>，或更大（如果客户要求）。如果阳极失效（见章节B.4.12），测得的电荷总量和计算得到的电荷总量都需要记录。</w:t>
      </w:r>
    </w:p>
    <w:p>
      <w:pPr>
        <w:pStyle w:val="10"/>
        <w:ind w:firstLine="0" w:firstLineChars="0"/>
        <w:rPr>
          <w:rFonts w:ascii="Times New Roman"/>
        </w:rPr>
      </w:pPr>
      <w:r>
        <w:rPr>
          <w:rFonts w:hint="eastAsia" w:ascii="黑体" w:hAnsi="黑体" w:eastAsia="黑体"/>
          <w:kern w:val="2"/>
          <w:szCs w:val="24"/>
        </w:rPr>
        <w:t>B</w:t>
      </w:r>
      <w:r>
        <w:rPr>
          <w:rFonts w:ascii="黑体" w:hAnsi="黑体" w:eastAsia="黑体"/>
          <w:kern w:val="2"/>
          <w:szCs w:val="24"/>
        </w:rPr>
        <w:t xml:space="preserve">.4.12 </w:t>
      </w:r>
      <w:r>
        <w:rPr>
          <w:rFonts w:hAnsi="宋体"/>
        </w:rPr>
        <w:t>阳极失效的特征是电池电压和阳极电位迅速升高</w:t>
      </w:r>
      <w:r>
        <w:rPr>
          <w:rFonts w:hint="eastAsia" w:hAnsi="宋体"/>
        </w:rPr>
        <w:t>，</w:t>
      </w:r>
      <w:r>
        <w:rPr>
          <w:rFonts w:hAnsi="宋体"/>
        </w:rPr>
        <w:t>当阳极电位比它初始值高5V时，要记录它失效的时间。</w:t>
      </w:r>
      <w:r>
        <w:rPr>
          <w:rFonts w:ascii="Times New Roman"/>
        </w:rPr>
        <w:t>阳极材料必须通过标准中三种电解液的测试</w:t>
      </w:r>
      <w:r>
        <w:rPr>
          <w:rFonts w:hint="eastAsia" w:ascii="Times New Roman"/>
        </w:rPr>
        <w:t>。</w:t>
      </w:r>
    </w:p>
    <w:p>
      <w:pPr>
        <w:widowControl/>
        <w:spacing w:before="312" w:beforeLines="100" w:after="312" w:afterLines="100" w:line="360" w:lineRule="auto"/>
        <w:jc w:val="left"/>
        <w:outlineLvl w:val="0"/>
        <w:rPr>
          <w:rFonts w:ascii="黑体" w:hAnsi="黑体" w:eastAsia="黑体"/>
          <w:kern w:val="0"/>
          <w:szCs w:val="21"/>
        </w:rPr>
      </w:pPr>
      <w:bookmarkStart w:id="25" w:name="_Toc55844964"/>
      <w:r>
        <w:rPr>
          <w:rFonts w:ascii="黑体" w:hAnsi="黑体" w:eastAsia="黑体"/>
          <w:kern w:val="0"/>
          <w:szCs w:val="21"/>
        </w:rPr>
        <w:t>B.5 报告</w:t>
      </w:r>
      <w:bookmarkEnd w:id="25"/>
    </w:p>
    <w:p>
      <w:pPr>
        <w:pStyle w:val="19"/>
        <w:widowControl/>
        <w:tabs>
          <w:tab w:val="left" w:pos="360"/>
        </w:tabs>
        <w:wordWrap w:val="0"/>
        <w:overflowPunct w:val="0"/>
        <w:autoSpaceDE w:val="0"/>
        <w:textAlignment w:val="baseline"/>
      </w:pPr>
      <w:r>
        <w:rPr>
          <w:rFonts w:hint="eastAsia"/>
        </w:rPr>
        <w:t>试验报告内容：</w:t>
      </w:r>
    </w:p>
    <w:p>
      <w:pPr>
        <w:pStyle w:val="19"/>
        <w:widowControl/>
        <w:numPr>
          <w:ilvl w:val="0"/>
          <w:numId w:val="4"/>
        </w:numPr>
        <w:tabs>
          <w:tab w:val="left" w:pos="360"/>
        </w:tabs>
        <w:wordWrap w:val="0"/>
        <w:overflowPunct w:val="0"/>
        <w:autoSpaceDE w:val="0"/>
        <w:ind w:firstLineChars="0"/>
        <w:textAlignment w:val="baseline"/>
      </w:pPr>
      <w:r>
        <w:rPr>
          <w:rFonts w:hint="eastAsia"/>
        </w:rPr>
        <w:t>实验室名称；</w:t>
      </w:r>
    </w:p>
    <w:p>
      <w:pPr>
        <w:pStyle w:val="19"/>
        <w:widowControl/>
        <w:numPr>
          <w:ilvl w:val="0"/>
          <w:numId w:val="4"/>
        </w:numPr>
        <w:tabs>
          <w:tab w:val="left" w:pos="360"/>
        </w:tabs>
        <w:wordWrap w:val="0"/>
        <w:overflowPunct w:val="0"/>
        <w:autoSpaceDE w:val="0"/>
        <w:ind w:firstLineChars="0"/>
        <w:textAlignment w:val="baseline"/>
      </w:pPr>
      <w:r>
        <w:rPr>
          <w:rFonts w:hint="eastAsia"/>
        </w:rPr>
        <w:t>每个阳极试片测试的日期、时间；</w:t>
      </w:r>
    </w:p>
    <w:p>
      <w:pPr>
        <w:pStyle w:val="19"/>
        <w:widowControl/>
        <w:numPr>
          <w:ilvl w:val="0"/>
          <w:numId w:val="4"/>
        </w:numPr>
        <w:tabs>
          <w:tab w:val="left" w:pos="360"/>
        </w:tabs>
        <w:wordWrap w:val="0"/>
        <w:overflowPunct w:val="0"/>
        <w:autoSpaceDE w:val="0"/>
        <w:ind w:firstLineChars="0"/>
        <w:textAlignment w:val="baseline"/>
      </w:pPr>
      <w:r>
        <w:rPr>
          <w:rFonts w:hint="eastAsia"/>
        </w:rPr>
        <w:t>阳极电位、电流密度、电解槽温度、p</w:t>
      </w:r>
      <w:r>
        <w:t>H</w:t>
      </w:r>
      <w:r>
        <w:rPr>
          <w:rFonts w:hint="eastAsia"/>
        </w:rPr>
        <w:t>；</w:t>
      </w:r>
    </w:p>
    <w:p>
      <w:pPr>
        <w:pStyle w:val="19"/>
        <w:widowControl/>
        <w:numPr>
          <w:ilvl w:val="0"/>
          <w:numId w:val="4"/>
        </w:numPr>
        <w:tabs>
          <w:tab w:val="left" w:pos="360"/>
        </w:tabs>
        <w:wordWrap w:val="0"/>
        <w:overflowPunct w:val="0"/>
        <w:autoSpaceDE w:val="0"/>
        <w:ind w:firstLineChars="0"/>
        <w:textAlignment w:val="baseline"/>
      </w:pPr>
      <w:r>
        <w:rPr>
          <w:rFonts w:hint="eastAsia"/>
        </w:rPr>
        <w:t>每个阳极试片的强化寿命。</w:t>
      </w:r>
    </w:p>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3E7"/>
    <w:multiLevelType w:val="multilevel"/>
    <w:tmpl w:val="0A1903E7"/>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DC946E3"/>
    <w:multiLevelType w:val="multilevel"/>
    <w:tmpl w:val="2DC946E3"/>
    <w:lvl w:ilvl="0" w:tentative="0">
      <w:start w:val="1"/>
      <w:numFmt w:val="lowerLetter"/>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33E773D5"/>
    <w:multiLevelType w:val="multilevel"/>
    <w:tmpl w:val="33E773D5"/>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928"/>
        </w:tabs>
        <w:ind w:left="928"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57D3FBC"/>
    <w:multiLevelType w:val="multilevel"/>
    <w:tmpl w:val="657D3FBC"/>
    <w:lvl w:ilvl="0" w:tentative="0">
      <w:start w:val="1"/>
      <w:numFmt w:val="upperLetter"/>
      <w:pStyle w:val="1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3"/>
      <w:suff w:val="nothing"/>
      <w:lvlText w:val="%1.%2　"/>
      <w:lvlJc w:val="left"/>
      <w:pPr>
        <w:ind w:left="105" w:firstLine="0"/>
      </w:pPr>
      <w:rPr>
        <w:rFonts w:hint="eastAsia" w:ascii="黑体" w:hAnsi="Times New Roman" w:eastAsia="黑体"/>
        <w:b w:val="0"/>
        <w:i w:val="0"/>
        <w:snapToGrid/>
        <w:spacing w:val="0"/>
        <w:w w:val="100"/>
        <w:kern w:val="21"/>
        <w:sz w:val="21"/>
      </w:rPr>
    </w:lvl>
    <w:lvl w:ilvl="2" w:tentative="0">
      <w:start w:val="1"/>
      <w:numFmt w:val="decimal"/>
      <w:pStyle w:val="14"/>
      <w:suff w:val="nothing"/>
      <w:lvlText w:val="%1.%2.%3　"/>
      <w:lvlJc w:val="left"/>
      <w:pPr>
        <w:ind w:left="630" w:firstLine="0"/>
      </w:pPr>
      <w:rPr>
        <w:rFonts w:hint="eastAsia" w:ascii="黑体" w:hAnsi="Times New Roman" w:eastAsia="黑体"/>
        <w:b w:val="0"/>
        <w:i w:val="0"/>
        <w:sz w:val="21"/>
      </w:rPr>
    </w:lvl>
    <w:lvl w:ilvl="3" w:tentative="0">
      <w:start w:val="1"/>
      <w:numFmt w:val="decimal"/>
      <w:pStyle w:val="15"/>
      <w:suff w:val="nothing"/>
      <w:lvlText w:val="%1.%2.%3.%4　"/>
      <w:lvlJc w:val="left"/>
      <w:pPr>
        <w:ind w:left="0" w:firstLine="0"/>
      </w:pPr>
      <w:rPr>
        <w:rFonts w:hint="eastAsia" w:ascii="黑体" w:hAnsi="Times New Roman" w:eastAsia="黑体"/>
        <w:b w:val="0"/>
        <w:i w:val="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pStyle w:val="17"/>
      <w:suff w:val="nothing"/>
      <w:lvlText w:val="%1.%2.%3.%4.%5.%6　"/>
      <w:lvlJc w:val="left"/>
      <w:pPr>
        <w:ind w:left="0" w:firstLine="0"/>
      </w:pPr>
      <w:rPr>
        <w:rFonts w:hint="eastAsia" w:ascii="黑体" w:hAnsi="Times New Roman" w:eastAsia="黑体"/>
        <w:b w:val="0"/>
        <w:i w:val="0"/>
        <w:sz w:val="21"/>
      </w:rPr>
    </w:lvl>
    <w:lvl w:ilvl="6" w:tentative="0">
      <w:start w:val="1"/>
      <w:numFmt w:val="decimal"/>
      <w:pStyle w:val="1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691F"/>
    <w:rsid w:val="00027DE4"/>
    <w:rsid w:val="0007261F"/>
    <w:rsid w:val="00074C34"/>
    <w:rsid w:val="000760AF"/>
    <w:rsid w:val="000A71E1"/>
    <w:rsid w:val="001337AA"/>
    <w:rsid w:val="0013630D"/>
    <w:rsid w:val="00192A59"/>
    <w:rsid w:val="00196A76"/>
    <w:rsid w:val="001A5343"/>
    <w:rsid w:val="001B6CBF"/>
    <w:rsid w:val="0023691F"/>
    <w:rsid w:val="00241CC7"/>
    <w:rsid w:val="002579BB"/>
    <w:rsid w:val="00275FA8"/>
    <w:rsid w:val="00282898"/>
    <w:rsid w:val="002F67D8"/>
    <w:rsid w:val="00331572"/>
    <w:rsid w:val="003336BD"/>
    <w:rsid w:val="00350742"/>
    <w:rsid w:val="0038709E"/>
    <w:rsid w:val="003C632A"/>
    <w:rsid w:val="004015F5"/>
    <w:rsid w:val="00480C90"/>
    <w:rsid w:val="004821D7"/>
    <w:rsid w:val="004A4E9D"/>
    <w:rsid w:val="004B0B21"/>
    <w:rsid w:val="004F22D2"/>
    <w:rsid w:val="005355B9"/>
    <w:rsid w:val="00546850"/>
    <w:rsid w:val="00546D67"/>
    <w:rsid w:val="00566403"/>
    <w:rsid w:val="005855C0"/>
    <w:rsid w:val="00594BB7"/>
    <w:rsid w:val="005C018E"/>
    <w:rsid w:val="005E6721"/>
    <w:rsid w:val="00623722"/>
    <w:rsid w:val="006B43CD"/>
    <w:rsid w:val="006E2058"/>
    <w:rsid w:val="00701147"/>
    <w:rsid w:val="007369EF"/>
    <w:rsid w:val="00746ECF"/>
    <w:rsid w:val="00753D0F"/>
    <w:rsid w:val="00775527"/>
    <w:rsid w:val="00797E6C"/>
    <w:rsid w:val="007C3A84"/>
    <w:rsid w:val="008606EF"/>
    <w:rsid w:val="008E6713"/>
    <w:rsid w:val="009403F1"/>
    <w:rsid w:val="00961499"/>
    <w:rsid w:val="009A682E"/>
    <w:rsid w:val="009E4598"/>
    <w:rsid w:val="00A858FD"/>
    <w:rsid w:val="00AA4BE5"/>
    <w:rsid w:val="00AA571F"/>
    <w:rsid w:val="00AB2696"/>
    <w:rsid w:val="00B47F03"/>
    <w:rsid w:val="00B57BD6"/>
    <w:rsid w:val="00BA70C4"/>
    <w:rsid w:val="00C00BC5"/>
    <w:rsid w:val="00C235F9"/>
    <w:rsid w:val="00C46118"/>
    <w:rsid w:val="00C613B5"/>
    <w:rsid w:val="00C75CA0"/>
    <w:rsid w:val="00D570B9"/>
    <w:rsid w:val="00D6350E"/>
    <w:rsid w:val="00D739B5"/>
    <w:rsid w:val="00DA01DD"/>
    <w:rsid w:val="00DD5D73"/>
    <w:rsid w:val="00DD6014"/>
    <w:rsid w:val="00E038AC"/>
    <w:rsid w:val="00EB122E"/>
    <w:rsid w:val="00EF58A5"/>
    <w:rsid w:val="00F97121"/>
    <w:rsid w:val="00F974D1"/>
    <w:rsid w:val="00FE0AF5"/>
    <w:rsid w:val="52BD7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等线 Light" w:hAnsi="等线 Light" w:eastAsia="黑体" w:cs="Times New Roman"/>
      <w:sz w:val="20"/>
      <w:szCs w:val="20"/>
    </w:rPr>
  </w:style>
  <w:style w:type="paragraph" w:styleId="3">
    <w:name w:val="Body Text Indent"/>
    <w:basedOn w:val="1"/>
    <w:link w:val="9"/>
    <w:semiHidden/>
    <w:uiPriority w:val="0"/>
    <w:pPr>
      <w:ind w:firstLine="420"/>
    </w:pPr>
    <w:rPr>
      <w:rFonts w:ascii="Times New Roman" w:hAnsi="Times New Roman" w:eastAsia="宋体" w:cs="Times New Roman"/>
      <w:szCs w:val="24"/>
    </w:rPr>
  </w:style>
  <w:style w:type="paragraph" w:styleId="4">
    <w:name w:val="Balloon Text"/>
    <w:basedOn w:val="1"/>
    <w:link w:val="23"/>
    <w:semiHidden/>
    <w:unhideWhenUsed/>
    <w:uiPriority w:val="99"/>
    <w:rPr>
      <w:sz w:val="18"/>
      <w:szCs w:val="18"/>
    </w:rPr>
  </w:style>
  <w:style w:type="paragraph" w:styleId="5">
    <w:name w:val="footer"/>
    <w:basedOn w:val="1"/>
    <w:link w:val="22"/>
    <w:unhideWhenUsed/>
    <w:uiPriority w:val="99"/>
    <w:pPr>
      <w:tabs>
        <w:tab w:val="center" w:pos="4153"/>
        <w:tab w:val="right" w:pos="8306"/>
      </w:tabs>
      <w:snapToGrid w:val="0"/>
      <w:jc w:val="left"/>
    </w:pPr>
    <w:rPr>
      <w:sz w:val="18"/>
      <w:szCs w:val="18"/>
    </w:rPr>
  </w:style>
  <w:style w:type="paragraph" w:styleId="6">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缩进 字符"/>
    <w:basedOn w:val="8"/>
    <w:link w:val="3"/>
    <w:semiHidden/>
    <w:uiPriority w:val="0"/>
    <w:rPr>
      <w:rFonts w:ascii="Times New Roman" w:hAnsi="Times New Roman" w:eastAsia="宋体" w:cs="Times New Roman"/>
      <w:szCs w:val="24"/>
    </w:rPr>
  </w:style>
  <w:style w:type="paragraph" w:customStyle="1" w:styleId="10">
    <w:name w:val="段"/>
    <w:link w:val="11"/>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1">
    <w:name w:val="段 Char"/>
    <w:link w:val="10"/>
    <w:qFormat/>
    <w:uiPriority w:val="0"/>
    <w:rPr>
      <w:rFonts w:ascii="宋体" w:hAnsi="Times New Roman" w:eastAsia="宋体" w:cs="Times New Roman"/>
      <w:kern w:val="0"/>
      <w:szCs w:val="20"/>
    </w:rPr>
  </w:style>
  <w:style w:type="paragraph" w:customStyle="1" w:styleId="12">
    <w:name w:val="附录标识"/>
    <w:basedOn w:val="1"/>
    <w:uiPriority w:val="0"/>
    <w:pPr>
      <w:widowControl/>
      <w:numPr>
        <w:ilvl w:val="0"/>
        <w:numId w:val="1"/>
      </w:numPr>
      <w:shd w:val="clear" w:color="FFFFFF" w:fill="FFFFFF"/>
      <w:tabs>
        <w:tab w:val="left" w:pos="6405"/>
      </w:tabs>
      <w:spacing w:before="640" w:after="200"/>
      <w:jc w:val="center"/>
      <w:outlineLvl w:val="0"/>
    </w:pPr>
    <w:rPr>
      <w:rFonts w:ascii="黑体" w:hAnsi="Times New Roman" w:eastAsia="黑体" w:cs="Times New Roman"/>
      <w:kern w:val="0"/>
      <w:szCs w:val="20"/>
    </w:rPr>
  </w:style>
  <w:style w:type="paragraph" w:customStyle="1" w:styleId="13">
    <w:name w:val="附录章标题"/>
    <w:next w:val="10"/>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4">
    <w:name w:val="附录一级条标题"/>
    <w:basedOn w:val="13"/>
    <w:next w:val="10"/>
    <w:uiPriority w:val="0"/>
    <w:pPr>
      <w:numPr>
        <w:ilvl w:val="2"/>
      </w:numPr>
      <w:autoSpaceDN w:val="0"/>
      <w:spacing w:beforeLines="0" w:afterLines="0"/>
      <w:outlineLvl w:val="2"/>
    </w:pPr>
  </w:style>
  <w:style w:type="paragraph" w:customStyle="1" w:styleId="15">
    <w:name w:val="附录二级条标题"/>
    <w:basedOn w:val="14"/>
    <w:next w:val="10"/>
    <w:uiPriority w:val="0"/>
    <w:pPr>
      <w:numPr>
        <w:ilvl w:val="3"/>
      </w:numPr>
      <w:outlineLvl w:val="3"/>
    </w:pPr>
  </w:style>
  <w:style w:type="paragraph" w:customStyle="1" w:styleId="16">
    <w:name w:val="附录三级条标题"/>
    <w:basedOn w:val="15"/>
    <w:next w:val="10"/>
    <w:uiPriority w:val="0"/>
    <w:pPr>
      <w:numPr>
        <w:ilvl w:val="4"/>
      </w:numPr>
      <w:outlineLvl w:val="4"/>
    </w:pPr>
  </w:style>
  <w:style w:type="paragraph" w:customStyle="1" w:styleId="17">
    <w:name w:val="附录四级条标题"/>
    <w:basedOn w:val="16"/>
    <w:next w:val="10"/>
    <w:uiPriority w:val="0"/>
    <w:pPr>
      <w:numPr>
        <w:ilvl w:val="5"/>
      </w:numPr>
      <w:outlineLvl w:val="5"/>
    </w:pPr>
  </w:style>
  <w:style w:type="paragraph" w:customStyle="1" w:styleId="18">
    <w:name w:val="附录五级条标题"/>
    <w:basedOn w:val="17"/>
    <w:next w:val="10"/>
    <w:uiPriority w:val="0"/>
    <w:pPr>
      <w:numPr>
        <w:ilvl w:val="6"/>
      </w:numPr>
      <w:outlineLvl w:val="6"/>
    </w:pPr>
  </w:style>
  <w:style w:type="paragraph" w:styleId="19">
    <w:name w:val="List Paragraph"/>
    <w:basedOn w:val="1"/>
    <w:qFormat/>
    <w:uiPriority w:val="99"/>
    <w:pPr>
      <w:ind w:firstLine="420" w:firstLineChars="200"/>
    </w:pPr>
    <w:rPr>
      <w:rFonts w:ascii="Times New Roman" w:hAnsi="Times New Roman" w:eastAsia="宋体" w:cs="Times New Roman"/>
      <w:szCs w:val="24"/>
    </w:rPr>
  </w:style>
  <w:style w:type="paragraph" w:customStyle="1" w:styleId="20">
    <w:name w:val="章标题"/>
    <w:next w:val="10"/>
    <w:uiPriority w:val="0"/>
    <w:pPr>
      <w:spacing w:beforeLines="100" w:afterLines="100"/>
      <w:jc w:val="both"/>
      <w:outlineLvl w:val="1"/>
    </w:pPr>
    <w:rPr>
      <w:rFonts w:ascii="黑体" w:hAnsi="Times New Roman" w:eastAsia="黑体" w:cs="Times New Roman"/>
      <w:kern w:val="0"/>
      <w:sz w:val="21"/>
      <w:szCs w:val="20"/>
      <w:lang w:val="en-US" w:eastAsia="zh-CN" w:bidi="ar-SA"/>
    </w:rPr>
  </w:style>
  <w:style w:type="character" w:customStyle="1" w:styleId="21">
    <w:name w:val="页眉 字符"/>
    <w:basedOn w:val="8"/>
    <w:link w:val="6"/>
    <w:uiPriority w:val="99"/>
    <w:rPr>
      <w:sz w:val="18"/>
      <w:szCs w:val="18"/>
    </w:rPr>
  </w:style>
  <w:style w:type="character" w:customStyle="1" w:styleId="22">
    <w:name w:val="页脚 字符"/>
    <w:basedOn w:val="8"/>
    <w:link w:val="5"/>
    <w:uiPriority w:val="99"/>
    <w:rPr>
      <w:sz w:val="18"/>
      <w:szCs w:val="18"/>
    </w:rPr>
  </w:style>
  <w:style w:type="character" w:customStyle="1" w:styleId="23">
    <w:name w:val="批注框文本 字符"/>
    <w:basedOn w:val="8"/>
    <w:link w:val="4"/>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1488</Words>
  <Characters>8487</Characters>
  <Lines>70</Lines>
  <Paragraphs>19</Paragraphs>
  <TotalTime>244</TotalTime>
  <ScaleCrop>false</ScaleCrop>
  <LinksUpToDate>false</LinksUpToDate>
  <CharactersWithSpaces>9956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2020-11-19T10:30:00Z</dcterms:created>
  <dc:creator>1350807033@qq.com</dc:creator>
  <cp:lastModifiedBy>玉</cp:lastModifiedBy>
  <dcterms:modified xsi:type="dcterms:W3CDTF">2021-03-08T01:28:32Z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