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color w:val="000000"/>
        </w:rPr>
      </w:pPr>
      <w:r>
        <w:rPr>
          <w:rFonts w:ascii="黑体" w:hAnsi="宋体" w:eastAsia="黑体"/>
          <w:color w:val="000000"/>
        </w:rPr>
        <mc:AlternateContent>
          <mc:Choice Requires="wps">
            <w:drawing>
              <wp:anchor distT="0" distB="0" distL="114300" distR="114300" simplePos="0" relativeHeight="251663360" behindDoc="0" locked="0" layoutInCell="1" allowOverlap="1">
                <wp:simplePos x="0" y="0"/>
                <wp:positionH relativeFrom="column">
                  <wp:posOffset>-107315</wp:posOffset>
                </wp:positionH>
                <wp:positionV relativeFrom="paragraph">
                  <wp:posOffset>-560070</wp:posOffset>
                </wp:positionV>
                <wp:extent cx="1411605" cy="535305"/>
                <wp:effectExtent l="0" t="0" r="0" b="0"/>
                <wp:wrapNone/>
                <wp:docPr id="11" name="Text Box 18"/>
                <wp:cNvGraphicFramePr/>
                <a:graphic xmlns:a="http://schemas.openxmlformats.org/drawingml/2006/main">
                  <a:graphicData uri="http://schemas.microsoft.com/office/word/2010/wordprocessingShape">
                    <wps:wsp>
                      <wps:cNvSpPr txBox="1">
                        <a:spLocks noChangeArrowheads="1"/>
                      </wps:cNvSpPr>
                      <wps:spPr bwMode="auto">
                        <a:xfrm>
                          <a:off x="0" y="0"/>
                          <a:ext cx="1411605" cy="535305"/>
                        </a:xfrm>
                        <a:prstGeom prst="rect">
                          <a:avLst/>
                        </a:prstGeom>
                        <a:noFill/>
                        <a:ln>
                          <a:noFill/>
                        </a:ln>
                        <a:effectLst/>
                      </wps:spPr>
                      <wps:txbx>
                        <w:txbxContent>
                          <w:p>
                            <w:r>
                              <w:rPr>
                                <w:rFonts w:hint="eastAsia"/>
                              </w:rPr>
                              <w:t>ICS 77.120.10</w:t>
                            </w:r>
                          </w:p>
                          <w:p>
                            <w:r>
                              <w:t>CCS</w:t>
                            </w:r>
                            <w:r>
                              <w:rPr>
                                <w:rFonts w:hint="eastAsia"/>
                              </w:rPr>
                              <w:t xml:space="preserve"> H 21</w:t>
                            </w:r>
                          </w:p>
                        </w:txbxContent>
                      </wps:txbx>
                      <wps:bodyPr rot="0" vert="horz" wrap="square" lIns="91440" tIns="45720" rIns="91440" bIns="45720" anchor="t" anchorCtr="0" upright="1">
                        <a:noAutofit/>
                      </wps:bodyPr>
                    </wps:wsp>
                  </a:graphicData>
                </a:graphic>
              </wp:anchor>
            </w:drawing>
          </mc:Choice>
          <mc:Fallback>
            <w:pict>
              <v:shape id="Text Box 18" o:spid="_x0000_s1026" o:spt="202" type="#_x0000_t202" style="position:absolute;left:0pt;margin-left:-8.45pt;margin-top:-44.1pt;height:42.15pt;width:111.15pt;z-index:251663360;mso-width-relative:page;mso-height-relative:page;" filled="f" stroked="f" coordsize="21600,21600" o:gfxdata="UEsDBAoAAAAAAIdO4kAAAAAAAAAAAAAAAAAEAAAAZHJzL1BLAwQUAAAACACHTuJAEGswmdcAAAAK&#10;AQAADwAAAGRycy9kb3ducmV2LnhtbE2PTU/DMAyG70j8h8hI3LakZZvarukOIK4gNkDiljVeW61x&#10;qiZby7/HnODmj0evH5e72fXiimPoPGlIlgoEUu1tR42G98PzIgMRoiFrek+o4RsD7Krbm9IU1k/0&#10;htd9bASHUCiMhjbGoZAy1C06E5Z+QOLdyY/ORG7HRtrRTBzuepkqtZHOdMQXWjPgY4v1eX9xGj5e&#10;Tl+fK/XaPLn1MPlZSXK51Pr+LlFbEBHn+AfDrz6rQ8VOR38hG0SvYZFscka5yLIUBBOpWq9AHHny&#10;kIOsSvn/heoHUEsDBBQAAAAIAIdO4kBvWXU27wEAANYDAAAOAAAAZHJzL2Uyb0RvYy54bWytU9tu&#10;2zAMfR+wfxD0vthOk64z4hRdiw4DugvQ7gMYWY6F2aJGKbGzrx8lp2m2vQ17EXg95CGp1fXYd2Kv&#10;yRu0lSxmuRTaKqyN3Vby29P9myspfABbQ4dWV/Kgvbxev361Glyp59hiV2sSDGJ9ObhKtiG4Msu8&#10;anUPfoZOW3Y2SD0EVmmb1QQDo/ddNs/zy2xAqh2h0t6z9W5yynXCbxqtwpem8TqIrpLcW0gvpXcT&#10;32y9gnJL4Fqjjm3AP3TRg7Fc9AR1BwHEjsxfUL1RhB6bMFPYZ9g0RunEgdkU+R9sHltwOnHh4Xh3&#10;GpP/f7Dq8/4rCVPz7gopLPS8oyc9BvEeR1FcxfkMzpcc9ug4MIxs59jE1bsHVN+9sHjbgt3qGyIc&#10;Wg0191fEzOwsdcLxEWQzfMKa68AuYAIaG+rj8HgcgtF5T4fTbmIvKpZcFMVlvpRCsW95sbxgOZaA&#10;8jnbkQ8fNPYiCpUk3n1Ch/2DD1Poc0gsZvHedB3boezsbwbGnCw6HdAxO3KJ7U9EwrgZOTcaN1gf&#10;mBXhdFz8GVhokX5KMfBhVdL/2AFpKbqPlifzrlgs4iUmZbF8O2eFzj2bcw9YxVCVDFJM4m2Yrnfn&#10;yGxbrjTtwuINT7MxiehLV8cd8PGkUR0PPV7nuZ6iXr7j+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QazCZ1wAAAAoBAAAPAAAAAAAAAAEAIAAAACIAAABkcnMvZG93bnJldi54bWxQSwECFAAUAAAA&#10;CACHTuJAb1l1Nu8BAADWAwAADgAAAAAAAAABACAAAAAmAQAAZHJzL2Uyb0RvYy54bWxQSwUGAAAA&#10;AAYABgBZAQAAhwUAAAAA&#10;">
                <v:fill on="f" focussize="0,0"/>
                <v:stroke on="f"/>
                <v:imagedata o:title=""/>
                <o:lock v:ext="edit" aspectratio="f"/>
                <v:textbox>
                  <w:txbxContent>
                    <w:p>
                      <w:r>
                        <w:rPr>
                          <w:rFonts w:hint="eastAsia"/>
                        </w:rPr>
                        <w:t>ICS 77.120.10</w:t>
                      </w:r>
                    </w:p>
                    <w:p>
                      <w:r>
                        <w:t>CCS</w:t>
                      </w:r>
                      <w:r>
                        <w:rPr>
                          <w:rFonts w:hint="eastAsia"/>
                        </w:rPr>
                        <w:t xml:space="preserve"> H 21</w:t>
                      </w:r>
                    </w:p>
                  </w:txbxContent>
                </v:textbox>
              </v:shape>
            </w:pict>
          </mc:Fallback>
        </mc:AlternateContent>
      </w:r>
    </w:p>
    <w:p>
      <w:r>
        <mc:AlternateContent>
          <mc:Choice Requires="wps">
            <w:drawing>
              <wp:anchor distT="0" distB="0" distL="114300" distR="114300" simplePos="0" relativeHeight="251661312" behindDoc="0" locked="1" layoutInCell="1" allowOverlap="1">
                <wp:simplePos x="0" y="0"/>
                <wp:positionH relativeFrom="margin">
                  <wp:posOffset>-200660</wp:posOffset>
                </wp:positionH>
                <wp:positionV relativeFrom="margin">
                  <wp:posOffset>675640</wp:posOffset>
                </wp:positionV>
                <wp:extent cx="6120130" cy="391160"/>
                <wp:effectExtent l="0" t="0" r="6350" b="5080"/>
                <wp:wrapNone/>
                <wp:docPr id="10"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ffectLst/>
                      </wps:spPr>
                      <wps:txbx>
                        <w:txbxContent>
                          <w:p>
                            <w:pPr>
                              <w:pStyle w:val="31"/>
                              <w:rPr>
                                <w:szCs w:val="52"/>
                              </w:rPr>
                            </w:pPr>
                            <w:r>
                              <w:rPr>
                                <w:rFonts w:hint="eastAsia"/>
                                <w:szCs w:val="52"/>
                              </w:rPr>
                              <w:t>中华人民共和国有色金属行业标准</w:t>
                            </w:r>
                          </w:p>
                          <w:p>
                            <w:pPr>
                              <w:pStyle w:val="35"/>
                            </w:pPr>
                            <w:r>
                              <w:rPr>
                                <w:rFonts w:hint="eastAsia"/>
                              </w:rPr>
                              <w:t>行业标准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15.8pt;margin-top:53.2pt;height:30.8pt;width:481.9pt;mso-position-horizontal-relative:margin;mso-position-vertical-relative:margin;z-index:251661312;mso-width-relative:page;mso-height-relative:page;" fillcolor="#FFFFFF" filled="t" stroked="f" coordsize="21600,21600" o:gfxdata="UEsDBAoAAAAAAIdO4kAAAAAAAAAAAAAAAAAEAAAAZHJzL1BLAwQUAAAACACHTuJANGF+AtkAAAAL&#10;AQAADwAAAGRycy9kb3ducmV2LnhtbE2PwU7DMAyG70i8Q2QkLmhL2qFolKaT2OAGh41p56zJ2mqN&#10;UyXpur095gRH+//0+3O5urqeXWyInUcF2VwAs1h702GjYP/9MVsCi0mj0b1Hq+BmI6yq+7tSF8ZP&#10;uLWXXWoYlWAstII2paHgPNatdTrO/WCRspMPTicaQ8NN0BOVu57nQkjudId0odWDXbe2Pu9Gp0Bu&#10;wjhtcf202b9/6q+hyQ9vt4NSjw+ZeAWW7DX9wfCrT+pQkdPRj2gi6xXMFpkklAIhn4ER8bLIc2BH&#10;2silAF6V/P8P1Q9QSwMEFAAAAAgAh07iQKTniy74AQAA7AMAAA4AAABkcnMvZTJvRG9jLnhtbK1T&#10;247bIBB9r9R/QLw3jrNS1FpxVtusUlXaXqRtPwBjsFENQwcSO/36DjhJV9u31foBDTBzmHPmeHM7&#10;2YEdFQYDrublYsmZchJa47qa//yxf/eesxCFa8UATtX8pAK/3b59sxl9pVbQw9AqZATiQjX6mvcx&#10;+qooguyVFWEBXjm61IBWRNpiV7QoRkK3Q7FaLtfFCNh6BKlCoNP7+ZJvM77WSsZvWgcV2VBz6i3m&#10;FfPapLXYbkTVofC9kec2xAu6sMI4evQKdS+iYAc0/0FZIxEC6LiQYAvQ2kiVORCbcvmMzWMvvMpc&#10;SJzgrzKF14OVX4/fkZmWZkfyOGFpRtrukYJVEmf0oaKcR09ZcfoIEyVmosE/gPwVmINdL1yn7hBh&#10;7JVoqbkyVRZPSmeckECa8Qu09Ig4RMhAk0ablCMtGKFTF6frYNQUmaTDdUnq3NCVpLubD2W5zpMr&#10;RHWp9hjiJwWWpaDmSIPP6OL4EGLqRlSXlPRYgMG0ezMMeYNdsxuQHQWZZJ+/TOBZ2uBSsoNUNiPO&#10;Jyrb7PxMIp14zozj1ExnERtoT0QfYbYg/TIU9IB/OBvJfjUPvw8CFWfDZ0cSJq9eArwEzSUQTlJp&#10;zSNnc7iLs6cPHk3XE/I8JAd3JLM2WYHU2tzFeThkqSzM2f7Js0/3OevfT7r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RhfgLZAAAACwEAAA8AAAAAAAAAAQAgAAAAIgAAAGRycy9kb3ducmV2Lnht&#10;bFBLAQIUABQAAAAIAIdO4kCk54su+AEAAOwDAAAOAAAAAAAAAAEAIAAAACgBAABkcnMvZTJvRG9j&#10;LnhtbFBLBQYAAAAABgAGAFkBAACSBQAAAAA=&#10;">
                <v:fill on="t" focussize="0,0"/>
                <v:stroke on="f"/>
                <v:imagedata o:title=""/>
                <o:lock v:ext="edit" aspectratio="f"/>
                <v:textbox inset="0mm,0mm,0mm,0mm">
                  <w:txbxContent>
                    <w:p>
                      <w:pPr>
                        <w:pStyle w:val="31"/>
                        <w:rPr>
                          <w:szCs w:val="52"/>
                        </w:rPr>
                      </w:pPr>
                      <w:r>
                        <w:rPr>
                          <w:rFonts w:hint="eastAsia"/>
                          <w:szCs w:val="52"/>
                        </w:rPr>
                        <w:t>中华人民共和国有色金属行业标准</w:t>
                      </w:r>
                    </w:p>
                    <w:p>
                      <w:pPr>
                        <w:pStyle w:val="35"/>
                      </w:pPr>
                      <w:r>
                        <w:rPr>
                          <w:rFonts w:hint="eastAsia"/>
                        </w:rPr>
                        <w:t>行业标准</w:t>
                      </w:r>
                    </w:p>
                  </w:txbxContent>
                </v:textbox>
                <w10:anchorlock/>
              </v:shape>
            </w:pict>
          </mc:Fallback>
        </mc:AlternateContent>
      </w:r>
    </w:p>
    <w:p>
      <w:r>
        <mc:AlternateContent>
          <mc:Choice Requires="wps">
            <w:drawing>
              <wp:anchor distT="0" distB="0" distL="114300" distR="114300" simplePos="0" relativeHeight="251653120" behindDoc="0" locked="1" layoutInCell="1" allowOverlap="1">
                <wp:simplePos x="0" y="0"/>
                <wp:positionH relativeFrom="margin">
                  <wp:posOffset>1980565</wp:posOffset>
                </wp:positionH>
                <wp:positionV relativeFrom="margin">
                  <wp:posOffset>-24765</wp:posOffset>
                </wp:positionV>
                <wp:extent cx="3745865" cy="834390"/>
                <wp:effectExtent l="0" t="0" r="3175" b="3810"/>
                <wp:wrapNone/>
                <wp:docPr id="9" name="fmFrame8"/>
                <wp:cNvGraphicFramePr/>
                <a:graphic xmlns:a="http://schemas.openxmlformats.org/drawingml/2006/main">
                  <a:graphicData uri="http://schemas.microsoft.com/office/word/2010/wordprocessingShape">
                    <wps:wsp>
                      <wps:cNvSpPr txBox="1">
                        <a:spLocks noChangeArrowheads="1"/>
                      </wps:cNvSpPr>
                      <wps:spPr bwMode="auto">
                        <a:xfrm>
                          <a:off x="0" y="0"/>
                          <a:ext cx="3745865" cy="834390"/>
                        </a:xfrm>
                        <a:prstGeom prst="rect">
                          <a:avLst/>
                        </a:prstGeom>
                        <a:solidFill>
                          <a:srgbClr val="FFFFFF"/>
                        </a:solidFill>
                        <a:ln>
                          <a:noFill/>
                        </a:ln>
                        <a:effectLst/>
                      </wps:spPr>
                      <wps:txbx>
                        <w:txbxContent>
                          <w:p>
                            <w:pPr>
                              <w:pStyle w:val="16"/>
                            </w:pPr>
                            <w:r>
                              <w:t>YS</w:t>
                            </w:r>
                          </w:p>
                        </w:txbxContent>
                      </wps:txbx>
                      <wps:bodyPr rot="0" vert="horz" wrap="square" lIns="0" tIns="0" rIns="0" bIns="0" anchor="t" anchorCtr="0" upright="1">
                        <a:noAutofit/>
                      </wps:bodyPr>
                    </wps:wsp>
                  </a:graphicData>
                </a:graphic>
              </wp:anchor>
            </w:drawing>
          </mc:Choice>
          <mc:Fallback>
            <w:pict>
              <v:shape id="fmFrame8" o:spid="_x0000_s1026" o:spt="202" type="#_x0000_t202" style="position:absolute;left:0pt;margin-left:155.95pt;margin-top:-1.95pt;height:65.7pt;width:294.95pt;mso-position-horizontal-relative:margin;mso-position-vertical-relative:margin;z-index:251653120;mso-width-relative:page;mso-height-relative:page;" fillcolor="#FFFFFF" filled="t" stroked="f" coordsize="21600,21600" o:gfxdata="UEsDBAoAAAAAAIdO4kAAAAAAAAAAAAAAAAAEAAAAZHJzL1BLAwQUAAAACACHTuJAIjH17tkAAAAK&#10;AQAADwAAAGRycy9kb3ducmV2LnhtbE2PwW7CMAyG75P2DpEn7TJBkqKxUZoiDbbbdoAhzqEJbbXG&#10;qZKUwtvPO42TZfnT7+8vVhfXsbMNsfWoQE4FMIuVNy3WCvbfH5NXYDFpNLrzaBVcbYRVeX9X6Nz4&#10;Ebf2vEs1oxCMuVbQpNTnnMeqsU7Hqe8t0u3kg9OJ1lBzE/RI4a7jmRBz7nSL9KHRvV03tvrZDU7B&#10;fBOGcYvrp83+/VN/9XV2eLselHp8kGIJLNlL+ofhT5/UoSSnox/QRNYpmEm5IFTBZEaTgIWQ1OVI&#10;ZPbyDLws+G2F8hdQSwMEFAAAAAgAh07iQGPfjg/8AQAA6wMAAA4AAABkcnMvZTJvRG9jLnhtbK1T&#10;UW/TMBB+R+I/WH6naddtdFHTaXQqQhoDafADHMdOLGKfObtNxq/n7LRlGm+IPFhn++7zfd99Wd+O&#10;tmcHhcGAq/hiNudMOQmNcW3Fv3/bvVtxFqJwjejBqYo/q8BvN2/frAdfqgvooG8UMgJxoRx8xbsY&#10;fVkUQXbKijADrxxdakArIm2xLRoUA6HbvriYz6+LAbDxCFKFQKf30yXfZHytlYxftA4qsr7i1FvM&#10;K+a1TmuxWYuyReE7I49tiH/owgrj6NEz1L2Igu3R/AVljUQIoONMgi1AayNV5kBsFvNXbJ464VXm&#10;QuIEf5Yp/D9Y+Xj4isw0Fb/hzAlLI9J2hxSskjaDDyWlPHlKiuMHGGnGmWfwDyB/BOZg2wnXqjtE&#10;GDolGuptkSqLF6UTTkgg9fAZGnpE7CNkoFGjTcKRFIzQaUbP57moMTJJh8v3l1er6yvOJN2tlpfL&#10;mzy4QpSnao8hflRgWQoqjjT3jC4ODyGmbkR5SkmPBehNszN9nzfY1tse2UGQR3b5ywRepfUuJTtI&#10;ZRPidKKyy47PJNKJ58Q4jvV4FLGG5pnoI0wOpD+Ggg7wF2cDua/i4edeoOKs/+RIwmTVU4CnoD4F&#10;wkkqrXjkbAq3cbL03qNpO0KehuTgjmTWJiuQWpu6OA6HHJWFObo/WfblPmf9+Uc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iMfXu2QAAAAoBAAAPAAAAAAAAAAEAIAAAACIAAABkcnMvZG93bnJl&#10;di54bWxQSwECFAAUAAAACACHTuJAY9+OD/wBAADrAwAADgAAAAAAAAABACAAAAAoAQAAZHJzL2Uy&#10;b0RvYy54bWxQSwUGAAAAAAYABgBZAQAAlgUAAAAA&#10;">
                <v:fill on="t" focussize="0,0"/>
                <v:stroke on="f"/>
                <v:imagedata o:title=""/>
                <o:lock v:ext="edit" aspectratio="f"/>
                <v:textbox inset="0mm,0mm,0mm,0mm">
                  <w:txbxContent>
                    <w:p>
                      <w:pPr>
                        <w:pStyle w:val="16"/>
                      </w:pPr>
                      <w:r>
                        <w:t>YS</w:t>
                      </w:r>
                    </w:p>
                  </w:txbxContent>
                </v:textbox>
                <w10:anchorlock/>
              </v:shape>
            </w:pict>
          </mc:Fallback>
        </mc:AlternateContent>
      </w:r>
    </w:p>
    <w:p/>
    <w:p>
      <w:r>
        <mc:AlternateContent>
          <mc:Choice Requires="wps">
            <w:drawing>
              <wp:anchor distT="0" distB="0" distL="114300" distR="114300" simplePos="0" relativeHeight="251660288" behindDoc="0" locked="1" layoutInCell="1" allowOverlap="1">
                <wp:simplePos x="0" y="0"/>
                <wp:positionH relativeFrom="margin">
                  <wp:posOffset>-214630</wp:posOffset>
                </wp:positionH>
                <wp:positionV relativeFrom="margin">
                  <wp:posOffset>937260</wp:posOffset>
                </wp:positionV>
                <wp:extent cx="6134100" cy="396240"/>
                <wp:effectExtent l="0" t="0" r="7620" b="0"/>
                <wp:wrapNone/>
                <wp:docPr id="8" name="fmFrame3"/>
                <wp:cNvGraphicFramePr/>
                <a:graphic xmlns:a="http://schemas.openxmlformats.org/drawingml/2006/main">
                  <a:graphicData uri="http://schemas.microsoft.com/office/word/2010/wordprocessingShape">
                    <wps:wsp>
                      <wps:cNvSpPr txBox="1">
                        <a:spLocks noChangeArrowheads="1"/>
                      </wps:cNvSpPr>
                      <wps:spPr bwMode="auto">
                        <a:xfrm>
                          <a:off x="0" y="0"/>
                          <a:ext cx="6134100" cy="396240"/>
                        </a:xfrm>
                        <a:prstGeom prst="rect">
                          <a:avLst/>
                        </a:prstGeom>
                        <a:solidFill>
                          <a:srgbClr val="FFFFFF"/>
                        </a:solidFill>
                        <a:ln>
                          <a:noFill/>
                        </a:ln>
                        <a:effectLst/>
                      </wps:spPr>
                      <wps:txbx>
                        <w:txbxContent>
                          <w:p>
                            <w:pPr>
                              <w:pStyle w:val="19"/>
                              <w:rPr>
                                <w:rFonts w:ascii="黑体" w:hAnsi="宋体" w:eastAsia="黑体"/>
                              </w:rPr>
                            </w:pPr>
                            <w:r>
                              <w:rPr>
                                <w:rFonts w:hint="eastAsia" w:ascii="黑体" w:hAnsi="宋体" w:eastAsia="黑体"/>
                              </w:rPr>
                              <w:t>YS/T 1161.4-</w:t>
                            </w:r>
                            <w:r>
                              <w:rPr>
                                <w:rFonts w:ascii="黑体" w:hAnsi="宋体" w:eastAsia="黑体"/>
                              </w:rPr>
                              <w:t>20</w:t>
                            </w:r>
                            <w:r>
                              <w:rPr>
                                <w:rFonts w:hint="eastAsia" w:ascii="黑体" w:hAnsi="宋体" w:eastAsia="黑体"/>
                              </w:rPr>
                              <w:t>XX</w:t>
                            </w:r>
                          </w:p>
                          <w:p>
                            <w:pPr>
                              <w:pStyle w:val="20"/>
                              <w:wordWrap w:val="0"/>
                              <w:adjustRightInd w:val="0"/>
                              <w:snapToGrid w:val="0"/>
                              <w:spacing w:before="0" w:line="240" w:lineRule="atLeast"/>
                              <w:rPr>
                                <w:rFonts w:ascii="黑体"/>
                                <w:sz w:val="21"/>
                                <w:szCs w:val="21"/>
                              </w:rPr>
                            </w:pP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16.9pt;margin-top:73.8pt;height:31.2pt;width:483pt;mso-position-horizontal-relative:margin;mso-position-vertical-relative:margin;z-index:251660288;mso-width-relative:page;mso-height-relative:page;" fillcolor="#FFFFFF" filled="t" stroked="f" coordsize="21600,21600" o:gfxdata="UEsDBAoAAAAAAIdO4kAAAAAAAAAAAAAAAAAEAAAAZHJzL1BLAwQUAAAACACHTuJAHfjuONkAAAAL&#10;AQAADwAAAGRycy9kb3ducmV2LnhtbE2PMU/DMBSEdyT+g/WQWFBrx0EBQpxKtLDB0FJ1duNHEhE/&#10;R7bTtP8eM8F4utPdd9XqbAd2Qh96RwqypQCG1DjTU6tg//m2eAQWoiajB0eo4IIBVvX1VaVL42ba&#10;4mkXW5ZKKJRaQRfjWHIemg6tDks3IiXvy3mrY5K+5cbrOZXbgUshCm51T2mh0yOuO2y+d5NVUGz8&#10;NG9pfbfZv77rj7GVh5fLQanbm0w8A4t4jn9h+MVP6FAnpqObyAQ2KFjkeUKPybh/KIClxFMuJbCj&#10;ApkJAbyu+P8P9Q9QSwMEFAAAAAgAh07iQBwWdp35AQAA6wMAAA4AAABkcnMvZTJvRG9jLnhtbK1T&#10;247bIBB9r9R/QLw3zmUVtVac1TarVJW2F2nbD8AYbFTD0IHETr++A07S1e7bqn5AA8wc5pw53tyO&#10;tmdHhcGAq/hiNudMOQmNcW3Ff/7Yv3vPWYjCNaIHpyp+UoHfbt++2Qy+VEvooG8UMgJxoRx8xbsY&#10;fVkUQXbKijADrxxdakArIm2xLRoUA6HbvljO5+tiAGw8glQh0On9dMm3GV9rJeM3rYOKrK849Rbz&#10;inmt01psN6JsUfjOyHMb4hVdWGEcPXqFuhdRsAOaF1DWSIQAOs4k2AK0NlJlDsRmMX/G5rETXmUu&#10;JE7wV5nC/4OVX4/fkZmm4jQoJyyNSNs9UrBK2gw+lJTy6Ckpjh9hpBlnnsE/gPwVmINdJ1yr7hBh&#10;6JRoqLdFqiyelE44IYHUwxdo6BFxiJCBRo02CUdSMEKnGZ2uc1FjZJIO14vVzWJOV5LuVh/Wy5s8&#10;uEKUl2qPIX5SYFkKKo4094wujg8hpm5EeUlJjwXoTbM3fZ832Na7HtlRkEf2+csEnqX1LiU7SGUT&#10;4nSissvOzyTSiefEOI71eBaxhuZE9BEmB9IfQ0EH+IezgdxX8fD7IFBx1n92JGGy6iXAS1BfAuEk&#10;lVY8cjaFuzhZ+uDRtB0hT0NycEcya5MVSK1NXZyHQ47Kwpzdnyz7dJ+z/v2j2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d+O442QAAAAsBAAAPAAAAAAAAAAEAIAAAACIAAABkcnMvZG93bnJldi54&#10;bWxQSwECFAAUAAAACACHTuJAHBZ2nfkBAADrAwAADgAAAAAAAAABACAAAAAoAQAAZHJzL2Uyb0Rv&#10;Yy54bWxQSwUGAAAAAAYABgBZAQAAkwUAAAAA&#10;">
                <v:fill on="t" focussize="0,0"/>
                <v:stroke on="f"/>
                <v:imagedata o:title=""/>
                <o:lock v:ext="edit" aspectratio="f"/>
                <v:textbox inset="0mm,0mm,0mm,0mm">
                  <w:txbxContent>
                    <w:p>
                      <w:pPr>
                        <w:pStyle w:val="19"/>
                        <w:rPr>
                          <w:rFonts w:ascii="黑体" w:hAnsi="宋体" w:eastAsia="黑体"/>
                        </w:rPr>
                      </w:pPr>
                      <w:r>
                        <w:rPr>
                          <w:rFonts w:hint="eastAsia" w:ascii="黑体" w:hAnsi="宋体" w:eastAsia="黑体"/>
                        </w:rPr>
                        <w:t>YS/T 1161.4-</w:t>
                      </w:r>
                      <w:r>
                        <w:rPr>
                          <w:rFonts w:ascii="黑体" w:hAnsi="宋体" w:eastAsia="黑体"/>
                        </w:rPr>
                        <w:t>20</w:t>
                      </w:r>
                      <w:r>
                        <w:rPr>
                          <w:rFonts w:hint="eastAsia" w:ascii="黑体" w:hAnsi="宋体" w:eastAsia="黑体"/>
                        </w:rPr>
                        <w:t>XX</w:t>
                      </w:r>
                    </w:p>
                    <w:p>
                      <w:pPr>
                        <w:pStyle w:val="20"/>
                        <w:wordWrap w:val="0"/>
                        <w:adjustRightInd w:val="0"/>
                        <w:snapToGrid w:val="0"/>
                        <w:spacing w:before="0" w:line="240" w:lineRule="atLeast"/>
                        <w:rPr>
                          <w:rFonts w:ascii="黑体"/>
                          <w:sz w:val="21"/>
                          <w:szCs w:val="21"/>
                        </w:rPr>
                      </w:pPr>
                    </w:p>
                  </w:txbxContent>
                </v:textbox>
                <w10:anchorlock/>
              </v:shape>
            </w:pict>
          </mc:Fallback>
        </mc:AlternateContent>
      </w:r>
    </w:p>
    <w:p/>
    <w:p/>
    <w:p>
      <w:r>
        <mc:AlternateContent>
          <mc:Choice Requires="wps">
            <w:drawing>
              <wp:anchor distT="0" distB="0" distL="114300" distR="114300" simplePos="0" relativeHeight="251654144" behindDoc="0" locked="0" layoutInCell="1" allowOverlap="1">
                <wp:simplePos x="0" y="0"/>
                <wp:positionH relativeFrom="column">
                  <wp:posOffset>-201930</wp:posOffset>
                </wp:positionH>
                <wp:positionV relativeFrom="paragraph">
                  <wp:posOffset>22860</wp:posOffset>
                </wp:positionV>
                <wp:extent cx="6121400" cy="0"/>
                <wp:effectExtent l="0" t="0" r="0" b="0"/>
                <wp:wrapNone/>
                <wp:docPr id="7" name="直线 4"/>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w:pict>
              <v:line id="直线 4" o:spid="_x0000_s1026" o:spt="20" style="position:absolute;left:0pt;margin-left:-15.9pt;margin-top:1.8pt;height:0pt;width:482pt;z-index:251654144;mso-width-relative:page;mso-height-relative:page;" filled="f" stroked="t" coordsize="21600,21600" o:gfxdata="UEsDBAoAAAAAAIdO4kAAAAAAAAAAAAAAAAAEAAAAZHJzL1BLAwQUAAAACACHTuJAvsfQhdYAAAAH&#10;AQAADwAAAGRycy9kb3ducmV2LnhtbE3Oy07DMBAF0D0S/2ANErvWeUglpHG6AFUViE1bJLbTeBoH&#10;4nEauw/+HsOmLK/u6M6pFhfbixONvnOsIJ0mIIgbpztuFbxvl5MChA/IGnvHpOCbPCzq25sKS+3O&#10;vKbTJrQijrAvUYEJYSil9I0hi37qBuLY7d1oMcQ4tlKPeI7jtpdZksykxY7jB4MDPRlqvjZHqwCf&#10;V+vwUWSvD92LefvcLg8rUxyUur9LkzmIQJdwPYZffqRDHU07d2TtRa9gkqeRHhTkMxCxf8yzDMTu&#10;L8u6kv/99Q9QSwMEFAAAAAgAh07iQIySIi++AQAAYgMAAA4AAABkcnMvZTJvRG9jLnhtbK1TwW7b&#10;MAy9D9g/CLovtoOiHYw4PaToLt0WoN0HMLJsC5NEQVJi51v2Gzvtss/pb4xS4nTrbsN8EEyRfOR7&#10;pFa3k9HsIH1QaBteLUrOpBXYKts3/MvT/bv3nIUItgWNVjb8KAO/Xb99sxpdLZc4oG6lZwRiQz26&#10;hg8xurooghikgbBAJy05O/QGIpm+L1oPI6EbXSzL8roY0bfOo5Ah0O3dycnXGb/rpIifuy7IyHTD&#10;qbeYT5/PXTqL9Qrq3oMblDi3Af/QhQFlqegF6g4isL1Xf0EZJTwG7OJCoCmw65SQmQOxqcpXbB4H&#10;cDJzIXGCu8gU/h+s+HTYeqbaht9wZsHQiJ6/fX/+8ZNdJW1GF2oK2ditT+zEZB/dA4qvgVncDGB7&#10;mXt8OjpKrFJG8UdKMoKjCrvxI7YUA/uIWaip8yZBkgRsyvM4XuYhp8gEXV5Xy+qqpLGJ2VdAPSc6&#10;H+IHiYaln4ZrZZNUUMPhIcTUCNRzSLq2eK+0zuPWlo3U7fKGoJMroFZt8mbD97uN9uwAaWPyl2m9&#10;CvO4t+2pirYpT+ZlO5eeaZ8E3GF73PpZGxpkbu68dGlTfrezgi9PY/0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sfQhdYAAAAHAQAADwAAAAAAAAABACAAAAAiAAAAZHJzL2Rvd25yZXYueG1sUEsB&#10;AhQAFAAAAAgAh07iQIySIi++AQAAYgMAAA4AAAAAAAAAAQAgAAAAJQEAAGRycy9lMm9Eb2MueG1s&#10;UEsFBgAAAAAGAAYAWQEAAFUFAAAAAA==&#10;">
                <v:fill on="f" focussize="0,0"/>
                <v:stroke weight="1pt" color="#000000" joinstyle="round"/>
                <v:imagedata o:title=""/>
                <o:lock v:ext="edit" aspectratio="f"/>
              </v:line>
            </w:pict>
          </mc:Fallback>
        </mc:AlternateContent>
      </w:r>
    </w:p>
    <w:p/>
    <w:p/>
    <w:p>
      <w:pPr>
        <w:jc w:val="center"/>
      </w:pPr>
      <w:bookmarkStart w:id="1" w:name="_GoBack"/>
      <w:bookmarkEnd w:id="1"/>
      <w:r>
        <mc:AlternateContent>
          <mc:Choice Requires="wps">
            <w:drawing>
              <wp:anchor distT="0" distB="0" distL="114300" distR="114300" simplePos="0" relativeHeight="251655168" behindDoc="0" locked="1" layoutInCell="1" allowOverlap="1">
                <wp:simplePos x="0" y="0"/>
                <wp:positionH relativeFrom="margin">
                  <wp:posOffset>-214630</wp:posOffset>
                </wp:positionH>
                <wp:positionV relativeFrom="margin">
                  <wp:posOffset>2575560</wp:posOffset>
                </wp:positionV>
                <wp:extent cx="5941060" cy="4249420"/>
                <wp:effectExtent l="0" t="0" r="2540" b="2540"/>
                <wp:wrapNone/>
                <wp:docPr id="6" name="fmFrame4"/>
                <wp:cNvGraphicFramePr/>
                <a:graphic xmlns:a="http://schemas.openxmlformats.org/drawingml/2006/main">
                  <a:graphicData uri="http://schemas.microsoft.com/office/word/2010/wordprocessingShape">
                    <wps:wsp>
                      <wps:cNvSpPr txBox="1">
                        <a:spLocks noChangeArrowheads="1"/>
                      </wps:cNvSpPr>
                      <wps:spPr bwMode="auto">
                        <a:xfrm>
                          <a:off x="0" y="0"/>
                          <a:ext cx="5941060" cy="4249420"/>
                        </a:xfrm>
                        <a:prstGeom prst="rect">
                          <a:avLst/>
                        </a:prstGeom>
                        <a:solidFill>
                          <a:srgbClr val="FFFFFF"/>
                        </a:solidFill>
                        <a:ln>
                          <a:noFill/>
                        </a:ln>
                        <a:effectLst/>
                      </wps:spPr>
                      <wps:txbx>
                        <w:txbxContent>
                          <w:p>
                            <w:pPr>
                              <w:jc w:val="center"/>
                              <w:rPr>
                                <w:rFonts w:ascii="黑体" w:eastAsia="黑体"/>
                                <w:sz w:val="52"/>
                                <w:szCs w:val="52"/>
                              </w:rPr>
                            </w:pPr>
                            <w:bookmarkStart w:id="0" w:name="OLE_LINK1"/>
                            <w:r>
                              <w:rPr>
                                <w:rFonts w:hint="eastAsia" w:ascii="黑体" w:eastAsia="黑体"/>
                                <w:sz w:val="52"/>
                                <w:szCs w:val="52"/>
                              </w:rPr>
                              <w:t xml:space="preserve">拟薄水铝石分析方法 </w:t>
                            </w:r>
                          </w:p>
                          <w:p>
                            <w:pPr>
                              <w:jc w:val="center"/>
                              <w:rPr>
                                <w:rFonts w:ascii="黑体" w:eastAsia="黑体"/>
                                <w:sz w:val="52"/>
                                <w:szCs w:val="52"/>
                              </w:rPr>
                            </w:pPr>
                            <w:r>
                              <w:rPr>
                                <w:rFonts w:hint="eastAsia" w:ascii="黑体" w:eastAsia="黑体"/>
                                <w:sz w:val="52"/>
                                <w:szCs w:val="52"/>
                              </w:rPr>
                              <w:t>第4部分：氧化钠的测定</w:t>
                            </w:r>
                          </w:p>
                          <w:bookmarkEnd w:id="0"/>
                          <w:p>
                            <w:pPr>
                              <w:pStyle w:val="36"/>
                              <w:spacing w:before="0" w:line="0" w:lineRule="atLeast"/>
                              <w:rPr>
                                <w:rFonts w:ascii="黑体" w:eastAsia="黑体"/>
                              </w:rPr>
                            </w:pPr>
                          </w:p>
                          <w:p>
                            <w:pPr>
                              <w:jc w:val="left"/>
                              <w:rPr>
                                <w:rFonts w:ascii="黑体" w:hAnsi="黑体" w:eastAsia="黑体"/>
                                <w:color w:val="000000"/>
                                <w:sz w:val="24"/>
                              </w:rPr>
                            </w:pPr>
                          </w:p>
                          <w:p>
                            <w:pPr>
                              <w:pStyle w:val="37"/>
                              <w:spacing w:before="240"/>
                              <w:rPr>
                                <w:rFonts w:ascii="黑体" w:hAnsi="宋体" w:eastAsia="黑体"/>
                                <w:sz w:val="28"/>
                                <w:szCs w:val="18"/>
                              </w:rPr>
                            </w:pPr>
                            <w:r>
                              <w:rPr>
                                <w:rFonts w:hint="eastAsia" w:ascii="黑体" w:hAnsi="黑体" w:eastAsia="黑体"/>
                                <w:color w:val="000000"/>
                              </w:rPr>
                              <w:t xml:space="preserve"> </w:t>
                            </w:r>
                            <w:r>
                              <w:rPr>
                                <w:rFonts w:ascii="黑体" w:hAnsi="宋体" w:eastAsia="黑体"/>
                                <w:sz w:val="28"/>
                                <w:szCs w:val="18"/>
                              </w:rPr>
                              <w:t>Chemical analysis methods of pseudoboehmit</w:t>
                            </w:r>
                          </w:p>
                          <w:p>
                            <w:pPr>
                              <w:pStyle w:val="37"/>
                              <w:spacing w:before="240"/>
                              <w:rPr>
                                <w:rFonts w:ascii="黑体" w:hAnsi="宋体" w:eastAsia="黑体"/>
                                <w:sz w:val="28"/>
                                <w:szCs w:val="18"/>
                              </w:rPr>
                            </w:pPr>
                            <w:r>
                              <w:rPr>
                                <w:rFonts w:ascii="黑体" w:hAnsi="宋体" w:eastAsia="黑体"/>
                                <w:sz w:val="28"/>
                                <w:szCs w:val="18"/>
                              </w:rPr>
                              <w:t xml:space="preserve">Part 4: </w:t>
                            </w:r>
                            <w:r>
                              <w:rPr>
                                <w:rFonts w:hint="eastAsia" w:ascii="黑体" w:hAnsi="宋体" w:eastAsia="黑体"/>
                                <w:sz w:val="28"/>
                                <w:szCs w:val="18"/>
                              </w:rPr>
                              <w:t>D</w:t>
                            </w:r>
                            <w:r>
                              <w:rPr>
                                <w:rFonts w:ascii="黑体" w:hAnsi="宋体" w:eastAsia="黑体"/>
                                <w:sz w:val="28"/>
                                <w:szCs w:val="18"/>
                              </w:rPr>
                              <w:t>etermination of sodium oxide</w:t>
                            </w:r>
                          </w:p>
                          <w:p>
                            <w:pPr>
                              <w:pStyle w:val="37"/>
                              <w:spacing w:before="240"/>
                              <w:rPr>
                                <w:color w:val="000000"/>
                              </w:rPr>
                            </w:pPr>
                            <w:r>
                              <w:rPr>
                                <w:rFonts w:hint="eastAsia"/>
                                <w:color w:val="000000"/>
                              </w:rPr>
                              <w:t>（审定稿）</w:t>
                            </w:r>
                          </w:p>
                          <w:p>
                            <w:pPr>
                              <w:pStyle w:val="34"/>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16.9pt;margin-top:202.8pt;height:334.6pt;width:467.8pt;mso-position-horizontal-relative:margin;mso-position-vertical-relative:margin;z-index:251655168;mso-width-relative:page;mso-height-relative:page;" fillcolor="#FFFFFF" filled="t" stroked="f" coordsize="21600,21600" o:gfxdata="UEsDBAoAAAAAAIdO4kAAAAAAAAAAAAAAAAAEAAAAZHJzL1BLAwQUAAAACACHTuJAcbxluNsAAAAM&#10;AQAADwAAAGRycy9kb3ducmV2LnhtbE2PwU7DMAyG70i8Q2QkLmhLuo0yStNJbHAbh41p56w1bUXj&#10;VEm6bm+POcHR9qff35+vLrYTZ/ShdaQhmSoQSKWrWqo1HD7fJ0sQIRqqTOcINVwxwKq4vclNVrmR&#10;dnjex1pwCIXMaGhi7DMpQ9mgNWHqeiS+fTlvTeTR17LyZuRw28mZUqm0piX+0Jge1w2W3/vBakg3&#10;fhh3tH7YHN625qOvZ8fX61Hr+7tEvYCIeIl/MPzqszoU7HRyA1VBdBom8zmrRw0L9ZiCYOJZJbw5&#10;MaqeFkuQRS7/lyh+AFBLAwQUAAAACACHTuJA2Cw9rfsBAADsAwAADgAAAGRycy9lMm9Eb2MueG1s&#10;rVPbjtsgEH2v1H9AvDdOojTqWnFW26xSVdpepG0/AGOwUQ1DBxI7/foOOElXu2+r+gENMHOYc+Z4&#10;czvanh0VBgOu4ovZnDPlJDTGtRX/+WP/7gNnIQrXiB6cqvhJBX67fftmM/hSLaGDvlHICMSFcvAV&#10;72L0ZVEE2Skrwgy8cnSpAa2ItMW2aFAMhG77Yjmfr4sBsPEIUoVAp/fTJd9mfK2VjN+0DiqyvuLU&#10;W8wr5rVOa7HdiLJF4Tsjz22IV3RhhXH06BXqXkTBDmheQFkjEQLoOJNgC9DaSJU5EJvF/Bmbx054&#10;lbmQOMFfZQr/D1Z+PX5HZpqKrzlzwtKItN0jBaukzeBDSSmPnpLi+BFGmnHmGfwDyF+BOdh1wrXq&#10;DhGGTomGelukyuJJ6YQTEkg9fIGGHhGHCBlo1GiTcCQFI3Sa0ek6FzVGJunw/c1qMV/TlaS71XJ1&#10;s1rmyRWivJR7DPGTAstSUHGkwWd4cXwIMbUjyktKei1Ab5q96fu8wbbe9ciOgkyyz19m8CytdynZ&#10;QSqbEKcTlW12fiaxTkQnynGsx7OKNTQn4o8wWZB+GQo6wD+cDWS/ioffB4GKs/6zIw2TVy8BXoL6&#10;EggnqbTikbMp3MXJ0wePpu0IeZqSgzvSWZusQGpt6uI8HbJUFuZs/+TZp/uc9e8n3f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bxluNsAAAAMAQAADwAAAAAAAAABACAAAAAiAAAAZHJzL2Rvd25y&#10;ZXYueG1sUEsBAhQAFAAAAAgAh07iQNgsPa37AQAA7AMAAA4AAAAAAAAAAQAgAAAAKgEAAGRycy9l&#10;Mm9Eb2MueG1sUEsFBgAAAAAGAAYAWQEAAJcFAAAAAA==&#10;">
                <v:fill on="t" focussize="0,0"/>
                <v:stroke on="f"/>
                <v:imagedata o:title=""/>
                <o:lock v:ext="edit" aspectratio="f"/>
                <v:textbox inset="0mm,0mm,0mm,0mm">
                  <w:txbxContent>
                    <w:p>
                      <w:pPr>
                        <w:jc w:val="center"/>
                        <w:rPr>
                          <w:rFonts w:ascii="黑体" w:eastAsia="黑体"/>
                          <w:sz w:val="52"/>
                          <w:szCs w:val="52"/>
                        </w:rPr>
                      </w:pPr>
                      <w:bookmarkStart w:id="0" w:name="OLE_LINK1"/>
                      <w:r>
                        <w:rPr>
                          <w:rFonts w:hint="eastAsia" w:ascii="黑体" w:eastAsia="黑体"/>
                          <w:sz w:val="52"/>
                          <w:szCs w:val="52"/>
                        </w:rPr>
                        <w:t xml:space="preserve">拟薄水铝石分析方法 </w:t>
                      </w:r>
                    </w:p>
                    <w:p>
                      <w:pPr>
                        <w:jc w:val="center"/>
                        <w:rPr>
                          <w:rFonts w:ascii="黑体" w:eastAsia="黑体"/>
                          <w:sz w:val="52"/>
                          <w:szCs w:val="52"/>
                        </w:rPr>
                      </w:pPr>
                      <w:r>
                        <w:rPr>
                          <w:rFonts w:hint="eastAsia" w:ascii="黑体" w:eastAsia="黑体"/>
                          <w:sz w:val="52"/>
                          <w:szCs w:val="52"/>
                        </w:rPr>
                        <w:t>第4部分：氧化钠的测定</w:t>
                      </w:r>
                    </w:p>
                    <w:bookmarkEnd w:id="0"/>
                    <w:p>
                      <w:pPr>
                        <w:pStyle w:val="36"/>
                        <w:spacing w:before="0" w:line="0" w:lineRule="atLeast"/>
                        <w:rPr>
                          <w:rFonts w:ascii="黑体" w:eastAsia="黑体"/>
                        </w:rPr>
                      </w:pPr>
                    </w:p>
                    <w:p>
                      <w:pPr>
                        <w:jc w:val="left"/>
                        <w:rPr>
                          <w:rFonts w:ascii="黑体" w:hAnsi="黑体" w:eastAsia="黑体"/>
                          <w:color w:val="000000"/>
                          <w:sz w:val="24"/>
                        </w:rPr>
                      </w:pPr>
                    </w:p>
                    <w:p>
                      <w:pPr>
                        <w:pStyle w:val="37"/>
                        <w:spacing w:before="240"/>
                        <w:rPr>
                          <w:rFonts w:ascii="黑体" w:hAnsi="宋体" w:eastAsia="黑体"/>
                          <w:sz w:val="28"/>
                          <w:szCs w:val="18"/>
                        </w:rPr>
                      </w:pPr>
                      <w:r>
                        <w:rPr>
                          <w:rFonts w:hint="eastAsia" w:ascii="黑体" w:hAnsi="黑体" w:eastAsia="黑体"/>
                          <w:color w:val="000000"/>
                        </w:rPr>
                        <w:t xml:space="preserve"> </w:t>
                      </w:r>
                      <w:r>
                        <w:rPr>
                          <w:rFonts w:ascii="黑体" w:hAnsi="宋体" w:eastAsia="黑体"/>
                          <w:sz w:val="28"/>
                          <w:szCs w:val="18"/>
                        </w:rPr>
                        <w:t>Chemical analysis methods of pseudoboehmit</w:t>
                      </w:r>
                    </w:p>
                    <w:p>
                      <w:pPr>
                        <w:pStyle w:val="37"/>
                        <w:spacing w:before="240"/>
                        <w:rPr>
                          <w:rFonts w:ascii="黑体" w:hAnsi="宋体" w:eastAsia="黑体"/>
                          <w:sz w:val="28"/>
                          <w:szCs w:val="18"/>
                        </w:rPr>
                      </w:pPr>
                      <w:r>
                        <w:rPr>
                          <w:rFonts w:ascii="黑体" w:hAnsi="宋体" w:eastAsia="黑体"/>
                          <w:sz w:val="28"/>
                          <w:szCs w:val="18"/>
                        </w:rPr>
                        <w:t xml:space="preserve">Part 4: </w:t>
                      </w:r>
                      <w:r>
                        <w:rPr>
                          <w:rFonts w:hint="eastAsia" w:ascii="黑体" w:hAnsi="宋体" w:eastAsia="黑体"/>
                          <w:sz w:val="28"/>
                          <w:szCs w:val="18"/>
                        </w:rPr>
                        <w:t>D</w:t>
                      </w:r>
                      <w:r>
                        <w:rPr>
                          <w:rFonts w:ascii="黑体" w:hAnsi="宋体" w:eastAsia="黑体"/>
                          <w:sz w:val="28"/>
                          <w:szCs w:val="18"/>
                        </w:rPr>
                        <w:t>etermination of sodium oxide</w:t>
                      </w:r>
                    </w:p>
                    <w:p>
                      <w:pPr>
                        <w:pStyle w:val="37"/>
                        <w:spacing w:before="240"/>
                        <w:rPr>
                          <w:color w:val="000000"/>
                        </w:rPr>
                      </w:pPr>
                      <w:r>
                        <w:rPr>
                          <w:rFonts w:hint="eastAsia"/>
                          <w:color w:val="000000"/>
                        </w:rPr>
                        <w:t>（审定稿）</w:t>
                      </w:r>
                    </w:p>
                    <w:p>
                      <w:pPr>
                        <w:pStyle w:val="34"/>
                      </w:pPr>
                    </w:p>
                  </w:txbxContent>
                </v:textbox>
                <w10:anchorlock/>
              </v:shape>
            </w:pict>
          </mc:Fallback>
        </mc:AlternateContent>
      </w:r>
    </w:p>
    <w:p/>
    <w:p/>
    <w:p/>
    <w:p/>
    <w:p/>
    <w:p/>
    <w:p/>
    <w:p/>
    <w:p/>
    <w:p/>
    <w:p/>
    <w:p/>
    <w:p/>
    <w:p/>
    <w:p/>
    <w:p/>
    <w:p/>
    <w:p/>
    <w:p/>
    <w:p/>
    <w:p/>
    <w:p/>
    <w:p/>
    <w:p/>
    <w:p/>
    <w:p>
      <w:pPr>
        <w:tabs>
          <w:tab w:val="left" w:pos="3060"/>
        </w:tabs>
      </w:pPr>
      <w:r>
        <mc:AlternateContent>
          <mc:Choice Requires="wps">
            <w:drawing>
              <wp:anchor distT="0" distB="0" distL="114300" distR="114300" simplePos="0" relativeHeight="251656192" behindDoc="0" locked="1" layoutInCell="1" allowOverlap="1">
                <wp:simplePos x="0" y="0"/>
                <wp:positionH relativeFrom="margin">
                  <wp:posOffset>-38735</wp:posOffset>
                </wp:positionH>
                <wp:positionV relativeFrom="margin">
                  <wp:posOffset>7926705</wp:posOffset>
                </wp:positionV>
                <wp:extent cx="2019300" cy="312420"/>
                <wp:effectExtent l="0" t="0" r="7620" b="7620"/>
                <wp:wrapNone/>
                <wp:docPr id="5"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pPr>
                              <w:pStyle w:val="17"/>
                              <w:rPr>
                                <w:rFonts w:ascii="黑体"/>
                              </w:rPr>
                            </w:pPr>
                            <w:r>
                              <w:rPr>
                                <w:rFonts w:hint="eastAsia" w:ascii="黑体"/>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3.05pt;margin-top:624.15pt;height:24.6pt;width:159pt;mso-position-horizontal-relative:margin;mso-position-vertical-relative:margin;z-index:251656192;mso-width-relative:page;mso-height-relative:page;" fillcolor="#FFFFFF" filled="t" stroked="f" coordsize="21600,21600" o:gfxdata="UEsDBAoAAAAAAIdO4kAAAAAAAAAAAAAAAAAEAAAAZHJzL1BLAwQUAAAACACHTuJA68ksXtsAAAAM&#10;AQAADwAAAGRycy9kb3ducmV2LnhtbE2PwW7CMAyG75P2DpEn7TJBmrJ1UJoiDbbbdoAhzqEJbbXG&#10;qZKUwtvPnLajf3/6/blYXWzHzsaH1qEEMU2AGaycbrGWsP/+mMyBhahQq86hkXA1AVbl/V2hcu1G&#10;3JrzLtaMSjDkSkITY59zHqrGWBWmrjdIu5PzVkUafc21VyOV246nSZJxq1qkC43qzbox1c9usBKy&#10;jR/GLa6fNvv3T/XV1+nh7XqQ8vFBJEtg0VziHww3fVKHkpyObkAdWCdhkgkiKU+f5zNgRMyEWAA7&#10;3qLF6wvwsuD/nyh/AVBLAwQUAAAACACHTuJAyuOERvkBAADrAwAADgAAAGRycy9lMm9Eb2MueG1s&#10;rVPbjtMwEH1H4h8sv9O0XRZB1HS1dFWEtFykhQ9wHDuxsD1m7DZZvp6x05bV8obIgzW2Z47nnDnZ&#10;3EzOsqPCaMA3fLVYcqa8hM74vuHfv+1fveUsJuE7YcGrhj+qyG+2L19sxlCrNQxgO4WMQHysx9Dw&#10;IaVQV1WUg3IiLiAoT5ca0IlEW+yrDsVI6M5W6+XyTTUCdgFBqhjp9G6+5NuCr7WS6YvWUSVmG069&#10;pbJiWdu8VtuNqHsUYTDy1Ib4hy6cMJ4evUDdiSTYAc1fUM5IhAg6LSS4CrQ2UhUOxGa1fMbmYRBB&#10;FS4kTgwXmeL/g5Wfj1+Rma7h15x54WhE2u2RguuszRhiTSkPgZLS9B4mmnHhGcM9yB+RedgNwvfq&#10;FhHGQYmOelvlyupJ6YwTM0g7foKOHhGHBAVo0uiycCQFI3Sa0eNlLmpKTNIhSfPuaklXku6uVuvX&#10;6zK4StTn6oAxfVDgWA4ajjT3gi6O9zHlbkR9TsmPRbCm2xtrywb7dmeRHQV5ZF++QuBZmvU52UMu&#10;mxHnE1Vcdnomk848Z8ZpaqeTiC10j0QfYXYg/TEUDIC/OBvJfQ2PPw8CFWf2oycJs1XPAZ6D9hwI&#10;L6m04YmzOdyl2dKHgKYfCHkekodbklmbokBube7iNBxyVBHm5P5s2af7kvXnH93+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vJLF7bAAAADAEAAA8AAAAAAAAAAQAgAAAAIgAAAGRycy9kb3ducmV2&#10;LnhtbFBLAQIUABQAAAAIAIdO4kDK44RG+QEAAOsDAAAOAAAAAAAAAAEAIAAAACoBAABkcnMvZTJv&#10;RG9jLnhtbFBLBQYAAAAABgAGAFkBAACVBQAAAAA=&#10;">
                <v:fill on="t" focussize="0,0"/>
                <v:stroke on="f"/>
                <v:imagedata o:title=""/>
                <o:lock v:ext="edit" aspectratio="f"/>
                <v:textbox inset="0mm,0mm,0mm,0mm">
                  <w:txbxContent>
                    <w:p>
                      <w:pPr>
                        <w:pStyle w:val="17"/>
                        <w:rPr>
                          <w:rFonts w:ascii="黑体"/>
                        </w:rPr>
                      </w:pPr>
                      <w:r>
                        <w:rPr>
                          <w:rFonts w:hint="eastAsia" w:ascii="黑体"/>
                        </w:rPr>
                        <w:t>××××-××-××发布</w:t>
                      </w:r>
                    </w:p>
                  </w:txbxContent>
                </v:textbox>
                <w10:anchorlock/>
              </v:shape>
            </w:pict>
          </mc:Fallback>
        </mc:AlternateContent>
      </w:r>
    </w:p>
    <w:p/>
    <w:p>
      <w:pPr>
        <w:tabs>
          <w:tab w:val="left" w:pos="4785"/>
        </w:tabs>
      </w:pPr>
      <w:r>
        <mc:AlternateContent>
          <mc:Choice Requires="wps">
            <w:drawing>
              <wp:anchor distT="0" distB="0" distL="114300" distR="114300" simplePos="0" relativeHeight="251657216" behindDoc="0" locked="1" layoutInCell="1" allowOverlap="1">
                <wp:simplePos x="0" y="0"/>
                <wp:positionH relativeFrom="margin">
                  <wp:posOffset>3543300</wp:posOffset>
                </wp:positionH>
                <wp:positionV relativeFrom="margin">
                  <wp:posOffset>7926705</wp:posOffset>
                </wp:positionV>
                <wp:extent cx="2019300" cy="312420"/>
                <wp:effectExtent l="0" t="0" r="7620" b="7620"/>
                <wp:wrapNone/>
                <wp:docPr id="4"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pPr>
                              <w:pStyle w:val="30"/>
                              <w:rPr>
                                <w:rFonts w:ascii="黑体"/>
                              </w:rPr>
                            </w:pPr>
                            <w:r>
                              <w:rPr>
                                <w:rFonts w:hint="eastAsia" w:ascii="黑体"/>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279pt;margin-top:624.15pt;height:24.6pt;width:159pt;mso-position-horizontal-relative:margin;mso-position-vertical-relative:margin;z-index:251657216;mso-width-relative:page;mso-height-relative:page;" fillcolor="#FFFFFF" filled="t" stroked="f" coordsize="21600,21600" o:gfxdata="UEsDBAoAAAAAAIdO4kAAAAAAAAAAAAAAAAAEAAAAZHJzL1BLAwQUAAAACACHTuJAYkE1HNsAAAAN&#10;AQAADwAAAGRycy9kb3ducmV2LnhtbE2PwU7DMBBE70j8g7VIXBB1GkgaQpxKtHArh5aqZzdekoh4&#10;HcVO0/492xMcd2Y0+6ZYnm0nTjj41pGC+SwCgVQ501KtYP/18ZiB8EGT0Z0jVHBBD8vy9qbQuXET&#10;bfG0C7XgEvK5VtCE0OdS+qpBq/3M9UjsfbvB6sDnUEsz6InLbSfjKEql1S3xh0b3uGqw+tmNVkG6&#10;HsZpS6uH9f59oz/7Oj68XQ5K3d/No1cQAc/hLwxXfEaHkpmObiTjRacgSTLeEtiIn7MnEBzJFilL&#10;x6v0skhAloX8v6L8BVBLAwQUAAAACACHTuJAY8ev5vkBAADrAwAADgAAAGRycy9lMm9Eb2MueG1s&#10;rVPbjtsgEH2v1H9AvDdOsqtVa62z2maVqtL2Im37ARiDjQoMHUjs9Os74CRdbd+q+gENMHOYc+b4&#10;9m5ylh0URgO+4avFkjPlJXTG9w3//m335i1nMQnfCQteNfyoIr/bvH51O4ZarWEA2ylkBOJjPYaG&#10;DymFuqqiHJQTcQFBebrUgE4k2mJfdShGQne2Wi+XN9UI2AUEqWKk04f5km8KvtZKpi9aR5WYbTj1&#10;lsqKZW3zWm1uRd2jCIORpzbEP3ThhPH06AXqQSTB9mj+gnJGIkTQaSHBVaC1kapwIDar5Qs2T4MI&#10;qnAhcWK4yBT/H6z8fPiKzHQNv+bMC0cj0m6HFNxkbcYQa0p5CpSUpvcw0YwLzxgeQf6IzMN2EL5X&#10;94gwDkp01NsqV1bPSmecmEHa8RN09IjYJyhAk0aXhSMpGKHTjI6XuagpMUmHJM27qyVdSbq7Wq2v&#10;12VwlajP1QFj+qDAsRw0HGnuBV0cHmPK3Yj6nJIfi2BNtzPWlg327dYiOwjyyK58hcCLNOtzsodc&#10;NiPOJ6q47PRMJp15zozT1E4nEVvojkQfYXYg/TEUDIC/OBvJfQ2PP/cCFWf2oycJs1XPAZ6D9hwI&#10;L6m04YmzOdym2dL7gKYfCHkekod7klmbokBube7iNBxyVBHm5P5s2ef7kvXnH93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JBNRzbAAAADQEAAA8AAAAAAAAAAQAgAAAAIgAAAGRycy9kb3ducmV2&#10;LnhtbFBLAQIUABQAAAAIAIdO4kBjx6/m+QEAAOsDAAAOAAAAAAAAAAEAIAAAACoBAABkcnMvZTJv&#10;RG9jLnhtbFBLBQYAAAAABgAGAFkBAACVBQAAAAA=&#10;">
                <v:fill on="t" focussize="0,0"/>
                <v:stroke on="f"/>
                <v:imagedata o:title=""/>
                <o:lock v:ext="edit" aspectratio="f"/>
                <v:textbox inset="0mm,0mm,0mm,0mm">
                  <w:txbxContent>
                    <w:p>
                      <w:pPr>
                        <w:pStyle w:val="30"/>
                        <w:rPr>
                          <w:rFonts w:ascii="黑体"/>
                        </w:rPr>
                      </w:pPr>
                      <w:r>
                        <w:rPr>
                          <w:rFonts w:hint="eastAsia" w:ascii="黑体"/>
                        </w:rPr>
                        <w:t>××××-××-××实施</w:t>
                      </w:r>
                    </w:p>
                  </w:txbxContent>
                </v:textbox>
                <w10:anchorlock/>
              </v:shape>
            </w:pict>
          </mc:Fallback>
        </mc:AlternateContent>
      </w:r>
      <w:r>
        <w:tab/>
      </w:r>
    </w:p>
    <w:p>
      <w:pPr>
        <w:tabs>
          <w:tab w:val="left" w:pos="2400"/>
        </w:tabs>
      </w:pPr>
      <w:r>
        <w:tab/>
      </w:r>
    </w:p>
    <w:p>
      <w:pPr>
        <w:tabs>
          <w:tab w:val="left" w:pos="1335"/>
        </w:tabs>
      </w:pPr>
      <w:r>
        <mc:AlternateContent>
          <mc:Choice Requires="wps">
            <w:drawing>
              <wp:anchor distT="0" distB="0" distL="114300" distR="114300" simplePos="0" relativeHeight="251658240" behindDoc="0" locked="1" layoutInCell="1" allowOverlap="1">
                <wp:simplePos x="0" y="0"/>
                <wp:positionH relativeFrom="margin">
                  <wp:posOffset>-342900</wp:posOffset>
                </wp:positionH>
                <wp:positionV relativeFrom="margin">
                  <wp:posOffset>8239125</wp:posOffset>
                </wp:positionV>
                <wp:extent cx="6120130" cy="495300"/>
                <wp:effectExtent l="0" t="0" r="6350" b="7620"/>
                <wp:wrapNone/>
                <wp:docPr id="3"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495300"/>
                        </a:xfrm>
                        <a:prstGeom prst="rect">
                          <a:avLst/>
                        </a:prstGeom>
                        <a:solidFill>
                          <a:srgbClr val="FFFFFF"/>
                        </a:solidFill>
                        <a:ln>
                          <a:noFill/>
                        </a:ln>
                        <a:effectLst/>
                      </wps:spPr>
                      <wps:txbx>
                        <w:txbxContent>
                          <w:p>
                            <w:pPr>
                              <w:pStyle w:val="28"/>
                              <w:spacing w:before="156" w:after="156"/>
                              <w:rPr>
                                <w:szCs w:val="36"/>
                              </w:rPr>
                            </w:pPr>
                            <w:r>
                              <w:rPr>
                                <w:rFonts w:hint="eastAsia"/>
                                <w:szCs w:val="36"/>
                              </w:rPr>
                              <w:t>中华人民共和国工业和信息化部</w:t>
                            </w:r>
                            <w:r>
                              <w:rPr>
                                <w:rStyle w:val="13"/>
                                <w:rFonts w:hint="eastAsia"/>
                                <w:szCs w:val="36"/>
                              </w:rPr>
                              <w:t xml:space="preserve"> </w:t>
                            </w:r>
                            <w:r>
                              <w:rPr>
                                <w:rStyle w:val="13"/>
                                <w:rFonts w:hint="eastAsia" w:hAnsi="宋体"/>
                                <w:szCs w:val="36"/>
                              </w:rPr>
                              <w:t>发布</w:t>
                            </w:r>
                          </w:p>
                          <w:p>
                            <w:pPr>
                              <w:pStyle w:val="28"/>
                              <w:ind w:firstLine="1039" w:firstLineChars="197"/>
                            </w:pPr>
                          </w:p>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27pt;margin-top:648.75pt;height:39pt;width:481.9pt;mso-position-horizontal-relative:margin;mso-position-vertical-relative:margin;z-index:251658240;mso-width-relative:page;mso-height-relative:page;" fillcolor="#FFFFFF" filled="t" stroked="f" coordsize="21600,21600" o:gfxdata="UEsDBAoAAAAAAIdO4kAAAAAAAAAAAAAAAAAEAAAAZHJzL1BLAwQUAAAACACHTuJAE9goXtwAAAAN&#10;AQAADwAAAGRycy9kb3ducmV2LnhtbE2PwW7CMBBE75X6D9ZW6qUCm7SBJsRBKrQ3eoAiziY2SdR4&#10;HdkOgb/v9tQed2Y0O69YXW3HLsaH1qGE2VQAM1g53WIt4fD1MXkFFqJCrTqHRsLNBFiV93eFyrUb&#10;cWcu+1gzKsGQKwlNjH3OeagaY1WYut4geWfnrYp0+pprr0Yqtx1PhJhzq1qkD43qzbox1fd+sBLm&#10;Gz+MO1w/bQ7vW/XZ18nx7XaU8vFhJpbAornGvzD8zqfpUNKmkxtQB9ZJmKQvxBLJSLJFCowimciI&#10;5kTS8yJNgZcF/09R/gBQSwMEFAAAAAgAh07iQAROYxv5AQAA6wMAAA4AAABkcnMvZTJvRG9jLnht&#10;bK1TwY7TMBC9I/EPlu807RYWiJqulq6KkJYFaeEDHMdOLGKPGbtNytczdtKyWm6IHKyxPfM8783L&#10;5ma0PTsqDAZcxVeLJWfKSWiMayv+/dv+1TvOQhSuET04VfGTCvxm+/LFZvCluoIO+kYhIxAXysFX&#10;vIvRl0URZKesCAvwytGlBrQi0hbbokExELrti6vl8roYABuPIFUIdHo3XfJtxtdayfhF66Ai6ytO&#10;vcW8Yl7rtBbbjShbFL4zcm5D/EMXVhhHj16g7kQU7IDmLyhrJEIAHRcSbAFaG6kyB2KzWj5j89gJ&#10;rzIXEif4i0zh/8HKh+NXZKap+JozJyyNSNs9UvA2aTP4UFLKo6ekOH6AkWaceQZ/D/JHYA52nXCt&#10;ukWEoVOiod5WqbJ4UjrhhARSD5+hoUfEIUIGGjXaJBxJwQidZnS6zEWNkUk6vF6ROGu6knT3+v2b&#10;9TIPrhDludpjiB8VWJaCiiPNPaOL432IqRtRnlPSYwF60+xN3+cNtvWuR3YU5JF9/jKBZ2m9S8kO&#10;UtmEOJ2o7LL5mUQ68ZwYx7EeZxFraE5EH2FyIP0xFHSAvzgbyH0VDz8PAhVn/SdHEiarngM8B/U5&#10;EE5SacUjZ1O4i5OlDx5N2xHyNCQHtySzNlmB1NrUxTwcclQWZnZ/suzTfc76849u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T2Che3AAAAA0BAAAPAAAAAAAAAAEAIAAAACIAAABkcnMvZG93bnJl&#10;di54bWxQSwECFAAUAAAACACHTuJABE5jG/kBAADrAwAADgAAAAAAAAABACAAAAArAQAAZHJzL2Uy&#10;b0RvYy54bWxQSwUGAAAAAAYABgBZAQAAlgUAAAAA&#10;">
                <v:fill on="t" focussize="0,0"/>
                <v:stroke on="f"/>
                <v:imagedata o:title=""/>
                <o:lock v:ext="edit" aspectratio="f"/>
                <v:textbox inset="0mm,0mm,0mm,0mm">
                  <w:txbxContent>
                    <w:p>
                      <w:pPr>
                        <w:pStyle w:val="28"/>
                        <w:spacing w:before="156" w:after="156"/>
                        <w:rPr>
                          <w:szCs w:val="36"/>
                        </w:rPr>
                      </w:pPr>
                      <w:r>
                        <w:rPr>
                          <w:rFonts w:hint="eastAsia"/>
                          <w:szCs w:val="36"/>
                        </w:rPr>
                        <w:t>中华人民共和国工业和信息化部</w:t>
                      </w:r>
                      <w:r>
                        <w:rPr>
                          <w:rStyle w:val="13"/>
                          <w:rFonts w:hint="eastAsia"/>
                          <w:szCs w:val="36"/>
                        </w:rPr>
                        <w:t xml:space="preserve"> </w:t>
                      </w:r>
                      <w:r>
                        <w:rPr>
                          <w:rStyle w:val="13"/>
                          <w:rFonts w:hint="eastAsia" w:hAnsi="宋体"/>
                          <w:szCs w:val="36"/>
                        </w:rPr>
                        <w:t>发布</w:t>
                      </w:r>
                    </w:p>
                    <w:p>
                      <w:pPr>
                        <w:pStyle w:val="28"/>
                        <w:ind w:firstLine="1039" w:firstLineChars="197"/>
                      </w:pPr>
                    </w:p>
                    <w:p/>
                  </w:txbxContent>
                </v:textbox>
                <w10:anchorlock/>
              </v:shape>
            </w:pict>
          </mc:Fallback>
        </mc:AlternateContent>
      </w:r>
    </w:p>
    <w:p>
      <w:pPr>
        <w:tabs>
          <w:tab w:val="left" w:pos="1335"/>
        </w:tabs>
      </w:pPr>
      <w:r>
        <mc:AlternateContent>
          <mc:Choice Requires="wps">
            <w:drawing>
              <wp:anchor distT="0" distB="0" distL="114300" distR="114300" simplePos="0" relativeHeight="251659264" behindDoc="0" locked="0" layoutInCell="1" allowOverlap="1">
                <wp:simplePos x="0" y="0"/>
                <wp:positionH relativeFrom="column">
                  <wp:posOffset>-162560</wp:posOffset>
                </wp:positionH>
                <wp:positionV relativeFrom="paragraph">
                  <wp:posOffset>173355</wp:posOffset>
                </wp:positionV>
                <wp:extent cx="6121400" cy="0"/>
                <wp:effectExtent l="0" t="0" r="0" b="0"/>
                <wp:wrapNone/>
                <wp:docPr id="2" name="直线 8"/>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w:pict>
              <v:line id="直线 8" o:spid="_x0000_s1026" o:spt="20" style="position:absolute;left:0pt;margin-left:-12.8pt;margin-top:13.65pt;height:0pt;width:482pt;z-index:251659264;mso-width-relative:page;mso-height-relative:page;" filled="f" stroked="t" coordsize="21600,21600" o:gfxdata="UEsDBAoAAAAAAIdO4kAAAAAAAAAAAAAAAAAEAAAAZHJzL1BLAwQUAAAACACHTuJA4NPgatkAAAAJ&#10;AQAADwAAAGRycy9kb3ducmV2LnhtbE2PTU/CQBCG7yb8h82QeIMtRaHWbjloCNF4AUy8Dt2xW+3O&#10;lu7y4b93jQc4zsyTd563WJxtK47U+8axgsk4AUFcOd1wreB9uxxlIHxA1tg6JgU/5GFRDm4KzLU7&#10;8ZqOm1CLGMI+RwUmhC6X0leGLPqx64jj7dP1FkMc+1rqHk8x3LYyTZKZtNhw/GCwoydD1ffmYBXg&#10;82odPrL0dd68mLev7XK/MtleqdvhJHkEEegcLjD86Ud1KKPTzh1Ye9EqGKX3s4gqSOdTEBF4mGZ3&#10;IHb/C1kW8rpB+QtQSwMEFAAAAAgAh07iQFa8CEO+AQAAYgMAAA4AAABkcnMvZTJvRG9jLnhtbK1T&#10;zW7bMAy+D9g7CLov/sHQFUacHlJ0l24L0O4BGFm2hUmiIClx8ix7jZ122eP0NUYpcbZ1t6I+CKZI&#10;fuT3kVreHIxme+mDQtvyalFyJq3ATtmh5V8f795dcxYi2A40Wtnyowz8ZvX2zXJyjaxxRN1JzwjE&#10;hmZyLR9jdE1RBDFKA2GBTlpy9ugNRDL9UHQeJkI3uqjL8qqY0HfOo5Ah0O3tyclXGb/vpYhf+j7I&#10;yHTLqbeYT5/PbTqL1RKawYMblTi3AS/owoCyVPQCdQsR2M6r/6CMEh4D9nEh0BTY90rIzIHYVOUz&#10;Ng8jOJm5kDjBXWQKrwcrPu83nqmu5TVnFgyN6On7j6efv9h10mZyoaGQtd34xE4c7IO7R/EtMIvr&#10;Eewgc4+PR0eJVcoo/klJRnBUYTt9wo5iYBcxC3XovUmQJAE75HkcL/OQh8gEXV5VdfW+pLGJ2VdA&#10;Myc6H+JHiYaln5ZrZZNU0MD+PsTUCDRzSLq2eKe0zuPWlk3Ubf2BoJMroFZd8mbDD9u19mwPaWPy&#10;l2k9C/O4s92pirYpT+ZlO5eeaZ8E3GJ33PhZGxpkbu68dGlT/razgn+exu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4NPgatkAAAAJAQAADwAAAAAAAAABACAAAAAiAAAAZHJzL2Rvd25yZXYueG1s&#10;UEsBAhQAFAAAAAgAh07iQFa8CEO+AQAAYgMAAA4AAAAAAAAAAQAgAAAAKAEAAGRycy9lMm9Eb2Mu&#10;eG1sUEsFBgAAAAAGAAYAWQEAAFgFAAAAAA==&#10;">
                <v:fill on="f" focussize="0,0"/>
                <v:stroke weight="1pt" color="#000000" joinstyle="round"/>
                <v:imagedata o:title=""/>
                <o:lock v:ext="edit" aspectratio="f"/>
              </v:line>
            </w:pict>
          </mc:Fallback>
        </mc:AlternateContent>
      </w:r>
    </w:p>
    <w:p>
      <w:pPr>
        <w:snapToGrid w:val="0"/>
        <w:jc w:val="right"/>
        <w:rPr>
          <w:rFonts w:ascii="黑体" w:eastAsia="黑体"/>
          <w:color w:val="000000"/>
          <w:szCs w:val="21"/>
        </w:rPr>
      </w:pPr>
    </w:p>
    <w:p>
      <w:pPr>
        <w:pStyle w:val="18"/>
        <w:numPr>
          <w:ilvl w:val="0"/>
          <w:numId w:val="0"/>
        </w:numPr>
        <w:tabs>
          <w:tab w:val="center" w:pos="4153"/>
          <w:tab w:val="right" w:pos="8306"/>
        </w:tabs>
        <w:jc w:val="left"/>
      </w:pPr>
      <w:r>
        <w:tab/>
      </w:r>
      <w:r>
        <w:rPr>
          <w:rFonts w:hint="eastAsia"/>
        </w:rPr>
        <w:t>前    言</w:t>
      </w:r>
      <w:r>
        <w:tab/>
      </w:r>
    </w:p>
    <w:p>
      <w:pPr>
        <w:ind w:firstLine="420" w:firstLineChars="200"/>
        <w:rPr>
          <w:rFonts w:ascii="宋体" w:hAnsi="宋体"/>
        </w:rPr>
      </w:pPr>
      <w:r>
        <w:rPr>
          <w:rFonts w:hint="eastAsia" w:ascii="宋体" w:hAnsi="宋体"/>
        </w:rPr>
        <w:t>本文件按照GB/T 1.1-2020《标准化工作导则 第1部分：标准化文件的结构和起草规则》的规定起草。</w:t>
      </w:r>
    </w:p>
    <w:p>
      <w:pPr>
        <w:ind w:firstLine="420" w:firstLineChars="200"/>
        <w:rPr>
          <w:rFonts w:ascii="宋体" w:hAnsi="宋体"/>
        </w:rPr>
      </w:pPr>
      <w:r>
        <w:rPr>
          <w:rFonts w:hint="eastAsia" w:ascii="宋体" w:hAnsi="宋体"/>
        </w:rPr>
        <w:t>本文件是YS/T 1161《</w:t>
      </w:r>
      <w:r>
        <w:rPr>
          <w:rFonts w:hint="eastAsia" w:ascii="宋体" w:hAnsi="宋体"/>
          <w:color w:val="000000"/>
        </w:rPr>
        <w:t>拟薄水铝石分析方法</w:t>
      </w:r>
      <w:r>
        <w:rPr>
          <w:rFonts w:hint="eastAsia" w:ascii="宋体" w:hAnsi="宋体"/>
        </w:rPr>
        <w:t>》的第4部分。YS/T 1161已经发布了以下部分：</w:t>
      </w:r>
    </w:p>
    <w:p>
      <w:pPr>
        <w:ind w:firstLine="435"/>
        <w:rPr>
          <w:rFonts w:ascii="宋体" w:hAnsi="宋体"/>
        </w:rPr>
      </w:pPr>
      <w:r>
        <w:rPr>
          <w:rFonts w:hint="eastAsia" w:ascii="宋体" w:hAnsi="宋体"/>
        </w:rPr>
        <w:t xml:space="preserve">——第1部分：胶溶指数的测定  EDTA容量法； </w:t>
      </w:r>
    </w:p>
    <w:p>
      <w:pPr>
        <w:ind w:firstLine="435"/>
        <w:rPr>
          <w:rFonts w:ascii="宋体" w:hAnsi="宋体"/>
          <w:color w:val="000000"/>
        </w:rPr>
      </w:pPr>
      <w:r>
        <w:rPr>
          <w:rFonts w:hint="eastAsia" w:ascii="宋体" w:hAnsi="宋体"/>
        </w:rPr>
        <w:t>——第2部分：</w:t>
      </w:r>
      <w:r>
        <w:rPr>
          <w:rFonts w:hint="eastAsia" w:ascii="宋体" w:hAnsi="宋体"/>
          <w:color w:val="000000"/>
        </w:rPr>
        <w:t>烧失量的测定  重量法；</w:t>
      </w:r>
    </w:p>
    <w:p>
      <w:pPr>
        <w:ind w:firstLine="435"/>
        <w:rPr>
          <w:rFonts w:ascii="宋体" w:hAnsi="宋体"/>
          <w:color w:val="000000"/>
        </w:rPr>
      </w:pPr>
      <w:r>
        <w:rPr>
          <w:rFonts w:hint="eastAsia" w:ascii="宋体" w:hAnsi="宋体"/>
        </w:rPr>
        <w:t>——</w:t>
      </w:r>
      <w:r>
        <w:rPr>
          <w:rFonts w:hint="eastAsia" w:ascii="宋体" w:hAnsi="宋体"/>
          <w:color w:val="000000"/>
        </w:rPr>
        <w:t>第3</w:t>
      </w:r>
      <w:r>
        <w:rPr>
          <w:rFonts w:hint="eastAsia" w:ascii="宋体" w:hAnsi="宋体"/>
        </w:rPr>
        <w:t>部分</w:t>
      </w:r>
      <w:r>
        <w:rPr>
          <w:rFonts w:hint="eastAsia" w:ascii="宋体" w:hAnsi="宋体"/>
          <w:color w:val="000000"/>
        </w:rPr>
        <w:t>：孔容和比表面积的测定  氮吸附法；</w:t>
      </w:r>
    </w:p>
    <w:p>
      <w:pPr>
        <w:ind w:firstLine="435"/>
        <w:rPr>
          <w:rFonts w:ascii="宋体" w:hAnsi="宋体"/>
        </w:rPr>
      </w:pPr>
      <w:r>
        <w:rPr>
          <w:rFonts w:hint="eastAsia" w:ascii="宋体" w:hAnsi="宋体"/>
        </w:rPr>
        <w:t>请注意本文件的某些内容可能涉及专利。本文件的发布机构不承担识别专利的责任。</w:t>
      </w:r>
    </w:p>
    <w:p>
      <w:pPr>
        <w:ind w:firstLine="420" w:firstLineChars="200"/>
        <w:rPr>
          <w:rFonts w:ascii="宋体" w:hAnsi="宋体"/>
        </w:rPr>
      </w:pPr>
      <w:r>
        <w:rPr>
          <w:rFonts w:hint="eastAsia" w:ascii="宋体" w:hAnsi="宋体"/>
        </w:rPr>
        <w:t>本文件由全国有色金属标准化技术委员会（SAC/TC 243）提出并归口。</w:t>
      </w:r>
    </w:p>
    <w:p>
      <w:pPr>
        <w:pStyle w:val="15"/>
        <w:ind w:firstLine="420"/>
        <w:jc w:val="left"/>
        <w:rPr>
          <w:rFonts w:hAnsi="宋体"/>
        </w:rPr>
      </w:pPr>
      <w:r>
        <w:rPr>
          <w:rFonts w:hint="eastAsia" w:hAnsi="宋体"/>
        </w:rPr>
        <w:t>本文件起草单位：</w:t>
      </w:r>
      <w:r>
        <w:rPr>
          <w:rFonts w:hint="eastAsia"/>
        </w:rPr>
        <w:t>。</w:t>
      </w:r>
    </w:p>
    <w:p>
      <w:pPr>
        <w:pStyle w:val="15"/>
        <w:ind w:firstLine="420"/>
        <w:jc w:val="left"/>
        <w:rPr>
          <w:rFonts w:ascii="黑体" w:eastAsia="黑体"/>
          <w:sz w:val="32"/>
          <w:szCs w:val="32"/>
        </w:rPr>
      </w:pPr>
      <w:r>
        <w:rPr>
          <w:rFonts w:hint="eastAsia" w:hAnsi="宋体"/>
        </w:rPr>
        <w:t>本文件主要起草人：</w:t>
      </w:r>
    </w:p>
    <w:p>
      <w:pPr>
        <w:widowControl/>
        <w:jc w:val="left"/>
        <w:rPr>
          <w:rFonts w:ascii="黑体" w:eastAsia="黑体"/>
          <w:sz w:val="32"/>
          <w:szCs w:val="32"/>
        </w:rPr>
      </w:pPr>
    </w:p>
    <w:p>
      <w:pPr>
        <w:widowControl/>
        <w:jc w:val="left"/>
        <w:rPr>
          <w:rFonts w:ascii="黑体" w:eastAsia="黑体"/>
          <w:sz w:val="32"/>
          <w:szCs w:val="32"/>
        </w:rPr>
      </w:pPr>
      <w:r>
        <w:rPr>
          <w:rFonts w:ascii="黑体" w:eastAsia="黑体"/>
          <w:sz w:val="32"/>
          <w:szCs w:val="32"/>
        </w:rPr>
        <w:br w:type="page"/>
      </w:r>
    </w:p>
    <w:p>
      <w:pPr>
        <w:widowControl/>
        <w:jc w:val="left"/>
        <w:rPr>
          <w:rFonts w:ascii="黑体" w:eastAsia="黑体"/>
          <w:sz w:val="32"/>
          <w:szCs w:val="32"/>
        </w:rPr>
        <w:sectPr>
          <w:headerReference r:id="rId3" w:type="default"/>
          <w:footerReference r:id="rId5" w:type="default"/>
          <w:headerReference r:id="rId4" w:type="even"/>
          <w:footerReference r:id="rId6" w:type="even"/>
          <w:pgSz w:w="11906" w:h="16838"/>
          <w:pgMar w:top="1440" w:right="1800" w:bottom="1440" w:left="1800" w:header="851" w:footer="992" w:gutter="0"/>
          <w:pgNumType w:start="1"/>
          <w:cols w:space="720" w:num="1"/>
          <w:titlePg/>
          <w:docGrid w:type="lines" w:linePitch="312" w:charSpace="0"/>
        </w:sectPr>
      </w:pPr>
    </w:p>
    <w:p>
      <w:pPr>
        <w:tabs>
          <w:tab w:val="left" w:pos="5910"/>
        </w:tabs>
        <w:jc w:val="center"/>
        <w:rPr>
          <w:rFonts w:ascii="黑体" w:hAnsi="黑体" w:eastAsia="黑体"/>
          <w:sz w:val="32"/>
          <w:szCs w:val="32"/>
        </w:rPr>
      </w:pPr>
      <w:r>
        <w:rPr>
          <w:rFonts w:hint="eastAsia" w:ascii="黑体" w:hAnsi="黑体" w:eastAsia="黑体"/>
          <w:sz w:val="32"/>
          <w:szCs w:val="32"/>
        </w:rPr>
        <w:t>引言</w:t>
      </w:r>
    </w:p>
    <w:p>
      <w:pPr>
        <w:spacing w:before="120"/>
        <w:ind w:firstLine="420" w:firstLineChars="200"/>
        <w:rPr>
          <w:rFonts w:ascii="宋体" w:hAnsi="宋体"/>
          <w:szCs w:val="21"/>
        </w:rPr>
      </w:pPr>
      <w:r>
        <w:rPr>
          <w:rFonts w:ascii="宋体" w:hAnsi="宋体"/>
          <w:szCs w:val="21"/>
        </w:rPr>
        <w:t xml:space="preserve">YS/T </w:t>
      </w:r>
      <w:r>
        <w:rPr>
          <w:rFonts w:hint="eastAsia" w:ascii="宋体" w:hAnsi="宋体"/>
          <w:szCs w:val="21"/>
        </w:rPr>
        <w:t>1161.4《拟薄水铝石分析方法》是拟薄水铝石化学分析方法的系列标准，该系列标准包含拟薄水铝石胶溶指数、灼减、</w:t>
      </w:r>
      <w:r>
        <w:rPr>
          <w:rFonts w:ascii="宋体" w:hAnsi="宋体"/>
          <w:szCs w:val="21"/>
        </w:rPr>
        <w:t>孔容和比表面积</w:t>
      </w:r>
      <w:r>
        <w:rPr>
          <w:rFonts w:hint="eastAsia" w:ascii="宋体" w:hAnsi="宋体"/>
          <w:szCs w:val="21"/>
        </w:rPr>
        <w:t>测定等分析操作的技术规范，该系列标准在拟薄水铝石贸易结算、分析比对、催化剂生产等多领域应用广泛。</w:t>
      </w:r>
    </w:p>
    <w:p>
      <w:pPr>
        <w:ind w:firstLine="420" w:firstLineChars="200"/>
        <w:rPr>
          <w:rFonts w:ascii="宋体" w:hAnsi="宋体"/>
          <w:szCs w:val="21"/>
        </w:rPr>
      </w:pPr>
      <w:r>
        <w:rPr>
          <w:rFonts w:ascii="宋体" w:hAnsi="宋体"/>
          <w:szCs w:val="21"/>
        </w:rPr>
        <w:t xml:space="preserve">YS/T </w:t>
      </w:r>
      <w:r>
        <w:rPr>
          <w:rFonts w:hint="eastAsia" w:ascii="宋体" w:hAnsi="宋体"/>
          <w:szCs w:val="21"/>
        </w:rPr>
        <w:t>1164.4《拟薄水铝石分析方法 第4部分 氧化钠含量的测定》是有色行业拟薄水铝石中氧化钠含量测定的主要标准也是唯一标准，是有色行业分析检测的基础标准之一。该标准是完全基于我国分析检测技术，国际标准和国外先进国家或组织均没有相同标准和规范。</w:t>
      </w:r>
      <w:r>
        <w:rPr>
          <w:rFonts w:hint="eastAsia" w:ascii="宋体" w:hAnsi="宋体" w:cs="宋体"/>
          <w:szCs w:val="21"/>
        </w:rPr>
        <w:t>本</w:t>
      </w:r>
      <w:r>
        <w:rPr>
          <w:rFonts w:hint="eastAsia" w:ascii="宋体" w:hAnsi="宋体"/>
          <w:szCs w:val="21"/>
        </w:rPr>
        <w:t>标准涉及内容全面、条款详细，在制定过程中吸纳了国内最新相关技术，达到了国内先进水平。</w:t>
      </w:r>
    </w:p>
    <w:p>
      <w:pPr>
        <w:ind w:firstLine="420" w:firstLineChars="200"/>
        <w:rPr>
          <w:rFonts w:ascii="宋体" w:hAnsi="宋体"/>
          <w:szCs w:val="21"/>
        </w:rPr>
      </w:pPr>
      <w:r>
        <w:rPr>
          <w:rFonts w:hint="eastAsia" w:ascii="宋体" w:hAnsi="宋体"/>
          <w:szCs w:val="21"/>
        </w:rPr>
        <w:t>该标准是YS/T 1164《拟薄水铝石分析方法》系列有色行业标准中的一部分，是对《拟薄水铝石分析方法》系列标准的补充和完善。标准的制定</w:t>
      </w:r>
      <w:r>
        <w:rPr>
          <w:rFonts w:hint="eastAsia" w:ascii="宋体" w:hAnsi="宋体"/>
          <w:color w:val="000000" w:themeColor="text1"/>
          <w:szCs w:val="21"/>
        </w:rPr>
        <w:t>为精细氧化铝企业、贸易商对氧化钠的分析检测提供了统一的标准，从而减少贸易纠纷和争议。</w:t>
      </w:r>
    </w:p>
    <w:p>
      <w:pPr>
        <w:pStyle w:val="18"/>
        <w:spacing w:before="0" w:after="0"/>
        <w:ind w:firstLine="420" w:firstLineChars="200"/>
        <w:jc w:val="left"/>
        <w:rPr>
          <w:rFonts w:ascii="宋体" w:hAnsi="宋体" w:eastAsia="宋体"/>
          <w:color w:val="000000" w:themeColor="text1"/>
          <w:sz w:val="21"/>
          <w:szCs w:val="21"/>
        </w:rPr>
      </w:pPr>
      <w:r>
        <w:rPr>
          <w:rFonts w:hint="eastAsia" w:ascii="宋体" w:hAnsi="宋体" w:eastAsia="宋体"/>
          <w:sz w:val="21"/>
          <w:szCs w:val="21"/>
        </w:rPr>
        <w:t>本标准发布实施后，将进一步</w:t>
      </w:r>
      <w:r>
        <w:rPr>
          <w:rFonts w:hint="eastAsia" w:ascii="宋体" w:hAnsi="宋体" w:eastAsia="宋体"/>
          <w:color w:val="000000" w:themeColor="text1"/>
          <w:sz w:val="21"/>
          <w:szCs w:val="21"/>
        </w:rPr>
        <w:t>提高各企业对拟薄水铝石中氧化钠含量的检测的准确性和质量控制水平，进一步完善该方法在拟薄水铝石利用中的作用，从而更好的和国际市场接轨，占领国际市场，保障我国的精细氧化铝工业健康发展。</w:t>
      </w:r>
    </w:p>
    <w:p>
      <w:pPr>
        <w:pStyle w:val="37"/>
        <w:adjustRightInd w:val="0"/>
        <w:snapToGrid w:val="0"/>
        <w:spacing w:before="0" w:line="240" w:lineRule="auto"/>
        <w:rPr>
          <w:rFonts w:ascii="黑体" w:eastAsia="黑体"/>
          <w:sz w:val="28"/>
          <w:szCs w:val="28"/>
        </w:rPr>
      </w:pPr>
    </w:p>
    <w:p>
      <w:pPr>
        <w:pStyle w:val="37"/>
        <w:adjustRightInd w:val="0"/>
        <w:snapToGrid w:val="0"/>
        <w:spacing w:before="0" w:line="240" w:lineRule="auto"/>
        <w:rPr>
          <w:rFonts w:ascii="黑体" w:eastAsia="黑体"/>
          <w:sz w:val="28"/>
          <w:szCs w:val="28"/>
        </w:rPr>
      </w:pPr>
    </w:p>
    <w:p>
      <w:pPr>
        <w:pStyle w:val="37"/>
        <w:adjustRightInd w:val="0"/>
        <w:snapToGrid w:val="0"/>
        <w:spacing w:before="0" w:line="240" w:lineRule="auto"/>
        <w:rPr>
          <w:rFonts w:ascii="黑体" w:eastAsia="黑体"/>
          <w:sz w:val="28"/>
          <w:szCs w:val="28"/>
        </w:rPr>
      </w:pPr>
    </w:p>
    <w:p>
      <w:pPr>
        <w:pStyle w:val="37"/>
        <w:adjustRightInd w:val="0"/>
        <w:snapToGrid w:val="0"/>
        <w:spacing w:before="0" w:line="240" w:lineRule="auto"/>
        <w:rPr>
          <w:rFonts w:ascii="黑体" w:eastAsia="黑体"/>
          <w:sz w:val="28"/>
          <w:szCs w:val="28"/>
        </w:rPr>
      </w:pPr>
    </w:p>
    <w:p>
      <w:pPr>
        <w:pStyle w:val="37"/>
        <w:adjustRightInd w:val="0"/>
        <w:snapToGrid w:val="0"/>
        <w:spacing w:before="0" w:line="240" w:lineRule="auto"/>
        <w:rPr>
          <w:rFonts w:ascii="黑体" w:eastAsia="黑体"/>
          <w:sz w:val="28"/>
          <w:szCs w:val="28"/>
        </w:rPr>
      </w:pPr>
    </w:p>
    <w:p>
      <w:pPr>
        <w:pStyle w:val="37"/>
        <w:adjustRightInd w:val="0"/>
        <w:snapToGrid w:val="0"/>
        <w:spacing w:before="0" w:line="240" w:lineRule="auto"/>
        <w:rPr>
          <w:rFonts w:ascii="黑体" w:eastAsia="黑体"/>
          <w:sz w:val="28"/>
          <w:szCs w:val="28"/>
        </w:rPr>
      </w:pPr>
    </w:p>
    <w:p>
      <w:pPr>
        <w:pStyle w:val="37"/>
        <w:adjustRightInd w:val="0"/>
        <w:snapToGrid w:val="0"/>
        <w:spacing w:before="0" w:line="240" w:lineRule="auto"/>
        <w:rPr>
          <w:rFonts w:ascii="黑体" w:eastAsia="黑体"/>
          <w:sz w:val="28"/>
          <w:szCs w:val="28"/>
        </w:rPr>
      </w:pPr>
    </w:p>
    <w:p>
      <w:pPr>
        <w:pStyle w:val="37"/>
        <w:adjustRightInd w:val="0"/>
        <w:snapToGrid w:val="0"/>
        <w:spacing w:before="0" w:line="240" w:lineRule="auto"/>
        <w:rPr>
          <w:rFonts w:ascii="黑体" w:eastAsia="黑体"/>
          <w:sz w:val="28"/>
          <w:szCs w:val="28"/>
        </w:rPr>
      </w:pPr>
    </w:p>
    <w:p>
      <w:pPr>
        <w:pStyle w:val="37"/>
        <w:adjustRightInd w:val="0"/>
        <w:snapToGrid w:val="0"/>
        <w:spacing w:before="0" w:line="240" w:lineRule="auto"/>
        <w:rPr>
          <w:rFonts w:ascii="黑体" w:eastAsia="黑体"/>
          <w:sz w:val="28"/>
          <w:szCs w:val="28"/>
        </w:rPr>
      </w:pPr>
    </w:p>
    <w:p>
      <w:pPr>
        <w:pStyle w:val="37"/>
        <w:adjustRightInd w:val="0"/>
        <w:snapToGrid w:val="0"/>
        <w:spacing w:before="0" w:line="240" w:lineRule="auto"/>
        <w:rPr>
          <w:rFonts w:ascii="黑体" w:eastAsia="黑体"/>
          <w:sz w:val="28"/>
          <w:szCs w:val="28"/>
        </w:rPr>
      </w:pPr>
    </w:p>
    <w:p>
      <w:pPr>
        <w:pStyle w:val="37"/>
        <w:adjustRightInd w:val="0"/>
        <w:snapToGrid w:val="0"/>
        <w:spacing w:before="0" w:line="240" w:lineRule="auto"/>
        <w:rPr>
          <w:rFonts w:ascii="黑体" w:eastAsia="黑体"/>
          <w:sz w:val="28"/>
          <w:szCs w:val="28"/>
        </w:rPr>
      </w:pPr>
    </w:p>
    <w:p>
      <w:pPr>
        <w:pStyle w:val="37"/>
        <w:adjustRightInd w:val="0"/>
        <w:snapToGrid w:val="0"/>
        <w:spacing w:before="0" w:line="240" w:lineRule="auto"/>
        <w:rPr>
          <w:rFonts w:ascii="黑体" w:eastAsia="黑体"/>
          <w:sz w:val="28"/>
          <w:szCs w:val="28"/>
        </w:rPr>
      </w:pPr>
    </w:p>
    <w:p>
      <w:pPr>
        <w:pStyle w:val="37"/>
        <w:adjustRightInd w:val="0"/>
        <w:snapToGrid w:val="0"/>
        <w:spacing w:before="0" w:line="240" w:lineRule="auto"/>
        <w:rPr>
          <w:rFonts w:ascii="黑体" w:eastAsia="黑体"/>
          <w:sz w:val="28"/>
          <w:szCs w:val="28"/>
        </w:rPr>
      </w:pPr>
    </w:p>
    <w:p>
      <w:pPr>
        <w:pStyle w:val="37"/>
        <w:adjustRightInd w:val="0"/>
        <w:snapToGrid w:val="0"/>
        <w:spacing w:before="0" w:line="240" w:lineRule="auto"/>
        <w:rPr>
          <w:rFonts w:ascii="黑体" w:eastAsia="黑体"/>
          <w:sz w:val="28"/>
          <w:szCs w:val="28"/>
        </w:rPr>
      </w:pPr>
    </w:p>
    <w:p>
      <w:pPr>
        <w:pStyle w:val="37"/>
        <w:adjustRightInd w:val="0"/>
        <w:snapToGrid w:val="0"/>
        <w:spacing w:before="0" w:line="240" w:lineRule="auto"/>
        <w:rPr>
          <w:rFonts w:ascii="黑体" w:eastAsia="黑体"/>
          <w:sz w:val="28"/>
          <w:szCs w:val="28"/>
        </w:rPr>
      </w:pPr>
    </w:p>
    <w:p>
      <w:pPr>
        <w:pStyle w:val="37"/>
        <w:adjustRightInd w:val="0"/>
        <w:snapToGrid w:val="0"/>
        <w:spacing w:before="0" w:line="240" w:lineRule="auto"/>
        <w:rPr>
          <w:rFonts w:ascii="黑体" w:eastAsia="黑体"/>
          <w:sz w:val="28"/>
          <w:szCs w:val="28"/>
        </w:rPr>
      </w:pPr>
    </w:p>
    <w:p>
      <w:pPr>
        <w:pStyle w:val="37"/>
        <w:adjustRightInd w:val="0"/>
        <w:snapToGrid w:val="0"/>
        <w:spacing w:before="0" w:line="240" w:lineRule="auto"/>
        <w:rPr>
          <w:rFonts w:ascii="黑体" w:eastAsia="黑体"/>
          <w:sz w:val="28"/>
          <w:szCs w:val="28"/>
        </w:rPr>
      </w:pPr>
    </w:p>
    <w:p>
      <w:pPr>
        <w:pStyle w:val="37"/>
        <w:adjustRightInd w:val="0"/>
        <w:snapToGrid w:val="0"/>
        <w:spacing w:before="0" w:line="240" w:lineRule="auto"/>
        <w:rPr>
          <w:rFonts w:ascii="黑体" w:eastAsia="黑体"/>
          <w:sz w:val="28"/>
          <w:szCs w:val="28"/>
        </w:rPr>
      </w:pPr>
    </w:p>
    <w:p>
      <w:pPr>
        <w:pStyle w:val="37"/>
        <w:adjustRightInd w:val="0"/>
        <w:snapToGrid w:val="0"/>
        <w:spacing w:before="0" w:line="240" w:lineRule="auto"/>
        <w:rPr>
          <w:rFonts w:ascii="黑体" w:eastAsia="黑体"/>
          <w:sz w:val="28"/>
          <w:szCs w:val="28"/>
        </w:rPr>
      </w:pPr>
    </w:p>
    <w:p>
      <w:pPr>
        <w:pStyle w:val="37"/>
        <w:adjustRightInd w:val="0"/>
        <w:snapToGrid w:val="0"/>
        <w:spacing w:before="0" w:line="240" w:lineRule="auto"/>
        <w:rPr>
          <w:rFonts w:ascii="黑体" w:eastAsia="黑体"/>
          <w:sz w:val="28"/>
          <w:szCs w:val="28"/>
        </w:rPr>
      </w:pPr>
    </w:p>
    <w:p>
      <w:pPr>
        <w:pStyle w:val="37"/>
        <w:adjustRightInd w:val="0"/>
        <w:snapToGrid w:val="0"/>
        <w:spacing w:before="0" w:line="240" w:lineRule="auto"/>
        <w:rPr>
          <w:rFonts w:ascii="黑体" w:eastAsia="黑体"/>
          <w:sz w:val="28"/>
          <w:szCs w:val="28"/>
        </w:rPr>
      </w:pPr>
    </w:p>
    <w:p>
      <w:pPr>
        <w:pStyle w:val="37"/>
        <w:adjustRightInd w:val="0"/>
        <w:snapToGrid w:val="0"/>
        <w:spacing w:before="0" w:line="240" w:lineRule="auto"/>
        <w:rPr>
          <w:rFonts w:ascii="黑体" w:eastAsia="黑体"/>
          <w:sz w:val="28"/>
          <w:szCs w:val="28"/>
        </w:rPr>
      </w:pPr>
    </w:p>
    <w:p>
      <w:pPr>
        <w:pStyle w:val="37"/>
        <w:adjustRightInd w:val="0"/>
        <w:snapToGrid w:val="0"/>
        <w:spacing w:before="0" w:line="240" w:lineRule="auto"/>
        <w:rPr>
          <w:rFonts w:ascii="黑体" w:eastAsia="黑体"/>
          <w:sz w:val="28"/>
          <w:szCs w:val="28"/>
        </w:rPr>
      </w:pPr>
    </w:p>
    <w:p>
      <w:pPr>
        <w:pStyle w:val="37"/>
        <w:adjustRightInd w:val="0"/>
        <w:snapToGrid w:val="0"/>
        <w:spacing w:before="0" w:line="240" w:lineRule="auto"/>
        <w:rPr>
          <w:rFonts w:ascii="黑体" w:eastAsia="黑体"/>
          <w:sz w:val="28"/>
          <w:szCs w:val="28"/>
        </w:rPr>
      </w:pPr>
    </w:p>
    <w:p>
      <w:pPr>
        <w:pStyle w:val="37"/>
        <w:adjustRightInd w:val="0"/>
        <w:snapToGrid w:val="0"/>
        <w:spacing w:before="0" w:line="240" w:lineRule="auto"/>
        <w:rPr>
          <w:rFonts w:ascii="黑体" w:eastAsia="黑体"/>
          <w:sz w:val="28"/>
          <w:szCs w:val="28"/>
        </w:rPr>
      </w:pPr>
    </w:p>
    <w:p>
      <w:pPr>
        <w:pStyle w:val="37"/>
        <w:adjustRightInd w:val="0"/>
        <w:snapToGrid w:val="0"/>
        <w:spacing w:before="0" w:line="240" w:lineRule="auto"/>
        <w:rPr>
          <w:rFonts w:ascii="黑体" w:eastAsia="黑体"/>
          <w:sz w:val="28"/>
          <w:szCs w:val="28"/>
        </w:rPr>
      </w:pPr>
      <w:r>
        <w:rPr>
          <w:rFonts w:hint="eastAsia" w:ascii="黑体" w:eastAsia="黑体"/>
          <w:sz w:val="28"/>
          <w:szCs w:val="28"/>
        </w:rPr>
        <w:t>拟薄水铝石分析方法</w:t>
      </w:r>
    </w:p>
    <w:p>
      <w:pPr>
        <w:pStyle w:val="37"/>
        <w:adjustRightInd w:val="0"/>
        <w:snapToGrid w:val="0"/>
        <w:spacing w:before="0" w:line="240" w:lineRule="auto"/>
        <w:rPr>
          <w:rFonts w:ascii="黑体" w:eastAsia="黑体"/>
          <w:sz w:val="28"/>
          <w:szCs w:val="28"/>
        </w:rPr>
      </w:pPr>
      <w:r>
        <w:rPr>
          <w:rFonts w:hint="eastAsia" w:ascii="黑体" w:eastAsia="黑体"/>
          <w:sz w:val="28"/>
          <w:szCs w:val="28"/>
        </w:rPr>
        <w:t>第4部分：氧化钠的测定</w:t>
      </w:r>
    </w:p>
    <w:p>
      <w:pPr>
        <w:pStyle w:val="37"/>
        <w:adjustRightInd w:val="0"/>
        <w:snapToGrid w:val="0"/>
        <w:spacing w:before="0" w:line="240" w:lineRule="auto"/>
        <w:rPr>
          <w:rFonts w:ascii="黑体" w:eastAsia="黑体"/>
          <w:sz w:val="28"/>
          <w:szCs w:val="28"/>
        </w:rPr>
      </w:pPr>
    </w:p>
    <w:p>
      <w:pPr>
        <w:snapToGrid w:val="0"/>
        <w:jc w:val="center"/>
        <w:rPr>
          <w:rFonts w:ascii="黑体" w:eastAsia="黑体" w:cs="黑体"/>
        </w:rPr>
      </w:pPr>
      <w:r>
        <w:rPr>
          <w:rFonts w:hint="eastAsia" w:ascii="黑体" w:eastAsia="黑体" w:cs="黑体"/>
        </w:rPr>
        <w:t xml:space="preserve">    </w:t>
      </w:r>
      <w:r>
        <w:rPr>
          <w:rFonts w:ascii="黑体" w:eastAsia="黑体" w:cs="黑体"/>
        </w:rPr>
        <w:t>警告</w:t>
      </w:r>
      <w:r>
        <w:rPr>
          <w:rFonts w:hint="eastAsia" w:ascii="黑体" w:eastAsia="黑体" w:cs="黑体"/>
        </w:rPr>
        <w:t>—使用本文件的人员应有正规实验室工作的实践经验。本文件并未指出所有可能的安全问题。使用者有责任采取适当的安全和健康措施，并保证符合国家有关法规规定的条件。</w:t>
      </w:r>
    </w:p>
    <w:p>
      <w:pPr>
        <w:snapToGrid w:val="0"/>
        <w:ind w:firstLine="352" w:firstLineChars="167"/>
        <w:rPr>
          <w:rFonts w:ascii="宋体" w:hAnsi="宋体"/>
          <w:b/>
          <w:szCs w:val="21"/>
        </w:rPr>
      </w:pPr>
      <w:r>
        <w:rPr>
          <w:rFonts w:hint="eastAsia" w:ascii="宋体" w:hAnsi="宋体"/>
          <w:b/>
          <w:szCs w:val="21"/>
        </w:rPr>
        <w:t>警示</w:t>
      </w:r>
      <w:r>
        <w:rPr>
          <w:rFonts w:hint="eastAsia" w:ascii="黑体" w:eastAsia="黑体" w:cs="黑体"/>
        </w:rPr>
        <w:t>—配制硫酸要求带眼镜，建议带手套。溶解样品时需加小心。</w:t>
      </w:r>
    </w:p>
    <w:p>
      <w:pPr>
        <w:pStyle w:val="37"/>
        <w:adjustRightInd w:val="0"/>
        <w:snapToGrid w:val="0"/>
        <w:spacing w:before="0" w:line="240" w:lineRule="auto"/>
        <w:rPr>
          <w:rFonts w:ascii="黑体" w:eastAsia="黑体"/>
          <w:sz w:val="21"/>
          <w:szCs w:val="21"/>
        </w:rPr>
      </w:pPr>
    </w:p>
    <w:p>
      <w:pPr>
        <w:snapToGrid w:val="0"/>
        <w:spacing w:before="120" w:after="120" w:line="340" w:lineRule="atLeast"/>
        <w:rPr>
          <w:rFonts w:ascii="黑体" w:eastAsia="黑体"/>
        </w:rPr>
      </w:pPr>
      <w:r>
        <w:rPr>
          <w:rFonts w:hint="eastAsia" w:ascii="黑体" w:eastAsia="黑体"/>
        </w:rPr>
        <w:t>1  范围</w:t>
      </w:r>
    </w:p>
    <w:p>
      <w:pPr>
        <w:ind w:firstLine="420" w:firstLineChars="200"/>
        <w:rPr>
          <w:rFonts w:ascii="宋体" w:hAnsi="宋体"/>
          <w:color w:val="000000"/>
        </w:rPr>
      </w:pPr>
      <w:r>
        <w:rPr>
          <w:rFonts w:ascii="宋体" w:hAnsi="宋体"/>
        </w:rPr>
        <w:t>本文件规定了</w:t>
      </w:r>
      <w:r>
        <w:rPr>
          <w:rFonts w:hint="eastAsia" w:ascii="宋体" w:hAnsi="宋体"/>
        </w:rPr>
        <w:t>拟薄水铝石中氧化钠含量的测定方法</w:t>
      </w:r>
      <w:r>
        <w:rPr>
          <w:rFonts w:hint="eastAsia" w:ascii="宋体" w:hAnsi="宋体"/>
          <w:color w:val="000000"/>
        </w:rPr>
        <w:t>。</w:t>
      </w:r>
    </w:p>
    <w:p>
      <w:pPr>
        <w:snapToGrid w:val="0"/>
        <w:spacing w:line="340" w:lineRule="atLeast"/>
        <w:ind w:firstLine="420"/>
        <w:rPr>
          <w:color w:val="000000"/>
        </w:rPr>
      </w:pPr>
      <w:r>
        <w:rPr>
          <w:rFonts w:ascii="宋体" w:hAnsi="宋体"/>
        </w:rPr>
        <w:t>本文件适用于</w:t>
      </w:r>
      <w:r>
        <w:rPr>
          <w:rFonts w:hint="eastAsia" w:ascii="宋体" w:hAnsi="宋体"/>
          <w:color w:val="000000"/>
        </w:rPr>
        <w:t>拟薄水铝石中氧化钠含量的测定。测定范围：</w:t>
      </w:r>
      <w:r>
        <w:rPr>
          <w:rFonts w:hint="eastAsia"/>
          <w:color w:val="000000"/>
        </w:rPr>
        <w:t>0.04%</w:t>
      </w:r>
      <w:r>
        <w:rPr>
          <w:color w:val="000000"/>
        </w:rPr>
        <w:t>～</w:t>
      </w:r>
      <w:r>
        <w:rPr>
          <w:rFonts w:hint="eastAsia"/>
          <w:color w:val="000000"/>
        </w:rPr>
        <w:t>0.40%。</w:t>
      </w:r>
      <w:r>
        <w:rPr>
          <w:color w:val="000000"/>
        </w:rPr>
        <w:t xml:space="preserve"> </w:t>
      </w:r>
      <w:r>
        <w:rPr>
          <w:rFonts w:hint="eastAsia"/>
          <w:color w:val="000000"/>
        </w:rPr>
        <w:t xml:space="preserve"> </w:t>
      </w:r>
    </w:p>
    <w:p>
      <w:pPr>
        <w:pStyle w:val="2"/>
        <w:spacing w:beforeLines="50" w:afterLines="50"/>
        <w:ind w:firstLine="0" w:firstLineChars="0"/>
        <w:rPr>
          <w:rFonts w:ascii="黑体" w:hAnsi="黑体" w:eastAsia="黑体"/>
        </w:rPr>
      </w:pPr>
      <w:r>
        <w:rPr>
          <w:rFonts w:hint="eastAsia" w:ascii="黑体" w:hAnsi="黑体" w:eastAsia="黑体"/>
        </w:rPr>
        <w:t>2  规范性引用文件</w:t>
      </w:r>
    </w:p>
    <w:p>
      <w:pPr>
        <w:ind w:firstLine="420" w:firstLineChars="200"/>
        <w:rPr>
          <w:rFonts w:asciiTheme="minorEastAsia" w:hAnsiTheme="minorEastAsia"/>
        </w:rPr>
      </w:pPr>
      <w:r>
        <w:rPr>
          <w:rFonts w:hint="eastAsia" w:asciiTheme="minorEastAsia" w:hAnsiTheme="minorEastAsia"/>
        </w:rPr>
        <w:t>下列文件对于本文件的应用是必不可少的。凡是注日期的引用文件，仅注日期的版本适用于本文件。凡是不注日期的引用文件，其最新版本（包括所有的修改单）适用于本文件。</w:t>
      </w:r>
    </w:p>
    <w:p>
      <w:pPr>
        <w:ind w:firstLine="420" w:firstLineChars="200"/>
        <w:rPr>
          <w:rFonts w:asciiTheme="minorEastAsia" w:hAnsiTheme="minorEastAsia"/>
        </w:rPr>
      </w:pPr>
      <w:r>
        <w:rPr>
          <w:rFonts w:hint="eastAsia" w:asciiTheme="minorEastAsia" w:hAnsiTheme="minorEastAsia"/>
          <w:bCs/>
        </w:rPr>
        <w:t>GB/T 6682 分析实验室用水规格和试验方法</w:t>
      </w:r>
    </w:p>
    <w:p>
      <w:pPr>
        <w:ind w:firstLine="420" w:firstLineChars="200"/>
        <w:rPr>
          <w:rFonts w:asciiTheme="minorEastAsia" w:hAnsiTheme="minorEastAsia"/>
        </w:rPr>
      </w:pPr>
      <w:r>
        <w:rPr>
          <w:rFonts w:hint="eastAsia" w:asciiTheme="minorEastAsia" w:hAnsiTheme="minorEastAsia"/>
        </w:rPr>
        <w:t>GB/T 8170  数值修约规则与极限数值的表示和判断</w:t>
      </w:r>
    </w:p>
    <w:p>
      <w:pPr>
        <w:snapToGrid w:val="0"/>
        <w:spacing w:before="120" w:after="120" w:line="340" w:lineRule="atLeast"/>
        <w:rPr>
          <w:rFonts w:ascii="黑体" w:eastAsia="黑体"/>
        </w:rPr>
      </w:pPr>
      <w:r>
        <w:rPr>
          <w:rFonts w:hint="eastAsia" w:ascii="黑体" w:eastAsia="黑体"/>
        </w:rPr>
        <w:t>3  术语和定义</w:t>
      </w:r>
    </w:p>
    <w:p>
      <w:pPr>
        <w:ind w:firstLine="405"/>
        <w:rPr>
          <w:rFonts w:asciiTheme="minorEastAsia" w:hAnsiTheme="minorEastAsia" w:eastAsiaTheme="minorEastAsia"/>
        </w:rPr>
      </w:pPr>
      <w:r>
        <w:rPr>
          <w:rFonts w:hint="eastAsia"/>
        </w:rPr>
        <w:t>本文件没有需要界定的术语和定义。</w:t>
      </w:r>
    </w:p>
    <w:p>
      <w:pPr>
        <w:snapToGrid w:val="0"/>
        <w:spacing w:before="120" w:after="120" w:line="340" w:lineRule="atLeast"/>
        <w:rPr>
          <w:rFonts w:ascii="黑体" w:eastAsia="黑体"/>
        </w:rPr>
      </w:pPr>
      <w:r>
        <w:rPr>
          <w:rFonts w:hint="eastAsia" w:ascii="黑体" w:eastAsia="黑体"/>
        </w:rPr>
        <w:t>4  原理</w:t>
      </w:r>
    </w:p>
    <w:p>
      <w:pPr>
        <w:pStyle w:val="2"/>
      </w:pPr>
      <w:r>
        <w:rPr>
          <w:rFonts w:hint="eastAsia"/>
          <w:color w:val="auto"/>
          <w:kern w:val="0"/>
          <w:szCs w:val="20"/>
        </w:rPr>
        <w:t>试样用稀硫酸溶解。在稀硫酸介质中，采用基体匹配工作曲线法在火焰光度计于波长589.0</w:t>
      </w:r>
      <w:r>
        <w:rPr>
          <w:color w:val="auto"/>
          <w:kern w:val="0"/>
          <w:szCs w:val="20"/>
        </w:rPr>
        <w:t xml:space="preserve"> </w:t>
      </w:r>
      <w:r>
        <w:rPr>
          <w:rFonts w:hint="eastAsia"/>
          <w:color w:val="auto"/>
          <w:kern w:val="0"/>
          <w:szCs w:val="20"/>
        </w:rPr>
        <w:t>nm处测量钠的吸光度，通过工作曲线计算氧化钠含量。</w:t>
      </w:r>
    </w:p>
    <w:p>
      <w:pPr>
        <w:snapToGrid w:val="0"/>
        <w:spacing w:before="120" w:after="120" w:line="340" w:lineRule="atLeast"/>
        <w:rPr>
          <w:rFonts w:ascii="黑体" w:eastAsia="黑体"/>
        </w:rPr>
      </w:pPr>
      <w:r>
        <w:rPr>
          <w:rFonts w:hint="eastAsia" w:ascii="黑体" w:eastAsia="黑体"/>
        </w:rPr>
        <w:t>5  试剂或材料</w:t>
      </w:r>
    </w:p>
    <w:p>
      <w:pPr>
        <w:pStyle w:val="2"/>
        <w:ind w:firstLine="0" w:firstLineChars="0"/>
        <w:rPr>
          <w:color w:val="auto"/>
          <w:kern w:val="0"/>
          <w:szCs w:val="20"/>
        </w:rPr>
      </w:pPr>
      <w:r>
        <w:rPr>
          <w:rFonts w:hint="eastAsia"/>
          <w:color w:val="auto"/>
          <w:kern w:val="0"/>
          <w:szCs w:val="20"/>
        </w:rPr>
        <w:t xml:space="preserve">   除非另有说明，在分析中仅使用确认为分析纯的试剂和实验室二级水。</w:t>
      </w:r>
    </w:p>
    <w:p>
      <w:pPr>
        <w:pStyle w:val="2"/>
        <w:ind w:firstLine="0" w:firstLineChars="0"/>
        <w:rPr>
          <w:rFonts w:asciiTheme="minorEastAsia" w:hAnsiTheme="minorEastAsia"/>
          <w:szCs w:val="21"/>
        </w:rPr>
      </w:pPr>
      <w:r>
        <w:rPr>
          <w:rFonts w:hint="eastAsia" w:ascii="黑体" w:hAnsi="黑体" w:eastAsia="黑体"/>
          <w:color w:val="auto"/>
          <w:kern w:val="0"/>
          <w:szCs w:val="20"/>
        </w:rPr>
        <w:t xml:space="preserve">5.1  </w:t>
      </w:r>
      <w:r>
        <w:rPr>
          <w:rFonts w:hint="eastAsia" w:asciiTheme="minorEastAsia" w:hAnsiTheme="minorEastAsia"/>
          <w:szCs w:val="21"/>
        </w:rPr>
        <w:t>铝丝（</w:t>
      </w:r>
      <w:r>
        <w:rPr>
          <w:rFonts w:hint="eastAsia" w:asciiTheme="minorEastAsia" w:hAnsiTheme="minorEastAsia"/>
          <w:i/>
          <w:szCs w:val="21"/>
        </w:rPr>
        <w:t>w</w:t>
      </w:r>
      <w:r>
        <w:rPr>
          <w:rFonts w:hint="eastAsia" w:asciiTheme="minorEastAsia" w:hAnsiTheme="minorEastAsia"/>
          <w:szCs w:val="21"/>
          <w:vertAlign w:val="subscript"/>
        </w:rPr>
        <w:t>AL</w:t>
      </w:r>
      <w:r>
        <w:rPr>
          <w:rFonts w:hint="eastAsia" w:asciiTheme="minorEastAsia" w:hAnsiTheme="minorEastAsia"/>
          <w:szCs w:val="21"/>
        </w:rPr>
        <w:t>≥99.99%，</w:t>
      </w:r>
      <w:r>
        <w:rPr>
          <w:rFonts w:hint="eastAsia" w:asciiTheme="minorEastAsia" w:hAnsiTheme="minorEastAsia"/>
          <w:i/>
          <w:szCs w:val="21"/>
        </w:rPr>
        <w:t>w</w:t>
      </w:r>
      <w:r>
        <w:rPr>
          <w:rFonts w:hint="eastAsia" w:asciiTheme="minorEastAsia" w:hAnsiTheme="minorEastAsia"/>
          <w:szCs w:val="21"/>
          <w:vertAlign w:val="subscript"/>
        </w:rPr>
        <w:t>Na</w:t>
      </w:r>
      <w:r>
        <w:rPr>
          <w:rFonts w:hint="eastAsia" w:asciiTheme="minorEastAsia" w:hAnsiTheme="minorEastAsia"/>
          <w:szCs w:val="21"/>
        </w:rPr>
        <w:t>≤</w:t>
      </w:r>
      <w:r>
        <w:rPr>
          <w:rFonts w:asciiTheme="minorEastAsia" w:hAnsiTheme="minorEastAsia"/>
          <w:szCs w:val="21"/>
        </w:rPr>
        <w:t>0.00</w:t>
      </w:r>
      <w:r>
        <w:rPr>
          <w:rFonts w:hint="eastAsia" w:asciiTheme="minorEastAsia" w:hAnsiTheme="minorEastAsia"/>
          <w:szCs w:val="21"/>
        </w:rPr>
        <w:t>10</w:t>
      </w:r>
      <w:r>
        <w:rPr>
          <w:rFonts w:asciiTheme="minorEastAsia" w:hAnsiTheme="minorEastAsia"/>
          <w:szCs w:val="21"/>
        </w:rPr>
        <w:t>%</w:t>
      </w:r>
      <w:r>
        <w:rPr>
          <w:rFonts w:hint="eastAsia" w:asciiTheme="minorEastAsia" w:hAnsiTheme="minorEastAsia"/>
          <w:szCs w:val="21"/>
        </w:rPr>
        <w:t>）：用稀盐酸和酒精清洗2次后，经110℃烘干。</w:t>
      </w:r>
    </w:p>
    <w:p>
      <w:pPr>
        <w:pStyle w:val="2"/>
        <w:ind w:firstLine="0" w:firstLineChars="0"/>
        <w:rPr>
          <w:rFonts w:asciiTheme="minorEastAsia" w:hAnsiTheme="minorEastAsia"/>
          <w:szCs w:val="21"/>
        </w:rPr>
      </w:pPr>
      <w:r>
        <w:rPr>
          <w:rFonts w:hint="eastAsia" w:ascii="黑体" w:hAnsi="黑体" w:eastAsia="黑体"/>
          <w:szCs w:val="21"/>
        </w:rPr>
        <w:t xml:space="preserve">5.2  </w:t>
      </w:r>
      <w:r>
        <w:rPr>
          <w:rFonts w:hint="eastAsia" w:asciiTheme="minorEastAsia" w:hAnsiTheme="minorEastAsia"/>
          <w:szCs w:val="21"/>
        </w:rPr>
        <w:t>氯化钠:基准氯化钠置于铂坩锅中，于 500℃灼烧 2h，置于干燥器中冷却至室温。</w:t>
      </w:r>
    </w:p>
    <w:p>
      <w:pPr>
        <w:pStyle w:val="2"/>
        <w:ind w:firstLine="0" w:firstLineChars="0"/>
      </w:pPr>
      <w:r>
        <w:rPr>
          <w:rFonts w:hint="eastAsia" w:ascii="黑体" w:hAnsi="黑体" w:eastAsia="黑体"/>
          <w:szCs w:val="21"/>
        </w:rPr>
        <w:t>5.3</w:t>
      </w:r>
      <w:r>
        <w:rPr>
          <w:rFonts w:hint="eastAsia" w:asciiTheme="minorEastAsia" w:hAnsiTheme="minorEastAsia"/>
          <w:szCs w:val="21"/>
        </w:rPr>
        <w:t xml:space="preserve">  </w:t>
      </w:r>
      <w:r>
        <w:t>硫酸(ρ=1.84 g/mL)</w:t>
      </w:r>
      <w:r>
        <w:rPr>
          <w:rFonts w:hint="eastAsia"/>
        </w:rPr>
        <w:t xml:space="preserve"> 。</w:t>
      </w:r>
    </w:p>
    <w:p>
      <w:pPr>
        <w:pStyle w:val="2"/>
        <w:ind w:firstLine="0" w:firstLineChars="0"/>
      </w:pPr>
      <w:r>
        <w:rPr>
          <w:rFonts w:hint="eastAsia" w:ascii="黑体" w:hAnsi="黑体" w:eastAsia="黑体"/>
          <w:szCs w:val="21"/>
        </w:rPr>
        <w:t>5.4</w:t>
      </w:r>
      <w:r>
        <w:rPr>
          <w:rFonts w:hint="eastAsia"/>
        </w:rPr>
        <w:t xml:space="preserve">  硫酸（1+5）。</w:t>
      </w:r>
    </w:p>
    <w:p>
      <w:pPr>
        <w:pStyle w:val="2"/>
        <w:ind w:firstLine="0" w:firstLineChars="0"/>
      </w:pPr>
      <w:r>
        <w:rPr>
          <w:rFonts w:hint="eastAsia" w:ascii="黑体" w:hAnsi="黑体" w:eastAsia="黑体"/>
          <w:szCs w:val="21"/>
        </w:rPr>
        <w:t>5.5</w:t>
      </w:r>
      <w:r>
        <w:rPr>
          <w:rFonts w:hint="eastAsia"/>
        </w:rPr>
        <w:t xml:space="preserve">  铝基体溶液：称取21.1765g铝丝（5.1）于2000mL烧杯中，加入200mL左右水，然后加入126mL硫酸（5.3），于低温处溶解至澄清。转入1000mL容量瓶中，稀释至刻度混匀。</w:t>
      </w:r>
      <w:r>
        <w:t>贮存于聚乙烯瓶中。此溶液lmL含</w:t>
      </w:r>
      <w:r>
        <w:rPr>
          <w:rFonts w:hint="eastAsia"/>
        </w:rPr>
        <w:t>40</w:t>
      </w:r>
      <w:r>
        <w:t>mg氧化铝</w:t>
      </w:r>
      <w:r>
        <w:rPr>
          <w:rFonts w:hint="eastAsia"/>
        </w:rPr>
        <w:t>。</w:t>
      </w:r>
    </w:p>
    <w:p>
      <w:pPr>
        <w:pStyle w:val="2"/>
        <w:ind w:firstLine="0" w:firstLineChars="0"/>
        <w:rPr>
          <w:rFonts w:ascii="黑体" w:hAnsi="黑体" w:eastAsia="黑体"/>
          <w:color w:val="auto"/>
          <w:kern w:val="0"/>
          <w:szCs w:val="21"/>
        </w:rPr>
      </w:pPr>
      <w:r>
        <w:rPr>
          <w:rFonts w:hint="eastAsia" w:ascii="黑体" w:hAnsi="黑体" w:eastAsia="黑体"/>
          <w:szCs w:val="21"/>
        </w:rPr>
        <w:t>5.6</w:t>
      </w:r>
      <w:r>
        <w:rPr>
          <w:rFonts w:hint="eastAsia"/>
        </w:rPr>
        <w:t xml:space="preserve">  </w:t>
      </w:r>
      <w:r>
        <w:t>氧化钠标准贮存溶液:称取</w:t>
      </w:r>
      <w:r>
        <w:rPr>
          <w:rFonts w:hint="eastAsia"/>
        </w:rPr>
        <w:t>1.8859</w:t>
      </w:r>
      <w:r>
        <w:t xml:space="preserve"> g氯化钠(</w:t>
      </w:r>
      <w:r>
        <w:rPr>
          <w:rFonts w:hint="eastAsia"/>
        </w:rPr>
        <w:t>5.2</w:t>
      </w:r>
      <w:r>
        <w:t>)于100 m</w:t>
      </w:r>
      <w:r>
        <w:rPr>
          <w:rFonts w:hint="eastAsia"/>
        </w:rPr>
        <w:t>L</w:t>
      </w:r>
      <w:r>
        <w:t>烧杯中，用水溶解</w:t>
      </w:r>
      <w:r>
        <w:rPr>
          <w:rFonts w:hint="eastAsia"/>
        </w:rPr>
        <w:t>后</w:t>
      </w:r>
      <w:r>
        <w:t>，移</w:t>
      </w:r>
      <w:r>
        <w:rPr>
          <w:rFonts w:hint="eastAsia"/>
        </w:rPr>
        <w:t xml:space="preserve">入1000 </w:t>
      </w:r>
      <w:r>
        <w:t>m</w:t>
      </w:r>
      <w:r>
        <w:rPr>
          <w:rFonts w:hint="eastAsia"/>
        </w:rPr>
        <w:t>L</w:t>
      </w:r>
      <w:r>
        <w:t>容量瓶中，用水稀释至刻度，混匀，贮存于聚乙烯瓶中。此溶液1</w:t>
      </w:r>
      <w:r>
        <w:rPr>
          <w:rFonts w:hint="eastAsia"/>
        </w:rPr>
        <w:t xml:space="preserve"> </w:t>
      </w:r>
      <w:r>
        <w:t>m</w:t>
      </w:r>
      <w:r>
        <w:rPr>
          <w:rFonts w:hint="eastAsia"/>
        </w:rPr>
        <w:t>L</w:t>
      </w:r>
      <w:r>
        <w:t>含</w:t>
      </w:r>
      <w:r>
        <w:rPr>
          <w:rFonts w:hint="eastAsia"/>
        </w:rPr>
        <w:t xml:space="preserve">1.0 </w:t>
      </w:r>
      <w:r>
        <w:t>mg氧化钠。</w:t>
      </w:r>
    </w:p>
    <w:p>
      <w:pPr>
        <w:snapToGrid w:val="0"/>
        <w:spacing w:before="120" w:after="120" w:line="340" w:lineRule="atLeast"/>
        <w:rPr>
          <w:rFonts w:ascii="黑体" w:eastAsia="黑体"/>
        </w:rPr>
      </w:pPr>
      <w:r>
        <w:rPr>
          <w:rFonts w:hint="eastAsia" w:ascii="黑体" w:eastAsia="黑体"/>
        </w:rPr>
        <w:t>6  仪器设备</w:t>
      </w:r>
    </w:p>
    <w:p>
      <w:pPr>
        <w:snapToGrid w:val="0"/>
        <w:ind w:right="26" w:firstLine="420" w:firstLineChars="200"/>
        <w:rPr>
          <w:rFonts w:ascii="黑体" w:eastAsia="黑体"/>
          <w:color w:val="000000"/>
          <w:szCs w:val="21"/>
        </w:rPr>
      </w:pPr>
      <w:r>
        <w:rPr>
          <w:rFonts w:hint="eastAsia" w:ascii="宋体" w:hAnsi="宋体"/>
          <w:color w:val="000000"/>
        </w:rPr>
        <w:t>火焰光度计。</w:t>
      </w:r>
    </w:p>
    <w:p>
      <w:pPr>
        <w:adjustRightInd w:val="0"/>
        <w:snapToGrid w:val="0"/>
        <w:spacing w:beforeLines="50" w:afterLines="50"/>
        <w:rPr>
          <w:rFonts w:ascii="黑体" w:hAnsi="宋体" w:eastAsia="黑体"/>
          <w:bCs/>
        </w:rPr>
      </w:pPr>
      <w:r>
        <w:rPr>
          <w:rFonts w:hint="eastAsia" w:ascii="黑体" w:hAnsi="宋体" w:eastAsia="黑体"/>
          <w:bCs/>
        </w:rPr>
        <w:t>7</w:t>
      </w:r>
      <w:r>
        <w:rPr>
          <w:rFonts w:ascii="黑体" w:hAnsi="宋体" w:eastAsia="黑体"/>
          <w:bCs/>
        </w:rPr>
        <w:t xml:space="preserve">  </w:t>
      </w:r>
      <w:r>
        <w:rPr>
          <w:rFonts w:hint="eastAsia" w:ascii="黑体" w:hAnsi="宋体" w:eastAsia="黑体"/>
          <w:bCs/>
        </w:rPr>
        <w:t>样品</w:t>
      </w:r>
    </w:p>
    <w:p>
      <w:pPr>
        <w:autoSpaceDE w:val="0"/>
        <w:autoSpaceDN w:val="0"/>
        <w:adjustRightInd w:val="0"/>
        <w:snapToGrid w:val="0"/>
        <w:ind w:firstLine="420" w:firstLineChars="200"/>
        <w:rPr>
          <w:rFonts w:ascii="宋体" w:hAnsi="宋体"/>
          <w:szCs w:val="21"/>
        </w:rPr>
      </w:pPr>
      <w:r>
        <w:rPr>
          <w:rFonts w:hint="eastAsia"/>
        </w:rPr>
        <w:t>样品应在105℃～115℃烘箱内烘干2h，并置于干燥器中冷却至室温备用。</w:t>
      </w:r>
    </w:p>
    <w:p>
      <w:pPr>
        <w:adjustRightInd w:val="0"/>
        <w:snapToGrid w:val="0"/>
        <w:spacing w:beforeLines="50" w:afterLines="50"/>
        <w:rPr>
          <w:rFonts w:ascii="黑体" w:hAnsi="宋体" w:eastAsia="黑体"/>
          <w:bCs/>
        </w:rPr>
      </w:pPr>
      <w:r>
        <w:rPr>
          <w:rFonts w:hint="eastAsia" w:ascii="黑体" w:hAnsi="宋体" w:eastAsia="黑体"/>
          <w:bCs/>
        </w:rPr>
        <w:t>8  试验步骤</w:t>
      </w:r>
    </w:p>
    <w:p>
      <w:pPr>
        <w:adjustRightInd w:val="0"/>
        <w:snapToGrid w:val="0"/>
        <w:rPr>
          <w:rFonts w:ascii="黑体" w:hAnsi="宋体" w:eastAsia="黑体"/>
        </w:rPr>
      </w:pPr>
      <w:r>
        <w:rPr>
          <w:rFonts w:hint="eastAsia" w:ascii="黑体" w:hAnsi="宋体" w:eastAsia="黑体"/>
        </w:rPr>
        <w:t>8.1 试料</w:t>
      </w:r>
    </w:p>
    <w:p>
      <w:pPr>
        <w:adjustRightInd w:val="0"/>
        <w:snapToGrid w:val="0"/>
        <w:ind w:firstLine="420" w:firstLineChars="200"/>
        <w:rPr>
          <w:rFonts w:asciiTheme="minorEastAsia" w:hAnsiTheme="minorEastAsia" w:eastAsiaTheme="minorEastAsia"/>
        </w:rPr>
      </w:pPr>
      <w:r>
        <w:rPr>
          <w:rFonts w:hint="eastAsia" w:asciiTheme="minorEastAsia" w:hAnsiTheme="minorEastAsia" w:eastAsiaTheme="minorEastAsia"/>
        </w:rPr>
        <w:t>取0.50g样品（7），精确至0.0001g。</w:t>
      </w:r>
    </w:p>
    <w:p>
      <w:pPr>
        <w:adjustRightInd w:val="0"/>
        <w:snapToGrid w:val="0"/>
        <w:rPr>
          <w:rFonts w:ascii="黑体" w:hAnsi="宋体" w:eastAsia="黑体"/>
        </w:rPr>
      </w:pPr>
      <w:r>
        <w:rPr>
          <w:rFonts w:hint="eastAsia" w:ascii="黑体" w:hAnsi="宋体" w:eastAsia="黑体"/>
        </w:rPr>
        <w:t>8.2 平行试验</w:t>
      </w:r>
    </w:p>
    <w:p>
      <w:pPr>
        <w:ind w:left="420" w:leftChars="200"/>
        <w:rPr>
          <w:rFonts w:ascii="黑体" w:hAnsi="宋体" w:eastAsia="黑体"/>
        </w:rPr>
      </w:pPr>
      <w:r>
        <w:rPr>
          <w:rFonts w:hint="eastAsia" w:ascii="宋体" w:hAnsi="宋体"/>
        </w:rPr>
        <w:t>平行做两份试验，取其平均值。</w:t>
      </w:r>
    </w:p>
    <w:p>
      <w:pPr>
        <w:ind w:left="420" w:hanging="420" w:hangingChars="200"/>
        <w:rPr>
          <w:rFonts w:ascii="黑体" w:hAnsi="宋体" w:eastAsia="黑体"/>
          <w:bCs/>
        </w:rPr>
      </w:pPr>
      <w:r>
        <w:rPr>
          <w:rFonts w:hint="eastAsia" w:ascii="黑体" w:hAnsi="宋体" w:eastAsia="黑体"/>
        </w:rPr>
        <w:t>8</w:t>
      </w:r>
      <w:r>
        <w:rPr>
          <w:rFonts w:hint="eastAsia" w:ascii="黑体" w:hAnsi="宋体" w:eastAsia="黑体"/>
          <w:bCs/>
        </w:rPr>
        <w:t>.3 空白试验</w:t>
      </w:r>
    </w:p>
    <w:p>
      <w:pPr>
        <w:ind w:left="420" w:leftChars="200"/>
        <w:rPr>
          <w:rFonts w:ascii="黑体" w:hAnsi="宋体" w:eastAsia="黑体"/>
        </w:rPr>
      </w:pPr>
      <w:r>
        <w:rPr>
          <w:rFonts w:hint="eastAsia" w:ascii="宋体" w:hAnsi="宋体"/>
        </w:rPr>
        <w:t>称取0.2118g铝丝（5.1）代替试料（8.1），随同试料做空白试验。</w:t>
      </w:r>
    </w:p>
    <w:p>
      <w:pPr>
        <w:ind w:left="420" w:hanging="420" w:hangingChars="200"/>
        <w:rPr>
          <w:rFonts w:ascii="黑体" w:hAnsi="宋体" w:eastAsia="黑体"/>
        </w:rPr>
      </w:pPr>
      <w:r>
        <w:rPr>
          <w:rFonts w:hint="eastAsia" w:ascii="黑体" w:hAnsi="宋体" w:eastAsia="黑体"/>
        </w:rPr>
        <w:t>8.4 测定</w:t>
      </w:r>
    </w:p>
    <w:p>
      <w:pPr>
        <w:snapToGrid w:val="0"/>
        <w:ind w:right="26"/>
        <w:rPr>
          <w:rFonts w:ascii="宋体" w:hAnsi="宋体"/>
        </w:rPr>
      </w:pPr>
      <w:r>
        <w:rPr>
          <w:rFonts w:hint="eastAsia" w:ascii="黑体" w:hAnsi="宋体" w:eastAsia="黑体"/>
        </w:rPr>
        <w:t>8.4</w:t>
      </w:r>
      <w:r>
        <w:rPr>
          <w:rFonts w:hint="eastAsia" w:ascii="黑体" w:hAnsi="黑体" w:eastAsia="黑体"/>
        </w:rPr>
        <w:t>.1</w:t>
      </w:r>
      <w:r>
        <w:rPr>
          <w:rFonts w:hint="eastAsia" w:ascii="宋体" w:hAnsi="宋体"/>
        </w:rPr>
        <w:t>将试料（8.1）置于50mL的烧杯中。以少许水润湿，加入8mL硫酸（5.4），盖上表皿，置于电热板低温处加热溶解，煮沸至澄清后，用水吹洗表皿和杯壁，再次煮沸。取下冷却至室温，移入100mL容量瓶中，用水稀释至刻度，混匀。</w:t>
      </w:r>
      <w:r>
        <w:rPr>
          <w:rFonts w:ascii="宋体" w:hAnsi="宋体"/>
        </w:rPr>
        <w:t xml:space="preserve"> </w:t>
      </w:r>
    </w:p>
    <w:p>
      <w:pPr>
        <w:rPr>
          <w:rFonts w:ascii="宋体" w:hAnsi="宋体"/>
        </w:rPr>
      </w:pPr>
      <w:r>
        <w:rPr>
          <w:rFonts w:hint="eastAsia" w:ascii="黑体" w:hAnsi="宋体" w:eastAsia="黑体"/>
        </w:rPr>
        <w:t>8.4</w:t>
      </w:r>
      <w:r>
        <w:rPr>
          <w:rFonts w:hint="eastAsia" w:ascii="黑体" w:hAnsi="黑体" w:eastAsia="黑体"/>
        </w:rPr>
        <w:t>.2</w:t>
      </w:r>
      <w:r>
        <w:rPr>
          <w:rFonts w:hint="eastAsia" w:ascii="宋体" w:hAnsi="宋体"/>
        </w:rPr>
        <w:t>在火焰光度计上，于589.0</w:t>
      </w:r>
      <w:r>
        <w:rPr>
          <w:rFonts w:ascii="宋体" w:hAnsi="宋体"/>
        </w:rPr>
        <w:t xml:space="preserve"> </w:t>
      </w:r>
      <w:r>
        <w:rPr>
          <w:rFonts w:hint="eastAsia" w:ascii="宋体" w:hAnsi="宋体"/>
        </w:rPr>
        <w:t>nm波长处，以水调零，于系列标准溶液平行，测量钠的吸光度，减去随同试料空白试验的吸光度。从工作曲线上分别查出相应的氧化钠的质量浓度。</w:t>
      </w:r>
    </w:p>
    <w:p>
      <w:pPr>
        <w:ind w:left="420" w:hanging="420" w:hangingChars="200"/>
        <w:rPr>
          <w:rFonts w:ascii="黑体" w:hAnsi="宋体" w:eastAsia="黑体"/>
        </w:rPr>
      </w:pPr>
      <w:r>
        <w:rPr>
          <w:rFonts w:hint="eastAsia" w:ascii="黑体" w:hAnsi="宋体" w:eastAsia="黑体"/>
        </w:rPr>
        <w:t>8.5 工作曲线的绘制</w:t>
      </w:r>
    </w:p>
    <w:p>
      <w:pPr>
        <w:adjustRightInd w:val="0"/>
        <w:snapToGrid w:val="0"/>
      </w:pPr>
      <w:r>
        <w:rPr>
          <w:rFonts w:hint="eastAsia" w:ascii="黑体" w:hAnsi="宋体" w:eastAsia="黑体"/>
        </w:rPr>
        <w:t>8.5.1</w:t>
      </w:r>
      <w:r>
        <w:rPr>
          <w:rFonts w:hint="eastAsia" w:ascii="宋体" w:hAnsi="宋体"/>
        </w:rPr>
        <w:t>移取0.00mL、0.20 mL、0.50 mL、1.00 mL、2.00 mL氧化钠标准溶液（5.6），置于一组</w:t>
      </w:r>
      <w:r>
        <w:t>已加</w:t>
      </w:r>
      <w:r>
        <w:rPr>
          <w:rFonts w:hint="eastAsia"/>
        </w:rPr>
        <w:t>入10</w:t>
      </w:r>
      <w:r>
        <w:t>. 0</w:t>
      </w:r>
      <w:r>
        <w:rPr>
          <w:rFonts w:hint="eastAsia"/>
        </w:rPr>
        <w:t>0</w:t>
      </w:r>
      <w:r>
        <w:t xml:space="preserve"> mL铝基体(</w:t>
      </w:r>
      <w:r>
        <w:rPr>
          <w:rFonts w:hint="eastAsia"/>
        </w:rPr>
        <w:t>5.5</w:t>
      </w:r>
      <w:r>
        <w:t>)的</w:t>
      </w:r>
      <w:r>
        <w:rPr>
          <w:rFonts w:hint="eastAsia" w:ascii="宋体" w:hAnsi="宋体"/>
        </w:rPr>
        <w:t>100mL</w:t>
      </w:r>
      <w:r>
        <w:t>容量瓶中，用水稀释至刻度，</w:t>
      </w:r>
      <w:r>
        <w:rPr>
          <w:rFonts w:hint="eastAsia"/>
        </w:rPr>
        <w:t>混匀</w:t>
      </w:r>
      <w:r>
        <w:t>，贮存于聚乙烯瓶中。</w:t>
      </w:r>
    </w:p>
    <w:p>
      <w:pPr>
        <w:adjustRightInd w:val="0"/>
        <w:snapToGrid w:val="0"/>
        <w:rPr>
          <w:rFonts w:ascii="宋体" w:hAnsi="宋体"/>
        </w:rPr>
      </w:pPr>
      <w:r>
        <w:rPr>
          <w:rFonts w:hint="eastAsia" w:ascii="黑体" w:hAnsi="宋体" w:eastAsia="黑体"/>
        </w:rPr>
        <w:t>8.5.2</w:t>
      </w:r>
      <w:r>
        <w:rPr>
          <w:rFonts w:hint="eastAsia" w:ascii="宋体" w:hAnsi="宋体"/>
        </w:rPr>
        <w:t>在与测量试液（</w:t>
      </w:r>
      <w:r>
        <w:rPr>
          <w:rFonts w:ascii="宋体" w:hAnsi="宋体"/>
        </w:rPr>
        <w:t>8</w:t>
      </w:r>
      <w:r>
        <w:rPr>
          <w:rFonts w:hint="eastAsia" w:ascii="宋体" w:hAnsi="宋体"/>
        </w:rPr>
        <w:t>.4.</w:t>
      </w:r>
      <w:r>
        <w:rPr>
          <w:rFonts w:ascii="宋体" w:hAnsi="宋体"/>
        </w:rPr>
        <w:t>2</w:t>
      </w:r>
      <w:r>
        <w:rPr>
          <w:rFonts w:hint="eastAsia" w:ascii="宋体" w:hAnsi="宋体"/>
        </w:rPr>
        <w:t>）相同条件下，以水调零，测量系列标准溶液的吸光度，减去系列标准溶液中零浓度溶液的吸光度值，以氧化钠的质量浓度为横坐标，吸光度为纵坐标，绘制工作曲线。</w:t>
      </w:r>
    </w:p>
    <w:p>
      <w:pPr>
        <w:pStyle w:val="12"/>
        <w:numPr>
          <w:ilvl w:val="0"/>
          <w:numId w:val="0"/>
        </w:numPr>
        <w:spacing w:before="156" w:after="156"/>
        <w:rPr>
          <w:rFonts w:hAnsi="宋体"/>
        </w:rPr>
      </w:pPr>
      <w:r>
        <w:rPr>
          <w:rFonts w:hint="eastAsia" w:hAnsi="宋体"/>
          <w:bCs/>
        </w:rPr>
        <w:t xml:space="preserve">9  </w:t>
      </w:r>
      <w:r>
        <w:rPr>
          <w:rFonts w:hint="eastAsia" w:hAnsi="宋体"/>
        </w:rPr>
        <w:t>试验数据处理</w:t>
      </w:r>
    </w:p>
    <w:p>
      <w:pPr>
        <w:rPr>
          <w:rFonts w:eastAsiaTheme="minorEastAsia"/>
        </w:rPr>
      </w:pPr>
      <w:r>
        <w:rPr>
          <w:rFonts w:hint="eastAsia"/>
        </w:rPr>
        <w:t xml:space="preserve">   氧化钠含量以X的质量分数</w:t>
      </w:r>
      <w:r>
        <w:rPr>
          <w:rFonts w:hint="eastAsia" w:eastAsiaTheme="minorEastAsia"/>
          <w:i/>
          <w:iCs/>
        </w:rPr>
        <w:t>w</w:t>
      </w:r>
      <w:r>
        <w:rPr>
          <w:rFonts w:hint="eastAsia" w:eastAsiaTheme="minorEastAsia"/>
          <w:vertAlign w:val="subscript"/>
        </w:rPr>
        <w:t>Na2O</w:t>
      </w:r>
      <w:r>
        <w:rPr>
          <w:rFonts w:hint="eastAsia" w:eastAsiaTheme="minorEastAsia"/>
        </w:rPr>
        <w:t>计，按公式（1）计算：</w:t>
      </w:r>
    </w:p>
    <w:p>
      <w:pPr>
        <w:ind w:firstLine="2940" w:firstLineChars="1400"/>
        <w:rPr>
          <w:rFonts w:ascii="黑体" w:hAnsi="黑体" w:eastAsia="黑体"/>
        </w:rPr>
      </w:pPr>
      <w:r>
        <w:rPr>
          <w:rFonts w:ascii="宋体" w:hAnsi="宋体"/>
          <w:color w:val="FF0000"/>
          <w:position w:val="-24"/>
          <w:szCs w:val="22"/>
        </w:rPr>
        <w:object>
          <v:shape id="_x0000_i1025" o:spt="75" type="#_x0000_t75" style="height:31.5pt;width:160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rFonts w:eastAsia="黑体"/>
        </w:rPr>
        <w:t>…………………… (</w:t>
      </w:r>
      <w:r>
        <w:rPr>
          <w:rFonts w:hint="eastAsia" w:eastAsia="黑体"/>
        </w:rPr>
        <w:t>1</w:t>
      </w:r>
      <w:r>
        <w:rPr>
          <w:rFonts w:eastAsia="黑体"/>
        </w:rPr>
        <w:t>)</w:t>
      </w:r>
    </w:p>
    <w:p>
      <w:pPr>
        <w:rPr>
          <w:szCs w:val="21"/>
        </w:rPr>
      </w:pPr>
      <w:r>
        <w:rPr>
          <w:rFonts w:hint="eastAsia"/>
        </w:rPr>
        <w:t xml:space="preserve">    </w:t>
      </w:r>
      <w:r>
        <w:rPr>
          <w:szCs w:val="21"/>
        </w:rPr>
        <w:t>式中：</w:t>
      </w:r>
    </w:p>
    <w:p>
      <w:pPr>
        <w:ind w:firstLine="420" w:firstLineChars="200"/>
        <w:rPr>
          <w:szCs w:val="21"/>
        </w:rPr>
      </w:pPr>
      <w:r>
        <w:rPr>
          <w:i/>
        </w:rPr>
        <w:t>ρ</w:t>
      </w:r>
      <w:r>
        <w:rPr>
          <w:rFonts w:hint="eastAsia"/>
          <w:i/>
          <w:vertAlign w:val="subscript"/>
        </w:rPr>
        <w:t>1</w:t>
      </w:r>
      <w:r>
        <w:rPr>
          <w:rFonts w:hint="eastAsia"/>
          <w:szCs w:val="21"/>
        </w:rPr>
        <w:t>——从工作曲线上查得的试液中钠的质量浓度</w:t>
      </w:r>
      <w:r>
        <w:rPr>
          <w:szCs w:val="21"/>
        </w:rPr>
        <w:t>，</w:t>
      </w:r>
      <w:r>
        <w:rPr>
          <w:rFonts w:hint="eastAsia"/>
          <w:szCs w:val="21"/>
        </w:rPr>
        <w:t>单位为微克每毫升（</w:t>
      </w:r>
      <w:r>
        <w:rPr>
          <w:szCs w:val="21"/>
        </w:rPr>
        <w:t>μg/mL</w:t>
      </w:r>
      <w:r>
        <w:rPr>
          <w:rFonts w:hint="eastAsia"/>
          <w:szCs w:val="21"/>
        </w:rPr>
        <w:t>）</w:t>
      </w:r>
      <w:r>
        <w:rPr>
          <w:szCs w:val="21"/>
        </w:rPr>
        <w:t>；</w:t>
      </w:r>
    </w:p>
    <w:p>
      <w:pPr>
        <w:ind w:firstLine="420" w:firstLineChars="200"/>
        <w:rPr>
          <w:szCs w:val="21"/>
        </w:rPr>
      </w:pPr>
      <w:r>
        <w:rPr>
          <w:i/>
        </w:rPr>
        <w:t>ρ</w:t>
      </w:r>
      <w:r>
        <w:rPr>
          <w:rFonts w:hint="eastAsia"/>
          <w:i/>
          <w:vertAlign w:val="subscript"/>
        </w:rPr>
        <w:t>0</w:t>
      </w:r>
      <w:r>
        <w:rPr>
          <w:rFonts w:hint="eastAsia"/>
          <w:szCs w:val="21"/>
        </w:rPr>
        <w:t>——从工作曲线上查得的空白溶液中钠的质量浓度</w:t>
      </w:r>
      <w:r>
        <w:rPr>
          <w:szCs w:val="21"/>
        </w:rPr>
        <w:t>，</w:t>
      </w:r>
      <w:r>
        <w:rPr>
          <w:rFonts w:hint="eastAsia"/>
          <w:szCs w:val="21"/>
        </w:rPr>
        <w:t>单位为微克每毫升（</w:t>
      </w:r>
      <w:r>
        <w:rPr>
          <w:szCs w:val="21"/>
        </w:rPr>
        <w:t>μg/mL</w:t>
      </w:r>
      <w:r>
        <w:rPr>
          <w:rFonts w:hint="eastAsia"/>
          <w:szCs w:val="21"/>
        </w:rPr>
        <w:t>）</w:t>
      </w:r>
      <w:r>
        <w:rPr>
          <w:szCs w:val="21"/>
        </w:rPr>
        <w:t>；</w:t>
      </w:r>
    </w:p>
    <w:p>
      <w:pPr>
        <w:tabs>
          <w:tab w:val="center" w:pos="4366"/>
        </w:tabs>
        <w:ind w:firstLine="420" w:firstLineChars="200"/>
        <w:rPr>
          <w:szCs w:val="21"/>
        </w:rPr>
      </w:pPr>
      <w:r>
        <w:rPr>
          <w:rFonts w:hint="eastAsia"/>
          <w:i/>
          <w:szCs w:val="21"/>
        </w:rPr>
        <w:t>V</w:t>
      </w:r>
      <w:r>
        <w:rPr>
          <w:rFonts w:hint="eastAsia"/>
          <w:szCs w:val="21"/>
        </w:rPr>
        <w:t>——试液体积，单位为毫升（mL）；</w:t>
      </w:r>
    </w:p>
    <w:p>
      <w:pPr>
        <w:tabs>
          <w:tab w:val="center" w:pos="4366"/>
        </w:tabs>
        <w:ind w:firstLine="420" w:firstLineChars="200"/>
        <w:rPr>
          <w:szCs w:val="21"/>
        </w:rPr>
      </w:pPr>
      <w:r>
        <w:rPr>
          <w:i/>
          <w:szCs w:val="21"/>
        </w:rPr>
        <w:t>m</w:t>
      </w:r>
      <w:r>
        <w:rPr>
          <w:rFonts w:hint="eastAsia"/>
          <w:szCs w:val="21"/>
        </w:rPr>
        <w:t>——</w:t>
      </w:r>
      <w:r>
        <w:rPr>
          <w:szCs w:val="21"/>
        </w:rPr>
        <w:t>试样的质量，</w:t>
      </w:r>
      <w:r>
        <w:rPr>
          <w:rFonts w:hint="eastAsia"/>
          <w:szCs w:val="21"/>
        </w:rPr>
        <w:t>单位为克（</w:t>
      </w:r>
      <w:r>
        <w:rPr>
          <w:szCs w:val="21"/>
        </w:rPr>
        <w:t>g</w:t>
      </w:r>
      <w:r>
        <w:rPr>
          <w:rFonts w:hint="eastAsia"/>
          <w:szCs w:val="21"/>
        </w:rPr>
        <w:t>）</w:t>
      </w:r>
      <w:r>
        <w:rPr>
          <w:szCs w:val="21"/>
        </w:rPr>
        <w:t>。</w:t>
      </w:r>
    </w:p>
    <w:p>
      <w:pPr>
        <w:ind w:firstLine="420" w:firstLineChars="200"/>
        <w:rPr>
          <w:sz w:val="30"/>
          <w:szCs w:val="30"/>
        </w:rPr>
      </w:pPr>
      <w:r>
        <w:rPr>
          <w:rFonts w:hint="eastAsia" w:hAnsi="宋体" w:cs="宋体"/>
          <w:szCs w:val="21"/>
        </w:rPr>
        <w:t>计算结果保留小数点后三位。数值修约按</w:t>
      </w:r>
      <w:r>
        <w:rPr>
          <w:rFonts w:hint="eastAsia" w:ascii="宋体" w:hAnsi="宋体"/>
          <w:bCs/>
          <w:szCs w:val="21"/>
        </w:rPr>
        <w:t>GB/T 8170规定执行。</w:t>
      </w:r>
    </w:p>
    <w:p>
      <w:pPr>
        <w:rPr>
          <w:rFonts w:hAnsi="宋体"/>
        </w:rPr>
      </w:pPr>
      <w:r>
        <w:rPr>
          <w:rFonts w:hint="eastAsia" w:hAnsi="宋体"/>
        </w:rPr>
        <w:t>10  精密度</w:t>
      </w:r>
    </w:p>
    <w:p>
      <w:pPr>
        <w:rPr>
          <w:rFonts w:ascii="黑体" w:hAnsi="黑体" w:eastAsia="黑体"/>
        </w:rPr>
      </w:pPr>
      <w:r>
        <w:rPr>
          <w:rFonts w:hint="eastAsia" w:ascii="黑体" w:hAnsi="黑体" w:eastAsia="黑体"/>
        </w:rPr>
        <w:t>10.1  重复性</w:t>
      </w:r>
    </w:p>
    <w:p>
      <w:pPr>
        <w:ind w:firstLine="420" w:firstLineChars="200"/>
        <w:jc w:val="center"/>
        <w:rPr>
          <w:rFonts w:hint="eastAsia" w:asciiTheme="minorEastAsia" w:hAnsiTheme="minorEastAsia"/>
          <w:szCs w:val="21"/>
        </w:rPr>
      </w:pPr>
      <w:r>
        <w:rPr>
          <w:rFonts w:hint="eastAsia" w:asciiTheme="minorEastAsia" w:hAnsiTheme="minorEastAsia"/>
          <w:szCs w:val="21"/>
        </w:rPr>
        <w:t>在同一实验室，由同一操作者使用相同设备，按相同的测试方法，并在短时间内对同一被测对象相互独立进行测试获得的两次测试结果的绝对差值不超过重复性限（r），超过重复性限（r）的情况不超过5%，重复性限（r）按表1数据采用线性内插法或外延法求得。</w:t>
      </w:r>
    </w:p>
    <w:p>
      <w:pPr>
        <w:ind w:firstLine="420" w:firstLineChars="200"/>
        <w:jc w:val="center"/>
        <w:rPr>
          <w:rFonts w:ascii="黑体" w:hAnsi="黑体" w:eastAsia="黑体"/>
          <w:kern w:val="0"/>
          <w:szCs w:val="20"/>
        </w:rPr>
      </w:pPr>
      <w:r>
        <w:rPr>
          <w:rFonts w:hint="eastAsia" w:ascii="黑体" w:hAnsi="黑体" w:eastAsia="黑体"/>
          <w:kern w:val="0"/>
          <w:szCs w:val="20"/>
        </w:rPr>
        <w:t>表1  重复性限</w:t>
      </w:r>
    </w:p>
    <w:tbl>
      <w:tblPr>
        <w:tblStyle w:val="8"/>
        <w:tblW w:w="4971"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2662"/>
        <w:gridCol w:w="2125"/>
        <w:gridCol w:w="1842"/>
        <w:gridCol w:w="184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71" w:type="pct"/>
            <w:tcBorders>
              <w:top w:val="single" w:color="auto" w:sz="12" w:space="0"/>
              <w:left w:val="single" w:color="auto" w:sz="12" w:space="0"/>
              <w:bottom w:val="single" w:color="auto" w:sz="4" w:space="0"/>
              <w:right w:val="single" w:color="auto" w:sz="6" w:space="0"/>
            </w:tcBorders>
            <w:vAlign w:val="center"/>
          </w:tcPr>
          <w:p>
            <w:pPr>
              <w:jc w:val="center"/>
              <w:rPr>
                <w:sz w:val="18"/>
              </w:rPr>
            </w:pPr>
            <w:r>
              <w:rPr>
                <w:rFonts w:hint="eastAsia"/>
                <w:iCs/>
                <w:sz w:val="18"/>
              </w:rPr>
              <w:t>氧化钠的质量分数/</w:t>
            </w:r>
            <w:r>
              <w:rPr>
                <w:rFonts w:hint="eastAsia"/>
                <w:sz w:val="18"/>
              </w:rPr>
              <w:t>%</w:t>
            </w:r>
          </w:p>
        </w:tc>
        <w:tc>
          <w:tcPr>
            <w:tcW w:w="1254" w:type="pct"/>
            <w:tcBorders>
              <w:top w:val="single" w:color="auto" w:sz="12" w:space="0"/>
              <w:left w:val="single" w:color="auto" w:sz="6" w:space="0"/>
              <w:bottom w:val="single" w:color="auto" w:sz="6" w:space="0"/>
              <w:right w:val="single" w:color="auto" w:sz="6" w:space="0"/>
            </w:tcBorders>
            <w:vAlign w:val="center"/>
          </w:tcPr>
          <w:p>
            <w:pPr>
              <w:jc w:val="center"/>
              <w:rPr>
                <w:sz w:val="18"/>
              </w:rPr>
            </w:pPr>
            <w:r>
              <w:rPr>
                <w:rFonts w:hint="eastAsia"/>
                <w:sz w:val="18"/>
              </w:rPr>
              <w:t>0.041</w:t>
            </w:r>
          </w:p>
        </w:tc>
        <w:tc>
          <w:tcPr>
            <w:tcW w:w="1087" w:type="pct"/>
            <w:tcBorders>
              <w:top w:val="single" w:color="auto" w:sz="12" w:space="0"/>
              <w:left w:val="single" w:color="auto" w:sz="6" w:space="0"/>
              <w:bottom w:val="single" w:color="auto" w:sz="6" w:space="0"/>
              <w:right w:val="single" w:color="auto" w:sz="6" w:space="0"/>
            </w:tcBorders>
            <w:vAlign w:val="center"/>
          </w:tcPr>
          <w:p>
            <w:pPr>
              <w:jc w:val="center"/>
              <w:rPr>
                <w:sz w:val="18"/>
              </w:rPr>
            </w:pPr>
            <w:r>
              <w:rPr>
                <w:rFonts w:hint="eastAsia"/>
                <w:sz w:val="18"/>
              </w:rPr>
              <w:t>0.141</w:t>
            </w:r>
          </w:p>
        </w:tc>
        <w:tc>
          <w:tcPr>
            <w:tcW w:w="1088" w:type="pct"/>
            <w:tcBorders>
              <w:top w:val="single" w:color="auto" w:sz="12" w:space="0"/>
              <w:left w:val="single" w:color="auto" w:sz="6" w:space="0"/>
              <w:bottom w:val="single" w:color="auto" w:sz="6" w:space="0"/>
              <w:right w:val="single" w:color="auto" w:sz="12" w:space="0"/>
            </w:tcBorders>
            <w:vAlign w:val="center"/>
          </w:tcPr>
          <w:p>
            <w:pPr>
              <w:jc w:val="center"/>
              <w:rPr>
                <w:sz w:val="18"/>
              </w:rPr>
            </w:pPr>
            <w:r>
              <w:rPr>
                <w:rFonts w:hint="eastAsia"/>
                <w:sz w:val="18"/>
              </w:rPr>
              <w:t>0.241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71" w:type="pct"/>
            <w:tcBorders>
              <w:top w:val="single" w:color="auto" w:sz="4" w:space="0"/>
              <w:left w:val="single" w:color="auto" w:sz="12" w:space="0"/>
              <w:bottom w:val="single" w:color="auto" w:sz="12" w:space="0"/>
              <w:right w:val="single" w:color="auto" w:sz="6" w:space="0"/>
            </w:tcBorders>
            <w:vAlign w:val="center"/>
          </w:tcPr>
          <w:p>
            <w:pPr>
              <w:jc w:val="center"/>
              <w:rPr>
                <w:sz w:val="18"/>
              </w:rPr>
            </w:pPr>
            <w:r>
              <w:rPr>
                <w:rFonts w:hint="eastAsia" w:asciiTheme="minorEastAsia" w:hAnsiTheme="minorEastAsia"/>
                <w:szCs w:val="21"/>
              </w:rPr>
              <w:t>r/%</w:t>
            </w:r>
          </w:p>
        </w:tc>
        <w:tc>
          <w:tcPr>
            <w:tcW w:w="1254" w:type="pct"/>
            <w:tcBorders>
              <w:top w:val="single" w:color="auto" w:sz="6" w:space="0"/>
              <w:left w:val="single" w:color="auto" w:sz="6" w:space="0"/>
              <w:bottom w:val="single" w:color="000000" w:sz="12" w:space="0"/>
              <w:right w:val="single" w:color="auto" w:sz="6" w:space="0"/>
            </w:tcBorders>
            <w:vAlign w:val="center"/>
          </w:tcPr>
          <w:p>
            <w:pPr>
              <w:jc w:val="center"/>
              <w:rPr>
                <w:sz w:val="18"/>
              </w:rPr>
            </w:pPr>
            <w:r>
              <w:rPr>
                <w:rFonts w:hint="eastAsia"/>
                <w:sz w:val="18"/>
              </w:rPr>
              <w:t>0.005</w:t>
            </w:r>
          </w:p>
        </w:tc>
        <w:tc>
          <w:tcPr>
            <w:tcW w:w="1087" w:type="pct"/>
            <w:tcBorders>
              <w:top w:val="single" w:color="auto" w:sz="6" w:space="0"/>
              <w:left w:val="single" w:color="auto" w:sz="6" w:space="0"/>
              <w:bottom w:val="single" w:color="000000" w:sz="12" w:space="0"/>
              <w:right w:val="single" w:color="auto" w:sz="6" w:space="0"/>
            </w:tcBorders>
            <w:vAlign w:val="center"/>
          </w:tcPr>
          <w:p>
            <w:pPr>
              <w:jc w:val="center"/>
              <w:rPr>
                <w:sz w:val="18"/>
              </w:rPr>
            </w:pPr>
            <w:r>
              <w:rPr>
                <w:rFonts w:hint="eastAsia"/>
                <w:sz w:val="18"/>
              </w:rPr>
              <w:t>0.013</w:t>
            </w:r>
          </w:p>
        </w:tc>
        <w:tc>
          <w:tcPr>
            <w:tcW w:w="1088" w:type="pct"/>
            <w:tcBorders>
              <w:top w:val="single" w:color="auto" w:sz="6" w:space="0"/>
              <w:left w:val="single" w:color="auto" w:sz="6" w:space="0"/>
              <w:bottom w:val="single" w:color="000000" w:sz="12" w:space="0"/>
              <w:right w:val="single" w:color="auto" w:sz="12" w:space="0"/>
            </w:tcBorders>
            <w:vAlign w:val="center"/>
          </w:tcPr>
          <w:p>
            <w:pPr>
              <w:jc w:val="center"/>
              <w:rPr>
                <w:sz w:val="18"/>
              </w:rPr>
            </w:pPr>
            <w:r>
              <w:rPr>
                <w:rFonts w:hint="eastAsia"/>
                <w:sz w:val="18"/>
              </w:rPr>
              <w:t>0.015</w:t>
            </w:r>
          </w:p>
        </w:tc>
      </w:tr>
    </w:tbl>
    <w:p>
      <w:pPr>
        <w:jc w:val="left"/>
      </w:pPr>
      <w:r>
        <w:rPr>
          <w:rFonts w:hint="eastAsia" w:ascii="黑体" w:hAnsi="黑体" w:eastAsia="黑体"/>
        </w:rPr>
        <w:t>10.2  允许差</w:t>
      </w:r>
    </w:p>
    <w:p>
      <w:pPr>
        <w:ind w:firstLine="420" w:firstLineChars="200"/>
        <w:rPr>
          <w:rFonts w:asciiTheme="minorEastAsia" w:hAnsiTheme="minorEastAsia"/>
          <w:szCs w:val="21"/>
        </w:rPr>
      </w:pPr>
      <w:r>
        <w:rPr>
          <w:rFonts w:hint="eastAsia" w:asciiTheme="minorEastAsia" w:hAnsiTheme="minorEastAsia"/>
          <w:szCs w:val="21"/>
        </w:rPr>
        <w:t>实验室之间分析结果的差值不大于表1所列允许差。</w:t>
      </w:r>
    </w:p>
    <w:p>
      <w:pPr>
        <w:ind w:firstLine="420" w:firstLineChars="200"/>
        <w:jc w:val="center"/>
        <w:rPr>
          <w:rFonts w:ascii="黑体" w:hAnsi="黑体" w:eastAsia="黑体"/>
          <w:kern w:val="0"/>
          <w:szCs w:val="20"/>
        </w:rPr>
      </w:pPr>
      <w:r>
        <w:rPr>
          <w:rFonts w:hint="eastAsia" w:ascii="黑体" w:hAnsi="黑体" w:eastAsia="黑体"/>
          <w:kern w:val="0"/>
          <w:szCs w:val="20"/>
        </w:rPr>
        <w:t>表1  允许差</w:t>
      </w:r>
    </w:p>
    <w:tbl>
      <w:tblPr>
        <w:tblStyle w:val="8"/>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4261"/>
        <w:gridCol w:w="426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500" w:type="pct"/>
            <w:tcBorders>
              <w:top w:val="single" w:color="auto" w:sz="12" w:space="0"/>
              <w:left w:val="single" w:color="auto" w:sz="12" w:space="0"/>
              <w:bottom w:val="single" w:color="auto" w:sz="8" w:space="0"/>
              <w:right w:val="single" w:color="auto" w:sz="4" w:space="0"/>
            </w:tcBorders>
            <w:vAlign w:val="center"/>
          </w:tcPr>
          <w:p>
            <w:pPr>
              <w:jc w:val="center"/>
              <w:rPr>
                <w:sz w:val="18"/>
              </w:rPr>
            </w:pPr>
            <w:r>
              <w:rPr>
                <w:rFonts w:hint="eastAsia"/>
                <w:iCs/>
                <w:sz w:val="18"/>
              </w:rPr>
              <w:t>氧化钠的质量分数/</w:t>
            </w:r>
            <w:r>
              <w:rPr>
                <w:rFonts w:hint="eastAsia"/>
                <w:sz w:val="18"/>
              </w:rPr>
              <w:t>%</w:t>
            </w:r>
          </w:p>
        </w:tc>
        <w:tc>
          <w:tcPr>
            <w:tcW w:w="2500" w:type="pct"/>
            <w:tcBorders>
              <w:top w:val="single" w:color="auto" w:sz="12" w:space="0"/>
              <w:left w:val="single" w:color="auto" w:sz="4" w:space="0"/>
              <w:bottom w:val="single" w:color="auto" w:sz="8" w:space="0"/>
              <w:right w:val="single" w:color="auto" w:sz="12" w:space="0"/>
            </w:tcBorders>
            <w:vAlign w:val="center"/>
          </w:tcPr>
          <w:p>
            <w:pPr>
              <w:jc w:val="center"/>
              <w:rPr>
                <w:sz w:val="18"/>
              </w:rPr>
            </w:pPr>
            <w:r>
              <w:rPr>
                <w:rFonts w:hint="eastAsia"/>
                <w:sz w:val="18"/>
              </w:rPr>
              <w:t>允许差/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500" w:type="pct"/>
            <w:tcBorders>
              <w:top w:val="single" w:color="auto" w:sz="12" w:space="0"/>
              <w:left w:val="single" w:color="auto" w:sz="12" w:space="0"/>
              <w:bottom w:val="single" w:color="auto" w:sz="4" w:space="0"/>
              <w:right w:val="single" w:color="auto" w:sz="4" w:space="0"/>
            </w:tcBorders>
            <w:vAlign w:val="center"/>
          </w:tcPr>
          <w:p>
            <w:pPr>
              <w:jc w:val="center"/>
              <w:rPr>
                <w:sz w:val="18"/>
              </w:rPr>
            </w:pPr>
            <w:r>
              <w:rPr>
                <w:rFonts w:hint="eastAsia"/>
                <w:sz w:val="18"/>
              </w:rPr>
              <w:t>0.040~0.100</w:t>
            </w:r>
          </w:p>
        </w:tc>
        <w:tc>
          <w:tcPr>
            <w:tcW w:w="2500" w:type="pct"/>
            <w:tcBorders>
              <w:top w:val="single" w:color="auto" w:sz="12" w:space="0"/>
              <w:left w:val="single" w:color="auto" w:sz="4" w:space="0"/>
              <w:bottom w:val="single" w:color="auto" w:sz="4" w:space="0"/>
              <w:right w:val="single" w:color="auto" w:sz="12" w:space="0"/>
            </w:tcBorders>
            <w:vAlign w:val="center"/>
          </w:tcPr>
          <w:p>
            <w:pPr>
              <w:jc w:val="center"/>
              <w:rPr>
                <w:sz w:val="18"/>
              </w:rPr>
            </w:pPr>
            <w:r>
              <w:rPr>
                <w:rFonts w:hint="eastAsia"/>
                <w:sz w:val="18"/>
              </w:rPr>
              <w:t>0.010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500" w:type="pct"/>
            <w:tcBorders>
              <w:top w:val="single" w:color="auto" w:sz="4" w:space="0"/>
              <w:left w:val="single" w:color="auto" w:sz="12" w:space="0"/>
              <w:bottom w:val="single" w:color="auto" w:sz="12" w:space="0"/>
              <w:right w:val="single" w:color="auto" w:sz="4" w:space="0"/>
            </w:tcBorders>
            <w:vAlign w:val="center"/>
          </w:tcPr>
          <w:p>
            <w:pPr>
              <w:jc w:val="center"/>
              <w:rPr>
                <w:sz w:val="18"/>
              </w:rPr>
            </w:pPr>
            <w:r>
              <w:rPr>
                <w:rFonts w:hint="eastAsia"/>
                <w:sz w:val="18"/>
              </w:rPr>
              <w:t>＞0.010～0.400</w:t>
            </w:r>
          </w:p>
        </w:tc>
        <w:tc>
          <w:tcPr>
            <w:tcW w:w="2500" w:type="pct"/>
            <w:tcBorders>
              <w:top w:val="single" w:color="auto" w:sz="4" w:space="0"/>
              <w:left w:val="single" w:color="auto" w:sz="4" w:space="0"/>
              <w:right w:val="single" w:color="auto" w:sz="12" w:space="0"/>
            </w:tcBorders>
            <w:vAlign w:val="center"/>
          </w:tcPr>
          <w:p>
            <w:pPr>
              <w:jc w:val="center"/>
              <w:rPr>
                <w:sz w:val="18"/>
              </w:rPr>
            </w:pPr>
            <w:r>
              <w:rPr>
                <w:rFonts w:hint="eastAsia"/>
                <w:sz w:val="18"/>
              </w:rPr>
              <w:t>0.020</w:t>
            </w:r>
          </w:p>
        </w:tc>
      </w:tr>
    </w:tbl>
    <w:p>
      <w:pPr>
        <w:pStyle w:val="12"/>
        <w:numPr>
          <w:ilvl w:val="0"/>
          <w:numId w:val="0"/>
        </w:numPr>
        <w:spacing w:before="156" w:after="156"/>
        <w:rPr>
          <w:rFonts w:hAnsi="宋体"/>
        </w:rPr>
      </w:pPr>
      <w:r>
        <w:rPr>
          <w:rFonts w:hint="eastAsia" w:hAnsi="宋体"/>
        </w:rPr>
        <w:t>11  试验报告</w:t>
      </w:r>
    </w:p>
    <w:p>
      <w:pPr>
        <w:pStyle w:val="15"/>
        <w:ind w:firstLine="420"/>
        <w:rPr>
          <w:rFonts w:hAnsi="宋体"/>
        </w:rPr>
      </w:pPr>
      <w:r>
        <w:rPr>
          <w:rFonts w:hint="eastAsia" w:hAnsi="宋体"/>
        </w:rPr>
        <w:t>试验报告应包含以下几方面内容：</w:t>
      </w:r>
    </w:p>
    <w:p>
      <w:pPr>
        <w:pStyle w:val="15"/>
        <w:ind w:firstLine="420"/>
        <w:rPr>
          <w:rFonts w:hAnsi="宋体"/>
        </w:rPr>
      </w:pPr>
      <w:r>
        <w:rPr>
          <w:rFonts w:hAnsi="宋体"/>
        </w:rPr>
        <w:t>——试样；</w:t>
      </w:r>
    </w:p>
    <w:p>
      <w:pPr>
        <w:pStyle w:val="15"/>
        <w:ind w:firstLine="420"/>
        <w:rPr>
          <w:rFonts w:hAnsi="宋体"/>
        </w:rPr>
      </w:pPr>
      <w:r>
        <w:rPr>
          <w:rFonts w:hAnsi="宋体"/>
        </w:rPr>
        <w:t>——</w:t>
      </w:r>
      <w:r>
        <w:rPr>
          <w:rFonts w:hint="eastAsia" w:hAnsi="宋体"/>
        </w:rPr>
        <w:t>本文件</w:t>
      </w:r>
      <w:r>
        <w:rPr>
          <w:rFonts w:hAnsi="宋体"/>
        </w:rPr>
        <w:t>编号；</w:t>
      </w:r>
    </w:p>
    <w:p>
      <w:pPr>
        <w:pStyle w:val="15"/>
        <w:ind w:firstLine="420"/>
        <w:rPr>
          <w:rFonts w:hAnsi="宋体"/>
        </w:rPr>
      </w:pPr>
      <w:r>
        <w:rPr>
          <w:rFonts w:hAnsi="宋体"/>
        </w:rPr>
        <w:t>——分析结果及其表示；</w:t>
      </w:r>
    </w:p>
    <w:p>
      <w:pPr>
        <w:pStyle w:val="15"/>
        <w:ind w:firstLine="420"/>
        <w:rPr>
          <w:rFonts w:hAnsi="宋体"/>
        </w:rPr>
      </w:pPr>
      <w:r>
        <w:rPr>
          <w:rFonts w:hAnsi="宋体"/>
        </w:rPr>
        <w:t>——与基本分析步骤的差异；</w:t>
      </w:r>
    </w:p>
    <w:p>
      <w:pPr>
        <w:pStyle w:val="15"/>
        <w:ind w:firstLine="420"/>
        <w:rPr>
          <w:rFonts w:hAnsi="宋体"/>
        </w:rPr>
      </w:pPr>
      <w:r>
        <w:rPr>
          <w:rFonts w:hAnsi="宋体"/>
        </w:rPr>
        <w:t>——测定中观察到的异常现象；</w:t>
      </w:r>
    </w:p>
    <w:p>
      <w:pPr>
        <w:pStyle w:val="15"/>
        <w:ind w:firstLine="420"/>
        <w:rPr>
          <w:rFonts w:hAnsi="宋体"/>
        </w:rPr>
      </w:pPr>
      <w:r>
        <w:rPr>
          <w:rFonts w:hAnsi="宋体"/>
        </w:rPr>
        <w:t>——</w:t>
      </w:r>
      <w:r>
        <w:rPr>
          <w:rFonts w:hint="eastAsia" w:hAnsi="宋体"/>
        </w:rPr>
        <w:t>试验日期。</w:t>
      </w:r>
    </w:p>
    <w:p>
      <w:pPr>
        <w:pStyle w:val="15"/>
        <w:ind w:firstLine="420"/>
        <w:rPr>
          <w:rFonts w:hint="eastAsia" w:hAnsi="宋体"/>
        </w:rPr>
      </w:pPr>
    </w:p>
    <w:p>
      <w:pPr>
        <w:pStyle w:val="15"/>
        <w:ind w:firstLine="420"/>
        <w:rPr>
          <w:rFonts w:hint="eastAsia" w:hAnsi="宋体"/>
        </w:rPr>
      </w:pPr>
    </w:p>
    <w:p>
      <w:pPr>
        <w:pStyle w:val="15"/>
        <w:ind w:firstLine="420"/>
        <w:rPr>
          <w:rFonts w:hAnsi="宋体"/>
        </w:rPr>
      </w:pPr>
      <w:r>
        <w:rPr>
          <w:rFonts w:ascii="Times New Roman"/>
        </w:rPr>
        <mc:AlternateContent>
          <mc:Choice Requires="wps">
            <w:drawing>
              <wp:anchor distT="0" distB="0" distL="114300" distR="114300" simplePos="0" relativeHeight="251662336" behindDoc="0" locked="0" layoutInCell="1" allowOverlap="1">
                <wp:simplePos x="0" y="0"/>
                <wp:positionH relativeFrom="column">
                  <wp:posOffset>1895475</wp:posOffset>
                </wp:positionH>
                <wp:positionV relativeFrom="paragraph">
                  <wp:posOffset>414020</wp:posOffset>
                </wp:positionV>
                <wp:extent cx="1866900" cy="0"/>
                <wp:effectExtent l="0" t="8255" r="7620" b="14605"/>
                <wp:wrapNone/>
                <wp:docPr id="1" name="直线 14"/>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15875">
                          <a:solidFill>
                            <a:srgbClr val="000000"/>
                          </a:solidFill>
                          <a:round/>
                        </a:ln>
                        <a:effectLst/>
                      </wps:spPr>
                      <wps:bodyPr/>
                    </wps:wsp>
                  </a:graphicData>
                </a:graphic>
              </wp:anchor>
            </w:drawing>
          </mc:Choice>
          <mc:Fallback>
            <w:pict>
              <v:line id="直线 14" o:spid="_x0000_s1026" o:spt="20" style="position:absolute;left:0pt;margin-left:149.25pt;margin-top:32.6pt;height:0pt;width:147pt;z-index:251662336;mso-width-relative:page;mso-height-relative:page;" filled="f" stroked="t" coordsize="21600,21600" o:gfxdata="UEsDBAoAAAAAAIdO4kAAAAAAAAAAAAAAAAAEAAAAZHJzL1BLAwQUAAAACACHTuJAZ/GDU9cAAAAJ&#10;AQAADwAAAGRycy9kb3ducmV2LnhtbE2Py07DQAxF90j8w8hI7OikEekjZFKhSkhsKGrhA9yMm0Rk&#10;PFFm+ki/HiMWsPT10fVxsbq4Tp1oCK1nA9NJAoq48rbl2sDnx8vDAlSIyBY7z2RgpACr8vamwNz6&#10;M2/ptIu1khIOORpoYuxzrUPVkMMw8T2x7A5+cBhlHGptBzxLuet0miQz7bBludBgT+uGqq/d0RnY&#10;rv1m/tw/vr9u4tthfr2OVNWjMfd30+QJVKRL/IPhR1/UoRSnvT+yDaozkC4XmaAGZlkKSoBsmUqw&#10;/w10Wej/H5TfUEsDBBQAAAAIAIdO4kC8iXlMwgEAAGMDAAAOAAAAZHJzL2Uyb0RvYy54bWytU8GO&#10;0zAQvSPxD5bvNMmKLSVquoeulssClXb3A6aOk1jYHst2m/Zb+A1OXPic/Q3GblMWuCF6sGrPzJt5&#10;702WNwej2V76oNA2vJqVnEkrsFW2b/jT492bBWchgm1Bo5UNP8rAb1avXy1HV8srHFC30jMCsaEe&#10;XcOHGF1dFEEM0kCYoZOWgh16A5Guvi9aDyOhG11cleW8GNG3zqOQIdDr7SnIVxm/66SIn7suyMh0&#10;w2m2mE+fz206i9US6t6DG5Q4jwH/MIUBZanpBeoWIrCdV39BGSU8BuziTKApsOuUkJkDsanKP9g8&#10;DOBk5kLiBHeRKfw/WPFpv/FMteQdZxYMWfT89dvz9x+sepvEGV2oKWdtNz7REwf74O5RfAnM4noA&#10;28s85OPRUWWVKorfStIlOGqxHT9iSzmwi5iVOnTeJEjSgB2yIceLIfIQmaDHajGfvy/JNzHFCqin&#10;QudD/CDRsPSn4VrZpBXUsL8PMQ0C9ZSSni3eKa2z39qykcCvF++uc0VArdoUTXnB99u19mwPaWXy&#10;L9OiyMs0jzvbnrpom+pk3rZz64n2ScAttseNn7QhJ/Nw561Lq/LynhX89W2s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n8YNT1wAAAAkBAAAPAAAAAAAAAAEAIAAAACIAAABkcnMvZG93bnJldi54&#10;bWxQSwECFAAUAAAACACHTuJAvIl5TMIBAABjAwAADgAAAAAAAAABACAAAAAmAQAAZHJzL2Uyb0Rv&#10;Yy54bWxQSwUGAAAAAAYABgBZAQAAWgUAAAAA&#10;">
                <v:fill on="f" focussize="0,0"/>
                <v:stroke weight="1.25pt" color="#000000" joinstyle="round"/>
                <v:imagedata o:title=""/>
                <o:lock v:ext="edit" aspectratio="f"/>
              </v:line>
            </w:pict>
          </mc:Fallback>
        </mc:AlternateContent>
      </w:r>
    </w:p>
    <w:sectPr>
      <w:footerReference r:id="rId7"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Fonts w:hint="eastAsia"/>
      </w:rPr>
      <w:t>Ⅰ</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4663469"/>
      <w:docPartObj>
        <w:docPartGallery w:val="AutoText"/>
      </w:docPartObj>
    </w:sdtPr>
    <w:sdtContent>
      <w:p>
        <w:pPr>
          <w:pStyle w:val="6"/>
          <w:jc w:val="right"/>
        </w:pPr>
        <w:r>
          <w:fldChar w:fldCharType="begin"/>
        </w:r>
        <w:r>
          <w:instrText xml:space="preserve">PAGE   \* MERGEFORMAT</w:instrText>
        </w:r>
        <w:r>
          <w:fldChar w:fldCharType="separate"/>
        </w:r>
        <w:r>
          <w:rPr>
            <w:lang w:val="zh-CN"/>
          </w:rPr>
          <w:t>3</w:t>
        </w:r>
        <w:r>
          <w:rPr>
            <w:lang w:val="zh-CN"/>
          </w:rP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280"/>
      </w:tabs>
      <w:snapToGrid w:val="0"/>
      <w:ind w:right="26"/>
      <w:jc w:val="right"/>
      <w:rPr>
        <w:rFonts w:ascii="黑体" w:eastAsia="黑体"/>
        <w:color w:val="000000"/>
        <w:szCs w:val="21"/>
      </w:rPr>
    </w:pPr>
    <w:r>
      <w:rPr>
        <w:rFonts w:hint="eastAsia" w:ascii="黑体" w:eastAsia="黑体"/>
        <w:color w:val="000000"/>
        <w:szCs w:val="21"/>
      </w:rPr>
      <w:t>YS/T 1161.4—20xx</w:t>
    </w:r>
  </w:p>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280"/>
      </w:tabs>
      <w:snapToGrid w:val="0"/>
      <w:ind w:right="26"/>
      <w:jc w:val="right"/>
      <w:rPr>
        <w:rFonts w:ascii="黑体" w:eastAsia="黑体"/>
        <w:color w:val="000000"/>
        <w:szCs w:val="21"/>
      </w:rPr>
    </w:pPr>
    <w:r>
      <w:rPr>
        <w:rFonts w:hint="eastAsia" w:ascii="黑体" w:eastAsia="黑体"/>
        <w:color w:val="000000"/>
        <w:szCs w:val="21"/>
      </w:rPr>
      <w:t>YS/T 738.5—201X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A4874"/>
    <w:multiLevelType w:val="multilevel"/>
    <w:tmpl w:val="35CA4874"/>
    <w:lvl w:ilvl="0" w:tentative="0">
      <w:start w:val="4"/>
      <w:numFmt w:val="decimal"/>
      <w:lvlText w:val="%1"/>
      <w:lvlJc w:val="left"/>
      <w:pPr>
        <w:ind w:left="360" w:hanging="360"/>
      </w:pPr>
      <w:rPr>
        <w:rFonts w:hint="default"/>
      </w:rPr>
    </w:lvl>
    <w:lvl w:ilvl="1" w:tentative="0">
      <w:start w:val="3"/>
      <w:numFmt w:val="decimal"/>
      <w:pStyle w:val="12"/>
      <w:lvlText w:val="%1.%2"/>
      <w:lvlJc w:val="left"/>
      <w:pPr>
        <w:ind w:left="54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532"/>
    <w:rsid w:val="0001349E"/>
    <w:rsid w:val="00020B59"/>
    <w:rsid w:val="00027236"/>
    <w:rsid w:val="000321AA"/>
    <w:rsid w:val="00044C56"/>
    <w:rsid w:val="00045F20"/>
    <w:rsid w:val="000473F8"/>
    <w:rsid w:val="00063308"/>
    <w:rsid w:val="00080FC7"/>
    <w:rsid w:val="0008711C"/>
    <w:rsid w:val="000900CD"/>
    <w:rsid w:val="000932C3"/>
    <w:rsid w:val="000C61C6"/>
    <w:rsid w:val="000D2009"/>
    <w:rsid w:val="000D6D1F"/>
    <w:rsid w:val="000E1C49"/>
    <w:rsid w:val="000F5533"/>
    <w:rsid w:val="00114B5B"/>
    <w:rsid w:val="00134A12"/>
    <w:rsid w:val="00136DE6"/>
    <w:rsid w:val="00150297"/>
    <w:rsid w:val="001535B2"/>
    <w:rsid w:val="00164607"/>
    <w:rsid w:val="001646F3"/>
    <w:rsid w:val="00166785"/>
    <w:rsid w:val="00172A27"/>
    <w:rsid w:val="00174F0E"/>
    <w:rsid w:val="00176961"/>
    <w:rsid w:val="00176FFC"/>
    <w:rsid w:val="001862D5"/>
    <w:rsid w:val="001A63C1"/>
    <w:rsid w:val="001B660F"/>
    <w:rsid w:val="001D1933"/>
    <w:rsid w:val="001D25DC"/>
    <w:rsid w:val="001D27DE"/>
    <w:rsid w:val="00203836"/>
    <w:rsid w:val="00205F74"/>
    <w:rsid w:val="00210543"/>
    <w:rsid w:val="00210D65"/>
    <w:rsid w:val="00230A23"/>
    <w:rsid w:val="00233D5A"/>
    <w:rsid w:val="00262CE6"/>
    <w:rsid w:val="0026432F"/>
    <w:rsid w:val="00266889"/>
    <w:rsid w:val="00281EC4"/>
    <w:rsid w:val="002B2111"/>
    <w:rsid w:val="002B2E34"/>
    <w:rsid w:val="002B6A67"/>
    <w:rsid w:val="002C7834"/>
    <w:rsid w:val="002D6F85"/>
    <w:rsid w:val="002E4643"/>
    <w:rsid w:val="002E4C8F"/>
    <w:rsid w:val="002E5B31"/>
    <w:rsid w:val="002F02D3"/>
    <w:rsid w:val="00304083"/>
    <w:rsid w:val="00305AAD"/>
    <w:rsid w:val="00332CFC"/>
    <w:rsid w:val="00362660"/>
    <w:rsid w:val="00375164"/>
    <w:rsid w:val="00380B2D"/>
    <w:rsid w:val="003B2503"/>
    <w:rsid w:val="003C0C4A"/>
    <w:rsid w:val="003D58EE"/>
    <w:rsid w:val="003E7883"/>
    <w:rsid w:val="004077B3"/>
    <w:rsid w:val="00422922"/>
    <w:rsid w:val="00445209"/>
    <w:rsid w:val="00445F06"/>
    <w:rsid w:val="00447FA9"/>
    <w:rsid w:val="0046119B"/>
    <w:rsid w:val="0048791B"/>
    <w:rsid w:val="004905E7"/>
    <w:rsid w:val="00493FF7"/>
    <w:rsid w:val="004A1364"/>
    <w:rsid w:val="004A64EE"/>
    <w:rsid w:val="004B1899"/>
    <w:rsid w:val="004D43E7"/>
    <w:rsid w:val="004F4F60"/>
    <w:rsid w:val="00500E47"/>
    <w:rsid w:val="005148D4"/>
    <w:rsid w:val="00525659"/>
    <w:rsid w:val="00535834"/>
    <w:rsid w:val="0058239F"/>
    <w:rsid w:val="00587D96"/>
    <w:rsid w:val="005A1674"/>
    <w:rsid w:val="005A3190"/>
    <w:rsid w:val="005A3537"/>
    <w:rsid w:val="005A707C"/>
    <w:rsid w:val="005D66BF"/>
    <w:rsid w:val="005F7CA1"/>
    <w:rsid w:val="0060028F"/>
    <w:rsid w:val="00601B83"/>
    <w:rsid w:val="00610931"/>
    <w:rsid w:val="00612389"/>
    <w:rsid w:val="006176C3"/>
    <w:rsid w:val="00640C13"/>
    <w:rsid w:val="006445DC"/>
    <w:rsid w:val="00650FB2"/>
    <w:rsid w:val="006551EC"/>
    <w:rsid w:val="00661645"/>
    <w:rsid w:val="00674066"/>
    <w:rsid w:val="006D3F83"/>
    <w:rsid w:val="006E0777"/>
    <w:rsid w:val="006F3AD3"/>
    <w:rsid w:val="006F59CD"/>
    <w:rsid w:val="007063AE"/>
    <w:rsid w:val="007238D2"/>
    <w:rsid w:val="00732F8D"/>
    <w:rsid w:val="00745AC1"/>
    <w:rsid w:val="0075010B"/>
    <w:rsid w:val="00750BA3"/>
    <w:rsid w:val="00760614"/>
    <w:rsid w:val="00762AA0"/>
    <w:rsid w:val="00775949"/>
    <w:rsid w:val="00777854"/>
    <w:rsid w:val="007852A3"/>
    <w:rsid w:val="0079322B"/>
    <w:rsid w:val="007B4667"/>
    <w:rsid w:val="007E2FF4"/>
    <w:rsid w:val="007F23C4"/>
    <w:rsid w:val="007F50E8"/>
    <w:rsid w:val="00801F0F"/>
    <w:rsid w:val="00825448"/>
    <w:rsid w:val="00826F71"/>
    <w:rsid w:val="00835D79"/>
    <w:rsid w:val="00850ED8"/>
    <w:rsid w:val="00861D13"/>
    <w:rsid w:val="00884037"/>
    <w:rsid w:val="00890C7A"/>
    <w:rsid w:val="0089508C"/>
    <w:rsid w:val="008B0AC8"/>
    <w:rsid w:val="008B2FBB"/>
    <w:rsid w:val="008C30DC"/>
    <w:rsid w:val="008C4E00"/>
    <w:rsid w:val="008C7034"/>
    <w:rsid w:val="008D1776"/>
    <w:rsid w:val="008E53C3"/>
    <w:rsid w:val="008E5C5C"/>
    <w:rsid w:val="0090286D"/>
    <w:rsid w:val="00907A4A"/>
    <w:rsid w:val="009319B9"/>
    <w:rsid w:val="00936CF1"/>
    <w:rsid w:val="00982E4D"/>
    <w:rsid w:val="009945AA"/>
    <w:rsid w:val="009A5F02"/>
    <w:rsid w:val="009B0D72"/>
    <w:rsid w:val="009C1C6F"/>
    <w:rsid w:val="009C51B7"/>
    <w:rsid w:val="009F3E28"/>
    <w:rsid w:val="00A00B48"/>
    <w:rsid w:val="00A05581"/>
    <w:rsid w:val="00A06BC1"/>
    <w:rsid w:val="00A06D35"/>
    <w:rsid w:val="00A219B5"/>
    <w:rsid w:val="00A36228"/>
    <w:rsid w:val="00A44345"/>
    <w:rsid w:val="00A91C8D"/>
    <w:rsid w:val="00A937DD"/>
    <w:rsid w:val="00A97A54"/>
    <w:rsid w:val="00AB188F"/>
    <w:rsid w:val="00AC7B0B"/>
    <w:rsid w:val="00AD52FD"/>
    <w:rsid w:val="00B33D86"/>
    <w:rsid w:val="00B4564B"/>
    <w:rsid w:val="00B62641"/>
    <w:rsid w:val="00B84532"/>
    <w:rsid w:val="00B878AD"/>
    <w:rsid w:val="00B911CB"/>
    <w:rsid w:val="00B94D4F"/>
    <w:rsid w:val="00B976C2"/>
    <w:rsid w:val="00BA10B3"/>
    <w:rsid w:val="00BA511E"/>
    <w:rsid w:val="00BA5324"/>
    <w:rsid w:val="00BB1544"/>
    <w:rsid w:val="00BB317A"/>
    <w:rsid w:val="00BB70CB"/>
    <w:rsid w:val="00BC0DA6"/>
    <w:rsid w:val="00C07947"/>
    <w:rsid w:val="00C11383"/>
    <w:rsid w:val="00C12262"/>
    <w:rsid w:val="00C52105"/>
    <w:rsid w:val="00C61A8C"/>
    <w:rsid w:val="00C61D24"/>
    <w:rsid w:val="00C65292"/>
    <w:rsid w:val="00C74B83"/>
    <w:rsid w:val="00C77ADA"/>
    <w:rsid w:val="00C95752"/>
    <w:rsid w:val="00C964B1"/>
    <w:rsid w:val="00CA21A8"/>
    <w:rsid w:val="00CA4621"/>
    <w:rsid w:val="00CB3DF4"/>
    <w:rsid w:val="00CD21B4"/>
    <w:rsid w:val="00CD6141"/>
    <w:rsid w:val="00CF56C6"/>
    <w:rsid w:val="00D01EDC"/>
    <w:rsid w:val="00D021DE"/>
    <w:rsid w:val="00D12D5C"/>
    <w:rsid w:val="00D23D0C"/>
    <w:rsid w:val="00D2592F"/>
    <w:rsid w:val="00D33AD2"/>
    <w:rsid w:val="00D3441C"/>
    <w:rsid w:val="00D42D3E"/>
    <w:rsid w:val="00D459AE"/>
    <w:rsid w:val="00D51F81"/>
    <w:rsid w:val="00D617B9"/>
    <w:rsid w:val="00D9278A"/>
    <w:rsid w:val="00DA3239"/>
    <w:rsid w:val="00DB1632"/>
    <w:rsid w:val="00DB58FE"/>
    <w:rsid w:val="00DD7CE6"/>
    <w:rsid w:val="00DE0B84"/>
    <w:rsid w:val="00DE70CD"/>
    <w:rsid w:val="00DE7E34"/>
    <w:rsid w:val="00DF7147"/>
    <w:rsid w:val="00E079AD"/>
    <w:rsid w:val="00E25E5C"/>
    <w:rsid w:val="00E34655"/>
    <w:rsid w:val="00E4334D"/>
    <w:rsid w:val="00E463D1"/>
    <w:rsid w:val="00E47D62"/>
    <w:rsid w:val="00E52997"/>
    <w:rsid w:val="00E54C10"/>
    <w:rsid w:val="00E65C4E"/>
    <w:rsid w:val="00E67A8D"/>
    <w:rsid w:val="00E757A0"/>
    <w:rsid w:val="00E83868"/>
    <w:rsid w:val="00E92035"/>
    <w:rsid w:val="00E941E1"/>
    <w:rsid w:val="00E94DE0"/>
    <w:rsid w:val="00E970AE"/>
    <w:rsid w:val="00EA4318"/>
    <w:rsid w:val="00EA698E"/>
    <w:rsid w:val="00EB587F"/>
    <w:rsid w:val="00EB72A2"/>
    <w:rsid w:val="00EB741A"/>
    <w:rsid w:val="00ED3B5C"/>
    <w:rsid w:val="00EF4710"/>
    <w:rsid w:val="00F11844"/>
    <w:rsid w:val="00F15EE0"/>
    <w:rsid w:val="00F46E28"/>
    <w:rsid w:val="00F53304"/>
    <w:rsid w:val="00F653BC"/>
    <w:rsid w:val="00F8532C"/>
    <w:rsid w:val="00FC1299"/>
    <w:rsid w:val="00FC72CE"/>
    <w:rsid w:val="00FD5295"/>
    <w:rsid w:val="00FE5729"/>
    <w:rsid w:val="00FF1A0A"/>
    <w:rsid w:val="08DA31D5"/>
    <w:rsid w:val="42CE2052"/>
    <w:rsid w:val="678E28E2"/>
    <w:rsid w:val="7E360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pt" color="#800008"/>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38"/>
    <w:qFormat/>
    <w:uiPriority w:val="0"/>
    <w:pPr>
      <w:ind w:firstLine="420" w:firstLineChars="200"/>
    </w:pPr>
    <w:rPr>
      <w:rFonts w:ascii="宋体" w:hAnsi="宋体"/>
      <w:color w:val="000000"/>
    </w:rPr>
  </w:style>
  <w:style w:type="paragraph" w:styleId="3">
    <w:name w:val="Plain Text"/>
    <w:basedOn w:val="1"/>
    <w:qFormat/>
    <w:uiPriority w:val="0"/>
    <w:rPr>
      <w:rFonts w:ascii="宋体" w:hAnsi="Courier New" w:cs="Courier New"/>
      <w:szCs w:val="21"/>
    </w:rPr>
  </w:style>
  <w:style w:type="paragraph" w:styleId="4">
    <w:name w:val="Date"/>
    <w:basedOn w:val="1"/>
    <w:next w:val="1"/>
    <w:qFormat/>
    <w:uiPriority w:val="0"/>
    <w:pPr>
      <w:ind w:left="100" w:leftChars="2500"/>
    </w:pPr>
  </w:style>
  <w:style w:type="paragraph" w:styleId="5">
    <w:name w:val="Balloon Text"/>
    <w:basedOn w:val="1"/>
    <w:link w:val="40"/>
    <w:qFormat/>
    <w:uiPriority w:val="0"/>
    <w:rPr>
      <w:sz w:val="18"/>
      <w:szCs w:val="18"/>
    </w:rPr>
  </w:style>
  <w:style w:type="paragraph" w:styleId="6">
    <w:name w:val="footer"/>
    <w:basedOn w:val="1"/>
    <w:link w:val="39"/>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Hyperlink"/>
    <w:basedOn w:val="9"/>
    <w:uiPriority w:val="0"/>
    <w:rPr>
      <w:color w:val="0000FF"/>
      <w:u w:val="single"/>
    </w:rPr>
  </w:style>
  <w:style w:type="character" w:customStyle="1" w:styleId="11">
    <w:name w:val="章标题 Char"/>
    <w:basedOn w:val="9"/>
    <w:link w:val="12"/>
    <w:uiPriority w:val="0"/>
    <w:rPr>
      <w:rFonts w:ascii="黑体" w:eastAsia="黑体"/>
      <w:sz w:val="21"/>
    </w:rPr>
  </w:style>
  <w:style w:type="paragraph" w:customStyle="1" w:styleId="12">
    <w:name w:val="章标题"/>
    <w:next w:val="1"/>
    <w:link w:val="1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character" w:customStyle="1" w:styleId="13">
    <w:name w:val="发布"/>
    <w:uiPriority w:val="0"/>
    <w:rPr>
      <w:rFonts w:ascii="黑体" w:eastAsia="黑体"/>
      <w:spacing w:val="22"/>
      <w:w w:val="100"/>
      <w:position w:val="3"/>
      <w:sz w:val="28"/>
    </w:rPr>
  </w:style>
  <w:style w:type="character" w:customStyle="1" w:styleId="14">
    <w:name w:val="段 Char"/>
    <w:basedOn w:val="9"/>
    <w:link w:val="15"/>
    <w:qFormat/>
    <w:uiPriority w:val="0"/>
    <w:rPr>
      <w:rFonts w:ascii="宋体"/>
      <w:sz w:val="21"/>
      <w:lang w:val="en-US" w:eastAsia="zh-CN" w:bidi="ar-SA"/>
    </w:rPr>
  </w:style>
  <w:style w:type="paragraph" w:customStyle="1" w:styleId="15">
    <w:name w:val="段"/>
    <w:link w:val="1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7">
    <w:name w:val="发布日期"/>
    <w:uiPriority w:val="0"/>
    <w:pPr>
      <w:framePr w:w="4000" w:h="473" w:hRule="exact" w:hSpace="180" w:vSpace="180" w:wrap="around" w:vAnchor="margin" w:hAnchor="margin" w:y="13511" w:anchorLock="1"/>
      <w:jc w:val="both"/>
    </w:pPr>
    <w:rPr>
      <w:rFonts w:ascii="Times New Roman" w:hAnsi="Times New Roman" w:eastAsia="黑体" w:cs="Times New Roman"/>
      <w:sz w:val="28"/>
      <w:lang w:val="en-US" w:eastAsia="zh-CN" w:bidi="ar-SA"/>
    </w:rPr>
  </w:style>
  <w:style w:type="paragraph" w:customStyle="1" w:styleId="18">
    <w:name w:val="前言、引言标题"/>
    <w:next w:val="1"/>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9">
    <w:name w:val="封面标准号2"/>
    <w:basedOn w:val="20"/>
    <w:qFormat/>
    <w:uiPriority w:val="0"/>
    <w:pPr>
      <w:framePr w:w="9138" w:h="1244" w:hRule="exact" w:wrap="around" w:vAnchor="page" w:hAnchor="margin" w:y="2908"/>
      <w:adjustRightInd w:val="0"/>
      <w:spacing w:before="357" w:line="280" w:lineRule="exact"/>
    </w:pPr>
  </w:style>
  <w:style w:type="paragraph" w:customStyle="1" w:styleId="2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1">
    <w:name w:val="一级条标题"/>
    <w:basedOn w:val="12"/>
    <w:next w:val="15"/>
    <w:qFormat/>
    <w:uiPriority w:val="0"/>
    <w:pPr>
      <w:numPr>
        <w:ilvl w:val="0"/>
        <w:numId w:val="0"/>
      </w:numPr>
      <w:spacing w:beforeLines="0" w:afterLines="0"/>
      <w:ind w:left="180"/>
      <w:outlineLvl w:val="2"/>
    </w:pPr>
  </w:style>
  <w:style w:type="paragraph" w:customStyle="1" w:styleId="22">
    <w:name w:val="标准书眉一"/>
    <w:qFormat/>
    <w:uiPriority w:val="0"/>
    <w:pPr>
      <w:jc w:val="both"/>
    </w:pPr>
    <w:rPr>
      <w:rFonts w:ascii="Times New Roman" w:hAnsi="Times New Roman" w:eastAsia="宋体" w:cs="Times New Roman"/>
      <w:lang w:val="en-US" w:eastAsia="zh-CN" w:bidi="ar-SA"/>
    </w:rPr>
  </w:style>
  <w:style w:type="paragraph" w:customStyle="1" w:styleId="23">
    <w:name w:val="四级条标题"/>
    <w:basedOn w:val="24"/>
    <w:next w:val="15"/>
    <w:qFormat/>
    <w:uiPriority w:val="0"/>
    <w:pPr>
      <w:outlineLvl w:val="5"/>
    </w:pPr>
  </w:style>
  <w:style w:type="paragraph" w:customStyle="1" w:styleId="24">
    <w:name w:val="三级条标题"/>
    <w:basedOn w:val="25"/>
    <w:next w:val="15"/>
    <w:qFormat/>
    <w:uiPriority w:val="0"/>
    <w:pPr>
      <w:outlineLvl w:val="4"/>
    </w:pPr>
  </w:style>
  <w:style w:type="paragraph" w:customStyle="1" w:styleId="25">
    <w:name w:val="二级条标题"/>
    <w:basedOn w:val="21"/>
    <w:next w:val="15"/>
    <w:qFormat/>
    <w:uiPriority w:val="0"/>
    <w:pPr>
      <w:ind w:left="0"/>
      <w:outlineLvl w:val="3"/>
    </w:pPr>
  </w:style>
  <w:style w:type="paragraph" w:customStyle="1" w:styleId="26">
    <w:name w:val="Default"/>
    <w:unhideWhenUsed/>
    <w:qFormat/>
    <w:uiPriority w:val="99"/>
    <w:pPr>
      <w:widowControl w:val="0"/>
      <w:autoSpaceDE w:val="0"/>
      <w:autoSpaceDN w:val="0"/>
      <w:adjustRightInd w:val="0"/>
      <w:jc w:val="both"/>
    </w:pPr>
    <w:rPr>
      <w:rFonts w:hint="eastAsia" w:ascii="黑体" w:hAnsi="黑体" w:eastAsia="黑体" w:cs="Times New Roman"/>
      <w:color w:val="000000"/>
      <w:sz w:val="24"/>
      <w:lang w:val="en-US" w:eastAsia="zh-CN" w:bidi="ar-SA"/>
    </w:rPr>
  </w:style>
  <w:style w:type="paragraph" w:customStyle="1" w:styleId="27">
    <w:name w:val="五级条标题"/>
    <w:basedOn w:val="23"/>
    <w:next w:val="15"/>
    <w:qFormat/>
    <w:uiPriority w:val="0"/>
    <w:pPr>
      <w:outlineLvl w:val="6"/>
    </w:pPr>
  </w:style>
  <w:style w:type="paragraph" w:customStyle="1" w:styleId="28">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29">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30">
    <w:name w:val="实施日期"/>
    <w:basedOn w:val="17"/>
    <w:qFormat/>
    <w:uiPriority w:val="0"/>
    <w:pPr>
      <w:framePr w:hSpace="0" w:xAlign="right"/>
      <w:jc w:val="right"/>
    </w:pPr>
  </w:style>
  <w:style w:type="paragraph" w:customStyle="1" w:styleId="3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3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3">
    <w:name w:val="标准书眉_偶数页"/>
    <w:basedOn w:val="32"/>
    <w:next w:val="1"/>
    <w:qFormat/>
    <w:uiPriority w:val="0"/>
    <w:pPr>
      <w:jc w:val="left"/>
    </w:pPr>
  </w:style>
  <w:style w:type="paragraph" w:customStyle="1" w:styleId="3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character" w:customStyle="1" w:styleId="38">
    <w:name w:val="正文文本缩进 Char"/>
    <w:basedOn w:val="9"/>
    <w:link w:val="2"/>
    <w:qFormat/>
    <w:uiPriority w:val="0"/>
    <w:rPr>
      <w:rFonts w:ascii="宋体" w:hAnsi="宋体"/>
      <w:color w:val="000000"/>
      <w:kern w:val="2"/>
      <w:sz w:val="21"/>
      <w:szCs w:val="24"/>
    </w:rPr>
  </w:style>
  <w:style w:type="character" w:customStyle="1" w:styleId="39">
    <w:name w:val="页脚 Char"/>
    <w:basedOn w:val="9"/>
    <w:link w:val="6"/>
    <w:qFormat/>
    <w:uiPriority w:val="99"/>
    <w:rPr>
      <w:kern w:val="2"/>
      <w:sz w:val="18"/>
      <w:szCs w:val="18"/>
    </w:rPr>
  </w:style>
  <w:style w:type="character" w:customStyle="1" w:styleId="40">
    <w:name w:val="批注框文本 Char"/>
    <w:basedOn w:val="9"/>
    <w:link w:val="5"/>
    <w:qFormat/>
    <w:uiPriority w:val="0"/>
    <w:rPr>
      <w:kern w:val="2"/>
      <w:sz w:val="18"/>
      <w:szCs w:val="18"/>
    </w:rPr>
  </w:style>
  <w:style w:type="character" w:styleId="41">
    <w:name w:val="Placeholder Text"/>
    <w:basedOn w:val="9"/>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81174C-59AD-418F-9D7D-DC9210E9CB09}">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6</Pages>
  <Words>440</Words>
  <Characters>2511</Characters>
  <Lines>20</Lines>
  <Paragraphs>5</Paragraphs>
  <TotalTime>439</TotalTime>
  <ScaleCrop>false</ScaleCrop>
  <LinksUpToDate>false</LinksUpToDate>
  <CharactersWithSpaces>2946</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2020-10-03T01:35:00Z</dcterms:created>
  <dc:creator>sd_tianr</dc:creator>
  <cp:lastModifiedBy>CathayMok</cp:lastModifiedBy>
  <cp:lastPrinted>2019-12-04T09:40:00Z</cp:lastPrinted>
  <dcterms:modified xsi:type="dcterms:W3CDTF">2020-12-30T07:32:21Z</dcterms:modified>
  <dc:title>ICS 77</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