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bookmarkStart w:id="13" w:name="_GoBack"/>
      <w:bookmarkEnd w:id="13"/>
    </w:p>
    <w:p>
      <w:pPr>
        <w:rPr>
          <w:sz w:val="28"/>
        </w:rPr>
      </w:pPr>
    </w:p>
    <w:p>
      <w:pPr>
        <w:rPr>
          <w:sz w:val="28"/>
        </w:rPr>
      </w:pPr>
    </w:p>
    <w:p>
      <w:pPr>
        <w:rPr>
          <w:sz w:val="28"/>
        </w:rPr>
      </w:pPr>
      <w:r>
        <w:rPr>
          <w:rFonts w:hint="eastAsia"/>
          <w:sz w:val="28"/>
        </w:rPr>
        <w:t xml:space="preserve">      </w:t>
      </w:r>
    </w:p>
    <w:p>
      <w:pPr>
        <w:rPr>
          <w:sz w:val="28"/>
        </w:rPr>
      </w:pPr>
      <w:r>
        <w:rPr>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251460</wp:posOffset>
                </wp:positionV>
                <wp:extent cx="60579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19.8pt;height:0pt;width:477pt;z-index:251673600;mso-width-relative:page;mso-height-relative:page;" filled="f" stroked="t" coordsize="21600,21600" o:gfxdata="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vYve1AAAAAYBAAAPAAAAAAAAAAEAIAAAACIAAABkcnMv&#10;ZG93bnJldi54bWxQSwECFAAUAAAACACHTuJAzIROR84BAABsAwAADgAAAAAAAAABACAAAAAjAQAA&#10;ZHJzL2Uyb0RvYy54bWxQSwUGAAAAAAYABgBZAQAAYwUAAAAA&#10;">
                <v:fill on="f" focussize="0,0"/>
                <v:stroke color="#000000" joinstyle="round"/>
                <v:imagedata o:title=""/>
                <o:lock v:ext="edit" aspectratio="f"/>
              </v:line>
            </w:pict>
          </mc:Fallback>
        </mc:AlternateContent>
      </w:r>
    </w:p>
    <w:p>
      <w:pPr>
        <w:rPr>
          <w:sz w:val="28"/>
        </w:rPr>
      </w:pPr>
    </w:p>
    <w:p>
      <w:pPr>
        <w:pStyle w:val="81"/>
      </w:pPr>
      <w:bookmarkStart w:id="0" w:name="SectionMark0"/>
    </w:p>
    <w:p>
      <w:pPr>
        <w:pStyle w:val="81"/>
      </w:pPr>
    </w:p>
    <w:p>
      <w:pPr>
        <w:pStyle w:val="81"/>
        <w:sectPr>
          <w:headerReference r:id="rId3" w:type="default"/>
          <w:headerReference r:id="rId4" w:type="even"/>
          <w:footerReference r:id="rId5"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74624" behindDoc="0" locked="0" layoutInCell="1" allowOverlap="1">
                <wp:simplePos x="0" y="0"/>
                <wp:positionH relativeFrom="column">
                  <wp:posOffset>4520565</wp:posOffset>
                </wp:positionH>
                <wp:positionV relativeFrom="paragraph">
                  <wp:posOffset>6360795</wp:posOffset>
                </wp:positionV>
                <wp:extent cx="600075" cy="420370"/>
                <wp:effectExtent l="0" t="0" r="9525" b="63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0075" cy="420370"/>
                        </a:xfrm>
                        <a:prstGeom prst="rect">
                          <a:avLst/>
                        </a:prstGeom>
                        <a:solidFill>
                          <a:srgbClr val="FFFFFF"/>
                        </a:solidFill>
                        <a:ln w="9525">
                          <a:noFill/>
                          <a:miter lim="800000"/>
                        </a:ln>
                        <a:effectLst/>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5.95pt;margin-top:500.85pt;height:33.1pt;width:47.25pt;z-index:251674624;mso-width-relative:page;mso-height-relative:page;" fillcolor="#FFFFFF" filled="t" stroked="f" coordsize="21600,21600" o:gfxdata="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WQqpPZAAAADQEAAA8AAAAAAAAAAQAgAAAAIgAAAGRycy9kb3ducmV2LnhtbFBLAQIUABQAAAAI&#10;AIdO4kAozKgSJQIAABMEAAAOAAAAAAAAAAEAIAAAACgBAABkcnMvZTJvRG9jLnhtbFBLBQYAAAAA&#10;BgAGAFkBAAC/BQ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-59055</wp:posOffset>
                </wp:positionH>
                <wp:positionV relativeFrom="paragraph">
                  <wp:posOffset>6101080</wp:posOffset>
                </wp:positionV>
                <wp:extent cx="6121400" cy="0"/>
                <wp:effectExtent l="0" t="0" r="0" b="0"/>
                <wp:wrapNone/>
                <wp:docPr id="5" name="直接连接符 14"/>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14" o:spid="_x0000_s1026" o:spt="20" style="position:absolute;left:0pt;margin-left:-4.65pt;margin-top:480.4pt;height:0pt;width:482pt;z-index:2516705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0pt;margin-top:700pt;height:0pt;width:482pt;z-index:25167155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EvlY0gAAAAoBAAAPAAAAAAAAAAEAIAAAACIAAABkcnMvZG93&#10;bnJldi54bWxQSwECFAAUAAAACACHTuJAI0R+a80BAABtAwAADgAAAAAAAAABACAAAAAhAQAAZHJz&#10;L2Uyb0RvYy54bWxQSwUGAAAAAAYABgBZAQAAY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1195070</wp:posOffset>
                </wp:positionH>
                <wp:positionV relativeFrom="margin">
                  <wp:posOffset>9107805</wp:posOffset>
                </wp:positionV>
                <wp:extent cx="3514725" cy="514350"/>
                <wp:effectExtent l="0" t="0" r="5715" b="381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514725" cy="514350"/>
                        </a:xfrm>
                        <a:prstGeom prst="rect">
                          <a:avLst/>
                        </a:prstGeom>
                        <a:solidFill>
                          <a:srgbClr val="FFFFFF"/>
                        </a:solidFill>
                        <a:ln>
                          <a:noFill/>
                        </a:ln>
                        <a:effectLst/>
                      </wps:spPr>
                      <wps:txbx>
                        <w:txbxContent>
                          <w:p>
                            <w:pPr>
                              <w:pStyle w:val="72"/>
                              <w:spacing w:line="340" w:lineRule="exact"/>
                              <w:rPr>
                                <w:rFonts w:ascii="黑体" w:eastAsia="黑体"/>
                                <w:b w:val="0"/>
                                <w:bCs/>
                              </w:rPr>
                            </w:pPr>
                            <w:r>
                              <w:rPr>
                                <w:rFonts w:hint="eastAsia" w:ascii="黑体" w:eastAsia="黑体"/>
                                <w:b w:val="0"/>
                                <w:bCs/>
                              </w:rPr>
                              <w:t>中国有色金属工业学会</w:t>
                            </w:r>
                          </w:p>
                          <w:p>
                            <w:pPr>
                              <w:pStyle w:val="23"/>
                              <w:ind w:firstLine="0" w:firstLineChars="0"/>
                              <w:jc w:val="center"/>
                            </w:pPr>
                            <w:r>
                              <w:rPr>
                                <w:rFonts w:hint="eastAsia" w:ascii="黑体" w:eastAsia="黑体"/>
                                <w:bCs/>
                                <w:spacing w:val="20"/>
                                <w:w w:val="135"/>
                                <w:sz w:val="28"/>
                              </w:rPr>
                              <w:t>中国有色金属学会</w:t>
                            </w:r>
                          </w:p>
                          <w:p>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4.1pt;margin-top:717.15pt;height:40.5pt;width:276.75pt;mso-position-horizontal-relative:margin;mso-position-vertical-relative:margin;z-index:251669504;mso-width-relative:page;mso-height-relative:page;" fillcolor="#FFFFFF" filled="t" stroked="f" coordsize="21600,21600" o:gfxdata="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5AL92wAAAA0BAAAPAAAAAAAAAAEA&#10;IAAAACIAAABkcnMvZG93bnJldi54bWxQSwECFAAUAAAACACHTuJA+8Jn6AwCAADwAwAADgAAAAAA&#10;AAABACAAAAAqAQAAZHJzL2Uyb0RvYy54bWxQSwUGAAAAAAYABgBZAQAAqAUAAAAA&#10;">
                <v:fill on="t" focussize="0,0"/>
                <v:stroke on="f"/>
                <v:imagedata o:title=""/>
                <o:lock v:ext="edit" aspectratio="f"/>
                <v:textbox inset="0mm,0mm,0mm,0mm">
                  <w:txbxContent>
                    <w:p>
                      <w:pPr>
                        <w:pStyle w:val="72"/>
                        <w:spacing w:line="340" w:lineRule="exact"/>
                        <w:rPr>
                          <w:rFonts w:ascii="黑体" w:eastAsia="黑体"/>
                          <w:b w:val="0"/>
                          <w:bCs/>
                        </w:rPr>
                      </w:pPr>
                      <w:r>
                        <w:rPr>
                          <w:rFonts w:hint="eastAsia" w:ascii="黑体" w:eastAsia="黑体"/>
                          <w:b w:val="0"/>
                          <w:bCs/>
                        </w:rPr>
                        <w:t>中国有色金属工业学会</w:t>
                      </w:r>
                    </w:p>
                    <w:p>
                      <w:pPr>
                        <w:pStyle w:val="23"/>
                        <w:ind w:firstLine="0" w:firstLineChars="0"/>
                        <w:jc w:val="center"/>
                      </w:pPr>
                      <w:r>
                        <w:rPr>
                          <w:rFonts w:hint="eastAsia" w:ascii="黑体" w:eastAsia="黑体"/>
                          <w:bCs/>
                          <w:spacing w:val="20"/>
                          <w:w w:val="135"/>
                          <w:sz w:val="28"/>
                        </w:rPr>
                        <w:t>中国有色金属学会</w:t>
                      </w:r>
                    </w:p>
                    <w:p>
                      <w:pPr>
                        <w:jc w:val="center"/>
                      </w:pP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112"/>
                            </w:pPr>
                            <w:r>
                              <w:rPr>
                                <w:rFonts w:hint="eastAsia"/>
                              </w:rPr>
                              <w:t>20</w:t>
                            </w:r>
                            <w:r>
                              <w:t>2</w:t>
                            </w:r>
                            <w:r>
                              <w:rPr>
                                <w:rFonts w:hint="eastAsia"/>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848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9qtfaAAAADQEAAA8AAAAAAAAAAQAgAAAA&#10;IgAAAGRycy9kb3ducmV2LnhtbFBLAQIUABQAAAAIAIdO4kBUSVkXCQIAAPADAAAOAAAAAAAAAAEA&#10;IAAAACkBAABkcnMvZTJvRG9jLnhtbFBLBQYAAAAABgAGAFkBAACkBQAAAAA=&#10;">
                <v:fill on="t" focussize="0,0"/>
                <v:stroke on="f"/>
                <v:imagedata o:title=""/>
                <o:lock v:ext="edit" aspectratio="f"/>
                <v:textbox inset="0mm,0mm,0mm,0mm">
                  <w:txbxContent>
                    <w:p>
                      <w:pPr>
                        <w:pStyle w:val="112"/>
                      </w:pPr>
                      <w:r>
                        <w:rPr>
                          <w:rFonts w:hint="eastAsia"/>
                        </w:rPr>
                        <w:t>20</w:t>
                      </w:r>
                      <w:r>
                        <w:t>2</w:t>
                      </w:r>
                      <w:r>
                        <w:rPr>
                          <w:rFonts w:hint="eastAsia"/>
                        </w:rPr>
                        <w:t>×-××-××实施</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3"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73"/>
                            </w:pPr>
                            <w:r>
                              <w:rPr>
                                <w:rFonts w:hint="eastAsia"/>
                              </w:rPr>
                              <w:t>20</w:t>
                            </w:r>
                            <w:r>
                              <w:t>2</w:t>
                            </w:r>
                            <w:r>
                              <w:rPr>
                                <w:rFonts w:hint="eastAsia"/>
                              </w:rPr>
                              <w:t>×-××-××发布</w:t>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0pt;margin-top:674.3pt;height:24.6pt;width:159pt;mso-position-horizontal-relative:margin;mso-position-vertical-relative:margin;z-index:25166745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zbKiNgAAAAKAQAADwAAAAAAAAABACAAAAAi&#10;AAAAZHJzL2Rvd25yZXYueG1sUEsBAhQAFAAAAAgAh07iQONhTFgKAgAA7gMAAA4AAAAAAAAAAQAg&#10;AAAAJwEAAGRycy9lMm9Eb2MueG1sUEsFBgAAAAAGAAYAWQEAAKMFAAAAAA==&#10;">
                <v:fill on="t" focussize="0,0"/>
                <v:stroke on="f"/>
                <v:imagedata o:title=""/>
                <o:lock v:ext="edit" aspectratio="f"/>
                <v:textbox inset="0mm,0mm,0mm,0mm">
                  <w:txbxContent>
                    <w:p>
                      <w:pPr>
                        <w:pStyle w:val="73"/>
                      </w:pPr>
                      <w:r>
                        <w:rPr>
                          <w:rFonts w:hint="eastAsia"/>
                        </w:rPr>
                        <w:t>20</w:t>
                      </w:r>
                      <w:r>
                        <w:t>2</w:t>
                      </w:r>
                      <w:r>
                        <w:rPr>
                          <w:rFonts w:hint="eastAsia"/>
                        </w:rPr>
                        <w:t>×-××-××发布</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2971800</wp:posOffset>
                </wp:positionV>
                <wp:extent cx="5969000" cy="5344795"/>
                <wp:effectExtent l="0" t="0" r="5080"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969000" cy="5344795"/>
                        </a:xfrm>
                        <a:prstGeom prst="rect">
                          <a:avLst/>
                        </a:prstGeom>
                        <a:solidFill>
                          <a:srgbClr val="FFFFFF"/>
                        </a:solidFill>
                        <a:ln>
                          <a:noFill/>
                        </a:ln>
                        <a:effectLst/>
                      </wps:spPr>
                      <wps:txbx>
                        <w:txbxContent>
                          <w:p>
                            <w:pPr>
                              <w:pStyle w:val="76"/>
                              <w:spacing w:line="240" w:lineRule="auto"/>
                            </w:pPr>
                          </w:p>
                          <w:p>
                            <w:pPr>
                              <w:pStyle w:val="76"/>
                            </w:pPr>
                            <w:r>
                              <w:rPr>
                                <w:rFonts w:hint="eastAsia"/>
                              </w:rPr>
                              <w:t>铜冶炼行业节能监察技术规范</w:t>
                            </w:r>
                          </w:p>
                          <w:p>
                            <w:pPr>
                              <w:pStyle w:val="78"/>
                              <w:rPr>
                                <w:rFonts w:ascii="Times New Roman" w:eastAsia="黑体"/>
                              </w:rPr>
                            </w:pPr>
                            <w:r>
                              <w:rPr>
                                <w:rFonts w:ascii="Times New Roman" w:eastAsia="黑体"/>
                              </w:rPr>
                              <w:t>Technical specifications for energy saving supervision in copper smelting industry</w:t>
                            </w:r>
                          </w:p>
                          <w:p>
                            <w:pPr>
                              <w:pStyle w:val="78"/>
                            </w:pPr>
                            <w:r>
                              <w:rPr>
                                <w:rFonts w:hint="eastAsia"/>
                              </w:rPr>
                              <w:t>(征求意见稿)</w:t>
                            </w:r>
                          </w:p>
                          <w:p>
                            <w:pPr>
                              <w:pStyle w:val="80"/>
                              <w:spacing w:before="78" w:after="7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4pt;height:420.85pt;width:470pt;mso-position-horizontal-relative:margin;mso-position-vertical-relative:margin;z-index:251666432;mso-width-relative:page;mso-height-relative:page;" fillcolor="#FFFFFF" filled="t" stroked="f" coordsize="21600,21600" o:gfxdata="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VPWTYAAAACQEAAA8AAAAAAAAAAQAgAAAA&#10;IgAAAGRycy9kb3ducmV2LnhtbFBLAQIUABQAAAAIAIdO4kA66Ui4CwIAAO8DAAAOAAAAAAAAAAEA&#10;IAAAACcBAABkcnMvZTJvRG9jLnhtbFBLBQYAAAAABgAGAFkBAACkBQAAAAA=&#10;">
                <v:fill on="t" focussize="0,0"/>
                <v:stroke on="f"/>
                <v:imagedata o:title=""/>
                <o:lock v:ext="edit" aspectratio="f"/>
                <v:textbox inset="0mm,0mm,0mm,0mm">
                  <w:txbxContent>
                    <w:p>
                      <w:pPr>
                        <w:pStyle w:val="76"/>
                        <w:spacing w:line="240" w:lineRule="auto"/>
                      </w:pPr>
                    </w:p>
                    <w:p>
                      <w:pPr>
                        <w:pStyle w:val="76"/>
                      </w:pPr>
                      <w:r>
                        <w:rPr>
                          <w:rFonts w:hint="eastAsia"/>
                        </w:rPr>
                        <w:t>铜冶炼行业节能监察技术规范</w:t>
                      </w:r>
                    </w:p>
                    <w:p>
                      <w:pPr>
                        <w:pStyle w:val="78"/>
                        <w:rPr>
                          <w:rFonts w:ascii="Times New Roman" w:eastAsia="黑体"/>
                        </w:rPr>
                      </w:pPr>
                      <w:r>
                        <w:rPr>
                          <w:rFonts w:ascii="Times New Roman" w:eastAsia="黑体"/>
                        </w:rPr>
                        <w:t>Technical specifications for energy saving supervision in copper smelting industry</w:t>
                      </w:r>
                    </w:p>
                    <w:p>
                      <w:pPr>
                        <w:pStyle w:val="78"/>
                      </w:pPr>
                      <w:r>
                        <w:rPr>
                          <w:rFonts w:hint="eastAsia"/>
                        </w:rPr>
                        <w:t>(征求意见稿)</w:t>
                      </w:r>
                    </w:p>
                    <w:p>
                      <w:pPr>
                        <w:pStyle w:val="80"/>
                        <w:spacing w:before="78" w:after="78"/>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317500</wp:posOffset>
                </wp:positionH>
                <wp:positionV relativeFrom="margin">
                  <wp:posOffset>1792605</wp:posOffset>
                </wp:positionV>
                <wp:extent cx="5802630" cy="359410"/>
                <wp:effectExtent l="0" t="0" r="381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pPr>
                              <w:pStyle w:val="45"/>
                              <w:wordWrap w:val="0"/>
                            </w:pPr>
                            <w:r>
                              <w:t>T/CNIA</w:t>
                            </w:r>
                            <w:r>
                              <w:rPr>
                                <w:rFonts w:hint="eastAsia"/>
                              </w:rPr>
                              <w:t xml:space="preserve"> xxx </w:t>
                            </w:r>
                            <w:r>
                              <w:t>—20</w:t>
                            </w:r>
                            <w:r>
                              <w:rPr>
                                <w:rFonts w:hint="eastAsia"/>
                              </w:rPr>
                              <w:t>2x</w:t>
                            </w:r>
                          </w:p>
                          <w:p>
                            <w:pPr>
                              <w:pStyle w:val="45"/>
                              <w:jc w:val="center"/>
                              <w:rPr>
                                <w:sz w:val="21"/>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pt;margin-top:141.15pt;height:28.3pt;width:456.9pt;mso-position-horizontal-relative:margin;mso-position-vertical-relative:margin;z-index:251665408;mso-width-relative:page;mso-height-relative:page;" fillcolor="#FFFFFF" filled="t" stroked="f" coordsize="21600,21600" o:gfxdata="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IfJXTZAAAACgEAAA8AAAAAAAAAAQAgAAAA&#10;IgAAAGRycy9kb3ducmV2LnhtbFBLAQIUABQAAAAIAIdO4kBP619kCgIAAO4DAAAOAAAAAAAAAAEA&#10;IAAAACgBAABkcnMvZTJvRG9jLnhtbFBLBQYAAAAABgAGAFkBAACkBQAAAAA=&#10;">
                <v:fill on="t" focussize="0,0"/>
                <v:stroke on="f"/>
                <v:imagedata o:title=""/>
                <o:lock v:ext="edit" aspectratio="f"/>
                <v:textbox inset="0mm,0mm,0mm,0mm">
                  <w:txbxContent>
                    <w:p>
                      <w:pPr>
                        <w:pStyle w:val="45"/>
                        <w:wordWrap w:val="0"/>
                      </w:pPr>
                      <w:r>
                        <w:t>T/CNIA</w:t>
                      </w:r>
                      <w:r>
                        <w:rPr>
                          <w:rFonts w:hint="eastAsia"/>
                        </w:rPr>
                        <w:t xml:space="preserve"> xxx </w:t>
                      </w:r>
                      <w:r>
                        <w:t>—20</w:t>
                      </w:r>
                      <w:r>
                        <w:rPr>
                          <w:rFonts w:hint="eastAsia"/>
                        </w:rPr>
                        <w:t>2x</w:t>
                      </w:r>
                    </w:p>
                    <w:p>
                      <w:pPr>
                        <w:pStyle w:val="45"/>
                        <w:jc w:val="center"/>
                        <w:rPr>
                          <w:sz w:val="21"/>
                        </w:rPr>
                      </w:pPr>
                      <w:r>
                        <w:rPr>
                          <w:rFonts w:hint="eastAsia"/>
                        </w:rPr>
                        <w:t xml:space="preserve">                                               </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4445</wp:posOffset>
                </wp:positionH>
                <wp:positionV relativeFrom="margin">
                  <wp:posOffset>1011555</wp:posOffset>
                </wp:positionV>
                <wp:extent cx="5153025" cy="1016000"/>
                <wp:effectExtent l="0" t="0" r="1333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121400" cy="391160"/>
                        </a:xfrm>
                        <a:prstGeom prst="rect">
                          <a:avLst/>
                        </a:prstGeom>
                        <a:solidFill>
                          <a:srgbClr val="FFFFFF"/>
                        </a:solidFill>
                        <a:ln>
                          <a:noFill/>
                        </a:ln>
                        <a:effectLst/>
                      </wps:spPr>
                      <wps:txbx>
                        <w:txbxContent>
                          <w:p>
                            <w:pPr>
                              <w:pStyle w:val="108"/>
                              <w:jc w:val="center"/>
                            </w:pPr>
                            <w:r>
                              <w:rPr>
                                <w:rFonts w:hint="eastAsia"/>
                              </w:rPr>
                              <w:drawing>
                                <wp:inline distT="0" distB="0" distL="0" distR="0">
                                  <wp:extent cx="5099050" cy="93980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a:srcRect/>
                                          <a:stretch>
                                            <a:fillRect/>
                                          </a:stretch>
                                        </pic:blipFill>
                                        <pic:spPr>
                                          <a:xfrm>
                                            <a:off x="0" y="0"/>
                                            <a:ext cx="5099050" cy="9398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35pt;margin-top:79.65pt;height:80pt;width:405.75pt;mso-position-horizontal-relative:margin;mso-position-vertical-relative:margin;z-index:251664384;mso-width-relative:page;mso-height-relative:page;" fillcolor="#FFFFFF" filled="t" stroked="f" coordsize="21600,21600" o:gfxdata="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8HJ1wAAAAgBAAAPAAAAAAAAAAEAIAAAACIA&#10;AABkcnMvZG93bnJldi54bWxQSwECFAAUAAAACACHTuJAGTr7UQoCAADuAwAADgAAAAAAAAABACAA&#10;AAAmAQAAZHJzL2Uyb0RvYy54bWxQSwUGAAAAAAYABgBZAQAAogUAAAAA&#10;">
                <v:fill on="t" focussize="0,0"/>
                <v:stroke on="f"/>
                <v:imagedata o:title=""/>
                <o:lock v:ext="edit" aspectratio="f"/>
                <v:textbox inset="0mm,0mm,0mm,0mm">
                  <w:txbxContent>
                    <w:p>
                      <w:pPr>
                        <w:pStyle w:val="108"/>
                        <w:jc w:val="center"/>
                      </w:pPr>
                      <w:r>
                        <w:rPr>
                          <w:rFonts w:hint="eastAsia"/>
                        </w:rPr>
                        <w:drawing>
                          <wp:inline distT="0" distB="0" distL="0" distR="0">
                            <wp:extent cx="5099050" cy="93980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a:srcRect/>
                                    <a:stretch>
                                      <a:fillRect/>
                                    </a:stretch>
                                  </pic:blipFill>
                                  <pic:spPr>
                                    <a:xfrm>
                                      <a:off x="0" y="0"/>
                                      <a:ext cx="5099050" cy="939800"/>
                                    </a:xfrm>
                                    <a:prstGeom prst="rect">
                                      <a:avLst/>
                                    </a:prstGeom>
                                    <a:noFill/>
                                    <a:ln w="9525">
                                      <a:noFill/>
                                      <a:miter lim="800000"/>
                                      <a:headEnd/>
                                      <a:tailEnd/>
                                    </a:ln>
                                  </pic:spPr>
                                </pic:pic>
                              </a:graphicData>
                            </a:graphic>
                          </wp:inline>
                        </w:drawing>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121"/>
                              <w:rPr>
                                <w:color w:val="000000"/>
                              </w:rPr>
                            </w:pPr>
                            <w:r>
                              <w:rPr>
                                <w:rFonts w:hint="eastAsia"/>
                                <w:color w:val="000000"/>
                              </w:rPr>
                              <w:t>ICS</w:t>
                            </w:r>
                            <w:r>
                              <w:rPr>
                                <w:color w:val="000000"/>
                              </w:rPr>
                              <w:t xml:space="preserve"> </w:t>
                            </w:r>
                          </w:p>
                          <w:p>
                            <w:r>
                              <w:rPr>
                                <w:rFonts w:hint="eastAsia"/>
                                <w:color w:val="000000"/>
                              </w:rPr>
                              <w:t>H</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336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sy+DTAAAABQEAAA8AAAAAAAAAAQAgAAAAIgAAAGRy&#10;cy9kb3ducmV2LnhtbFBLAQIUABQAAAAIAIdO4kDnQh6/CgIAAO4DAAAOAAAAAAAAAAEAIAAAACIB&#10;AABkcnMvZTJvRG9jLnhtbFBLBQYAAAAABgAGAFkBAACeBQAAAAA=&#10;">
                <v:fill on="t" focussize="0,0"/>
                <v:stroke on="f"/>
                <v:imagedata o:title=""/>
                <o:lock v:ext="edit" aspectratio="f"/>
                <v:textbox inset="0mm,0mm,0mm,0mm">
                  <w:txbxContent>
                    <w:p>
                      <w:pPr>
                        <w:pStyle w:val="121"/>
                        <w:rPr>
                          <w:color w:val="000000"/>
                        </w:rPr>
                      </w:pPr>
                      <w:r>
                        <w:rPr>
                          <w:rFonts w:hint="eastAsia"/>
                          <w:color w:val="000000"/>
                        </w:rPr>
                        <w:t>ICS</w:t>
                      </w:r>
                      <w:r>
                        <w:rPr>
                          <w:color w:val="000000"/>
                        </w:rPr>
                        <w:t xml:space="preserve"> </w:t>
                      </w:r>
                    </w:p>
                    <w:p>
                      <w:r>
                        <w:rPr>
                          <w:rFonts w:hint="eastAsia"/>
                          <w:color w:val="000000"/>
                        </w:rPr>
                        <w:t>H</w:t>
                      </w:r>
                    </w:p>
                  </w:txbxContent>
                </v:textbox>
                <w10:anchorlock/>
              </v:shape>
            </w:pict>
          </mc:Fallback>
        </mc:AlternateContent>
      </w:r>
    </w:p>
    <w:bookmarkEnd w:id="0"/>
    <w:p>
      <w:pPr>
        <w:pStyle w:val="110"/>
        <w:rPr>
          <w:rFonts w:hAnsiTheme="minorEastAsia" w:cstheme="minorEastAsia"/>
          <w:bCs/>
          <w:szCs w:val="36"/>
        </w:rPr>
      </w:pPr>
      <w:r>
        <w:rPr>
          <w:rFonts w:hint="eastAsia" w:hAnsiTheme="minorEastAsia" w:cstheme="minorEastAsia"/>
          <w:bCs/>
          <w:szCs w:val="36"/>
        </w:rPr>
        <w:t>前</w:t>
      </w:r>
      <w:bookmarkStart w:id="1" w:name="BKQY"/>
      <w:r>
        <w:rPr>
          <w:rFonts w:hint="eastAsia" w:hAnsiTheme="minorEastAsia" w:cstheme="minorEastAsia"/>
          <w:bCs/>
          <w:szCs w:val="36"/>
        </w:rPr>
        <w:t>  </w:t>
      </w:r>
      <w:r>
        <w:rPr>
          <w:rFonts w:hint="eastAsia" w:hAnsi="黑体" w:cs="黑体"/>
          <w:bCs/>
          <w:szCs w:val="36"/>
        </w:rPr>
        <w:t>言</w:t>
      </w:r>
      <w:bookmarkEnd w:id="1"/>
    </w:p>
    <w:p>
      <w:pPr>
        <w:pStyle w:val="23"/>
        <w:spacing w:line="400" w:lineRule="exact"/>
        <w:rPr>
          <w:rFonts w:hAnsiTheme="minorEastAsia" w:cstheme="minorEastAsia"/>
          <w:szCs w:val="21"/>
          <w:lang w:val="zh-CN"/>
        </w:rPr>
      </w:pPr>
      <w:r>
        <w:rPr>
          <w:rFonts w:hint="eastAsia" w:hAnsiTheme="minorEastAsia" w:cstheme="minorEastAsia"/>
          <w:szCs w:val="21"/>
          <w:lang w:val="zh-CN"/>
        </w:rPr>
        <w:t>本文件按照GB/T 1.1-2020《标准化工作导则 第1部分：标准化文件的结构和起草规则》 的规定起草。</w:t>
      </w:r>
    </w:p>
    <w:p>
      <w:pPr>
        <w:pStyle w:val="23"/>
        <w:spacing w:line="400" w:lineRule="exact"/>
        <w:rPr>
          <w:rFonts w:hAnsiTheme="minorEastAsia" w:cstheme="minorEastAsia"/>
          <w:szCs w:val="21"/>
          <w:lang w:val="zh-CN"/>
        </w:rPr>
      </w:pPr>
      <w:r>
        <w:rPr>
          <w:rFonts w:hint="eastAsia" w:hAnsiTheme="minorEastAsia" w:cstheme="minorEastAsia"/>
          <w:szCs w:val="21"/>
          <w:lang w:val="zh-CN"/>
        </w:rPr>
        <w:t>本文件由中国有色金属工业协会提出并归口。</w:t>
      </w:r>
    </w:p>
    <w:p>
      <w:pPr>
        <w:pStyle w:val="23"/>
        <w:spacing w:line="400" w:lineRule="exact"/>
        <w:rPr>
          <w:rFonts w:hint="eastAsia" w:eastAsia="宋体" w:hAnsiTheme="minorEastAsia" w:cstheme="minorEastAsia"/>
          <w:szCs w:val="21"/>
          <w:lang w:val="en-US" w:eastAsia="zh-CN"/>
        </w:rPr>
      </w:pPr>
      <w:r>
        <w:rPr>
          <w:rFonts w:hint="eastAsia" w:hAnsiTheme="minorEastAsia" w:cstheme="minorEastAsia"/>
          <w:szCs w:val="21"/>
          <w:lang w:val="zh-CN"/>
        </w:rPr>
        <w:t>本文件起草单位：山东省标准化研究院、</w:t>
      </w:r>
      <w:r>
        <w:rPr>
          <w:rFonts w:hint="eastAsia" w:hAnsiTheme="minorEastAsia" w:cstheme="minorEastAsia"/>
          <w:szCs w:val="21"/>
          <w:lang w:val="en-US" w:eastAsia="zh-CN"/>
        </w:rPr>
        <w:t>紫金</w:t>
      </w:r>
      <w:r>
        <w:rPr>
          <w:rFonts w:hint="eastAsia" w:hAnsiTheme="minorEastAsia" w:cstheme="minorEastAsia"/>
          <w:szCs w:val="21"/>
          <w:lang w:val="zh-CN"/>
        </w:rPr>
        <w:t>铜业有限公司。</w:t>
      </w:r>
    </w:p>
    <w:p>
      <w:pPr>
        <w:pStyle w:val="23"/>
        <w:spacing w:line="400" w:lineRule="exact"/>
        <w:rPr>
          <w:rFonts w:hAnsiTheme="minorEastAsia" w:cstheme="minorEastAsia"/>
          <w:kern w:val="2"/>
          <w:szCs w:val="21"/>
          <w:lang w:val="zh-CN"/>
        </w:rPr>
      </w:pPr>
      <w:r>
        <w:rPr>
          <w:rFonts w:hint="eastAsia" w:hAnsiTheme="minorEastAsia" w:cstheme="minorEastAsia"/>
          <w:szCs w:val="21"/>
          <w:lang w:val="zh-CN"/>
        </w:rPr>
        <w:t>本文件主要起草人：</w:t>
      </w: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pStyle w:val="23"/>
        <w:spacing w:line="400" w:lineRule="exact"/>
        <w:rPr>
          <w:rFonts w:hAnsiTheme="minorEastAsia" w:cstheme="minorEastAsia"/>
          <w:kern w:val="2"/>
          <w:szCs w:val="21"/>
          <w:lang w:val="zh-CN"/>
        </w:rPr>
      </w:pPr>
    </w:p>
    <w:p>
      <w:pPr>
        <w:keepNext/>
        <w:pageBreakBefore/>
        <w:widowControl/>
        <w:shd w:val="clear" w:color="FFFFFF" w:fill="FFFFFF"/>
        <w:spacing w:before="640" w:after="560" w:line="460" w:lineRule="exact"/>
        <w:jc w:val="center"/>
        <w:outlineLvl w:val="0"/>
        <w:rPr>
          <w:rFonts w:ascii="黑体" w:eastAsia="黑体"/>
          <w:kern w:val="0"/>
          <w:sz w:val="32"/>
          <w:szCs w:val="20"/>
        </w:rPr>
      </w:pPr>
      <w:r>
        <w:rPr>
          <w:rFonts w:hint="eastAsia" w:ascii="黑体" w:eastAsia="黑体"/>
          <w:kern w:val="0"/>
          <w:sz w:val="32"/>
          <w:szCs w:val="20"/>
        </w:rPr>
        <w:t>目</w:t>
      </w:r>
      <w:bookmarkStart w:id="2" w:name="BKML"/>
      <w:r>
        <w:rPr>
          <w:rFonts w:ascii="黑体" w:hAnsi="黑体" w:eastAsia="黑体"/>
          <w:kern w:val="0"/>
          <w:sz w:val="32"/>
          <w:szCs w:val="20"/>
        </w:rPr>
        <w:t>  </w:t>
      </w:r>
      <w:r>
        <w:rPr>
          <w:rFonts w:hint="eastAsia" w:ascii="黑体" w:eastAsia="黑体"/>
          <w:kern w:val="0"/>
          <w:sz w:val="32"/>
          <w:szCs w:val="20"/>
        </w:rPr>
        <w:t>次</w:t>
      </w:r>
      <w:bookmarkEnd w:id="2"/>
    </w:p>
    <w:p>
      <w:pPr>
        <w:tabs>
          <w:tab w:val="right" w:leader="dot" w:pos="9241"/>
        </w:tabs>
        <w:spacing w:before="78" w:beforeLines="25" w:after="78" w:afterLines="25"/>
        <w:jc w:val="left"/>
        <w:rPr>
          <w:rFonts w:asciiTheme="minorHAnsi" w:hAnsiTheme="minorHAnsi" w:eastAsiaTheme="minorEastAsia" w:cstheme="minorBidi"/>
          <w:szCs w:val="22"/>
        </w:rPr>
      </w:pPr>
      <w:r>
        <w:rPr>
          <w:rFonts w:ascii="宋体"/>
          <w:szCs w:val="21"/>
        </w:rPr>
        <w:fldChar w:fldCharType="begin" w:fldLock="1"/>
      </w:r>
      <w:r>
        <w:rPr>
          <w:rFonts w:ascii="宋体"/>
          <w:szCs w:val="21"/>
        </w:rPr>
        <w:instrText xml:space="preserve"> TOC \h \z \t"前言、引言标题,1,参考文献、索引标题,1,章标题,1,参考文献,1,附录标识,1,一级条标题, 3" \* MERGEFORMAT </w:instrText>
      </w:r>
      <w:r>
        <w:rPr>
          <w:rFonts w:ascii="宋体"/>
          <w:szCs w:val="21"/>
        </w:rPr>
        <w:fldChar w:fldCharType="separate"/>
      </w:r>
      <w:r>
        <w:fldChar w:fldCharType="begin"/>
      </w:r>
      <w:r>
        <w:instrText xml:space="preserve"> HYPERLINK \l "_Toc46410520" </w:instrText>
      </w:r>
      <w:r>
        <w:fldChar w:fldCharType="separate"/>
      </w:r>
      <w:r>
        <w:rPr>
          <w:rFonts w:hint="eastAsia" w:ascii="宋体"/>
          <w:szCs w:val="21"/>
        </w:rPr>
        <w:t>前言</w:t>
      </w:r>
      <w:r>
        <w:rPr>
          <w:rFonts w:hint="eastAsia" w:ascii="宋体"/>
          <w:szCs w:val="21"/>
        </w:rPr>
        <w:tab/>
      </w:r>
      <w:r>
        <w:rPr>
          <w:rFonts w:hint="eastAsia" w:ascii="宋体"/>
          <w:szCs w:val="21"/>
        </w:rPr>
        <w:fldChar w:fldCharType="begin" w:fldLock="1"/>
      </w:r>
      <w:r>
        <w:rPr>
          <w:rFonts w:hint="eastAsia" w:ascii="宋体"/>
          <w:szCs w:val="21"/>
        </w:rPr>
        <w:instrText xml:space="preserve"> </w:instrText>
      </w:r>
      <w:r>
        <w:rPr>
          <w:rFonts w:ascii="宋体"/>
          <w:szCs w:val="21"/>
        </w:rPr>
        <w:instrText xml:space="preserve">PAGEREF _Toc46410520 \h</w:instrText>
      </w:r>
      <w:r>
        <w:rPr>
          <w:rFonts w:hint="eastAsia" w:ascii="宋体"/>
          <w:szCs w:val="21"/>
        </w:rPr>
        <w:instrText xml:space="preserve"> </w:instrText>
      </w:r>
      <w:r>
        <w:rPr>
          <w:rFonts w:hint="eastAsia" w:ascii="宋体"/>
          <w:szCs w:val="21"/>
        </w:rPr>
        <w:fldChar w:fldCharType="separate"/>
      </w:r>
      <w:r>
        <w:rPr>
          <w:rFonts w:ascii="宋体"/>
          <w:szCs w:val="21"/>
        </w:rPr>
        <w:t>II</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Theme="minorHAnsi" w:hAnsiTheme="minorHAnsi" w:eastAsiaTheme="minorEastAsia" w:cstheme="minorBidi"/>
          <w:szCs w:val="22"/>
        </w:rPr>
      </w:pPr>
      <w:r>
        <w:fldChar w:fldCharType="begin"/>
      </w:r>
      <w:r>
        <w:instrText xml:space="preserve"> HYPERLINK \l "_Toc46410521" </w:instrText>
      </w:r>
      <w:r>
        <w:fldChar w:fldCharType="separate"/>
      </w:r>
      <w:r>
        <w:rPr>
          <w:rFonts w:hint="eastAsia" w:ascii="宋体"/>
          <w:szCs w:val="21"/>
        </w:rPr>
        <w:t>1　范围</w:t>
      </w:r>
      <w:r>
        <w:rPr>
          <w:rFonts w:hint="eastAsia" w:ascii="宋体"/>
          <w:szCs w:val="21"/>
        </w:rPr>
        <w:tab/>
      </w:r>
      <w:r>
        <w:rPr>
          <w:rFonts w:hint="eastAsia" w:ascii="宋体"/>
          <w:szCs w:val="21"/>
        </w:rPr>
        <w:fldChar w:fldCharType="begin" w:fldLock="1"/>
      </w:r>
      <w:r>
        <w:rPr>
          <w:rFonts w:hint="eastAsia" w:ascii="宋体"/>
          <w:szCs w:val="21"/>
        </w:rPr>
        <w:instrText xml:space="preserve"> </w:instrText>
      </w:r>
      <w:r>
        <w:rPr>
          <w:rFonts w:ascii="宋体"/>
          <w:szCs w:val="21"/>
        </w:rPr>
        <w:instrText xml:space="preserve">PAGEREF _Toc46410521 \h</w:instrText>
      </w:r>
      <w:r>
        <w:rPr>
          <w:rFonts w:hint="eastAsia" w:ascii="宋体"/>
          <w:szCs w:val="21"/>
        </w:rPr>
        <w:instrText xml:space="preserve"> </w:instrText>
      </w:r>
      <w:r>
        <w:rPr>
          <w:rFonts w:hint="eastAsia" w:ascii="宋体"/>
          <w:szCs w:val="21"/>
        </w:rPr>
        <w:fldChar w:fldCharType="separate"/>
      </w:r>
      <w:r>
        <w:rPr>
          <w:rFonts w:ascii="宋体"/>
          <w:szCs w:val="21"/>
        </w:rPr>
        <w:t>1</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Theme="minorHAnsi" w:hAnsiTheme="minorHAnsi" w:eastAsiaTheme="minorEastAsia" w:cstheme="minorBidi"/>
          <w:szCs w:val="22"/>
        </w:rPr>
      </w:pPr>
      <w:r>
        <w:fldChar w:fldCharType="begin"/>
      </w:r>
      <w:r>
        <w:instrText xml:space="preserve"> HYPERLINK \l "_Toc46410522" </w:instrText>
      </w:r>
      <w:r>
        <w:fldChar w:fldCharType="separate"/>
      </w:r>
      <w:r>
        <w:rPr>
          <w:rFonts w:hint="eastAsia" w:ascii="宋体"/>
          <w:szCs w:val="21"/>
        </w:rPr>
        <w:t>2　规范性引用文件</w:t>
      </w:r>
      <w:r>
        <w:rPr>
          <w:rFonts w:hint="eastAsia" w:ascii="宋体"/>
          <w:szCs w:val="21"/>
        </w:rPr>
        <w:tab/>
      </w:r>
      <w:r>
        <w:rPr>
          <w:rFonts w:hint="eastAsia" w:ascii="宋体"/>
          <w:szCs w:val="21"/>
        </w:rPr>
        <w:fldChar w:fldCharType="begin" w:fldLock="1"/>
      </w:r>
      <w:r>
        <w:rPr>
          <w:rFonts w:hint="eastAsia" w:ascii="宋体"/>
          <w:szCs w:val="21"/>
        </w:rPr>
        <w:instrText xml:space="preserve"> </w:instrText>
      </w:r>
      <w:r>
        <w:rPr>
          <w:rFonts w:ascii="宋体"/>
          <w:szCs w:val="21"/>
        </w:rPr>
        <w:instrText xml:space="preserve">PAGEREF _Toc46410522 \h</w:instrText>
      </w:r>
      <w:r>
        <w:rPr>
          <w:rFonts w:hint="eastAsia" w:ascii="宋体"/>
          <w:szCs w:val="21"/>
        </w:rPr>
        <w:instrText xml:space="preserve"> </w:instrText>
      </w:r>
      <w:r>
        <w:rPr>
          <w:rFonts w:hint="eastAsia" w:ascii="宋体"/>
          <w:szCs w:val="21"/>
        </w:rPr>
        <w:fldChar w:fldCharType="separate"/>
      </w:r>
      <w:r>
        <w:rPr>
          <w:rFonts w:ascii="宋体"/>
          <w:szCs w:val="21"/>
        </w:rPr>
        <w:t>1</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Theme="minorHAnsi" w:hAnsiTheme="minorHAnsi" w:eastAsiaTheme="minorEastAsia" w:cstheme="minorBidi"/>
          <w:szCs w:val="22"/>
        </w:rPr>
      </w:pPr>
      <w:r>
        <w:fldChar w:fldCharType="begin"/>
      </w:r>
      <w:r>
        <w:instrText xml:space="preserve"> HYPERLINK \l "_Toc46410523" </w:instrText>
      </w:r>
      <w:r>
        <w:fldChar w:fldCharType="separate"/>
      </w:r>
      <w:r>
        <w:rPr>
          <w:rFonts w:hint="eastAsia" w:ascii="宋体"/>
          <w:szCs w:val="21"/>
        </w:rPr>
        <w:t>3　术语和定义</w:t>
      </w:r>
      <w:r>
        <w:rPr>
          <w:rFonts w:hint="eastAsia" w:ascii="宋体"/>
          <w:szCs w:val="21"/>
        </w:rPr>
        <w:tab/>
      </w:r>
      <w:r>
        <w:rPr>
          <w:rFonts w:hint="eastAsia" w:ascii="宋体"/>
          <w:szCs w:val="21"/>
        </w:rPr>
        <w:fldChar w:fldCharType="begin" w:fldLock="1"/>
      </w:r>
      <w:r>
        <w:rPr>
          <w:rFonts w:hint="eastAsia" w:ascii="宋体"/>
          <w:szCs w:val="21"/>
        </w:rPr>
        <w:instrText xml:space="preserve"> </w:instrText>
      </w:r>
      <w:r>
        <w:rPr>
          <w:rFonts w:ascii="宋体"/>
          <w:szCs w:val="21"/>
        </w:rPr>
        <w:instrText xml:space="preserve">PAGEREF _Toc46410523 \h</w:instrText>
      </w:r>
      <w:r>
        <w:rPr>
          <w:rFonts w:hint="eastAsia" w:ascii="宋体"/>
          <w:szCs w:val="21"/>
        </w:rPr>
        <w:instrText xml:space="preserve"> </w:instrText>
      </w:r>
      <w:r>
        <w:rPr>
          <w:rFonts w:hint="eastAsia" w:ascii="宋体"/>
          <w:szCs w:val="21"/>
        </w:rPr>
        <w:fldChar w:fldCharType="separate"/>
      </w:r>
      <w:r>
        <w:rPr>
          <w:rFonts w:ascii="宋体"/>
          <w:szCs w:val="21"/>
        </w:rPr>
        <w:t>1</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Theme="minorHAnsi" w:hAnsiTheme="minorHAnsi" w:eastAsiaTheme="minorEastAsia" w:cstheme="minorBidi"/>
          <w:szCs w:val="22"/>
        </w:rPr>
      </w:pPr>
      <w:r>
        <w:fldChar w:fldCharType="begin"/>
      </w:r>
      <w:r>
        <w:instrText xml:space="preserve"> HYPERLINK \l "_Toc46410525" </w:instrText>
      </w:r>
      <w:r>
        <w:fldChar w:fldCharType="separate"/>
      </w:r>
      <w:r>
        <w:rPr>
          <w:rFonts w:hint="eastAsia" w:ascii="宋体"/>
          <w:szCs w:val="21"/>
        </w:rPr>
        <w:t>4　节能监察对象及边界</w:t>
      </w:r>
      <w:r>
        <w:rPr>
          <w:rFonts w:hint="eastAsia" w:ascii="宋体"/>
          <w:szCs w:val="21"/>
        </w:rPr>
        <w:tab/>
      </w:r>
      <w:r>
        <w:rPr>
          <w:rFonts w:hint="eastAsia" w:ascii="宋体"/>
          <w:szCs w:val="21"/>
        </w:rPr>
        <w:fldChar w:fldCharType="begin" w:fldLock="1"/>
      </w:r>
      <w:r>
        <w:rPr>
          <w:rFonts w:hint="eastAsia" w:ascii="宋体"/>
          <w:szCs w:val="21"/>
        </w:rPr>
        <w:instrText xml:space="preserve"> </w:instrText>
      </w:r>
      <w:r>
        <w:rPr>
          <w:rFonts w:ascii="宋体"/>
          <w:szCs w:val="21"/>
        </w:rPr>
        <w:instrText xml:space="preserve">PAGEREF _Toc46410525 \h</w:instrText>
      </w:r>
      <w:r>
        <w:rPr>
          <w:rFonts w:hint="eastAsia" w:ascii="宋体"/>
          <w:szCs w:val="21"/>
        </w:rPr>
        <w:instrText xml:space="preserve"> </w:instrText>
      </w:r>
      <w:r>
        <w:rPr>
          <w:rFonts w:hint="eastAsia" w:ascii="宋体"/>
          <w:szCs w:val="21"/>
        </w:rPr>
        <w:fldChar w:fldCharType="separate"/>
      </w:r>
      <w:r>
        <w:rPr>
          <w:rFonts w:ascii="宋体"/>
          <w:szCs w:val="21"/>
        </w:rPr>
        <w:t>1</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Theme="minorHAnsi" w:hAnsiTheme="minorHAnsi" w:eastAsiaTheme="minorEastAsia" w:cstheme="minorBidi"/>
          <w:szCs w:val="22"/>
        </w:rPr>
      </w:pPr>
      <w:r>
        <w:fldChar w:fldCharType="begin"/>
      </w:r>
      <w:r>
        <w:instrText xml:space="preserve"> HYPERLINK \l "_Toc46410526" </w:instrText>
      </w:r>
      <w:r>
        <w:fldChar w:fldCharType="separate"/>
      </w:r>
      <w:r>
        <w:rPr>
          <w:rFonts w:hint="eastAsia" w:ascii="宋体"/>
          <w:szCs w:val="21"/>
        </w:rPr>
        <w:t>5　节能监察内容及方法</w:t>
      </w:r>
      <w:r>
        <w:rPr>
          <w:rFonts w:hint="eastAsia" w:ascii="宋体"/>
          <w:szCs w:val="21"/>
        </w:rPr>
        <w:tab/>
      </w:r>
      <w:r>
        <w:rPr>
          <w:rFonts w:hint="eastAsia" w:ascii="宋体"/>
          <w:szCs w:val="21"/>
        </w:rPr>
        <w:t>1</w:t>
      </w:r>
      <w:r>
        <w:rPr>
          <w:rFonts w:hint="eastAsia" w:ascii="宋体"/>
          <w:szCs w:val="21"/>
        </w:rPr>
        <w:fldChar w:fldCharType="end"/>
      </w:r>
    </w:p>
    <w:p>
      <w:pPr>
        <w:tabs>
          <w:tab w:val="right" w:leader="dot" w:pos="9241"/>
        </w:tabs>
        <w:spacing w:before="78" w:beforeLines="25" w:after="78" w:afterLines="25"/>
        <w:jc w:val="left"/>
        <w:rPr>
          <w:rFonts w:asciiTheme="minorHAnsi" w:hAnsiTheme="minorHAnsi" w:eastAsiaTheme="minorEastAsia" w:cstheme="minorBidi"/>
          <w:szCs w:val="22"/>
        </w:rPr>
      </w:pPr>
      <w:r>
        <w:fldChar w:fldCharType="begin"/>
      </w:r>
      <w:r>
        <w:instrText xml:space="preserve"> HYPERLINK \l "_Toc46410527" </w:instrText>
      </w:r>
      <w:r>
        <w:fldChar w:fldCharType="separate"/>
      </w:r>
      <w:r>
        <w:rPr>
          <w:rFonts w:hint="eastAsia" w:ascii="宋体"/>
          <w:szCs w:val="21"/>
        </w:rPr>
        <w:t>6　节能监察程序</w:t>
      </w:r>
      <w:r>
        <w:rPr>
          <w:rFonts w:hint="eastAsia" w:ascii="宋体"/>
          <w:szCs w:val="21"/>
        </w:rPr>
        <w:tab/>
      </w:r>
      <w:r>
        <w:rPr>
          <w:rFonts w:hint="eastAsia" w:ascii="宋体"/>
          <w:szCs w:val="21"/>
        </w:rPr>
        <w:fldChar w:fldCharType="begin" w:fldLock="1"/>
      </w:r>
      <w:r>
        <w:rPr>
          <w:rFonts w:hint="eastAsia" w:ascii="宋体"/>
          <w:szCs w:val="21"/>
        </w:rPr>
        <w:instrText xml:space="preserve"> </w:instrText>
      </w:r>
      <w:r>
        <w:rPr>
          <w:rFonts w:ascii="宋体"/>
          <w:szCs w:val="21"/>
        </w:rPr>
        <w:instrText xml:space="preserve">PAGEREF _Toc46410527 \h</w:instrText>
      </w:r>
      <w:r>
        <w:rPr>
          <w:rFonts w:hint="eastAsia" w:ascii="宋体"/>
          <w:szCs w:val="21"/>
        </w:rPr>
        <w:instrText xml:space="preserve"> </w:instrText>
      </w:r>
      <w:r>
        <w:rPr>
          <w:rFonts w:hint="eastAsia" w:ascii="宋体"/>
          <w:szCs w:val="21"/>
        </w:rPr>
        <w:fldChar w:fldCharType="separate"/>
      </w:r>
      <w:r>
        <w:rPr>
          <w:rFonts w:ascii="宋体"/>
          <w:szCs w:val="21"/>
        </w:rPr>
        <w:t>8</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宋体"/>
          <w:szCs w:val="21"/>
        </w:rPr>
      </w:pPr>
      <w:r>
        <w:rPr>
          <w:rFonts w:ascii="宋体"/>
          <w:szCs w:val="21"/>
        </w:rPr>
        <w:fldChar w:fldCharType="end"/>
      </w:r>
      <w:r>
        <w:fldChar w:fldCharType="begin"/>
      </w:r>
      <w:r>
        <w:instrText xml:space="preserve"> HYPERLINK "file:///D:\\桌面\\铜冶炼行业节能监察技术规范\\铜冶炼行业节能监察技术规范.docx" \l "_Toc43304412" </w:instrText>
      </w:r>
      <w:r>
        <w:fldChar w:fldCharType="separate"/>
      </w:r>
      <w:r>
        <w:rPr>
          <w:rFonts w:hint="eastAsia" w:ascii="宋体"/>
          <w:szCs w:val="21"/>
        </w:rPr>
        <w:t>附录A（规范性附录）　铜冶炼行业节能监察报告</w:t>
      </w:r>
      <w:r>
        <w:rPr>
          <w:rFonts w:hint="eastAsia" w:ascii="宋体"/>
          <w:szCs w:val="21"/>
        </w:rPr>
        <w:tab/>
      </w:r>
      <w:r>
        <w:rPr>
          <w:rFonts w:hint="eastAsia" w:ascii="宋体"/>
          <w:szCs w:val="21"/>
        </w:rPr>
        <w:fldChar w:fldCharType="begin" w:fldLock="1"/>
      </w:r>
      <w:r>
        <w:rPr>
          <w:rFonts w:hint="eastAsia" w:ascii="宋体"/>
          <w:szCs w:val="21"/>
        </w:rPr>
        <w:instrText xml:space="preserve"> PAGEREF _Toc43304412 \h </w:instrText>
      </w:r>
      <w:r>
        <w:rPr>
          <w:rFonts w:hint="eastAsia" w:ascii="宋体"/>
          <w:szCs w:val="21"/>
        </w:rPr>
        <w:fldChar w:fldCharType="separate"/>
      </w:r>
      <w:r>
        <w:rPr>
          <w:rFonts w:hint="eastAsia" w:ascii="宋体"/>
          <w:szCs w:val="21"/>
        </w:rPr>
        <w:t>12</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宋体"/>
          <w:szCs w:val="21"/>
        </w:rPr>
      </w:pPr>
      <w:r>
        <w:fldChar w:fldCharType="begin"/>
      </w:r>
      <w:r>
        <w:instrText xml:space="preserve"> HYPERLINK "file:///D:\\桌面\\铜冶炼行业节能监察技术规范\\铜冶炼行业节能监察技术规范.docx" \l "_Toc43304413" </w:instrText>
      </w:r>
      <w:r>
        <w:fldChar w:fldCharType="separate"/>
      </w:r>
      <w:r>
        <w:rPr>
          <w:rFonts w:hint="eastAsia" w:ascii="宋体"/>
          <w:szCs w:val="21"/>
        </w:rPr>
        <w:t>附录B（规范性附录）　铜冶炼行业节能监察工作流程示意图</w:t>
      </w:r>
      <w:r>
        <w:rPr>
          <w:rFonts w:hint="eastAsia" w:ascii="宋体"/>
          <w:szCs w:val="21"/>
        </w:rPr>
        <w:tab/>
      </w:r>
      <w:r>
        <w:rPr>
          <w:rFonts w:hint="eastAsia" w:ascii="宋体"/>
          <w:szCs w:val="21"/>
        </w:rPr>
        <w:fldChar w:fldCharType="begin" w:fldLock="1"/>
      </w:r>
      <w:r>
        <w:rPr>
          <w:rFonts w:hint="eastAsia" w:ascii="宋体"/>
          <w:szCs w:val="21"/>
        </w:rPr>
        <w:instrText xml:space="preserve"> PAGEREF _Toc43304413 \h </w:instrText>
      </w:r>
      <w:r>
        <w:rPr>
          <w:rFonts w:hint="eastAsia" w:ascii="宋体"/>
          <w:szCs w:val="21"/>
        </w:rPr>
        <w:fldChar w:fldCharType="separate"/>
      </w:r>
      <w:r>
        <w:rPr>
          <w:rFonts w:hint="eastAsia" w:ascii="宋体"/>
          <w:szCs w:val="21"/>
        </w:rPr>
        <w:t>13</w:t>
      </w:r>
      <w:r>
        <w:rPr>
          <w:rFonts w:hint="eastAsia" w:ascii="宋体"/>
          <w:szCs w:val="21"/>
        </w:rPr>
        <w:fldChar w:fldCharType="end"/>
      </w:r>
      <w:r>
        <w:rPr>
          <w:rFonts w:hint="eastAsia" w:ascii="宋体"/>
          <w:szCs w:val="21"/>
        </w:rPr>
        <w:fldChar w:fldCharType="end"/>
      </w:r>
    </w:p>
    <w:p>
      <w:pPr>
        <w:tabs>
          <w:tab w:val="right" w:leader="dot" w:pos="9241"/>
        </w:tabs>
        <w:spacing w:before="78" w:beforeLines="25" w:after="78" w:afterLines="25"/>
        <w:jc w:val="left"/>
        <w:rPr>
          <w:rFonts w:ascii="宋体"/>
          <w:szCs w:val="21"/>
        </w:rPr>
      </w:pPr>
      <w:r>
        <w:fldChar w:fldCharType="begin"/>
      </w:r>
      <w:r>
        <w:instrText xml:space="preserve"> HYPERLINK "file:///D:\\桌面\\铜冶炼行业节能监察技术规范\\铜冶炼行业节能监察技术规范.docx" \l "_Toc43304414" </w:instrText>
      </w:r>
      <w:r>
        <w:fldChar w:fldCharType="separate"/>
      </w:r>
      <w:r>
        <w:rPr>
          <w:rFonts w:hint="eastAsia" w:ascii="宋体"/>
          <w:szCs w:val="21"/>
        </w:rPr>
        <w:t>参考文献</w:t>
      </w:r>
      <w:r>
        <w:rPr>
          <w:rFonts w:hint="eastAsia" w:ascii="宋体"/>
          <w:szCs w:val="21"/>
        </w:rPr>
        <w:tab/>
      </w:r>
      <w:r>
        <w:rPr>
          <w:rFonts w:hint="eastAsia" w:ascii="宋体"/>
          <w:szCs w:val="21"/>
        </w:rPr>
        <w:fldChar w:fldCharType="begin" w:fldLock="1"/>
      </w:r>
      <w:r>
        <w:rPr>
          <w:rFonts w:hint="eastAsia" w:ascii="宋体"/>
          <w:szCs w:val="21"/>
        </w:rPr>
        <w:instrText xml:space="preserve"> PAGEREF _Toc43304414 \h </w:instrText>
      </w:r>
      <w:r>
        <w:rPr>
          <w:rFonts w:hint="eastAsia" w:ascii="宋体"/>
          <w:szCs w:val="21"/>
        </w:rPr>
        <w:fldChar w:fldCharType="separate"/>
      </w:r>
      <w:r>
        <w:rPr>
          <w:rFonts w:hint="eastAsia" w:ascii="宋体"/>
          <w:szCs w:val="21"/>
        </w:rPr>
        <w:t>14</w:t>
      </w:r>
      <w:r>
        <w:rPr>
          <w:rFonts w:hint="eastAsia" w:ascii="宋体"/>
          <w:szCs w:val="21"/>
        </w:rPr>
        <w:fldChar w:fldCharType="end"/>
      </w:r>
      <w:r>
        <w:rPr>
          <w:rFonts w:hint="eastAsia" w:ascii="宋体"/>
          <w:szCs w:val="21"/>
        </w:rPr>
        <w:fldChar w:fldCharType="end"/>
      </w:r>
    </w:p>
    <w:p>
      <w:pPr>
        <w:widowControl/>
        <w:tabs>
          <w:tab w:val="center" w:pos="4201"/>
          <w:tab w:val="right" w:leader="dot" w:pos="9298"/>
        </w:tabs>
        <w:autoSpaceDE w:val="0"/>
        <w:autoSpaceDN w:val="0"/>
        <w:rPr>
          <w:rFonts w:ascii="宋体"/>
          <w:kern w:val="0"/>
          <w:szCs w:val="20"/>
        </w:rPr>
      </w:pPr>
    </w:p>
    <w:p>
      <w:pPr>
        <w:pStyle w:val="23"/>
        <w:spacing w:line="400" w:lineRule="exact"/>
        <w:rPr>
          <w:rFonts w:hAnsiTheme="minorEastAsia" w:cstheme="minorEastAsia"/>
          <w:kern w:val="2"/>
          <w:szCs w:val="21"/>
          <w:lang w:val="zh-CN"/>
        </w:rPr>
      </w:pPr>
    </w:p>
    <w:p>
      <w:pPr>
        <w:pStyle w:val="23"/>
        <w:spacing w:line="400" w:lineRule="exact"/>
        <w:rPr>
          <w:rFonts w:asciiTheme="minorEastAsia" w:hAnsiTheme="minorEastAsia" w:eastAsiaTheme="minorEastAsia" w:cstheme="minorEastAsia"/>
          <w:szCs w:val="21"/>
        </w:rPr>
        <w:sectPr>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48"/>
        <w:spacing w:before="62" w:beforeLines="20" w:after="62" w:afterLines="20" w:line="400" w:lineRule="exact"/>
        <w:rPr>
          <w:rFonts w:hAnsiTheme="minorEastAsia" w:cstheme="minorEastAsia"/>
          <w:bCs/>
          <w:szCs w:val="32"/>
        </w:rPr>
      </w:pPr>
      <w:r>
        <w:rPr>
          <w:rFonts w:hint="eastAsia" w:hAnsiTheme="minorEastAsia" w:cstheme="minorEastAsia"/>
          <w:bCs/>
          <w:szCs w:val="32"/>
        </w:rPr>
        <w:t>铜冶炼行业节能监察技术规范</w:t>
      </w:r>
    </w:p>
    <w:p>
      <w:pPr>
        <w:pStyle w:val="43"/>
        <w:numPr>
          <w:ilvl w:val="0"/>
          <w:numId w:val="16"/>
        </w:numPr>
        <w:spacing w:before="312" w:after="312" w:line="400" w:lineRule="exact"/>
        <w:rPr>
          <w:rFonts w:hAnsi="黑体" w:cstheme="minorEastAsia"/>
          <w:bCs/>
          <w:szCs w:val="21"/>
        </w:rPr>
      </w:pPr>
      <w:r>
        <w:rPr>
          <w:rFonts w:hint="eastAsia" w:hAnsi="黑体" w:cstheme="minorEastAsia"/>
          <w:bCs/>
          <w:szCs w:val="21"/>
        </w:rPr>
        <w:t>范围</w:t>
      </w:r>
    </w:p>
    <w:p>
      <w:pPr>
        <w:pStyle w:val="43"/>
        <w:spacing w:beforeLines="0" w:afterLines="0" w:line="400" w:lineRule="exact"/>
        <w:ind w:firstLine="420" w:firstLineChars="200"/>
        <w:rPr>
          <w:rFonts w:ascii="宋体" w:hAnsi="宋体" w:eastAsia="宋体" w:cstheme="minorEastAsia"/>
          <w:szCs w:val="21"/>
        </w:rPr>
      </w:pPr>
      <w:r>
        <w:rPr>
          <w:rFonts w:hint="eastAsia" w:ascii="宋体" w:hAnsi="宋体" w:eastAsia="宋体" w:cstheme="minorEastAsia"/>
          <w:szCs w:val="21"/>
        </w:rPr>
        <w:t>本文件规定了铜冶炼行业开展节能监察的监察对象与边界、节能监察内容及方法、节能监察程序等。</w:t>
      </w:r>
    </w:p>
    <w:p>
      <w:pPr>
        <w:pStyle w:val="43"/>
        <w:spacing w:beforeLines="0" w:afterLines="0" w:line="400" w:lineRule="exact"/>
        <w:ind w:firstLine="420" w:firstLineChars="200"/>
        <w:rPr>
          <w:rFonts w:ascii="宋体" w:hAnsi="宋体" w:eastAsia="宋体" w:cstheme="minorEastAsia"/>
          <w:szCs w:val="21"/>
        </w:rPr>
      </w:pPr>
      <w:r>
        <w:rPr>
          <w:rFonts w:hint="eastAsia" w:ascii="宋体" w:hAnsi="宋体" w:eastAsia="宋体" w:cstheme="minorEastAsia"/>
          <w:szCs w:val="21"/>
        </w:rPr>
        <w:t>本文件适用于对铜冶炼企业的节能监察与企业节能自查。</w:t>
      </w:r>
    </w:p>
    <w:p>
      <w:pPr>
        <w:pStyle w:val="43"/>
        <w:numPr>
          <w:ilvl w:val="0"/>
          <w:numId w:val="16"/>
        </w:numPr>
        <w:spacing w:before="312" w:after="312" w:line="400" w:lineRule="exact"/>
        <w:rPr>
          <w:rFonts w:hAnsi="黑体" w:cstheme="minorEastAsia"/>
          <w:bCs/>
          <w:szCs w:val="21"/>
        </w:rPr>
      </w:pPr>
      <w:r>
        <w:rPr>
          <w:rFonts w:hint="eastAsia" w:hAnsi="黑体" w:cstheme="minorEastAsia"/>
          <w:bCs/>
          <w:szCs w:val="21"/>
        </w:rPr>
        <w:t>规范性引用文件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2589 </w:t>
      </w:r>
      <w:r>
        <w:rPr>
          <w:rFonts w:hint="eastAsia"/>
          <w:kern w:val="0"/>
          <w:szCs w:val="20"/>
        </w:rPr>
        <w:t>综合能耗计算通则</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13234 </w:t>
      </w:r>
      <w:r>
        <w:rPr>
          <w:rFonts w:hint="eastAsia"/>
          <w:kern w:val="0"/>
          <w:szCs w:val="20"/>
        </w:rPr>
        <w:t>用能单位节能量计算方法</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20902 </w:t>
      </w:r>
      <w:r>
        <w:rPr>
          <w:rFonts w:hint="eastAsia"/>
          <w:kern w:val="0"/>
          <w:szCs w:val="20"/>
        </w:rPr>
        <w:t>有色金属冶炼企业能源计量器具配备和管理要求</w:t>
      </w:r>
    </w:p>
    <w:p>
      <w:pPr>
        <w:widowControl/>
        <w:tabs>
          <w:tab w:val="center" w:pos="4201"/>
          <w:tab w:val="right" w:leader="dot" w:pos="9298"/>
        </w:tabs>
        <w:autoSpaceDE w:val="0"/>
        <w:autoSpaceDN w:val="0"/>
        <w:ind w:firstLine="420" w:firstLineChars="200"/>
        <w:rPr>
          <w:kern w:val="0"/>
          <w:szCs w:val="20"/>
        </w:rPr>
      </w:pPr>
      <w:r>
        <w:rPr>
          <w:kern w:val="0"/>
          <w:szCs w:val="20"/>
        </w:rPr>
        <w:t xml:space="preserve">GB 21248 </w:t>
      </w:r>
      <w:r>
        <w:rPr>
          <w:rFonts w:hint="eastAsia"/>
          <w:kern w:val="0"/>
          <w:szCs w:val="20"/>
        </w:rPr>
        <w:t>铜冶炼企业单位产品能源消耗限额</w:t>
      </w:r>
    </w:p>
    <w:p>
      <w:pPr>
        <w:widowControl/>
        <w:tabs>
          <w:tab w:val="center" w:pos="4201"/>
          <w:tab w:val="right" w:leader="dot" w:pos="9298"/>
        </w:tabs>
        <w:autoSpaceDE w:val="0"/>
        <w:autoSpaceDN w:val="0"/>
        <w:ind w:firstLine="420" w:firstLineChars="200"/>
        <w:rPr>
          <w:kern w:val="0"/>
          <w:szCs w:val="20"/>
        </w:rPr>
      </w:pPr>
      <w:r>
        <w:rPr>
          <w:kern w:val="0"/>
          <w:szCs w:val="20"/>
        </w:rPr>
        <w:t xml:space="preserve">GB/T 23331 </w:t>
      </w:r>
      <w:r>
        <w:rPr>
          <w:rFonts w:hint="eastAsia"/>
          <w:kern w:val="0"/>
          <w:szCs w:val="20"/>
        </w:rPr>
        <w:t>能源管理体系</w:t>
      </w:r>
      <w:r>
        <w:rPr>
          <w:kern w:val="0"/>
          <w:szCs w:val="20"/>
        </w:rPr>
        <w:t xml:space="preserve"> </w:t>
      </w:r>
      <w:r>
        <w:rPr>
          <w:rFonts w:hint="eastAsia"/>
          <w:kern w:val="0"/>
          <w:szCs w:val="20"/>
        </w:rPr>
        <w:t>要求</w:t>
      </w:r>
    </w:p>
    <w:p>
      <w:pPr>
        <w:pStyle w:val="43"/>
        <w:numPr>
          <w:ilvl w:val="0"/>
          <w:numId w:val="16"/>
        </w:numPr>
        <w:spacing w:before="312" w:after="312"/>
        <w:ind w:left="0" w:firstLine="0"/>
      </w:pPr>
      <w:r>
        <w:rPr>
          <w:rFonts w:hint="eastAsia"/>
        </w:rPr>
        <w:t>术语和定义</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下列术语和定义适用于本文件。</w:t>
      </w:r>
    </w:p>
    <w:p>
      <w:pPr>
        <w:pStyle w:val="144"/>
        <w:widowControl/>
        <w:numPr>
          <w:ilvl w:val="0"/>
          <w:numId w:val="17"/>
        </w:numPr>
        <w:spacing w:before="156" w:beforeLines="50" w:after="156" w:afterLines="50"/>
        <w:ind w:firstLineChars="0"/>
        <w:jc w:val="left"/>
        <w:outlineLvl w:val="2"/>
        <w:rPr>
          <w:rFonts w:ascii="黑体" w:eastAsia="黑体"/>
          <w:vanish/>
          <w:kern w:val="0"/>
          <w:szCs w:val="21"/>
        </w:rPr>
      </w:pPr>
    </w:p>
    <w:p>
      <w:pPr>
        <w:pStyle w:val="144"/>
        <w:widowControl/>
        <w:numPr>
          <w:ilvl w:val="0"/>
          <w:numId w:val="17"/>
        </w:numPr>
        <w:spacing w:before="156" w:beforeLines="50" w:after="156" w:afterLines="50"/>
        <w:ind w:firstLineChars="0"/>
        <w:jc w:val="left"/>
        <w:outlineLvl w:val="2"/>
        <w:rPr>
          <w:rFonts w:ascii="黑体" w:eastAsia="黑体"/>
          <w:vanish/>
          <w:kern w:val="0"/>
          <w:szCs w:val="21"/>
        </w:rPr>
      </w:pPr>
    </w:p>
    <w:p>
      <w:pPr>
        <w:pStyle w:val="144"/>
        <w:widowControl/>
        <w:numPr>
          <w:ilvl w:val="0"/>
          <w:numId w:val="17"/>
        </w:numPr>
        <w:spacing w:before="156" w:beforeLines="50" w:after="156" w:afterLines="50"/>
        <w:ind w:firstLineChars="0"/>
        <w:jc w:val="left"/>
        <w:outlineLvl w:val="2"/>
        <w:rPr>
          <w:rFonts w:ascii="黑体" w:eastAsia="黑体"/>
          <w:vanish/>
          <w:kern w:val="0"/>
          <w:szCs w:val="21"/>
        </w:rPr>
      </w:pPr>
    </w:p>
    <w:p>
      <w:pPr>
        <w:pStyle w:val="144"/>
        <w:widowControl/>
        <w:numPr>
          <w:ilvl w:val="1"/>
          <w:numId w:val="17"/>
        </w:numPr>
        <w:spacing w:before="156" w:beforeLines="50" w:after="156" w:afterLines="50"/>
        <w:ind w:firstLineChars="0"/>
        <w:jc w:val="left"/>
        <w:outlineLvl w:val="2"/>
        <w:rPr>
          <w:rFonts w:ascii="黑体" w:eastAsia="黑体"/>
          <w:vanish/>
          <w:kern w:val="0"/>
          <w:szCs w:val="21"/>
        </w:rPr>
      </w:pPr>
    </w:p>
    <w:p>
      <w:pPr>
        <w:pStyle w:val="40"/>
        <w:numPr>
          <w:ilvl w:val="2"/>
          <w:numId w:val="17"/>
        </w:numPr>
        <w:spacing w:before="156" w:after="156"/>
      </w:pPr>
    </w:p>
    <w:p>
      <w:pPr>
        <w:widowControl/>
        <w:spacing w:before="156" w:beforeLines="50" w:after="156" w:afterLines="50"/>
        <w:ind w:firstLine="420" w:firstLineChars="200"/>
        <w:jc w:val="left"/>
        <w:outlineLvl w:val="2"/>
        <w:rPr>
          <w:rFonts w:ascii="黑体" w:eastAsia="黑体"/>
          <w:kern w:val="0"/>
          <w:szCs w:val="21"/>
        </w:rPr>
      </w:pPr>
      <w:bookmarkStart w:id="3" w:name="_Toc30148379"/>
      <w:r>
        <w:rPr>
          <w:rFonts w:hint="eastAsia" w:ascii="黑体" w:eastAsia="黑体"/>
          <w:kern w:val="0"/>
          <w:szCs w:val="21"/>
        </w:rPr>
        <w:t xml:space="preserve">铜冶炼行业节能监察 energy saving supervision in </w:t>
      </w:r>
      <w:bookmarkEnd w:id="3"/>
      <w:r>
        <w:rPr>
          <w:rFonts w:hint="eastAsia" w:ascii="黑体" w:eastAsia="黑体"/>
          <w:kern w:val="0"/>
          <w:szCs w:val="21"/>
        </w:rPr>
        <w:t>copper smelting industry</w:t>
      </w:r>
    </w:p>
    <w:p>
      <w:pPr>
        <w:widowControl/>
        <w:tabs>
          <w:tab w:val="center" w:pos="4201"/>
          <w:tab w:val="right" w:leader="dot" w:pos="9298"/>
        </w:tabs>
        <w:autoSpaceDE w:val="0"/>
        <w:autoSpaceDN w:val="0"/>
        <w:ind w:firstLine="420" w:firstLineChars="200"/>
        <w:rPr>
          <w:rFonts w:hint="eastAsia" w:ascii="宋体"/>
          <w:kern w:val="0"/>
          <w:szCs w:val="20"/>
        </w:rPr>
      </w:pPr>
      <w:r>
        <w:rPr>
          <w:rFonts w:hint="eastAsia" w:ascii="宋体"/>
          <w:kern w:val="0"/>
          <w:szCs w:val="20"/>
          <w:lang w:eastAsia="zh-CN"/>
        </w:rPr>
        <w:t>各级</w:t>
      </w:r>
      <w:r>
        <w:rPr>
          <w:rFonts w:hint="eastAsia" w:ascii="宋体"/>
          <w:kern w:val="0"/>
          <w:szCs w:val="20"/>
        </w:rPr>
        <w:t>节能监察机构依法对铜冶炼企业执行节能</w:t>
      </w:r>
      <w:r>
        <w:rPr>
          <w:rFonts w:hint="eastAsia" w:ascii="宋体"/>
          <w:kern w:val="0"/>
          <w:szCs w:val="20"/>
          <w:lang w:eastAsia="zh-CN"/>
        </w:rPr>
        <w:t>相关</w:t>
      </w:r>
      <w:r>
        <w:rPr>
          <w:rFonts w:hint="eastAsia" w:ascii="宋体"/>
          <w:kern w:val="0"/>
          <w:szCs w:val="20"/>
        </w:rPr>
        <w:t>关法律法规和标准</w:t>
      </w:r>
      <w:r>
        <w:rPr>
          <w:rFonts w:hint="eastAsia" w:ascii="宋体"/>
          <w:kern w:val="0"/>
          <w:szCs w:val="20"/>
          <w:lang w:eastAsia="zh-CN"/>
        </w:rPr>
        <w:t>的</w:t>
      </w:r>
      <w:r>
        <w:rPr>
          <w:rFonts w:hint="eastAsia" w:ascii="宋体"/>
          <w:kern w:val="0"/>
          <w:szCs w:val="20"/>
        </w:rPr>
        <w:t>情况进行监督</w:t>
      </w:r>
      <w:r>
        <w:rPr>
          <w:rFonts w:hint="eastAsia" w:ascii="宋体"/>
          <w:kern w:val="0"/>
          <w:szCs w:val="20"/>
          <w:lang w:eastAsia="zh-CN"/>
        </w:rPr>
        <w:t>核查</w:t>
      </w:r>
      <w:r>
        <w:rPr>
          <w:rFonts w:hint="eastAsia" w:ascii="宋体"/>
          <w:kern w:val="0"/>
          <w:szCs w:val="20"/>
        </w:rPr>
        <w:t>的行为。</w:t>
      </w:r>
    </w:p>
    <w:p>
      <w:pPr>
        <w:pStyle w:val="43"/>
        <w:numPr>
          <w:ilvl w:val="0"/>
          <w:numId w:val="16"/>
        </w:numPr>
        <w:spacing w:before="312" w:after="312"/>
        <w:ind w:left="0" w:firstLine="0"/>
      </w:pPr>
      <w:r>
        <w:rPr>
          <w:rFonts w:hint="eastAsia"/>
        </w:rPr>
        <w:t>节能监察对象及边界</w:t>
      </w:r>
    </w:p>
    <w:p>
      <w:pPr>
        <w:pStyle w:val="144"/>
        <w:widowControl/>
        <w:numPr>
          <w:ilvl w:val="0"/>
          <w:numId w:val="17"/>
        </w:numPr>
        <w:spacing w:before="156" w:beforeLines="50" w:after="156" w:afterLines="50"/>
        <w:ind w:firstLineChars="0"/>
        <w:jc w:val="left"/>
        <w:outlineLvl w:val="2"/>
        <w:rPr>
          <w:rFonts w:ascii="黑体" w:eastAsia="黑体"/>
          <w:vanish/>
          <w:kern w:val="0"/>
          <w:szCs w:val="21"/>
        </w:rPr>
      </w:pPr>
    </w:p>
    <w:p>
      <w:pPr>
        <w:pStyle w:val="144"/>
        <w:widowControl/>
        <w:numPr>
          <w:ilvl w:val="1"/>
          <w:numId w:val="17"/>
        </w:numPr>
        <w:spacing w:before="156" w:beforeLines="50" w:after="156" w:afterLines="50"/>
        <w:ind w:firstLineChars="0"/>
        <w:jc w:val="left"/>
        <w:outlineLvl w:val="2"/>
        <w:rPr>
          <w:rFonts w:ascii="黑体" w:eastAsia="黑体"/>
          <w:vanish/>
          <w:kern w:val="0"/>
          <w:szCs w:val="21"/>
        </w:rPr>
      </w:pPr>
    </w:p>
    <w:p>
      <w:pPr>
        <w:pStyle w:val="144"/>
        <w:widowControl/>
        <w:numPr>
          <w:ilvl w:val="2"/>
          <w:numId w:val="17"/>
        </w:numPr>
        <w:spacing w:before="156" w:beforeLines="50" w:after="156" w:afterLines="50"/>
        <w:ind w:firstLineChars="0"/>
        <w:jc w:val="left"/>
        <w:outlineLvl w:val="2"/>
        <w:rPr>
          <w:rFonts w:ascii="黑体" w:eastAsia="黑体"/>
          <w:vanish/>
          <w:kern w:val="0"/>
          <w:szCs w:val="21"/>
        </w:rPr>
      </w:pPr>
    </w:p>
    <w:p>
      <w:pPr>
        <w:widowControl/>
        <w:numPr>
          <w:ilvl w:val="2"/>
          <w:numId w:val="17"/>
        </w:numPr>
        <w:tabs>
          <w:tab w:val="left" w:pos="360"/>
        </w:tabs>
        <w:spacing w:before="156" w:beforeLines="50"/>
        <w:ind w:left="0" w:firstLine="0"/>
        <w:jc w:val="left"/>
        <w:outlineLvl w:val="2"/>
        <w:rPr>
          <w:rFonts w:ascii="黑体" w:eastAsia="黑体"/>
          <w:kern w:val="0"/>
          <w:szCs w:val="21"/>
        </w:rPr>
      </w:pPr>
      <w:r>
        <w:rPr>
          <w:rFonts w:hint="eastAsia" w:ascii="黑体" w:eastAsia="黑体"/>
          <w:kern w:val="0"/>
          <w:szCs w:val="21"/>
        </w:rPr>
        <w:t xml:space="preserve"> </w:t>
      </w:r>
      <w:r>
        <w:rPr>
          <w:rFonts w:ascii="黑体" w:eastAsia="黑体"/>
          <w:kern w:val="0"/>
          <w:szCs w:val="21"/>
        </w:rPr>
        <w:t xml:space="preserve"> </w:t>
      </w:r>
      <w:r>
        <w:rPr>
          <w:rFonts w:hint="eastAsia" w:ascii="黑体" w:eastAsia="黑体"/>
          <w:kern w:val="0"/>
          <w:szCs w:val="21"/>
        </w:rPr>
        <w:t>监察对象</w:t>
      </w:r>
    </w:p>
    <w:p>
      <w:pPr>
        <w:widowControl/>
        <w:spacing w:before="156" w:beforeLines="50" w:after="156" w:afterLines="50"/>
        <w:ind w:firstLine="420" w:firstLineChars="200"/>
        <w:jc w:val="left"/>
        <w:outlineLvl w:val="3"/>
        <w:rPr>
          <w:rFonts w:ascii="宋体"/>
          <w:kern w:val="0"/>
          <w:szCs w:val="20"/>
        </w:rPr>
      </w:pPr>
      <w:r>
        <w:rPr>
          <w:rFonts w:hint="eastAsia" w:ascii="宋体"/>
          <w:kern w:val="0"/>
          <w:szCs w:val="20"/>
        </w:rPr>
        <w:t>监察企业对象为铜冶炼企业，包括以铜精矿、粗铜、废杂铜为原料的铜冶炼企业，不包括处理含铜电子废料的粗铜冶炼工艺、含铜矿石直接堆浸工艺以及企业内部含铜废料的综合回收。</w:t>
      </w:r>
    </w:p>
    <w:p>
      <w:pPr>
        <w:widowControl/>
        <w:numPr>
          <w:ilvl w:val="2"/>
          <w:numId w:val="17"/>
        </w:numPr>
        <w:tabs>
          <w:tab w:val="left" w:pos="360"/>
        </w:tabs>
        <w:spacing w:before="156" w:beforeLines="50"/>
        <w:ind w:left="0" w:firstLine="0"/>
        <w:jc w:val="left"/>
        <w:outlineLvl w:val="2"/>
        <w:rPr>
          <w:rFonts w:ascii="黑体" w:eastAsia="黑体"/>
          <w:kern w:val="0"/>
          <w:szCs w:val="21"/>
        </w:rPr>
      </w:pPr>
      <w:r>
        <w:rPr>
          <w:rFonts w:hint="eastAsia" w:ascii="黑体" w:eastAsia="黑体"/>
          <w:kern w:val="0"/>
          <w:szCs w:val="21"/>
        </w:rPr>
        <w:t xml:space="preserve"> </w:t>
      </w:r>
      <w:r>
        <w:rPr>
          <w:rFonts w:ascii="黑体" w:eastAsia="黑体"/>
          <w:kern w:val="0"/>
          <w:szCs w:val="21"/>
        </w:rPr>
        <w:t xml:space="preserve"> </w:t>
      </w:r>
      <w:r>
        <w:rPr>
          <w:rFonts w:hint="eastAsia" w:ascii="黑体" w:eastAsia="黑体"/>
          <w:kern w:val="0"/>
          <w:szCs w:val="21"/>
        </w:rPr>
        <w:t>监察边界</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对熔炼工序的监察应涵盖从铜精矿仓开始到产出冰铜为止的全过程，包括备料（预干燥、配料、干燥、烧结、制团、物料运输等）、制氧、熔炼炉、贫化炉及相关配套系统（风机、收尘、余热回收、循环水等）等能源消耗情况。</w:t>
      </w:r>
    </w:p>
    <w:p>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对吹炼工序的监察应涵盖从冰铜开始到产出粗铜为止的全过程，包括：包子吊、吹炼炉及相关配套系统（风机、加料机、吹炼炉附属设备、铸渣机、余热回收、收尘设备等）等能源消耗情况。</w:t>
      </w:r>
    </w:p>
    <w:p>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lang w:eastAsia="zh-CN"/>
        </w:rPr>
        <w:t>对火法精炼工序的监察应涵盖从粗铜开始到产出阳极铜为止的全过程，包括：精炼炉、浇铸机及相关配套设备在</w:t>
      </w:r>
      <w:r>
        <w:rPr>
          <w:rFonts w:hint="eastAsia" w:ascii="宋体" w:hAnsi="宋体"/>
          <w:kern w:val="0"/>
          <w:szCs w:val="20"/>
        </w:rPr>
        <w:t>加料升温、氧化、还原、浇铸四个周期</w:t>
      </w:r>
      <w:r>
        <w:rPr>
          <w:rFonts w:hint="eastAsia" w:ascii="宋体" w:hAnsi="宋体"/>
          <w:kern w:val="0"/>
          <w:szCs w:val="20"/>
          <w:lang w:eastAsia="zh-CN"/>
        </w:rPr>
        <w:t>的能源消耗情况。</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对电解精炼工序的监察应包括电解、净液及相关配套系统（变压整流、吊车、电解专用机组、电解液循环加温系统、保温系统、种板系统、风机、空调）等能源消耗情况。</w:t>
      </w:r>
    </w:p>
    <w:p>
      <w:pPr>
        <w:widowControl/>
        <w:spacing w:before="156" w:beforeLines="50"/>
        <w:jc w:val="left"/>
        <w:outlineLvl w:val="2"/>
        <w:rPr>
          <w:rFonts w:ascii="黑体" w:eastAsia="黑体"/>
          <w:kern w:val="0"/>
          <w:szCs w:val="21"/>
        </w:rPr>
      </w:pPr>
      <w:r>
        <w:rPr>
          <w:rFonts w:hint="eastAsia" w:ascii="黑体" w:eastAsia="黑体"/>
          <w:kern w:val="0"/>
          <w:szCs w:val="21"/>
        </w:rPr>
        <w:t>5　节能监察内容及方法</w:t>
      </w:r>
    </w:p>
    <w:p>
      <w:pPr>
        <w:pStyle w:val="144"/>
        <w:widowControl/>
        <w:numPr>
          <w:ilvl w:val="0"/>
          <w:numId w:val="18"/>
        </w:numPr>
        <w:spacing w:before="156" w:beforeLines="50"/>
        <w:ind w:firstLineChars="0"/>
        <w:jc w:val="left"/>
        <w:outlineLvl w:val="2"/>
        <w:rPr>
          <w:rFonts w:ascii="黑体" w:eastAsia="黑体"/>
          <w:vanish/>
          <w:kern w:val="0"/>
          <w:szCs w:val="21"/>
        </w:rPr>
      </w:pPr>
      <w:bookmarkStart w:id="4" w:name="_Toc41552768"/>
      <w:bookmarkStart w:id="5" w:name="_Toc43304406"/>
      <w:bookmarkStart w:id="6" w:name="_Toc41552751"/>
      <w:bookmarkStart w:id="7" w:name="_Toc41549927"/>
      <w:bookmarkStart w:id="8" w:name="_Toc41549911"/>
    </w:p>
    <w:p>
      <w:pPr>
        <w:pStyle w:val="144"/>
        <w:widowControl/>
        <w:numPr>
          <w:ilvl w:val="0"/>
          <w:numId w:val="18"/>
        </w:numPr>
        <w:spacing w:before="156" w:beforeLines="50"/>
        <w:ind w:firstLineChars="0"/>
        <w:jc w:val="left"/>
        <w:outlineLvl w:val="2"/>
        <w:rPr>
          <w:rFonts w:ascii="黑体" w:eastAsia="黑体"/>
          <w:vanish/>
          <w:kern w:val="0"/>
          <w:szCs w:val="21"/>
        </w:rPr>
      </w:pPr>
    </w:p>
    <w:p>
      <w:pPr>
        <w:pStyle w:val="144"/>
        <w:widowControl/>
        <w:numPr>
          <w:ilvl w:val="0"/>
          <w:numId w:val="18"/>
        </w:numPr>
        <w:spacing w:before="156" w:beforeLines="50"/>
        <w:ind w:firstLineChars="0"/>
        <w:jc w:val="left"/>
        <w:outlineLvl w:val="2"/>
        <w:rPr>
          <w:rFonts w:ascii="黑体" w:eastAsia="黑体"/>
          <w:vanish/>
          <w:kern w:val="0"/>
          <w:szCs w:val="21"/>
        </w:rPr>
      </w:pPr>
    </w:p>
    <w:p>
      <w:pPr>
        <w:pStyle w:val="144"/>
        <w:widowControl/>
        <w:numPr>
          <w:ilvl w:val="0"/>
          <w:numId w:val="18"/>
        </w:numPr>
        <w:spacing w:before="156" w:beforeLines="50"/>
        <w:ind w:firstLineChars="0"/>
        <w:jc w:val="left"/>
        <w:outlineLvl w:val="2"/>
        <w:rPr>
          <w:rFonts w:ascii="黑体" w:eastAsia="黑体"/>
          <w:vanish/>
          <w:kern w:val="0"/>
          <w:szCs w:val="21"/>
        </w:rPr>
      </w:pPr>
    </w:p>
    <w:p>
      <w:pPr>
        <w:pStyle w:val="144"/>
        <w:widowControl/>
        <w:numPr>
          <w:ilvl w:val="0"/>
          <w:numId w:val="18"/>
        </w:numPr>
        <w:spacing w:before="156" w:beforeLines="50"/>
        <w:ind w:firstLineChars="0"/>
        <w:jc w:val="left"/>
        <w:outlineLvl w:val="2"/>
        <w:rPr>
          <w:rFonts w:ascii="黑体" w:eastAsia="黑体"/>
          <w:vanish/>
          <w:kern w:val="0"/>
          <w:szCs w:val="21"/>
        </w:rPr>
      </w:pPr>
    </w:p>
    <w:p>
      <w:pPr>
        <w:widowControl/>
        <w:numPr>
          <w:ilvl w:val="1"/>
          <w:numId w:val="18"/>
        </w:numPr>
        <w:spacing w:before="156" w:beforeLines="50"/>
        <w:ind w:left="0"/>
        <w:jc w:val="left"/>
        <w:outlineLvl w:val="2"/>
        <w:rPr>
          <w:rFonts w:ascii="黑体" w:eastAsia="黑体"/>
          <w:kern w:val="0"/>
          <w:szCs w:val="21"/>
        </w:rPr>
      </w:pPr>
      <w:r>
        <w:rPr>
          <w:rFonts w:hint="eastAsia" w:ascii="黑体" w:eastAsia="黑体"/>
          <w:kern w:val="0"/>
          <w:szCs w:val="21"/>
        </w:rPr>
        <w:t>企业执行单位产品能耗限额标准情况</w:t>
      </w:r>
      <w:bookmarkEnd w:id="4"/>
      <w:bookmarkEnd w:id="5"/>
      <w:bookmarkEnd w:id="6"/>
      <w:bookmarkEnd w:id="7"/>
      <w:bookmarkEnd w:id="8"/>
    </w:p>
    <w:p>
      <w:pPr>
        <w:pStyle w:val="144"/>
        <w:widowControl/>
        <w:numPr>
          <w:ilvl w:val="0"/>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pStyle w:val="144"/>
        <w:widowControl/>
        <w:numPr>
          <w:ilvl w:val="0"/>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pStyle w:val="144"/>
        <w:widowControl/>
        <w:numPr>
          <w:ilvl w:val="0"/>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pStyle w:val="144"/>
        <w:widowControl/>
        <w:numPr>
          <w:ilvl w:val="0"/>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pStyle w:val="144"/>
        <w:widowControl/>
        <w:numPr>
          <w:ilvl w:val="0"/>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pStyle w:val="144"/>
        <w:widowControl/>
        <w:numPr>
          <w:ilvl w:val="1"/>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pStyle w:val="144"/>
        <w:widowControl/>
        <w:numPr>
          <w:ilvl w:val="2"/>
          <w:numId w:val="19"/>
        </w:numPr>
        <w:spacing w:before="156" w:beforeLines="50" w:after="156" w:afterLines="50"/>
        <w:ind w:firstLineChars="0"/>
        <w:jc w:val="left"/>
        <w:outlineLvl w:val="3"/>
        <w:rPr>
          <w:rFonts w:asciiTheme="minorEastAsia" w:hAnsiTheme="minorEastAsia" w:eastAsiaTheme="minorEastAsia"/>
          <w:vanish/>
          <w:kern w:val="0"/>
          <w:szCs w:val="21"/>
        </w:rPr>
      </w:pPr>
    </w:p>
    <w:p>
      <w:pPr>
        <w:widowControl/>
        <w:spacing w:before="156" w:beforeLines="50" w:after="156" w:afterLines="50"/>
        <w:jc w:val="left"/>
        <w:outlineLvl w:val="3"/>
        <w:rPr>
          <w:rFonts w:asciiTheme="minorEastAsia" w:hAnsiTheme="minorEastAsia" w:eastAsiaTheme="minorEastAsia"/>
          <w:kern w:val="0"/>
          <w:szCs w:val="21"/>
        </w:rPr>
      </w:pPr>
      <w:r>
        <w:rPr>
          <w:rFonts w:ascii="黑体" w:hAnsi="黑体" w:eastAsia="黑体"/>
          <w:kern w:val="0"/>
          <w:szCs w:val="21"/>
        </w:rPr>
        <w:t xml:space="preserve">5.1.1  </w:t>
      </w:r>
      <w:r>
        <w:rPr>
          <w:rFonts w:hint="eastAsia" w:asciiTheme="minorEastAsia" w:hAnsiTheme="minorEastAsia" w:eastAsiaTheme="minorEastAsia"/>
          <w:kern w:val="0"/>
          <w:szCs w:val="21"/>
        </w:rPr>
        <w:t>通过沟通交流、查阅资料、现场查勘等方式，掌握企业基本情况，包括：</w:t>
      </w:r>
    </w:p>
    <w:p>
      <w:pPr>
        <w:pStyle w:val="46"/>
        <w:ind w:left="833" w:hanging="408"/>
      </w:pPr>
      <w:r>
        <w:rPr>
          <w:rFonts w:hint="eastAsia"/>
        </w:rPr>
        <w:t>——粗铜或阳极铜、电解铜的生产能力；</w:t>
      </w:r>
    </w:p>
    <w:p>
      <w:pPr>
        <w:pStyle w:val="46"/>
        <w:ind w:left="833" w:hanging="408"/>
      </w:pPr>
      <w:r>
        <w:rPr>
          <w:rFonts w:hint="eastAsia"/>
        </w:rPr>
        <w:t>——主要生产工序，包括熔炼、吹炼、火法精炼、电解精炼等；</w:t>
      </w:r>
    </w:p>
    <w:p>
      <w:pPr>
        <w:pStyle w:val="46"/>
        <w:ind w:left="833" w:hanging="408"/>
        <w:rPr>
          <w:rFonts w:hint="eastAsia"/>
          <w:szCs w:val="22"/>
        </w:rPr>
      </w:pPr>
      <w:r>
        <w:rPr>
          <w:rFonts w:hint="eastAsia"/>
          <w:szCs w:val="22"/>
        </w:rPr>
        <w:t>——主要用能设备（装置）规格型号和运行状态，包括</w:t>
      </w:r>
      <w:r>
        <w:rPr>
          <w:rFonts w:hint="eastAsia"/>
          <w:szCs w:val="22"/>
          <w:lang w:eastAsia="zh-CN"/>
        </w:rPr>
        <w:t>熔炼炉、吹炼炉、精炼炉</w:t>
      </w:r>
      <w:r>
        <w:rPr>
          <w:rFonts w:hint="eastAsia"/>
          <w:szCs w:val="22"/>
        </w:rPr>
        <w:t>、电解槽、变压器、</w:t>
      </w:r>
      <w:r>
        <w:rPr>
          <w:rFonts w:hint="eastAsia"/>
          <w:szCs w:val="22"/>
          <w:lang w:eastAsia="zh-CN"/>
        </w:rPr>
        <w:t>电机、</w:t>
      </w:r>
      <w:r>
        <w:rPr>
          <w:rFonts w:hint="eastAsia"/>
          <w:szCs w:val="22"/>
        </w:rPr>
        <w:t>空压机、水泵、风机等；</w:t>
      </w:r>
    </w:p>
    <w:p>
      <w:pPr>
        <w:pStyle w:val="46"/>
        <w:ind w:left="833" w:hanging="408"/>
      </w:pPr>
      <w:r>
        <w:rPr>
          <w:rFonts w:hint="eastAsia"/>
        </w:rPr>
        <w:t>——根据</w:t>
      </w:r>
      <w:r>
        <w:t>GB/T 20902</w:t>
      </w:r>
      <w:r>
        <w:rPr>
          <w:rFonts w:hint="eastAsia"/>
        </w:rPr>
        <w:t>，核查能源计量器具配备、使用、检定（校准）等管理工作以及生产统计等情况，确定计量统计数据能否足以支撑能耗指标的准确核算。</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ascii="黑体" w:hAnsi="黑体" w:eastAsia="黑体"/>
          <w:kern w:val="0"/>
          <w:szCs w:val="21"/>
        </w:rPr>
        <w:t xml:space="preserve">5.1.2  </w:t>
      </w:r>
      <w:r>
        <w:rPr>
          <w:rFonts w:hint="eastAsia" w:asciiTheme="minorEastAsia" w:hAnsiTheme="minorEastAsia" w:eastAsiaTheme="minorEastAsia"/>
          <w:kern w:val="0"/>
          <w:szCs w:val="21"/>
        </w:rPr>
        <w:t>收集企业能源消耗数据，核查企业能源使用情况，包括：</w:t>
      </w:r>
    </w:p>
    <w:p>
      <w:pPr>
        <w:ind w:left="833" w:hanging="408"/>
        <w:rPr>
          <w:rFonts w:ascii="宋体"/>
          <w:kern w:val="0"/>
          <w:szCs w:val="20"/>
        </w:rPr>
      </w:pPr>
      <w:r>
        <w:rPr>
          <w:rFonts w:hint="eastAsia" w:ascii="宋体"/>
          <w:kern w:val="0"/>
          <w:szCs w:val="20"/>
        </w:rPr>
        <w:t>——核查企业电力、水、天然气、燃油等能源的购入发票、外供能源开票记录，核查企业年度输入能源种类及数量，输出能源种类及数量；</w:t>
      </w:r>
    </w:p>
    <w:p>
      <w:pPr>
        <w:ind w:left="833" w:hanging="408"/>
        <w:rPr>
          <w:rFonts w:ascii="宋体"/>
          <w:kern w:val="0"/>
          <w:szCs w:val="20"/>
        </w:rPr>
      </w:pPr>
      <w:r>
        <w:rPr>
          <w:rFonts w:hint="eastAsia" w:ascii="宋体"/>
          <w:kern w:val="0"/>
          <w:szCs w:val="20"/>
        </w:rPr>
        <w:t>——核查企业统计核查年度能源消耗统计年报和1～12月份月报表，核验月报与年报的一致性；随机抽查至少1个月的能源消费统计日报，核验日报与月报的一致性；随机抽查该月份1～3天的能源统计原始记录，核验原始记录与统计台账、日报的一致性；</w:t>
      </w:r>
    </w:p>
    <w:p>
      <w:pPr>
        <w:ind w:left="833" w:hanging="408"/>
        <w:rPr>
          <w:rFonts w:ascii="宋体"/>
          <w:kern w:val="0"/>
          <w:szCs w:val="20"/>
        </w:rPr>
      </w:pPr>
      <w:r>
        <w:rPr>
          <w:rFonts w:hint="eastAsia" w:ascii="宋体"/>
          <w:kern w:val="0"/>
          <w:szCs w:val="20"/>
        </w:rPr>
        <w:t>——核算企业年度各类能源消耗的实物量及折标量，以及GB 21248中铜冶炼工艺（铜精矿</w:t>
      </w:r>
      <w:r>
        <w:rPr>
          <w:rFonts w:ascii="宋体"/>
          <w:kern w:val="0"/>
          <w:szCs w:val="20"/>
        </w:rPr>
        <w:t>-</w:t>
      </w:r>
      <w:r>
        <w:rPr>
          <w:rFonts w:hint="eastAsia" w:ascii="宋体"/>
          <w:kern w:val="0"/>
          <w:szCs w:val="20"/>
        </w:rPr>
        <w:t>阴极铜）、粗铜工艺（铜精矿-粗铜）、阳极铜工艺（铜精矿-阳极铜）、电解工序（阳极铜-阴极铜）、粗铜工艺（杂铜-粗铜）等工艺能耗及综合能耗指标涉及的数据。</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ascii="黑体" w:hAnsi="黑体" w:eastAsia="黑体"/>
          <w:kern w:val="0"/>
          <w:szCs w:val="21"/>
        </w:rPr>
        <w:t xml:space="preserve">5.1.3  </w:t>
      </w:r>
      <w:r>
        <w:rPr>
          <w:rFonts w:hint="eastAsia" w:asciiTheme="minorEastAsia" w:hAnsiTheme="minorEastAsia" w:eastAsiaTheme="minorEastAsia"/>
          <w:kern w:val="0"/>
          <w:szCs w:val="21"/>
        </w:rPr>
        <w:t>收集企业合格产品生产数据，核查企业产品生产情况，包括：</w:t>
      </w:r>
    </w:p>
    <w:p>
      <w:pPr>
        <w:ind w:left="833" w:hanging="408"/>
        <w:rPr>
          <w:rFonts w:ascii="宋体"/>
          <w:kern w:val="0"/>
          <w:szCs w:val="20"/>
        </w:rPr>
      </w:pPr>
      <w:r>
        <w:rPr>
          <w:rFonts w:hint="eastAsia" w:ascii="宋体"/>
          <w:kern w:val="0"/>
          <w:szCs w:val="20"/>
        </w:rPr>
        <w:t>——核查企业统计核查年度生产统计年报和1～12月份月报，核验月报与年报的一致性；；随机抽查至少1个月生产统计日报，核验日报与月报的一致性；随机抽查该月份1～3天的生产原始记录（如出货单等），核验原始记录与统计台账、日报的一致性；</w:t>
      </w:r>
    </w:p>
    <w:p>
      <w:pPr>
        <w:ind w:left="833" w:hanging="408"/>
        <w:rPr>
          <w:rFonts w:ascii="宋体"/>
          <w:kern w:val="0"/>
          <w:szCs w:val="20"/>
        </w:rPr>
      </w:pPr>
      <w:r>
        <w:rPr>
          <w:rFonts w:hint="eastAsia" w:ascii="宋体"/>
          <w:kern w:val="0"/>
          <w:szCs w:val="20"/>
        </w:rPr>
        <w:t>——抽查产品计量器具的配备、检定及运行状态；</w:t>
      </w:r>
    </w:p>
    <w:p>
      <w:pPr>
        <w:ind w:left="833" w:hanging="408"/>
        <w:rPr>
          <w:rFonts w:ascii="宋体"/>
          <w:kern w:val="0"/>
          <w:szCs w:val="20"/>
        </w:rPr>
      </w:pPr>
      <w:r>
        <w:rPr>
          <w:rFonts w:hint="eastAsia" w:ascii="宋体"/>
          <w:kern w:val="0"/>
          <w:szCs w:val="20"/>
        </w:rPr>
        <w:t>——核查企业管理信息系统（如</w:t>
      </w:r>
      <w:r>
        <w:rPr>
          <w:rFonts w:ascii="宋体"/>
          <w:kern w:val="0"/>
          <w:szCs w:val="20"/>
        </w:rPr>
        <w:t>ERP</w:t>
      </w:r>
      <w:r>
        <w:rPr>
          <w:rFonts w:hint="eastAsia" w:ascii="宋体"/>
          <w:kern w:val="0"/>
          <w:szCs w:val="20"/>
        </w:rPr>
        <w:t>系统）或产品生产记录台账，核实粗铜、阳极铜、阴极铜等的合格产量。</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ascii="黑体" w:hAnsi="黑体" w:eastAsia="黑体"/>
          <w:kern w:val="0"/>
          <w:szCs w:val="21"/>
        </w:rPr>
        <w:t xml:space="preserve">5.1.4  </w:t>
      </w:r>
      <w:r>
        <w:rPr>
          <w:rFonts w:hint="eastAsia" w:asciiTheme="minorEastAsia" w:hAnsiTheme="minorEastAsia" w:eastAsiaTheme="minorEastAsia"/>
          <w:kern w:val="0"/>
          <w:szCs w:val="21"/>
        </w:rPr>
        <w:t>核查能耗指标达标情况，包括：</w:t>
      </w:r>
    </w:p>
    <w:p>
      <w:pPr>
        <w:ind w:left="833" w:hanging="408"/>
        <w:rPr>
          <w:rFonts w:ascii="宋体"/>
          <w:kern w:val="0"/>
          <w:szCs w:val="20"/>
        </w:rPr>
      </w:pPr>
      <w:r>
        <w:rPr>
          <w:rFonts w:hint="eastAsia" w:ascii="宋体"/>
          <w:kern w:val="0"/>
          <w:szCs w:val="20"/>
        </w:rPr>
        <w:t>——依据</w:t>
      </w:r>
      <w:r>
        <w:rPr>
          <w:rFonts w:ascii="宋体"/>
          <w:kern w:val="0"/>
          <w:szCs w:val="20"/>
        </w:rPr>
        <w:t>GB 21248</w:t>
      </w:r>
      <w:r>
        <w:rPr>
          <w:rFonts w:hint="eastAsia" w:ascii="宋体"/>
          <w:kern w:val="0"/>
          <w:szCs w:val="20"/>
        </w:rPr>
        <w:t>，参照</w:t>
      </w:r>
      <w:r>
        <w:rPr>
          <w:rFonts w:ascii="宋体"/>
          <w:kern w:val="0"/>
          <w:szCs w:val="20"/>
        </w:rPr>
        <w:t>GB/T 2589</w:t>
      </w:r>
      <w:r>
        <w:rPr>
          <w:rFonts w:hint="eastAsia" w:ascii="宋体"/>
          <w:kern w:val="0"/>
          <w:szCs w:val="20"/>
        </w:rPr>
        <w:t>，核算铜冶炼工艺（铜精矿</w:t>
      </w:r>
      <w:r>
        <w:rPr>
          <w:rFonts w:ascii="宋体"/>
          <w:kern w:val="0"/>
          <w:szCs w:val="20"/>
        </w:rPr>
        <w:t>-</w:t>
      </w:r>
      <w:r>
        <w:rPr>
          <w:rFonts w:hint="eastAsia" w:ascii="宋体"/>
          <w:kern w:val="0"/>
          <w:szCs w:val="20"/>
        </w:rPr>
        <w:t>阴极铜）、粗铜工艺（铜精矿</w:t>
      </w:r>
      <w:r>
        <w:rPr>
          <w:rFonts w:ascii="宋体"/>
          <w:kern w:val="0"/>
          <w:szCs w:val="20"/>
        </w:rPr>
        <w:t>-</w:t>
      </w:r>
      <w:r>
        <w:rPr>
          <w:rFonts w:hint="eastAsia" w:ascii="宋体"/>
          <w:kern w:val="0"/>
          <w:szCs w:val="20"/>
        </w:rPr>
        <w:t>粗铜）、阳极铜工艺（铜精矿</w:t>
      </w:r>
      <w:r>
        <w:rPr>
          <w:rFonts w:ascii="宋体"/>
          <w:kern w:val="0"/>
          <w:szCs w:val="20"/>
        </w:rPr>
        <w:t>-</w:t>
      </w:r>
      <w:r>
        <w:rPr>
          <w:rFonts w:hint="eastAsia" w:ascii="宋体"/>
          <w:kern w:val="0"/>
          <w:szCs w:val="20"/>
        </w:rPr>
        <w:t>阳极铜）、电解工序（阳极铜</w:t>
      </w:r>
      <w:r>
        <w:rPr>
          <w:rFonts w:ascii="宋体"/>
          <w:kern w:val="0"/>
          <w:szCs w:val="20"/>
        </w:rPr>
        <w:t>-</w:t>
      </w:r>
      <w:r>
        <w:rPr>
          <w:rFonts w:hint="eastAsia" w:ascii="宋体"/>
          <w:kern w:val="0"/>
          <w:szCs w:val="20"/>
        </w:rPr>
        <w:t>阴极铜）等工艺能耗及综合能耗指标；</w:t>
      </w:r>
    </w:p>
    <w:p>
      <w:pPr>
        <w:ind w:left="833" w:hanging="408"/>
        <w:rPr>
          <w:rFonts w:ascii="宋体"/>
          <w:kern w:val="0"/>
          <w:szCs w:val="20"/>
        </w:rPr>
      </w:pPr>
      <w:r>
        <w:rPr>
          <w:rFonts w:hint="eastAsia" w:ascii="宋体"/>
          <w:kern w:val="0"/>
          <w:szCs w:val="20"/>
        </w:rPr>
        <w:t>——将单耗指标的实际计算值与单位产品能耗限额标准中规定的指标值进行比较，判断、确定是否满足相应标准技术要求。</w:t>
      </w:r>
    </w:p>
    <w:p>
      <w:pPr>
        <w:widowControl/>
        <w:spacing w:before="156" w:beforeLines="50"/>
        <w:jc w:val="left"/>
        <w:outlineLvl w:val="2"/>
        <w:rPr>
          <w:rFonts w:ascii="黑体" w:eastAsia="黑体"/>
          <w:kern w:val="0"/>
          <w:szCs w:val="21"/>
        </w:rPr>
      </w:pPr>
      <w:r>
        <w:rPr>
          <w:rFonts w:hint="eastAsia" w:ascii="黑体" w:eastAsia="黑体"/>
          <w:kern w:val="0"/>
          <w:szCs w:val="21"/>
        </w:rPr>
        <w:t>5.2　企业执行淘汰落后制度情况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ascii="黑体" w:hAnsi="黑体" w:eastAsia="黑体"/>
          <w:kern w:val="0"/>
          <w:szCs w:val="21"/>
        </w:rPr>
        <w:t xml:space="preserve">5.2.1  </w:t>
      </w:r>
      <w:r>
        <w:rPr>
          <w:rFonts w:hint="eastAsia" w:asciiTheme="minorEastAsia" w:hAnsiTheme="minorEastAsia" w:eastAsiaTheme="minorEastAsia"/>
          <w:kern w:val="0"/>
          <w:szCs w:val="21"/>
        </w:rPr>
        <w:t>通过查阅资料、调查询问及现场查勘等方式，核查企业是否存在使用现有高耗能落后机电设备（产品）淘汰目录、产业结构调整指导目录等规定的国家明令淘汰的高耗能落后用能设备、工艺情况，包括：</w:t>
      </w:r>
    </w:p>
    <w:p>
      <w:pPr>
        <w:ind w:left="833" w:hanging="408"/>
        <w:rPr>
          <w:rFonts w:ascii="宋体"/>
          <w:kern w:val="0"/>
          <w:szCs w:val="20"/>
        </w:rPr>
      </w:pPr>
      <w:r>
        <w:rPr>
          <w:rFonts w:hint="eastAsia" w:ascii="宋体"/>
          <w:kern w:val="0"/>
          <w:szCs w:val="20"/>
        </w:rPr>
        <w:t>——了解基本情况。查看企业提供的用能设备台账、工艺技术文件、设备采购文件等资料，确认台账中是否存在明令淘汰、落后的耗能过高的设备和工艺；了解是否存在未记录用能设备、工艺的情况；了解企业是否制定有落后用能设备淘汰计划，并落实执行情况；</w:t>
      </w:r>
    </w:p>
    <w:p>
      <w:pPr>
        <w:ind w:left="833" w:hanging="408"/>
        <w:rPr>
          <w:rFonts w:ascii="宋体"/>
          <w:kern w:val="0"/>
          <w:szCs w:val="20"/>
        </w:rPr>
      </w:pPr>
      <w:r>
        <w:rPr>
          <w:rFonts w:hint="eastAsia" w:ascii="宋体"/>
          <w:kern w:val="0"/>
          <w:szCs w:val="20"/>
        </w:rPr>
        <w:t>——确定查勘对象，包括：主要用能车间（如电解车间）；建成时间较早的老旧厂区、车间；台账中发现的国家明令淘汰的高耗能落后用能设备、工艺；已知的现有台账中未记录在册的生产用能设备、工艺；</w:t>
      </w:r>
    </w:p>
    <w:p>
      <w:pPr>
        <w:ind w:left="833" w:hanging="408"/>
        <w:rPr>
          <w:rFonts w:ascii="宋体"/>
          <w:kern w:val="0"/>
          <w:szCs w:val="20"/>
        </w:rPr>
      </w:pPr>
      <w:r>
        <w:rPr>
          <w:rFonts w:hint="eastAsia" w:ascii="宋体"/>
          <w:kern w:val="0"/>
          <w:szCs w:val="20"/>
        </w:rPr>
        <w:t>——实施现场查勘。核实台账中发现的国家明令淘汰的高耗能落后用能设备、工艺的实际情况；参照台账和相关文件，随机抽查用能设备、工艺。</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ascii="黑体" w:hAnsi="黑体" w:eastAsia="黑体"/>
          <w:kern w:val="0"/>
          <w:szCs w:val="21"/>
        </w:rPr>
        <w:t xml:space="preserve">5.2.2  </w:t>
      </w:r>
      <w:r>
        <w:rPr>
          <w:rFonts w:hint="eastAsia" w:asciiTheme="minorEastAsia" w:hAnsiTheme="minorEastAsia" w:eastAsiaTheme="minorEastAsia"/>
          <w:kern w:val="0"/>
          <w:szCs w:val="21"/>
        </w:rPr>
        <w:t>通过查阅资料、调查询问及现场查验等方式，核查企业是否存在购买、转让、租借国家明令淘汰的高耗能落后用能设备、工艺情况，包括：</w:t>
      </w:r>
    </w:p>
    <w:p>
      <w:pPr>
        <w:ind w:left="833" w:hanging="408"/>
        <w:rPr>
          <w:rFonts w:ascii="宋体"/>
          <w:kern w:val="0"/>
          <w:szCs w:val="20"/>
        </w:rPr>
      </w:pPr>
      <w:r>
        <w:rPr>
          <w:rFonts w:hint="eastAsia" w:ascii="宋体"/>
          <w:kern w:val="0"/>
          <w:szCs w:val="20"/>
        </w:rPr>
        <w:t>——了解基本情况。查看企业近3年来设备购买、转让、租借合同（协议）等相关文件，了解购买、转让、租借国家明令淘汰的高耗能落后用能设备、工艺情况；</w:t>
      </w:r>
    </w:p>
    <w:p>
      <w:pPr>
        <w:ind w:left="833" w:hanging="408"/>
        <w:rPr>
          <w:rFonts w:ascii="宋体"/>
          <w:kern w:val="0"/>
          <w:szCs w:val="20"/>
        </w:rPr>
      </w:pPr>
      <w:r>
        <w:rPr>
          <w:rFonts w:hint="eastAsia" w:ascii="宋体"/>
          <w:kern w:val="0"/>
          <w:szCs w:val="20"/>
        </w:rPr>
        <w:t>——确定查勘对象。书面核查中发现的企业购买或租借的国家明令淘汰的高耗能落后用能设备、工艺必须进行现场查勘；</w:t>
      </w:r>
    </w:p>
    <w:p>
      <w:pPr>
        <w:ind w:left="833" w:hanging="408"/>
        <w:rPr>
          <w:rFonts w:ascii="宋体"/>
          <w:kern w:val="0"/>
          <w:szCs w:val="20"/>
        </w:rPr>
      </w:pPr>
      <w:r>
        <w:rPr>
          <w:rFonts w:hint="eastAsia" w:ascii="宋体"/>
          <w:kern w:val="0"/>
          <w:szCs w:val="20"/>
        </w:rPr>
        <w:t>——实施现场查勘。核实书面核查中记载的企业购买、转让、租借国家明令淘汰的高耗能落后用能设备、工艺的实际情况；随机抽查相关车间的用能设备、工艺。</w:t>
      </w:r>
    </w:p>
    <w:p>
      <w:pPr>
        <w:widowControl/>
        <w:spacing w:before="156" w:beforeLines="50"/>
        <w:jc w:val="left"/>
        <w:outlineLvl w:val="2"/>
        <w:rPr>
          <w:rFonts w:ascii="黑体" w:eastAsia="黑体"/>
          <w:kern w:val="0"/>
          <w:szCs w:val="21"/>
        </w:rPr>
      </w:pPr>
      <w:r>
        <w:rPr>
          <w:rFonts w:hint="eastAsia" w:ascii="黑体" w:eastAsia="黑体"/>
          <w:kern w:val="0"/>
          <w:szCs w:val="21"/>
        </w:rPr>
        <w:t xml:space="preserve">5.3　企业执行用能设备能效强制性标准情况 </w:t>
      </w:r>
    </w:p>
    <w:p>
      <w:pPr>
        <w:widowControl/>
        <w:numPr>
          <w:ilvl w:val="2"/>
          <w:numId w:val="0"/>
        </w:numPr>
        <w:spacing w:before="156" w:beforeLines="50"/>
        <w:jc w:val="left"/>
        <w:outlineLvl w:val="3"/>
        <w:rPr>
          <w:rFonts w:asciiTheme="minorEastAsia" w:hAnsiTheme="minorEastAsia" w:eastAsiaTheme="minorEastAsia"/>
          <w:kern w:val="0"/>
          <w:szCs w:val="21"/>
        </w:rPr>
      </w:pPr>
      <w:r>
        <w:rPr>
          <w:rFonts w:hint="eastAsia" w:ascii="黑体" w:hAnsi="黑体" w:eastAsia="黑体"/>
          <w:kern w:val="0"/>
          <w:szCs w:val="21"/>
        </w:rPr>
        <w:t>5.3.1　</w:t>
      </w:r>
      <w:r>
        <w:rPr>
          <w:rFonts w:hint="eastAsia" w:asciiTheme="minorEastAsia" w:hAnsiTheme="minorEastAsia" w:eastAsiaTheme="minorEastAsia"/>
          <w:kern w:val="0"/>
          <w:szCs w:val="21"/>
        </w:rPr>
        <w:t>查阅企业采购管理制度文件，核实是否对纳入国家能源效率标识管理的用能设备、产品在能效方面有相应采购要求。</w:t>
      </w:r>
    </w:p>
    <w:p>
      <w:pPr>
        <w:widowControl/>
        <w:numPr>
          <w:ilvl w:val="2"/>
          <w:numId w:val="0"/>
        </w:numPr>
        <w:spacing w:after="156" w:afterLines="50"/>
        <w:jc w:val="left"/>
        <w:outlineLvl w:val="3"/>
        <w:rPr>
          <w:rFonts w:asciiTheme="minorEastAsia" w:hAnsiTheme="minorEastAsia" w:eastAsiaTheme="minorEastAsia"/>
          <w:kern w:val="0"/>
          <w:szCs w:val="21"/>
        </w:rPr>
      </w:pPr>
      <w:r>
        <w:rPr>
          <w:rFonts w:hint="eastAsia" w:ascii="黑体" w:hAnsi="黑体" w:eastAsia="黑体"/>
          <w:kern w:val="0"/>
          <w:szCs w:val="21"/>
        </w:rPr>
        <w:t>5.3.2　</w:t>
      </w:r>
      <w:r>
        <w:rPr>
          <w:rFonts w:hint="eastAsia" w:asciiTheme="minorEastAsia" w:hAnsiTheme="minorEastAsia" w:eastAsiaTheme="minorEastAsia"/>
          <w:kern w:val="0"/>
          <w:szCs w:val="21"/>
        </w:rPr>
        <w:t>根据国家现有用能设备能效强制性标准名目，查阅企业用能设备台账、采购文件、设备档案等，并现场查验设备能效效率标识，核实设备能效等级符合性。</w:t>
      </w:r>
    </w:p>
    <w:p>
      <w:pPr>
        <w:widowControl/>
        <w:spacing w:before="156" w:beforeLines="50"/>
        <w:jc w:val="left"/>
        <w:outlineLvl w:val="2"/>
        <w:rPr>
          <w:rFonts w:ascii="黑体" w:eastAsia="黑体"/>
          <w:kern w:val="0"/>
          <w:szCs w:val="21"/>
        </w:rPr>
      </w:pPr>
      <w:r>
        <w:rPr>
          <w:rFonts w:hint="eastAsia" w:ascii="黑体" w:eastAsia="黑体"/>
          <w:kern w:val="0"/>
          <w:szCs w:val="21"/>
        </w:rPr>
        <w:t>5.4　企业执行节能审查制度情况</w:t>
      </w:r>
    </w:p>
    <w:p>
      <w:pPr>
        <w:widowControl/>
        <w:numPr>
          <w:ilvl w:val="2"/>
          <w:numId w:val="0"/>
        </w:numPr>
        <w:spacing w:before="156" w:beforeLines="50"/>
        <w:jc w:val="left"/>
        <w:outlineLvl w:val="3"/>
        <w:rPr>
          <w:rFonts w:hint="eastAsia" w:ascii="黑体" w:hAnsi="黑体" w:eastAsia="黑体"/>
          <w:kern w:val="0"/>
          <w:szCs w:val="21"/>
        </w:rPr>
      </w:pPr>
      <w:r>
        <w:rPr>
          <w:rFonts w:hint="eastAsia" w:ascii="黑体" w:hAnsi="黑体" w:eastAsia="黑体"/>
          <w:kern w:val="0"/>
          <w:szCs w:val="21"/>
        </w:rPr>
        <w:t>5.4.1　</w:t>
      </w:r>
      <w:r>
        <w:rPr>
          <w:rFonts w:hint="eastAsia" w:asciiTheme="minorEastAsia" w:hAnsiTheme="minorEastAsia" w:eastAsiaTheme="minorEastAsia"/>
          <w:kern w:val="0"/>
          <w:szCs w:val="21"/>
          <w:lang w:val="en-US" w:eastAsia="zh-CN"/>
        </w:rPr>
        <w:t>查看固定资产投资项目的节能审查是否符合《固定资产投资项目节能审查办法》的相关规定</w:t>
      </w:r>
      <w:r>
        <w:rPr>
          <w:rFonts w:hint="eastAsia" w:asciiTheme="minorEastAsia" w:hAnsiTheme="minorEastAsia" w:eastAsiaTheme="minorEastAsia"/>
          <w:kern w:val="0"/>
          <w:szCs w:val="21"/>
        </w:rPr>
        <w:t>。</w:t>
      </w:r>
    </w:p>
    <w:p>
      <w:pPr>
        <w:widowControl/>
        <w:numPr>
          <w:ilvl w:val="2"/>
          <w:numId w:val="0"/>
        </w:numPr>
        <w:spacing w:after="156" w:afterLines="50"/>
        <w:jc w:val="left"/>
        <w:outlineLvl w:val="3"/>
        <w:rPr>
          <w:rFonts w:asciiTheme="minorEastAsia" w:hAnsiTheme="minorEastAsia" w:eastAsiaTheme="minorEastAsia"/>
          <w:kern w:val="0"/>
          <w:szCs w:val="21"/>
        </w:rPr>
      </w:pPr>
      <w:r>
        <w:rPr>
          <w:rFonts w:hint="eastAsia" w:ascii="黑体" w:hAnsi="黑体" w:eastAsia="黑体"/>
          <w:kern w:val="0"/>
          <w:szCs w:val="21"/>
        </w:rPr>
        <w:t>5.4.2　</w:t>
      </w:r>
      <w:r>
        <w:rPr>
          <w:rFonts w:hint="eastAsia" w:asciiTheme="minorEastAsia" w:hAnsiTheme="minorEastAsia" w:eastAsiaTheme="minorEastAsia"/>
          <w:kern w:val="0"/>
          <w:szCs w:val="21"/>
        </w:rPr>
        <w:t>现场查勘在建项目是否按照节能审查意见、设计文件及施工进度要求进行施工；核查已建成项目与节能审查意见、设计文件要求的符合情况；核查企业是否有其他在建或新建并已使用但未执行节能审查制度等。</w:t>
      </w:r>
    </w:p>
    <w:p>
      <w:pPr>
        <w:widowControl/>
        <w:spacing w:before="156" w:beforeLines="50"/>
        <w:jc w:val="left"/>
        <w:outlineLvl w:val="2"/>
        <w:rPr>
          <w:rFonts w:ascii="黑体" w:eastAsia="黑体"/>
          <w:kern w:val="0"/>
          <w:szCs w:val="21"/>
        </w:rPr>
      </w:pPr>
      <w:r>
        <w:rPr>
          <w:rFonts w:hint="eastAsia" w:ascii="黑体" w:eastAsia="黑体"/>
          <w:kern w:val="0"/>
          <w:szCs w:val="21"/>
        </w:rPr>
        <w:t>5.5　企业设立能源管理岗位和聘任能源管理负责人情况</w:t>
      </w:r>
    </w:p>
    <w:p>
      <w:pPr>
        <w:widowControl/>
        <w:numPr>
          <w:ilvl w:val="2"/>
          <w:numId w:val="0"/>
        </w:numPr>
        <w:spacing w:before="156" w:beforeLines="50" w:after="156" w:afterLines="50"/>
        <w:jc w:val="left"/>
        <w:outlineLvl w:val="3"/>
        <w:rPr>
          <w:rFonts w:ascii="黑体" w:hAnsi="黑体" w:eastAsia="黑体"/>
          <w:kern w:val="0"/>
          <w:szCs w:val="21"/>
        </w:rPr>
      </w:pPr>
      <w:r>
        <w:rPr>
          <w:rFonts w:hint="eastAsia" w:ascii="黑体" w:hAnsi="黑体" w:eastAsia="黑体"/>
          <w:kern w:val="0"/>
          <w:szCs w:val="21"/>
        </w:rPr>
        <w:t>5.5.1　</w:t>
      </w:r>
      <w:r>
        <w:rPr>
          <w:rFonts w:hint="eastAsia" w:asciiTheme="minorEastAsia" w:hAnsiTheme="minorEastAsia" w:eastAsiaTheme="minorEastAsia"/>
          <w:kern w:val="0"/>
          <w:szCs w:val="21"/>
        </w:rPr>
        <w:t>核查能源管理岗位设立情况，包括：</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——查看能源管理岗位设立、职责确定、接受节能培训证明等文件资料；</w:t>
      </w:r>
    </w:p>
    <w:p>
      <w:pPr>
        <w:ind w:left="833" w:hanging="408"/>
        <w:rPr>
          <w:rFonts w:ascii="宋体"/>
          <w:kern w:val="0"/>
          <w:szCs w:val="20"/>
        </w:rPr>
      </w:pPr>
      <w:r>
        <w:rPr>
          <w:rFonts w:hint="eastAsia" w:ascii="宋体"/>
          <w:kern w:val="0"/>
          <w:szCs w:val="20"/>
        </w:rPr>
        <w:t>——核实确认能源管理岗位设置是否充分合理，能否保证企业能源管理工作顺利开展，职责制定是否全面清晰合理；</w:t>
      </w:r>
    </w:p>
    <w:p>
      <w:pPr>
        <w:ind w:left="833" w:hanging="408"/>
        <w:rPr>
          <w:rFonts w:ascii="宋体"/>
          <w:kern w:val="0"/>
          <w:szCs w:val="20"/>
        </w:rPr>
      </w:pPr>
      <w:r>
        <w:rPr>
          <w:rFonts w:hint="eastAsia" w:ascii="宋体"/>
          <w:kern w:val="0"/>
          <w:szCs w:val="20"/>
        </w:rPr>
        <w:t>——调查询问能源管理岗位人员、上级主管以及该岗位的管理对象和协作对象，判断能源管理岗位人员履行职责情况。</w:t>
      </w:r>
    </w:p>
    <w:p>
      <w:pPr>
        <w:widowControl/>
        <w:numPr>
          <w:ilvl w:val="2"/>
          <w:numId w:val="0"/>
        </w:numPr>
        <w:spacing w:before="156" w:beforeLines="50" w:after="156" w:afterLines="50"/>
        <w:jc w:val="left"/>
        <w:outlineLvl w:val="3"/>
        <w:rPr>
          <w:rFonts w:ascii="黑体" w:hAnsi="黑体" w:eastAsia="黑体"/>
          <w:kern w:val="0"/>
          <w:szCs w:val="21"/>
        </w:rPr>
      </w:pPr>
      <w:r>
        <w:rPr>
          <w:rFonts w:hint="eastAsia" w:ascii="黑体" w:hAnsi="黑体" w:eastAsia="黑体"/>
          <w:kern w:val="0"/>
          <w:szCs w:val="21"/>
        </w:rPr>
        <w:t>5.5.2　</w:t>
      </w:r>
      <w:r>
        <w:rPr>
          <w:rFonts w:hint="eastAsia" w:asciiTheme="minorEastAsia" w:hAnsiTheme="minorEastAsia" w:eastAsiaTheme="minorEastAsia"/>
          <w:kern w:val="0"/>
          <w:szCs w:val="21"/>
        </w:rPr>
        <w:t>核查能源管理负责人聘任情况，包括：</w:t>
      </w:r>
    </w:p>
    <w:p>
      <w:pPr>
        <w:ind w:left="833" w:hanging="408"/>
        <w:rPr>
          <w:rFonts w:ascii="宋体"/>
          <w:kern w:val="0"/>
          <w:szCs w:val="20"/>
        </w:rPr>
      </w:pPr>
      <w:r>
        <w:rPr>
          <w:rFonts w:hint="eastAsia" w:ascii="宋体"/>
          <w:kern w:val="0"/>
          <w:szCs w:val="20"/>
        </w:rPr>
        <w:t>——查阅能源管理负责人的聘任文件、个人档案履历、职责履行情况说明、学历、专业技术职称、职业资格证书等相关证明文件，判断与节能法律法规要求的符合性；</w:t>
      </w:r>
    </w:p>
    <w:p>
      <w:pPr>
        <w:ind w:left="833" w:hanging="408"/>
        <w:rPr>
          <w:rFonts w:ascii="宋体"/>
          <w:kern w:val="0"/>
          <w:szCs w:val="20"/>
        </w:rPr>
      </w:pPr>
      <w:r>
        <w:rPr>
          <w:rFonts w:hint="eastAsia" w:ascii="宋体"/>
          <w:kern w:val="0"/>
          <w:szCs w:val="20"/>
        </w:rPr>
        <w:t>——调查询问能源管理负责人本人以及最高管理者、能源管理岗位人员以及相关人员，确认能源管理负责人是否履行法定职责，是否满足具备专业知识、实际工作经验及中级以上技术职称的企业高级管理人员的条件。</w:t>
      </w:r>
    </w:p>
    <w:p>
      <w:pPr>
        <w:widowControl/>
        <w:numPr>
          <w:ilvl w:val="2"/>
          <w:numId w:val="0"/>
        </w:numPr>
        <w:spacing w:before="156" w:beforeLines="50" w:after="156" w:afterLines="50"/>
        <w:jc w:val="left"/>
        <w:outlineLvl w:val="3"/>
        <w:rPr>
          <w:rFonts w:ascii="黑体" w:hAnsi="黑体" w:eastAsia="黑体"/>
          <w:kern w:val="0"/>
          <w:szCs w:val="21"/>
        </w:rPr>
      </w:pPr>
      <w:r>
        <w:rPr>
          <w:rFonts w:hint="eastAsia" w:ascii="黑体" w:hAnsi="黑体" w:eastAsia="黑体"/>
          <w:kern w:val="0"/>
          <w:szCs w:val="21"/>
        </w:rPr>
        <w:t>5.5.3　</w:t>
      </w:r>
      <w:r>
        <w:rPr>
          <w:rFonts w:hint="eastAsia" w:asciiTheme="minorEastAsia" w:hAnsiTheme="minorEastAsia" w:eastAsiaTheme="minorEastAsia"/>
          <w:kern w:val="0"/>
          <w:szCs w:val="21"/>
        </w:rPr>
        <w:t>核查能源管理负责人备案情况，包括：</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——查阅能源管理者任用备案最新文件，调查询问能源管理负责人备案有关情况；</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——向管理节能工作的政府部门核实该企业备案实际情况，确认企业能源管理负责人任用备案情况。</w:t>
      </w:r>
    </w:p>
    <w:p>
      <w:pPr>
        <w:widowControl/>
        <w:spacing w:before="156" w:beforeLines="50"/>
        <w:jc w:val="left"/>
        <w:outlineLvl w:val="2"/>
        <w:rPr>
          <w:rFonts w:ascii="黑体" w:eastAsia="黑体"/>
          <w:kern w:val="0"/>
          <w:szCs w:val="21"/>
        </w:rPr>
      </w:pPr>
      <w:r>
        <w:rPr>
          <w:rFonts w:hint="eastAsia" w:ascii="黑体" w:eastAsia="黑体"/>
          <w:kern w:val="0"/>
          <w:szCs w:val="21"/>
        </w:rPr>
        <w:t>5.6　企业执行能源利用状况报告制度情况</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5.6.1　</w:t>
      </w:r>
      <w:r>
        <w:rPr>
          <w:rFonts w:hint="eastAsia" w:asciiTheme="minorEastAsia" w:hAnsiTheme="minorEastAsia" w:eastAsiaTheme="minorEastAsia"/>
          <w:kern w:val="0"/>
          <w:szCs w:val="21"/>
        </w:rPr>
        <w:t>核查企业按时上报能源利用状况报告情况，包括：</w:t>
      </w:r>
    </w:p>
    <w:p>
      <w:pPr>
        <w:ind w:left="833" w:hanging="408"/>
        <w:rPr>
          <w:rFonts w:ascii="宋体"/>
          <w:kern w:val="0"/>
          <w:szCs w:val="20"/>
        </w:rPr>
      </w:pPr>
      <w:r>
        <w:rPr>
          <w:rFonts w:hint="eastAsia" w:ascii="宋体"/>
          <w:kern w:val="0"/>
          <w:szCs w:val="20"/>
        </w:rPr>
        <w:t>——核查企业能源利用状况报告中能源购入、加工、转换与消费情况，以及单位产品能耗、主要耗能设备和工艺能耗、能源利用效率，能源管理、节能措施、节能效益分析、节能目标完成情况及能源消费预测等信息，确认能源利用状况报告报送内容完整性；</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——必要时询问当地政府有关部门，核实企业按要求按时上报能源管理状况报告情况。</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5.6.2　</w:t>
      </w:r>
      <w:r>
        <w:rPr>
          <w:rFonts w:hint="eastAsia" w:asciiTheme="minorEastAsia" w:hAnsiTheme="minorEastAsia" w:eastAsiaTheme="minorEastAsia"/>
          <w:kern w:val="0"/>
          <w:szCs w:val="21"/>
        </w:rPr>
        <w:t>核查企业能源利用状况报告真实性及准确性情况，包括：</w:t>
      </w:r>
    </w:p>
    <w:p>
      <w:pPr>
        <w:ind w:left="833" w:hanging="408"/>
        <w:rPr>
          <w:rFonts w:ascii="宋体"/>
          <w:kern w:val="0"/>
          <w:szCs w:val="20"/>
        </w:rPr>
      </w:pPr>
      <w:r>
        <w:rPr>
          <w:rFonts w:hint="eastAsia" w:ascii="宋体"/>
          <w:kern w:val="0"/>
          <w:szCs w:val="20"/>
        </w:rPr>
        <w:t>——利用能源利用状况报告填报系统及导出报表，以及企业提供的原始票据、统计报表台账、能源管理制度（记录）及实施节能技改项目等有关资料，通过报表审核、资料验证、座谈交流、指标核算、现场核查等方式，对企业能源利用状况报告的真实性和准确性进行监察；</w:t>
      </w:r>
    </w:p>
    <w:p>
      <w:pPr>
        <w:ind w:left="833" w:hanging="408"/>
        <w:rPr>
          <w:rFonts w:ascii="宋体"/>
          <w:kern w:val="0"/>
          <w:szCs w:val="20"/>
        </w:rPr>
      </w:pPr>
      <w:r>
        <w:rPr>
          <w:rFonts w:hint="eastAsia" w:ascii="宋体"/>
          <w:kern w:val="0"/>
          <w:szCs w:val="20"/>
        </w:rPr>
        <w:t>——必要时对能源消费情况、能源利用效率、主要用能设备等进行能源利用检测或委托第三方机构进行能源利用检测。</w:t>
      </w:r>
    </w:p>
    <w:p>
      <w:pPr>
        <w:widowControl/>
        <w:spacing w:before="156" w:beforeLines="50"/>
        <w:jc w:val="left"/>
        <w:outlineLvl w:val="2"/>
        <w:rPr>
          <w:rFonts w:ascii="黑体" w:eastAsia="黑体"/>
          <w:kern w:val="0"/>
          <w:szCs w:val="21"/>
        </w:rPr>
      </w:pPr>
      <w:r>
        <w:rPr>
          <w:rFonts w:hint="eastAsia" w:ascii="黑体" w:eastAsia="黑体"/>
          <w:kern w:val="0"/>
          <w:szCs w:val="21"/>
        </w:rPr>
        <w:t>5.7　企业执行能源计量管理制度情况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5.7.1　</w:t>
      </w:r>
      <w:r>
        <w:rPr>
          <w:rFonts w:hint="eastAsia" w:asciiTheme="minorEastAsia" w:hAnsiTheme="minorEastAsia" w:eastAsiaTheme="minorEastAsia"/>
          <w:kern w:val="0"/>
          <w:szCs w:val="21"/>
        </w:rPr>
        <w:t>通过资料审核、调查询问等方式，核查企业能源计量管理有关文件，确定企业建立健全能源计量管理制度情况，包括：</w:t>
      </w:r>
    </w:p>
    <w:p>
      <w:pPr>
        <w:ind w:left="833" w:hanging="408"/>
        <w:rPr>
          <w:rFonts w:ascii="宋体"/>
          <w:kern w:val="0"/>
          <w:szCs w:val="20"/>
        </w:rPr>
      </w:pPr>
      <w:r>
        <w:rPr>
          <w:rFonts w:hint="eastAsia" w:ascii="宋体"/>
          <w:kern w:val="0"/>
          <w:szCs w:val="20"/>
        </w:rPr>
        <w:t>——能源计量管理制度；</w:t>
      </w:r>
    </w:p>
    <w:p>
      <w:pPr>
        <w:ind w:left="833" w:hanging="408"/>
        <w:rPr>
          <w:rFonts w:ascii="宋体"/>
          <w:kern w:val="0"/>
          <w:szCs w:val="20"/>
        </w:rPr>
      </w:pPr>
      <w:r>
        <w:rPr>
          <w:rFonts w:hint="eastAsia" w:ascii="宋体"/>
          <w:kern w:val="0"/>
          <w:szCs w:val="20"/>
        </w:rPr>
        <w:t>——能源计量岗位职责及培训记录；</w:t>
      </w:r>
    </w:p>
    <w:p>
      <w:pPr>
        <w:ind w:left="833" w:hanging="408"/>
        <w:rPr>
          <w:rFonts w:ascii="宋体"/>
          <w:kern w:val="0"/>
          <w:szCs w:val="20"/>
        </w:rPr>
      </w:pPr>
      <w:r>
        <w:rPr>
          <w:rFonts w:hint="eastAsia" w:ascii="宋体"/>
          <w:kern w:val="0"/>
          <w:szCs w:val="20"/>
        </w:rPr>
        <w:t>——能源计量网络图；</w:t>
      </w:r>
    </w:p>
    <w:p>
      <w:pPr>
        <w:ind w:left="833" w:hanging="408"/>
        <w:rPr>
          <w:rFonts w:ascii="宋体"/>
          <w:kern w:val="0"/>
          <w:szCs w:val="20"/>
        </w:rPr>
      </w:pPr>
      <w:r>
        <w:rPr>
          <w:rFonts w:hint="eastAsia" w:ascii="宋体"/>
          <w:kern w:val="0"/>
          <w:szCs w:val="20"/>
        </w:rPr>
        <w:t>——能源计量器具台账；</w:t>
      </w:r>
    </w:p>
    <w:p>
      <w:pPr>
        <w:ind w:left="833" w:hanging="408"/>
        <w:rPr>
          <w:rFonts w:ascii="宋体"/>
          <w:kern w:val="0"/>
          <w:szCs w:val="20"/>
        </w:rPr>
      </w:pPr>
      <w:r>
        <w:rPr>
          <w:rFonts w:hint="eastAsia" w:ascii="宋体"/>
          <w:kern w:val="0"/>
          <w:szCs w:val="20"/>
        </w:rPr>
        <w:t>——能源计量器具检定报告；</w:t>
      </w:r>
    </w:p>
    <w:p>
      <w:pPr>
        <w:ind w:left="833" w:hanging="408"/>
        <w:rPr>
          <w:rFonts w:ascii="宋体"/>
          <w:kern w:val="0"/>
          <w:szCs w:val="20"/>
        </w:rPr>
      </w:pPr>
      <w:r>
        <w:rPr>
          <w:rFonts w:hint="eastAsia" w:ascii="宋体"/>
          <w:kern w:val="0"/>
          <w:szCs w:val="20"/>
        </w:rPr>
        <w:t>——能源计量原始数据；</w:t>
      </w:r>
    </w:p>
    <w:p>
      <w:pPr>
        <w:ind w:left="833" w:hanging="408"/>
        <w:rPr>
          <w:rFonts w:ascii="宋体"/>
          <w:kern w:val="0"/>
          <w:szCs w:val="20"/>
        </w:rPr>
      </w:pPr>
      <w:r>
        <w:rPr>
          <w:rFonts w:hint="eastAsia" w:ascii="宋体"/>
          <w:kern w:val="0"/>
          <w:szCs w:val="20"/>
        </w:rPr>
        <w:t>——其他与能源计量工作相关的资料。</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5.7.2　</w:t>
      </w:r>
      <w:r>
        <w:rPr>
          <w:rFonts w:hint="eastAsia" w:asciiTheme="minorEastAsia" w:hAnsiTheme="minorEastAsia" w:eastAsiaTheme="minorEastAsia"/>
          <w:kern w:val="0"/>
          <w:szCs w:val="21"/>
        </w:rPr>
        <w:t>根据</w:t>
      </w:r>
      <w:r>
        <w:rPr>
          <w:rFonts w:asciiTheme="minorEastAsia" w:hAnsiTheme="minorEastAsia" w:eastAsiaTheme="minorEastAsia"/>
          <w:kern w:val="0"/>
          <w:szCs w:val="21"/>
        </w:rPr>
        <w:t>GB/T 20902</w:t>
      </w:r>
      <w:r>
        <w:rPr>
          <w:rFonts w:hint="eastAsia" w:asciiTheme="minorEastAsia" w:hAnsiTheme="minorEastAsia" w:eastAsiaTheme="minorEastAsia"/>
          <w:kern w:val="0"/>
          <w:szCs w:val="21"/>
        </w:rPr>
        <w:t>，核查企业能源计量器具指标达标情况、能源计量工作落实情况等，包括：</w:t>
      </w:r>
    </w:p>
    <w:p>
      <w:pPr>
        <w:ind w:left="833" w:hanging="408"/>
        <w:rPr>
          <w:rFonts w:ascii="宋体"/>
          <w:kern w:val="0"/>
          <w:szCs w:val="20"/>
        </w:rPr>
      </w:pPr>
      <w:r>
        <w:rPr>
          <w:rFonts w:hint="eastAsia" w:ascii="宋体"/>
          <w:kern w:val="0"/>
          <w:szCs w:val="20"/>
        </w:rPr>
        <w:t>——核算企业进出用能单位、主要次级用能单位、主要用能设备能源计量器具配备率是否符合要求；</w:t>
      </w:r>
    </w:p>
    <w:p>
      <w:pPr>
        <w:ind w:left="833" w:hanging="408"/>
        <w:rPr>
          <w:rFonts w:ascii="宋体"/>
          <w:kern w:val="0"/>
          <w:szCs w:val="20"/>
        </w:rPr>
      </w:pPr>
      <w:r>
        <w:rPr>
          <w:rFonts w:hint="eastAsia" w:ascii="宋体"/>
          <w:kern w:val="0"/>
          <w:szCs w:val="20"/>
        </w:rPr>
        <w:t>——核查企业进出用能单位能源计量准确度登记是否符合要求；</w:t>
      </w:r>
    </w:p>
    <w:p>
      <w:pPr>
        <w:ind w:left="833" w:hanging="408"/>
        <w:rPr>
          <w:rFonts w:ascii="宋体"/>
          <w:kern w:val="0"/>
          <w:szCs w:val="20"/>
        </w:rPr>
      </w:pPr>
      <w:r>
        <w:rPr>
          <w:rFonts w:hint="eastAsia" w:ascii="宋体"/>
          <w:kern w:val="0"/>
          <w:szCs w:val="20"/>
        </w:rPr>
        <w:t>——核查企业能源计量人员配备、能源计量器具管理、能源计量数据管理等。</w:t>
      </w:r>
    </w:p>
    <w:p>
      <w:pPr>
        <w:widowControl/>
        <w:spacing w:before="156" w:beforeLines="50"/>
        <w:jc w:val="left"/>
        <w:outlineLvl w:val="2"/>
        <w:rPr>
          <w:rFonts w:ascii="黑体" w:eastAsia="黑体"/>
          <w:kern w:val="0"/>
          <w:szCs w:val="21"/>
        </w:rPr>
      </w:pPr>
      <w:r>
        <w:rPr>
          <w:rFonts w:hint="eastAsia" w:ascii="黑体" w:eastAsia="黑体"/>
          <w:kern w:val="0"/>
          <w:szCs w:val="21"/>
        </w:rPr>
        <w:t>5.8　企业执行能源消费统计制度情况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5.8.1</w:t>
      </w:r>
      <w:r>
        <w:rPr>
          <w:rFonts w:ascii="黑体" w:eastAsia="黑体"/>
          <w:kern w:val="0"/>
          <w:szCs w:val="21"/>
        </w:rPr>
        <w:t xml:space="preserve">  </w:t>
      </w:r>
      <w:r>
        <w:rPr>
          <w:rFonts w:hint="eastAsia" w:asciiTheme="minorEastAsia" w:hAnsiTheme="minorEastAsia" w:eastAsiaTheme="minorEastAsia"/>
          <w:kern w:val="0"/>
          <w:szCs w:val="21"/>
        </w:rPr>
        <w:t>核查企业建立健全能源消费统计管理制度、能源原始记录和统计台账情况，包括：</w:t>
      </w:r>
    </w:p>
    <w:p>
      <w:pPr>
        <w:pStyle w:val="46"/>
        <w:ind w:left="833" w:hanging="408"/>
      </w:pPr>
      <w:r>
        <w:rPr>
          <w:rFonts w:hint="eastAsia"/>
        </w:rPr>
        <w:t>——核查企业能源数据采集管理相关制度规定，核实职责分工是否合理、明确；统计范围、指标是否涵盖企业涉及的能源种类（如电力、压缩空气、水）；能源数据是否能满足企业分析能源利用状况；</w:t>
      </w:r>
    </w:p>
    <w:p>
      <w:pPr>
        <w:pStyle w:val="46"/>
        <w:ind w:left="833" w:hanging="408"/>
      </w:pPr>
      <w:r>
        <w:rPr>
          <w:rFonts w:hint="eastAsia"/>
        </w:rPr>
        <w:t>——核查能源消费和生产相关原始记录资料，判定企业能源消费相关原始记录是否全面、规范且满足企业管理所需；</w:t>
      </w:r>
    </w:p>
    <w:p>
      <w:pPr>
        <w:pStyle w:val="46"/>
        <w:ind w:left="833" w:hanging="408"/>
      </w:pPr>
      <w:r>
        <w:rPr>
          <w:rFonts w:hint="eastAsia"/>
        </w:rPr>
        <w:t>——核对能源相关原始记录、统计台账、统计报表的一致性、真实性、准确性。</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5.8.2</w:t>
      </w:r>
      <w:r>
        <w:rPr>
          <w:rFonts w:ascii="黑体" w:eastAsia="黑体"/>
          <w:kern w:val="0"/>
          <w:szCs w:val="21"/>
        </w:rPr>
        <w:t xml:space="preserve">  </w:t>
      </w:r>
      <w:r>
        <w:rPr>
          <w:rFonts w:hint="eastAsia" w:asciiTheme="minorEastAsia" w:hAnsiTheme="minorEastAsia" w:eastAsiaTheme="minorEastAsia"/>
          <w:kern w:val="0"/>
          <w:szCs w:val="21"/>
        </w:rPr>
        <w:t>核查企业能源消费统计制度落实情况，包括：</w:t>
      </w:r>
    </w:p>
    <w:p>
      <w:pPr>
        <w:ind w:left="833" w:hanging="408"/>
        <w:rPr>
          <w:rFonts w:ascii="宋体"/>
          <w:kern w:val="0"/>
          <w:szCs w:val="20"/>
        </w:rPr>
      </w:pPr>
      <w:r>
        <w:rPr>
          <w:rFonts w:hint="eastAsia" w:ascii="宋体"/>
          <w:kern w:val="0"/>
          <w:szCs w:val="20"/>
        </w:rPr>
        <w:t>——查看企业能源分析制度、统计台账、统计报表、原始记录、部分能源利用状况分析记录及采取的相应措施记录文件；</w:t>
      </w:r>
    </w:p>
    <w:p>
      <w:pPr>
        <w:ind w:left="833" w:hanging="408"/>
        <w:rPr>
          <w:rFonts w:ascii="宋体"/>
          <w:kern w:val="0"/>
          <w:szCs w:val="20"/>
        </w:rPr>
      </w:pPr>
      <w:r>
        <w:rPr>
          <w:rFonts w:hint="eastAsia" w:ascii="宋体"/>
          <w:kern w:val="0"/>
          <w:szCs w:val="20"/>
        </w:rPr>
        <w:t>——现场查勘能源管理相关统计分析制度涉及的车间，确认能源消费统计分析工作是否能为企业采取能源管理技术措施提供依据，是否可发现能源利用过程中的问题并采取措施。</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5.9　企业对能源消费实行包费制情况</w:t>
      </w:r>
    </w:p>
    <w:p>
      <w:pPr>
        <w:widowControl/>
        <w:tabs>
          <w:tab w:val="left" w:pos="360"/>
        </w:tabs>
        <w:jc w:val="left"/>
        <w:outlineLvl w:val="3"/>
        <w:rPr>
          <w:kern w:val="0"/>
          <w:szCs w:val="20"/>
        </w:rPr>
      </w:pPr>
      <w:r>
        <w:rPr>
          <w:rFonts w:hint="eastAsia" w:ascii="黑体" w:eastAsia="黑体"/>
          <w:kern w:val="0"/>
          <w:szCs w:val="21"/>
        </w:rPr>
        <w:t>5.9.1　</w:t>
      </w:r>
      <w:r>
        <w:rPr>
          <w:rFonts w:hint="eastAsia"/>
          <w:kern w:val="0"/>
          <w:szCs w:val="20"/>
        </w:rPr>
        <w:t>通过调查询问、现场查勘、资料核查及数据核算等方式，确定由企业负责提供能源的职工宿舍（或住宅小区）等建筑的实际情况和供应能源种类和数量（如电力、水、热力、天然气等）。</w:t>
      </w:r>
    </w:p>
    <w:p>
      <w:pPr>
        <w:widowControl/>
        <w:tabs>
          <w:tab w:val="left" w:pos="360"/>
        </w:tabs>
        <w:jc w:val="left"/>
        <w:outlineLvl w:val="3"/>
        <w:rPr>
          <w:kern w:val="0"/>
          <w:szCs w:val="20"/>
        </w:rPr>
      </w:pPr>
      <w:r>
        <w:rPr>
          <w:rFonts w:hint="eastAsia" w:ascii="黑体" w:eastAsia="黑体"/>
          <w:kern w:val="0"/>
          <w:szCs w:val="21"/>
        </w:rPr>
        <w:t>5.9.2　</w:t>
      </w:r>
      <w:r>
        <w:rPr>
          <w:rFonts w:hint="eastAsia"/>
          <w:kern w:val="0"/>
          <w:szCs w:val="20"/>
        </w:rPr>
        <w:t>查看企业职工宿舍（或住宅小区）及其具体用户是否均安装了能源计量仪表来对能源使用数量进行计量（冬季供暖可不计量，采取按建筑面积进行收费的方式）。</w:t>
      </w:r>
    </w:p>
    <w:p>
      <w:pPr>
        <w:widowControl/>
        <w:tabs>
          <w:tab w:val="left" w:pos="360"/>
        </w:tabs>
        <w:jc w:val="left"/>
        <w:outlineLvl w:val="3"/>
        <w:rPr>
          <w:kern w:val="0"/>
          <w:szCs w:val="20"/>
        </w:rPr>
      </w:pPr>
      <w:r>
        <w:rPr>
          <w:rFonts w:hint="eastAsia" w:ascii="黑体" w:eastAsia="黑体"/>
          <w:kern w:val="0"/>
          <w:szCs w:val="21"/>
        </w:rPr>
        <w:t>5.9.3　</w:t>
      </w:r>
      <w:r>
        <w:rPr>
          <w:rFonts w:hint="eastAsia"/>
          <w:kern w:val="0"/>
          <w:szCs w:val="20"/>
        </w:rPr>
        <w:t>核实企业是否按照实际能源计量数据，依据市场价格（或接近市场价格的合理价格），定期收取合理的能源费用。</w:t>
      </w:r>
    </w:p>
    <w:p>
      <w:pPr>
        <w:widowControl/>
        <w:tabs>
          <w:tab w:val="left" w:pos="360"/>
        </w:tabs>
        <w:jc w:val="left"/>
        <w:outlineLvl w:val="3"/>
        <w:rPr>
          <w:kern w:val="0"/>
          <w:szCs w:val="20"/>
        </w:rPr>
      </w:pPr>
      <w:r>
        <w:rPr>
          <w:rFonts w:hint="eastAsia" w:ascii="黑体" w:eastAsia="黑体"/>
          <w:kern w:val="0"/>
          <w:szCs w:val="21"/>
        </w:rPr>
        <w:t>5.9.4　</w:t>
      </w:r>
      <w:r>
        <w:rPr>
          <w:rFonts w:hint="eastAsia"/>
          <w:kern w:val="0"/>
          <w:szCs w:val="20"/>
        </w:rPr>
        <w:t>随机抽取相关职工能源使用和具体缴费情况，并与企业收费情况进行对比，结合企业提供的能源计量台账、能源消费统计记录、能源收缴费单据及财务明细账表等，确认企业能源消费是否实行了包费制。</w:t>
      </w:r>
    </w:p>
    <w:p>
      <w:pPr>
        <w:widowControl/>
        <w:spacing w:before="156" w:beforeLines="50"/>
        <w:jc w:val="left"/>
        <w:outlineLvl w:val="2"/>
        <w:rPr>
          <w:rFonts w:ascii="黑体" w:eastAsia="黑体"/>
          <w:kern w:val="0"/>
          <w:szCs w:val="21"/>
        </w:rPr>
      </w:pPr>
      <w:r>
        <w:rPr>
          <w:rFonts w:hint="eastAsia" w:ascii="黑体" w:eastAsia="黑体"/>
          <w:kern w:val="0"/>
          <w:szCs w:val="21"/>
        </w:rPr>
        <w:t>5.10　企业建立节能目标责任制情况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5.10.1</w:t>
      </w:r>
      <w:r>
        <w:rPr>
          <w:rFonts w:ascii="黑体" w:eastAsia="黑体"/>
          <w:kern w:val="0"/>
          <w:szCs w:val="21"/>
        </w:rPr>
        <w:t xml:space="preserve"> </w:t>
      </w:r>
      <w:r>
        <w:rPr>
          <w:rFonts w:hint="eastAsia" w:asciiTheme="minorEastAsia" w:hAnsiTheme="minorEastAsia" w:eastAsiaTheme="minorEastAsia"/>
          <w:kern w:val="0"/>
          <w:szCs w:val="21"/>
        </w:rPr>
        <w:t>核查企业节能目标制定和分解落实情况，包括：</w:t>
      </w:r>
    </w:p>
    <w:p>
      <w:pPr>
        <w:ind w:left="833" w:hanging="408"/>
        <w:rPr>
          <w:rFonts w:ascii="宋体"/>
          <w:kern w:val="0"/>
          <w:szCs w:val="20"/>
        </w:rPr>
      </w:pPr>
      <w:r>
        <w:rPr>
          <w:rFonts w:hint="eastAsia" w:ascii="宋体"/>
          <w:kern w:val="0"/>
          <w:szCs w:val="20"/>
        </w:rPr>
        <w:t>——查看企业提供的与节能目标责任制相关的制度文件、与政府签订的节能目标责任书，以及企业与各分厂之间、分厂与车间之间签订的节能目标责任状（书）；</w:t>
      </w:r>
    </w:p>
    <w:p>
      <w:pPr>
        <w:ind w:left="833" w:hanging="408"/>
        <w:rPr>
          <w:rFonts w:ascii="宋体"/>
          <w:kern w:val="0"/>
          <w:szCs w:val="20"/>
        </w:rPr>
      </w:pPr>
      <w:r>
        <w:rPr>
          <w:rFonts w:hint="eastAsia" w:ascii="宋体"/>
          <w:kern w:val="0"/>
          <w:szCs w:val="20"/>
        </w:rPr>
        <w:t>——调查询问企业能源管理负责人、能源管理岗位人员及其他相关人员，了解节能目标分解落实的具体情况；</w:t>
      </w:r>
    </w:p>
    <w:p>
      <w:pPr>
        <w:ind w:left="833" w:hanging="408"/>
        <w:rPr>
          <w:rFonts w:ascii="宋体"/>
          <w:kern w:val="0"/>
          <w:szCs w:val="20"/>
        </w:rPr>
      </w:pPr>
      <w:r>
        <w:rPr>
          <w:rFonts w:hint="eastAsia" w:ascii="宋体"/>
          <w:kern w:val="0"/>
          <w:szCs w:val="20"/>
        </w:rPr>
        <w:t>——查看企业提供的上年度实施节能管理技术等措施实施记录，分厂、车间及班组的能源、产品产量统计报表等资料，结合与能源管理负责人、节能主管部门负责人等座谈交流情况，核算上年度企业节能目标实际完成情况，并抽查分厂、车间及班组节能目标实际完成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5.10.2</w:t>
      </w:r>
      <w:r>
        <w:rPr>
          <w:rFonts w:ascii="黑体" w:eastAsia="黑体"/>
          <w:kern w:val="0"/>
          <w:szCs w:val="21"/>
        </w:rPr>
        <w:t xml:space="preserve"> </w:t>
      </w:r>
      <w:r>
        <w:rPr>
          <w:rFonts w:hint="eastAsia" w:asciiTheme="minorEastAsia" w:hAnsiTheme="minorEastAsia" w:eastAsiaTheme="minorEastAsia"/>
          <w:kern w:val="0"/>
          <w:szCs w:val="21"/>
        </w:rPr>
        <w:t>核查企业实施节能目标考核奖惩情况，包括：</w:t>
      </w:r>
    </w:p>
    <w:p>
      <w:pPr>
        <w:ind w:left="833" w:hanging="408"/>
        <w:rPr>
          <w:rFonts w:ascii="宋体"/>
          <w:kern w:val="0"/>
          <w:szCs w:val="20"/>
        </w:rPr>
      </w:pPr>
      <w:r>
        <w:rPr>
          <w:rFonts w:hint="eastAsia" w:ascii="宋体"/>
          <w:kern w:val="0"/>
          <w:szCs w:val="20"/>
        </w:rPr>
        <w:t>——查看企业提供的节能目标考核奖惩制度、节能目标考核奖惩记录、相关财务报表等。</w:t>
      </w:r>
    </w:p>
    <w:p>
      <w:pPr>
        <w:ind w:left="833" w:hanging="408"/>
        <w:rPr>
          <w:rFonts w:ascii="宋体"/>
          <w:kern w:val="0"/>
          <w:szCs w:val="20"/>
        </w:rPr>
      </w:pPr>
      <w:r>
        <w:rPr>
          <w:rFonts w:hint="eastAsia" w:ascii="宋体"/>
          <w:kern w:val="0"/>
          <w:szCs w:val="20"/>
        </w:rPr>
        <w:t>——调查询问能源管理负责人、负责节能目标考核及奖惩部门负责人、人事及财务部门有关人员及其他相关人员，了解企业节能目标考核奖惩落实的具体情况。</w:t>
      </w:r>
    </w:p>
    <w:p>
      <w:pPr>
        <w:widowControl/>
        <w:numPr>
          <w:ilvl w:val="2"/>
          <w:numId w:val="0"/>
        </w:numPr>
        <w:spacing w:before="156" w:beforeLines="50" w:after="156" w:afterLines="50"/>
        <w:jc w:val="left"/>
        <w:outlineLvl w:val="3"/>
        <w:rPr>
          <w:rFonts w:ascii="黑体" w:eastAsia="黑体"/>
          <w:kern w:val="0"/>
          <w:szCs w:val="21"/>
        </w:rPr>
      </w:pPr>
      <w:r>
        <w:rPr>
          <w:rFonts w:hint="eastAsia" w:ascii="黑体" w:eastAsia="黑体"/>
          <w:kern w:val="0"/>
          <w:szCs w:val="21"/>
        </w:rPr>
        <w:t>5.10.3</w:t>
      </w:r>
      <w:r>
        <w:rPr>
          <w:rFonts w:ascii="黑体" w:eastAsia="黑体"/>
          <w:kern w:val="0"/>
          <w:szCs w:val="21"/>
        </w:rPr>
        <w:t xml:space="preserve"> </w:t>
      </w:r>
      <w:r>
        <w:rPr>
          <w:rFonts w:hint="eastAsia" w:asciiTheme="minorEastAsia" w:hAnsiTheme="minorEastAsia" w:eastAsiaTheme="minorEastAsia"/>
          <w:kern w:val="0"/>
          <w:szCs w:val="21"/>
        </w:rPr>
        <w:t>核查企业加强节能激励约束情况，包括：</w:t>
      </w:r>
    </w:p>
    <w:p>
      <w:pPr>
        <w:ind w:left="833" w:hanging="408"/>
        <w:rPr>
          <w:rFonts w:ascii="宋体"/>
          <w:kern w:val="0"/>
          <w:szCs w:val="20"/>
        </w:rPr>
      </w:pPr>
      <w:r>
        <w:rPr>
          <w:rFonts w:hint="eastAsia" w:ascii="宋体"/>
          <w:kern w:val="0"/>
          <w:szCs w:val="20"/>
        </w:rPr>
        <w:t>——查看与节能激励约束相关的制度文件及工作记录，确认企业是否有落实节能激励约束工作的书面制度、激励约束措施是否合理到位等；</w:t>
      </w:r>
    </w:p>
    <w:p>
      <w:pPr>
        <w:ind w:left="833" w:hanging="408"/>
        <w:rPr>
          <w:rFonts w:ascii="宋体"/>
          <w:kern w:val="0"/>
          <w:szCs w:val="20"/>
        </w:rPr>
      </w:pPr>
      <w:r>
        <w:rPr>
          <w:rFonts w:hint="eastAsia" w:ascii="宋体"/>
          <w:kern w:val="0"/>
          <w:szCs w:val="20"/>
        </w:rPr>
        <w:t>——查看节能激励约束活动实施方案及有关记录、影响材料、人事财务相关记录、获奖证书等，了解企业节能激励约束落实的具体情况；</w:t>
      </w:r>
    </w:p>
    <w:p>
      <w:pPr>
        <w:ind w:left="833" w:hanging="408"/>
        <w:rPr>
          <w:rFonts w:ascii="宋体"/>
          <w:kern w:val="0"/>
          <w:szCs w:val="20"/>
        </w:rPr>
      </w:pPr>
      <w:r>
        <w:rPr>
          <w:rFonts w:hint="eastAsia" w:ascii="宋体"/>
          <w:kern w:val="0"/>
          <w:szCs w:val="20"/>
        </w:rPr>
        <w:t>——调查询问能源管理负责人、相关部门负责人、部分参与节能激励约束的集体或个人，确认节能激励约束措施是否真正落实到位，是否能够为提升企业员工开展节能工作发挥积极作用。</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5.10.4</w:t>
      </w:r>
      <w:r>
        <w:rPr>
          <w:rFonts w:ascii="黑体" w:eastAsia="黑体"/>
          <w:kern w:val="0"/>
          <w:szCs w:val="21"/>
        </w:rPr>
        <w:t xml:space="preserve"> </w:t>
      </w:r>
      <w:r>
        <w:rPr>
          <w:rFonts w:hint="eastAsia" w:asciiTheme="minorEastAsia" w:hAnsiTheme="minorEastAsia" w:eastAsiaTheme="minorEastAsia"/>
          <w:kern w:val="0"/>
          <w:szCs w:val="21"/>
        </w:rPr>
        <w:t>核查重点用能企业节能目标完成情况，包括：</w:t>
      </w:r>
    </w:p>
    <w:p>
      <w:pPr>
        <w:ind w:left="833" w:hanging="408"/>
        <w:rPr>
          <w:rFonts w:ascii="宋体"/>
          <w:kern w:val="0"/>
          <w:szCs w:val="20"/>
        </w:rPr>
      </w:pPr>
      <w:r>
        <w:rPr>
          <w:rFonts w:hint="eastAsia" w:ascii="宋体"/>
          <w:kern w:val="0"/>
          <w:szCs w:val="20"/>
        </w:rPr>
        <w:t>——对于与政府签订节能目标书（或政府下达的节能目标任务）的重点企业，应依据</w:t>
      </w:r>
      <w:r>
        <w:rPr>
          <w:rFonts w:ascii="宋体"/>
          <w:kern w:val="0"/>
          <w:szCs w:val="20"/>
        </w:rPr>
        <w:t>GB/T 2589</w:t>
      </w:r>
      <w:r>
        <w:rPr>
          <w:rFonts w:hint="eastAsia" w:ascii="宋体"/>
          <w:kern w:val="0"/>
          <w:szCs w:val="20"/>
        </w:rPr>
        <w:t>、</w:t>
      </w:r>
      <w:r>
        <w:rPr>
          <w:rFonts w:ascii="宋体"/>
          <w:kern w:val="0"/>
          <w:szCs w:val="20"/>
        </w:rPr>
        <w:t>GB/T 13234</w:t>
      </w:r>
      <w:r>
        <w:rPr>
          <w:rFonts w:hint="eastAsia" w:ascii="宋体"/>
          <w:kern w:val="0"/>
          <w:szCs w:val="20"/>
        </w:rPr>
        <w:t>等相关要求，利用企业提供的统计期内的能源、生产统计报表等资料，确认节能目标类型及有关要求，核算企业节能目标完成情况；</w:t>
      </w:r>
    </w:p>
    <w:p>
      <w:pPr>
        <w:ind w:left="833" w:hanging="408"/>
        <w:rPr>
          <w:rFonts w:ascii="宋体"/>
          <w:kern w:val="0"/>
          <w:szCs w:val="20"/>
        </w:rPr>
      </w:pPr>
      <w:r>
        <w:rPr>
          <w:rFonts w:hint="eastAsia" w:ascii="宋体"/>
          <w:kern w:val="0"/>
          <w:szCs w:val="20"/>
        </w:rPr>
        <w:t>——核查上年度生产统计年报和月报表，随机抽查至少一个月生产统计日报，抽查该月</w:t>
      </w:r>
      <w:r>
        <w:rPr>
          <w:rFonts w:ascii="宋体"/>
          <w:kern w:val="0"/>
          <w:szCs w:val="20"/>
        </w:rPr>
        <w:t>1~3</w:t>
      </w:r>
      <w:r>
        <w:rPr>
          <w:rFonts w:hint="eastAsia" w:ascii="宋体"/>
          <w:kern w:val="0"/>
          <w:szCs w:val="20"/>
        </w:rPr>
        <w:t>天的生产原始记录，核实年度合格产品产量数据的真实性；</w:t>
      </w:r>
    </w:p>
    <w:p>
      <w:pPr>
        <w:ind w:left="833" w:hanging="408"/>
        <w:rPr>
          <w:rFonts w:ascii="宋体"/>
          <w:kern w:val="0"/>
          <w:szCs w:val="20"/>
        </w:rPr>
      </w:pPr>
      <w:r>
        <w:rPr>
          <w:rFonts w:hint="eastAsia" w:ascii="宋体"/>
          <w:kern w:val="0"/>
          <w:szCs w:val="20"/>
        </w:rPr>
        <w:t>——核查能源消费统计年报和月报，随机抽查核算至少一个月的能源统计台账日报，抽查该月</w:t>
      </w:r>
      <w:r>
        <w:rPr>
          <w:rFonts w:ascii="宋体"/>
          <w:kern w:val="0"/>
          <w:szCs w:val="20"/>
        </w:rPr>
        <w:t>1~3</w:t>
      </w:r>
      <w:r>
        <w:rPr>
          <w:rFonts w:hint="eastAsia" w:ascii="宋体"/>
          <w:kern w:val="0"/>
          <w:szCs w:val="20"/>
        </w:rPr>
        <w:t>天的能源统计原始记录，核算年度产品综合能耗量、单项能源消耗量数据的真实性等；据此，按</w:t>
      </w:r>
      <w:r>
        <w:rPr>
          <w:rFonts w:ascii="宋体"/>
          <w:kern w:val="0"/>
          <w:szCs w:val="20"/>
        </w:rPr>
        <w:t>GB/T 13234</w:t>
      </w:r>
      <w:r>
        <w:rPr>
          <w:rFonts w:hint="eastAsia" w:ascii="宋体"/>
          <w:kern w:val="0"/>
          <w:szCs w:val="20"/>
        </w:rPr>
        <w:t>相关要求，核算重点用能企业实现的年度节能量，与节能目标比较，确认重点企业完成年度节能目标情况。</w:t>
      </w:r>
    </w:p>
    <w:p>
      <w:pPr>
        <w:widowControl/>
        <w:spacing w:before="156" w:beforeLines="50"/>
        <w:jc w:val="left"/>
        <w:outlineLvl w:val="2"/>
        <w:rPr>
          <w:rFonts w:ascii="黑体" w:eastAsia="黑体"/>
          <w:kern w:val="0"/>
          <w:szCs w:val="21"/>
        </w:rPr>
      </w:pPr>
      <w:r>
        <w:rPr>
          <w:rFonts w:hint="eastAsia" w:ascii="黑体" w:eastAsia="黑体"/>
          <w:kern w:val="0"/>
          <w:szCs w:val="21"/>
        </w:rPr>
        <w:t>5.11　企业节能工作组织领导情况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5.11.1</w:t>
      </w:r>
      <w:r>
        <w:rPr>
          <w:rFonts w:ascii="黑体" w:eastAsia="黑体"/>
          <w:kern w:val="0"/>
          <w:szCs w:val="21"/>
        </w:rPr>
        <w:t xml:space="preserve"> </w:t>
      </w:r>
      <w:r>
        <w:rPr>
          <w:rFonts w:hint="eastAsia" w:asciiTheme="minorEastAsia" w:hAnsiTheme="minorEastAsia" w:eastAsiaTheme="minorEastAsia"/>
          <w:kern w:val="0"/>
          <w:szCs w:val="21"/>
        </w:rPr>
        <w:t>核查企业组织领导体系建设情况，包括：</w:t>
      </w:r>
    </w:p>
    <w:p>
      <w:pPr>
        <w:ind w:left="833" w:hanging="408"/>
        <w:rPr>
          <w:rFonts w:ascii="宋体"/>
          <w:kern w:val="0"/>
          <w:szCs w:val="20"/>
        </w:rPr>
      </w:pPr>
      <w:r>
        <w:rPr>
          <w:rFonts w:hint="eastAsia" w:ascii="宋体"/>
          <w:kern w:val="0"/>
          <w:szCs w:val="20"/>
        </w:rPr>
        <w:t>——查看企业企业能源管理组织结构图、节能工作领导小组成立正式文件、部门职责和岗位说明书等材料；</w:t>
      </w:r>
    </w:p>
    <w:p>
      <w:pPr>
        <w:ind w:left="833" w:hanging="408"/>
        <w:rPr>
          <w:rFonts w:ascii="宋体"/>
          <w:kern w:val="0"/>
          <w:szCs w:val="20"/>
        </w:rPr>
      </w:pPr>
      <w:r>
        <w:rPr>
          <w:rFonts w:hint="eastAsia" w:ascii="宋体"/>
          <w:kern w:val="0"/>
          <w:szCs w:val="20"/>
        </w:rPr>
        <w:t>——与能源管理负责人及重点岗位人员等座谈交流，确认企业节能工作领导小组及节能主管部门组建情况，各部门、分厂、车间及班组节能职责是否明确，与节能相关的能源采购、设备、计量、统计及分析等重点岗位职责是否明确；</w:t>
      </w:r>
    </w:p>
    <w:p>
      <w:pPr>
        <w:ind w:left="833" w:hanging="408"/>
        <w:rPr>
          <w:rFonts w:ascii="宋体"/>
          <w:kern w:val="0"/>
          <w:szCs w:val="20"/>
        </w:rPr>
      </w:pPr>
      <w:r>
        <w:rPr>
          <w:rFonts w:hint="eastAsia" w:ascii="宋体"/>
          <w:kern w:val="0"/>
          <w:szCs w:val="20"/>
        </w:rPr>
        <w:t>——询问最高管理者、能源管理负责人、节能主管部门和重点用能车间负责人、一线能源管理岗位人员等，了解企业节能工作组织领导体系运行情况。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5.11.2</w:t>
      </w:r>
      <w:r>
        <w:rPr>
          <w:rFonts w:ascii="黑体" w:eastAsia="黑体"/>
          <w:kern w:val="0"/>
          <w:szCs w:val="21"/>
        </w:rPr>
        <w:t xml:space="preserve"> </w:t>
      </w:r>
      <w:r>
        <w:rPr>
          <w:rFonts w:hint="eastAsia" w:asciiTheme="minorEastAsia" w:hAnsiTheme="minorEastAsia" w:eastAsiaTheme="minorEastAsia"/>
          <w:kern w:val="0"/>
          <w:szCs w:val="21"/>
        </w:rPr>
        <w:t>核查企业建立健全能源管理制度情况，包括：</w:t>
      </w:r>
    </w:p>
    <w:p>
      <w:pPr>
        <w:ind w:left="833" w:hanging="408"/>
        <w:rPr>
          <w:rFonts w:ascii="宋体"/>
          <w:kern w:val="0"/>
          <w:szCs w:val="20"/>
        </w:rPr>
      </w:pPr>
      <w:r>
        <w:rPr>
          <w:rFonts w:hint="eastAsia" w:ascii="宋体"/>
          <w:kern w:val="0"/>
          <w:szCs w:val="20"/>
        </w:rPr>
        <w:t>——查看书面文件，了解企业是否建立健全能源管理制度；</w:t>
      </w:r>
    </w:p>
    <w:p>
      <w:pPr>
        <w:ind w:left="833" w:hanging="408"/>
        <w:rPr>
          <w:rFonts w:ascii="宋体"/>
          <w:kern w:val="0"/>
          <w:szCs w:val="20"/>
        </w:rPr>
      </w:pPr>
      <w:r>
        <w:rPr>
          <w:rFonts w:hint="eastAsia" w:ascii="宋体"/>
          <w:kern w:val="0"/>
          <w:szCs w:val="20"/>
        </w:rPr>
        <w:t>——调查询问能源管理负责人、节能主管部门负责人、制度涉及到的相关单位人员等，了解能源管理制度的落实情况。</w:t>
      </w:r>
    </w:p>
    <w:p>
      <w:pPr>
        <w:widowControl/>
        <w:numPr>
          <w:ilvl w:val="2"/>
          <w:numId w:val="0"/>
        </w:numPr>
        <w:spacing w:before="156" w:beforeLines="50" w:after="156" w:afterLines="50"/>
        <w:jc w:val="left"/>
        <w:outlineLvl w:val="3"/>
        <w:rPr>
          <w:rFonts w:asciiTheme="minorEastAsia" w:hAnsiTheme="minorEastAsia" w:eastAsiaTheme="minorEastAsia"/>
          <w:kern w:val="0"/>
          <w:szCs w:val="21"/>
        </w:rPr>
      </w:pPr>
      <w:r>
        <w:rPr>
          <w:rFonts w:hint="eastAsia" w:ascii="黑体" w:eastAsia="黑体"/>
          <w:kern w:val="0"/>
          <w:szCs w:val="21"/>
        </w:rPr>
        <w:t>5.11.3</w:t>
      </w:r>
      <w:r>
        <w:rPr>
          <w:rFonts w:ascii="黑体" w:eastAsia="黑体"/>
          <w:kern w:val="0"/>
          <w:szCs w:val="21"/>
        </w:rPr>
        <w:t xml:space="preserve"> </w:t>
      </w:r>
      <w:r>
        <w:rPr>
          <w:rFonts w:hint="eastAsia" w:asciiTheme="minorEastAsia" w:hAnsiTheme="minorEastAsia" w:eastAsiaTheme="minorEastAsia"/>
          <w:kern w:val="0"/>
          <w:szCs w:val="21"/>
        </w:rPr>
        <w:t>核查企业制定实施节能计划情况，包括：</w:t>
      </w:r>
    </w:p>
    <w:p>
      <w:pPr>
        <w:ind w:left="833" w:hanging="408"/>
        <w:rPr>
          <w:rFonts w:ascii="宋体"/>
          <w:kern w:val="0"/>
          <w:szCs w:val="20"/>
        </w:rPr>
      </w:pPr>
      <w:r>
        <w:rPr>
          <w:rFonts w:hint="eastAsia" w:ascii="宋体"/>
          <w:kern w:val="0"/>
          <w:szCs w:val="20"/>
        </w:rPr>
        <w:t>——核查节能计划证书文件内容，了解企业制定实施节能计划情况；</w:t>
      </w:r>
    </w:p>
    <w:p>
      <w:pPr>
        <w:ind w:left="833" w:hanging="408"/>
        <w:rPr>
          <w:rFonts w:ascii="宋体"/>
          <w:kern w:val="0"/>
          <w:szCs w:val="20"/>
        </w:rPr>
      </w:pPr>
      <w:r>
        <w:rPr>
          <w:rFonts w:hint="eastAsia" w:ascii="宋体"/>
          <w:kern w:val="0"/>
          <w:szCs w:val="20"/>
        </w:rPr>
        <w:t>——调查询问能源管理负责人、节能主管部门负责人、相关岗位人员等，进一步了解企业节能计划具体落实情况；</w:t>
      </w:r>
    </w:p>
    <w:p>
      <w:pPr>
        <w:ind w:left="833" w:hanging="408"/>
        <w:rPr>
          <w:rFonts w:ascii="宋体"/>
          <w:kern w:val="0"/>
          <w:szCs w:val="20"/>
        </w:rPr>
      </w:pPr>
      <w:r>
        <w:rPr>
          <w:rFonts w:hint="eastAsia" w:ascii="宋体"/>
          <w:kern w:val="0"/>
          <w:szCs w:val="20"/>
        </w:rPr>
        <w:t>——针对计划要求实施的节能措施项目进行实地抽查，了解实施进度情况，确认措施是否真实落实。</w:t>
      </w:r>
    </w:p>
    <w:p>
      <w:pPr>
        <w:widowControl/>
        <w:spacing w:before="156" w:beforeLines="50"/>
        <w:jc w:val="left"/>
        <w:outlineLvl w:val="2"/>
        <w:rPr>
          <w:rFonts w:ascii="黑体" w:eastAsia="黑体"/>
          <w:kern w:val="0"/>
          <w:szCs w:val="21"/>
        </w:rPr>
      </w:pPr>
      <w:r>
        <w:rPr>
          <w:rFonts w:hint="eastAsia" w:ascii="黑体" w:eastAsia="黑体"/>
          <w:kern w:val="0"/>
          <w:szCs w:val="21"/>
        </w:rPr>
        <w:t>5.12　企业节能宣传教育和培训情况</w:t>
      </w:r>
    </w:p>
    <w:p>
      <w:pPr>
        <w:widowControl/>
        <w:spacing w:before="156" w:beforeLines="50" w:after="156" w:afterLines="50"/>
        <w:jc w:val="left"/>
        <w:outlineLvl w:val="2"/>
        <w:rPr>
          <w:rFonts w:ascii="宋体"/>
          <w:kern w:val="0"/>
          <w:szCs w:val="20"/>
        </w:rPr>
      </w:pPr>
      <w:r>
        <w:rPr>
          <w:rFonts w:hint="eastAsia" w:ascii="黑体" w:eastAsia="黑体"/>
          <w:kern w:val="0"/>
          <w:szCs w:val="21"/>
        </w:rPr>
        <w:t>5.12.1　</w:t>
      </w:r>
      <w:r>
        <w:rPr>
          <w:rFonts w:hint="eastAsia" w:ascii="宋体"/>
          <w:kern w:val="0"/>
          <w:szCs w:val="20"/>
        </w:rPr>
        <w:t>核查企业节能宣传教育情况，包括：</w:t>
      </w:r>
    </w:p>
    <w:p>
      <w:pPr>
        <w:ind w:left="833" w:hanging="408"/>
        <w:rPr>
          <w:rFonts w:ascii="宋体"/>
          <w:kern w:val="0"/>
          <w:szCs w:val="20"/>
        </w:rPr>
      </w:pPr>
      <w:r>
        <w:rPr>
          <w:rFonts w:hint="eastAsia" w:ascii="宋体"/>
          <w:kern w:val="0"/>
          <w:szCs w:val="20"/>
        </w:rPr>
        <w:t>——查看企业近年来开展节能宣传教育活动（或包含节能内容的宣传教育活动）的策划方案、宣传教育资料及相关证明材料，了解企业节能宣传教育实际情况；</w:t>
      </w:r>
    </w:p>
    <w:p>
      <w:pPr>
        <w:ind w:left="833" w:hanging="408"/>
        <w:rPr>
          <w:rFonts w:ascii="宋体"/>
          <w:kern w:val="0"/>
          <w:szCs w:val="20"/>
        </w:rPr>
      </w:pPr>
      <w:r>
        <w:rPr>
          <w:rFonts w:hint="eastAsia" w:ascii="宋体"/>
          <w:kern w:val="0"/>
          <w:szCs w:val="20"/>
        </w:rPr>
        <w:t>——调查询问能源管理负责人及活动策划人等，了解企业开展节能宣传教育活动的频次、内容、覆盖面和具体形式；可随机与企业有关部门或车间工作人员进行座谈交流，询问企业开展过的节能宣传教育活动情况。</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5.12.2　</w:t>
      </w:r>
      <w:r>
        <w:rPr>
          <w:rFonts w:hint="eastAsia" w:asciiTheme="minorEastAsia" w:hAnsiTheme="minorEastAsia" w:eastAsiaTheme="minorEastAsia"/>
          <w:kern w:val="0"/>
          <w:szCs w:val="21"/>
        </w:rPr>
        <w:t>核查企业岗位节能培训情况，包括：</w:t>
      </w:r>
    </w:p>
    <w:p>
      <w:pPr>
        <w:ind w:left="833" w:hanging="408"/>
        <w:rPr>
          <w:rFonts w:ascii="宋体"/>
          <w:kern w:val="0"/>
          <w:szCs w:val="20"/>
        </w:rPr>
      </w:pPr>
      <w:r>
        <w:rPr>
          <w:rFonts w:hint="eastAsia" w:ascii="宋体"/>
          <w:kern w:val="0"/>
          <w:szCs w:val="20"/>
        </w:rPr>
        <w:t>——查看企业节能培训制度，了解企业是否将节能培训制度纳入到企业现有培训管理制度中，具体要求是否全面到位；</w:t>
      </w:r>
    </w:p>
    <w:p>
      <w:pPr>
        <w:ind w:left="833" w:hanging="408"/>
        <w:rPr>
          <w:rFonts w:ascii="宋体"/>
          <w:kern w:val="0"/>
          <w:szCs w:val="20"/>
        </w:rPr>
      </w:pPr>
      <w:r>
        <w:rPr>
          <w:rFonts w:hint="eastAsia" w:ascii="宋体"/>
          <w:kern w:val="0"/>
          <w:szCs w:val="20"/>
        </w:rPr>
        <w:t>——询问企业能源管理负责人、人力资源管理部门负责人，了解企业组织开展节能培训具体情况；也可对相关部门、车间接受培训人员进行抽查询问，确认企业是否按照培训制度开展节能培训工作。</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5.13　企业开展能效水平对标达标工作情况</w:t>
      </w:r>
    </w:p>
    <w:p>
      <w:pPr>
        <w:widowControl/>
        <w:tabs>
          <w:tab w:val="left" w:pos="360"/>
        </w:tabs>
        <w:jc w:val="left"/>
        <w:rPr>
          <w:rFonts w:ascii="黑体" w:eastAsia="黑体"/>
          <w:kern w:val="0"/>
          <w:szCs w:val="21"/>
        </w:rPr>
      </w:pPr>
      <w:r>
        <w:rPr>
          <w:rFonts w:hint="eastAsia" w:ascii="黑体" w:eastAsia="黑体"/>
          <w:kern w:val="0"/>
          <w:szCs w:val="21"/>
        </w:rPr>
        <w:t>5.13.1　</w:t>
      </w:r>
      <w:r>
        <w:rPr>
          <w:rFonts w:hint="eastAsia" w:asciiTheme="minorEastAsia" w:hAnsiTheme="minorEastAsia" w:eastAsiaTheme="minorEastAsia"/>
          <w:kern w:val="0"/>
          <w:szCs w:val="21"/>
        </w:rPr>
        <w:t>核查企业能效对标组织领导机构设立情况，查看能效对标工作方案、能源评审报告、确定的能源基准及能效标杆、能效改进方案、能效对标效果评估记录、实施管理技术措施（如企业重大节能技术改造工程）等相关证明材料。</w:t>
      </w:r>
    </w:p>
    <w:p>
      <w:pPr>
        <w:widowControl/>
        <w:tabs>
          <w:tab w:val="left" w:pos="360"/>
        </w:tabs>
        <w:jc w:val="left"/>
        <w:rPr>
          <w:rFonts w:ascii="黑体" w:eastAsia="黑体"/>
          <w:kern w:val="0"/>
          <w:szCs w:val="21"/>
        </w:rPr>
      </w:pPr>
      <w:r>
        <w:rPr>
          <w:rFonts w:hint="eastAsia" w:ascii="黑体" w:eastAsia="黑体"/>
          <w:kern w:val="0"/>
          <w:szCs w:val="21"/>
        </w:rPr>
        <w:t>5.13.2　</w:t>
      </w:r>
      <w:r>
        <w:rPr>
          <w:rFonts w:hint="eastAsia" w:asciiTheme="minorEastAsia" w:hAnsiTheme="minorEastAsia" w:eastAsiaTheme="minorEastAsia"/>
          <w:kern w:val="0"/>
          <w:szCs w:val="21"/>
        </w:rPr>
        <w:t>与能源管理负责人、能效对标工作部门负责人及其他相关人员进行座谈交流，询问标杆如何选定、采取了哪些管理技术措施、现场相关工作措施实施情况、能效对标工作如何根据实际适时调整不断改进等。</w:t>
      </w:r>
    </w:p>
    <w:p>
      <w:pPr>
        <w:widowControl/>
        <w:spacing w:before="156" w:beforeLines="50"/>
        <w:jc w:val="left"/>
        <w:outlineLvl w:val="2"/>
        <w:rPr>
          <w:rFonts w:ascii="黑体" w:eastAsia="黑体"/>
          <w:kern w:val="0"/>
          <w:szCs w:val="21"/>
        </w:rPr>
      </w:pPr>
      <w:r>
        <w:rPr>
          <w:rFonts w:hint="eastAsia" w:ascii="黑体" w:eastAsia="黑体"/>
          <w:kern w:val="0"/>
          <w:szCs w:val="21"/>
        </w:rPr>
        <w:t>5.14　企业建立能源管理体系情况</w:t>
      </w:r>
    </w:p>
    <w:p>
      <w:pPr>
        <w:widowControl/>
        <w:spacing w:before="156" w:beforeLines="50" w:after="156" w:afterLines="50"/>
        <w:jc w:val="left"/>
        <w:rPr>
          <w:rFonts w:ascii="黑体" w:eastAsia="黑体"/>
          <w:kern w:val="0"/>
          <w:szCs w:val="21"/>
        </w:rPr>
      </w:pPr>
      <w:r>
        <w:rPr>
          <w:rFonts w:hint="eastAsia" w:ascii="黑体" w:eastAsia="黑体"/>
          <w:kern w:val="0"/>
          <w:szCs w:val="21"/>
        </w:rPr>
        <w:t>5.14.1　</w:t>
      </w:r>
      <w:r>
        <w:rPr>
          <w:rFonts w:hint="eastAsia" w:asciiTheme="minorEastAsia" w:hAnsiTheme="minorEastAsia" w:eastAsiaTheme="minorEastAsia"/>
          <w:kern w:val="0"/>
          <w:szCs w:val="21"/>
        </w:rPr>
        <w:t>核查企业能源管理体系建立运行情况，包括：</w:t>
      </w:r>
    </w:p>
    <w:p>
      <w:pPr>
        <w:ind w:left="833" w:hanging="408"/>
        <w:rPr>
          <w:rFonts w:ascii="宋体"/>
          <w:kern w:val="0"/>
          <w:szCs w:val="20"/>
        </w:rPr>
      </w:pPr>
      <w:r>
        <w:rPr>
          <w:rFonts w:hint="eastAsia" w:ascii="宋体"/>
          <w:kern w:val="0"/>
          <w:szCs w:val="20"/>
        </w:rPr>
        <w:t>——查看企业提供的能源管理组织结构图及岗位职责、能源方针文件、节能法律法规清单、能源评审报告、主要能源使用清单、能源绩效参数清单、能源基准及能源目标指标、能源管理实施方案、能源管理手册、程序文件、相关作业指导文件或管理制度及体系文件下发学习记录及能源管理体系认证证书（或评价合格文件）；</w:t>
      </w:r>
    </w:p>
    <w:p>
      <w:pPr>
        <w:ind w:left="833" w:hanging="408"/>
        <w:rPr>
          <w:rFonts w:ascii="宋体"/>
          <w:kern w:val="0"/>
          <w:szCs w:val="20"/>
        </w:rPr>
      </w:pPr>
      <w:r>
        <w:rPr>
          <w:rFonts w:hint="eastAsia" w:ascii="宋体"/>
          <w:kern w:val="0"/>
          <w:szCs w:val="20"/>
        </w:rPr>
        <w:t>——积极与管理者代表、能源管理负责人及体系建设主管部门人员等进行交流，全面了解企业能源管理体系建设实际情况，是否已有效开展能源管理体系策划阶段各项工作；</w:t>
      </w:r>
    </w:p>
    <w:p>
      <w:pPr>
        <w:ind w:left="833" w:hanging="408"/>
        <w:rPr>
          <w:rFonts w:ascii="宋体"/>
          <w:kern w:val="0"/>
          <w:szCs w:val="20"/>
        </w:rPr>
      </w:pPr>
      <w:r>
        <w:rPr>
          <w:rFonts w:hint="eastAsia" w:ascii="宋体"/>
          <w:kern w:val="0"/>
          <w:szCs w:val="20"/>
        </w:rPr>
        <w:t>——依据GB/T 23331等标准，查看能源管理手册、程序文件、作业指导文件、宣传教育培训、信息交流、运行控制、设计、采购、监视与测量、不符合、纠正和预防措施、内部审核和管理评审等能源管理体系实施运行相关文件及记录，以及与最高管理者、管理者代表、体系建设主管部门负责人、能源管理关键岗位人员及生产一线操作员工等座谈交流，抽查部分部门、车间能源管理体系相关要求落实情况，并进行现场验证；</w:t>
      </w:r>
    </w:p>
    <w:p>
      <w:pPr>
        <w:ind w:left="833" w:hanging="408"/>
        <w:rPr>
          <w:rFonts w:ascii="宋体"/>
          <w:kern w:val="0"/>
          <w:szCs w:val="20"/>
        </w:rPr>
      </w:pPr>
      <w:r>
        <w:rPr>
          <w:rFonts w:hint="eastAsia" w:ascii="宋体"/>
          <w:kern w:val="0"/>
          <w:szCs w:val="20"/>
        </w:rPr>
        <w:t>——确认能源管理体系是否按照体系文件要求实施运行，是否对能源管理体系运行中的不符合及时纠正，是否在必要时制定了纠正措施，是否定期开展内部审核，是否定期开展管理评审并对能源管理体系进行持续改进。</w:t>
      </w:r>
    </w:p>
    <w:p>
      <w:pPr>
        <w:widowControl/>
        <w:spacing w:before="156" w:beforeLines="50" w:after="156" w:afterLines="50"/>
        <w:jc w:val="left"/>
        <w:rPr>
          <w:rFonts w:ascii="黑体" w:eastAsia="黑体"/>
          <w:kern w:val="0"/>
          <w:szCs w:val="21"/>
        </w:rPr>
      </w:pPr>
      <w:r>
        <w:rPr>
          <w:rFonts w:hint="eastAsia" w:ascii="黑体" w:eastAsia="黑体"/>
          <w:kern w:val="0"/>
          <w:szCs w:val="21"/>
        </w:rPr>
        <w:t>5.14.2　</w:t>
      </w:r>
      <w:r>
        <w:rPr>
          <w:rFonts w:hint="eastAsia" w:asciiTheme="minorEastAsia" w:hAnsiTheme="minorEastAsia" w:eastAsiaTheme="minorEastAsia"/>
          <w:kern w:val="0"/>
          <w:szCs w:val="21"/>
        </w:rPr>
        <w:t>核查企业节能工作长效机制建设情况，包括：</w:t>
      </w:r>
    </w:p>
    <w:p>
      <w:pPr>
        <w:ind w:left="833" w:hanging="408"/>
        <w:rPr>
          <w:rFonts w:ascii="宋体"/>
          <w:kern w:val="0"/>
          <w:szCs w:val="20"/>
        </w:rPr>
      </w:pPr>
      <w:r>
        <w:rPr>
          <w:rFonts w:hint="eastAsia" w:ascii="宋体"/>
          <w:kern w:val="0"/>
          <w:szCs w:val="20"/>
        </w:rPr>
        <w:t>——查看企业提供的节能法律法规及其他要求清单（也可在其他法律法规清单中包含节能方面内容）及识别评价、传递、定期更新记录，关于节能法律法规及其他要求的程序文件或相关制度，合规性评价记录等材料，了解企业节能遵法贯标机制建设情况；</w:t>
      </w:r>
    </w:p>
    <w:p>
      <w:pPr>
        <w:ind w:left="833" w:hanging="408"/>
        <w:rPr>
          <w:rFonts w:ascii="宋体"/>
          <w:kern w:val="0"/>
          <w:szCs w:val="20"/>
        </w:rPr>
      </w:pPr>
      <w:r>
        <w:rPr>
          <w:rFonts w:hint="eastAsia" w:ascii="宋体"/>
          <w:kern w:val="0"/>
          <w:szCs w:val="20"/>
        </w:rPr>
        <w:t>——调查询问管理者代表、负责节能法律法规管理的部分负责人、相关能源管理人员、设备操作人员等，了解掌握企业节能遵法贯标机制建设情况；</w:t>
      </w:r>
    </w:p>
    <w:p>
      <w:pPr>
        <w:ind w:left="833" w:hanging="408"/>
        <w:rPr>
          <w:rFonts w:ascii="宋体"/>
          <w:kern w:val="0"/>
          <w:szCs w:val="20"/>
        </w:rPr>
      </w:pPr>
      <w:r>
        <w:rPr>
          <w:rFonts w:hint="eastAsia" w:ascii="宋体"/>
          <w:kern w:val="0"/>
          <w:szCs w:val="20"/>
        </w:rPr>
        <w:t>——查看企业提供体系建设以来实施先进节能管理和技术措施情况及相关证明材料，明确该项工作要求的程序文件或相关制度、能源管理实施方案、节能效果分析记录、节能相关技术研发档案，以及开展该项工作的其他相关证明材料等，了解企业节能技术进步机制建设情况；</w:t>
      </w:r>
    </w:p>
    <w:p>
      <w:pPr>
        <w:ind w:left="833" w:hanging="408"/>
        <w:rPr>
          <w:rFonts w:ascii="宋体"/>
          <w:kern w:val="0"/>
          <w:szCs w:val="20"/>
        </w:rPr>
      </w:pPr>
      <w:r>
        <w:rPr>
          <w:rFonts w:hint="eastAsia" w:ascii="宋体"/>
          <w:kern w:val="0"/>
          <w:szCs w:val="20"/>
        </w:rPr>
        <w:t>——询问管理制度代表、主管该项工作的部门负责人、具体实施节能管理和技术措施的人员等，进一步了解企业节能技术进步机制建设情况；</w:t>
      </w:r>
    </w:p>
    <w:p>
      <w:pPr>
        <w:ind w:left="833" w:hanging="408"/>
        <w:rPr>
          <w:rFonts w:ascii="宋体"/>
          <w:kern w:val="0"/>
          <w:szCs w:val="20"/>
        </w:rPr>
      </w:pPr>
      <w:r>
        <w:rPr>
          <w:rFonts w:hint="eastAsia" w:ascii="宋体"/>
          <w:kern w:val="0"/>
          <w:szCs w:val="20"/>
        </w:rPr>
        <w:t>——查看企业提供的能源评审报告、能源使用及主要能源使用清单，能源目标指标文件，能源管理体系相关程序文件、作业指导文件、能源管理实施方案及其落实证明材料，实施监视、测量与分析的相关记录，内审报告及管理评审报告等材料；</w:t>
      </w:r>
    </w:p>
    <w:p>
      <w:pPr>
        <w:ind w:left="833" w:hanging="408"/>
        <w:rPr>
          <w:rFonts w:ascii="宋体"/>
          <w:kern w:val="0"/>
          <w:szCs w:val="20"/>
        </w:rPr>
      </w:pPr>
      <w:r>
        <w:rPr>
          <w:rFonts w:hint="eastAsia" w:ascii="宋体"/>
          <w:kern w:val="0"/>
          <w:szCs w:val="20"/>
        </w:rPr>
        <w:t>——与能源管理负责人、体系建设主管部门负责人、相关部门或车间负责人等交流询问，进一步了解企业能源利用全过程管理控制机制建设情况；</w:t>
      </w:r>
    </w:p>
    <w:p>
      <w:pPr>
        <w:ind w:left="833" w:hanging="408"/>
        <w:rPr>
          <w:rFonts w:ascii="宋体"/>
          <w:kern w:val="0"/>
          <w:szCs w:val="20"/>
        </w:rPr>
      </w:pPr>
      <w:r>
        <w:rPr>
          <w:rFonts w:hint="eastAsia" w:ascii="宋体"/>
          <w:kern w:val="0"/>
          <w:szCs w:val="20"/>
        </w:rPr>
        <w:t>——查看企业提供的能源管理手册、相关程序文件、能源方针文件、能源目标指标文件、节能培训和宣传驾驭活动相关文件和记录、实施合理化建议、节能目标责任制及节能考核奖惩等相关资料；</w:t>
      </w:r>
    </w:p>
    <w:p>
      <w:pPr>
        <w:ind w:left="833" w:hanging="408"/>
        <w:rPr>
          <w:rFonts w:ascii="宋体"/>
          <w:kern w:val="0"/>
          <w:szCs w:val="20"/>
        </w:rPr>
      </w:pPr>
      <w:r>
        <w:rPr>
          <w:rFonts w:hint="eastAsia" w:ascii="宋体"/>
          <w:kern w:val="0"/>
          <w:szCs w:val="20"/>
        </w:rPr>
        <w:t>——询问能源管理负责人、体系建设主管部门及相关部门车间负责人、一线设备操作人员等，进一步了解企业文化促进机制建设情况。</w:t>
      </w:r>
    </w:p>
    <w:p>
      <w:pPr>
        <w:widowControl/>
        <w:spacing w:before="156" w:beforeLines="50"/>
        <w:jc w:val="left"/>
        <w:outlineLvl w:val="2"/>
        <w:rPr>
          <w:rFonts w:ascii="黑体" w:eastAsia="黑体"/>
          <w:kern w:val="0"/>
          <w:szCs w:val="21"/>
        </w:rPr>
      </w:pPr>
      <w:r>
        <w:rPr>
          <w:rFonts w:hint="eastAsia" w:ascii="黑体" w:eastAsia="黑体"/>
          <w:kern w:val="0"/>
          <w:szCs w:val="21"/>
        </w:rPr>
        <w:t>6　节能监察程序</w:t>
      </w:r>
    </w:p>
    <w:p>
      <w:pPr>
        <w:widowControl/>
        <w:spacing w:before="156" w:beforeLines="50"/>
        <w:jc w:val="left"/>
        <w:outlineLvl w:val="2"/>
        <w:rPr>
          <w:rFonts w:ascii="黑体" w:eastAsia="黑体"/>
          <w:kern w:val="0"/>
          <w:szCs w:val="21"/>
        </w:rPr>
      </w:pPr>
      <w:r>
        <w:rPr>
          <w:rFonts w:hint="eastAsia" w:ascii="黑体" w:eastAsia="黑体"/>
          <w:kern w:val="0"/>
          <w:szCs w:val="21"/>
        </w:rPr>
        <w:t>6.1　节能监察准备</w:t>
      </w:r>
    </w:p>
    <w:p>
      <w:pPr>
        <w:widowControl/>
        <w:spacing w:before="156" w:beforeLines="50"/>
        <w:jc w:val="left"/>
        <w:outlineLvl w:val="2"/>
        <w:rPr>
          <w:rFonts w:ascii="黑体" w:eastAsia="黑体"/>
          <w:kern w:val="0"/>
          <w:szCs w:val="21"/>
        </w:rPr>
      </w:pPr>
      <w:r>
        <w:rPr>
          <w:rFonts w:hint="eastAsia" w:ascii="黑体" w:eastAsia="黑体"/>
          <w:kern w:val="0"/>
          <w:szCs w:val="21"/>
        </w:rPr>
        <w:t>6.1.1　成立节能监察专家组</w:t>
      </w:r>
    </w:p>
    <w:p>
      <w:pPr>
        <w:widowControl/>
        <w:spacing w:before="156" w:beforeLines="50"/>
        <w:jc w:val="left"/>
        <w:rPr>
          <w:rFonts w:asciiTheme="minorEastAsia" w:hAnsiTheme="minorEastAsia" w:eastAsiaTheme="minorEastAsia"/>
          <w:kern w:val="0"/>
          <w:szCs w:val="21"/>
        </w:rPr>
      </w:pPr>
      <w:r>
        <w:rPr>
          <w:rFonts w:hint="eastAsia" w:ascii="黑体" w:hAnsi="黑体" w:eastAsia="黑体"/>
          <w:kern w:val="0"/>
          <w:szCs w:val="21"/>
        </w:rPr>
        <w:t>6.1.1.1　</w:t>
      </w:r>
      <w:r>
        <w:rPr>
          <w:rFonts w:hint="eastAsia" w:asciiTheme="minorEastAsia" w:hAnsiTheme="minorEastAsia" w:eastAsiaTheme="minorEastAsia"/>
          <w:kern w:val="0"/>
          <w:szCs w:val="21"/>
        </w:rPr>
        <w:t>节能监察机构应选派具有承担铜冶炼行业节能监察任务相应能力及资质的人员组成节能监察组。</w:t>
      </w:r>
    </w:p>
    <w:p>
      <w:pPr>
        <w:widowControl/>
        <w:jc w:val="left"/>
        <w:rPr>
          <w:rFonts w:asciiTheme="minorEastAsia" w:hAnsiTheme="minorEastAsia" w:eastAsiaTheme="minorEastAsia"/>
          <w:kern w:val="0"/>
          <w:szCs w:val="21"/>
        </w:rPr>
      </w:pPr>
      <w:r>
        <w:rPr>
          <w:rFonts w:hint="eastAsia" w:ascii="黑体" w:hAnsi="黑体" w:eastAsia="黑体"/>
          <w:kern w:val="0"/>
          <w:szCs w:val="21"/>
        </w:rPr>
        <w:t>6.1.1.2　</w:t>
      </w:r>
      <w:r>
        <w:rPr>
          <w:rFonts w:hint="eastAsia" w:asciiTheme="minorEastAsia" w:hAnsiTheme="minorEastAsia" w:eastAsiaTheme="minorEastAsia"/>
          <w:kern w:val="0"/>
          <w:szCs w:val="21"/>
        </w:rPr>
        <w:t>节能监察组成员应两人以上，如需进行现场监测，节能监察组可以邀请或聘任相关专业技术人员一同参与节能监察。</w:t>
      </w:r>
    </w:p>
    <w:p>
      <w:pPr>
        <w:widowControl/>
        <w:jc w:val="left"/>
        <w:rPr>
          <w:rFonts w:asciiTheme="minorEastAsia" w:hAnsiTheme="minorEastAsia" w:eastAsiaTheme="minorEastAsia"/>
          <w:kern w:val="0"/>
          <w:szCs w:val="21"/>
        </w:rPr>
      </w:pPr>
      <w:r>
        <w:rPr>
          <w:rFonts w:hint="eastAsia" w:ascii="黑体" w:hAnsi="黑体" w:eastAsia="黑体"/>
          <w:kern w:val="0"/>
          <w:szCs w:val="21"/>
        </w:rPr>
        <w:t>6.1.1.3　</w:t>
      </w:r>
      <w:r>
        <w:rPr>
          <w:rFonts w:hint="eastAsia" w:asciiTheme="minorEastAsia" w:hAnsiTheme="minorEastAsia" w:eastAsiaTheme="minorEastAsia"/>
          <w:kern w:val="0"/>
          <w:szCs w:val="21"/>
        </w:rPr>
        <w:t>节能监察实行组长负责制。</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6.1.2　确认节能监察方式</w:t>
      </w:r>
    </w:p>
    <w:p>
      <w:pPr>
        <w:pStyle w:val="144"/>
        <w:widowControl/>
        <w:numPr>
          <w:ilvl w:val="0"/>
          <w:numId w:val="20"/>
        </w:numPr>
        <w:spacing w:before="156" w:beforeLines="50" w:after="156" w:afterLines="50"/>
        <w:ind w:firstLineChars="0"/>
        <w:jc w:val="left"/>
        <w:outlineLvl w:val="3"/>
        <w:rPr>
          <w:rFonts w:ascii="黑体" w:eastAsia="黑体"/>
          <w:vanish/>
          <w:kern w:val="0"/>
          <w:szCs w:val="21"/>
        </w:rPr>
      </w:pPr>
    </w:p>
    <w:p>
      <w:pPr>
        <w:pStyle w:val="144"/>
        <w:widowControl/>
        <w:numPr>
          <w:ilvl w:val="1"/>
          <w:numId w:val="20"/>
        </w:numPr>
        <w:spacing w:before="156" w:beforeLines="50" w:after="156" w:afterLines="50"/>
        <w:ind w:firstLineChars="0"/>
        <w:jc w:val="left"/>
        <w:outlineLvl w:val="3"/>
        <w:rPr>
          <w:rFonts w:ascii="黑体" w:eastAsia="黑体"/>
          <w:vanish/>
          <w:kern w:val="0"/>
          <w:szCs w:val="21"/>
        </w:rPr>
      </w:pPr>
    </w:p>
    <w:p>
      <w:pPr>
        <w:pStyle w:val="144"/>
        <w:widowControl/>
        <w:numPr>
          <w:ilvl w:val="2"/>
          <w:numId w:val="20"/>
        </w:numPr>
        <w:spacing w:before="156" w:beforeLines="50" w:after="156" w:afterLines="50"/>
        <w:ind w:firstLineChars="0"/>
        <w:jc w:val="left"/>
        <w:outlineLvl w:val="3"/>
        <w:rPr>
          <w:rFonts w:ascii="黑体" w:eastAsia="黑体"/>
          <w:vanish/>
          <w:kern w:val="0"/>
          <w:szCs w:val="21"/>
        </w:rPr>
      </w:pPr>
    </w:p>
    <w:p>
      <w:pPr>
        <w:pStyle w:val="144"/>
        <w:widowControl/>
        <w:numPr>
          <w:ilvl w:val="2"/>
          <w:numId w:val="20"/>
        </w:numPr>
        <w:spacing w:before="156" w:beforeLines="50" w:after="156" w:afterLines="50"/>
        <w:ind w:firstLineChars="0"/>
        <w:jc w:val="left"/>
        <w:outlineLvl w:val="3"/>
        <w:rPr>
          <w:rFonts w:ascii="黑体" w:eastAsia="黑体"/>
          <w:vanish/>
          <w:kern w:val="0"/>
          <w:szCs w:val="21"/>
        </w:rPr>
      </w:pPr>
    </w:p>
    <w:p>
      <w:pPr>
        <w:pStyle w:val="49"/>
        <w:numPr>
          <w:ilvl w:val="0"/>
          <w:numId w:val="0"/>
        </w:numPr>
        <w:spacing w:before="156" w:after="0" w:afterLines="0"/>
      </w:pPr>
      <w:r>
        <w:rPr>
          <w:rFonts w:hint="eastAsia" w:hAnsi="黑体"/>
        </w:rPr>
        <w:t>6.1.2.1</w:t>
      </w:r>
      <w:r>
        <w:rPr>
          <w:rFonts w:hAnsi="黑体"/>
        </w:rPr>
        <w:t xml:space="preserve">  </w:t>
      </w:r>
      <w:r>
        <w:rPr>
          <w:rFonts w:hint="eastAsia" w:asciiTheme="minorEastAsia" w:hAnsiTheme="minorEastAsia" w:eastAsiaTheme="minorEastAsia"/>
        </w:rPr>
        <w:t>铜冶炼行业节能监察应当主要采取现场监察方式，必要时可以采取书面监察等方式，但仅采用书面监察得到的监察结果一般不得作为节能行政处罚的依据。</w:t>
      </w:r>
    </w:p>
    <w:p>
      <w:pPr>
        <w:widowControl/>
        <w:jc w:val="left"/>
        <w:outlineLvl w:val="5"/>
        <w:rPr>
          <w:kern w:val="0"/>
          <w:szCs w:val="21"/>
        </w:rPr>
      </w:pPr>
      <w:r>
        <w:rPr>
          <w:rFonts w:hint="eastAsia"/>
          <w:kern w:val="0"/>
          <w:szCs w:val="21"/>
        </w:rPr>
        <w:t>实施书面监察，应当将实施监察的依据、内容、时间和要求书面通知被监察企业。</w:t>
      </w:r>
    </w:p>
    <w:p>
      <w:pPr>
        <w:widowControl/>
        <w:jc w:val="left"/>
        <w:outlineLvl w:val="5"/>
        <w:rPr>
          <w:kern w:val="0"/>
          <w:szCs w:val="21"/>
        </w:rPr>
      </w:pPr>
      <w:r>
        <w:rPr>
          <w:rFonts w:hint="eastAsia" w:ascii="黑体" w:hAnsi="黑体" w:eastAsia="黑体"/>
          <w:kern w:val="0"/>
          <w:szCs w:val="21"/>
        </w:rPr>
        <w:t>6.1.2.2</w:t>
      </w:r>
      <w:r>
        <w:rPr>
          <w:rFonts w:ascii="黑体" w:hAnsi="黑体" w:eastAsia="黑体"/>
          <w:kern w:val="0"/>
          <w:szCs w:val="21"/>
        </w:rPr>
        <w:t xml:space="preserve">  </w:t>
      </w:r>
      <w:r>
        <w:rPr>
          <w:rFonts w:hint="eastAsia"/>
          <w:kern w:val="0"/>
          <w:szCs w:val="21"/>
        </w:rPr>
        <w:t>实施现场监察，应当于实施监察的五日前将监察的依据、内容、时间和要求书面通知被监察企业；办理涉嫌违法违规案件、举报投诉和应当以抽查方式实施的节能监察除外。</w:t>
      </w:r>
    </w:p>
    <w:p>
      <w:pPr>
        <w:widowControl/>
        <w:spacing w:before="156" w:beforeLines="50"/>
        <w:jc w:val="left"/>
        <w:outlineLvl w:val="2"/>
        <w:rPr>
          <w:rFonts w:ascii="黑体" w:eastAsia="黑体"/>
          <w:kern w:val="0"/>
          <w:szCs w:val="21"/>
        </w:rPr>
      </w:pPr>
      <w:r>
        <w:rPr>
          <w:rFonts w:hint="eastAsia" w:ascii="黑体" w:eastAsia="黑体"/>
          <w:kern w:val="0"/>
          <w:szCs w:val="21"/>
        </w:rPr>
        <w:t>6.1.3　制定节能监察实施方案</w:t>
      </w:r>
    </w:p>
    <w:p>
      <w:pPr>
        <w:pStyle w:val="49"/>
        <w:numPr>
          <w:ilvl w:val="0"/>
          <w:numId w:val="0"/>
        </w:numPr>
        <w:spacing w:before="156" w:after="0" w:afterLines="0"/>
        <w:rPr>
          <w:rFonts w:hAnsi="黑体"/>
        </w:rPr>
      </w:pPr>
      <w:r>
        <w:rPr>
          <w:rFonts w:hint="eastAsia" w:hAnsi="黑体"/>
        </w:rPr>
        <w:t>6.1.3.1　</w:t>
      </w:r>
      <w:r>
        <w:rPr>
          <w:rFonts w:hint="eastAsia" w:asciiTheme="minorEastAsia" w:hAnsiTheme="minorEastAsia" w:eastAsiaTheme="minorEastAsia"/>
        </w:rPr>
        <w:t>监察组长负责制定节能监察实施方案；实施方案应当根据铜冶炼企业节能监察内容要求，针对具体被监察企业来制定。</w:t>
      </w:r>
    </w:p>
    <w:p>
      <w:pPr>
        <w:pStyle w:val="49"/>
        <w:numPr>
          <w:ilvl w:val="0"/>
          <w:numId w:val="0"/>
        </w:numPr>
        <w:spacing w:before="0" w:beforeLines="0" w:after="0" w:afterLines="0"/>
        <w:rPr>
          <w:rFonts w:hAnsi="黑体"/>
        </w:rPr>
      </w:pPr>
      <w:r>
        <w:rPr>
          <w:rFonts w:hint="eastAsia" w:hAnsi="黑体"/>
        </w:rPr>
        <w:t>6.1.3.2　</w:t>
      </w:r>
      <w:r>
        <w:rPr>
          <w:rFonts w:hint="eastAsia" w:asciiTheme="minorEastAsia" w:hAnsiTheme="minorEastAsia" w:eastAsiaTheme="minorEastAsia"/>
        </w:rPr>
        <w:t>实施方案应明确节能监察的依据、目的、内容、方式、时间、人员、分工以及特殊情况的处理等；实施方案要详细具体，具有可操作性，便于组织实施和落实。</w:t>
      </w:r>
    </w:p>
    <w:p>
      <w:pPr>
        <w:widowControl/>
        <w:spacing w:before="156" w:beforeLines="50"/>
        <w:jc w:val="left"/>
        <w:outlineLvl w:val="2"/>
        <w:rPr>
          <w:rFonts w:ascii="黑体" w:eastAsia="黑体"/>
          <w:kern w:val="0"/>
          <w:szCs w:val="21"/>
        </w:rPr>
      </w:pPr>
      <w:r>
        <w:rPr>
          <w:rFonts w:hint="eastAsia" w:ascii="黑体" w:eastAsia="黑体"/>
          <w:kern w:val="0"/>
          <w:szCs w:val="21"/>
        </w:rPr>
        <w:t>6.1.4　制作并送达节能监察通知书</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节能监察机构在实施节能监察前，应按要求制作并提前向被监察企业送达节能监察通知书，明确告知企业节能监察的依据、目的、时间、内容、方式以及企业应做好相应准备工作等。</w:t>
      </w:r>
    </w:p>
    <w:p>
      <w:pPr>
        <w:widowControl/>
        <w:spacing w:before="156" w:beforeLines="50"/>
        <w:jc w:val="left"/>
        <w:outlineLvl w:val="2"/>
        <w:rPr>
          <w:rFonts w:ascii="黑体" w:eastAsia="黑体"/>
          <w:kern w:val="0"/>
          <w:szCs w:val="21"/>
        </w:rPr>
      </w:pPr>
      <w:r>
        <w:rPr>
          <w:rFonts w:hint="eastAsia" w:ascii="黑体" w:eastAsia="黑体"/>
          <w:kern w:val="0"/>
          <w:szCs w:val="21"/>
        </w:rPr>
        <w:t>6.1.5　现场监察前准备</w:t>
      </w:r>
    </w:p>
    <w:p>
      <w:pPr>
        <w:widowControl/>
        <w:spacing w:before="156" w:beforeLines="50"/>
        <w:jc w:val="left"/>
        <w:outlineLvl w:val="2"/>
        <w:rPr>
          <w:rFonts w:ascii="黑体" w:eastAsia="黑体"/>
          <w:kern w:val="0"/>
          <w:szCs w:val="21"/>
        </w:rPr>
      </w:pPr>
      <w:r>
        <w:rPr>
          <w:rFonts w:hint="eastAsia" w:ascii="黑体" w:eastAsia="黑体"/>
          <w:kern w:val="0"/>
          <w:szCs w:val="21"/>
        </w:rPr>
        <w:t>6.1.5.1　通知企业自查</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节能监察组组织现场监察前，应明确专人与被监察企业建立工作联系，通知并指导企业针对节能监察内容进行自检自查，按要求准备相应材料。</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6.1.5.2　召开预备会</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召开节能监察组会议，汇总监察组各成员准备工作情况，确定进入对被监察企业现场准确时间，细化工作分工及要求。研究熟悉有关资料，包括：</w:t>
      </w:r>
    </w:p>
    <w:p>
      <w:pPr>
        <w:ind w:left="833" w:hanging="408"/>
        <w:rPr>
          <w:rFonts w:ascii="宋体"/>
          <w:kern w:val="0"/>
          <w:szCs w:val="20"/>
        </w:rPr>
      </w:pPr>
      <w:r>
        <w:rPr>
          <w:rFonts w:hint="eastAsia" w:ascii="宋体"/>
          <w:kern w:val="0"/>
          <w:szCs w:val="20"/>
        </w:rPr>
        <w:t>——年度节能监察任务及要求、节能监察实施方案、历年对被监察企业的监察文书等；</w:t>
      </w:r>
    </w:p>
    <w:p>
      <w:pPr>
        <w:ind w:left="833" w:hanging="408"/>
        <w:rPr>
          <w:rFonts w:ascii="宋体"/>
          <w:kern w:val="0"/>
          <w:szCs w:val="20"/>
        </w:rPr>
      </w:pPr>
      <w:r>
        <w:rPr>
          <w:rFonts w:hint="eastAsia" w:ascii="宋体"/>
          <w:kern w:val="0"/>
          <w:szCs w:val="20"/>
        </w:rPr>
        <w:t>——被监察企业及铜冶炼行业最新情况，掌握节能监察的范围、目的、内容、依据、方法等；</w:t>
      </w:r>
    </w:p>
    <w:p>
      <w:pPr>
        <w:ind w:left="833" w:hanging="408"/>
        <w:rPr>
          <w:rFonts w:ascii="宋体"/>
          <w:kern w:val="0"/>
          <w:szCs w:val="20"/>
        </w:rPr>
      </w:pPr>
      <w:r>
        <w:rPr>
          <w:rFonts w:hint="eastAsia" w:ascii="宋体"/>
          <w:kern w:val="0"/>
          <w:szCs w:val="20"/>
        </w:rPr>
        <w:t>——熟悉铜冶炼行业节能监察依据文件，如铜冶炼企业能耗专项监察工作手册、铜冶炼企业单位产品能耗限额标准；</w:t>
      </w:r>
    </w:p>
    <w:p>
      <w:pPr>
        <w:ind w:left="833" w:hanging="408"/>
        <w:rPr>
          <w:rFonts w:ascii="宋体"/>
          <w:kern w:val="0"/>
          <w:szCs w:val="20"/>
        </w:rPr>
      </w:pPr>
      <w:r>
        <w:rPr>
          <w:rFonts w:hint="eastAsia" w:ascii="宋体"/>
          <w:kern w:val="0"/>
          <w:szCs w:val="20"/>
        </w:rPr>
        <w:t>——监察组对企业提交的自查材料进行逐项书面审查，确定完整性、规范性。</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6.1.5.3　准备文书及取证设备</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准备相关文书、现场办公及取证设备，以及针对不同的监察内容所必备的技术检测设备等。</w:t>
      </w:r>
    </w:p>
    <w:p>
      <w:pPr>
        <w:widowControl/>
        <w:spacing w:before="156" w:beforeLines="50"/>
        <w:jc w:val="left"/>
        <w:outlineLvl w:val="2"/>
        <w:rPr>
          <w:rFonts w:ascii="黑体" w:eastAsia="黑体"/>
          <w:kern w:val="0"/>
          <w:szCs w:val="21"/>
        </w:rPr>
      </w:pPr>
      <w:r>
        <w:rPr>
          <w:rFonts w:hint="eastAsia" w:ascii="黑体" w:eastAsia="黑体"/>
          <w:kern w:val="0"/>
          <w:szCs w:val="21"/>
        </w:rPr>
        <w:t>6.2　节能监察实施</w:t>
      </w:r>
    </w:p>
    <w:p>
      <w:pPr>
        <w:widowControl/>
        <w:spacing w:before="156" w:beforeLines="50"/>
        <w:jc w:val="left"/>
        <w:outlineLvl w:val="2"/>
        <w:rPr>
          <w:rFonts w:ascii="黑体" w:eastAsia="黑体"/>
          <w:kern w:val="0"/>
          <w:szCs w:val="21"/>
        </w:rPr>
      </w:pPr>
      <w:r>
        <w:rPr>
          <w:rFonts w:hint="eastAsia" w:ascii="黑体" w:eastAsia="黑体"/>
          <w:kern w:val="0"/>
          <w:szCs w:val="21"/>
        </w:rPr>
        <w:t>6.2.1　书面监察</w:t>
      </w:r>
    </w:p>
    <w:p>
      <w:pPr>
        <w:widowControl/>
        <w:spacing w:before="156" w:beforeLines="50"/>
        <w:jc w:val="left"/>
        <w:outlineLvl w:val="2"/>
        <w:rPr>
          <w:rFonts w:asciiTheme="minorEastAsia" w:hAnsiTheme="minorEastAsia" w:eastAsiaTheme="minorEastAsia"/>
          <w:kern w:val="0"/>
          <w:szCs w:val="21"/>
        </w:rPr>
      </w:pPr>
      <w:r>
        <w:rPr>
          <w:rFonts w:hint="eastAsia" w:ascii="黑体" w:eastAsia="黑体"/>
          <w:kern w:val="0"/>
          <w:szCs w:val="21"/>
        </w:rPr>
        <w:t>6.2.1.1　</w:t>
      </w:r>
      <w:r>
        <w:rPr>
          <w:rFonts w:hint="eastAsia" w:asciiTheme="minorEastAsia" w:hAnsiTheme="minorEastAsia" w:eastAsiaTheme="minorEastAsia"/>
          <w:kern w:val="0"/>
          <w:szCs w:val="21"/>
        </w:rPr>
        <w:t>进行书面监察时，应要求被监察企业按要求如实填写相关的书面材料。</w:t>
      </w:r>
    </w:p>
    <w:p>
      <w:pPr>
        <w:widowControl/>
        <w:jc w:val="left"/>
        <w:outlineLvl w:val="2"/>
        <w:rPr>
          <w:rFonts w:ascii="黑体" w:eastAsia="黑体"/>
          <w:kern w:val="0"/>
          <w:szCs w:val="21"/>
        </w:rPr>
      </w:pPr>
      <w:r>
        <w:rPr>
          <w:rFonts w:hint="eastAsia" w:ascii="黑体" w:eastAsia="黑体"/>
          <w:kern w:val="0"/>
          <w:szCs w:val="21"/>
        </w:rPr>
        <w:t>6.2.1.2　</w:t>
      </w:r>
      <w:r>
        <w:rPr>
          <w:rFonts w:hint="eastAsia" w:asciiTheme="minorEastAsia" w:hAnsiTheme="minorEastAsia" w:eastAsiaTheme="minorEastAsia"/>
          <w:kern w:val="0"/>
          <w:szCs w:val="21"/>
        </w:rPr>
        <w:t>对报送的有关材料，依据节能监察相关法律法规、规章及规范性文件等，对材料的真实性、准确性进行分析、判断和核查。</w:t>
      </w:r>
    </w:p>
    <w:p>
      <w:pPr>
        <w:widowControl/>
        <w:jc w:val="left"/>
        <w:outlineLvl w:val="2"/>
        <w:rPr>
          <w:rFonts w:ascii="黑体" w:eastAsia="黑体"/>
          <w:kern w:val="0"/>
          <w:szCs w:val="21"/>
        </w:rPr>
      </w:pPr>
      <w:r>
        <w:rPr>
          <w:rFonts w:hint="eastAsia" w:ascii="黑体" w:eastAsia="黑体"/>
          <w:kern w:val="0"/>
          <w:szCs w:val="21"/>
        </w:rPr>
        <w:t>6.2.1.3　</w:t>
      </w:r>
      <w:r>
        <w:rPr>
          <w:rFonts w:hint="eastAsia" w:asciiTheme="minorEastAsia" w:hAnsiTheme="minorEastAsia" w:eastAsiaTheme="minorEastAsia"/>
          <w:kern w:val="0"/>
          <w:szCs w:val="21"/>
        </w:rPr>
        <w:t>对提供的书面材料有疑问，或核查中发现书面材料涉嫌隐瞒事实真相及有伪造、隐匿行为的，应进一步进行现场监察。</w:t>
      </w:r>
    </w:p>
    <w:p>
      <w:pPr>
        <w:widowControl/>
        <w:spacing w:before="156" w:beforeLines="50"/>
        <w:jc w:val="left"/>
        <w:outlineLvl w:val="2"/>
        <w:rPr>
          <w:rFonts w:ascii="黑体" w:eastAsia="黑体"/>
          <w:kern w:val="0"/>
          <w:szCs w:val="21"/>
        </w:rPr>
      </w:pPr>
      <w:r>
        <w:rPr>
          <w:rFonts w:hint="eastAsia" w:ascii="黑体" w:eastAsia="黑体"/>
          <w:kern w:val="0"/>
          <w:szCs w:val="21"/>
        </w:rPr>
        <w:t>6.2.2　现场监察</w:t>
      </w:r>
    </w:p>
    <w:p>
      <w:pPr>
        <w:widowControl/>
        <w:spacing w:before="156" w:beforeLines="50"/>
        <w:jc w:val="left"/>
        <w:outlineLvl w:val="2"/>
        <w:rPr>
          <w:rFonts w:ascii="黑体" w:eastAsia="黑体"/>
          <w:kern w:val="0"/>
          <w:szCs w:val="21"/>
        </w:rPr>
      </w:pPr>
      <w:r>
        <w:rPr>
          <w:rFonts w:hint="eastAsia" w:ascii="黑体" w:eastAsia="黑体"/>
          <w:kern w:val="0"/>
          <w:szCs w:val="21"/>
        </w:rPr>
        <w:t>6.2.2.1　召开首次会议</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6.2.2.1.1　登记签到</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监察组组长主持会议，向被监察企业出示有效行政执法证件，指定一名监察人员负责记录，双方介绍参会人员并在签到簿上签名。企业参会人员应当包括企业负责人或其委托人、能源管理负责人、能源管理人员及技术、设备等相关人员。</w:t>
      </w:r>
    </w:p>
    <w:p>
      <w:pPr>
        <w:widowControl/>
        <w:spacing w:before="156" w:beforeLines="50"/>
        <w:jc w:val="left"/>
        <w:outlineLvl w:val="2"/>
        <w:rPr>
          <w:rFonts w:ascii="黑体" w:eastAsia="黑体"/>
          <w:kern w:val="0"/>
          <w:szCs w:val="21"/>
        </w:rPr>
      </w:pPr>
      <w:r>
        <w:rPr>
          <w:rFonts w:hint="eastAsia" w:ascii="黑体" w:eastAsia="黑体"/>
          <w:kern w:val="0"/>
          <w:szCs w:val="21"/>
        </w:rPr>
        <w:t>6.2.2.1.2　告知确认</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将监察的内容、依据、程序、方法、时间、有关事项和要求，以及节能监察人员接受监督的途径方式等相关内容，明确告知企业；企业负责人或其委托人予以确认。</w:t>
      </w:r>
    </w:p>
    <w:p>
      <w:pPr>
        <w:widowControl/>
        <w:spacing w:before="156" w:beforeLines="50"/>
        <w:jc w:val="left"/>
        <w:outlineLvl w:val="2"/>
        <w:rPr>
          <w:rFonts w:ascii="黑体" w:eastAsia="黑体"/>
          <w:kern w:val="0"/>
          <w:szCs w:val="21"/>
        </w:rPr>
      </w:pPr>
      <w:r>
        <w:rPr>
          <w:rFonts w:hint="eastAsia" w:ascii="黑体" w:eastAsia="黑体"/>
          <w:kern w:val="0"/>
          <w:szCs w:val="21"/>
        </w:rPr>
        <w:t>6.2.2.1.3　被监察企业介绍情况</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被监察企业负责人或其委托人及相关人员介绍有关情况，必要时可就自查报告和自查表进行说明。</w:t>
      </w:r>
    </w:p>
    <w:p>
      <w:pPr>
        <w:widowControl/>
        <w:spacing w:before="156" w:beforeLines="50"/>
        <w:jc w:val="left"/>
        <w:outlineLvl w:val="2"/>
        <w:rPr>
          <w:rFonts w:ascii="黑体" w:eastAsia="黑体"/>
          <w:kern w:val="0"/>
          <w:szCs w:val="21"/>
        </w:rPr>
      </w:pPr>
      <w:r>
        <w:rPr>
          <w:rFonts w:hint="eastAsia" w:ascii="黑体" w:eastAsia="黑体"/>
          <w:kern w:val="0"/>
          <w:szCs w:val="21"/>
        </w:rPr>
        <w:t>6.2.2.1.4　提供资料</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在首次会议上应要求企业提供自查报告和自查表的信息数据溯源资料。同时双方各指定一名联络员负责现场协调联络工作。</w:t>
      </w:r>
    </w:p>
    <w:p>
      <w:pPr>
        <w:widowControl/>
        <w:spacing w:before="156" w:beforeLines="50"/>
        <w:jc w:val="left"/>
        <w:outlineLvl w:val="2"/>
        <w:rPr>
          <w:rFonts w:ascii="黑体" w:eastAsia="黑体"/>
          <w:kern w:val="0"/>
          <w:szCs w:val="21"/>
        </w:rPr>
      </w:pPr>
      <w:r>
        <w:rPr>
          <w:rFonts w:hint="eastAsia" w:ascii="黑体" w:eastAsia="黑体"/>
          <w:kern w:val="0"/>
          <w:szCs w:val="21"/>
        </w:rPr>
        <w:t>6.2.2.2　现场查勘调查</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6.2.2.2.1　资料核查</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核查企业能源计量工作管理有关文件包括能源计量管理制度、能源计量岗位职责、能源计量管理人员培训和资格证书、能源计量器具台账或档案、检定证书、能源计量原始数据等书面资料；核查能源管理有关制度和文件，能源管理体系建设及认证情况，能源管理人员任用及培训情况，建立节能目标责任制情况，开展能效水平对标活动情况；核查设备台账，企业执行用能设备（产品）能效强制性标准情况，淘汰落后制度执行情况等。核算企业年度输入、输出能源种类及数量，核查企业能源消费统计年报和月报表，核查企业生产统计年报和月报，核查企业能源和耗能工质折标系数选取情况，选取的数值和依据。</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6.2.2.2.2　现场查勘</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监察人员应进入有关场所进行现场勘察、采样、拍照、录音、录像等（配备执法记录仪的，应完整记录现场监察主要过程），验证被监察企业所提供资料的真实性；现场抽查企业主要装备规格、数量等；核查企业主要节能设施及投运情况。</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6.2.2.2.3　调查询问</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针对监察需要，调查询问相关人员，核实相关情况；对支撑监察结论的证据材料，要求被问询者说明有关事项、提供有关材料；调查（询问）应当由两名以上节能监察人员进行；参加调查（询问）的节能监察人员应当主动向被调查（询问）人出示有效行政执法证件，由被调查人确认；调查（询问）应单独进行，采用一问一答的形式，需对多人进行调查（询问）时应分别进行。 </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调查（询问）应当针对被监察企业违法用能行为的时间、地点、违法用能事实、违法用能标的物数量、违法用能行为后果等方面进行。 </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调查（询问）结束后，节能监察人员应当形成调查（询问）笔录，交由被调查人核对并确认。</w:t>
      </w:r>
    </w:p>
    <w:p>
      <w:pPr>
        <w:widowControl/>
        <w:spacing w:before="156" w:beforeLines="50" w:after="156" w:afterLines="50"/>
        <w:jc w:val="left"/>
        <w:outlineLvl w:val="2"/>
        <w:rPr>
          <w:rFonts w:ascii="黑体" w:eastAsia="黑体"/>
          <w:kern w:val="0"/>
          <w:szCs w:val="21"/>
        </w:rPr>
      </w:pPr>
      <w:r>
        <w:rPr>
          <w:rFonts w:hint="eastAsia" w:ascii="黑体" w:eastAsia="黑体"/>
          <w:kern w:val="0"/>
          <w:szCs w:val="21"/>
        </w:rPr>
        <w:t>6.2.2.2.4　节能检测</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现场监察中发现主要用能设备和工艺管理制度不落实、设备状况差而且浪费资源，需要实施现场节能检测，对企业用能设备能源利用效率，用能产品、设备及生产工艺的能源利用状况进行检测和分析评价。</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进行现场节能检测时应使用有计量检定资质单位检定、校准合格并在有效期内的计量检测器具。</w:t>
      </w:r>
    </w:p>
    <w:p>
      <w:pPr>
        <w:widowControl/>
        <w:spacing w:before="156" w:beforeLines="50"/>
        <w:jc w:val="left"/>
        <w:outlineLvl w:val="2"/>
        <w:rPr>
          <w:rFonts w:hint="eastAsia" w:ascii="黑体" w:eastAsia="黑体"/>
          <w:kern w:val="0"/>
          <w:szCs w:val="21"/>
        </w:rPr>
      </w:pPr>
      <w:r>
        <w:rPr>
          <w:rFonts w:hint="eastAsia" w:ascii="黑体" w:eastAsia="黑体"/>
          <w:kern w:val="0"/>
          <w:szCs w:val="21"/>
        </w:rPr>
        <w:t>6.2.2.3　汇总分析</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监察组组长汇总各成员现场核实、核查、勘查和调查的情况；组织监察组分析、讨论，形成现场监察初步结论；对支撑现场监察结论的证据，要分析收集手段是否合法，数据信息是否全面，采样是否合理等，对不完整的证据还应进行补充勘查调查。</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对于监察过程中获取的，直接支持监察结论的重要信息（如相关的原始表单、台账记录等），要通过复印、拍照等方式形成监察证据，进行留存。 </w:t>
      </w:r>
    </w:p>
    <w:p>
      <w:pPr>
        <w:widowControl/>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现场收集的资料应当妥善保管；不宜携带的可以复印，复印件应当注明“复印件与原件相符”字样，由提供者或单位逐页签名或盖章；对不采取保全措施，事后可能灭失的资料，应当实施登记保存或封存。</w:t>
      </w:r>
    </w:p>
    <w:p>
      <w:pPr>
        <w:widowControl/>
        <w:spacing w:before="156" w:beforeLines="50"/>
        <w:jc w:val="left"/>
        <w:outlineLvl w:val="2"/>
        <w:rPr>
          <w:rFonts w:ascii="黑体" w:eastAsia="黑体"/>
          <w:kern w:val="0"/>
          <w:szCs w:val="21"/>
        </w:rPr>
      </w:pPr>
      <w:r>
        <w:rPr>
          <w:rFonts w:hint="eastAsia" w:ascii="黑体" w:eastAsia="黑体"/>
          <w:kern w:val="0"/>
          <w:szCs w:val="21"/>
        </w:rPr>
        <w:t>6.2.</w:t>
      </w:r>
      <w:r>
        <w:rPr>
          <w:rFonts w:hint="eastAsia" w:ascii="黑体" w:eastAsia="黑体"/>
          <w:kern w:val="0"/>
          <w:szCs w:val="21"/>
          <w:lang w:val="en-US" w:eastAsia="zh-CN"/>
        </w:rPr>
        <w:t>2.4</w:t>
      </w:r>
      <w:r>
        <w:rPr>
          <w:rFonts w:hint="eastAsia" w:ascii="黑体" w:eastAsia="黑体"/>
          <w:kern w:val="0"/>
          <w:szCs w:val="21"/>
        </w:rPr>
        <w:t>　形成现场监察笔录</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监察组汇总分析和必要的补充勘查调查后，形成现场监察笔录，应详细记载现场监察每个环节。</w:t>
      </w:r>
    </w:p>
    <w:p>
      <w:pPr>
        <w:widowControl/>
        <w:spacing w:before="156" w:beforeLines="50"/>
        <w:jc w:val="left"/>
        <w:outlineLvl w:val="2"/>
        <w:rPr>
          <w:rFonts w:ascii="黑体" w:eastAsia="黑体"/>
          <w:kern w:val="0"/>
          <w:szCs w:val="21"/>
        </w:rPr>
      </w:pPr>
      <w:r>
        <w:rPr>
          <w:rFonts w:hint="eastAsia" w:ascii="黑体" w:eastAsia="黑体"/>
          <w:kern w:val="0"/>
          <w:szCs w:val="21"/>
        </w:rPr>
        <w:t>6.2.</w:t>
      </w:r>
      <w:r>
        <w:rPr>
          <w:rFonts w:hint="eastAsia" w:ascii="黑体" w:eastAsia="黑体"/>
          <w:kern w:val="0"/>
          <w:szCs w:val="21"/>
          <w:lang w:val="en-US" w:eastAsia="zh-CN"/>
        </w:rPr>
        <w:t>2.5</w:t>
      </w:r>
      <w:r>
        <w:rPr>
          <w:rFonts w:hint="eastAsia" w:ascii="黑体" w:eastAsia="黑体"/>
          <w:kern w:val="0"/>
          <w:szCs w:val="21"/>
        </w:rPr>
        <w:t>　召开末次会议</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实施现场节能监察，节能监察组长应当组织召开末次会议，向被监察企业通报节能监察情况，检查确认需带回的资料，征求被监察企业对节能监察工作的建议，并接受监督。</w:t>
      </w:r>
    </w:p>
    <w:p>
      <w:pPr>
        <w:widowControl/>
        <w:spacing w:before="156" w:beforeLines="50"/>
        <w:jc w:val="left"/>
        <w:outlineLvl w:val="2"/>
        <w:rPr>
          <w:rFonts w:ascii="黑体" w:eastAsia="黑体"/>
          <w:kern w:val="0"/>
          <w:szCs w:val="21"/>
        </w:rPr>
      </w:pPr>
      <w:r>
        <w:rPr>
          <w:rFonts w:hint="eastAsia" w:ascii="黑体" w:eastAsia="黑体"/>
          <w:kern w:val="0"/>
          <w:szCs w:val="21"/>
        </w:rPr>
        <w:t>6.3　结果处理</w:t>
      </w:r>
    </w:p>
    <w:p>
      <w:pPr>
        <w:widowControl/>
        <w:spacing w:before="156" w:beforeLines="50"/>
        <w:ind w:firstLine="420" w:firstLineChars="20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现场监察实施后，监察组应及时整理监察所获取的证据材料，连同现场监察笔录等材料，形成节能监察报告（见附录A），</w:t>
      </w:r>
      <w:r>
        <w:rPr>
          <w:rFonts w:hint="eastAsia" w:asciiTheme="minorEastAsia" w:hAnsiTheme="minorEastAsia" w:eastAsiaTheme="minorEastAsia"/>
          <w:kern w:val="0"/>
          <w:szCs w:val="21"/>
          <w:lang w:eastAsia="zh-CN"/>
        </w:rPr>
        <w:t>节能监察报告由被监察单位代表签字，并加盖单位公章签收。</w:t>
      </w:r>
      <w:r>
        <w:rPr>
          <w:rFonts w:hint="eastAsia" w:asciiTheme="minorEastAsia" w:hAnsiTheme="minorEastAsia" w:eastAsiaTheme="minorEastAsia"/>
          <w:kern w:val="0"/>
          <w:szCs w:val="21"/>
        </w:rPr>
        <w:t>对存在不合理用能行为的，节能监察机构向企业提出节能建议；存在违反节能法律、法规、规章和强制性节能标准用能行为的，将有关线索和证明材料移交有处罚权的相关机关进行处理。</w:t>
      </w:r>
    </w:p>
    <w:p>
      <w:pPr>
        <w:widowControl/>
        <w:spacing w:before="156" w:beforeLines="50"/>
        <w:jc w:val="left"/>
        <w:outlineLvl w:val="2"/>
        <w:rPr>
          <w:rFonts w:ascii="黑体" w:eastAsia="黑体"/>
          <w:kern w:val="0"/>
          <w:szCs w:val="21"/>
        </w:rPr>
      </w:pPr>
      <w:r>
        <w:rPr>
          <w:rFonts w:hint="eastAsia" w:ascii="黑体" w:eastAsia="黑体"/>
          <w:kern w:val="0"/>
          <w:szCs w:val="21"/>
        </w:rPr>
        <w:t>6.4　流程示意</w:t>
      </w:r>
    </w:p>
    <w:p>
      <w:pPr>
        <w:widowControl/>
        <w:spacing w:before="156" w:beforeLines="50"/>
        <w:jc w:val="left"/>
        <w:outlineLvl w:val="2"/>
        <w:rPr>
          <w:rFonts w:asciiTheme="minorEastAsia" w:hAnsiTheme="minorEastAsia" w:eastAsiaTheme="minorEastAsia"/>
          <w:kern w:val="0"/>
          <w:szCs w:val="21"/>
        </w:rPr>
      </w:pPr>
      <w:r>
        <w:rPr>
          <w:rFonts w:hint="eastAsia" w:asciiTheme="minorEastAsia" w:hAnsiTheme="minorEastAsia" w:eastAsiaTheme="minorEastAsia"/>
          <w:kern w:val="0"/>
          <w:szCs w:val="21"/>
        </w:rPr>
        <w:t>节能监察工作流程示意图参见附录B。</w:t>
      </w: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keepNext/>
        <w:widowControl/>
        <w:shd w:val="clear" w:color="auto" w:fill="FFFFFF"/>
        <w:tabs>
          <w:tab w:val="left" w:pos="6405"/>
        </w:tabs>
        <w:spacing w:before="640" w:after="280"/>
        <w:jc w:val="center"/>
        <w:outlineLvl w:val="0"/>
        <w:rPr>
          <w:rFonts w:ascii="黑体" w:eastAsia="黑体"/>
          <w:kern w:val="0"/>
          <w:szCs w:val="20"/>
        </w:rPr>
      </w:pPr>
      <w:r>
        <w:rPr>
          <w:rFonts w:hint="eastAsia" w:ascii="黑体" w:eastAsia="黑体"/>
          <w:kern w:val="0"/>
          <w:szCs w:val="20"/>
        </w:rPr>
        <w:t xml:space="preserve">附 录 </w:t>
      </w:r>
      <w:r>
        <w:rPr>
          <w:rFonts w:ascii="黑体" w:eastAsia="黑体"/>
          <w:kern w:val="0"/>
          <w:szCs w:val="20"/>
        </w:rPr>
        <w:t>A</w:t>
      </w:r>
      <w:r>
        <w:rPr>
          <w:rFonts w:hint="eastAsia" w:ascii="黑体" w:eastAsia="黑体"/>
          <w:kern w:val="0"/>
          <w:szCs w:val="20"/>
        </w:rPr>
        <w:br w:type="textWrapping"/>
      </w:r>
      <w:bookmarkStart w:id="9" w:name="_Toc43304412"/>
      <w:r>
        <w:rPr>
          <w:rFonts w:hint="eastAsia" w:ascii="黑体" w:eastAsia="黑体"/>
          <w:kern w:val="0"/>
          <w:szCs w:val="20"/>
        </w:rPr>
        <w:t>（</w:t>
      </w:r>
      <w:r>
        <w:rPr>
          <w:rFonts w:hint="eastAsia" w:ascii="黑体" w:eastAsia="黑体"/>
          <w:kern w:val="0"/>
          <w:szCs w:val="20"/>
          <w:lang w:val="en-US" w:eastAsia="zh-CN"/>
        </w:rPr>
        <w:t>资料性</w:t>
      </w:r>
      <w:r>
        <w:rPr>
          <w:rFonts w:hint="eastAsia" w:ascii="黑体" w:eastAsia="黑体"/>
          <w:kern w:val="0"/>
          <w:szCs w:val="20"/>
        </w:rPr>
        <w:t>）</w:t>
      </w:r>
      <w:r>
        <w:rPr>
          <w:rFonts w:hint="eastAsia" w:ascii="黑体" w:eastAsia="黑体"/>
          <w:kern w:val="0"/>
          <w:szCs w:val="20"/>
        </w:rPr>
        <w:br w:type="textWrapping"/>
      </w:r>
      <w:r>
        <w:rPr>
          <w:rFonts w:hint="eastAsia" w:ascii="黑体" w:eastAsia="黑体"/>
          <w:kern w:val="0"/>
          <w:szCs w:val="20"/>
        </w:rPr>
        <w:t>铜冶炼行业节能监察报告</w:t>
      </w:r>
      <w:bookmarkEnd w:id="9"/>
    </w:p>
    <w:p>
      <w:pPr>
        <w:spacing w:line="360" w:lineRule="auto"/>
        <w:jc w:val="center"/>
        <w:rPr>
          <w:rFonts w:ascii="Calibri" w:hAnsi="Calibri"/>
          <w:b/>
          <w:sz w:val="36"/>
          <w:szCs w:val="36"/>
        </w:rPr>
      </w:pPr>
      <w:r>
        <w:rPr>
          <w:rFonts w:ascii="Calibri" w:hAnsi="Calibri"/>
          <w:b/>
          <w:sz w:val="36"/>
          <w:szCs w:val="36"/>
        </w:rPr>
        <w:t>××</w:t>
      </w:r>
      <w:r>
        <w:rPr>
          <w:rFonts w:hint="eastAsia" w:ascii="Calibri" w:hAnsi="Calibri"/>
          <w:b/>
          <w:sz w:val="36"/>
          <w:szCs w:val="36"/>
        </w:rPr>
        <w:t>企业节能监察报告（</w:t>
      </w:r>
      <w:r>
        <w:rPr>
          <w:rFonts w:hint="eastAsia" w:ascii="Calibri" w:hAnsi="Calibri"/>
          <w:b/>
          <w:sz w:val="32"/>
          <w:szCs w:val="32"/>
        </w:rPr>
        <w:t>模板</w:t>
      </w:r>
      <w:r>
        <w:rPr>
          <w:rFonts w:hint="eastAsia" w:ascii="Calibri" w:hAnsi="Calibri"/>
          <w:b/>
          <w:sz w:val="36"/>
          <w:szCs w:val="36"/>
        </w:rPr>
        <w:t>）</w:t>
      </w:r>
    </w:p>
    <w:p>
      <w:pPr>
        <w:spacing w:line="360" w:lineRule="auto"/>
        <w:ind w:firstLine="562" w:firstLineChars="200"/>
        <w:rPr>
          <w:rFonts w:ascii="宋体" w:hAnsi="宋体"/>
          <w:b/>
          <w:sz w:val="28"/>
        </w:rPr>
      </w:pPr>
      <w:r>
        <w:rPr>
          <w:rFonts w:hint="eastAsia" w:ascii="宋体" w:hAnsi="宋体"/>
          <w:b/>
          <w:sz w:val="28"/>
        </w:rPr>
        <w:t xml:space="preserve">一、基本情况 </w:t>
      </w:r>
    </w:p>
    <w:p>
      <w:pPr>
        <w:spacing w:line="360" w:lineRule="auto"/>
        <w:ind w:firstLine="480" w:firstLineChars="200"/>
        <w:rPr>
          <w:rFonts w:ascii="宋体" w:hAnsi="宋体"/>
          <w:sz w:val="24"/>
        </w:rPr>
      </w:pPr>
      <w:r>
        <w:rPr>
          <w:rFonts w:hint="eastAsia" w:ascii="宋体" w:hAnsi="宋体"/>
          <w:sz w:val="24"/>
        </w:rPr>
        <w:t>1、监察工作开展情况。包括监察依据、监察机构名称、监察组成员、监察方式、监察时间等。</w:t>
      </w:r>
    </w:p>
    <w:p>
      <w:pPr>
        <w:spacing w:line="360" w:lineRule="auto"/>
        <w:ind w:firstLine="480" w:firstLineChars="200"/>
        <w:rPr>
          <w:rFonts w:ascii="宋体" w:hAnsi="宋体"/>
          <w:sz w:val="24"/>
        </w:rPr>
      </w:pPr>
      <w:r>
        <w:rPr>
          <w:rFonts w:hint="eastAsia" w:ascii="宋体" w:hAnsi="宋体"/>
          <w:sz w:val="24"/>
        </w:rPr>
        <w:t>2、企业基本情况。包括企业名称，主要生产线设计规模和投产时间，核查年度主要经济指标、产品产量、综合能源消费量、单位产品能源消耗情况等。</w:t>
      </w:r>
    </w:p>
    <w:p>
      <w:pPr>
        <w:spacing w:line="360" w:lineRule="auto"/>
        <w:ind w:firstLine="562" w:firstLineChars="200"/>
        <w:rPr>
          <w:rFonts w:ascii="宋体" w:hAnsi="宋体"/>
          <w:b/>
          <w:sz w:val="28"/>
        </w:rPr>
      </w:pPr>
      <w:r>
        <w:rPr>
          <w:rFonts w:hint="eastAsia" w:ascii="宋体" w:hAnsi="宋体"/>
          <w:b/>
          <w:sz w:val="28"/>
        </w:rPr>
        <w:t xml:space="preserve">二、监察内容 </w:t>
      </w:r>
    </w:p>
    <w:p>
      <w:pPr>
        <w:spacing w:line="360" w:lineRule="auto"/>
        <w:ind w:firstLine="480" w:firstLineChars="200"/>
        <w:rPr>
          <w:rFonts w:ascii="宋体" w:hAnsi="宋体"/>
          <w:sz w:val="24"/>
        </w:rPr>
      </w:pPr>
      <w:r>
        <w:rPr>
          <w:rFonts w:hint="eastAsia" w:ascii="宋体" w:hAnsi="宋体"/>
          <w:sz w:val="24"/>
        </w:rPr>
        <w:t xml:space="preserve">根据国家及地方的重点工业节能监察任务，实际开展的本标准所列监察项目。 </w:t>
      </w:r>
    </w:p>
    <w:p>
      <w:pPr>
        <w:spacing w:line="360" w:lineRule="auto"/>
        <w:ind w:firstLine="562" w:firstLineChars="200"/>
        <w:rPr>
          <w:rFonts w:ascii="宋体" w:hAnsi="宋体"/>
          <w:b/>
          <w:sz w:val="28"/>
        </w:rPr>
      </w:pPr>
      <w:r>
        <w:rPr>
          <w:rFonts w:hint="eastAsia" w:ascii="宋体" w:hAnsi="宋体"/>
          <w:b/>
          <w:sz w:val="28"/>
        </w:rPr>
        <w:t xml:space="preserve">三、监察过程 </w:t>
      </w:r>
    </w:p>
    <w:p>
      <w:pPr>
        <w:spacing w:line="360" w:lineRule="auto"/>
        <w:ind w:firstLine="480" w:firstLineChars="200"/>
        <w:rPr>
          <w:rFonts w:ascii="宋体" w:hAnsi="宋体"/>
          <w:sz w:val="24"/>
        </w:rPr>
      </w:pPr>
      <w:r>
        <w:rPr>
          <w:rFonts w:hint="eastAsia" w:ascii="宋体" w:hAnsi="宋体"/>
          <w:sz w:val="24"/>
        </w:rPr>
        <w:t>准备阶段：确定监察方式、组成监察组、制定实施方案、明确监察时间、送达节能监察通知书、现场监察前准备（包括初审企业自查材料、人员分工、工作要求等）。</w:t>
      </w:r>
    </w:p>
    <w:p>
      <w:pPr>
        <w:spacing w:line="360" w:lineRule="auto"/>
        <w:ind w:firstLine="480" w:firstLineChars="200"/>
        <w:rPr>
          <w:rFonts w:ascii="宋体" w:hAnsi="宋体"/>
          <w:sz w:val="24"/>
        </w:rPr>
      </w:pPr>
      <w:r>
        <w:rPr>
          <w:rFonts w:hint="eastAsia" w:ascii="宋体" w:hAnsi="宋体"/>
          <w:sz w:val="24"/>
        </w:rPr>
        <w:t>现场阶段：召开首次会议，查验资料（核实企业自查材料中信息数据的真实性、核查企业的原始凭证），核算主要产品产量、能源消耗、单位产品能耗，制作现场监察笔录（应详细记载现场监察每个环节），召开末次会议等。</w:t>
      </w:r>
    </w:p>
    <w:p>
      <w:pPr>
        <w:spacing w:line="360" w:lineRule="auto"/>
        <w:ind w:firstLine="562" w:firstLineChars="200"/>
        <w:rPr>
          <w:rFonts w:ascii="宋体" w:hAnsi="宋体"/>
          <w:b/>
          <w:sz w:val="28"/>
        </w:rPr>
      </w:pPr>
      <w:r>
        <w:rPr>
          <w:rFonts w:hint="eastAsia" w:ascii="宋体" w:hAnsi="宋体"/>
          <w:b/>
          <w:sz w:val="28"/>
        </w:rPr>
        <w:t xml:space="preserve">四、监察结果 </w:t>
      </w:r>
    </w:p>
    <w:p>
      <w:pPr>
        <w:spacing w:line="360" w:lineRule="auto"/>
        <w:ind w:firstLine="480" w:firstLineChars="200"/>
        <w:rPr>
          <w:rFonts w:ascii="宋体" w:hAnsi="宋体"/>
          <w:sz w:val="24"/>
        </w:rPr>
      </w:pPr>
      <w:r>
        <w:rPr>
          <w:rFonts w:hint="eastAsia" w:ascii="宋体" w:hAnsi="宋体"/>
          <w:sz w:val="24"/>
        </w:rPr>
        <w:t>监察中发现的主要问题，以及企业对问题的确认和回应等。针对发现的问题，依照有关法律法规政策（具体到条款），提出意见或建议。</w:t>
      </w: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widowControl/>
        <w:spacing w:before="156" w:beforeLines="50"/>
        <w:jc w:val="left"/>
        <w:outlineLvl w:val="2"/>
        <w:rPr>
          <w:rFonts w:asciiTheme="minorEastAsia" w:hAnsiTheme="minorEastAsia" w:eastAsiaTheme="minorEastAsia"/>
          <w:kern w:val="0"/>
          <w:szCs w:val="21"/>
        </w:rPr>
      </w:pPr>
    </w:p>
    <w:p>
      <w:pPr>
        <w:keepNext/>
        <w:widowControl/>
        <w:shd w:val="clear" w:color="auto" w:fill="FFFFFF"/>
        <w:tabs>
          <w:tab w:val="left" w:pos="6405"/>
        </w:tabs>
        <w:spacing w:before="640" w:after="280"/>
        <w:jc w:val="center"/>
        <w:outlineLvl w:val="0"/>
        <w:rPr>
          <w:rFonts w:ascii="黑体" w:eastAsia="黑体"/>
          <w:kern w:val="0"/>
          <w:szCs w:val="20"/>
        </w:rPr>
      </w:pPr>
      <w:r>
        <w:rPr>
          <w:rFonts w:hint="eastAsia" w:ascii="黑体" w:eastAsia="黑体"/>
          <w:kern w:val="0"/>
          <w:szCs w:val="20"/>
        </w:rPr>
        <w:t xml:space="preserve">附 录 </w:t>
      </w:r>
      <w:r>
        <w:rPr>
          <w:rFonts w:ascii="黑体" w:eastAsia="黑体"/>
          <w:kern w:val="0"/>
          <w:szCs w:val="20"/>
        </w:rPr>
        <w:t>B</w:t>
      </w:r>
      <w:r>
        <w:rPr>
          <w:rFonts w:hint="eastAsia" w:ascii="黑体" w:eastAsia="黑体"/>
          <w:kern w:val="0"/>
          <w:szCs w:val="20"/>
        </w:rPr>
        <w:br w:type="textWrapping"/>
      </w:r>
      <w:bookmarkStart w:id="10" w:name="_Toc43304413"/>
      <w:r>
        <w:rPr>
          <w:rFonts w:hint="eastAsia" w:ascii="黑体" w:eastAsia="黑体"/>
          <w:kern w:val="0"/>
          <w:szCs w:val="20"/>
        </w:rPr>
        <w:t>（规范性）</w:t>
      </w:r>
      <w:r>
        <w:rPr>
          <w:rFonts w:hint="eastAsia" w:ascii="黑体" w:eastAsia="黑体"/>
          <w:kern w:val="0"/>
          <w:szCs w:val="20"/>
        </w:rPr>
        <w:br w:type="textWrapping"/>
      </w:r>
      <w:r>
        <w:rPr>
          <w:rFonts w:hint="eastAsia" w:ascii="黑体" w:eastAsia="黑体"/>
          <w:kern w:val="0"/>
          <w:szCs w:val="20"/>
        </w:rPr>
        <w:t>铜冶炼行业节能监察工作流程示意图</w:t>
      </w:r>
      <w:bookmarkEnd w:id="10"/>
    </w:p>
    <w:p>
      <w:pPr>
        <w:spacing w:before="156" w:beforeLines="50"/>
        <w:jc w:val="center"/>
        <w:rPr>
          <w:rFonts w:ascii="黑体" w:eastAsia="黑体"/>
          <w:szCs w:val="21"/>
        </w:rPr>
      </w:pPr>
      <w:r>
        <w:rPr>
          <w:rFonts w:ascii="宋体"/>
          <w:kern w:val="0"/>
          <w:szCs w:val="20"/>
        </w:rPr>
        <w:object>
          <v:shape id="_x0000_i1025" o:spt="75" type="#_x0000_t75" style="height:535.5pt;width:478.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r>
        <w:rPr>
          <w:rFonts w:hint="eastAsia" w:ascii="黑体" w:eastAsia="黑体"/>
          <w:szCs w:val="21"/>
        </w:rPr>
        <w:t>图</w:t>
      </w:r>
      <w:r>
        <w:rPr>
          <w:rFonts w:ascii="黑体" w:eastAsia="黑体"/>
          <w:szCs w:val="21"/>
        </w:rPr>
        <w:t xml:space="preserve">B.1 </w:t>
      </w:r>
      <w:r>
        <w:rPr>
          <w:rFonts w:hint="eastAsia" w:ascii="黑体" w:eastAsia="黑体"/>
          <w:szCs w:val="21"/>
        </w:rPr>
        <w:t>铜冶炼行业节能监察工作流程示意图</w:t>
      </w:r>
    </w:p>
    <w:p>
      <w:pPr>
        <w:widowControl/>
        <w:spacing w:before="156" w:beforeLines="50"/>
        <w:outlineLvl w:val="2"/>
        <w:rPr>
          <w:rFonts w:ascii="宋体"/>
          <w:kern w:val="0"/>
          <w:szCs w:val="20"/>
        </w:rPr>
      </w:pPr>
    </w:p>
    <w:p>
      <w:pPr>
        <w:widowControl/>
        <w:spacing w:before="156" w:beforeLines="50"/>
        <w:jc w:val="left"/>
        <w:outlineLvl w:val="2"/>
        <w:rPr>
          <w:rFonts w:asciiTheme="minorEastAsia" w:hAnsiTheme="minorEastAsia" w:eastAsiaTheme="minorEastAsia"/>
          <w:kern w:val="0"/>
          <w:szCs w:val="21"/>
        </w:rPr>
      </w:pPr>
    </w:p>
    <w:p>
      <w:pPr>
        <w:keepNext/>
        <w:pageBreakBefore/>
        <w:widowControl/>
        <w:shd w:val="clear" w:color="auto" w:fill="FFFFFF"/>
        <w:spacing w:before="640" w:after="200"/>
        <w:jc w:val="center"/>
        <w:outlineLvl w:val="0"/>
        <w:rPr>
          <w:rFonts w:ascii="黑体" w:eastAsia="黑体"/>
          <w:kern w:val="0"/>
          <w:szCs w:val="20"/>
        </w:rPr>
      </w:pPr>
      <w:bookmarkStart w:id="11" w:name="BKCKWX"/>
      <w:bookmarkStart w:id="12" w:name="_Toc43304414"/>
      <w:r>
        <w:rPr>
          <w:rFonts w:hint="eastAsia" w:ascii="黑体" w:eastAsia="黑体"/>
          <w:kern w:val="0"/>
          <w:szCs w:val="20"/>
        </w:rPr>
        <w:t>参</w:t>
      </w:r>
      <w:r>
        <w:rPr>
          <w:rFonts w:hint="eastAsia" w:ascii="黑体" w:hAnsi="黑体" w:eastAsia="黑体"/>
          <w:kern w:val="0"/>
          <w:szCs w:val="20"/>
        </w:rPr>
        <w:t> </w:t>
      </w:r>
      <w:r>
        <w:rPr>
          <w:rFonts w:hint="eastAsia" w:ascii="黑体" w:eastAsia="黑体"/>
          <w:kern w:val="0"/>
          <w:szCs w:val="20"/>
        </w:rPr>
        <w:t>考</w:t>
      </w:r>
      <w:r>
        <w:rPr>
          <w:rFonts w:hint="eastAsia" w:ascii="黑体" w:hAnsi="黑体" w:eastAsia="黑体"/>
          <w:kern w:val="0"/>
          <w:szCs w:val="20"/>
        </w:rPr>
        <w:t> </w:t>
      </w:r>
      <w:r>
        <w:rPr>
          <w:rFonts w:hint="eastAsia" w:ascii="黑体" w:eastAsia="黑体"/>
          <w:kern w:val="0"/>
          <w:szCs w:val="20"/>
        </w:rPr>
        <w:t>文</w:t>
      </w:r>
      <w:r>
        <w:rPr>
          <w:rFonts w:hint="eastAsia" w:ascii="黑体" w:hAnsi="黑体" w:eastAsia="黑体"/>
          <w:kern w:val="0"/>
          <w:szCs w:val="20"/>
        </w:rPr>
        <w:t> </w:t>
      </w:r>
      <w:r>
        <w:rPr>
          <w:rFonts w:hint="eastAsia" w:ascii="黑体" w:eastAsia="黑体"/>
          <w:kern w:val="0"/>
          <w:szCs w:val="20"/>
        </w:rPr>
        <w:t>献</w:t>
      </w:r>
      <w:bookmarkEnd w:id="11"/>
      <w:bookmarkEnd w:id="12"/>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[1] 《工业节能管理办法》（工业和信息化部令〔2016〕第33号）</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[2] 《节能监察办法》（国家发展和改革委员会令〔2016〕第33号）</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[3] 《产业结构调整指导目录（2019年本）》（中华人民共和国国家发展和改革委员会令 第29号）</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[4] 《铜冶炼行业能耗专项监察工作手册（2019年版）》</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[5] 《高耗水工艺、技术和装备淘汰目录(第一批)》</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[6] 《高耗能落后机电设备（产品）淘汰目录（第一批）》</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[7] 《高耗能落后机电设备（产品）淘汰目录（第二批）》</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[8] 《高耗能落后机电设备（产品）淘汰目录（第三批）》</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[9] 《高耗能落后机电设备（产品）淘汰目录（第四批）》</w:t>
      </w:r>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[10] 铜冶炼行业规范条件</w:t>
      </w:r>
    </w:p>
    <w:p>
      <w:pPr>
        <w:widowControl/>
        <w:spacing w:before="156" w:beforeLines="50"/>
        <w:jc w:val="left"/>
        <w:outlineLvl w:val="2"/>
        <w:rPr>
          <w:rFonts w:asciiTheme="minorEastAsia" w:hAnsiTheme="minorEastAsia" w:eastAsiaTheme="minorEastAsia"/>
          <w:kern w:val="0"/>
          <w:szCs w:val="21"/>
        </w:rPr>
      </w:pPr>
    </w:p>
    <w:p>
      <w:pPr>
        <w:pStyle w:val="128"/>
        <w:framePr w:y="1"/>
      </w:pPr>
      <w:r>
        <w:t>_________________________________</w:t>
      </w:r>
    </w:p>
    <w:p>
      <w:pPr>
        <w:pStyle w:val="23"/>
        <w:ind w:firstLine="0" w:firstLineChars="0"/>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36"/>
      </w:rPr>
    </w:pPr>
    <w:r>
      <w:fldChar w:fldCharType="begin"/>
    </w:r>
    <w:r>
      <w:rPr>
        <w:rStyle w:val="36"/>
      </w:rPr>
      <w:instrText xml:space="preserve">PAGE  </w:instrText>
    </w:r>
    <w:r>
      <w:fldChar w:fldCharType="separate"/>
    </w:r>
    <w:r>
      <w:rPr>
        <w:rStyle w:val="3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0" w:hRule="auto" w:hSpace="0" w:wrap="auto" w:vAnchor="margin" w:hAnchor="text" w:xAlign="left" w:yAlign="inline"/>
      <w:wordWrap w:val="0"/>
      <w:spacing w:before="0" w:line="240" w:lineRule="auto"/>
      <w:rPr>
        <w:rFonts w:ascii="Times New Roman"/>
        <w:sz w:val="24"/>
      </w:rPr>
    </w:pPr>
    <w:r>
      <w:rPr>
        <w:rFonts w:ascii="Times New Roman"/>
        <w:sz w:val="24"/>
      </w:rPr>
      <w:t>T/CNIA</w:t>
    </w:r>
    <w:r>
      <w:rPr>
        <w:rFonts w:hint="eastAsia" w:ascii="Times New Roman"/>
        <w:sz w:val="24"/>
      </w:rPr>
      <w:t xml:space="preserve"> xxx </w:t>
    </w:r>
    <w:r>
      <w:rPr>
        <w:rFonts w:ascii="Times New Roman"/>
        <w:sz w:val="24"/>
      </w:rPr>
      <w:t>—20</w:t>
    </w:r>
    <w:r>
      <w:rPr>
        <w:rFonts w:hint="eastAsia" w:ascii="Times New Roman"/>
        <w:sz w:val="24"/>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47C1010"/>
    <w:multiLevelType w:val="multilevel"/>
    <w:tmpl w:val="147C101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5.%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suff w:val="nothing"/>
      <w:lvlText w:val="%1　"/>
      <w:lvlJc w:val="left"/>
      <w:pPr>
        <w:ind w:left="1560" w:firstLine="0"/>
      </w:pPr>
      <w:rPr>
        <w:rFonts w:hint="eastAsia" w:ascii="黑体" w:hAnsi="Times New Roman" w:eastAsia="黑体"/>
        <w:b w:val="0"/>
        <w:i w:val="0"/>
        <w:sz w:val="21"/>
        <w:szCs w:val="21"/>
      </w:rPr>
    </w:lvl>
    <w:lvl w:ilvl="1" w:tentative="0">
      <w:start w:val="1"/>
      <w:numFmt w:val="decimal"/>
      <w:suff w:val="nothing"/>
      <w:lvlText w:val="%1.%2　"/>
      <w:lvlJc w:val="left"/>
      <w:pPr>
        <w:ind w:left="297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1134" w:firstLine="0"/>
      </w:pPr>
      <w:rPr>
        <w:rFonts w:hint="eastAsia" w:ascii="黑体" w:hAnsi="Times New Roman" w:eastAsia="黑体"/>
        <w:b w:val="0"/>
        <w:i w:val="0"/>
        <w:sz w:val="21"/>
      </w:rPr>
    </w:lvl>
    <w:lvl w:ilvl="4" w:tentative="0">
      <w:start w:val="1"/>
      <w:numFmt w:val="decimal"/>
      <w:suff w:val="nothing"/>
      <w:lvlText w:val="%1.%2.%3.%4.%5　"/>
      <w:lvlJc w:val="left"/>
      <w:pPr>
        <w:ind w:left="2269" w:firstLine="0"/>
      </w:pPr>
      <w:rPr>
        <w:rFonts w:hint="eastAsia" w:ascii="黑体" w:hAnsi="Times New Roman" w:eastAsia="黑体"/>
        <w:b w:val="0"/>
        <w:i w:val="0"/>
        <w:sz w:val="21"/>
      </w:rPr>
    </w:lvl>
    <w:lvl w:ilvl="5" w:tentative="0">
      <w:start w:val="1"/>
      <w:numFmt w:val="decimal"/>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1134" w:firstLine="0"/>
      </w:pPr>
      <w:rPr>
        <w:rFonts w:hint="eastAsia" w:ascii="黑体" w:hAnsi="Times New Roman" w:eastAsia="黑体"/>
        <w:b w:val="0"/>
        <w:i w:val="0"/>
        <w:sz w:val="21"/>
      </w:rPr>
    </w:lvl>
    <w:lvl w:ilvl="7" w:tentative="0">
      <w:start w:val="1"/>
      <w:numFmt w:val="decimal"/>
      <w:lvlText w:val="%1.%2.%3.%4.%5.%6.%7.%8"/>
      <w:lvlJc w:val="left"/>
      <w:pPr>
        <w:tabs>
          <w:tab w:val="left" w:pos="5485"/>
        </w:tabs>
        <w:ind w:left="5103" w:hanging="1418"/>
      </w:pPr>
      <w:rPr>
        <w:rFonts w:hint="eastAsia"/>
      </w:rPr>
    </w:lvl>
    <w:lvl w:ilvl="8" w:tentative="0">
      <w:start w:val="1"/>
      <w:numFmt w:val="decimal"/>
      <w:lvlText w:val="%1.%2.%3.%4.%5.%6.%7.%8.%9"/>
      <w:lvlJc w:val="left"/>
      <w:pPr>
        <w:tabs>
          <w:tab w:val="left" w:pos="5911"/>
        </w:tabs>
        <w:ind w:left="5811" w:hanging="1700"/>
      </w:pPr>
      <w:rPr>
        <w:rFonts w:hint="eastAsia"/>
      </w:rPr>
    </w:lvl>
  </w:abstractNum>
  <w:abstractNum w:abstractNumId="7">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3B346C03"/>
    <w:multiLevelType w:val="multilevel"/>
    <w:tmpl w:val="3B346C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7"/>
      <w:suff w:val="nothing"/>
      <w:lvlText w:val="图%1　"/>
      <w:lvlJc w:val="left"/>
      <w:pPr>
        <w:ind w:left="420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E6932E6"/>
    <w:multiLevelType w:val="multilevel"/>
    <w:tmpl w:val="5E6932E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2"/>
  </w:num>
  <w:num w:numId="3">
    <w:abstractNumId w:val="10"/>
  </w:num>
  <w:num w:numId="4">
    <w:abstractNumId w:val="18"/>
  </w:num>
  <w:num w:numId="5">
    <w:abstractNumId w:val="0"/>
  </w:num>
  <w:num w:numId="6">
    <w:abstractNumId w:val="11"/>
  </w:num>
  <w:num w:numId="7">
    <w:abstractNumId w:val="5"/>
  </w:num>
  <w:num w:numId="8">
    <w:abstractNumId w:val="16"/>
  </w:num>
  <w:num w:numId="9">
    <w:abstractNumId w:val="14"/>
  </w:num>
  <w:num w:numId="10">
    <w:abstractNumId w:val="17"/>
  </w:num>
  <w:num w:numId="11">
    <w:abstractNumId w:val="7"/>
  </w:num>
  <w:num w:numId="12">
    <w:abstractNumId w:val="1"/>
  </w:num>
  <w:num w:numId="13">
    <w:abstractNumId w:val="3"/>
  </w:num>
  <w:num w:numId="14">
    <w:abstractNumId w:val="15"/>
  </w:num>
  <w:num w:numId="15">
    <w:abstractNumId w:val="12"/>
  </w:num>
  <w:num w:numId="16">
    <w:abstractNumId w:val="8"/>
  </w:num>
  <w:num w:numId="17">
    <w:abstractNumId w:val="13"/>
  </w:num>
  <w:num w:numId="18">
    <w:abstractNumId w:val="6"/>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957"/>
    <w:rsid w:val="00001174"/>
    <w:rsid w:val="0000185F"/>
    <w:rsid w:val="0000586F"/>
    <w:rsid w:val="00011B90"/>
    <w:rsid w:val="000138F7"/>
    <w:rsid w:val="00013D86"/>
    <w:rsid w:val="00013E02"/>
    <w:rsid w:val="00014415"/>
    <w:rsid w:val="000159F3"/>
    <w:rsid w:val="00016E96"/>
    <w:rsid w:val="0002143C"/>
    <w:rsid w:val="000218A2"/>
    <w:rsid w:val="0002444D"/>
    <w:rsid w:val="00025A65"/>
    <w:rsid w:val="00026C31"/>
    <w:rsid w:val="00027280"/>
    <w:rsid w:val="0003095E"/>
    <w:rsid w:val="000320A7"/>
    <w:rsid w:val="00035925"/>
    <w:rsid w:val="00035F85"/>
    <w:rsid w:val="00041683"/>
    <w:rsid w:val="00050A75"/>
    <w:rsid w:val="00052BED"/>
    <w:rsid w:val="00054903"/>
    <w:rsid w:val="00061650"/>
    <w:rsid w:val="00062065"/>
    <w:rsid w:val="00067CDF"/>
    <w:rsid w:val="00067DB0"/>
    <w:rsid w:val="00074FBE"/>
    <w:rsid w:val="00075C82"/>
    <w:rsid w:val="00076BDF"/>
    <w:rsid w:val="00083A09"/>
    <w:rsid w:val="00086917"/>
    <w:rsid w:val="0009005E"/>
    <w:rsid w:val="00092857"/>
    <w:rsid w:val="000A20A9"/>
    <w:rsid w:val="000A48B1"/>
    <w:rsid w:val="000B3143"/>
    <w:rsid w:val="000C51A4"/>
    <w:rsid w:val="000C6B05"/>
    <w:rsid w:val="000C6DD6"/>
    <w:rsid w:val="000C73D4"/>
    <w:rsid w:val="000C79D7"/>
    <w:rsid w:val="000D3D4C"/>
    <w:rsid w:val="000D4F51"/>
    <w:rsid w:val="000D6CDC"/>
    <w:rsid w:val="000D718B"/>
    <w:rsid w:val="000E0C46"/>
    <w:rsid w:val="000E13B1"/>
    <w:rsid w:val="000E1A86"/>
    <w:rsid w:val="000E23D9"/>
    <w:rsid w:val="000E3D9F"/>
    <w:rsid w:val="000F030C"/>
    <w:rsid w:val="000F129C"/>
    <w:rsid w:val="001056DE"/>
    <w:rsid w:val="00105FA8"/>
    <w:rsid w:val="001064FE"/>
    <w:rsid w:val="001124C0"/>
    <w:rsid w:val="00123FC4"/>
    <w:rsid w:val="0012727B"/>
    <w:rsid w:val="0013175F"/>
    <w:rsid w:val="00132DC4"/>
    <w:rsid w:val="001343DC"/>
    <w:rsid w:val="00147191"/>
    <w:rsid w:val="001512B4"/>
    <w:rsid w:val="00151CC3"/>
    <w:rsid w:val="001620A5"/>
    <w:rsid w:val="001624E6"/>
    <w:rsid w:val="00164E53"/>
    <w:rsid w:val="0016699D"/>
    <w:rsid w:val="00171A39"/>
    <w:rsid w:val="00175159"/>
    <w:rsid w:val="00176208"/>
    <w:rsid w:val="00180529"/>
    <w:rsid w:val="00180897"/>
    <w:rsid w:val="0018211B"/>
    <w:rsid w:val="00182C51"/>
    <w:rsid w:val="001840D3"/>
    <w:rsid w:val="0018452D"/>
    <w:rsid w:val="00184FB4"/>
    <w:rsid w:val="00185EF3"/>
    <w:rsid w:val="001900F8"/>
    <w:rsid w:val="00191258"/>
    <w:rsid w:val="00192680"/>
    <w:rsid w:val="00193037"/>
    <w:rsid w:val="00193A2C"/>
    <w:rsid w:val="001A288E"/>
    <w:rsid w:val="001A470C"/>
    <w:rsid w:val="001B34FD"/>
    <w:rsid w:val="001B40E8"/>
    <w:rsid w:val="001B6DC2"/>
    <w:rsid w:val="001C0BAF"/>
    <w:rsid w:val="001C149C"/>
    <w:rsid w:val="001C21AC"/>
    <w:rsid w:val="001C47BA"/>
    <w:rsid w:val="001C59EA"/>
    <w:rsid w:val="001D406C"/>
    <w:rsid w:val="001D41EE"/>
    <w:rsid w:val="001E0380"/>
    <w:rsid w:val="001E13B1"/>
    <w:rsid w:val="001E7AB6"/>
    <w:rsid w:val="001F3A19"/>
    <w:rsid w:val="001F7B3B"/>
    <w:rsid w:val="002027AB"/>
    <w:rsid w:val="00220674"/>
    <w:rsid w:val="0022706C"/>
    <w:rsid w:val="00230D3E"/>
    <w:rsid w:val="00234467"/>
    <w:rsid w:val="00237D8D"/>
    <w:rsid w:val="00241DA2"/>
    <w:rsid w:val="00247FEE"/>
    <w:rsid w:val="00250E7D"/>
    <w:rsid w:val="002565D5"/>
    <w:rsid w:val="00260587"/>
    <w:rsid w:val="00260A3A"/>
    <w:rsid w:val="002622C0"/>
    <w:rsid w:val="002637E5"/>
    <w:rsid w:val="00274A89"/>
    <w:rsid w:val="00274E92"/>
    <w:rsid w:val="002778AE"/>
    <w:rsid w:val="0028269A"/>
    <w:rsid w:val="00283590"/>
    <w:rsid w:val="00286973"/>
    <w:rsid w:val="00286BF5"/>
    <w:rsid w:val="0029162B"/>
    <w:rsid w:val="00294E70"/>
    <w:rsid w:val="002A1924"/>
    <w:rsid w:val="002A7420"/>
    <w:rsid w:val="002A7AEE"/>
    <w:rsid w:val="002B0F12"/>
    <w:rsid w:val="002B1308"/>
    <w:rsid w:val="002B4554"/>
    <w:rsid w:val="002C72D8"/>
    <w:rsid w:val="002D11FA"/>
    <w:rsid w:val="002D2305"/>
    <w:rsid w:val="002D39E9"/>
    <w:rsid w:val="002E07EE"/>
    <w:rsid w:val="002E0DDF"/>
    <w:rsid w:val="002E2906"/>
    <w:rsid w:val="002E5635"/>
    <w:rsid w:val="002E64C3"/>
    <w:rsid w:val="002E6A2C"/>
    <w:rsid w:val="002F1D8C"/>
    <w:rsid w:val="002F21DA"/>
    <w:rsid w:val="00301F39"/>
    <w:rsid w:val="00311072"/>
    <w:rsid w:val="00314E03"/>
    <w:rsid w:val="0031600E"/>
    <w:rsid w:val="00317C0D"/>
    <w:rsid w:val="00317E0B"/>
    <w:rsid w:val="00317F83"/>
    <w:rsid w:val="00321E50"/>
    <w:rsid w:val="00325926"/>
    <w:rsid w:val="00327A8A"/>
    <w:rsid w:val="00334A72"/>
    <w:rsid w:val="00336610"/>
    <w:rsid w:val="00336B68"/>
    <w:rsid w:val="00343F73"/>
    <w:rsid w:val="00345060"/>
    <w:rsid w:val="00347EAB"/>
    <w:rsid w:val="0035323B"/>
    <w:rsid w:val="003557FC"/>
    <w:rsid w:val="003609D2"/>
    <w:rsid w:val="00361E41"/>
    <w:rsid w:val="00363F22"/>
    <w:rsid w:val="00367173"/>
    <w:rsid w:val="00375564"/>
    <w:rsid w:val="00376D7D"/>
    <w:rsid w:val="00383191"/>
    <w:rsid w:val="003844AE"/>
    <w:rsid w:val="00386DED"/>
    <w:rsid w:val="003912E7"/>
    <w:rsid w:val="00393947"/>
    <w:rsid w:val="003A2275"/>
    <w:rsid w:val="003A6A4F"/>
    <w:rsid w:val="003A7088"/>
    <w:rsid w:val="003A7F67"/>
    <w:rsid w:val="003B00DF"/>
    <w:rsid w:val="003B1275"/>
    <w:rsid w:val="003B1778"/>
    <w:rsid w:val="003C1009"/>
    <w:rsid w:val="003C11CB"/>
    <w:rsid w:val="003C1763"/>
    <w:rsid w:val="003C75F3"/>
    <w:rsid w:val="003C78A3"/>
    <w:rsid w:val="003C7E20"/>
    <w:rsid w:val="003D4B63"/>
    <w:rsid w:val="003E1867"/>
    <w:rsid w:val="003E5729"/>
    <w:rsid w:val="003F4EE0"/>
    <w:rsid w:val="003F67E4"/>
    <w:rsid w:val="003F7A3A"/>
    <w:rsid w:val="00402153"/>
    <w:rsid w:val="00402FC1"/>
    <w:rsid w:val="00407D43"/>
    <w:rsid w:val="004137C6"/>
    <w:rsid w:val="00421060"/>
    <w:rsid w:val="00425082"/>
    <w:rsid w:val="0042567A"/>
    <w:rsid w:val="00431DEB"/>
    <w:rsid w:val="00434BEA"/>
    <w:rsid w:val="0044082E"/>
    <w:rsid w:val="00446B29"/>
    <w:rsid w:val="0044734E"/>
    <w:rsid w:val="00453F9A"/>
    <w:rsid w:val="00471E91"/>
    <w:rsid w:val="00474675"/>
    <w:rsid w:val="0047470C"/>
    <w:rsid w:val="004A35F9"/>
    <w:rsid w:val="004B2068"/>
    <w:rsid w:val="004B24C1"/>
    <w:rsid w:val="004B4FD2"/>
    <w:rsid w:val="004C292F"/>
    <w:rsid w:val="004D3D38"/>
    <w:rsid w:val="00501185"/>
    <w:rsid w:val="005079C3"/>
    <w:rsid w:val="00510280"/>
    <w:rsid w:val="00511663"/>
    <w:rsid w:val="005126E4"/>
    <w:rsid w:val="00513D73"/>
    <w:rsid w:val="00514A43"/>
    <w:rsid w:val="005174E5"/>
    <w:rsid w:val="00517D50"/>
    <w:rsid w:val="00522393"/>
    <w:rsid w:val="00522620"/>
    <w:rsid w:val="00525656"/>
    <w:rsid w:val="00533727"/>
    <w:rsid w:val="00534C02"/>
    <w:rsid w:val="00537B17"/>
    <w:rsid w:val="0054264B"/>
    <w:rsid w:val="00543786"/>
    <w:rsid w:val="005449B8"/>
    <w:rsid w:val="00550DD6"/>
    <w:rsid w:val="005533D7"/>
    <w:rsid w:val="005558BF"/>
    <w:rsid w:val="005703DE"/>
    <w:rsid w:val="00570E7E"/>
    <w:rsid w:val="0058464E"/>
    <w:rsid w:val="0058537C"/>
    <w:rsid w:val="0059398D"/>
    <w:rsid w:val="005A01CB"/>
    <w:rsid w:val="005A58FF"/>
    <w:rsid w:val="005A5EAF"/>
    <w:rsid w:val="005A64C0"/>
    <w:rsid w:val="005A7C03"/>
    <w:rsid w:val="005B3C11"/>
    <w:rsid w:val="005C1C28"/>
    <w:rsid w:val="005C6DB5"/>
    <w:rsid w:val="005C7DFD"/>
    <w:rsid w:val="005E19E7"/>
    <w:rsid w:val="005E3E7B"/>
    <w:rsid w:val="005F67C9"/>
    <w:rsid w:val="00612846"/>
    <w:rsid w:val="0061716C"/>
    <w:rsid w:val="006243A1"/>
    <w:rsid w:val="00626616"/>
    <w:rsid w:val="00632E56"/>
    <w:rsid w:val="00635CBA"/>
    <w:rsid w:val="00641AE2"/>
    <w:rsid w:val="0064338B"/>
    <w:rsid w:val="00646542"/>
    <w:rsid w:val="006504F4"/>
    <w:rsid w:val="00650B0D"/>
    <w:rsid w:val="006538E0"/>
    <w:rsid w:val="00654BC9"/>
    <w:rsid w:val="006552FD"/>
    <w:rsid w:val="0065539A"/>
    <w:rsid w:val="00663AF3"/>
    <w:rsid w:val="006660F1"/>
    <w:rsid w:val="00666B6C"/>
    <w:rsid w:val="00670553"/>
    <w:rsid w:val="00673363"/>
    <w:rsid w:val="00682682"/>
    <w:rsid w:val="00682702"/>
    <w:rsid w:val="00692368"/>
    <w:rsid w:val="006A188F"/>
    <w:rsid w:val="006A209C"/>
    <w:rsid w:val="006A2EBC"/>
    <w:rsid w:val="006A5EA0"/>
    <w:rsid w:val="006A783B"/>
    <w:rsid w:val="006A7B33"/>
    <w:rsid w:val="006B456E"/>
    <w:rsid w:val="006B4E13"/>
    <w:rsid w:val="006B75DD"/>
    <w:rsid w:val="006C170A"/>
    <w:rsid w:val="006C67E0"/>
    <w:rsid w:val="006C7954"/>
    <w:rsid w:val="006C7ABA"/>
    <w:rsid w:val="006D0794"/>
    <w:rsid w:val="006D0D60"/>
    <w:rsid w:val="006D1122"/>
    <w:rsid w:val="006D24D6"/>
    <w:rsid w:val="006D3C00"/>
    <w:rsid w:val="006E086C"/>
    <w:rsid w:val="006E3675"/>
    <w:rsid w:val="006E4A7F"/>
    <w:rsid w:val="006E503E"/>
    <w:rsid w:val="006F3842"/>
    <w:rsid w:val="00703A18"/>
    <w:rsid w:val="00704DF6"/>
    <w:rsid w:val="0070651C"/>
    <w:rsid w:val="007132A3"/>
    <w:rsid w:val="00716421"/>
    <w:rsid w:val="00716F31"/>
    <w:rsid w:val="00724EFB"/>
    <w:rsid w:val="0072558E"/>
    <w:rsid w:val="007419C3"/>
    <w:rsid w:val="007467A7"/>
    <w:rsid w:val="007469DD"/>
    <w:rsid w:val="0074741B"/>
    <w:rsid w:val="0074759E"/>
    <w:rsid w:val="007478EA"/>
    <w:rsid w:val="0075415C"/>
    <w:rsid w:val="00754C70"/>
    <w:rsid w:val="00755B0D"/>
    <w:rsid w:val="00763502"/>
    <w:rsid w:val="00764B05"/>
    <w:rsid w:val="00766B65"/>
    <w:rsid w:val="007913AB"/>
    <w:rsid w:val="007914F7"/>
    <w:rsid w:val="007A0300"/>
    <w:rsid w:val="007A3F6A"/>
    <w:rsid w:val="007A5AF4"/>
    <w:rsid w:val="007A6D63"/>
    <w:rsid w:val="007B1625"/>
    <w:rsid w:val="007B706E"/>
    <w:rsid w:val="007B71EB"/>
    <w:rsid w:val="007C4893"/>
    <w:rsid w:val="007C5FB5"/>
    <w:rsid w:val="007C6205"/>
    <w:rsid w:val="007C686A"/>
    <w:rsid w:val="007C6B53"/>
    <w:rsid w:val="007C728E"/>
    <w:rsid w:val="007D2C53"/>
    <w:rsid w:val="007D3271"/>
    <w:rsid w:val="007D3D60"/>
    <w:rsid w:val="007D4ACE"/>
    <w:rsid w:val="007E1980"/>
    <w:rsid w:val="007E4B76"/>
    <w:rsid w:val="007E5EA8"/>
    <w:rsid w:val="007F0CF1"/>
    <w:rsid w:val="007F12A5"/>
    <w:rsid w:val="007F4CF1"/>
    <w:rsid w:val="007F758D"/>
    <w:rsid w:val="007F7D52"/>
    <w:rsid w:val="0080654C"/>
    <w:rsid w:val="008071C6"/>
    <w:rsid w:val="00817A00"/>
    <w:rsid w:val="00824B46"/>
    <w:rsid w:val="00827D3A"/>
    <w:rsid w:val="00830F77"/>
    <w:rsid w:val="0083582E"/>
    <w:rsid w:val="00835DB3"/>
    <w:rsid w:val="0083617B"/>
    <w:rsid w:val="008371BD"/>
    <w:rsid w:val="008401A3"/>
    <w:rsid w:val="00846306"/>
    <w:rsid w:val="00846725"/>
    <w:rsid w:val="008504A8"/>
    <w:rsid w:val="0085282E"/>
    <w:rsid w:val="0086132A"/>
    <w:rsid w:val="00866F28"/>
    <w:rsid w:val="0086759A"/>
    <w:rsid w:val="0087198C"/>
    <w:rsid w:val="00872C1F"/>
    <w:rsid w:val="00873B42"/>
    <w:rsid w:val="008756BA"/>
    <w:rsid w:val="008856D8"/>
    <w:rsid w:val="00892E82"/>
    <w:rsid w:val="00896F3B"/>
    <w:rsid w:val="008A7CEE"/>
    <w:rsid w:val="008B3845"/>
    <w:rsid w:val="008C1B58"/>
    <w:rsid w:val="008C2113"/>
    <w:rsid w:val="008C39AE"/>
    <w:rsid w:val="008C590D"/>
    <w:rsid w:val="008E031B"/>
    <w:rsid w:val="008E7029"/>
    <w:rsid w:val="008E7EF6"/>
    <w:rsid w:val="008F1F98"/>
    <w:rsid w:val="008F6758"/>
    <w:rsid w:val="009040DD"/>
    <w:rsid w:val="00905B47"/>
    <w:rsid w:val="0091331C"/>
    <w:rsid w:val="00925700"/>
    <w:rsid w:val="009279DE"/>
    <w:rsid w:val="00930116"/>
    <w:rsid w:val="0093082F"/>
    <w:rsid w:val="0094212C"/>
    <w:rsid w:val="0095047D"/>
    <w:rsid w:val="00954689"/>
    <w:rsid w:val="009617C9"/>
    <w:rsid w:val="00961C93"/>
    <w:rsid w:val="00965324"/>
    <w:rsid w:val="0097091E"/>
    <w:rsid w:val="00973F3F"/>
    <w:rsid w:val="009760D3"/>
    <w:rsid w:val="00977132"/>
    <w:rsid w:val="00981605"/>
    <w:rsid w:val="00981A4B"/>
    <w:rsid w:val="00982501"/>
    <w:rsid w:val="009877D3"/>
    <w:rsid w:val="009905C6"/>
    <w:rsid w:val="00993038"/>
    <w:rsid w:val="009940B5"/>
    <w:rsid w:val="00994E8F"/>
    <w:rsid w:val="009951DC"/>
    <w:rsid w:val="009959BB"/>
    <w:rsid w:val="00997158"/>
    <w:rsid w:val="009A3A7C"/>
    <w:rsid w:val="009A556C"/>
    <w:rsid w:val="009B2ADB"/>
    <w:rsid w:val="009B603A"/>
    <w:rsid w:val="009C2D0E"/>
    <w:rsid w:val="009C3DAC"/>
    <w:rsid w:val="009C42E0"/>
    <w:rsid w:val="009D5362"/>
    <w:rsid w:val="009E1415"/>
    <w:rsid w:val="009E6116"/>
    <w:rsid w:val="009F647D"/>
    <w:rsid w:val="00A02E43"/>
    <w:rsid w:val="00A065F9"/>
    <w:rsid w:val="00A07F34"/>
    <w:rsid w:val="00A22154"/>
    <w:rsid w:val="00A25C38"/>
    <w:rsid w:val="00A36BBE"/>
    <w:rsid w:val="00A41258"/>
    <w:rsid w:val="00A42D5F"/>
    <w:rsid w:val="00A4307A"/>
    <w:rsid w:val="00A47056"/>
    <w:rsid w:val="00A47EBB"/>
    <w:rsid w:val="00A51CDD"/>
    <w:rsid w:val="00A527CA"/>
    <w:rsid w:val="00A57B98"/>
    <w:rsid w:val="00A63585"/>
    <w:rsid w:val="00A64B18"/>
    <w:rsid w:val="00A65993"/>
    <w:rsid w:val="00A6730D"/>
    <w:rsid w:val="00A71625"/>
    <w:rsid w:val="00A71B9B"/>
    <w:rsid w:val="00A73B28"/>
    <w:rsid w:val="00A751C7"/>
    <w:rsid w:val="00A76C7B"/>
    <w:rsid w:val="00A87844"/>
    <w:rsid w:val="00AA038C"/>
    <w:rsid w:val="00AA29D6"/>
    <w:rsid w:val="00AA7A09"/>
    <w:rsid w:val="00AB3B50"/>
    <w:rsid w:val="00AC05B1"/>
    <w:rsid w:val="00AD0962"/>
    <w:rsid w:val="00AD0F5C"/>
    <w:rsid w:val="00AD164F"/>
    <w:rsid w:val="00AD2733"/>
    <w:rsid w:val="00AD356C"/>
    <w:rsid w:val="00AD3BF5"/>
    <w:rsid w:val="00AE2914"/>
    <w:rsid w:val="00AE6613"/>
    <w:rsid w:val="00AE6D15"/>
    <w:rsid w:val="00AF005D"/>
    <w:rsid w:val="00AF32DE"/>
    <w:rsid w:val="00AF3EFD"/>
    <w:rsid w:val="00AF51D7"/>
    <w:rsid w:val="00B04182"/>
    <w:rsid w:val="00B07AE3"/>
    <w:rsid w:val="00B07F8D"/>
    <w:rsid w:val="00B11430"/>
    <w:rsid w:val="00B30EC5"/>
    <w:rsid w:val="00B353EB"/>
    <w:rsid w:val="00B36EB0"/>
    <w:rsid w:val="00B407B2"/>
    <w:rsid w:val="00B439C4"/>
    <w:rsid w:val="00B45049"/>
    <w:rsid w:val="00B4535E"/>
    <w:rsid w:val="00B45B68"/>
    <w:rsid w:val="00B46D95"/>
    <w:rsid w:val="00B52A8C"/>
    <w:rsid w:val="00B636A8"/>
    <w:rsid w:val="00B665C6"/>
    <w:rsid w:val="00B71229"/>
    <w:rsid w:val="00B72A27"/>
    <w:rsid w:val="00B805AF"/>
    <w:rsid w:val="00B869EC"/>
    <w:rsid w:val="00B9111F"/>
    <w:rsid w:val="00B9397A"/>
    <w:rsid w:val="00B94E3C"/>
    <w:rsid w:val="00B9633D"/>
    <w:rsid w:val="00BA18EB"/>
    <w:rsid w:val="00BA1D1D"/>
    <w:rsid w:val="00BA2EBE"/>
    <w:rsid w:val="00BA7374"/>
    <w:rsid w:val="00BB0F28"/>
    <w:rsid w:val="00BB458A"/>
    <w:rsid w:val="00BD00D3"/>
    <w:rsid w:val="00BD1659"/>
    <w:rsid w:val="00BD3AA9"/>
    <w:rsid w:val="00BD4A18"/>
    <w:rsid w:val="00BD6DB2"/>
    <w:rsid w:val="00BE11CF"/>
    <w:rsid w:val="00BE21AB"/>
    <w:rsid w:val="00BE3064"/>
    <w:rsid w:val="00BE55CB"/>
    <w:rsid w:val="00BF2E47"/>
    <w:rsid w:val="00BF3405"/>
    <w:rsid w:val="00BF55E5"/>
    <w:rsid w:val="00BF617A"/>
    <w:rsid w:val="00C02F8C"/>
    <w:rsid w:val="00C0379D"/>
    <w:rsid w:val="00C03931"/>
    <w:rsid w:val="00C05FE3"/>
    <w:rsid w:val="00C15A4C"/>
    <w:rsid w:val="00C15BB1"/>
    <w:rsid w:val="00C2136D"/>
    <w:rsid w:val="00C214EE"/>
    <w:rsid w:val="00C22806"/>
    <w:rsid w:val="00C2314B"/>
    <w:rsid w:val="00C24971"/>
    <w:rsid w:val="00C26BE5"/>
    <w:rsid w:val="00C26E4D"/>
    <w:rsid w:val="00C27909"/>
    <w:rsid w:val="00C27B03"/>
    <w:rsid w:val="00C314E1"/>
    <w:rsid w:val="00C34397"/>
    <w:rsid w:val="00C4095D"/>
    <w:rsid w:val="00C51FF3"/>
    <w:rsid w:val="00C52B22"/>
    <w:rsid w:val="00C601D2"/>
    <w:rsid w:val="00C60A50"/>
    <w:rsid w:val="00C657AB"/>
    <w:rsid w:val="00C65BCC"/>
    <w:rsid w:val="00C66970"/>
    <w:rsid w:val="00C73A18"/>
    <w:rsid w:val="00C81637"/>
    <w:rsid w:val="00C8691C"/>
    <w:rsid w:val="00CA168A"/>
    <w:rsid w:val="00CA357E"/>
    <w:rsid w:val="00CA44F9"/>
    <w:rsid w:val="00CA4A69"/>
    <w:rsid w:val="00CB6A52"/>
    <w:rsid w:val="00CC3E0C"/>
    <w:rsid w:val="00CC58D3"/>
    <w:rsid w:val="00CC6A06"/>
    <w:rsid w:val="00CC784D"/>
    <w:rsid w:val="00CD2A49"/>
    <w:rsid w:val="00CE2045"/>
    <w:rsid w:val="00CE3573"/>
    <w:rsid w:val="00CF651C"/>
    <w:rsid w:val="00D005B8"/>
    <w:rsid w:val="00D0337B"/>
    <w:rsid w:val="00D04587"/>
    <w:rsid w:val="00D075C8"/>
    <w:rsid w:val="00D079B2"/>
    <w:rsid w:val="00D114E9"/>
    <w:rsid w:val="00D15693"/>
    <w:rsid w:val="00D258C1"/>
    <w:rsid w:val="00D31614"/>
    <w:rsid w:val="00D37738"/>
    <w:rsid w:val="00D4082B"/>
    <w:rsid w:val="00D40BA3"/>
    <w:rsid w:val="00D40C8C"/>
    <w:rsid w:val="00D429C6"/>
    <w:rsid w:val="00D47748"/>
    <w:rsid w:val="00D50EDB"/>
    <w:rsid w:val="00D51603"/>
    <w:rsid w:val="00D516E6"/>
    <w:rsid w:val="00D54CC3"/>
    <w:rsid w:val="00D6041A"/>
    <w:rsid w:val="00D62E76"/>
    <w:rsid w:val="00D633EB"/>
    <w:rsid w:val="00D76760"/>
    <w:rsid w:val="00D8201C"/>
    <w:rsid w:val="00D82FF7"/>
    <w:rsid w:val="00D83AFB"/>
    <w:rsid w:val="00D847FE"/>
    <w:rsid w:val="00D95061"/>
    <w:rsid w:val="00D95C34"/>
    <w:rsid w:val="00D964EA"/>
    <w:rsid w:val="00D966D0"/>
    <w:rsid w:val="00DA0C59"/>
    <w:rsid w:val="00DA3991"/>
    <w:rsid w:val="00DA7B3C"/>
    <w:rsid w:val="00DB7E6C"/>
    <w:rsid w:val="00DC014A"/>
    <w:rsid w:val="00DC5C87"/>
    <w:rsid w:val="00DD5636"/>
    <w:rsid w:val="00DD5A29"/>
    <w:rsid w:val="00DD5D9D"/>
    <w:rsid w:val="00DE30F7"/>
    <w:rsid w:val="00DE35CB"/>
    <w:rsid w:val="00DF21E9"/>
    <w:rsid w:val="00DF5A48"/>
    <w:rsid w:val="00E00F14"/>
    <w:rsid w:val="00E06386"/>
    <w:rsid w:val="00E1489E"/>
    <w:rsid w:val="00E24EB4"/>
    <w:rsid w:val="00E275D9"/>
    <w:rsid w:val="00E320ED"/>
    <w:rsid w:val="00E33AFB"/>
    <w:rsid w:val="00E34218"/>
    <w:rsid w:val="00E46282"/>
    <w:rsid w:val="00E4743F"/>
    <w:rsid w:val="00E5216E"/>
    <w:rsid w:val="00E62C92"/>
    <w:rsid w:val="00E73F78"/>
    <w:rsid w:val="00E77093"/>
    <w:rsid w:val="00E82344"/>
    <w:rsid w:val="00E84C82"/>
    <w:rsid w:val="00E84D64"/>
    <w:rsid w:val="00E87408"/>
    <w:rsid w:val="00E914C4"/>
    <w:rsid w:val="00E934F5"/>
    <w:rsid w:val="00E96961"/>
    <w:rsid w:val="00EA1B7D"/>
    <w:rsid w:val="00EA72EC"/>
    <w:rsid w:val="00EB11CB"/>
    <w:rsid w:val="00EB15D8"/>
    <w:rsid w:val="00EB275A"/>
    <w:rsid w:val="00EB786A"/>
    <w:rsid w:val="00EC13C4"/>
    <w:rsid w:val="00EC1578"/>
    <w:rsid w:val="00EC1C72"/>
    <w:rsid w:val="00EC1DF1"/>
    <w:rsid w:val="00EC3CC9"/>
    <w:rsid w:val="00EC680A"/>
    <w:rsid w:val="00EE2BED"/>
    <w:rsid w:val="00EE374B"/>
    <w:rsid w:val="00EE3CDF"/>
    <w:rsid w:val="00EF130B"/>
    <w:rsid w:val="00F11BB5"/>
    <w:rsid w:val="00F1417B"/>
    <w:rsid w:val="00F15BF5"/>
    <w:rsid w:val="00F1687C"/>
    <w:rsid w:val="00F34B99"/>
    <w:rsid w:val="00F36204"/>
    <w:rsid w:val="00F438C6"/>
    <w:rsid w:val="00F52DAB"/>
    <w:rsid w:val="00F543F0"/>
    <w:rsid w:val="00F54765"/>
    <w:rsid w:val="00F73771"/>
    <w:rsid w:val="00F81D29"/>
    <w:rsid w:val="00F85CD9"/>
    <w:rsid w:val="00F878E3"/>
    <w:rsid w:val="00F90026"/>
    <w:rsid w:val="00F91C4D"/>
    <w:rsid w:val="00F92FD9"/>
    <w:rsid w:val="00FA6684"/>
    <w:rsid w:val="00FA731E"/>
    <w:rsid w:val="00FB26CD"/>
    <w:rsid w:val="00FB2B38"/>
    <w:rsid w:val="00FC6358"/>
    <w:rsid w:val="00FD320D"/>
    <w:rsid w:val="00FD6040"/>
    <w:rsid w:val="00FE23DE"/>
    <w:rsid w:val="00FE477E"/>
    <w:rsid w:val="00FF1E40"/>
    <w:rsid w:val="00FF7A34"/>
    <w:rsid w:val="02685EB3"/>
    <w:rsid w:val="0289251C"/>
    <w:rsid w:val="045F2EBF"/>
    <w:rsid w:val="04E36701"/>
    <w:rsid w:val="052F0625"/>
    <w:rsid w:val="05DE4850"/>
    <w:rsid w:val="074601B6"/>
    <w:rsid w:val="0DEE4728"/>
    <w:rsid w:val="11D2261C"/>
    <w:rsid w:val="13FC552B"/>
    <w:rsid w:val="14296E98"/>
    <w:rsid w:val="164F2E8A"/>
    <w:rsid w:val="17955235"/>
    <w:rsid w:val="18384498"/>
    <w:rsid w:val="192819F8"/>
    <w:rsid w:val="1DBC57D7"/>
    <w:rsid w:val="204A79A9"/>
    <w:rsid w:val="21363AA3"/>
    <w:rsid w:val="25803D1C"/>
    <w:rsid w:val="2865262F"/>
    <w:rsid w:val="287B0FAC"/>
    <w:rsid w:val="28A44AE4"/>
    <w:rsid w:val="28F05310"/>
    <w:rsid w:val="2A12655D"/>
    <w:rsid w:val="2B3229EE"/>
    <w:rsid w:val="2B9F2F35"/>
    <w:rsid w:val="2FD72A27"/>
    <w:rsid w:val="306735B2"/>
    <w:rsid w:val="318B13FA"/>
    <w:rsid w:val="32C92BEF"/>
    <w:rsid w:val="32CF0A85"/>
    <w:rsid w:val="33301031"/>
    <w:rsid w:val="347735AA"/>
    <w:rsid w:val="35EE34A9"/>
    <w:rsid w:val="3EC35647"/>
    <w:rsid w:val="3F86041C"/>
    <w:rsid w:val="40795FC7"/>
    <w:rsid w:val="4120154B"/>
    <w:rsid w:val="4405617D"/>
    <w:rsid w:val="44474B9E"/>
    <w:rsid w:val="446B28B7"/>
    <w:rsid w:val="45121E0D"/>
    <w:rsid w:val="47FA7EA3"/>
    <w:rsid w:val="4B374129"/>
    <w:rsid w:val="4C857307"/>
    <w:rsid w:val="4E2A1698"/>
    <w:rsid w:val="4F1D3D04"/>
    <w:rsid w:val="502C2A0D"/>
    <w:rsid w:val="55BF66F4"/>
    <w:rsid w:val="567A23F5"/>
    <w:rsid w:val="587629B6"/>
    <w:rsid w:val="58F1507B"/>
    <w:rsid w:val="5B0556D2"/>
    <w:rsid w:val="5FB2737D"/>
    <w:rsid w:val="617A4711"/>
    <w:rsid w:val="628355B8"/>
    <w:rsid w:val="67031C1F"/>
    <w:rsid w:val="6887692C"/>
    <w:rsid w:val="728A530A"/>
    <w:rsid w:val="79DC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7"/>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Plain Text"/>
    <w:basedOn w:val="1"/>
    <w:link w:val="136"/>
    <w:qFormat/>
    <w:uiPriority w:val="0"/>
    <w:rPr>
      <w:rFonts w:ascii="宋体" w:hAnsi="Courier New"/>
      <w:szCs w:val="20"/>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0"/>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139"/>
    <w:qFormat/>
    <w:uiPriority w:val="99"/>
    <w:pPr>
      <w:numPr>
        <w:ilvl w:val="0"/>
        <w:numId w:val="1"/>
      </w:numPr>
      <w:snapToGrid w:val="0"/>
      <w:jc w:val="left"/>
    </w:pPr>
    <w:rPr>
      <w:rFonts w:ascii="宋体"/>
      <w:sz w:val="18"/>
      <w:szCs w:val="18"/>
      <w:lang w:val="zh-CN"/>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uiPriority w:val="22"/>
    <w:rPr>
      <w:b/>
      <w:bCs/>
    </w:r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qFormat/>
    <w:uiPriority w:val="0"/>
    <w:rPr>
      <w:color w:val="0000FF"/>
      <w:spacing w:val="0"/>
      <w:w w:val="100"/>
      <w:szCs w:val="21"/>
      <w:u w:val="single"/>
    </w:rPr>
  </w:style>
  <w:style w:type="character" w:styleId="38">
    <w:name w:val="footnote reference"/>
    <w:semiHidden/>
    <w:qFormat/>
    <w:uiPriority w:val="0"/>
    <w:rPr>
      <w:vertAlign w:val="superscript"/>
    </w:rPr>
  </w:style>
  <w:style w:type="character" w:customStyle="1" w:styleId="39">
    <w:name w:val="段 Char"/>
    <w:link w:val="23"/>
    <w:qFormat/>
    <w:uiPriority w:val="0"/>
    <w:rPr>
      <w:rFonts w:ascii="宋体"/>
      <w:sz w:val="21"/>
      <w:lang w:val="en-US" w:eastAsia="zh-CN" w:bidi="ar-SA"/>
    </w:rPr>
  </w:style>
  <w:style w:type="paragraph" w:customStyle="1" w:styleId="40">
    <w:name w:val="一级条标题"/>
    <w:next w:val="23"/>
    <w:link w:val="138"/>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3"/>
    <w:qFormat/>
    <w:uiPriority w:val="0"/>
    <w:pPr>
      <w:spacing w:before="50" w:after="50"/>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47">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3"/>
    <w:qFormat/>
    <w:uiPriority w:val="0"/>
    <w:pPr>
      <w:outlineLvl w:val="4"/>
    </w:pPr>
  </w:style>
  <w:style w:type="paragraph" w:customStyle="1" w:styleId="50">
    <w:name w:val="示例"/>
    <w:next w:val="5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3">
    <w:name w:val="四级条标题"/>
    <w:basedOn w:val="49"/>
    <w:next w:val="23"/>
    <w:qFormat/>
    <w:uiPriority w:val="0"/>
    <w:pPr>
      <w:outlineLvl w:val="5"/>
    </w:pPr>
  </w:style>
  <w:style w:type="paragraph" w:customStyle="1" w:styleId="54">
    <w:name w:val="五级条标题"/>
    <w:basedOn w:val="53"/>
    <w:next w:val="23"/>
    <w:qFormat/>
    <w:uiPriority w:val="0"/>
    <w:pPr>
      <w:outlineLvl w:val="6"/>
    </w:pPr>
  </w:style>
  <w:style w:type="paragraph" w:customStyle="1" w:styleId="55">
    <w:name w:val="注："/>
    <w:next w:val="23"/>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tabs>
        <w:tab w:val="left" w:pos="1678"/>
      </w:tabs>
    </w:pPr>
    <w:rPr>
      <w:rFonts w:ascii="宋体"/>
      <w:szCs w:val="21"/>
    </w:rPr>
  </w:style>
  <w:style w:type="paragraph" w:customStyle="1" w:styleId="59">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60">
    <w:name w:val="示例×："/>
    <w:basedOn w:val="43"/>
    <w:qFormat/>
    <w:uiPriority w:val="0"/>
    <w:pPr>
      <w:numPr>
        <w:ilvl w:val="0"/>
        <w:numId w:val="6"/>
      </w:numPr>
      <w:spacing w:beforeLines="0" w:afterLines="0"/>
      <w:outlineLvl w:val="9"/>
    </w:pPr>
    <w:rPr>
      <w:rFonts w:ascii="宋体" w:eastAsia="宋体"/>
      <w:sz w:val="18"/>
      <w:szCs w:val="18"/>
    </w:rPr>
  </w:style>
  <w:style w:type="paragraph" w:customStyle="1" w:styleId="61">
    <w:name w:val="二级无"/>
    <w:basedOn w:val="44"/>
    <w:qFormat/>
    <w:uiPriority w:val="0"/>
    <w:pPr>
      <w:spacing w:beforeLines="0" w:afterLines="0"/>
    </w:pPr>
    <w:rPr>
      <w:rFonts w:ascii="宋体" w:eastAsia="宋体"/>
    </w:rPr>
  </w:style>
  <w:style w:type="paragraph" w:customStyle="1" w:styleId="62">
    <w:name w:val="注：（正文）"/>
    <w:basedOn w:val="55"/>
    <w:next w:val="23"/>
    <w:qFormat/>
    <w:uiPriority w:val="0"/>
  </w:style>
  <w:style w:type="paragraph" w:customStyle="1" w:styleId="63">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qFormat/>
    <w:uiPriority w:val="0"/>
    <w:rPr>
      <w:rFonts w:ascii="黑体" w:eastAsia="黑体"/>
      <w:spacing w:val="85"/>
      <w:w w:val="100"/>
      <w:position w:val="3"/>
      <w:sz w:val="28"/>
      <w:szCs w:val="28"/>
    </w:rPr>
  </w:style>
  <w:style w:type="paragraph" w:customStyle="1" w:styleId="7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spacing w:before="370" w:line="400" w:lineRule="exact"/>
    </w:pPr>
    <w:rPr>
      <w:rFonts w:ascii="Times New Roman"/>
      <w:sz w:val="28"/>
      <w:szCs w:val="28"/>
    </w:rPr>
  </w:style>
  <w:style w:type="paragraph" w:customStyle="1" w:styleId="78">
    <w:name w:val="封面一致性程度标识"/>
    <w:basedOn w:val="77"/>
    <w:qFormat/>
    <w:uiPriority w:val="0"/>
    <w:pPr>
      <w:spacing w:before="440"/>
    </w:pPr>
    <w:rPr>
      <w:rFonts w:ascii="宋体" w:eastAsia="宋体"/>
    </w:rPr>
  </w:style>
  <w:style w:type="paragraph" w:customStyle="1" w:styleId="79">
    <w:name w:val="封面标准文稿类别"/>
    <w:basedOn w:val="78"/>
    <w:qFormat/>
    <w:uiPriority w:val="0"/>
    <w:pPr>
      <w:spacing w:after="160" w:line="240" w:lineRule="auto"/>
    </w:pPr>
    <w:rPr>
      <w:sz w:val="24"/>
    </w:rPr>
  </w:style>
  <w:style w:type="paragraph" w:customStyle="1" w:styleId="80">
    <w:name w:val="封面标准文稿编辑信息"/>
    <w:basedOn w:val="79"/>
    <w:qFormat/>
    <w:uiPriority w:val="0"/>
    <w:pPr>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3"/>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3"/>
    <w:next w:val="23"/>
    <w:qFormat/>
    <w:uiPriority w:val="0"/>
    <w:pPr>
      <w:ind w:firstLine="0" w:firstLineChars="0"/>
      <w:jc w:val="center"/>
    </w:pPr>
    <w:rPr>
      <w:rFonts w:ascii="黑体" w:eastAsia="黑体"/>
    </w:rPr>
  </w:style>
  <w:style w:type="paragraph" w:customStyle="1" w:styleId="84">
    <w:name w:val="附录表标号"/>
    <w:basedOn w:val="1"/>
    <w:next w:val="23"/>
    <w:qFormat/>
    <w:uiPriority w:val="99"/>
    <w:pPr>
      <w:numPr>
        <w:ilvl w:val="0"/>
        <w:numId w:val="9"/>
      </w:numPr>
      <w:tabs>
        <w:tab w:val="clear" w:pos="0"/>
      </w:tabs>
      <w:spacing w:line="14" w:lineRule="exact"/>
      <w:ind w:left="811" w:hanging="448"/>
      <w:jc w:val="center"/>
      <w:outlineLvl w:val="0"/>
    </w:pPr>
    <w:rPr>
      <w:color w:val="FFFFFF"/>
    </w:rPr>
  </w:style>
  <w:style w:type="paragraph" w:customStyle="1" w:styleId="85">
    <w:name w:val="附录表标题"/>
    <w:basedOn w:val="1"/>
    <w:next w:val="23"/>
    <w:qFormat/>
    <w:uiPriority w:val="99"/>
    <w:pPr>
      <w:numPr>
        <w:ilvl w:val="1"/>
        <w:numId w:val="9"/>
      </w:numPr>
      <w:tabs>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3"/>
    <w:qFormat/>
    <w:uiPriority w:val="0"/>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3"/>
    <w:next w:val="23"/>
    <w:link w:val="89"/>
    <w:qFormat/>
    <w:uiPriority w:val="0"/>
  </w:style>
  <w:style w:type="character" w:customStyle="1" w:styleId="89">
    <w:name w:val="附录公式 Char"/>
    <w:basedOn w:val="39"/>
    <w:link w:val="88"/>
    <w:qFormat/>
    <w:uiPriority w:val="0"/>
    <w:rPr>
      <w:rFonts w:ascii="宋体"/>
      <w:sz w:val="21"/>
      <w:lang w:val="en-US" w:eastAsia="zh-CN" w:bidi="ar-SA"/>
    </w:rPr>
  </w:style>
  <w:style w:type="paragraph" w:customStyle="1" w:styleId="9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3"/>
    <w:qFormat/>
    <w:uiPriority w:val="0"/>
    <w:pPr>
      <w:numPr>
        <w:ilvl w:val="4"/>
      </w:numPr>
      <w:outlineLvl w:val="4"/>
    </w:pPr>
  </w:style>
  <w:style w:type="paragraph" w:customStyle="1" w:styleId="92">
    <w:name w:val="附录三级无"/>
    <w:basedOn w:val="91"/>
    <w:qFormat/>
    <w:uiPriority w:val="0"/>
    <w:pPr>
      <w:tabs>
        <w:tab w:val="clear" w:pos="360"/>
      </w:tabs>
      <w:spacing w:beforeLines="0" w:afterLines="0"/>
    </w:pPr>
    <w:rPr>
      <w:rFonts w:ascii="宋体" w:eastAsia="宋体"/>
      <w:szCs w:val="21"/>
    </w:rPr>
  </w:style>
  <w:style w:type="paragraph" w:customStyle="1" w:styleId="9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94">
    <w:name w:val="附录四级条标题"/>
    <w:basedOn w:val="91"/>
    <w:next w:val="23"/>
    <w:qFormat/>
    <w:uiPriority w:val="0"/>
    <w:pPr>
      <w:numPr>
        <w:ilvl w:val="5"/>
      </w:numPr>
      <w:outlineLvl w:val="5"/>
    </w:pPr>
  </w:style>
  <w:style w:type="paragraph" w:customStyle="1" w:styleId="95">
    <w:name w:val="附录四级无"/>
    <w:basedOn w:val="94"/>
    <w:qFormat/>
    <w:uiPriority w:val="0"/>
    <w:pPr>
      <w:tabs>
        <w:tab w:val="clear" w:pos="360"/>
      </w:tabs>
      <w:spacing w:beforeLines="0" w:afterLines="0"/>
    </w:pPr>
    <w:rPr>
      <w:rFonts w:ascii="宋体" w:eastAsia="宋体"/>
      <w:szCs w:val="21"/>
    </w:rPr>
  </w:style>
  <w:style w:type="paragraph" w:customStyle="1" w:styleId="96">
    <w:name w:val="附录图标号"/>
    <w:basedOn w:val="1"/>
    <w:qFormat/>
    <w:uiPriority w:val="99"/>
    <w:pPr>
      <w:keepNext/>
      <w:pageBreakBefore/>
      <w:widowControl/>
      <w:numPr>
        <w:ilvl w:val="0"/>
        <w:numId w:val="11"/>
      </w:numPr>
      <w:spacing w:line="14" w:lineRule="exact"/>
      <w:ind w:left="0" w:firstLine="363"/>
      <w:jc w:val="center"/>
      <w:outlineLvl w:val="0"/>
    </w:pPr>
    <w:rPr>
      <w:color w:val="FFFFFF"/>
    </w:rPr>
  </w:style>
  <w:style w:type="paragraph" w:customStyle="1" w:styleId="97">
    <w:name w:val="附录图标题"/>
    <w:basedOn w:val="1"/>
    <w:next w:val="23"/>
    <w:qFormat/>
    <w:uiPriority w:val="99"/>
    <w:pPr>
      <w:numPr>
        <w:ilvl w:val="1"/>
        <w:numId w:val="11"/>
      </w:numPr>
      <w:tabs>
        <w:tab w:val="left" w:pos="363"/>
      </w:tabs>
      <w:spacing w:beforeLines="50" w:afterLines="50"/>
      <w:ind w:left="0" w:firstLine="0"/>
      <w:jc w:val="center"/>
    </w:pPr>
    <w:rPr>
      <w:rFonts w:ascii="黑体" w:eastAsia="黑体"/>
      <w:szCs w:val="21"/>
    </w:rPr>
  </w:style>
  <w:style w:type="paragraph" w:customStyle="1" w:styleId="98">
    <w:name w:val="附录五级条标题"/>
    <w:basedOn w:val="94"/>
    <w:next w:val="23"/>
    <w:qFormat/>
    <w:uiPriority w:val="0"/>
    <w:pPr>
      <w:numPr>
        <w:ilvl w:val="6"/>
      </w:numPr>
      <w:outlineLvl w:val="6"/>
    </w:pPr>
  </w:style>
  <w:style w:type="paragraph" w:customStyle="1" w:styleId="99">
    <w:name w:val="附录五级无"/>
    <w:basedOn w:val="98"/>
    <w:qFormat/>
    <w:uiPriority w:val="0"/>
    <w:pPr>
      <w:tabs>
        <w:tab w:val="clear" w:pos="360"/>
      </w:tabs>
      <w:spacing w:beforeLines="0" w:afterLines="0"/>
    </w:pPr>
    <w:rPr>
      <w:rFonts w:ascii="宋体" w:eastAsia="宋体"/>
      <w:szCs w:val="21"/>
    </w:rPr>
  </w:style>
  <w:style w:type="paragraph" w:customStyle="1" w:styleId="100">
    <w:name w:val="附录章标题"/>
    <w:next w:val="23"/>
    <w:qFormat/>
    <w:uiPriority w:val="0"/>
    <w:pPr>
      <w:numPr>
        <w:ilvl w:val="1"/>
        <w:numId w:val="8"/>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3"/>
    <w:qFormat/>
    <w:uiPriority w:val="0"/>
    <w:pPr>
      <w:numPr>
        <w:ilvl w:val="2"/>
      </w:numPr>
      <w:autoSpaceDN w:val="0"/>
      <w:spacing w:beforeLines="50" w:afterLines="50"/>
      <w:outlineLvl w:val="2"/>
    </w:pPr>
  </w:style>
  <w:style w:type="paragraph" w:customStyle="1" w:styleId="102">
    <w:name w:val="附录一级无"/>
    <w:basedOn w:val="101"/>
    <w:qFormat/>
    <w:uiPriority w:val="0"/>
    <w:pPr>
      <w:tabs>
        <w:tab w:val="clear" w:pos="360"/>
      </w:tabs>
      <w:spacing w:beforeLines="0" w:afterLines="0"/>
    </w:pPr>
    <w:rPr>
      <w:rFonts w:ascii="宋体" w:eastAsia="宋体"/>
      <w:szCs w:val="21"/>
    </w:rPr>
  </w:style>
  <w:style w:type="paragraph" w:customStyle="1" w:styleId="103">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qFormat/>
    <w:uiPriority w:val="0"/>
    <w:pPr>
      <w:framePr w:w="6101"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qFormat/>
    <w:uiPriority w:val="0"/>
    <w:pPr>
      <w:framePr w:y="15310"/>
      <w:spacing w:line="0" w:lineRule="atLeast"/>
    </w:pPr>
    <w:rPr>
      <w:rFonts w:ascii="黑体" w:eastAsia="黑体"/>
      <w:b w:val="0"/>
    </w:rPr>
  </w:style>
  <w:style w:type="paragraph" w:customStyle="1" w:styleId="110">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qFormat/>
    <w:uiPriority w:val="0"/>
    <w:pPr>
      <w:spacing w:beforeLines="0" w:afterLines="0"/>
    </w:pPr>
    <w:rPr>
      <w:rFonts w:ascii="宋体" w:eastAsia="宋体"/>
    </w:rPr>
  </w:style>
  <w:style w:type="paragraph" w:customStyle="1" w:styleId="112">
    <w:name w:val="实施日期"/>
    <w:basedOn w:val="73"/>
    <w:qFormat/>
    <w:uiPriority w:val="0"/>
    <w:pPr>
      <w:framePr w:vAnchor="page" w:hAnchor="text"/>
      <w:jc w:val="right"/>
    </w:pPr>
  </w:style>
  <w:style w:type="paragraph" w:customStyle="1" w:styleId="113">
    <w:name w:val="示例后文字"/>
    <w:basedOn w:val="23"/>
    <w:next w:val="23"/>
    <w:qFormat/>
    <w:uiPriority w:val="0"/>
    <w:pPr>
      <w:ind w:firstLine="360"/>
    </w:pPr>
    <w:rPr>
      <w:sz w:val="18"/>
    </w:rPr>
  </w:style>
  <w:style w:type="paragraph" w:customStyle="1" w:styleId="114">
    <w:name w:val="首示例"/>
    <w:next w:val="23"/>
    <w:link w:val="115"/>
    <w:qFormat/>
    <w:uiPriority w:val="0"/>
    <w:pPr>
      <w:numPr>
        <w:ilvl w:val="0"/>
        <w:numId w:val="12"/>
      </w:numPr>
      <w:tabs>
        <w:tab w:val="left" w:pos="360"/>
      </w:tabs>
      <w:ind w:firstLine="0"/>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53"/>
    <w:qFormat/>
    <w:uiPriority w:val="0"/>
    <w:pPr>
      <w:spacing w:beforeLines="0" w:afterLines="0"/>
    </w:pPr>
    <w:rPr>
      <w:rFonts w:ascii="宋体" w:eastAsia="宋体"/>
    </w:rPr>
  </w:style>
  <w:style w:type="paragraph" w:customStyle="1" w:styleId="117">
    <w:name w:val="条文脚注"/>
    <w:basedOn w:val="24"/>
    <w:qFormat/>
    <w:uiPriority w:val="0"/>
    <w:pPr>
      <w:numPr>
        <w:numId w:val="0"/>
      </w:numPr>
      <w:jc w:val="both"/>
    </w:pPr>
  </w:style>
  <w:style w:type="paragraph" w:customStyle="1" w:styleId="118">
    <w:name w:val="图标脚注说明"/>
    <w:basedOn w:val="23"/>
    <w:qFormat/>
    <w:uiPriority w:val="0"/>
    <w:pPr>
      <w:ind w:left="840" w:hanging="420" w:firstLineChars="0"/>
    </w:pPr>
    <w:rPr>
      <w:sz w:val="18"/>
      <w:szCs w:val="18"/>
    </w:rPr>
  </w:style>
  <w:style w:type="paragraph" w:customStyle="1" w:styleId="119">
    <w:name w:val="图表脚注说明"/>
    <w:basedOn w:val="1"/>
    <w:qFormat/>
    <w:uiPriority w:val="0"/>
    <w:pPr>
      <w:numPr>
        <w:ilvl w:val="0"/>
        <w:numId w:val="13"/>
      </w:numPr>
    </w:pPr>
    <w:rPr>
      <w:rFonts w:ascii="宋体"/>
      <w:sz w:val="18"/>
      <w:szCs w:val="18"/>
    </w:rPr>
  </w:style>
  <w:style w:type="paragraph" w:customStyle="1" w:styleId="12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qFormat/>
    <w:uiPriority w:val="0"/>
    <w:pPr>
      <w:spacing w:beforeLines="0" w:afterLines="0"/>
    </w:pPr>
    <w:rPr>
      <w:rFonts w:ascii="宋体" w:eastAsia="宋体"/>
    </w:rPr>
  </w:style>
  <w:style w:type="paragraph" w:customStyle="1" w:styleId="123">
    <w:name w:val="一级无"/>
    <w:basedOn w:val="40"/>
    <w:qFormat/>
    <w:uiPriority w:val="0"/>
    <w:pPr>
      <w:spacing w:beforeLines="0" w:afterLines="0"/>
    </w:pPr>
    <w:rPr>
      <w:rFonts w:ascii="宋体" w:eastAsia="宋体"/>
    </w:rPr>
  </w:style>
  <w:style w:type="character" w:customStyle="1" w:styleId="124">
    <w:name w:val="已访问的超链接1"/>
    <w:qFormat/>
    <w:uiPriority w:val="0"/>
    <w:rPr>
      <w:color w:val="800080"/>
      <w:u w:val="single"/>
    </w:rPr>
  </w:style>
  <w:style w:type="paragraph" w:customStyle="1" w:styleId="125">
    <w:name w:val="正文表标题"/>
    <w:next w:val="23"/>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3"/>
    <w:next w:val="23"/>
    <w:qFormat/>
    <w:uiPriority w:val="0"/>
    <w:pPr>
      <w:ind w:firstLine="0" w:firstLineChars="0"/>
    </w:pPr>
  </w:style>
  <w:style w:type="paragraph" w:customStyle="1" w:styleId="127">
    <w:name w:val="正文图标题"/>
    <w:next w:val="23"/>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3"/>
    <w:qFormat/>
    <w:uiPriority w:val="0"/>
    <w:pPr>
      <w:framePr w:vAnchor="page" w:hAnchor="text" w:x="1419"/>
    </w:pPr>
  </w:style>
  <w:style w:type="paragraph" w:customStyle="1" w:styleId="130">
    <w:name w:val="其他实施日期"/>
    <w:basedOn w:val="112"/>
    <w:qFormat/>
    <w:uiPriority w:val="0"/>
  </w:style>
  <w:style w:type="paragraph" w:customStyle="1" w:styleId="131">
    <w:name w:val="封面标准名称2"/>
    <w:basedOn w:val="76"/>
    <w:qFormat/>
    <w:uiPriority w:val="0"/>
    <w:pPr>
      <w:framePr w:y="4469"/>
      <w:spacing w:beforeLines="630"/>
    </w:pPr>
  </w:style>
  <w:style w:type="paragraph" w:customStyle="1" w:styleId="132">
    <w:name w:val="封面标准英文名称2"/>
    <w:basedOn w:val="77"/>
    <w:qFormat/>
    <w:uiPriority w:val="0"/>
    <w:pPr>
      <w:framePr w:y="4469"/>
    </w:pPr>
  </w:style>
  <w:style w:type="paragraph" w:customStyle="1" w:styleId="133">
    <w:name w:val="封面一致性程度标识2"/>
    <w:basedOn w:val="78"/>
    <w:qFormat/>
    <w:uiPriority w:val="0"/>
    <w:pPr>
      <w:framePr w:y="4469"/>
    </w:pPr>
  </w:style>
  <w:style w:type="paragraph" w:customStyle="1" w:styleId="134">
    <w:name w:val="封面标准文稿类别2"/>
    <w:basedOn w:val="79"/>
    <w:qFormat/>
    <w:uiPriority w:val="0"/>
    <w:pPr>
      <w:framePr w:y="4469"/>
    </w:pPr>
  </w:style>
  <w:style w:type="paragraph" w:customStyle="1" w:styleId="135">
    <w:name w:val="封面标准文稿编辑信息2"/>
    <w:basedOn w:val="80"/>
    <w:qFormat/>
    <w:uiPriority w:val="0"/>
    <w:pPr>
      <w:framePr w:y="4469"/>
    </w:pPr>
  </w:style>
  <w:style w:type="character" w:customStyle="1" w:styleId="136">
    <w:name w:val="纯文本 Char"/>
    <w:link w:val="12"/>
    <w:qFormat/>
    <w:locked/>
    <w:uiPriority w:val="0"/>
    <w:rPr>
      <w:rFonts w:ascii="宋体" w:hAnsi="Courier New" w:eastAsia="宋体"/>
      <w:kern w:val="2"/>
      <w:sz w:val="21"/>
      <w:lang w:val="en-US" w:eastAsia="zh-CN" w:bidi="ar-SA"/>
    </w:rPr>
  </w:style>
  <w:style w:type="character" w:customStyle="1" w:styleId="137">
    <w:name w:val="标题 3 Char"/>
    <w:link w:val="2"/>
    <w:qFormat/>
    <w:uiPriority w:val="9"/>
    <w:rPr>
      <w:rFonts w:ascii="宋体" w:hAnsi="宋体" w:cs="宋体"/>
      <w:b/>
      <w:bCs/>
      <w:sz w:val="27"/>
      <w:szCs w:val="27"/>
    </w:rPr>
  </w:style>
  <w:style w:type="character" w:customStyle="1" w:styleId="138">
    <w:name w:val="一级条标题 Char"/>
    <w:link w:val="40"/>
    <w:qFormat/>
    <w:uiPriority w:val="0"/>
    <w:rPr>
      <w:rFonts w:ascii="黑体" w:hAnsi="Times New Roman" w:eastAsia="黑体"/>
      <w:sz w:val="21"/>
      <w:szCs w:val="21"/>
    </w:rPr>
  </w:style>
  <w:style w:type="character" w:customStyle="1" w:styleId="139">
    <w:name w:val="脚注文本 Char"/>
    <w:link w:val="24"/>
    <w:qFormat/>
    <w:locked/>
    <w:uiPriority w:val="99"/>
    <w:rPr>
      <w:rFonts w:ascii="宋体" w:hAnsi="Times New Roman"/>
      <w:kern w:val="2"/>
      <w:sz w:val="18"/>
      <w:szCs w:val="18"/>
      <w:lang w:val="zh-CN"/>
    </w:rPr>
  </w:style>
  <w:style w:type="character" w:customStyle="1" w:styleId="140">
    <w:name w:val="批注框文本 Char"/>
    <w:basedOn w:val="33"/>
    <w:link w:val="16"/>
    <w:qFormat/>
    <w:uiPriority w:val="0"/>
    <w:rPr>
      <w:kern w:val="2"/>
      <w:sz w:val="18"/>
      <w:szCs w:val="18"/>
    </w:rPr>
  </w:style>
  <w:style w:type="character" w:customStyle="1" w:styleId="141">
    <w:name w:val="占位符文本1"/>
    <w:basedOn w:val="33"/>
    <w:semiHidden/>
    <w:qFormat/>
    <w:uiPriority w:val="99"/>
    <w:rPr>
      <w:color w:val="808080"/>
    </w:rPr>
  </w:style>
  <w:style w:type="paragraph" w:customStyle="1" w:styleId="142">
    <w:name w:val="样式 标准标志 + (西文) Georgia (中文) 黑体 50 磅 非加粗"/>
    <w:basedOn w:val="64"/>
    <w:qFormat/>
    <w:uiPriority w:val="0"/>
    <w:pPr>
      <w:widowControl w:val="0"/>
      <w:ind w:right="-150" w:rightChars="-150"/>
    </w:pPr>
    <w:rPr>
      <w:rFonts w:ascii="Georgia" w:hAnsi="Georgia" w:eastAsia="黑体"/>
      <w:b w:val="0"/>
      <w:sz w:val="100"/>
    </w:rPr>
  </w:style>
  <w:style w:type="paragraph" w:customStyle="1" w:styleId="143">
    <w:name w:val="样式 样式 标准标志 + (西文) Georgia (中文) 黑体 50 磅 非加粗 + 右侧:  -1.5 字符"/>
    <w:basedOn w:val="142"/>
    <w:qFormat/>
    <w:uiPriority w:val="0"/>
    <w:pPr>
      <w:ind w:right="-200" w:rightChars="-200"/>
    </w:pPr>
    <w:rPr>
      <w:rFonts w:cs="宋体"/>
      <w:szCs w:val="20"/>
    </w:rPr>
  </w:style>
  <w:style w:type="paragraph" w:styleId="144">
    <w:name w:val="List Paragraph"/>
    <w:basedOn w:val="1"/>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A0C0D-B426-43B1-B805-D5AF53B8F13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1987</Words>
  <Characters>11326</Characters>
  <Lines>94</Lines>
  <Paragraphs>26</Paragraphs>
  <TotalTime>11</TotalTime>
  <ScaleCrop>false</ScaleCrop>
  <LinksUpToDate>false</LinksUpToDate>
  <CharactersWithSpaces>13287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2018-12-29T09:30:00Z</dcterms:created>
  <dcterms:modified xsi:type="dcterms:W3CDTF">2020-12-17T07:29:36Z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