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附件1：</w:t>
      </w:r>
    </w:p>
    <w:p>
      <w:pPr>
        <w:widowControl/>
        <w:jc w:val="center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轻金属分标委审定和任务落实的标准项目</w:t>
      </w:r>
    </w:p>
    <w:tbl>
      <w:tblPr>
        <w:tblStyle w:val="2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3966"/>
        <w:gridCol w:w="2560"/>
        <w:gridCol w:w="6081"/>
        <w:gridCol w:w="8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  <w:jc w:val="center"/>
        </w:trPr>
        <w:tc>
          <w:tcPr>
            <w:tcW w:w="246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399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标准项目名称</w:t>
            </w:r>
          </w:p>
        </w:tc>
        <w:tc>
          <w:tcPr>
            <w:tcW w:w="903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项目计划编号</w:t>
            </w:r>
          </w:p>
        </w:tc>
        <w:tc>
          <w:tcPr>
            <w:tcW w:w="2145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起草单位及相关单位</w:t>
            </w:r>
          </w:p>
        </w:tc>
        <w:tc>
          <w:tcPr>
            <w:tcW w:w="307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46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99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铝基复合圆片</w:t>
            </w:r>
          </w:p>
        </w:tc>
        <w:tc>
          <w:tcPr>
            <w:tcW w:w="903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国标委发[2018]60号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20181999-T-610</w:t>
            </w:r>
          </w:p>
        </w:tc>
        <w:tc>
          <w:tcPr>
            <w:tcW w:w="2145" w:type="pct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有色金属技术经济研究院有限责任公司、银邦金属复合材料股份有限公司、广东省科学院工业分析检测中心、国标（北京）检验认证有限公司、昶辰（佛山）特殊钢有限公司等</w:t>
            </w:r>
          </w:p>
        </w:tc>
        <w:tc>
          <w:tcPr>
            <w:tcW w:w="30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4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9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汽车锻件用铝合金挤压棒材</w:t>
            </w:r>
          </w:p>
        </w:tc>
        <w:tc>
          <w:tcPr>
            <w:tcW w:w="90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工信厅科函[2020]263号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2020-1267T-YS</w:t>
            </w:r>
          </w:p>
        </w:tc>
        <w:tc>
          <w:tcPr>
            <w:tcW w:w="2145" w:type="pc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广东豪美新材股份有限公司、国标（北京）检验认证有限公司、凌云工业股份有限公司、广东省工业分析检测中心、重庆长安汽车股份有限公司、山东兖矿轻合金有限公司、广东凤铝铝业有限公司、广东伟业铝厂集团有限公司、广东永利坚铝业有限公司、西南铝业（集团）有限责任公司、东北轻合金有限责任公司等</w:t>
            </w:r>
          </w:p>
        </w:tc>
        <w:tc>
          <w:tcPr>
            <w:tcW w:w="30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任务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落实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4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9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密封条用铝合金带材</w:t>
            </w:r>
          </w:p>
        </w:tc>
        <w:tc>
          <w:tcPr>
            <w:tcW w:w="90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工信厅科函[2020]263号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2020-1269T-YS</w:t>
            </w:r>
          </w:p>
        </w:tc>
        <w:tc>
          <w:tcPr>
            <w:tcW w:w="2145" w:type="pc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西南铝业（集团）有限责任公司、重庆西南铝精密加工有限责任公司、中铝瑞闽股份有限公司 、重庆浩和金属制品有限公司、秦皇岛威卡威汽车零部件有限公司、重庆奥威有色金属有限公司等</w:t>
            </w:r>
          </w:p>
        </w:tc>
        <w:tc>
          <w:tcPr>
            <w:tcW w:w="30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任务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落实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4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9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/>
              </w:rPr>
              <w:t>粗钙</w:t>
            </w:r>
          </w:p>
        </w:tc>
        <w:tc>
          <w:tcPr>
            <w:tcW w:w="90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工信厅科函[2020]263号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2020-1523T-YS</w:t>
            </w:r>
          </w:p>
        </w:tc>
        <w:tc>
          <w:tcPr>
            <w:tcW w:w="2145" w:type="pc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北京事竟成有色金属研究所、陕西三江能源金属镁有限公司、山西闻喜银光镁业集团、交口县富瑞德镁业有限公司、阳城县大宁远孚钙镁有限公司、四川建中金属材料有限公司、长治县金世恒合金科技有限公司、长治市郊区双剑金属颗粒有限公司、北矿检测技术有限公司等</w:t>
            </w:r>
          </w:p>
        </w:tc>
        <w:tc>
          <w:tcPr>
            <w:tcW w:w="30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任务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落实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4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9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/>
              </w:rPr>
              <w:t>钙挤压线坯及线材</w:t>
            </w:r>
          </w:p>
        </w:tc>
        <w:tc>
          <w:tcPr>
            <w:tcW w:w="90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工信厅科函[2020]263号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2020-1524T-YS</w:t>
            </w:r>
          </w:p>
        </w:tc>
        <w:tc>
          <w:tcPr>
            <w:tcW w:w="2145" w:type="pc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北京事竟成有色金属研究所、陕西三江能源金属镁有限公司、山西闻喜银光镁业集团、交口县富瑞德镁业有限公司、阳城县大宁远孚钙镁有限公司、四川建中金属材料有限公司、长治县金世恒合金科技有限公司、长治市郊区双剑金属颗粒有限公司、北矿检测技术有限公司等</w:t>
            </w:r>
          </w:p>
        </w:tc>
        <w:tc>
          <w:tcPr>
            <w:tcW w:w="30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任务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落实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4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9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</w:pPr>
            <w:r>
              <w:rPr>
                <w:rFonts w:hint="eastAsia"/>
              </w:rPr>
              <w:t>轨道交通车辆结构用铝合金挤压型材</w:t>
            </w:r>
          </w:p>
        </w:tc>
        <w:tc>
          <w:tcPr>
            <w:tcW w:w="90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待上报国标计划</w:t>
            </w:r>
          </w:p>
        </w:tc>
        <w:tc>
          <w:tcPr>
            <w:tcW w:w="214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中车青岛四方机车车辆股份有限公司等</w:t>
            </w:r>
          </w:p>
        </w:tc>
        <w:tc>
          <w:tcPr>
            <w:tcW w:w="30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任务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落实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46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99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widowControl/>
            </w:pPr>
            <w:r>
              <w:rPr>
                <w:rFonts w:hint="eastAsia"/>
              </w:rPr>
              <w:t>轨道交通用铝及铝合金板材</w:t>
            </w:r>
          </w:p>
        </w:tc>
        <w:tc>
          <w:tcPr>
            <w:tcW w:w="903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待上报国标计划</w:t>
            </w:r>
          </w:p>
        </w:tc>
        <w:tc>
          <w:tcPr>
            <w:tcW w:w="2145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中车青岛四方机车车辆股份有限公司等</w:t>
            </w:r>
          </w:p>
        </w:tc>
        <w:tc>
          <w:tcPr>
            <w:tcW w:w="30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任务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落实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20D36"/>
    <w:multiLevelType w:val="multilevel"/>
    <w:tmpl w:val="5DD20D36"/>
    <w:lvl w:ilvl="0" w:tentative="0">
      <w:start w:val="1"/>
      <w:numFmt w:val="decimal"/>
      <w:lvlText w:val="%1."/>
      <w:lvlJc w:val="left"/>
      <w:pPr>
        <w:ind w:left="562" w:hanging="420"/>
      </w:pPr>
      <w:rPr>
        <w:sz w:val="21"/>
      </w:rPr>
    </w:lvl>
    <w:lvl w:ilvl="1" w:tentative="0">
      <w:start w:val="1"/>
      <w:numFmt w:val="lowerLetter"/>
      <w:lvlText w:val="%2)"/>
      <w:lvlJc w:val="left"/>
      <w:pPr>
        <w:ind w:left="982" w:hanging="420"/>
      </w:pPr>
    </w:lvl>
    <w:lvl w:ilvl="2" w:tentative="0">
      <w:start w:val="1"/>
      <w:numFmt w:val="lowerRoman"/>
      <w:lvlText w:val="%3."/>
      <w:lvlJc w:val="right"/>
      <w:pPr>
        <w:ind w:left="1402" w:hanging="420"/>
      </w:pPr>
    </w:lvl>
    <w:lvl w:ilvl="3" w:tentative="0">
      <w:start w:val="1"/>
      <w:numFmt w:val="decimal"/>
      <w:lvlText w:val="%4."/>
      <w:lvlJc w:val="left"/>
      <w:pPr>
        <w:ind w:left="1822" w:hanging="420"/>
      </w:pPr>
    </w:lvl>
    <w:lvl w:ilvl="4" w:tentative="0">
      <w:start w:val="1"/>
      <w:numFmt w:val="lowerLetter"/>
      <w:lvlText w:val="%5)"/>
      <w:lvlJc w:val="left"/>
      <w:pPr>
        <w:ind w:left="2242" w:hanging="420"/>
      </w:pPr>
    </w:lvl>
    <w:lvl w:ilvl="5" w:tentative="0">
      <w:start w:val="1"/>
      <w:numFmt w:val="lowerRoman"/>
      <w:lvlText w:val="%6."/>
      <w:lvlJc w:val="right"/>
      <w:pPr>
        <w:ind w:left="2662" w:hanging="420"/>
      </w:pPr>
    </w:lvl>
    <w:lvl w:ilvl="6" w:tentative="0">
      <w:start w:val="1"/>
      <w:numFmt w:val="decimal"/>
      <w:lvlText w:val="%7."/>
      <w:lvlJc w:val="left"/>
      <w:pPr>
        <w:ind w:left="3082" w:hanging="420"/>
      </w:pPr>
    </w:lvl>
    <w:lvl w:ilvl="7" w:tentative="0">
      <w:start w:val="1"/>
      <w:numFmt w:val="lowerLetter"/>
      <w:lvlText w:val="%8)"/>
      <w:lvlJc w:val="left"/>
      <w:pPr>
        <w:ind w:left="3502" w:hanging="420"/>
      </w:pPr>
    </w:lvl>
    <w:lvl w:ilvl="8" w:tentative="0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57BBD"/>
    <w:rsid w:val="4235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2020-12-15T06:11:00Z</dcterms:created>
  <dc:creator>CathayMok</dc:creator>
  <cp:lastModifiedBy>CathayMok</cp:lastModifiedBy>
  <dcterms:modified xsi:type="dcterms:W3CDTF">2020-12-15T06:12:30Z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