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Times New Roman"/>
          <w:bCs/>
          <w:kern w:val="0"/>
          <w:sz w:val="28"/>
          <w:szCs w:val="28"/>
        </w:rPr>
      </w:pPr>
      <w:r>
        <w:rPr>
          <w:rFonts w:hint="eastAsia" w:ascii="黑体" w:hAnsi="黑体" w:eastAsia="黑体" w:cs="Times New Roman"/>
          <w:bCs/>
          <w:kern w:val="0"/>
          <w:sz w:val="28"/>
          <w:szCs w:val="28"/>
        </w:rPr>
        <w:t>附件2:</w:t>
      </w:r>
    </w:p>
    <w:p>
      <w:pPr>
        <w:jc w:val="center"/>
        <w:rPr>
          <w:rFonts w:ascii="黑体" w:hAnsi="黑体" w:eastAsia="黑体" w:cs="Times New Roman"/>
          <w:bCs/>
          <w:kern w:val="0"/>
          <w:sz w:val="28"/>
          <w:szCs w:val="28"/>
        </w:rPr>
      </w:pPr>
      <w:bookmarkStart w:id="0" w:name="_Hlk57884406"/>
      <w:r>
        <w:rPr>
          <w:rFonts w:hint="eastAsia" w:ascii="黑体" w:hAnsi="黑体" w:eastAsia="黑体" w:cs="Times New Roman"/>
          <w:bCs/>
          <w:kern w:val="0"/>
          <w:sz w:val="28"/>
          <w:szCs w:val="28"/>
        </w:rPr>
        <w:t>邀请参会单位名单</w:t>
      </w:r>
      <w:bookmarkEnd w:id="0"/>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9"/>
        <w:gridCol w:w="7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blHeader/>
          <w:jc w:val="center"/>
        </w:trPr>
        <w:tc>
          <w:tcPr>
            <w:tcW w:w="799" w:type="dxa"/>
            <w:tcBorders>
              <w:top w:val="single" w:color="auto" w:sz="8" w:space="0"/>
              <w:left w:val="single" w:color="auto" w:sz="8" w:space="0"/>
              <w:bottom w:val="single" w:color="auto" w:sz="8" w:space="0"/>
            </w:tcBorders>
            <w:vAlign w:val="center"/>
          </w:tcPr>
          <w:p>
            <w:pPr>
              <w:pStyle w:val="5"/>
              <w:ind w:firstLine="0" w:firstLineChars="0"/>
              <w:rPr>
                <w:rFonts w:ascii="宋体" w:hAnsi="宋体"/>
                <w:bCs/>
                <w:szCs w:val="21"/>
              </w:rPr>
            </w:pPr>
            <w:r>
              <w:rPr>
                <w:rFonts w:hint="eastAsia" w:ascii="宋体" w:hAnsi="宋体"/>
                <w:bCs/>
                <w:szCs w:val="21"/>
              </w:rPr>
              <w:t>序号</w:t>
            </w:r>
          </w:p>
        </w:tc>
        <w:tc>
          <w:tcPr>
            <w:tcW w:w="7276" w:type="dxa"/>
            <w:tcBorders>
              <w:top w:val="single" w:color="auto" w:sz="8" w:space="0"/>
              <w:bottom w:val="single" w:color="auto" w:sz="8" w:space="0"/>
              <w:right w:val="single" w:color="auto" w:sz="8" w:space="0"/>
            </w:tcBorders>
            <w:vAlign w:val="center"/>
          </w:tcPr>
          <w:p>
            <w:pPr>
              <w:jc w:val="center"/>
              <w:rPr>
                <w:rFonts w:ascii="宋体" w:hAnsi="宋体"/>
                <w:bCs/>
                <w:szCs w:val="21"/>
              </w:rPr>
            </w:pPr>
            <w:r>
              <w:rPr>
                <w:rFonts w:hint="eastAsia" w:ascii="宋体" w:hAnsi="宋体"/>
                <w:bCs/>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799" w:type="dxa"/>
            <w:tcBorders>
              <w:top w:val="single" w:color="auto" w:sz="8" w:space="0"/>
              <w:left w:val="single" w:color="auto" w:sz="8" w:space="0"/>
            </w:tcBorders>
            <w:vAlign w:val="center"/>
          </w:tcPr>
          <w:p>
            <w:pPr>
              <w:pStyle w:val="5"/>
              <w:numPr>
                <w:ilvl w:val="0"/>
                <w:numId w:val="1"/>
              </w:numPr>
              <w:ind w:firstLineChars="0"/>
              <w:jc w:val="center"/>
              <w:rPr>
                <w:rFonts w:ascii="宋体" w:hAnsi="宋体"/>
                <w:bCs/>
                <w:szCs w:val="21"/>
              </w:rPr>
            </w:pPr>
          </w:p>
        </w:tc>
        <w:tc>
          <w:tcPr>
            <w:tcW w:w="7276" w:type="dxa"/>
            <w:tcBorders>
              <w:top w:val="single" w:color="auto" w:sz="8" w:space="0"/>
              <w:right w:val="single" w:color="auto" w:sz="8" w:space="0"/>
            </w:tcBorders>
            <w:vAlign w:val="center"/>
          </w:tcPr>
          <w:p>
            <w:pPr>
              <w:jc w:val="center"/>
              <w:rPr>
                <w:rFonts w:ascii="宋体" w:hAnsi="宋体"/>
                <w:bCs/>
                <w:szCs w:val="21"/>
              </w:rPr>
            </w:pPr>
            <w:r>
              <w:rPr>
                <w:rFonts w:hint="eastAsia" w:ascii="宋体" w:hAnsi="宋体"/>
                <w:bCs/>
                <w:szCs w:val="21"/>
              </w:rPr>
              <w:t>发展改革委资源节约和环境保护司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799" w:type="dxa"/>
            <w:tcBorders>
              <w:left w:val="single" w:color="auto" w:sz="8" w:space="0"/>
            </w:tcBorders>
            <w:vAlign w:val="center"/>
          </w:tcPr>
          <w:p>
            <w:pPr>
              <w:pStyle w:val="5"/>
              <w:numPr>
                <w:ilvl w:val="0"/>
                <w:numId w:val="1"/>
              </w:numPr>
              <w:ind w:firstLineChars="0"/>
              <w:jc w:val="center"/>
              <w:rPr>
                <w:rFonts w:ascii="宋体" w:hAnsi="宋体"/>
                <w:bCs/>
                <w:szCs w:val="21"/>
              </w:rPr>
            </w:pPr>
          </w:p>
        </w:tc>
        <w:tc>
          <w:tcPr>
            <w:tcW w:w="7276" w:type="dxa"/>
            <w:tcBorders>
              <w:right w:val="single" w:color="auto" w:sz="8" w:space="0"/>
            </w:tcBorders>
            <w:vAlign w:val="center"/>
          </w:tcPr>
          <w:p>
            <w:pPr>
              <w:jc w:val="center"/>
              <w:rPr>
                <w:rFonts w:ascii="宋体" w:hAnsi="宋体"/>
                <w:bCs/>
                <w:szCs w:val="21"/>
              </w:rPr>
            </w:pPr>
            <w:bookmarkStart w:id="1" w:name="OLE_LINK3"/>
            <w:r>
              <w:rPr>
                <w:rFonts w:hint="eastAsia" w:ascii="宋体" w:hAnsi="宋体"/>
                <w:bCs/>
                <w:szCs w:val="21"/>
              </w:rPr>
              <w:t>生态环境部</w:t>
            </w:r>
            <w:bookmarkEnd w:id="1"/>
            <w:r>
              <w:rPr>
                <w:rFonts w:hint="eastAsia" w:ascii="宋体" w:hAnsi="宋体"/>
                <w:bCs/>
                <w:szCs w:val="21"/>
              </w:rPr>
              <w:t>固体废物与化学品司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799" w:type="dxa"/>
            <w:tcBorders>
              <w:left w:val="single" w:color="auto" w:sz="8" w:space="0"/>
            </w:tcBorders>
            <w:vAlign w:val="center"/>
          </w:tcPr>
          <w:p>
            <w:pPr>
              <w:pStyle w:val="5"/>
              <w:numPr>
                <w:ilvl w:val="0"/>
                <w:numId w:val="1"/>
              </w:numPr>
              <w:ind w:firstLineChars="0"/>
              <w:jc w:val="center"/>
              <w:rPr>
                <w:rFonts w:ascii="宋体" w:hAnsi="宋体"/>
                <w:bCs/>
                <w:szCs w:val="21"/>
              </w:rPr>
            </w:pPr>
          </w:p>
        </w:tc>
        <w:tc>
          <w:tcPr>
            <w:tcW w:w="7276" w:type="dxa"/>
            <w:tcBorders>
              <w:right w:val="single" w:color="auto" w:sz="8" w:space="0"/>
            </w:tcBorders>
            <w:vAlign w:val="center"/>
          </w:tcPr>
          <w:p>
            <w:pPr>
              <w:jc w:val="center"/>
              <w:rPr>
                <w:rFonts w:ascii="宋体" w:hAnsi="宋体"/>
                <w:bCs/>
                <w:szCs w:val="21"/>
              </w:rPr>
            </w:pPr>
            <w:r>
              <w:rPr>
                <w:rFonts w:hint="eastAsia" w:ascii="宋体" w:hAnsi="宋体"/>
                <w:bCs/>
                <w:szCs w:val="21"/>
              </w:rPr>
              <w:t>商务部办公厅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799" w:type="dxa"/>
            <w:tcBorders>
              <w:left w:val="single" w:color="auto" w:sz="8" w:space="0"/>
            </w:tcBorders>
            <w:vAlign w:val="center"/>
          </w:tcPr>
          <w:p>
            <w:pPr>
              <w:pStyle w:val="5"/>
              <w:numPr>
                <w:ilvl w:val="0"/>
                <w:numId w:val="1"/>
              </w:numPr>
              <w:ind w:firstLineChars="0"/>
              <w:jc w:val="center"/>
              <w:rPr>
                <w:rFonts w:ascii="宋体" w:hAnsi="宋体"/>
                <w:bCs/>
                <w:szCs w:val="21"/>
              </w:rPr>
            </w:pPr>
          </w:p>
        </w:tc>
        <w:tc>
          <w:tcPr>
            <w:tcW w:w="7276" w:type="dxa"/>
            <w:tcBorders>
              <w:right w:val="single" w:color="auto" w:sz="8" w:space="0"/>
            </w:tcBorders>
            <w:vAlign w:val="center"/>
          </w:tcPr>
          <w:p>
            <w:pPr>
              <w:jc w:val="center"/>
              <w:rPr>
                <w:rFonts w:ascii="宋体" w:hAnsi="宋体"/>
                <w:bCs/>
                <w:szCs w:val="21"/>
              </w:rPr>
            </w:pPr>
            <w:bookmarkStart w:id="2" w:name="_Hlk16669948"/>
            <w:r>
              <w:rPr>
                <w:rFonts w:hint="eastAsia" w:ascii="宋体" w:hAnsi="宋体"/>
                <w:bCs/>
                <w:szCs w:val="21"/>
              </w:rPr>
              <w:t>海关总署</w:t>
            </w:r>
            <w:bookmarkEnd w:id="2"/>
            <w:r>
              <w:rPr>
                <w:rFonts w:hint="eastAsia" w:ascii="宋体" w:hAnsi="宋体"/>
                <w:bCs/>
                <w:szCs w:val="21"/>
              </w:rPr>
              <w:t>办公厅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99" w:type="dxa"/>
            <w:tcBorders>
              <w:left w:val="single" w:color="auto" w:sz="8" w:space="0"/>
            </w:tcBorders>
            <w:vAlign w:val="center"/>
          </w:tcPr>
          <w:p>
            <w:pPr>
              <w:pStyle w:val="5"/>
              <w:numPr>
                <w:ilvl w:val="0"/>
                <w:numId w:val="1"/>
              </w:numPr>
              <w:ind w:firstLineChars="0"/>
              <w:jc w:val="center"/>
              <w:rPr>
                <w:rFonts w:ascii="宋体" w:hAnsi="宋体"/>
                <w:bCs/>
                <w:szCs w:val="21"/>
              </w:rPr>
            </w:pPr>
          </w:p>
        </w:tc>
        <w:tc>
          <w:tcPr>
            <w:tcW w:w="7276" w:type="dxa"/>
            <w:tcBorders>
              <w:right w:val="single" w:color="auto" w:sz="8" w:space="0"/>
            </w:tcBorders>
            <w:vAlign w:val="center"/>
          </w:tcPr>
          <w:p>
            <w:pPr>
              <w:jc w:val="center"/>
              <w:rPr>
                <w:rFonts w:ascii="宋体" w:hAnsi="宋体"/>
                <w:bCs/>
                <w:szCs w:val="21"/>
              </w:rPr>
            </w:pPr>
            <w:r>
              <w:rPr>
                <w:rFonts w:hint="eastAsia" w:ascii="宋体" w:hAnsi="宋体"/>
                <w:bCs/>
                <w:szCs w:val="21"/>
              </w:rPr>
              <w:t>生态环境部固废管理中心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99" w:type="dxa"/>
            <w:tcBorders>
              <w:left w:val="single" w:color="auto" w:sz="8" w:space="0"/>
            </w:tcBorders>
            <w:vAlign w:val="center"/>
          </w:tcPr>
          <w:p>
            <w:pPr>
              <w:pStyle w:val="5"/>
              <w:numPr>
                <w:ilvl w:val="0"/>
                <w:numId w:val="1"/>
              </w:numPr>
              <w:ind w:firstLineChars="0"/>
              <w:jc w:val="center"/>
              <w:rPr>
                <w:rFonts w:ascii="宋体" w:hAnsi="宋体"/>
                <w:bCs/>
                <w:szCs w:val="21"/>
              </w:rPr>
            </w:pPr>
          </w:p>
        </w:tc>
        <w:tc>
          <w:tcPr>
            <w:tcW w:w="7276" w:type="dxa"/>
            <w:tcBorders>
              <w:right w:val="single" w:color="auto" w:sz="8" w:space="0"/>
            </w:tcBorders>
            <w:vAlign w:val="center"/>
          </w:tcPr>
          <w:p>
            <w:pPr>
              <w:jc w:val="center"/>
              <w:rPr>
                <w:rFonts w:ascii="宋体" w:hAnsi="宋体"/>
                <w:bCs/>
                <w:szCs w:val="21"/>
              </w:rPr>
            </w:pPr>
            <w:bookmarkStart w:id="3" w:name="OLE_LINK4"/>
            <w:r>
              <w:rPr>
                <w:rFonts w:hint="eastAsia" w:ascii="宋体" w:hAnsi="宋体"/>
                <w:bCs/>
                <w:szCs w:val="21"/>
              </w:rPr>
              <w:t>工业和信息化部原材料工业司</w:t>
            </w:r>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799" w:type="dxa"/>
            <w:tcBorders>
              <w:left w:val="single" w:color="auto" w:sz="8" w:space="0"/>
            </w:tcBorders>
            <w:vAlign w:val="center"/>
          </w:tcPr>
          <w:p>
            <w:pPr>
              <w:pStyle w:val="5"/>
              <w:numPr>
                <w:ilvl w:val="0"/>
                <w:numId w:val="1"/>
              </w:numPr>
              <w:ind w:firstLineChars="0"/>
              <w:jc w:val="center"/>
              <w:rPr>
                <w:rFonts w:ascii="宋体" w:hAnsi="宋体"/>
                <w:bCs/>
                <w:szCs w:val="21"/>
              </w:rPr>
            </w:pPr>
          </w:p>
        </w:tc>
        <w:tc>
          <w:tcPr>
            <w:tcW w:w="7276" w:type="dxa"/>
            <w:tcBorders>
              <w:right w:val="single" w:color="auto" w:sz="8" w:space="0"/>
            </w:tcBorders>
            <w:vAlign w:val="center"/>
          </w:tcPr>
          <w:p>
            <w:pPr>
              <w:jc w:val="center"/>
              <w:rPr>
                <w:rFonts w:ascii="宋体" w:hAnsi="宋体"/>
                <w:bCs/>
                <w:szCs w:val="21"/>
              </w:rPr>
            </w:pPr>
            <w:r>
              <w:rPr>
                <w:rFonts w:hint="eastAsia" w:ascii="宋体" w:hAnsi="宋体"/>
                <w:bCs/>
                <w:szCs w:val="21"/>
              </w:rPr>
              <w:t>广州海关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799" w:type="dxa"/>
            <w:tcBorders>
              <w:left w:val="single" w:color="auto" w:sz="8" w:space="0"/>
            </w:tcBorders>
            <w:vAlign w:val="center"/>
          </w:tcPr>
          <w:p>
            <w:pPr>
              <w:pStyle w:val="5"/>
              <w:numPr>
                <w:ilvl w:val="0"/>
                <w:numId w:val="1"/>
              </w:numPr>
              <w:ind w:firstLineChars="0"/>
              <w:jc w:val="center"/>
              <w:rPr>
                <w:rFonts w:ascii="宋体" w:hAnsi="宋体"/>
                <w:bCs/>
                <w:szCs w:val="21"/>
              </w:rPr>
            </w:pPr>
          </w:p>
        </w:tc>
        <w:tc>
          <w:tcPr>
            <w:tcW w:w="7276" w:type="dxa"/>
            <w:tcBorders>
              <w:right w:val="single" w:color="auto" w:sz="8" w:space="0"/>
            </w:tcBorders>
            <w:vAlign w:val="center"/>
          </w:tcPr>
          <w:p>
            <w:pPr>
              <w:jc w:val="center"/>
              <w:rPr>
                <w:rFonts w:ascii="宋体" w:hAnsi="宋体"/>
                <w:bCs/>
                <w:szCs w:val="21"/>
              </w:rPr>
            </w:pPr>
            <w:r>
              <w:rPr>
                <w:rFonts w:hint="eastAsia" w:ascii="宋体" w:hAnsi="宋体"/>
                <w:bCs/>
                <w:szCs w:val="21"/>
              </w:rPr>
              <w:t>青岛海关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799" w:type="dxa"/>
            <w:tcBorders>
              <w:left w:val="single" w:color="auto" w:sz="8" w:space="0"/>
            </w:tcBorders>
            <w:vAlign w:val="center"/>
          </w:tcPr>
          <w:p>
            <w:pPr>
              <w:pStyle w:val="5"/>
              <w:numPr>
                <w:ilvl w:val="0"/>
                <w:numId w:val="1"/>
              </w:numPr>
              <w:ind w:firstLineChars="0"/>
              <w:jc w:val="center"/>
              <w:rPr>
                <w:rFonts w:ascii="宋体" w:hAnsi="宋体"/>
                <w:bCs/>
                <w:szCs w:val="21"/>
              </w:rPr>
            </w:pPr>
          </w:p>
        </w:tc>
        <w:tc>
          <w:tcPr>
            <w:tcW w:w="7276" w:type="dxa"/>
            <w:tcBorders>
              <w:right w:val="single" w:color="auto" w:sz="8" w:space="0"/>
            </w:tcBorders>
            <w:vAlign w:val="center"/>
          </w:tcPr>
          <w:p>
            <w:pPr>
              <w:jc w:val="center"/>
              <w:rPr>
                <w:rFonts w:ascii="宋体" w:hAnsi="宋体"/>
                <w:bCs/>
                <w:szCs w:val="21"/>
              </w:rPr>
            </w:pPr>
            <w:r>
              <w:rPr>
                <w:rFonts w:hint="eastAsia" w:ascii="宋体" w:hAnsi="宋体"/>
                <w:bCs/>
                <w:szCs w:val="21"/>
              </w:rPr>
              <w:t>上海海关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799" w:type="dxa"/>
            <w:tcBorders>
              <w:left w:val="single" w:color="auto" w:sz="8" w:space="0"/>
            </w:tcBorders>
            <w:vAlign w:val="center"/>
          </w:tcPr>
          <w:p>
            <w:pPr>
              <w:pStyle w:val="5"/>
              <w:numPr>
                <w:ilvl w:val="0"/>
                <w:numId w:val="1"/>
              </w:numPr>
              <w:ind w:firstLineChars="0"/>
              <w:jc w:val="center"/>
              <w:rPr>
                <w:rFonts w:ascii="宋体" w:hAnsi="宋体"/>
                <w:bCs/>
                <w:szCs w:val="21"/>
              </w:rPr>
            </w:pPr>
          </w:p>
        </w:tc>
        <w:tc>
          <w:tcPr>
            <w:tcW w:w="7276" w:type="dxa"/>
            <w:tcBorders>
              <w:right w:val="single" w:color="auto" w:sz="8" w:space="0"/>
            </w:tcBorders>
            <w:vAlign w:val="center"/>
          </w:tcPr>
          <w:p>
            <w:pPr>
              <w:jc w:val="center"/>
              <w:rPr>
                <w:rFonts w:ascii="宋体" w:hAnsi="宋体"/>
                <w:bCs/>
                <w:szCs w:val="21"/>
              </w:rPr>
            </w:pPr>
            <w:r>
              <w:rPr>
                <w:rFonts w:hint="eastAsia" w:ascii="宋体" w:hAnsi="宋体"/>
                <w:bCs/>
                <w:szCs w:val="21"/>
              </w:rPr>
              <w:t>宁波海关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799" w:type="dxa"/>
            <w:tcBorders>
              <w:left w:val="single" w:color="auto" w:sz="8" w:space="0"/>
            </w:tcBorders>
            <w:vAlign w:val="center"/>
          </w:tcPr>
          <w:p>
            <w:pPr>
              <w:pStyle w:val="5"/>
              <w:numPr>
                <w:ilvl w:val="0"/>
                <w:numId w:val="1"/>
              </w:numPr>
              <w:ind w:firstLineChars="0"/>
              <w:jc w:val="center"/>
              <w:rPr>
                <w:rFonts w:ascii="宋体" w:hAnsi="宋体"/>
                <w:bCs/>
                <w:szCs w:val="21"/>
              </w:rPr>
            </w:pPr>
          </w:p>
        </w:tc>
        <w:tc>
          <w:tcPr>
            <w:tcW w:w="7276" w:type="dxa"/>
            <w:tcBorders>
              <w:right w:val="single" w:color="auto" w:sz="8" w:space="0"/>
            </w:tcBorders>
            <w:vAlign w:val="center"/>
          </w:tcPr>
          <w:p>
            <w:pPr>
              <w:jc w:val="center"/>
              <w:rPr>
                <w:rFonts w:ascii="宋体" w:hAnsi="宋体"/>
                <w:bCs/>
                <w:szCs w:val="21"/>
              </w:rPr>
            </w:pPr>
            <w:r>
              <w:rPr>
                <w:rFonts w:hint="eastAsia" w:ascii="宋体" w:hAnsi="宋体"/>
                <w:bCs/>
                <w:szCs w:val="21"/>
              </w:rPr>
              <w:t>广州海关检验检疫技术中心</w:t>
            </w:r>
          </w:p>
          <w:p>
            <w:pPr>
              <w:jc w:val="center"/>
              <w:rPr>
                <w:rFonts w:ascii="宋体" w:hAnsi="宋体"/>
                <w:bCs/>
                <w:szCs w:val="21"/>
              </w:rPr>
            </w:pPr>
            <w:r>
              <w:rPr>
                <w:rFonts w:hint="eastAsia" w:ascii="宋体" w:hAnsi="宋体"/>
                <w:bCs/>
                <w:szCs w:val="21"/>
              </w:rPr>
              <w:t>（原广东出入境检验检疫局检验检疫技术中心）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799" w:type="dxa"/>
            <w:tcBorders>
              <w:left w:val="single" w:color="auto" w:sz="8" w:space="0"/>
            </w:tcBorders>
            <w:vAlign w:val="center"/>
          </w:tcPr>
          <w:p>
            <w:pPr>
              <w:pStyle w:val="5"/>
              <w:numPr>
                <w:ilvl w:val="0"/>
                <w:numId w:val="1"/>
              </w:numPr>
              <w:ind w:firstLineChars="0"/>
              <w:jc w:val="center"/>
              <w:rPr>
                <w:rFonts w:ascii="宋体" w:hAnsi="宋体"/>
                <w:bCs/>
                <w:szCs w:val="21"/>
              </w:rPr>
            </w:pPr>
          </w:p>
        </w:tc>
        <w:tc>
          <w:tcPr>
            <w:tcW w:w="7276" w:type="dxa"/>
            <w:tcBorders>
              <w:right w:val="single" w:color="auto" w:sz="8" w:space="0"/>
            </w:tcBorders>
            <w:vAlign w:val="center"/>
          </w:tcPr>
          <w:p>
            <w:pPr>
              <w:jc w:val="center"/>
              <w:rPr>
                <w:rFonts w:ascii="宋体" w:hAnsi="宋体"/>
                <w:bCs/>
                <w:szCs w:val="21"/>
              </w:rPr>
            </w:pPr>
            <w:r>
              <w:rPr>
                <w:rFonts w:hint="eastAsia" w:ascii="宋体" w:hAnsi="宋体"/>
                <w:bCs/>
                <w:szCs w:val="21"/>
              </w:rPr>
              <w:t>青岛海关技术中心（原山东出入境检验检疫局检验检疫技术中心）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799" w:type="dxa"/>
            <w:tcBorders>
              <w:left w:val="single" w:color="auto" w:sz="8" w:space="0"/>
            </w:tcBorders>
            <w:vAlign w:val="center"/>
          </w:tcPr>
          <w:p>
            <w:pPr>
              <w:pStyle w:val="5"/>
              <w:numPr>
                <w:ilvl w:val="0"/>
                <w:numId w:val="1"/>
              </w:numPr>
              <w:ind w:firstLineChars="0"/>
              <w:jc w:val="center"/>
              <w:rPr>
                <w:rFonts w:ascii="宋体" w:hAnsi="宋体"/>
                <w:bCs/>
                <w:szCs w:val="21"/>
              </w:rPr>
            </w:pPr>
          </w:p>
        </w:tc>
        <w:tc>
          <w:tcPr>
            <w:tcW w:w="7276" w:type="dxa"/>
            <w:tcBorders>
              <w:right w:val="single" w:color="auto" w:sz="8" w:space="0"/>
            </w:tcBorders>
            <w:vAlign w:val="center"/>
          </w:tcPr>
          <w:p>
            <w:pPr>
              <w:jc w:val="center"/>
              <w:rPr>
                <w:rFonts w:ascii="宋体" w:hAnsi="宋体"/>
                <w:bCs/>
                <w:szCs w:val="21"/>
              </w:rPr>
            </w:pPr>
            <w:r>
              <w:rPr>
                <w:rFonts w:hint="eastAsia" w:ascii="宋体" w:hAnsi="宋体"/>
                <w:bCs/>
                <w:szCs w:val="21"/>
              </w:rPr>
              <w:t>宁波海关技术中心（原宁波出入境检验检疫技术中心）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799" w:type="dxa"/>
            <w:tcBorders>
              <w:left w:val="single" w:color="auto" w:sz="8" w:space="0"/>
            </w:tcBorders>
            <w:vAlign w:val="center"/>
          </w:tcPr>
          <w:p>
            <w:pPr>
              <w:pStyle w:val="5"/>
              <w:numPr>
                <w:ilvl w:val="0"/>
                <w:numId w:val="1"/>
              </w:numPr>
              <w:ind w:firstLineChars="0"/>
              <w:jc w:val="center"/>
              <w:rPr>
                <w:rFonts w:ascii="宋体" w:hAnsi="宋体"/>
                <w:bCs/>
                <w:szCs w:val="21"/>
              </w:rPr>
            </w:pPr>
          </w:p>
        </w:tc>
        <w:tc>
          <w:tcPr>
            <w:tcW w:w="7276" w:type="dxa"/>
            <w:tcBorders>
              <w:right w:val="single" w:color="auto" w:sz="8" w:space="0"/>
            </w:tcBorders>
            <w:vAlign w:val="center"/>
          </w:tcPr>
          <w:p>
            <w:pPr>
              <w:jc w:val="center"/>
              <w:rPr>
                <w:rFonts w:ascii="宋体" w:hAnsi="宋体"/>
                <w:bCs/>
                <w:szCs w:val="21"/>
              </w:rPr>
            </w:pPr>
            <w:r>
              <w:rPr>
                <w:rFonts w:hint="eastAsia" w:ascii="宋体" w:hAnsi="宋体"/>
                <w:bCs/>
                <w:szCs w:val="21"/>
              </w:rPr>
              <w:t>深圳海关工业品检测技术中心</w:t>
            </w:r>
          </w:p>
          <w:p>
            <w:pPr>
              <w:jc w:val="center"/>
              <w:rPr>
                <w:rFonts w:ascii="宋体" w:hAnsi="宋体"/>
                <w:bCs/>
                <w:szCs w:val="21"/>
              </w:rPr>
            </w:pPr>
            <w:r>
              <w:rPr>
                <w:rFonts w:hint="eastAsia" w:ascii="宋体" w:hAnsi="宋体"/>
                <w:bCs/>
                <w:szCs w:val="21"/>
              </w:rPr>
              <w:t>（原深圳出入境检验检疫局工业品检测技术中心再生原料检验鉴定实验室）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799" w:type="dxa"/>
            <w:tcBorders>
              <w:left w:val="single" w:color="auto" w:sz="8" w:space="0"/>
            </w:tcBorders>
            <w:vAlign w:val="center"/>
          </w:tcPr>
          <w:p>
            <w:pPr>
              <w:pStyle w:val="5"/>
              <w:numPr>
                <w:ilvl w:val="0"/>
                <w:numId w:val="1"/>
              </w:numPr>
              <w:ind w:firstLineChars="0"/>
              <w:jc w:val="center"/>
              <w:rPr>
                <w:rFonts w:ascii="宋体" w:hAnsi="宋体"/>
                <w:bCs/>
                <w:szCs w:val="21"/>
              </w:rPr>
            </w:pPr>
          </w:p>
        </w:tc>
        <w:tc>
          <w:tcPr>
            <w:tcW w:w="7276" w:type="dxa"/>
            <w:tcBorders>
              <w:right w:val="single" w:color="auto" w:sz="8" w:space="0"/>
            </w:tcBorders>
            <w:vAlign w:val="center"/>
          </w:tcPr>
          <w:p>
            <w:pPr>
              <w:jc w:val="center"/>
              <w:rPr>
                <w:rFonts w:ascii="宋体" w:hAnsi="宋体"/>
                <w:bCs/>
                <w:szCs w:val="21"/>
              </w:rPr>
            </w:pPr>
            <w:r>
              <w:rPr>
                <w:rFonts w:hint="eastAsia" w:ascii="宋体" w:hAnsi="宋体"/>
                <w:bCs/>
                <w:szCs w:val="21"/>
              </w:rPr>
              <w:t>常熟海关综合技术服务中心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799" w:type="dxa"/>
            <w:tcBorders>
              <w:left w:val="single" w:color="auto" w:sz="8" w:space="0"/>
            </w:tcBorders>
            <w:vAlign w:val="center"/>
          </w:tcPr>
          <w:p>
            <w:pPr>
              <w:pStyle w:val="5"/>
              <w:numPr>
                <w:ilvl w:val="0"/>
                <w:numId w:val="1"/>
              </w:numPr>
              <w:ind w:firstLineChars="0"/>
              <w:jc w:val="center"/>
              <w:rPr>
                <w:rFonts w:ascii="宋体" w:hAnsi="宋体"/>
                <w:bCs/>
                <w:szCs w:val="21"/>
              </w:rPr>
            </w:pPr>
          </w:p>
        </w:tc>
        <w:tc>
          <w:tcPr>
            <w:tcW w:w="7276" w:type="dxa"/>
            <w:tcBorders>
              <w:right w:val="single" w:color="auto" w:sz="8" w:space="0"/>
            </w:tcBorders>
            <w:vAlign w:val="center"/>
          </w:tcPr>
          <w:p>
            <w:pPr>
              <w:jc w:val="center"/>
              <w:rPr>
                <w:rFonts w:ascii="宋体" w:hAnsi="宋体"/>
                <w:bCs/>
                <w:szCs w:val="21"/>
              </w:rPr>
            </w:pPr>
            <w:r>
              <w:rPr>
                <w:rFonts w:hint="eastAsia" w:ascii="宋体" w:hAnsi="宋体"/>
                <w:bCs/>
                <w:szCs w:val="21"/>
              </w:rPr>
              <w:t>南京海关工业产品检测中心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799" w:type="dxa"/>
            <w:tcBorders>
              <w:left w:val="single" w:color="auto" w:sz="8" w:space="0"/>
            </w:tcBorders>
            <w:vAlign w:val="center"/>
          </w:tcPr>
          <w:p>
            <w:pPr>
              <w:pStyle w:val="5"/>
              <w:numPr>
                <w:ilvl w:val="0"/>
                <w:numId w:val="1"/>
              </w:numPr>
              <w:ind w:firstLineChars="0"/>
              <w:jc w:val="center"/>
              <w:rPr>
                <w:rFonts w:ascii="宋体" w:hAnsi="宋体"/>
                <w:bCs/>
                <w:szCs w:val="21"/>
              </w:rPr>
            </w:pPr>
          </w:p>
        </w:tc>
        <w:tc>
          <w:tcPr>
            <w:tcW w:w="7276" w:type="dxa"/>
            <w:tcBorders>
              <w:right w:val="single" w:color="auto" w:sz="8" w:space="0"/>
            </w:tcBorders>
            <w:vAlign w:val="center"/>
          </w:tcPr>
          <w:p>
            <w:pPr>
              <w:jc w:val="center"/>
              <w:rPr>
                <w:rFonts w:ascii="宋体" w:hAnsi="宋体"/>
                <w:bCs/>
                <w:szCs w:val="21"/>
              </w:rPr>
            </w:pPr>
            <w:r>
              <w:rPr>
                <w:rFonts w:hint="eastAsia" w:ascii="宋体" w:hAnsi="宋体"/>
                <w:bCs/>
                <w:szCs w:val="21"/>
              </w:rPr>
              <w:t>中国铝业公司科技部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799" w:type="dxa"/>
            <w:tcBorders>
              <w:left w:val="single" w:color="auto" w:sz="8" w:space="0"/>
            </w:tcBorders>
            <w:vAlign w:val="center"/>
          </w:tcPr>
          <w:p>
            <w:pPr>
              <w:pStyle w:val="5"/>
              <w:numPr>
                <w:ilvl w:val="0"/>
                <w:numId w:val="1"/>
              </w:numPr>
              <w:ind w:firstLineChars="0"/>
              <w:jc w:val="center"/>
              <w:rPr>
                <w:rFonts w:ascii="宋体" w:hAnsi="宋体"/>
                <w:bCs/>
                <w:szCs w:val="21"/>
              </w:rPr>
            </w:pPr>
          </w:p>
        </w:tc>
        <w:tc>
          <w:tcPr>
            <w:tcW w:w="7276" w:type="dxa"/>
            <w:tcBorders>
              <w:right w:val="single" w:color="auto" w:sz="8" w:space="0"/>
            </w:tcBorders>
            <w:vAlign w:val="center"/>
          </w:tcPr>
          <w:p>
            <w:pPr>
              <w:jc w:val="center"/>
              <w:rPr>
                <w:rFonts w:ascii="宋体" w:hAnsi="宋体"/>
                <w:bCs/>
                <w:szCs w:val="21"/>
              </w:rPr>
            </w:pPr>
            <w:r>
              <w:rPr>
                <w:rFonts w:hint="eastAsia" w:ascii="宋体" w:hAnsi="宋体"/>
                <w:bCs/>
                <w:szCs w:val="21"/>
              </w:rPr>
              <w:t>上海铝业行业协会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799" w:type="dxa"/>
            <w:tcBorders>
              <w:left w:val="single" w:color="auto" w:sz="8" w:space="0"/>
            </w:tcBorders>
            <w:vAlign w:val="center"/>
          </w:tcPr>
          <w:p>
            <w:pPr>
              <w:pStyle w:val="5"/>
              <w:numPr>
                <w:ilvl w:val="0"/>
                <w:numId w:val="1"/>
              </w:numPr>
              <w:ind w:firstLineChars="0"/>
              <w:jc w:val="center"/>
              <w:rPr>
                <w:rFonts w:ascii="宋体" w:hAnsi="宋体"/>
                <w:bCs/>
                <w:szCs w:val="21"/>
              </w:rPr>
            </w:pPr>
          </w:p>
        </w:tc>
        <w:tc>
          <w:tcPr>
            <w:tcW w:w="7276" w:type="dxa"/>
            <w:tcBorders>
              <w:right w:val="single" w:color="auto" w:sz="8" w:space="0"/>
            </w:tcBorders>
            <w:vAlign w:val="center"/>
          </w:tcPr>
          <w:p>
            <w:pPr>
              <w:jc w:val="center"/>
              <w:rPr>
                <w:rFonts w:ascii="宋体" w:hAnsi="宋体"/>
                <w:bCs/>
                <w:szCs w:val="21"/>
              </w:rPr>
            </w:pPr>
            <w:r>
              <w:rPr>
                <w:rFonts w:hint="eastAsia" w:ascii="宋体" w:hAnsi="宋体"/>
                <w:bCs/>
                <w:szCs w:val="21"/>
              </w:rPr>
              <w:t>上海新格有色金属有限公司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799" w:type="dxa"/>
            <w:tcBorders>
              <w:left w:val="single" w:color="auto" w:sz="8" w:space="0"/>
            </w:tcBorders>
            <w:vAlign w:val="center"/>
          </w:tcPr>
          <w:p>
            <w:pPr>
              <w:pStyle w:val="5"/>
              <w:numPr>
                <w:ilvl w:val="0"/>
                <w:numId w:val="1"/>
              </w:numPr>
              <w:ind w:firstLineChars="0"/>
              <w:jc w:val="center"/>
              <w:rPr>
                <w:rFonts w:ascii="宋体" w:hAnsi="宋体"/>
                <w:bCs/>
                <w:szCs w:val="21"/>
              </w:rPr>
            </w:pPr>
          </w:p>
        </w:tc>
        <w:tc>
          <w:tcPr>
            <w:tcW w:w="7276" w:type="dxa"/>
            <w:tcBorders>
              <w:right w:val="single" w:color="auto" w:sz="8" w:space="0"/>
            </w:tcBorders>
            <w:vAlign w:val="center"/>
          </w:tcPr>
          <w:p>
            <w:pPr>
              <w:jc w:val="center"/>
              <w:rPr>
                <w:rFonts w:ascii="宋体" w:hAnsi="宋体"/>
                <w:bCs/>
                <w:szCs w:val="21"/>
              </w:rPr>
            </w:pPr>
            <w:r>
              <w:rPr>
                <w:rFonts w:hint="eastAsia" w:ascii="宋体" w:hAnsi="宋体"/>
                <w:bCs/>
                <w:szCs w:val="21"/>
              </w:rPr>
              <w:t>重庆剑涛铝业有限公司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799" w:type="dxa"/>
            <w:tcBorders>
              <w:left w:val="single" w:color="auto" w:sz="8" w:space="0"/>
            </w:tcBorders>
            <w:vAlign w:val="center"/>
          </w:tcPr>
          <w:p>
            <w:pPr>
              <w:pStyle w:val="5"/>
              <w:numPr>
                <w:ilvl w:val="0"/>
                <w:numId w:val="1"/>
              </w:numPr>
              <w:ind w:firstLineChars="0"/>
              <w:jc w:val="center"/>
              <w:rPr>
                <w:rFonts w:ascii="宋体" w:hAnsi="宋体"/>
                <w:bCs/>
                <w:szCs w:val="21"/>
              </w:rPr>
            </w:pPr>
          </w:p>
        </w:tc>
        <w:tc>
          <w:tcPr>
            <w:tcW w:w="7276" w:type="dxa"/>
            <w:tcBorders>
              <w:right w:val="single" w:color="auto" w:sz="8" w:space="0"/>
            </w:tcBorders>
            <w:vAlign w:val="center"/>
          </w:tcPr>
          <w:p>
            <w:pPr>
              <w:jc w:val="center"/>
              <w:rPr>
                <w:rFonts w:ascii="宋体" w:hAnsi="宋体"/>
                <w:bCs/>
                <w:szCs w:val="21"/>
              </w:rPr>
            </w:pPr>
            <w:r>
              <w:rPr>
                <w:rFonts w:hint="eastAsia" w:ascii="宋体" w:hAnsi="宋体"/>
                <w:bCs/>
                <w:szCs w:val="21"/>
              </w:rPr>
              <w:t>重庆顺博铝合金股份有限公司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799" w:type="dxa"/>
            <w:tcBorders>
              <w:left w:val="single" w:color="auto" w:sz="8" w:space="0"/>
            </w:tcBorders>
            <w:vAlign w:val="center"/>
          </w:tcPr>
          <w:p>
            <w:pPr>
              <w:pStyle w:val="5"/>
              <w:numPr>
                <w:ilvl w:val="0"/>
                <w:numId w:val="1"/>
              </w:numPr>
              <w:ind w:firstLineChars="0"/>
              <w:jc w:val="center"/>
              <w:rPr>
                <w:rFonts w:ascii="宋体" w:hAnsi="宋体"/>
                <w:bCs/>
                <w:szCs w:val="21"/>
              </w:rPr>
            </w:pPr>
          </w:p>
        </w:tc>
        <w:tc>
          <w:tcPr>
            <w:tcW w:w="7276" w:type="dxa"/>
            <w:tcBorders>
              <w:right w:val="single" w:color="auto" w:sz="8" w:space="0"/>
            </w:tcBorders>
            <w:vAlign w:val="center"/>
          </w:tcPr>
          <w:p>
            <w:pPr>
              <w:jc w:val="center"/>
              <w:rPr>
                <w:rFonts w:ascii="宋体" w:hAnsi="宋体"/>
                <w:bCs/>
                <w:szCs w:val="21"/>
              </w:rPr>
            </w:pPr>
            <w:r>
              <w:rPr>
                <w:rFonts w:hint="eastAsia" w:ascii="宋体" w:hAnsi="宋体"/>
                <w:bCs/>
                <w:szCs w:val="21"/>
              </w:rPr>
              <w:t>肇庆市乾胜铝业有限公司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799" w:type="dxa"/>
            <w:tcBorders>
              <w:left w:val="single" w:color="auto" w:sz="8" w:space="0"/>
            </w:tcBorders>
            <w:vAlign w:val="center"/>
          </w:tcPr>
          <w:p>
            <w:pPr>
              <w:pStyle w:val="5"/>
              <w:numPr>
                <w:ilvl w:val="0"/>
                <w:numId w:val="1"/>
              </w:numPr>
              <w:ind w:firstLineChars="0"/>
              <w:jc w:val="center"/>
              <w:rPr>
                <w:rFonts w:ascii="宋体" w:hAnsi="宋体"/>
                <w:bCs/>
                <w:szCs w:val="21"/>
              </w:rPr>
            </w:pPr>
          </w:p>
        </w:tc>
        <w:tc>
          <w:tcPr>
            <w:tcW w:w="7276" w:type="dxa"/>
            <w:tcBorders>
              <w:right w:val="single" w:color="auto" w:sz="8" w:space="0"/>
            </w:tcBorders>
            <w:vAlign w:val="center"/>
          </w:tcPr>
          <w:p>
            <w:pPr>
              <w:jc w:val="center"/>
              <w:rPr>
                <w:rFonts w:ascii="宋体" w:hAnsi="宋体"/>
                <w:bCs/>
                <w:szCs w:val="21"/>
              </w:rPr>
            </w:pPr>
            <w:r>
              <w:rPr>
                <w:rFonts w:hint="eastAsia" w:ascii="宋体" w:hAnsi="宋体"/>
                <w:bCs/>
                <w:szCs w:val="21"/>
              </w:rPr>
              <w:t>河南明泰铝业股份有限公司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799" w:type="dxa"/>
            <w:tcBorders>
              <w:left w:val="single" w:color="auto" w:sz="8" w:space="0"/>
            </w:tcBorders>
            <w:vAlign w:val="center"/>
          </w:tcPr>
          <w:p>
            <w:pPr>
              <w:pStyle w:val="5"/>
              <w:numPr>
                <w:ilvl w:val="0"/>
                <w:numId w:val="1"/>
              </w:numPr>
              <w:ind w:firstLineChars="0"/>
              <w:jc w:val="center"/>
              <w:rPr>
                <w:rFonts w:ascii="宋体" w:hAnsi="宋体"/>
                <w:bCs/>
                <w:szCs w:val="21"/>
              </w:rPr>
            </w:pPr>
          </w:p>
        </w:tc>
        <w:tc>
          <w:tcPr>
            <w:tcW w:w="7276" w:type="dxa"/>
            <w:tcBorders>
              <w:right w:val="single" w:color="auto" w:sz="8" w:space="0"/>
            </w:tcBorders>
            <w:vAlign w:val="center"/>
          </w:tcPr>
          <w:p>
            <w:pPr>
              <w:jc w:val="center"/>
              <w:rPr>
                <w:rFonts w:ascii="宋体" w:hAnsi="宋体"/>
                <w:bCs/>
                <w:szCs w:val="21"/>
              </w:rPr>
            </w:pPr>
            <w:r>
              <w:rPr>
                <w:rFonts w:hint="eastAsia" w:ascii="宋体" w:hAnsi="宋体"/>
                <w:bCs/>
                <w:szCs w:val="21"/>
              </w:rPr>
              <w:t>广东隆达铝业有限公司</w:t>
            </w:r>
          </w:p>
        </w:tc>
      </w:tr>
    </w:tbl>
    <w:p>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043DA"/>
    <w:multiLevelType w:val="multilevel"/>
    <w:tmpl w:val="51E043D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3D16C3"/>
    <w:rsid w:val="563D16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2020-12-04T03:33:00Z</dcterms:created>
  <dc:creator>CathayMok</dc:creator>
  <cp:lastModifiedBy>CathayMok</cp:lastModifiedBy>
  <dcterms:modified xsi:type="dcterms:W3CDTF">2020-12-04T03:33:26Z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