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28"/>
          <w:szCs w:val="28"/>
          <w:highlight w:val="none"/>
        </w:rPr>
      </w:pPr>
    </w:p>
    <w:p>
      <w:pPr>
        <w:rPr>
          <w:color w:val="auto"/>
          <w:sz w:val="28"/>
          <w:szCs w:val="28"/>
          <w:highlight w:val="none"/>
        </w:rPr>
      </w:pPr>
    </w:p>
    <w:p>
      <w:pPr>
        <w:rPr>
          <w:color w:val="auto"/>
          <w:sz w:val="28"/>
          <w:szCs w:val="28"/>
          <w:highlight w:val="none"/>
        </w:rPr>
      </w:pPr>
      <w:r>
        <w:rPr>
          <w:color w:val="auto"/>
          <w:highlight w:val="none"/>
        </w:rPr>
        <w:pict>
          <v:shape id="fmFrame1" o:spid="_x0000_s1026" o:spt="202" type="#_x0000_t202" style="position:absolute;left:0pt;margin-left:-4.45pt;margin-top:-3.95pt;height:51.8pt;width:200pt;mso-position-horizontal-relative:margin;mso-position-vertical-relative:margin;z-index:251651072;mso-width-relative:page;mso-height-relative:page;"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">
            <v:path/>
            <v:fill focussize="0,0"/>
            <v:stroke on="f" joinstyle="miter"/>
            <v:imagedata o:title=""/>
            <o:lock v:ext="edit"/>
            <v:textbox inset="0mm,0mm,0mm,0mm">
              <w:txbxContent>
                <w:p>
                  <w:pPr>
                    <w:pStyle w:val="18"/>
                    <w:snapToGrid w:val="0"/>
                    <w:rPr>
                      <w:rFonts w:ascii="宋体" w:hAnsi="宋体" w:eastAsia="宋体"/>
                      <w:color w:val="000000"/>
                    </w:rPr>
                  </w:pPr>
                  <w:r>
                    <w:rPr>
                      <w:rFonts w:ascii="宋体" w:hAnsi="宋体" w:eastAsia="宋体"/>
                      <w:b/>
                      <w:color w:val="000000"/>
                    </w:rPr>
                    <w:t>ICS</w:t>
                  </w:r>
                  <w:r>
                    <w:rPr>
                      <w:rFonts w:hint="eastAsia" w:ascii="宋体" w:hAnsi="宋体" w:eastAsia="宋体"/>
                      <w:color w:val="000000"/>
                    </w:rPr>
                    <w:t>77.120</w:t>
                  </w:r>
                </w:p>
                <w:p>
                  <w:pPr>
                    <w:pStyle w:val="18"/>
                    <w:snapToGrid w:val="0"/>
                    <w:rPr>
                      <w:rFonts w:ascii="宋体" w:hAnsi="宋体" w:eastAsia="宋体"/>
                      <w:color w:val="000000"/>
                    </w:rPr>
                  </w:pPr>
                  <w:r>
                    <w:rPr>
                      <w:rFonts w:ascii="宋体" w:hAnsi="宋体" w:eastAsia="宋体"/>
                      <w:b/>
                      <w:color w:val="000000"/>
                    </w:rPr>
                    <w:t xml:space="preserve">H </w:t>
                  </w:r>
                  <w:r>
                    <w:rPr>
                      <w:rFonts w:hint="eastAsia" w:ascii="宋体" w:hAnsi="宋体" w:eastAsia="宋体"/>
                      <w:b/>
                      <w:color w:val="000000"/>
                    </w:rPr>
                    <w:t>01</w:t>
                  </w:r>
                </w:p>
              </w:txbxContent>
            </v:textbox>
            <w10:anchorlock/>
          </v:shape>
        </w:pict>
      </w:r>
    </w:p>
    <w:p>
      <w:pPr>
        <w:rPr>
          <w:color w:val="auto"/>
          <w:sz w:val="28"/>
          <w:szCs w:val="28"/>
          <w:highlight w:val="none"/>
        </w:rPr>
      </w:pPr>
      <w:bookmarkStart w:id="30" w:name="_GoBack"/>
      <w:bookmarkEnd w:id="30"/>
    </w:p>
    <w:p>
      <w:pPr>
        <w:rPr>
          <w:color w:val="auto"/>
          <w:sz w:val="28"/>
          <w:szCs w:val="28"/>
          <w:highlight w:val="none"/>
        </w:rPr>
      </w:pPr>
      <w:r>
        <w:rPr>
          <w:color w:val="auto"/>
          <w:highlight w:val="none"/>
        </w:rPr>
        <w:pict>
          <v:shape id="fmFrame2" o:spid="_x0000_s1028" o:spt="202" type="#_x0000_t202" style="position:absolute;left:0pt;margin-left:-33.95pt;margin-top:47.7pt;height:78.1pt;width:481.9pt;mso-position-horizontal-relative:margin;mso-position-vertical-relative:margin;z-index:251653120;mso-width-relative:page;mso-height-relative:page;" fillcolor="#FFFFFF" filled="t"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">
            <v:path/>
            <v:fill on="t" color2="#FFFFFF" focussize="0,0"/>
            <v:stroke on="f"/>
            <v:imagedata o:title=""/>
            <o:lock v:ext="edit" aspectratio="f"/>
            <v:textbox inset="0mm,0mm,0mm,0mm">
              <w:txbxContent>
                <w:p>
                  <w:pPr>
                    <w:pStyle w:val="17"/>
                    <w:jc w:val="center"/>
                    <w:rPr>
                      <w:b w:val="0"/>
                      <w:bCs w:val="0"/>
                      <w:sz w:val="72"/>
                      <w:szCs w:val="72"/>
                    </w:rPr>
                  </w:pPr>
                  <w:r>
                    <w:rPr>
                      <w:rFonts w:hint="eastAsia"/>
                      <w:b w:val="0"/>
                      <w:bCs w:val="0"/>
                      <w:sz w:val="72"/>
                      <w:szCs w:val="72"/>
                      <w:lang w:eastAsia="zh-CN"/>
                    </w:rPr>
                    <w:t>团</w:t>
                  </w:r>
                  <w:r>
                    <w:rPr>
                      <w:rFonts w:hint="eastAsia"/>
                      <w:b w:val="0"/>
                      <w:bCs w:val="0"/>
                      <w:sz w:val="72"/>
                      <w:szCs w:val="72"/>
                      <w:lang w:val="en-US" w:eastAsia="zh-CN"/>
                    </w:rPr>
                    <w:t xml:space="preserve"> </w:t>
                  </w:r>
                  <w:r>
                    <w:rPr>
                      <w:rFonts w:hint="eastAsia"/>
                      <w:b w:val="0"/>
                      <w:bCs w:val="0"/>
                      <w:sz w:val="72"/>
                      <w:szCs w:val="72"/>
                      <w:lang w:eastAsia="zh-CN"/>
                    </w:rPr>
                    <w:t>体</w:t>
                  </w:r>
                  <w:r>
                    <w:rPr>
                      <w:rFonts w:hint="eastAsia"/>
                      <w:b w:val="0"/>
                      <w:bCs w:val="0"/>
                      <w:sz w:val="72"/>
                      <w:szCs w:val="72"/>
                      <w:lang w:val="en-US" w:eastAsia="zh-CN"/>
                    </w:rPr>
                    <w:t xml:space="preserve"> </w:t>
                  </w:r>
                  <w:r>
                    <w:rPr>
                      <w:rFonts w:hint="eastAsia"/>
                      <w:b w:val="0"/>
                      <w:bCs w:val="0"/>
                      <w:sz w:val="72"/>
                      <w:szCs w:val="72"/>
                    </w:rPr>
                    <w:t>标</w:t>
                  </w:r>
                  <w:r>
                    <w:rPr>
                      <w:rFonts w:hint="eastAsia"/>
                      <w:b w:val="0"/>
                      <w:bCs w:val="0"/>
                      <w:sz w:val="72"/>
                      <w:szCs w:val="72"/>
                      <w:lang w:val="en-US" w:eastAsia="zh-CN"/>
                    </w:rPr>
                    <w:t xml:space="preserve"> </w:t>
                  </w:r>
                  <w:r>
                    <w:rPr>
                      <w:rFonts w:hint="eastAsia"/>
                      <w:b w:val="0"/>
                      <w:bCs w:val="0"/>
                      <w:sz w:val="72"/>
                      <w:szCs w:val="72"/>
                    </w:rPr>
                    <w:t>准</w:t>
                  </w:r>
                </w:p>
              </w:txbxContent>
            </v:textbox>
            <w10:anchorlock/>
          </v:shape>
        </w:pict>
      </w:r>
    </w:p>
    <w:p>
      <w:pPr>
        <w:rPr>
          <w:color w:val="auto"/>
          <w:sz w:val="28"/>
          <w:szCs w:val="28"/>
          <w:highlight w:val="none"/>
        </w:rPr>
      </w:pPr>
      <w:r>
        <w:rPr>
          <w:color w:val="auto"/>
          <w:highlight w:val="none"/>
        </w:rPr>
        <w:pict>
          <v:shape id="fmFrame3" o:spid="_x0000_s1029" o:spt="202" type="#_x0000_t202" style="position:absolute;left:0pt;margin-left:-21.95pt;margin-top:120.85pt;height:23.4pt;width:479.1pt;mso-position-horizontal-relative:margin;mso-position-vertical-relative:margin;z-index:251654144;mso-width-relative:page;mso-height-relative:page;"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">
            <v:path/>
            <v:fill focussize="0,0"/>
            <v:stroke on="f" joinstyle="miter"/>
            <v:imagedata o:title=""/>
            <o:lock v:ext="edit"/>
            <v:textbox inset="0mm,0mm,0mm,0mm">
              <w:txbxContent>
                <w:p>
                  <w:pPr>
                    <w:pStyle w:val="19"/>
                    <w:spacing w:before="0"/>
                  </w:pPr>
                  <w:r>
                    <w:t>T/CNIA XXXX-20</w:t>
                  </w:r>
                  <w:r>
                    <w:rPr>
                      <w:rFonts w:hint="eastAsia"/>
                    </w:rPr>
                    <w:t>20</w:t>
                  </w:r>
                </w:p>
              </w:txbxContent>
            </v:textbox>
            <w10:anchorlock/>
          </v:shape>
        </w:pict>
      </w:r>
    </w:p>
    <w:p>
      <w:pPr>
        <w:rPr>
          <w:color w:val="auto"/>
          <w:sz w:val="28"/>
          <w:szCs w:val="28"/>
          <w:highlight w:val="none"/>
        </w:rPr>
      </w:pPr>
      <w:r>
        <w:rPr>
          <w:color w:val="auto"/>
          <w:highlight w:val="none"/>
        </w:rPr>
        <w:pict>
          <v:line id="Line 6" o:spid="_x0000_s1030" o:spt="20" style="position:absolute;left:0pt;margin-left:-30.95pt;margin-top:19.45pt;height:0pt;width:482pt;z-index:25165516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c3EgIAACs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">
            <v:path arrowok="t"/>
            <v:fill focussize="0,0"/>
            <v:stroke weight="1pt" color="#FFFFFF"/>
            <v:imagedata o:title=""/>
            <o:lock v:ext="edit"/>
          </v:line>
        </w:pict>
      </w:r>
    </w:p>
    <w:p>
      <w:pPr>
        <w:rPr>
          <w:color w:val="auto"/>
          <w:sz w:val="28"/>
          <w:szCs w:val="28"/>
          <w:highlight w:val="none"/>
        </w:rPr>
      </w:pPr>
      <w:r>
        <w:rPr>
          <w:color w:val="auto"/>
          <w:highlight w:val="none"/>
        </w:rPr>
        <w:pict>
          <v:shape id="AutoShape 4" o:spid="_x0000_s1031" o:spt="32" type="#_x0000_t32" style="position:absolute;left:0pt;margin-left:-28.3pt;margin-top:0pt;height:0pt;width:488.25pt;z-index:2516561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bP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">
            <v:path arrowok="t"/>
            <v:fill on="f" focussize="0,0"/>
            <v:stroke/>
            <v:imagedata o:title=""/>
            <o:lock v:ext="edit"/>
          </v:shape>
        </w:pict>
      </w:r>
    </w:p>
    <w:p>
      <w:pPr>
        <w:rPr>
          <w:color w:val="auto"/>
          <w:sz w:val="28"/>
          <w:szCs w:val="28"/>
          <w:highlight w:val="none"/>
        </w:rPr>
      </w:pPr>
    </w:p>
    <w:p>
      <w:pPr>
        <w:rPr>
          <w:color w:val="auto"/>
          <w:sz w:val="28"/>
          <w:szCs w:val="28"/>
          <w:highlight w:val="none"/>
        </w:rPr>
      </w:pPr>
      <w:r>
        <w:rPr>
          <w:color w:val="auto"/>
          <w:highlight w:val="none"/>
        </w:rPr>
        <w:pict>
          <v:shape id="fmFrame4" o:spid="_x0000_s1032" o:spt="202" type="#_x0000_t202" style="position:absolute;left:0pt;margin-left:-25.5pt;margin-top:175pt;height:366.6pt;width:470pt;mso-position-horizontal-relative:margin;mso-position-vertical-relative:margin;z-index:251657216;mso-width-relative:page;mso-height-relative:page;"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">
            <v:path/>
            <v:fill focussize="0,0"/>
            <v:stroke on="f" joinstyle="miter"/>
            <v:imagedata o:title=""/>
            <o:lock v:ext="edit"/>
            <v:textbox inset="0mm,0mm,0mm,0mm">
              <w:txbxContent>
                <w:p>
                  <w:pPr>
                    <w:pStyle w:val="20"/>
                  </w:pPr>
                </w:p>
                <w:p>
                  <w:pPr>
                    <w:pStyle w:val="20"/>
                  </w:pPr>
                </w:p>
                <w:p>
                  <w:pPr>
                    <w:jc w:val="center"/>
                    <w:rPr>
                      <w:b/>
                      <w:bCs/>
                      <w:kern w:val="0"/>
                      <w:sz w:val="44"/>
                    </w:rPr>
                  </w:pPr>
                  <w:r>
                    <w:rPr>
                      <w:rFonts w:hint="eastAsia"/>
                      <w:b/>
                      <w:bCs/>
                      <w:kern w:val="0"/>
                      <w:sz w:val="44"/>
                    </w:rPr>
                    <w:t>绿色设计产品评价技术规范</w:t>
                  </w:r>
                  <w:r>
                    <w:rPr>
                      <w:b/>
                      <w:bCs/>
                      <w:kern w:val="0"/>
                      <w:sz w:val="44"/>
                    </w:rPr>
                    <w:t>——</w:t>
                  </w:r>
                  <w:r>
                    <w:rPr>
                      <w:rFonts w:hint="eastAsia"/>
                      <w:b/>
                      <w:bCs/>
                      <w:kern w:val="0"/>
                      <w:sz w:val="44"/>
                    </w:rPr>
                    <w:t>热镀用锌合金锭</w:t>
                  </w:r>
                </w:p>
                <w:p>
                  <w:pPr>
                    <w:jc w:val="center"/>
                    <w:rPr>
                      <w:b/>
                      <w:sz w:val="24"/>
                      <w:szCs w:val="24"/>
                    </w:rPr>
                  </w:pPr>
                  <w:r>
                    <w:rPr>
                      <w:rFonts w:hint="eastAsia"/>
                      <w:b/>
                      <w:sz w:val="24"/>
                      <w:szCs w:val="24"/>
                    </w:rPr>
                    <w:t>Technical specification for green-design product assessment-Zinc alloy ingot for hot dip galvanizing</w:t>
                  </w:r>
                </w:p>
                <w:p>
                  <w:pPr>
                    <w:jc w:val="center"/>
                    <w:rPr>
                      <w:b/>
                      <w:sz w:val="30"/>
                      <w:szCs w:val="30"/>
                    </w:rPr>
                  </w:pPr>
                </w:p>
                <w:p>
                  <w:pPr>
                    <w:pStyle w:val="23"/>
                    <w:rPr>
                      <w:b/>
                      <w:color w:val="auto"/>
                      <w:sz w:val="30"/>
                      <w:szCs w:val="30"/>
                    </w:rPr>
                  </w:pPr>
                  <w:r>
                    <w:rPr>
                      <w:rFonts w:hint="eastAsia"/>
                      <w:b/>
                      <w:color w:val="auto"/>
                      <w:sz w:val="30"/>
                      <w:szCs w:val="30"/>
                    </w:rPr>
                    <w:t>（</w:t>
                  </w:r>
                  <w:r>
                    <w:rPr>
                      <w:rFonts w:hint="eastAsia"/>
                      <w:b/>
                      <w:color w:val="auto"/>
                      <w:sz w:val="30"/>
                      <w:szCs w:val="30"/>
                      <w:lang w:eastAsia="zh-CN"/>
                    </w:rPr>
                    <w:t>预审稿</w:t>
                  </w:r>
                  <w:r>
                    <w:rPr>
                      <w:rFonts w:hint="eastAsia"/>
                      <w:b/>
                      <w:color w:val="auto"/>
                      <w:sz w:val="30"/>
                      <w:szCs w:val="30"/>
                    </w:rPr>
                    <w:t>）</w:t>
                  </w:r>
                </w:p>
                <w:p>
                  <w:pPr>
                    <w:pStyle w:val="22"/>
                  </w:pPr>
                </w:p>
                <w:p>
                  <w:pPr>
                    <w:pStyle w:val="21"/>
                  </w:pPr>
                </w:p>
              </w:txbxContent>
            </v:textbox>
            <w10:anchorlock/>
          </v:shape>
        </w:pict>
      </w: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r>
        <w:rPr>
          <w:color w:val="auto"/>
          <w:highlight w:val="none"/>
        </w:rPr>
        <w:pict>
          <v:shape id="fmFrame6" o:spid="_x0000_s1033" o:spt="202" type="#_x0000_t202" style="position:absolute;left:0pt;margin-left:302.05pt;margin-top:576.65pt;height:24.6pt;width:159pt;mso-position-horizontal-relative:margin;mso-position-vertic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AIewIAAAY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">
            <v:path/>
            <v:fill focussize="0,0"/>
            <v:stroke on="f" joinstyle="miter"/>
            <v:imagedata o:title=""/>
            <o:lock v:ext="edit"/>
            <v:textbox inset="0mm,0mm,0mm,0mm">
              <w:txbxContent>
                <w:p>
                  <w:pPr>
                    <w:pStyle w:val="25"/>
                  </w:pPr>
                  <w:r>
                    <w:t>20</w:t>
                  </w:r>
                  <w:r>
                    <w:rPr>
                      <w:rFonts w:hint="eastAsia"/>
                    </w:rPr>
                    <w:t>20</w:t>
                  </w:r>
                  <w:r>
                    <w:t>-xx-xx</w:t>
                  </w:r>
                  <w:r>
                    <w:rPr>
                      <w:rFonts w:hint="eastAsia"/>
                    </w:rPr>
                    <w:t>实施</w:t>
                  </w:r>
                </w:p>
              </w:txbxContent>
            </v:textbox>
            <w10:anchorlock/>
          </v:shape>
        </w:pict>
      </w:r>
      <w:r>
        <w:rPr>
          <w:color w:val="auto"/>
          <w:highlight w:val="none"/>
        </w:rPr>
        <w:pict>
          <v:shape id="fmFrame5" o:spid="_x0000_s1034" o:spt="202" type="#_x0000_t202" style="position:absolute;left:0pt;margin-left:-21.95pt;margin-top:578.75pt;height:24.6pt;width:159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qnegIAAAY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">
            <v:path/>
            <v:fill focussize="0,0"/>
            <v:stroke on="f" joinstyle="miter"/>
            <v:imagedata o:title=""/>
            <o:lock v:ext="edit"/>
            <v:textbox inset="0mm,0mm,0mm,0mm">
              <w:txbxContent>
                <w:p>
                  <w:pPr>
                    <w:pStyle w:val="24"/>
                  </w:pPr>
                  <w:r>
                    <w:t>20</w:t>
                  </w:r>
                  <w:r>
                    <w:rPr>
                      <w:rFonts w:hint="eastAsia"/>
                    </w:rPr>
                    <w:t>20</w:t>
                  </w:r>
                  <w:r>
                    <w:t>-xx-xx</w:t>
                  </w:r>
                  <w:r>
                    <w:rPr>
                      <w:rFonts w:hint="eastAsia"/>
                    </w:rPr>
                    <w:t>发布</w:t>
                  </w:r>
                </w:p>
              </w:txbxContent>
            </v:textbox>
            <w10:anchorlock/>
          </v:shape>
        </w:pict>
      </w:r>
    </w:p>
    <w:p>
      <w:pPr>
        <w:rPr>
          <w:color w:val="auto"/>
          <w:sz w:val="28"/>
          <w:szCs w:val="28"/>
          <w:highlight w:val="none"/>
        </w:rPr>
      </w:pPr>
      <w:r>
        <w:rPr>
          <w:color w:val="auto"/>
          <w:highlight w:val="none"/>
        </w:rPr>
        <w:pict>
          <v:shape id="AutoShape 224" o:spid="_x0000_s1035" o:spt="32" type="#_x0000_t32" style="position:absolute;left:0pt;margin-left:-25.5pt;margin-top:25.2pt;height:0pt;width:488.2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">
            <v:path arrowok="t"/>
            <v:fill on="f" focussize="0,0"/>
            <v:stroke/>
            <v:imagedata o:title=""/>
            <o:lock v:ext="edit"/>
          </v:shape>
        </w:pict>
      </w:r>
      <w:r>
        <w:rPr>
          <w:color w:val="auto"/>
          <w:highlight w:val="none"/>
        </w:rPr>
        <w:pict>
          <v:line id="Line 10" o:spid="_x0000_s1036" o:spt="20" style="position:absolute;left:0pt;margin-left:-21.95pt;margin-top:17.15pt;height:0pt;width:482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">
            <v:path arrowok="t"/>
            <v:fill focussize="0,0"/>
            <v:stroke weight="1pt" color="#FFFFFF"/>
            <v:imagedata o:title=""/>
            <o:lock v:ext="edit"/>
          </v:line>
        </w:pict>
      </w:r>
    </w:p>
    <w:p>
      <w:pPr>
        <w:pStyle w:val="32"/>
        <w:jc w:val="center"/>
        <w:rPr>
          <w:color w:val="auto"/>
          <w:highlight w:val="none"/>
        </w:rPr>
        <w:sectPr>
          <w:pgSz w:w="11906" w:h="16838"/>
          <w:pgMar w:top="1440" w:right="1800" w:bottom="1440" w:left="1800" w:header="851" w:footer="992" w:gutter="0"/>
          <w:cols w:space="425" w:num="1"/>
          <w:docGrid w:type="lines" w:linePitch="312" w:charSpace="0"/>
        </w:sectPr>
      </w:pPr>
      <w:r>
        <w:rPr>
          <w:color w:val="auto"/>
          <w:highlight w:val="none"/>
        </w:rPr>
        <w:pict>
          <v:shape id="fmFrame7" o:spid="_x0000_s1037" o:spt="202" type="#_x0000_t202" style="position:absolute;left:0pt;margin-left:-20.85pt;margin-top:637.8pt;height:61.9pt;width:481.9pt;mso-position-horizontal-relative:margin;mso-position-vertical-relative:margin;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">
            <v:path/>
            <v:fill focussize="0,0"/>
            <v:stroke on="f" joinstyle="miter"/>
            <v:imagedata o:title=""/>
            <o:lock v:ext="edit"/>
            <v:textbox inset="0mm,0mm,0mm,0mm">
              <w:txbxContent>
                <w:p>
                  <w:pPr>
                    <w:pStyle w:val="27"/>
                    <w:jc w:val="both"/>
                    <w:rPr>
                      <w:spacing w:val="0"/>
                      <w:sz w:val="44"/>
                      <w:szCs w:val="72"/>
                    </w:rPr>
                  </w:pPr>
                  <w:r>
                    <w:rPr>
                      <w:rFonts w:hint="eastAsia"/>
                      <w:spacing w:val="0"/>
                      <w:sz w:val="44"/>
                      <w:szCs w:val="72"/>
                    </w:rPr>
                    <w:t xml:space="preserve">中 国 有 色 金 属 工 业 协 会 </w:t>
                  </w:r>
                </w:p>
                <w:p>
                  <w:pPr>
                    <w:pStyle w:val="27"/>
                    <w:jc w:val="both"/>
                    <w:rPr>
                      <w:sz w:val="22"/>
                    </w:rPr>
                  </w:pPr>
                  <w:r>
                    <w:rPr>
                      <w:rFonts w:hint="eastAsia"/>
                      <w:spacing w:val="0"/>
                      <w:w w:val="130"/>
                      <w:sz w:val="44"/>
                      <w:szCs w:val="72"/>
                    </w:rPr>
                    <w:t>中  国  有  色  金  属  学  会</w:t>
                  </w:r>
                  <w:r>
                    <w:rPr>
                      <w:rFonts w:hint="eastAsia"/>
                      <w:spacing w:val="-20"/>
                      <w:sz w:val="21"/>
                      <w:szCs w:val="32"/>
                    </w:rPr>
                    <w:t>发布</w:t>
                  </w:r>
                </w:p>
              </w:txbxContent>
            </v:textbox>
            <w10:anchorlock/>
          </v:shape>
        </w:pict>
      </w:r>
    </w:p>
    <w:p>
      <w:pPr>
        <w:pStyle w:val="32"/>
        <w:jc w:val="center"/>
        <w:rPr>
          <w:color w:val="auto"/>
          <w:sz w:val="30"/>
          <w:szCs w:val="30"/>
          <w:highlight w:val="none"/>
        </w:rPr>
      </w:pPr>
      <w:r>
        <w:rPr>
          <w:color w:val="auto"/>
          <w:sz w:val="30"/>
          <w:szCs w:val="30"/>
          <w:highlight w:val="none"/>
          <w:lang w:val="zh-CN"/>
        </w:rPr>
        <w:t>目录</w:t>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"_Toc25040" </w:instrText>
      </w:r>
      <w:r>
        <w:rPr>
          <w:color w:val="auto"/>
          <w:highlight w:val="none"/>
        </w:rPr>
        <w:fldChar w:fldCharType="separate"/>
      </w:r>
      <w:r>
        <w:rPr>
          <w:rFonts w:hint="eastAsia"/>
          <w:color w:val="auto"/>
          <w:highlight w:val="none"/>
        </w:rPr>
        <w:t>前  言</w:t>
      </w:r>
      <w:r>
        <w:rPr>
          <w:color w:val="auto"/>
          <w:highlight w:val="none"/>
        </w:rPr>
        <w:tab/>
      </w:r>
      <w:r>
        <w:rPr>
          <w:color w:val="auto"/>
          <w:highlight w:val="none"/>
        </w:rPr>
        <w:fldChar w:fldCharType="begin"/>
      </w:r>
      <w:r>
        <w:rPr>
          <w:color w:val="auto"/>
          <w:highlight w:val="none"/>
        </w:rPr>
        <w:instrText xml:space="preserve"> PAGEREF _Toc25040 </w:instrText>
      </w:r>
      <w:r>
        <w:rPr>
          <w:color w:val="auto"/>
          <w:highlight w:val="none"/>
        </w:rPr>
        <w:fldChar w:fldCharType="separate"/>
      </w:r>
      <w:r>
        <w:rPr>
          <w:color w:val="auto"/>
          <w:highlight w:val="none"/>
        </w:rPr>
        <w:t>I</w:t>
      </w:r>
      <w:r>
        <w:rPr>
          <w:color w:val="auto"/>
          <w:highlight w:val="none"/>
        </w:rPr>
        <w:fldChar w:fldCharType="end"/>
      </w:r>
      <w:r>
        <w:rPr>
          <w:color w:val="auto"/>
          <w:highlight w:val="none"/>
        </w:rPr>
        <w:fldChar w:fldCharType="end"/>
      </w:r>
    </w:p>
    <w:p>
      <w:pPr>
        <w:pStyle w:val="8"/>
        <w:tabs>
          <w:tab w:val="right" w:leader="dot" w:pos="8306"/>
        </w:tabs>
        <w:ind w:left="0" w:leftChars="0"/>
        <w:rPr>
          <w:color w:val="auto"/>
          <w:highlight w:val="none"/>
        </w:rPr>
      </w:pPr>
      <w:r>
        <w:rPr>
          <w:color w:val="auto"/>
          <w:highlight w:val="none"/>
        </w:rPr>
        <w:fldChar w:fldCharType="begin"/>
      </w:r>
      <w:r>
        <w:rPr>
          <w:color w:val="auto"/>
          <w:highlight w:val="none"/>
        </w:rPr>
        <w:instrText xml:space="preserve"> HYPERLINK \l "_Toc25418" </w:instrText>
      </w:r>
      <w:r>
        <w:rPr>
          <w:color w:val="auto"/>
          <w:highlight w:val="none"/>
        </w:rPr>
        <w:fldChar w:fldCharType="separate"/>
      </w:r>
      <w:r>
        <w:rPr>
          <w:rFonts w:hint="eastAsia" w:ascii="黑体" w:hAnsi="Times New Roman" w:eastAsia="黑体"/>
          <w:color w:val="auto"/>
          <w:szCs w:val="21"/>
          <w:highlight w:val="none"/>
        </w:rPr>
        <w:t xml:space="preserve">1 </w:t>
      </w:r>
      <w:r>
        <w:rPr>
          <w:rFonts w:hint="eastAsia"/>
          <w:color w:val="auto"/>
          <w:highlight w:val="none"/>
        </w:rPr>
        <w:t>范围</w:t>
      </w:r>
      <w:r>
        <w:rPr>
          <w:color w:val="auto"/>
          <w:highlight w:val="none"/>
        </w:rPr>
        <w:tab/>
      </w:r>
      <w:r>
        <w:rPr>
          <w:color w:val="auto"/>
          <w:highlight w:val="none"/>
        </w:rPr>
        <w:fldChar w:fldCharType="begin"/>
      </w:r>
      <w:r>
        <w:rPr>
          <w:color w:val="auto"/>
          <w:highlight w:val="none"/>
        </w:rPr>
        <w:instrText xml:space="preserve"> PAGEREF _Toc25418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8"/>
        <w:tabs>
          <w:tab w:val="right" w:leader="dot" w:pos="8306"/>
        </w:tabs>
        <w:ind w:left="0" w:leftChars="0"/>
        <w:rPr>
          <w:color w:val="auto"/>
          <w:highlight w:val="none"/>
        </w:rPr>
      </w:pPr>
      <w:r>
        <w:rPr>
          <w:color w:val="auto"/>
          <w:highlight w:val="none"/>
        </w:rPr>
        <w:fldChar w:fldCharType="begin"/>
      </w:r>
      <w:r>
        <w:rPr>
          <w:color w:val="auto"/>
          <w:highlight w:val="none"/>
        </w:rPr>
        <w:instrText xml:space="preserve"> HYPERLINK \l "_Toc2347" </w:instrText>
      </w:r>
      <w:r>
        <w:rPr>
          <w:color w:val="auto"/>
          <w:highlight w:val="none"/>
        </w:rPr>
        <w:fldChar w:fldCharType="separate"/>
      </w:r>
      <w:r>
        <w:rPr>
          <w:rFonts w:hint="eastAsia" w:ascii="黑体" w:hAnsi="Times New Roman" w:eastAsia="黑体"/>
          <w:color w:val="auto"/>
          <w:szCs w:val="21"/>
          <w:highlight w:val="none"/>
        </w:rPr>
        <w:t xml:space="preserve">2 </w:t>
      </w:r>
      <w:r>
        <w:rPr>
          <w:rFonts w:hint="eastAsia"/>
          <w:color w:val="auto"/>
          <w:highlight w:val="none"/>
        </w:rPr>
        <w:t>规范性引用文件</w:t>
      </w:r>
      <w:r>
        <w:rPr>
          <w:color w:val="auto"/>
          <w:highlight w:val="none"/>
        </w:rPr>
        <w:tab/>
      </w:r>
      <w:r>
        <w:rPr>
          <w:color w:val="auto"/>
          <w:highlight w:val="none"/>
        </w:rPr>
        <w:fldChar w:fldCharType="begin"/>
      </w:r>
      <w:r>
        <w:rPr>
          <w:color w:val="auto"/>
          <w:highlight w:val="none"/>
        </w:rPr>
        <w:instrText xml:space="preserve"> PAGEREF _Toc2347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8"/>
        <w:tabs>
          <w:tab w:val="right" w:leader="dot" w:pos="8306"/>
        </w:tabs>
        <w:ind w:left="0" w:leftChars="0"/>
        <w:rPr>
          <w:color w:val="auto"/>
          <w:highlight w:val="none"/>
        </w:rPr>
      </w:pPr>
      <w:r>
        <w:rPr>
          <w:color w:val="auto"/>
          <w:highlight w:val="none"/>
        </w:rPr>
        <w:fldChar w:fldCharType="begin"/>
      </w:r>
      <w:r>
        <w:rPr>
          <w:color w:val="auto"/>
          <w:highlight w:val="none"/>
        </w:rPr>
        <w:instrText xml:space="preserve"> HYPERLINK \l "_Toc2575" </w:instrText>
      </w:r>
      <w:r>
        <w:rPr>
          <w:color w:val="auto"/>
          <w:highlight w:val="none"/>
        </w:rPr>
        <w:fldChar w:fldCharType="separate"/>
      </w:r>
      <w:r>
        <w:rPr>
          <w:rFonts w:hint="eastAsia" w:ascii="黑体" w:hAnsi="Times New Roman" w:eastAsia="黑体"/>
          <w:color w:val="auto"/>
          <w:szCs w:val="21"/>
          <w:highlight w:val="none"/>
        </w:rPr>
        <w:t xml:space="preserve">3 </w:t>
      </w:r>
      <w:r>
        <w:rPr>
          <w:rFonts w:hint="eastAsia"/>
          <w:color w:val="auto"/>
          <w:highlight w:val="none"/>
        </w:rPr>
        <w:t>术语和定义</w:t>
      </w:r>
      <w:r>
        <w:rPr>
          <w:color w:val="auto"/>
          <w:highlight w:val="none"/>
        </w:rPr>
        <w:tab/>
      </w:r>
      <w:r>
        <w:rPr>
          <w:color w:val="auto"/>
          <w:highlight w:val="none"/>
        </w:rPr>
        <w:fldChar w:fldCharType="begin"/>
      </w:r>
      <w:r>
        <w:rPr>
          <w:color w:val="auto"/>
          <w:highlight w:val="none"/>
        </w:rPr>
        <w:instrText xml:space="preserve"> PAGEREF _Toc2575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8"/>
        <w:tabs>
          <w:tab w:val="right" w:leader="dot" w:pos="8306"/>
        </w:tabs>
        <w:ind w:left="0" w:leftChars="0"/>
        <w:rPr>
          <w:color w:val="auto"/>
          <w:highlight w:val="none"/>
        </w:rPr>
      </w:pPr>
      <w:r>
        <w:rPr>
          <w:color w:val="auto"/>
          <w:highlight w:val="none"/>
        </w:rPr>
        <w:fldChar w:fldCharType="begin"/>
      </w:r>
      <w:r>
        <w:rPr>
          <w:color w:val="auto"/>
          <w:highlight w:val="none"/>
        </w:rPr>
        <w:instrText xml:space="preserve"> HYPERLINK \l "_Toc10201" </w:instrText>
      </w:r>
      <w:r>
        <w:rPr>
          <w:color w:val="auto"/>
          <w:highlight w:val="none"/>
        </w:rPr>
        <w:fldChar w:fldCharType="separate"/>
      </w:r>
      <w:r>
        <w:rPr>
          <w:rFonts w:hint="eastAsia" w:ascii="黑体" w:hAnsi="Times New Roman" w:eastAsia="黑体"/>
          <w:color w:val="auto"/>
          <w:szCs w:val="21"/>
          <w:highlight w:val="none"/>
        </w:rPr>
        <w:t xml:space="preserve">4 </w:t>
      </w:r>
      <w:r>
        <w:rPr>
          <w:rFonts w:hint="eastAsia"/>
          <w:color w:val="auto"/>
          <w:highlight w:val="none"/>
        </w:rPr>
        <w:t>评价要求</w:t>
      </w:r>
      <w:r>
        <w:rPr>
          <w:color w:val="auto"/>
          <w:highlight w:val="none"/>
        </w:rPr>
        <w:tab/>
      </w:r>
      <w:r>
        <w:rPr>
          <w:color w:val="auto"/>
          <w:highlight w:val="none"/>
        </w:rPr>
        <w:fldChar w:fldCharType="begin"/>
      </w:r>
      <w:r>
        <w:rPr>
          <w:color w:val="auto"/>
          <w:highlight w:val="none"/>
        </w:rPr>
        <w:instrText xml:space="preserve"> PAGEREF _Toc10201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8"/>
        <w:tabs>
          <w:tab w:val="right" w:leader="dot" w:pos="8306"/>
        </w:tabs>
        <w:ind w:left="0" w:leftChars="0"/>
        <w:rPr>
          <w:color w:val="auto"/>
          <w:highlight w:val="none"/>
        </w:rPr>
      </w:pPr>
      <w:r>
        <w:rPr>
          <w:color w:val="auto"/>
          <w:highlight w:val="none"/>
        </w:rPr>
        <w:fldChar w:fldCharType="begin"/>
      </w:r>
      <w:r>
        <w:rPr>
          <w:color w:val="auto"/>
          <w:highlight w:val="none"/>
        </w:rPr>
        <w:instrText xml:space="preserve"> HYPERLINK \l "_Toc12785" </w:instrText>
      </w:r>
      <w:r>
        <w:rPr>
          <w:color w:val="auto"/>
          <w:highlight w:val="none"/>
        </w:rPr>
        <w:fldChar w:fldCharType="separate"/>
      </w:r>
      <w:r>
        <w:rPr>
          <w:rFonts w:hint="eastAsia" w:ascii="黑体" w:hAnsi="Times New Roman" w:eastAsia="黑体"/>
          <w:color w:val="auto"/>
          <w:szCs w:val="21"/>
          <w:highlight w:val="none"/>
        </w:rPr>
        <w:t xml:space="preserve">5 </w:t>
      </w:r>
      <w:r>
        <w:rPr>
          <w:rFonts w:hint="eastAsia"/>
          <w:color w:val="auto"/>
          <w:highlight w:val="none"/>
        </w:rPr>
        <w:t>产品生命周期评价报告编制方法</w:t>
      </w:r>
      <w:r>
        <w:rPr>
          <w:color w:val="auto"/>
          <w:highlight w:val="none"/>
        </w:rPr>
        <w:tab/>
      </w:r>
      <w:r>
        <w:rPr>
          <w:color w:val="auto"/>
          <w:highlight w:val="none"/>
        </w:rPr>
        <w:fldChar w:fldCharType="begin"/>
      </w:r>
      <w:r>
        <w:rPr>
          <w:color w:val="auto"/>
          <w:highlight w:val="none"/>
        </w:rPr>
        <w:instrText xml:space="preserve"> PAGEREF _Toc12785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8"/>
        <w:tabs>
          <w:tab w:val="right" w:leader="dot" w:pos="8306"/>
        </w:tabs>
        <w:ind w:left="0" w:leftChars="0"/>
        <w:rPr>
          <w:color w:val="auto"/>
          <w:highlight w:val="none"/>
        </w:rPr>
      </w:pPr>
      <w:r>
        <w:rPr>
          <w:color w:val="auto"/>
          <w:highlight w:val="none"/>
        </w:rPr>
        <w:fldChar w:fldCharType="begin"/>
      </w:r>
      <w:r>
        <w:rPr>
          <w:color w:val="auto"/>
          <w:highlight w:val="none"/>
        </w:rPr>
        <w:instrText xml:space="preserve"> HYPERLINK \l "_Toc24939" </w:instrText>
      </w:r>
      <w:r>
        <w:rPr>
          <w:color w:val="auto"/>
          <w:highlight w:val="none"/>
        </w:rPr>
        <w:fldChar w:fldCharType="separate"/>
      </w:r>
      <w:r>
        <w:rPr>
          <w:rFonts w:hint="eastAsia" w:ascii="黑体" w:hAnsi="Times New Roman" w:eastAsia="黑体"/>
          <w:color w:val="auto"/>
          <w:szCs w:val="21"/>
          <w:highlight w:val="none"/>
        </w:rPr>
        <w:t xml:space="preserve">6 </w:t>
      </w:r>
      <w:r>
        <w:rPr>
          <w:rFonts w:hint="eastAsia"/>
          <w:color w:val="auto"/>
          <w:highlight w:val="none"/>
        </w:rPr>
        <w:t>绿色产品评价方法和判定依据</w:t>
      </w:r>
      <w:r>
        <w:rPr>
          <w:color w:val="auto"/>
          <w:highlight w:val="none"/>
        </w:rPr>
        <w:tab/>
      </w:r>
      <w:r>
        <w:rPr>
          <w:color w:val="auto"/>
          <w:highlight w:val="none"/>
        </w:rPr>
        <w:fldChar w:fldCharType="begin"/>
      </w:r>
      <w:r>
        <w:rPr>
          <w:color w:val="auto"/>
          <w:highlight w:val="none"/>
        </w:rPr>
        <w:instrText xml:space="preserve"> PAGEREF _Toc24939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"_Toc25994" </w:instrText>
      </w:r>
      <w:r>
        <w:rPr>
          <w:color w:val="auto"/>
          <w:highlight w:val="none"/>
        </w:rPr>
        <w:fldChar w:fldCharType="separate"/>
      </w:r>
      <w:r>
        <w:rPr>
          <w:rFonts w:hint="eastAsia" w:ascii="黑体" w:hAnsi="黑体" w:eastAsia="黑体"/>
          <w:color w:val="auto"/>
          <w:szCs w:val="21"/>
          <w:highlight w:val="none"/>
        </w:rPr>
        <w:t>附录</w:t>
      </w:r>
      <w:r>
        <w:rPr>
          <w:rFonts w:ascii="黑体" w:hAnsi="黑体" w:eastAsia="黑体"/>
          <w:color w:val="auto"/>
          <w:szCs w:val="21"/>
          <w:highlight w:val="none"/>
        </w:rPr>
        <w:t>A</w:t>
      </w:r>
      <w:r>
        <w:rPr>
          <w:rFonts w:ascii="黑体" w:hAnsi="黑体" w:eastAsia="黑体"/>
          <w:color w:val="auto"/>
          <w:szCs w:val="21"/>
          <w:highlight w:val="none"/>
        </w:rPr>
        <w:fldChar w:fldCharType="end"/>
      </w:r>
      <w:r>
        <w:rPr>
          <w:color w:val="auto"/>
          <w:highlight w:val="none"/>
        </w:rPr>
        <w:fldChar w:fldCharType="begin"/>
      </w:r>
      <w:r>
        <w:rPr>
          <w:color w:val="auto"/>
          <w:highlight w:val="none"/>
        </w:rPr>
        <w:instrText xml:space="preserve"> HYPERLINK \l "_Toc4861" </w:instrText>
      </w:r>
      <w:r>
        <w:rPr>
          <w:color w:val="auto"/>
          <w:highlight w:val="none"/>
        </w:rPr>
        <w:fldChar w:fldCharType="separate"/>
      </w:r>
      <w:r>
        <w:rPr>
          <w:rFonts w:hint="eastAsia" w:ascii="黑体" w:hAnsi="黑体" w:eastAsia="黑体"/>
          <w:color w:val="auto"/>
          <w:szCs w:val="21"/>
          <w:highlight w:val="none"/>
        </w:rPr>
        <w:t>热镀用锌合金锭产品生命周期评价方法</w:t>
      </w:r>
      <w:r>
        <w:rPr>
          <w:color w:val="auto"/>
          <w:highlight w:val="none"/>
        </w:rPr>
        <w:tab/>
      </w:r>
      <w:r>
        <w:rPr>
          <w:color w:val="auto"/>
          <w:highlight w:val="none"/>
        </w:rPr>
        <w:fldChar w:fldCharType="begin"/>
      </w:r>
      <w:r>
        <w:rPr>
          <w:color w:val="auto"/>
          <w:highlight w:val="none"/>
        </w:rPr>
        <w:instrText xml:space="preserve"> PAGEREF _Toc4861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"_Toc16242" </w:instrText>
      </w:r>
      <w:r>
        <w:rPr>
          <w:color w:val="auto"/>
          <w:highlight w:val="none"/>
        </w:rPr>
        <w:fldChar w:fldCharType="separate"/>
      </w:r>
      <w:r>
        <w:rPr>
          <w:rFonts w:hint="eastAsia" w:ascii="黑体" w:hAnsi="黑体" w:eastAsia="黑体"/>
          <w:color w:val="auto"/>
          <w:szCs w:val="21"/>
          <w:highlight w:val="none"/>
        </w:rPr>
        <w:t>附录</w:t>
      </w:r>
      <w:r>
        <w:rPr>
          <w:rFonts w:ascii="黑体" w:hAnsi="黑体" w:eastAsia="黑体"/>
          <w:color w:val="auto"/>
          <w:szCs w:val="21"/>
          <w:highlight w:val="none"/>
        </w:rPr>
        <w:t>B</w:t>
      </w:r>
      <w:r>
        <w:rPr>
          <w:rFonts w:ascii="黑体" w:hAnsi="黑体" w:eastAsia="黑体"/>
          <w:color w:val="auto"/>
          <w:szCs w:val="21"/>
          <w:highlight w:val="none"/>
        </w:rPr>
        <w:fldChar w:fldCharType="end"/>
      </w:r>
      <w:r>
        <w:rPr>
          <w:color w:val="auto"/>
          <w:highlight w:val="none"/>
        </w:rPr>
        <w:fldChar w:fldCharType="begin"/>
      </w:r>
      <w:r>
        <w:rPr>
          <w:color w:val="auto"/>
          <w:highlight w:val="none"/>
        </w:rPr>
        <w:instrText xml:space="preserve"> HYPERLINK \l "_Toc28333" </w:instrText>
      </w:r>
      <w:r>
        <w:rPr>
          <w:color w:val="auto"/>
          <w:highlight w:val="none"/>
        </w:rPr>
        <w:fldChar w:fldCharType="separate"/>
      </w:r>
      <w:r>
        <w:rPr>
          <w:rFonts w:hint="eastAsia" w:ascii="黑体" w:hAnsi="黑体" w:eastAsia="黑体"/>
          <w:color w:val="auto"/>
          <w:szCs w:val="21"/>
          <w:highlight w:val="none"/>
        </w:rPr>
        <w:t>数据分析方法示例</w:t>
      </w:r>
      <w:r>
        <w:rPr>
          <w:color w:val="auto"/>
          <w:highlight w:val="none"/>
        </w:rPr>
        <w:tab/>
      </w:r>
      <w:r>
        <w:rPr>
          <w:color w:val="auto"/>
          <w:highlight w:val="none"/>
        </w:rPr>
        <w:fldChar w:fldCharType="begin"/>
      </w:r>
      <w:r>
        <w:rPr>
          <w:color w:val="auto"/>
          <w:highlight w:val="none"/>
        </w:rPr>
        <w:instrText xml:space="preserve"> PAGEREF _Toc28333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"_Toc16237" </w:instrText>
      </w:r>
      <w:r>
        <w:rPr>
          <w:color w:val="auto"/>
          <w:highlight w:val="none"/>
        </w:rPr>
        <w:fldChar w:fldCharType="separate"/>
      </w:r>
      <w:r>
        <w:rPr>
          <w:rFonts w:hint="eastAsia" w:ascii="黑体" w:hAnsi="黑体" w:eastAsia="黑体"/>
          <w:color w:val="auto"/>
          <w:szCs w:val="21"/>
          <w:highlight w:val="none"/>
        </w:rPr>
        <w:t>附录C</w:t>
      </w:r>
      <w:r>
        <w:rPr>
          <w:rFonts w:hint="eastAsia" w:ascii="黑体" w:hAnsi="黑体" w:eastAsia="黑体"/>
          <w:color w:val="auto"/>
          <w:szCs w:val="21"/>
          <w:highlight w:val="none"/>
        </w:rPr>
        <w:fldChar w:fldCharType="end"/>
      </w:r>
      <w:r>
        <w:rPr>
          <w:color w:val="auto"/>
          <w:highlight w:val="none"/>
        </w:rPr>
        <w:fldChar w:fldCharType="begin"/>
      </w:r>
      <w:r>
        <w:rPr>
          <w:color w:val="auto"/>
          <w:highlight w:val="none"/>
        </w:rPr>
        <w:instrText xml:space="preserve"> HYPERLINK \l "_Toc12427" </w:instrText>
      </w:r>
      <w:r>
        <w:rPr>
          <w:color w:val="auto"/>
          <w:highlight w:val="none"/>
        </w:rPr>
        <w:fldChar w:fldCharType="separate"/>
      </w:r>
      <w:r>
        <w:rPr>
          <w:rFonts w:hint="eastAsia" w:ascii="黑体" w:hAnsi="黑体" w:eastAsia="黑体"/>
          <w:color w:val="auto"/>
          <w:szCs w:val="21"/>
          <w:highlight w:val="none"/>
        </w:rPr>
        <w:t>产品绿色设计改进方案优先排序方法及示例</w:t>
      </w:r>
      <w:r>
        <w:rPr>
          <w:color w:val="auto"/>
          <w:highlight w:val="none"/>
        </w:rPr>
        <w:tab/>
      </w:r>
      <w:r>
        <w:rPr>
          <w:color w:val="auto"/>
          <w:highlight w:val="none"/>
        </w:rPr>
        <w:fldChar w:fldCharType="begin"/>
      </w:r>
      <w:r>
        <w:rPr>
          <w:color w:val="auto"/>
          <w:highlight w:val="none"/>
        </w:rPr>
        <w:instrText xml:space="preserve"> PAGEREF _Toc12427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p>
    <w:p>
      <w:pPr>
        <w:widowControl/>
        <w:jc w:val="left"/>
        <w:rPr>
          <w:color w:val="auto"/>
          <w:sz w:val="28"/>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widowControl/>
        <w:jc w:val="left"/>
        <w:rPr>
          <w:color w:val="auto"/>
          <w:sz w:val="28"/>
          <w:highlight w:val="none"/>
        </w:rPr>
      </w:pPr>
    </w:p>
    <w:p>
      <w:pPr>
        <w:jc w:val="center"/>
        <w:outlineLvl w:val="0"/>
        <w:rPr>
          <w:b/>
          <w:color w:val="auto"/>
          <w:sz w:val="28"/>
          <w:highlight w:val="none"/>
        </w:rPr>
      </w:pPr>
      <w:bookmarkStart w:id="0" w:name="_Toc25040"/>
      <w:r>
        <w:rPr>
          <w:rFonts w:hint="eastAsia"/>
          <w:b/>
          <w:color w:val="auto"/>
          <w:sz w:val="28"/>
          <w:highlight w:val="none"/>
        </w:rPr>
        <w:t>前  言</w:t>
      </w:r>
      <w:bookmarkEnd w:id="0"/>
    </w:p>
    <w:p>
      <w:pPr>
        <w:ind w:firstLine="2730" w:firstLineChars="1300"/>
        <w:rPr>
          <w:rFonts w:eastAsia="黑体"/>
          <w:color w:val="auto"/>
          <w:highlight w:val="none"/>
        </w:rPr>
      </w:pPr>
    </w:p>
    <w:p>
      <w:pPr>
        <w:ind w:firstLine="420" w:firstLineChars="200"/>
        <w:rPr>
          <w:rFonts w:ascii="宋体"/>
          <w:color w:val="auto"/>
          <w:highlight w:val="none"/>
        </w:rPr>
      </w:pPr>
      <w:r>
        <w:rPr>
          <w:rFonts w:hint="eastAsia" w:ascii="宋体" w:hAnsi="宋体" w:cs="宋体"/>
          <w:color w:val="auto"/>
          <w:kern w:val="0"/>
          <w:szCs w:val="21"/>
          <w:highlight w:val="none"/>
        </w:rPr>
        <w:t>本文件按照</w:t>
      </w:r>
      <w:r>
        <w:rPr>
          <w:rFonts w:ascii="宋体" w:hAnsi="宋体" w:cs="宋体"/>
          <w:color w:val="auto"/>
          <w:kern w:val="0"/>
          <w:szCs w:val="21"/>
          <w:highlight w:val="none"/>
        </w:rPr>
        <w:t>G</w:t>
      </w:r>
      <w:r>
        <w:rPr>
          <w:rFonts w:hint="eastAsia" w:ascii="宋体" w:hAnsi="宋体" w:cs="宋体"/>
          <w:color w:val="auto"/>
          <w:kern w:val="0"/>
          <w:szCs w:val="21"/>
          <w:highlight w:val="none"/>
        </w:rPr>
        <w:t>B</w:t>
      </w:r>
      <w:r>
        <w:rPr>
          <w:rFonts w:ascii="宋体" w:hAnsi="宋体" w:cs="宋体"/>
          <w:color w:val="auto"/>
          <w:kern w:val="0"/>
          <w:szCs w:val="21"/>
          <w:highlight w:val="none"/>
        </w:rPr>
        <w:t>/T</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1.1-20</w:t>
      </w:r>
      <w:r>
        <w:rPr>
          <w:rFonts w:hint="eastAsia" w:ascii="宋体" w:hAnsi="宋体" w:cs="宋体"/>
          <w:color w:val="auto"/>
          <w:kern w:val="0"/>
          <w:szCs w:val="21"/>
          <w:highlight w:val="none"/>
        </w:rPr>
        <w:t>20《标准化工作导则 第一部分：标准化文件的结构和起草规则》给出的规则起草。</w:t>
      </w:r>
    </w:p>
    <w:p>
      <w:pPr>
        <w:ind w:firstLine="420" w:firstLineChars="200"/>
        <w:rPr>
          <w:rFonts w:ascii="宋体"/>
          <w:color w:val="auto"/>
          <w:szCs w:val="21"/>
          <w:highlight w:val="none"/>
        </w:rPr>
      </w:pPr>
      <w:r>
        <w:rPr>
          <w:rFonts w:hint="eastAsia" w:ascii="宋体" w:hAnsi="宋体"/>
          <w:color w:val="auto"/>
          <w:szCs w:val="21"/>
          <w:highlight w:val="none"/>
        </w:rPr>
        <w:t>本文件由工业和信息化部节能与综合利用司提出。</w:t>
      </w:r>
    </w:p>
    <w:p>
      <w:pPr>
        <w:ind w:firstLine="420" w:firstLineChars="200"/>
        <w:rPr>
          <w:rFonts w:ascii="宋体"/>
          <w:color w:val="auto"/>
          <w:szCs w:val="21"/>
          <w:highlight w:val="none"/>
        </w:rPr>
      </w:pPr>
      <w:r>
        <w:rPr>
          <w:rFonts w:hint="eastAsia" w:ascii="宋体" w:hAnsi="宋体"/>
          <w:color w:val="auto"/>
          <w:szCs w:val="21"/>
          <w:highlight w:val="none"/>
        </w:rPr>
        <w:t>本文件由全国有色金属标准化技术委员会(SAC/TC243)归口。</w:t>
      </w:r>
    </w:p>
    <w:p>
      <w:pPr>
        <w:ind w:firstLine="420" w:firstLineChars="200"/>
        <w:rPr>
          <w:rFonts w:ascii="宋体"/>
          <w:color w:val="auto"/>
          <w:highlight w:val="none"/>
        </w:rPr>
      </w:pPr>
      <w:r>
        <w:rPr>
          <w:rFonts w:hint="eastAsia" w:ascii="宋体" w:hAnsi="宋体"/>
          <w:color w:val="auto"/>
          <w:szCs w:val="21"/>
          <w:highlight w:val="none"/>
        </w:rPr>
        <w:t>本文件</w:t>
      </w:r>
      <w:r>
        <w:rPr>
          <w:rFonts w:hint="eastAsia" w:ascii="宋体" w:hAnsi="宋体"/>
          <w:color w:val="auto"/>
          <w:highlight w:val="none"/>
        </w:rPr>
        <w:t>负责起草</w:t>
      </w:r>
      <w:r>
        <w:rPr>
          <w:rFonts w:hint="eastAsia" w:ascii="宋体" w:hAnsi="宋体"/>
          <w:color w:val="auto"/>
          <w:szCs w:val="21"/>
          <w:highlight w:val="none"/>
        </w:rPr>
        <w:t>单位：云南驰宏锌锗股份有限公司</w:t>
      </w:r>
    </w:p>
    <w:p>
      <w:pPr>
        <w:ind w:firstLine="420" w:firstLineChars="200"/>
        <w:rPr>
          <w:rFonts w:ascii="宋体" w:hAnsi="宋体"/>
          <w:color w:val="auto"/>
          <w:highlight w:val="none"/>
        </w:rPr>
      </w:pPr>
      <w:r>
        <w:rPr>
          <w:rFonts w:hint="eastAsia" w:ascii="宋体" w:hAnsi="宋体"/>
          <w:color w:val="auto"/>
          <w:szCs w:val="21"/>
          <w:highlight w:val="none"/>
        </w:rPr>
        <w:t>本文件参加起草单位：</w:t>
      </w:r>
    </w:p>
    <w:p>
      <w:pPr>
        <w:ind w:firstLine="420" w:firstLineChars="200"/>
        <w:rPr>
          <w:b/>
          <w:color w:val="auto"/>
          <w:highlight w:val="none"/>
        </w:rPr>
      </w:pPr>
      <w:r>
        <w:rPr>
          <w:rFonts w:hint="eastAsia"/>
          <w:color w:val="auto"/>
          <w:highlight w:val="none"/>
        </w:rPr>
        <w:t>本文件起草人：</w:t>
      </w:r>
      <w:r>
        <w:rPr>
          <w:rFonts w:ascii="Arial" w:hAnsi="Arial" w:cs="Arial"/>
          <w:color w:val="auto"/>
          <w:highlight w:val="none"/>
        </w:rPr>
        <w:t>×××</w:t>
      </w:r>
      <w:r>
        <w:rPr>
          <w:rFonts w:hint="eastAsia" w:ascii="Arial" w:hAnsi="Arial" w:cs="Arial"/>
          <w:color w:val="auto"/>
          <w:highlight w:val="none"/>
        </w:rPr>
        <w:t>、</w:t>
      </w:r>
      <w:r>
        <w:rPr>
          <w:rFonts w:ascii="Arial" w:hAnsi="Arial" w:cs="Arial"/>
          <w:color w:val="auto"/>
          <w:highlight w:val="none"/>
        </w:rPr>
        <w:t>×××</w:t>
      </w:r>
      <w:r>
        <w:rPr>
          <w:rFonts w:hint="eastAsia" w:ascii="Arial" w:hAnsi="Arial" w:cs="Arial"/>
          <w:color w:val="auto"/>
          <w:highlight w:val="none"/>
        </w:rPr>
        <w:t>、</w:t>
      </w:r>
      <w:r>
        <w:rPr>
          <w:rFonts w:ascii="Arial" w:hAnsi="Arial" w:cs="Arial"/>
          <w:color w:val="auto"/>
          <w:highlight w:val="none"/>
        </w:rPr>
        <w:t>×××</w:t>
      </w:r>
      <w:r>
        <w:rPr>
          <w:rFonts w:hint="eastAsia" w:ascii="Arial" w:hAnsi="Arial" w:cs="Arial"/>
          <w:color w:val="auto"/>
          <w:highlight w:val="none"/>
        </w:rPr>
        <w:t>、</w:t>
      </w:r>
      <w:r>
        <w:rPr>
          <w:rFonts w:ascii="Arial" w:hAnsi="Arial" w:cs="Arial"/>
          <w:color w:val="auto"/>
          <w:highlight w:val="none"/>
        </w:rPr>
        <w:t>×××</w:t>
      </w:r>
      <w:r>
        <w:rPr>
          <w:rFonts w:hint="eastAsia"/>
          <w:color w:val="auto"/>
          <w:highlight w:val="none"/>
        </w:rPr>
        <w:t>。</w:t>
      </w:r>
    </w:p>
    <w:p>
      <w:pPr>
        <w:widowControl/>
        <w:jc w:val="left"/>
        <w:rPr>
          <w:color w:val="auto"/>
          <w:sz w:val="28"/>
          <w:szCs w:val="28"/>
          <w:highlight w:val="none"/>
        </w:rPr>
      </w:pPr>
    </w:p>
    <w:p>
      <w:pPr>
        <w:widowControl/>
        <w:jc w:val="center"/>
        <w:rPr>
          <w:color w:val="auto"/>
          <w:sz w:val="24"/>
          <w:szCs w:val="28"/>
          <w:highlight w:val="none"/>
        </w:rPr>
        <w:sectPr>
          <w:footerReference r:id="rId4" w:type="default"/>
          <w:pgSz w:w="11906" w:h="16838"/>
          <w:pgMar w:top="1440" w:right="1800" w:bottom="1440" w:left="1800" w:header="851" w:footer="992" w:gutter="0"/>
          <w:pgNumType w:fmt="upperRoman" w:start="1"/>
          <w:cols w:space="425" w:num="1"/>
          <w:docGrid w:type="lines" w:linePitch="312" w:charSpace="0"/>
        </w:sectPr>
      </w:pPr>
      <w:r>
        <w:rPr>
          <w:color w:val="auto"/>
          <w:sz w:val="24"/>
          <w:szCs w:val="28"/>
          <w:highlight w:val="none"/>
        </w:rPr>
        <w:br w:type="page"/>
      </w:r>
    </w:p>
    <w:p>
      <w:pPr>
        <w:widowControl/>
        <w:jc w:val="center"/>
        <w:rPr>
          <w:color w:val="auto"/>
          <w:sz w:val="22"/>
          <w:szCs w:val="24"/>
          <w:highlight w:val="none"/>
        </w:rPr>
      </w:pPr>
      <w:r>
        <w:rPr>
          <w:rFonts w:hint="eastAsia"/>
          <w:b/>
          <w:bCs/>
          <w:color w:val="auto"/>
          <w:sz w:val="28"/>
          <w:szCs w:val="30"/>
          <w:highlight w:val="none"/>
        </w:rPr>
        <w:t>绿色设计产品评价技术规范---热镀用锌合金锭</w:t>
      </w:r>
    </w:p>
    <w:p>
      <w:pPr>
        <w:pStyle w:val="41"/>
        <w:numPr>
          <w:ilvl w:val="0"/>
          <w:numId w:val="3"/>
        </w:numPr>
        <w:rPr>
          <w:color w:val="auto"/>
          <w:szCs w:val="22"/>
          <w:highlight w:val="none"/>
        </w:rPr>
      </w:pPr>
      <w:bookmarkStart w:id="1" w:name="_Toc25418"/>
      <w:r>
        <w:rPr>
          <w:rFonts w:hint="eastAsia"/>
          <w:color w:val="auto"/>
          <w:szCs w:val="22"/>
          <w:highlight w:val="none"/>
        </w:rPr>
        <w:t>范围</w:t>
      </w:r>
      <w:bookmarkEnd w:id="1"/>
    </w:p>
    <w:p>
      <w:pPr>
        <w:ind w:firstLine="420" w:firstLineChars="200"/>
        <w:jc w:val="left"/>
        <w:rPr>
          <w:color w:val="auto"/>
          <w:szCs w:val="21"/>
          <w:highlight w:val="none"/>
        </w:rPr>
      </w:pPr>
      <w:r>
        <w:rPr>
          <w:rFonts w:hint="eastAsia"/>
          <w:color w:val="auto"/>
          <w:szCs w:val="21"/>
          <w:highlight w:val="none"/>
        </w:rPr>
        <w:t>本文件规定了热镀用锌合金锭的绿色设计产品评价的要求、产品生命周期评价报告编制方法，以及评价方法和流程。</w:t>
      </w:r>
    </w:p>
    <w:p>
      <w:pPr>
        <w:ind w:firstLine="420" w:firstLineChars="200"/>
        <w:jc w:val="left"/>
        <w:rPr>
          <w:color w:val="auto"/>
          <w:szCs w:val="21"/>
          <w:highlight w:val="none"/>
        </w:rPr>
      </w:pPr>
      <w:r>
        <w:rPr>
          <w:rFonts w:hint="eastAsia"/>
          <w:color w:val="auto"/>
          <w:szCs w:val="21"/>
          <w:highlight w:val="none"/>
        </w:rPr>
        <w:t>本文件适用于热镀用锌合金锭的绿色设计产品评价。</w:t>
      </w:r>
    </w:p>
    <w:p>
      <w:pPr>
        <w:pStyle w:val="41"/>
        <w:numPr>
          <w:ilvl w:val="0"/>
          <w:numId w:val="3"/>
        </w:numPr>
        <w:rPr>
          <w:color w:val="auto"/>
          <w:szCs w:val="22"/>
          <w:highlight w:val="none"/>
        </w:rPr>
      </w:pPr>
      <w:bookmarkStart w:id="2" w:name="_Toc2347"/>
      <w:r>
        <w:rPr>
          <w:rFonts w:hint="eastAsia"/>
          <w:color w:val="auto"/>
          <w:szCs w:val="22"/>
          <w:highlight w:val="none"/>
        </w:rPr>
        <w:t>规范性引用文件</w:t>
      </w:r>
      <w:bookmarkEnd w:id="2"/>
    </w:p>
    <w:p>
      <w:pPr>
        <w:ind w:firstLine="420" w:firstLineChars="200"/>
        <w:jc w:val="left"/>
        <w:rPr>
          <w:rFonts w:hint="eastAsia"/>
          <w:color w:val="auto"/>
          <w:szCs w:val="21"/>
          <w:highlight w:val="none"/>
        </w:rPr>
      </w:pPr>
      <w:r>
        <w:rPr>
          <w:rFonts w:hint="eastAsia"/>
          <w:color w:val="auto"/>
          <w:szCs w:val="21"/>
          <w:highlight w:val="none"/>
        </w:rPr>
        <w:t>下列文件</w:t>
      </w:r>
      <w:r>
        <w:rPr>
          <w:rFonts w:hint="eastAsia"/>
          <w:color w:val="auto"/>
          <w:szCs w:val="21"/>
          <w:highlight w:val="none"/>
          <w:lang w:val="en-US" w:eastAsia="zh-CN"/>
        </w:rPr>
        <w:t>中的内容通过文中的规范性引用文件引用而构成本文件必不可少的条款</w:t>
      </w:r>
      <w:r>
        <w:rPr>
          <w:rFonts w:hint="eastAsia"/>
          <w:color w:val="auto"/>
          <w:szCs w:val="21"/>
          <w:highlight w:val="none"/>
        </w:rPr>
        <w:t>。</w:t>
      </w:r>
      <w:r>
        <w:rPr>
          <w:rFonts w:hint="eastAsia"/>
          <w:color w:val="auto"/>
          <w:szCs w:val="21"/>
          <w:highlight w:val="none"/>
          <w:lang w:val="en-US" w:eastAsia="zh-CN"/>
        </w:rPr>
        <w:t>其中，</w:t>
      </w:r>
      <w:r>
        <w:rPr>
          <w:rFonts w:hint="eastAsia"/>
          <w:color w:val="auto"/>
          <w:szCs w:val="21"/>
          <w:highlight w:val="none"/>
        </w:rPr>
        <w:t>注日期的引用文件，仅注日期</w:t>
      </w:r>
      <w:r>
        <w:rPr>
          <w:rFonts w:hint="eastAsia"/>
          <w:color w:val="auto"/>
          <w:szCs w:val="21"/>
          <w:highlight w:val="none"/>
          <w:lang w:val="en-US" w:eastAsia="zh-CN"/>
        </w:rPr>
        <w:t>对应</w:t>
      </w:r>
      <w:r>
        <w:rPr>
          <w:rFonts w:hint="eastAsia"/>
          <w:color w:val="auto"/>
          <w:szCs w:val="21"/>
          <w:highlight w:val="none"/>
        </w:rPr>
        <w:t>的版本适用于本文件</w:t>
      </w:r>
      <w:r>
        <w:rPr>
          <w:rFonts w:hint="eastAsia"/>
          <w:color w:val="auto"/>
          <w:szCs w:val="21"/>
          <w:highlight w:val="none"/>
          <w:lang w:eastAsia="zh-CN"/>
        </w:rPr>
        <w:t>；</w:t>
      </w:r>
      <w:r>
        <w:rPr>
          <w:rFonts w:hint="eastAsia"/>
          <w:color w:val="auto"/>
          <w:szCs w:val="21"/>
          <w:highlight w:val="none"/>
        </w:rPr>
        <w:t>不注日期的引用文件，其最新版本（包括所有的修改单）适用于本文件。</w:t>
      </w:r>
    </w:p>
    <w:p>
      <w:pPr>
        <w:ind w:firstLine="420" w:firstLineChars="200"/>
        <w:jc w:val="left"/>
        <w:rPr>
          <w:rFonts w:hint="eastAsia"/>
          <w:color w:val="auto"/>
          <w:highlight w:val="none"/>
        </w:rPr>
      </w:pPr>
      <w:r>
        <w:rPr>
          <w:rFonts w:hint="eastAsia"/>
          <w:color w:val="auto"/>
          <w:highlight w:val="none"/>
        </w:rPr>
        <w:t>GB 17167</w:t>
      </w:r>
      <w:r>
        <w:rPr>
          <w:rFonts w:hint="eastAsia"/>
          <w:color w:val="auto"/>
          <w:highlight w:val="none"/>
          <w:lang w:val="en-US" w:eastAsia="zh-CN"/>
        </w:rPr>
        <w:t xml:space="preserve">  </w:t>
      </w:r>
      <w:r>
        <w:rPr>
          <w:rFonts w:hint="eastAsia"/>
          <w:color w:val="auto"/>
          <w:highlight w:val="none"/>
        </w:rPr>
        <w:t>用能单位能源计量器具配比和管理通则</w:t>
      </w:r>
    </w:p>
    <w:p>
      <w:pPr>
        <w:ind w:firstLine="420" w:firstLineChars="200"/>
        <w:jc w:val="left"/>
        <w:rPr>
          <w:rFonts w:hint="eastAsia"/>
          <w:color w:val="auto"/>
          <w:highlight w:val="none"/>
        </w:rPr>
      </w:pPr>
      <w:r>
        <w:rPr>
          <w:rFonts w:hint="eastAsia"/>
          <w:color w:val="auto"/>
          <w:highlight w:val="none"/>
        </w:rPr>
        <w:t>GB 18597</w:t>
      </w:r>
      <w:r>
        <w:rPr>
          <w:rFonts w:hint="eastAsia"/>
          <w:color w:val="auto"/>
          <w:highlight w:val="none"/>
          <w:lang w:val="en-US" w:eastAsia="zh-CN"/>
        </w:rPr>
        <w:t xml:space="preserve">  </w:t>
      </w:r>
      <w:r>
        <w:rPr>
          <w:rFonts w:hint="eastAsia"/>
          <w:color w:val="auto"/>
          <w:highlight w:val="none"/>
        </w:rPr>
        <w:t>危险废物贮存污染控制标准</w:t>
      </w:r>
    </w:p>
    <w:p>
      <w:pPr>
        <w:ind w:firstLine="420" w:firstLineChars="200"/>
        <w:jc w:val="left"/>
        <w:rPr>
          <w:rFonts w:hint="eastAsia"/>
          <w:color w:val="auto"/>
          <w:highlight w:val="none"/>
        </w:rPr>
      </w:pPr>
      <w:r>
        <w:rPr>
          <w:rFonts w:hint="eastAsia"/>
          <w:color w:val="auto"/>
          <w:highlight w:val="none"/>
        </w:rPr>
        <w:t>GB 18599</w:t>
      </w:r>
      <w:r>
        <w:rPr>
          <w:rFonts w:hint="eastAsia"/>
          <w:color w:val="auto"/>
          <w:highlight w:val="none"/>
          <w:lang w:val="en-US" w:eastAsia="zh-CN"/>
        </w:rPr>
        <w:t xml:space="preserve">  </w:t>
      </w:r>
      <w:r>
        <w:rPr>
          <w:rFonts w:hint="eastAsia"/>
          <w:color w:val="auto"/>
          <w:highlight w:val="none"/>
        </w:rPr>
        <w:t>一般工业固体废物贮存、处置场污染控制标准</w:t>
      </w:r>
    </w:p>
    <w:p>
      <w:pPr>
        <w:ind w:firstLine="420" w:firstLineChars="200"/>
        <w:jc w:val="left"/>
        <w:rPr>
          <w:rFonts w:hint="eastAsia"/>
          <w:color w:val="auto"/>
          <w:highlight w:val="none"/>
        </w:rPr>
      </w:pPr>
      <w:r>
        <w:rPr>
          <w:rFonts w:hint="eastAsia"/>
          <w:color w:val="auto"/>
          <w:highlight w:val="none"/>
        </w:rPr>
        <w:t>GB 21249</w:t>
      </w:r>
      <w:r>
        <w:rPr>
          <w:rFonts w:hint="eastAsia"/>
          <w:color w:val="auto"/>
          <w:highlight w:val="none"/>
          <w:lang w:val="en-US" w:eastAsia="zh-CN"/>
        </w:rPr>
        <w:t xml:space="preserve">  </w:t>
      </w:r>
      <w:r>
        <w:rPr>
          <w:rFonts w:hint="eastAsia"/>
          <w:color w:val="auto"/>
          <w:highlight w:val="none"/>
        </w:rPr>
        <w:t>锌冶炼企业单位产品能源消耗限额</w:t>
      </w:r>
    </w:p>
    <w:p>
      <w:pPr>
        <w:ind w:firstLine="420" w:firstLineChars="200"/>
        <w:jc w:val="left"/>
        <w:rPr>
          <w:rFonts w:hint="default"/>
          <w:color w:val="auto"/>
          <w:highlight w:val="none"/>
          <w:lang w:val="en-US" w:eastAsia="zh-CN"/>
        </w:rPr>
      </w:pPr>
      <w:r>
        <w:rPr>
          <w:rFonts w:hint="eastAsia"/>
          <w:color w:val="auto"/>
          <w:highlight w:val="none"/>
        </w:rPr>
        <w:t>GB 25466</w:t>
      </w:r>
      <w:r>
        <w:rPr>
          <w:rFonts w:hint="eastAsia"/>
          <w:color w:val="auto"/>
          <w:highlight w:val="none"/>
          <w:lang w:val="en-US" w:eastAsia="zh-CN"/>
        </w:rPr>
        <w:t xml:space="preserve">  </w:t>
      </w:r>
      <w:r>
        <w:rPr>
          <w:rFonts w:hint="eastAsia"/>
          <w:color w:val="auto"/>
          <w:highlight w:val="none"/>
        </w:rPr>
        <w:t>铅、锌工业污染物排放标准</w:t>
      </w:r>
    </w:p>
    <w:p>
      <w:pPr>
        <w:ind w:firstLine="420" w:firstLineChars="200"/>
        <w:jc w:val="left"/>
        <w:rPr>
          <w:rFonts w:hint="eastAsia"/>
          <w:color w:val="auto"/>
          <w:highlight w:val="none"/>
        </w:rPr>
      </w:pPr>
      <w:r>
        <w:rPr>
          <w:rFonts w:hint="eastAsia"/>
          <w:color w:val="auto"/>
          <w:highlight w:val="none"/>
        </w:rPr>
        <w:t>GB/T 19001</w:t>
      </w:r>
      <w:r>
        <w:rPr>
          <w:rFonts w:hint="eastAsia"/>
          <w:color w:val="auto"/>
          <w:highlight w:val="none"/>
          <w:lang w:val="en-US" w:eastAsia="zh-CN"/>
        </w:rPr>
        <w:t xml:space="preserve">  </w:t>
      </w:r>
      <w:r>
        <w:rPr>
          <w:rFonts w:hint="eastAsia"/>
          <w:color w:val="auto"/>
          <w:highlight w:val="none"/>
        </w:rPr>
        <w:t>质量管理体系 要求</w:t>
      </w:r>
    </w:p>
    <w:p>
      <w:pPr>
        <w:ind w:firstLine="420" w:firstLineChars="200"/>
        <w:jc w:val="left"/>
        <w:rPr>
          <w:rFonts w:hint="eastAsia"/>
          <w:color w:val="auto"/>
          <w:highlight w:val="none"/>
        </w:rPr>
      </w:pPr>
      <w:r>
        <w:rPr>
          <w:rFonts w:hint="eastAsia"/>
          <w:color w:val="auto"/>
          <w:highlight w:val="none"/>
        </w:rPr>
        <w:t>GB/T 23331</w:t>
      </w:r>
      <w:r>
        <w:rPr>
          <w:rFonts w:hint="eastAsia"/>
          <w:color w:val="auto"/>
          <w:highlight w:val="none"/>
          <w:lang w:val="en-US" w:eastAsia="zh-CN"/>
        </w:rPr>
        <w:t xml:space="preserve">  </w:t>
      </w:r>
      <w:r>
        <w:rPr>
          <w:rFonts w:hint="eastAsia"/>
          <w:color w:val="auto"/>
          <w:highlight w:val="none"/>
        </w:rPr>
        <w:t>能源管理体系 要求</w:t>
      </w:r>
    </w:p>
    <w:p>
      <w:pPr>
        <w:ind w:firstLine="420" w:firstLineChars="200"/>
        <w:jc w:val="left"/>
        <w:rPr>
          <w:rFonts w:hint="eastAsia"/>
          <w:color w:val="auto"/>
          <w:highlight w:val="none"/>
        </w:rPr>
      </w:pPr>
      <w:r>
        <w:rPr>
          <w:rFonts w:hint="eastAsia"/>
          <w:color w:val="auto"/>
          <w:highlight w:val="none"/>
        </w:rPr>
        <w:t>GB/T 24001</w:t>
      </w:r>
      <w:r>
        <w:rPr>
          <w:rFonts w:hint="eastAsia"/>
          <w:color w:val="auto"/>
          <w:highlight w:val="none"/>
          <w:lang w:val="en-US" w:eastAsia="zh-CN"/>
        </w:rPr>
        <w:t xml:space="preserve">  </w:t>
      </w:r>
      <w:r>
        <w:rPr>
          <w:rFonts w:hint="eastAsia"/>
          <w:color w:val="auto"/>
          <w:highlight w:val="none"/>
        </w:rPr>
        <w:t>环境管理体系 要求及使用指南</w:t>
      </w:r>
    </w:p>
    <w:p>
      <w:pPr>
        <w:ind w:firstLine="420" w:firstLineChars="200"/>
        <w:jc w:val="left"/>
        <w:rPr>
          <w:rFonts w:hint="default" w:eastAsia="宋体"/>
          <w:color w:val="auto"/>
          <w:highlight w:val="none"/>
          <w:lang w:val="en-US" w:eastAsia="zh-CN"/>
        </w:rPr>
      </w:pPr>
      <w:r>
        <w:rPr>
          <w:rFonts w:hint="eastAsia"/>
          <w:color w:val="auto"/>
          <w:highlight w:val="none"/>
        </w:rPr>
        <w:t>GB/T 45001</w:t>
      </w:r>
      <w:r>
        <w:rPr>
          <w:rFonts w:hint="eastAsia"/>
          <w:color w:val="auto"/>
          <w:highlight w:val="none"/>
          <w:lang w:val="en-US" w:eastAsia="zh-CN"/>
        </w:rPr>
        <w:t xml:space="preserve">  </w:t>
      </w:r>
      <w:r>
        <w:rPr>
          <w:rFonts w:hint="eastAsia"/>
          <w:color w:val="auto"/>
          <w:highlight w:val="none"/>
        </w:rPr>
        <w:t>职业健康安全管理体系 要求及使用指南</w:t>
      </w:r>
    </w:p>
    <w:p>
      <w:pPr>
        <w:ind w:firstLine="420" w:firstLineChars="200"/>
        <w:jc w:val="left"/>
        <w:rPr>
          <w:rFonts w:hint="default" w:eastAsia="宋体"/>
          <w:color w:val="auto"/>
          <w:highlight w:val="none"/>
          <w:lang w:val="en-US" w:eastAsia="zh-CN"/>
        </w:rPr>
      </w:pPr>
      <w:r>
        <w:rPr>
          <w:rFonts w:hint="eastAsia"/>
          <w:color w:val="auto"/>
          <w:highlight w:val="none"/>
        </w:rPr>
        <w:t>GB/T 24040</w:t>
      </w:r>
      <w:r>
        <w:rPr>
          <w:rFonts w:hint="eastAsia"/>
          <w:color w:val="auto"/>
          <w:highlight w:val="none"/>
          <w:lang w:val="en-US" w:eastAsia="zh-CN"/>
        </w:rPr>
        <w:t xml:space="preserve">  </w:t>
      </w:r>
      <w:r>
        <w:rPr>
          <w:rFonts w:hint="eastAsia"/>
          <w:color w:val="auto"/>
          <w:highlight w:val="none"/>
        </w:rPr>
        <w:t>环境管理 生命周期评价 原则与框架</w:t>
      </w:r>
    </w:p>
    <w:p>
      <w:pPr>
        <w:ind w:firstLine="420" w:firstLineChars="200"/>
        <w:jc w:val="left"/>
        <w:rPr>
          <w:rFonts w:hint="default" w:eastAsia="宋体"/>
          <w:color w:val="auto"/>
          <w:highlight w:val="none"/>
          <w:lang w:val="en-US" w:eastAsia="zh-CN"/>
        </w:rPr>
      </w:pPr>
      <w:r>
        <w:rPr>
          <w:rFonts w:hint="eastAsia"/>
          <w:color w:val="auto"/>
          <w:highlight w:val="none"/>
        </w:rPr>
        <w:t>GB/T 24044</w:t>
      </w:r>
      <w:r>
        <w:rPr>
          <w:rFonts w:hint="eastAsia"/>
          <w:color w:val="auto"/>
          <w:highlight w:val="none"/>
          <w:lang w:val="en-US" w:eastAsia="zh-CN"/>
        </w:rPr>
        <w:t xml:space="preserve">  </w:t>
      </w:r>
      <w:r>
        <w:rPr>
          <w:rFonts w:hint="eastAsia"/>
          <w:color w:val="auto"/>
          <w:highlight w:val="none"/>
        </w:rPr>
        <w:t>环境管理 生命周期评价 要求与指南</w:t>
      </w:r>
    </w:p>
    <w:p>
      <w:pPr>
        <w:ind w:firstLine="420" w:firstLineChars="200"/>
        <w:jc w:val="left"/>
        <w:rPr>
          <w:rFonts w:hint="eastAsia"/>
          <w:color w:val="auto"/>
          <w:highlight w:val="none"/>
        </w:rPr>
      </w:pPr>
      <w:r>
        <w:rPr>
          <w:rFonts w:hint="eastAsia"/>
          <w:color w:val="auto"/>
          <w:highlight w:val="none"/>
        </w:rPr>
        <w:t>GB/T 25973</w:t>
      </w:r>
      <w:r>
        <w:rPr>
          <w:rFonts w:hint="eastAsia"/>
          <w:color w:val="auto"/>
          <w:highlight w:val="none"/>
          <w:lang w:val="en-US" w:eastAsia="zh-CN"/>
        </w:rPr>
        <w:t xml:space="preserve">  </w:t>
      </w:r>
      <w:r>
        <w:rPr>
          <w:rFonts w:hint="eastAsia"/>
          <w:color w:val="auto"/>
          <w:highlight w:val="none"/>
        </w:rPr>
        <w:t>工业企业清洁生产审核 技术导则</w:t>
      </w:r>
    </w:p>
    <w:p>
      <w:pPr>
        <w:ind w:firstLine="420" w:firstLineChars="200"/>
        <w:jc w:val="left"/>
        <w:rPr>
          <w:rFonts w:hint="default" w:eastAsia="宋体"/>
          <w:color w:val="auto"/>
          <w:highlight w:val="none"/>
          <w:lang w:val="en-US" w:eastAsia="zh-CN"/>
        </w:rPr>
      </w:pPr>
      <w:r>
        <w:rPr>
          <w:rFonts w:hint="eastAsia"/>
          <w:color w:val="auto"/>
          <w:highlight w:val="none"/>
          <w:lang w:val="de-DE"/>
        </w:rPr>
        <w:t>GB/T 32161</w:t>
      </w:r>
      <w:r>
        <w:rPr>
          <w:rFonts w:hint="eastAsia"/>
          <w:color w:val="auto"/>
          <w:highlight w:val="none"/>
          <w:lang w:val="en-US" w:eastAsia="zh-CN"/>
        </w:rPr>
        <w:t xml:space="preserve">  </w:t>
      </w:r>
      <w:r>
        <w:rPr>
          <w:rFonts w:hint="eastAsia"/>
          <w:color w:val="auto"/>
          <w:highlight w:val="none"/>
        </w:rPr>
        <w:t>生态设计产品评价通则</w:t>
      </w:r>
    </w:p>
    <w:p>
      <w:pPr>
        <w:ind w:firstLine="420" w:firstLineChars="200"/>
        <w:jc w:val="left"/>
        <w:rPr>
          <w:rFonts w:hint="eastAsia"/>
          <w:color w:val="auto"/>
          <w:highlight w:val="none"/>
        </w:rPr>
      </w:pPr>
      <w:r>
        <w:rPr>
          <w:rFonts w:hint="eastAsia"/>
          <w:color w:val="auto"/>
          <w:highlight w:val="none"/>
          <w:lang w:val="de-DE"/>
        </w:rPr>
        <w:t>GB/T</w:t>
      </w:r>
      <w:r>
        <w:rPr>
          <w:rFonts w:hint="eastAsia"/>
          <w:color w:val="auto"/>
          <w:highlight w:val="none"/>
        </w:rPr>
        <w:t xml:space="preserve"> 33000</w:t>
      </w:r>
      <w:r>
        <w:rPr>
          <w:rFonts w:hint="eastAsia"/>
          <w:color w:val="auto"/>
          <w:highlight w:val="none"/>
          <w:lang w:val="en-US" w:eastAsia="zh-CN"/>
        </w:rPr>
        <w:t xml:space="preserve">  </w:t>
      </w:r>
      <w:r>
        <w:rPr>
          <w:rFonts w:hint="eastAsia"/>
          <w:color w:val="auto"/>
          <w:highlight w:val="none"/>
        </w:rPr>
        <w:t>企业安全生产标准化基本规范</w:t>
      </w:r>
    </w:p>
    <w:p>
      <w:pPr>
        <w:ind w:firstLine="420" w:firstLineChars="200"/>
        <w:jc w:val="left"/>
        <w:rPr>
          <w:rFonts w:hint="default" w:eastAsia="宋体"/>
          <w:color w:val="auto"/>
          <w:highlight w:val="none"/>
          <w:lang w:val="en-US" w:eastAsia="zh-CN"/>
        </w:rPr>
      </w:pPr>
      <w:r>
        <w:rPr>
          <w:rFonts w:hint="eastAsia"/>
          <w:color w:val="auto"/>
          <w:highlight w:val="none"/>
        </w:rPr>
        <w:t>YS/T 310</w:t>
      </w:r>
      <w:r>
        <w:rPr>
          <w:rFonts w:hint="eastAsia"/>
          <w:color w:val="auto"/>
          <w:highlight w:val="none"/>
          <w:lang w:val="en-US" w:eastAsia="zh-CN"/>
        </w:rPr>
        <w:t xml:space="preserve">  </w:t>
      </w:r>
      <w:r>
        <w:rPr>
          <w:rFonts w:hint="eastAsia"/>
          <w:color w:val="auto"/>
          <w:szCs w:val="21"/>
          <w:highlight w:val="none"/>
        </w:rPr>
        <w:t>热镀用锌合金锭</w:t>
      </w:r>
    </w:p>
    <w:p>
      <w:pPr>
        <w:pStyle w:val="41"/>
        <w:numPr>
          <w:ilvl w:val="0"/>
          <w:numId w:val="3"/>
        </w:numPr>
        <w:rPr>
          <w:color w:val="auto"/>
          <w:szCs w:val="22"/>
          <w:highlight w:val="none"/>
        </w:rPr>
      </w:pPr>
      <w:bookmarkStart w:id="3" w:name="_Toc2575"/>
      <w:r>
        <w:rPr>
          <w:rFonts w:hint="eastAsia"/>
          <w:color w:val="auto"/>
          <w:szCs w:val="22"/>
          <w:highlight w:val="none"/>
        </w:rPr>
        <w:t>术语和定义</w:t>
      </w:r>
      <w:bookmarkEnd w:id="3"/>
    </w:p>
    <w:p>
      <w:pPr>
        <w:ind w:firstLine="420" w:firstLineChars="200"/>
        <w:jc w:val="left"/>
        <w:rPr>
          <w:color w:val="auto"/>
          <w:szCs w:val="21"/>
          <w:highlight w:val="none"/>
        </w:rPr>
      </w:pPr>
      <w:bookmarkStart w:id="4" w:name="_Toc51664032"/>
      <w:bookmarkStart w:id="5" w:name="_Toc51663865"/>
      <w:r>
        <w:rPr>
          <w:rFonts w:hint="eastAsia"/>
          <w:color w:val="auto"/>
          <w:szCs w:val="21"/>
          <w:highlight w:val="none"/>
        </w:rPr>
        <w:t>GB/T</w:t>
      </w:r>
      <w:r>
        <w:rPr>
          <w:rFonts w:hint="eastAsia" w:ascii="宋体" w:hAnsi="宋体"/>
          <w:color w:val="auto"/>
          <w:szCs w:val="21"/>
          <w:highlight w:val="none"/>
        </w:rPr>
        <w:t xml:space="preserve"> </w:t>
      </w:r>
      <w:r>
        <w:rPr>
          <w:rFonts w:hint="eastAsia"/>
          <w:color w:val="auto"/>
          <w:szCs w:val="21"/>
          <w:highlight w:val="none"/>
        </w:rPr>
        <w:t>32161和</w:t>
      </w:r>
      <w:r>
        <w:rPr>
          <w:color w:val="auto"/>
          <w:szCs w:val="21"/>
          <w:highlight w:val="none"/>
        </w:rPr>
        <w:t>GB/T</w:t>
      </w:r>
      <w:r>
        <w:rPr>
          <w:rFonts w:hint="eastAsia" w:ascii="宋体" w:hAnsi="宋体"/>
          <w:color w:val="auto"/>
          <w:szCs w:val="21"/>
          <w:highlight w:val="none"/>
        </w:rPr>
        <w:t xml:space="preserve"> </w:t>
      </w:r>
      <w:r>
        <w:rPr>
          <w:rFonts w:hint="eastAsia"/>
          <w:color w:val="auto"/>
          <w:szCs w:val="21"/>
          <w:highlight w:val="none"/>
        </w:rPr>
        <w:t>24040界定的以及下列术语和定义适用于本文件。</w:t>
      </w:r>
    </w:p>
    <w:bookmarkEnd w:id="4"/>
    <w:bookmarkEnd w:id="5"/>
    <w:p>
      <w:pPr>
        <w:pStyle w:val="41"/>
        <w:numPr>
          <w:ilvl w:val="1"/>
          <w:numId w:val="1"/>
        </w:numPr>
        <w:spacing w:before="156" w:beforeLines="50" w:after="156" w:afterLines="50"/>
        <w:outlineLvl w:val="9"/>
        <w:rPr>
          <w:color w:val="auto"/>
          <w:szCs w:val="22"/>
          <w:highlight w:val="none"/>
        </w:rPr>
      </w:pPr>
      <w:bookmarkStart w:id="6" w:name="_Toc7035"/>
    </w:p>
    <w:p>
      <w:pPr>
        <w:pStyle w:val="41"/>
        <w:numPr>
          <w:ilvl w:val="0"/>
          <w:numId w:val="0"/>
        </w:numPr>
        <w:spacing w:before="156" w:beforeLines="50" w:after="156" w:afterLines="50"/>
        <w:ind w:leftChars="0" w:firstLine="420" w:firstLineChars="200"/>
        <w:outlineLvl w:val="9"/>
        <w:rPr>
          <w:color w:val="auto"/>
          <w:szCs w:val="22"/>
          <w:highlight w:val="none"/>
        </w:rPr>
      </w:pPr>
      <w:r>
        <w:rPr>
          <w:rFonts w:hint="eastAsia"/>
          <w:color w:val="auto"/>
          <w:szCs w:val="22"/>
          <w:highlight w:val="none"/>
        </w:rPr>
        <w:t>热镀用锌合金锭生命周期范围</w:t>
      </w:r>
      <w:r>
        <w:rPr>
          <w:rFonts w:hint="eastAsia"/>
          <w:b/>
          <w:color w:val="auto"/>
          <w:sz w:val="24"/>
          <w:szCs w:val="24"/>
          <w:highlight w:val="none"/>
        </w:rPr>
        <w:t xml:space="preserve"> </w:t>
      </w:r>
      <w:r>
        <w:rPr>
          <w:rFonts w:hint="eastAsia"/>
          <w:b/>
          <w:color w:val="auto"/>
          <w:sz w:val="24"/>
          <w:szCs w:val="24"/>
          <w:highlight w:val="none"/>
          <w:lang w:val="en-US" w:eastAsia="zh-CN"/>
        </w:rPr>
        <w:t xml:space="preserve"> </w:t>
      </w:r>
      <w:r>
        <w:rPr>
          <w:rFonts w:hint="eastAsia"/>
          <w:color w:val="auto"/>
          <w:szCs w:val="22"/>
          <w:highlight w:val="none"/>
        </w:rPr>
        <w:t>assessment-Zinc alloy ingot for hot dip galvanizing life cycle</w:t>
      </w:r>
      <w:bookmarkEnd w:id="6"/>
    </w:p>
    <w:p>
      <w:pPr>
        <w:ind w:firstLine="420" w:firstLineChars="200"/>
        <w:jc w:val="left"/>
        <w:rPr>
          <w:color w:val="auto"/>
          <w:szCs w:val="21"/>
          <w:highlight w:val="none"/>
        </w:rPr>
      </w:pPr>
      <w:r>
        <w:rPr>
          <w:rFonts w:hint="eastAsia"/>
          <w:color w:val="auto"/>
          <w:szCs w:val="21"/>
          <w:highlight w:val="none"/>
        </w:rPr>
        <w:t>热镀用锌合金锭的生命周期范围是指热镀用锌合金锭产品生产阶段。</w:t>
      </w:r>
    </w:p>
    <w:p>
      <w:pPr>
        <w:pStyle w:val="41"/>
        <w:numPr>
          <w:ilvl w:val="0"/>
          <w:numId w:val="3"/>
        </w:numPr>
        <w:rPr>
          <w:color w:val="auto"/>
          <w:szCs w:val="22"/>
          <w:highlight w:val="none"/>
        </w:rPr>
      </w:pPr>
      <w:bookmarkStart w:id="7" w:name="_Toc10201"/>
      <w:r>
        <w:rPr>
          <w:rFonts w:hint="eastAsia"/>
          <w:color w:val="auto"/>
          <w:szCs w:val="22"/>
          <w:highlight w:val="none"/>
        </w:rPr>
        <w:t>评价要求</w:t>
      </w:r>
      <w:bookmarkEnd w:id="7"/>
      <w:r>
        <w:rPr>
          <w:rFonts w:hint="eastAsia"/>
          <w:color w:val="auto"/>
          <w:szCs w:val="22"/>
          <w:highlight w:val="none"/>
        </w:rPr>
        <w:t xml:space="preserve"> </w:t>
      </w:r>
    </w:p>
    <w:p>
      <w:pPr>
        <w:pStyle w:val="41"/>
        <w:numPr>
          <w:ilvl w:val="1"/>
          <w:numId w:val="1"/>
        </w:numPr>
        <w:spacing w:before="156" w:beforeLines="50" w:after="156" w:afterLines="50"/>
        <w:outlineLvl w:val="9"/>
        <w:rPr>
          <w:color w:val="auto"/>
          <w:szCs w:val="22"/>
          <w:highlight w:val="none"/>
        </w:rPr>
      </w:pPr>
      <w:r>
        <w:rPr>
          <w:rFonts w:hint="eastAsia"/>
          <w:color w:val="auto"/>
          <w:szCs w:val="22"/>
          <w:highlight w:val="none"/>
        </w:rPr>
        <w:t>基本要求</w:t>
      </w:r>
    </w:p>
    <w:p>
      <w:pPr>
        <w:jc w:val="left"/>
        <w:rPr>
          <w:rFonts w:ascii="宋体" w:hAnsi="宋体"/>
          <w:color w:val="auto"/>
          <w:szCs w:val="21"/>
          <w:highlight w:val="none"/>
        </w:rPr>
      </w:pPr>
      <w:r>
        <w:rPr>
          <w:rFonts w:ascii="宋体" w:hAnsi="宋体"/>
          <w:color w:val="auto"/>
          <w:szCs w:val="21"/>
          <w:highlight w:val="none"/>
        </w:rPr>
        <w:t>4.1.1</w:t>
      </w:r>
      <w:r>
        <w:rPr>
          <w:rFonts w:hint="eastAsia" w:ascii="宋体" w:hAnsi="宋体"/>
          <w:color w:val="auto"/>
          <w:szCs w:val="21"/>
          <w:highlight w:val="none"/>
        </w:rPr>
        <w:t>企业应符合产业政策要求并达到国家工业和信息化部公告的《铅锌行业规范条件》要求。</w:t>
      </w:r>
    </w:p>
    <w:p>
      <w:pPr>
        <w:jc w:val="left"/>
        <w:rPr>
          <w:rFonts w:ascii="宋体" w:hAnsi="宋体"/>
          <w:color w:val="auto"/>
          <w:szCs w:val="21"/>
          <w:highlight w:val="none"/>
        </w:rPr>
      </w:pPr>
      <w:r>
        <w:rPr>
          <w:rFonts w:hint="eastAsia" w:ascii="宋体" w:hAnsi="宋体"/>
          <w:color w:val="auto"/>
          <w:szCs w:val="21"/>
          <w:highlight w:val="none"/>
        </w:rPr>
        <w:t>4.1.2企业近三年应无较大安全、环境污染和质量事故。</w:t>
      </w:r>
    </w:p>
    <w:p>
      <w:pPr>
        <w:jc w:val="left"/>
        <w:rPr>
          <w:rFonts w:ascii="宋体" w:hAnsi="宋体"/>
          <w:color w:val="auto"/>
          <w:szCs w:val="21"/>
          <w:highlight w:val="none"/>
        </w:rPr>
      </w:pPr>
      <w:r>
        <w:rPr>
          <w:rFonts w:ascii="宋体" w:hAnsi="宋体"/>
          <w:color w:val="auto"/>
          <w:szCs w:val="21"/>
          <w:highlight w:val="none"/>
        </w:rPr>
        <w:t>4.1.3</w:t>
      </w:r>
      <w:r>
        <w:rPr>
          <w:rFonts w:hint="eastAsia" w:ascii="宋体" w:hAnsi="宋体"/>
          <w:color w:val="auto"/>
          <w:szCs w:val="21"/>
          <w:highlight w:val="none"/>
        </w:rPr>
        <w:t>污染物的排放应达到国家、地方政策及标准</w:t>
      </w:r>
      <w:r>
        <w:rPr>
          <w:rFonts w:hint="eastAsia" w:ascii="宋体" w:hAnsi="宋体"/>
          <w:color w:val="auto"/>
          <w:szCs w:val="21"/>
          <w:highlight w:val="none"/>
          <w:lang w:val="en-US" w:eastAsia="zh-CN"/>
        </w:rPr>
        <w:t>的相关</w:t>
      </w:r>
      <w:r>
        <w:rPr>
          <w:rFonts w:hint="eastAsia" w:ascii="宋体" w:hAnsi="宋体"/>
          <w:color w:val="auto"/>
          <w:szCs w:val="21"/>
          <w:highlight w:val="none"/>
        </w:rPr>
        <w:t>要求，排放总量要达到排污许可证的要求。</w:t>
      </w:r>
    </w:p>
    <w:p>
      <w:pPr>
        <w:jc w:val="left"/>
        <w:rPr>
          <w:rFonts w:ascii="宋体" w:hAnsi="宋体"/>
          <w:color w:val="auto"/>
          <w:szCs w:val="21"/>
          <w:highlight w:val="none"/>
        </w:rPr>
      </w:pPr>
      <w:r>
        <w:rPr>
          <w:rFonts w:hint="eastAsia" w:ascii="宋体" w:hAnsi="宋体"/>
          <w:color w:val="auto"/>
          <w:szCs w:val="21"/>
          <w:highlight w:val="none"/>
        </w:rPr>
        <w:t>4.1.</w:t>
      </w:r>
      <w:r>
        <w:rPr>
          <w:rFonts w:ascii="宋体" w:hAnsi="宋体"/>
          <w:color w:val="auto"/>
          <w:szCs w:val="21"/>
          <w:highlight w:val="none"/>
        </w:rPr>
        <w:t>4</w:t>
      </w:r>
      <w:r>
        <w:rPr>
          <w:rFonts w:hint="eastAsia" w:ascii="宋体" w:hAnsi="宋体"/>
          <w:color w:val="auto"/>
          <w:szCs w:val="21"/>
          <w:highlight w:val="none"/>
        </w:rPr>
        <w:t>企业安全管理应达到</w:t>
      </w:r>
      <w:r>
        <w:rPr>
          <w:rFonts w:ascii="宋体" w:hAnsi="宋体"/>
          <w:color w:val="auto"/>
          <w:szCs w:val="21"/>
          <w:highlight w:val="none"/>
        </w:rPr>
        <w:t>GB/T 33000</w:t>
      </w:r>
      <w:r>
        <w:rPr>
          <w:rFonts w:hint="eastAsia" w:ascii="宋体" w:hAnsi="宋体"/>
          <w:color w:val="auto"/>
          <w:szCs w:val="21"/>
          <w:highlight w:val="none"/>
        </w:rPr>
        <w:t>的要求；企业应按照</w:t>
      </w:r>
      <w:r>
        <w:rPr>
          <w:rFonts w:ascii="宋体" w:hAnsi="宋体"/>
          <w:color w:val="auto"/>
          <w:szCs w:val="21"/>
          <w:highlight w:val="none"/>
        </w:rPr>
        <w:t>GB/T 19001</w:t>
      </w:r>
      <w:r>
        <w:rPr>
          <w:rFonts w:hint="eastAsia" w:ascii="宋体" w:hAnsi="宋体"/>
          <w:color w:val="auto"/>
          <w:szCs w:val="21"/>
          <w:highlight w:val="none"/>
        </w:rPr>
        <w:t>、GB/T 23331、</w:t>
      </w:r>
      <w:r>
        <w:rPr>
          <w:rFonts w:ascii="宋体" w:hAnsi="宋体"/>
          <w:color w:val="auto"/>
          <w:szCs w:val="21"/>
          <w:highlight w:val="none"/>
        </w:rPr>
        <w:t>GB/T 24001</w:t>
      </w:r>
      <w:r>
        <w:rPr>
          <w:rFonts w:hint="eastAsia" w:ascii="宋体" w:hAnsi="宋体"/>
          <w:color w:val="auto"/>
          <w:szCs w:val="21"/>
          <w:highlight w:val="none"/>
        </w:rPr>
        <w:t>、</w:t>
      </w:r>
      <w:r>
        <w:rPr>
          <w:rFonts w:ascii="宋体" w:hAnsi="宋体"/>
          <w:color w:val="auto"/>
          <w:szCs w:val="21"/>
          <w:highlight w:val="none"/>
        </w:rPr>
        <w:t>GB/T 45001</w:t>
      </w:r>
      <w:r>
        <w:rPr>
          <w:rFonts w:hint="eastAsia" w:ascii="宋体" w:hAnsi="宋体"/>
          <w:color w:val="auto"/>
          <w:szCs w:val="21"/>
          <w:highlight w:val="none"/>
        </w:rPr>
        <w:t>分别建立、实施、保持并持续改进质量管理体系、能源管理体系、环境管理体系和职业健康安全管理体系。</w:t>
      </w:r>
    </w:p>
    <w:p>
      <w:pPr>
        <w:jc w:val="left"/>
        <w:rPr>
          <w:rFonts w:ascii="宋体" w:hAnsi="宋体"/>
          <w:color w:val="auto"/>
          <w:szCs w:val="21"/>
          <w:highlight w:val="none"/>
        </w:rPr>
      </w:pPr>
      <w:r>
        <w:rPr>
          <w:rFonts w:ascii="宋体" w:hAnsi="宋体"/>
          <w:color w:val="auto"/>
          <w:szCs w:val="21"/>
          <w:highlight w:val="none"/>
        </w:rPr>
        <w:t>4.1.5</w:t>
      </w:r>
      <w:r>
        <w:rPr>
          <w:rFonts w:hint="eastAsia" w:ascii="宋体" w:hAnsi="宋体"/>
          <w:color w:val="auto"/>
          <w:szCs w:val="21"/>
          <w:highlight w:val="none"/>
        </w:rPr>
        <w:t>热镀用锌合金冶炼固废应进行无害化</w:t>
      </w:r>
      <w:r>
        <w:rPr>
          <w:rFonts w:ascii="宋体" w:hAnsi="宋体"/>
          <w:color w:val="auto"/>
          <w:szCs w:val="21"/>
          <w:highlight w:val="none"/>
        </w:rPr>
        <w:t>/</w:t>
      </w:r>
      <w:r>
        <w:rPr>
          <w:rFonts w:hint="eastAsia" w:ascii="宋体" w:hAnsi="宋体"/>
          <w:color w:val="auto"/>
          <w:szCs w:val="21"/>
          <w:highlight w:val="none"/>
        </w:rPr>
        <w:t>资源化处理，一般固体废弃物按照GB 18599的要求进行贮存和处置，危险固废按GB 18597要求进行收集、贮存、运输和处置。</w:t>
      </w:r>
    </w:p>
    <w:p>
      <w:pPr>
        <w:pStyle w:val="41"/>
        <w:numPr>
          <w:ilvl w:val="1"/>
          <w:numId w:val="1"/>
        </w:numPr>
        <w:spacing w:before="156" w:beforeLines="50" w:after="156" w:afterLines="50"/>
        <w:outlineLvl w:val="9"/>
        <w:rPr>
          <w:color w:val="auto"/>
          <w:szCs w:val="22"/>
          <w:highlight w:val="none"/>
        </w:rPr>
      </w:pPr>
      <w:r>
        <w:rPr>
          <w:rFonts w:hint="eastAsia"/>
          <w:color w:val="auto"/>
          <w:szCs w:val="22"/>
          <w:highlight w:val="none"/>
        </w:rPr>
        <w:t>评价指标要求</w:t>
      </w:r>
    </w:p>
    <w:p>
      <w:pPr>
        <w:ind w:firstLine="420" w:firstLineChars="200"/>
        <w:jc w:val="left"/>
        <w:rPr>
          <w:color w:val="auto"/>
          <w:szCs w:val="21"/>
          <w:highlight w:val="none"/>
        </w:rPr>
      </w:pPr>
      <w:r>
        <w:rPr>
          <w:rFonts w:hint="eastAsia" w:ascii="宋体" w:hAnsi="宋体"/>
          <w:color w:val="auto"/>
          <w:szCs w:val="21"/>
          <w:highlight w:val="none"/>
        </w:rPr>
        <w:t>热镀用锌合金锭产品评价指标由一级指标和二级指标组成。</w:t>
      </w:r>
      <w:r>
        <w:rPr>
          <w:rFonts w:hint="eastAsia"/>
          <w:color w:val="auto"/>
          <w:szCs w:val="21"/>
          <w:highlight w:val="none"/>
        </w:rPr>
        <w:t>一级指标包括资源属性指标、能源属性指标、环境属性指标和产品属性指标。二级指标是对一级指标的具体化，明确规定所要达到的具体数值。具体见表</w:t>
      </w:r>
      <w:r>
        <w:rPr>
          <w:color w:val="auto"/>
          <w:szCs w:val="21"/>
          <w:highlight w:val="none"/>
        </w:rPr>
        <w:t>1</w:t>
      </w:r>
      <w:r>
        <w:rPr>
          <w:rFonts w:hint="eastAsia"/>
          <w:color w:val="auto"/>
          <w:szCs w:val="21"/>
          <w:highlight w:val="none"/>
        </w:rPr>
        <w:t>。</w:t>
      </w:r>
    </w:p>
    <w:p>
      <w:pPr>
        <w:ind w:firstLine="420" w:firstLineChars="200"/>
        <w:jc w:val="left"/>
        <w:rPr>
          <w:color w:val="auto"/>
          <w:szCs w:val="21"/>
          <w:highlight w:val="none"/>
        </w:rPr>
      </w:pPr>
      <w:r>
        <w:rPr>
          <w:rFonts w:hint="eastAsia"/>
          <w:color w:val="auto"/>
          <w:szCs w:val="21"/>
          <w:highlight w:val="none"/>
        </w:rPr>
        <w:t>本标准的功能单位为生产</w:t>
      </w:r>
      <w:bookmarkStart w:id="8" w:name="_Hlk41918138"/>
      <w:r>
        <w:rPr>
          <w:rFonts w:hint="eastAsia"/>
          <w:color w:val="auto"/>
          <w:szCs w:val="21"/>
          <w:highlight w:val="none"/>
        </w:rPr>
        <w:t>1吨符合质量要求的热镀用锌合金锭产品</w:t>
      </w:r>
      <w:bookmarkEnd w:id="8"/>
      <w:r>
        <w:rPr>
          <w:rFonts w:hint="eastAsia"/>
          <w:color w:val="auto"/>
          <w:szCs w:val="21"/>
          <w:highlight w:val="none"/>
        </w:rPr>
        <w:t>。</w:t>
      </w:r>
    </w:p>
    <w:p>
      <w:pPr>
        <w:jc w:val="center"/>
        <w:rPr>
          <w:rFonts w:ascii="黑体" w:eastAsia="黑体"/>
          <w:b/>
          <w:color w:val="auto"/>
          <w:szCs w:val="21"/>
          <w:highlight w:val="none"/>
        </w:rPr>
      </w:pPr>
      <w:r>
        <w:rPr>
          <w:rFonts w:hint="eastAsia" w:ascii="黑体" w:eastAsia="黑体"/>
          <w:b/>
          <w:color w:val="auto"/>
          <w:szCs w:val="21"/>
          <w:highlight w:val="none"/>
        </w:rPr>
        <w:t>表</w:t>
      </w:r>
      <w:r>
        <w:rPr>
          <w:rFonts w:ascii="黑体" w:eastAsia="黑体"/>
          <w:b/>
          <w:color w:val="auto"/>
          <w:szCs w:val="21"/>
          <w:highlight w:val="none"/>
        </w:rPr>
        <w:t xml:space="preserve">1  </w:t>
      </w:r>
      <w:r>
        <w:rPr>
          <w:rFonts w:hint="eastAsia" w:ascii="黑体" w:eastAsia="黑体"/>
          <w:b/>
          <w:color w:val="auto"/>
          <w:szCs w:val="21"/>
          <w:highlight w:val="none"/>
        </w:rPr>
        <w:t>热镀用锌合金锭产品评价指标</w:t>
      </w:r>
    </w:p>
    <w:tbl>
      <w:tblPr>
        <w:tblStyle w:val="10"/>
        <w:tblW w:w="8597" w:type="dxa"/>
        <w:tblInd w:w="0" w:type="dxa"/>
        <w:tblLayout w:type="fixed"/>
        <w:tblCellMar>
          <w:top w:w="15" w:type="dxa"/>
          <w:left w:w="15" w:type="dxa"/>
          <w:bottom w:w="15" w:type="dxa"/>
          <w:right w:w="15" w:type="dxa"/>
        </w:tblCellMar>
      </w:tblPr>
      <w:tblGrid>
        <w:gridCol w:w="1030"/>
        <w:gridCol w:w="2104"/>
        <w:gridCol w:w="849"/>
        <w:gridCol w:w="1725"/>
        <w:gridCol w:w="1962"/>
        <w:gridCol w:w="927"/>
      </w:tblGrid>
      <w:tr>
        <w:tblPrEx>
          <w:tblCellMar>
            <w:top w:w="15" w:type="dxa"/>
            <w:left w:w="15" w:type="dxa"/>
            <w:bottom w:w="15" w:type="dxa"/>
            <w:right w:w="15" w:type="dxa"/>
          </w:tblCellMar>
        </w:tblPrEx>
        <w:trPr>
          <w:trHeight w:val="228"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一级指标</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二级指标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单位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基准值</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判断依据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所属阶段</w:t>
            </w:r>
          </w:p>
        </w:tc>
      </w:tr>
      <w:tr>
        <w:tblPrEx>
          <w:tblCellMar>
            <w:top w:w="15" w:type="dxa"/>
            <w:left w:w="15" w:type="dxa"/>
            <w:bottom w:w="15" w:type="dxa"/>
            <w:right w:w="15" w:type="dxa"/>
          </w:tblCellMar>
        </w:tblPrEx>
        <w:trPr>
          <w:trHeight w:val="90" w:hRule="atLeast"/>
        </w:trPr>
        <w:tc>
          <w:tcPr>
            <w:tcW w:w="103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资源属性</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锌</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GB/T 470标准的要求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依据GB/T 12689提供依据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228" w:hRule="atLeast"/>
        </w:trPr>
        <w:tc>
          <w:tcPr>
            <w:tcW w:w="1030" w:type="dxa"/>
            <w:vMerge w:val="continue"/>
            <w:tcBorders>
              <w:left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铝</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GB/T 1196标准的要求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依据GB/T 20975（所有部分）或GB/T 7999提供依据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228" w:hRule="atLeast"/>
        </w:trPr>
        <w:tc>
          <w:tcPr>
            <w:tcW w:w="1030" w:type="dxa"/>
            <w:vMerge w:val="continue"/>
            <w:tcBorders>
              <w:left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镁</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GB/T 3499标准的要求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依据GB/T 13748提供依据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320" w:hRule="atLeast"/>
        </w:trPr>
        <w:tc>
          <w:tcPr>
            <w:tcW w:w="1030" w:type="dxa"/>
            <w:vMerge w:val="continue"/>
            <w:tcBorders>
              <w:left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锑</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GB/T 1599标准的要求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依据GB/T 3253提供依据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228" w:hRule="atLeast"/>
        </w:trPr>
        <w:tc>
          <w:tcPr>
            <w:tcW w:w="1030" w:type="dxa"/>
            <w:vMerge w:val="continue"/>
            <w:tcBorders>
              <w:left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镍</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GB/T 6516标准的要求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依据GB/T 8647提供依据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228" w:hRule="atLeast"/>
        </w:trPr>
        <w:tc>
          <w:tcPr>
            <w:tcW w:w="1030" w:type="dxa"/>
            <w:vMerge w:val="continue"/>
            <w:tcBorders>
              <w:left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稀土</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GBT4153 标准的要求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依据GB/T 14635.1、GB/T 12690提供依据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228" w:hRule="atLeast"/>
        </w:trPr>
        <w:tc>
          <w:tcPr>
            <w:tcW w:w="1030" w:type="dxa"/>
            <w:vMerge w:val="continue"/>
            <w:tcBorders>
              <w:left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硅</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GB/T 2881标准的要求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依据GB/T 14849提供依据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325" w:hRule="atLeast"/>
        </w:trPr>
        <w:tc>
          <w:tcPr>
            <w:tcW w:w="1030" w:type="dxa"/>
            <w:vMerge w:val="continue"/>
            <w:tcBorders>
              <w:left w:val="single" w:color="000000" w:sz="4" w:space="0"/>
              <w:right w:val="single" w:color="000000" w:sz="4" w:space="0"/>
            </w:tcBorders>
            <w:shd w:val="clear" w:color="auto" w:fill="auto"/>
            <w:vAlign w:val="center"/>
          </w:tcPr>
          <w:p>
            <w:pPr>
              <w:jc w:val="center"/>
              <w:rPr>
                <w:rFonts w:cs="Calibri"/>
                <w:bCs/>
                <w:color w:val="auto"/>
                <w:sz w:val="18"/>
                <w:szCs w:val="18"/>
                <w:highlight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Cs/>
                <w:color w:val="auto"/>
                <w:sz w:val="18"/>
                <w:szCs w:val="18"/>
                <w:highlight w:val="none"/>
              </w:rPr>
            </w:pPr>
            <w:r>
              <w:rPr>
                <w:rFonts w:hint="eastAsia"/>
                <w:bCs/>
                <w:color w:val="auto"/>
                <w:sz w:val="18"/>
                <w:szCs w:val="18"/>
                <w:highlight w:val="none"/>
              </w:rPr>
              <w:t>单位产品新鲜水用量</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Cs/>
                <w:color w:val="auto"/>
                <w:sz w:val="18"/>
                <w:szCs w:val="18"/>
                <w:highlight w:val="none"/>
              </w:rPr>
            </w:pPr>
            <w:r>
              <w:rPr>
                <w:rFonts w:hint="eastAsia"/>
                <w:bCs/>
                <w:color w:val="auto"/>
                <w:sz w:val="18"/>
                <w:szCs w:val="18"/>
                <w:highlight w:val="none"/>
              </w:rPr>
              <w:t>m</w:t>
            </w:r>
            <w:r>
              <w:rPr>
                <w:rFonts w:hint="eastAsia"/>
                <w:bCs/>
                <w:color w:val="auto"/>
                <w:sz w:val="18"/>
                <w:szCs w:val="18"/>
                <w:highlight w:val="none"/>
                <w:vertAlign w:val="superscript"/>
              </w:rPr>
              <w:t>3</w:t>
            </w:r>
            <w:r>
              <w:rPr>
                <w:rFonts w:hint="eastAsia"/>
                <w:bCs/>
                <w:color w:val="auto"/>
                <w:sz w:val="18"/>
                <w:szCs w:val="18"/>
                <w:highlight w:val="none"/>
              </w:rPr>
              <w:t>/t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0.14</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现场数据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90" w:hRule="atLeast"/>
        </w:trPr>
        <w:tc>
          <w:tcPr>
            <w:tcW w:w="103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Calibri"/>
                <w:bCs/>
                <w:color w:val="auto"/>
                <w:sz w:val="18"/>
                <w:szCs w:val="18"/>
                <w:highlight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bCs/>
                <w:color w:val="auto"/>
                <w:sz w:val="18"/>
                <w:szCs w:val="18"/>
                <w:highlight w:val="none"/>
              </w:rPr>
            </w:pPr>
            <w:r>
              <w:rPr>
                <w:rFonts w:hint="eastAsia"/>
                <w:bCs/>
                <w:color w:val="auto"/>
                <w:sz w:val="18"/>
                <w:szCs w:val="18"/>
                <w:highlight w:val="none"/>
              </w:rPr>
              <w:t>锌总回收率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Cs/>
                <w:color w:val="auto"/>
                <w:sz w:val="18"/>
                <w:szCs w:val="18"/>
                <w:highlight w:val="none"/>
              </w:rPr>
            </w:pPr>
            <w:r>
              <w:rPr>
                <w:rFonts w:hint="eastAsia"/>
                <w:bCs/>
                <w:color w:val="auto"/>
                <w:sz w:val="18"/>
                <w:szCs w:val="18"/>
                <w:highlight w:val="none"/>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99.5</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cs="Calibri"/>
                <w:bCs/>
                <w:color w:val="auto"/>
                <w:sz w:val="18"/>
                <w:szCs w:val="18"/>
                <w:highlight w:val="none"/>
              </w:rPr>
            </w:pPr>
            <w:r>
              <w:rPr>
                <w:rFonts w:hint="eastAsia" w:ascii="宋体" w:hAnsi="宋体" w:cs="宋体"/>
                <w:bCs/>
                <w:color w:val="auto"/>
                <w:kern w:val="0"/>
                <w:sz w:val="18"/>
                <w:szCs w:val="18"/>
                <w:highlight w:val="none"/>
                <w:lang w:bidi="ar"/>
              </w:rPr>
              <w:t>现场数据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cs="Calibri"/>
                <w:bCs/>
                <w:color w:val="auto"/>
                <w:sz w:val="18"/>
                <w:szCs w:val="18"/>
                <w:highlight w:val="none"/>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90"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能源属性</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热镀用锌合金锭综合能耗</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Cs/>
                <w:color w:val="auto"/>
                <w:sz w:val="18"/>
                <w:szCs w:val="18"/>
                <w:highlight w:val="none"/>
              </w:rPr>
            </w:pPr>
            <w:r>
              <w:rPr>
                <w:rFonts w:hint="eastAsia"/>
                <w:bCs/>
                <w:color w:val="auto"/>
                <w:sz w:val="18"/>
                <w:szCs w:val="18"/>
                <w:highlight w:val="none"/>
              </w:rPr>
              <w:t>kgce/t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sz w:val="18"/>
                <w:szCs w:val="18"/>
                <w:highlight w:val="none"/>
              </w:rPr>
              <w:t>25.0</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现场数据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产品生产</w:t>
            </w:r>
          </w:p>
        </w:tc>
      </w:tr>
      <w:tr>
        <w:tblPrEx>
          <w:tblCellMar>
            <w:top w:w="15" w:type="dxa"/>
            <w:left w:w="15" w:type="dxa"/>
            <w:bottom w:w="15" w:type="dxa"/>
            <w:right w:w="15" w:type="dxa"/>
          </w:tblCellMar>
        </w:tblPrEx>
        <w:trPr>
          <w:trHeight w:val="228" w:hRule="atLeast"/>
        </w:trPr>
        <w:tc>
          <w:tcPr>
            <w:tcW w:w="103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环境属性</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Cs/>
                <w:color w:val="auto"/>
                <w:sz w:val="18"/>
                <w:szCs w:val="18"/>
                <w:highlight w:val="none"/>
              </w:rPr>
            </w:pPr>
            <w:r>
              <w:rPr>
                <w:rFonts w:hint="eastAsia"/>
                <w:bCs/>
                <w:color w:val="auto"/>
                <w:sz w:val="18"/>
                <w:szCs w:val="18"/>
                <w:highlight w:val="none"/>
              </w:rPr>
              <w:t>水污染物排放浓度限值</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18"/>
                <w:szCs w:val="18"/>
                <w:highlight w:val="none"/>
              </w:rPr>
            </w:pPr>
            <w:r>
              <w:rPr>
                <w:rFonts w:hint="eastAsia"/>
                <w:color w:val="auto"/>
                <w:sz w:val="18"/>
                <w:szCs w:val="18"/>
                <w:highlight w:val="none"/>
              </w:rPr>
              <w:t>mg/L</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符合GB 25466新建企业及以上要求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依据GB 25466检测方法提供检测报告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color w:val="auto"/>
                <w:sz w:val="18"/>
                <w:szCs w:val="18"/>
                <w:highlight w:val="none"/>
              </w:rPr>
            </w:pPr>
            <w:r>
              <w:rPr>
                <w:rFonts w:hint="eastAsia" w:ascii="微软雅黑" w:hAnsi="微软雅黑"/>
                <w:color w:val="auto"/>
                <w:sz w:val="18"/>
                <w:szCs w:val="18"/>
                <w:highlight w:val="none"/>
              </w:rPr>
              <w:t>产品生产</w:t>
            </w:r>
          </w:p>
        </w:tc>
      </w:tr>
      <w:tr>
        <w:tblPrEx>
          <w:tblCellMar>
            <w:top w:w="15" w:type="dxa"/>
            <w:left w:w="15" w:type="dxa"/>
            <w:bottom w:w="15" w:type="dxa"/>
            <w:right w:w="15" w:type="dxa"/>
          </w:tblCellMar>
        </w:tblPrEx>
        <w:trPr>
          <w:trHeight w:val="228" w:hRule="atLeast"/>
        </w:trPr>
        <w:tc>
          <w:tcPr>
            <w:tcW w:w="1030" w:type="dxa"/>
            <w:vMerge w:val="continue"/>
            <w:tcBorders>
              <w:left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Cs/>
                <w:color w:val="auto"/>
                <w:kern w:val="0"/>
                <w:sz w:val="18"/>
                <w:szCs w:val="18"/>
                <w:highlight w:val="none"/>
                <w:lang w:bidi="ar"/>
              </w:rPr>
            </w:pPr>
            <w:r>
              <w:rPr>
                <w:rFonts w:hint="eastAsia"/>
                <w:bCs/>
                <w:color w:val="auto"/>
                <w:sz w:val="18"/>
                <w:szCs w:val="18"/>
                <w:highlight w:val="none"/>
              </w:rPr>
              <w:t>大气污染物排放浓度限值</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18"/>
                <w:szCs w:val="18"/>
                <w:highlight w:val="none"/>
              </w:rPr>
            </w:pPr>
            <w:r>
              <w:rPr>
                <w:rFonts w:hint="eastAsia"/>
                <w:color w:val="auto"/>
                <w:sz w:val="18"/>
                <w:szCs w:val="18"/>
                <w:highlight w:val="none"/>
              </w:rPr>
              <w:t>mg/m</w:t>
            </w:r>
            <w:r>
              <w:rPr>
                <w:rFonts w:hint="eastAsia"/>
                <w:color w:val="auto"/>
                <w:sz w:val="18"/>
                <w:szCs w:val="18"/>
                <w:highlight w:val="none"/>
                <w:vertAlign w:val="superscript"/>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符合GB 25466新建企业及以上要求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依据GB 25466检测方法提供检测报告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color w:val="auto"/>
                <w:sz w:val="18"/>
                <w:szCs w:val="18"/>
                <w:highlight w:val="none"/>
              </w:rPr>
            </w:pPr>
            <w:r>
              <w:rPr>
                <w:rFonts w:hint="eastAsia" w:ascii="微软雅黑" w:hAnsi="微软雅黑"/>
                <w:color w:val="auto"/>
                <w:sz w:val="18"/>
                <w:szCs w:val="18"/>
                <w:highlight w:val="none"/>
              </w:rPr>
              <w:t>产品生产</w:t>
            </w:r>
          </w:p>
        </w:tc>
      </w:tr>
      <w:tr>
        <w:tblPrEx>
          <w:tblCellMar>
            <w:top w:w="15" w:type="dxa"/>
            <w:left w:w="15" w:type="dxa"/>
            <w:bottom w:w="15" w:type="dxa"/>
            <w:right w:w="15" w:type="dxa"/>
          </w:tblCellMar>
        </w:tblPrEx>
        <w:trPr>
          <w:trHeight w:val="414" w:hRule="atLeast"/>
        </w:trPr>
        <w:tc>
          <w:tcPr>
            <w:tcW w:w="1030" w:type="dxa"/>
            <w:vMerge w:val="continue"/>
            <w:tcBorders>
              <w:left w:val="single" w:color="000000" w:sz="4" w:space="0"/>
              <w:right w:val="single" w:color="000000" w:sz="4" w:space="0"/>
            </w:tcBorders>
            <w:shd w:val="clear" w:color="auto" w:fill="auto"/>
            <w:vAlign w:val="center"/>
          </w:tcPr>
          <w:p>
            <w:pPr>
              <w:jc w:val="center"/>
              <w:rPr>
                <w:rFonts w:ascii="宋体" w:hAnsi="宋体" w:cs="宋体"/>
                <w:bCs/>
                <w:color w:val="auto"/>
                <w:sz w:val="18"/>
                <w:szCs w:val="18"/>
                <w:highlight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Cs/>
                <w:color w:val="auto"/>
                <w:kern w:val="0"/>
                <w:sz w:val="18"/>
                <w:szCs w:val="18"/>
                <w:highlight w:val="none"/>
                <w:lang w:bidi="ar"/>
              </w:rPr>
            </w:pPr>
            <w:r>
              <w:rPr>
                <w:rFonts w:hint="eastAsia" w:ascii="微软雅黑" w:hAnsi="微软雅黑"/>
                <w:bCs/>
                <w:color w:val="auto"/>
                <w:sz w:val="18"/>
                <w:szCs w:val="18"/>
                <w:highlight w:val="none"/>
              </w:rPr>
              <w:t>单位产品废水产生量</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center"/>
              <w:rPr>
                <w:rFonts w:ascii="微软雅黑" w:hAnsi="微软雅黑"/>
                <w:color w:val="auto"/>
                <w:sz w:val="18"/>
                <w:szCs w:val="18"/>
                <w:highlight w:val="none"/>
              </w:rPr>
            </w:pPr>
            <w:r>
              <w:rPr>
                <w:rFonts w:hint="eastAsia" w:ascii="微软雅黑" w:hAnsi="微软雅黑"/>
                <w:color w:val="auto"/>
                <w:sz w:val="18"/>
                <w:szCs w:val="18"/>
                <w:highlight w:val="none"/>
              </w:rPr>
              <w:t>m</w:t>
            </w:r>
            <w:r>
              <w:rPr>
                <w:rFonts w:hint="eastAsia" w:ascii="微软雅黑" w:hAnsi="微软雅黑"/>
                <w:color w:val="auto"/>
                <w:sz w:val="18"/>
                <w:szCs w:val="18"/>
                <w:highlight w:val="none"/>
                <w:vertAlign w:val="superscript"/>
              </w:rPr>
              <w:t>3</w:t>
            </w:r>
            <w:r>
              <w:rPr>
                <w:rFonts w:hint="eastAsia" w:ascii="微软雅黑" w:hAnsi="微软雅黑"/>
                <w:color w:val="auto"/>
                <w:sz w:val="18"/>
                <w:szCs w:val="18"/>
                <w:highlight w:val="none"/>
              </w:rPr>
              <w:t>/t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0</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kern w:val="0"/>
                <w:sz w:val="18"/>
                <w:szCs w:val="18"/>
                <w:highlight w:val="none"/>
                <w:lang w:bidi="ar"/>
              </w:rPr>
            </w:pPr>
            <w:r>
              <w:rPr>
                <w:rFonts w:hint="eastAsia" w:ascii="宋体" w:hAnsi="宋体" w:cs="宋体"/>
                <w:bCs/>
                <w:color w:val="auto"/>
                <w:kern w:val="0"/>
                <w:sz w:val="18"/>
                <w:szCs w:val="18"/>
                <w:highlight w:val="none"/>
                <w:lang w:bidi="ar"/>
              </w:rPr>
              <w:t>现场数据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color w:val="auto"/>
                <w:sz w:val="18"/>
                <w:szCs w:val="18"/>
                <w:highlight w:val="none"/>
              </w:rPr>
            </w:pPr>
            <w:r>
              <w:rPr>
                <w:rFonts w:hint="eastAsia" w:ascii="微软雅黑" w:hAnsi="微软雅黑"/>
                <w:color w:val="auto"/>
                <w:sz w:val="18"/>
                <w:szCs w:val="18"/>
                <w:highlight w:val="none"/>
              </w:rPr>
              <w:t>产品生产</w:t>
            </w:r>
          </w:p>
        </w:tc>
      </w:tr>
      <w:tr>
        <w:tblPrEx>
          <w:tblCellMar>
            <w:top w:w="15" w:type="dxa"/>
            <w:left w:w="15" w:type="dxa"/>
            <w:bottom w:w="15" w:type="dxa"/>
            <w:right w:w="15" w:type="dxa"/>
          </w:tblCellMar>
        </w:tblPrEx>
        <w:trPr>
          <w:trHeight w:val="90" w:hRule="atLeast"/>
        </w:trPr>
        <w:tc>
          <w:tcPr>
            <w:tcW w:w="1030" w:type="dxa"/>
            <w:vMerge w:val="continue"/>
            <w:tcBorders>
              <w:left w:val="single" w:color="000000" w:sz="4" w:space="0"/>
              <w:right w:val="single" w:color="000000" w:sz="4" w:space="0"/>
            </w:tcBorders>
            <w:shd w:val="clear" w:color="auto" w:fill="auto"/>
            <w:vAlign w:val="center"/>
          </w:tcPr>
          <w:p>
            <w:pPr>
              <w:jc w:val="center"/>
              <w:rPr>
                <w:rFonts w:ascii="宋体" w:hAnsi="宋体" w:cs="宋体"/>
                <w:bCs/>
                <w:color w:val="auto"/>
                <w:sz w:val="18"/>
                <w:szCs w:val="18"/>
                <w:highlight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Cs/>
                <w:color w:val="auto"/>
                <w:sz w:val="18"/>
                <w:szCs w:val="18"/>
                <w:highlight w:val="none"/>
              </w:rPr>
            </w:pPr>
            <w:r>
              <w:rPr>
                <w:rFonts w:hint="eastAsia" w:ascii="微软雅黑" w:hAnsi="微软雅黑"/>
                <w:bCs/>
                <w:color w:val="auto"/>
                <w:sz w:val="18"/>
                <w:szCs w:val="18"/>
                <w:highlight w:val="none"/>
              </w:rPr>
              <w:t>固体废物处置率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center"/>
              <w:rPr>
                <w:rFonts w:ascii="微软雅黑" w:hAnsi="微软雅黑"/>
                <w:color w:val="auto"/>
                <w:sz w:val="18"/>
                <w:szCs w:val="18"/>
                <w:highlight w:val="none"/>
              </w:rPr>
            </w:pPr>
            <w:r>
              <w:rPr>
                <w:rFonts w:hint="eastAsia" w:ascii="微软雅黑" w:hAnsi="微软雅黑"/>
                <w:color w:val="auto"/>
                <w:sz w:val="18"/>
                <w:szCs w:val="18"/>
                <w:highlight w:val="none"/>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auto"/>
                <w:sz w:val="18"/>
                <w:szCs w:val="18"/>
                <w:highlight w:val="none"/>
              </w:rPr>
            </w:pPr>
            <w:r>
              <w:rPr>
                <w:rFonts w:hint="eastAsia" w:ascii="宋体" w:hAnsi="宋体" w:cs="宋体"/>
                <w:bCs/>
                <w:color w:val="auto"/>
                <w:sz w:val="18"/>
                <w:szCs w:val="18"/>
                <w:highlight w:val="none"/>
              </w:rPr>
              <w:t>100</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现场数据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color w:val="auto"/>
                <w:sz w:val="18"/>
                <w:szCs w:val="18"/>
                <w:highlight w:val="none"/>
              </w:rPr>
            </w:pPr>
            <w:r>
              <w:rPr>
                <w:rFonts w:hint="eastAsia" w:ascii="微软雅黑" w:hAnsi="微软雅黑"/>
                <w:color w:val="auto"/>
                <w:sz w:val="18"/>
                <w:szCs w:val="18"/>
                <w:highlight w:val="none"/>
              </w:rPr>
              <w:t>产品生产</w:t>
            </w:r>
          </w:p>
        </w:tc>
      </w:tr>
      <w:tr>
        <w:tblPrEx>
          <w:tblCellMar>
            <w:top w:w="15" w:type="dxa"/>
            <w:left w:w="15" w:type="dxa"/>
            <w:bottom w:w="15" w:type="dxa"/>
            <w:right w:w="15" w:type="dxa"/>
          </w:tblCellMar>
        </w:tblPrEx>
        <w:trPr>
          <w:trHeight w:val="228"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bCs/>
                <w:color w:val="auto"/>
                <w:sz w:val="18"/>
                <w:szCs w:val="18"/>
                <w:highlight w:val="none"/>
              </w:rPr>
            </w:pPr>
            <w:r>
              <w:rPr>
                <w:rFonts w:hint="eastAsia" w:ascii="宋体" w:hAnsi="宋体" w:cs="宋体"/>
                <w:bCs/>
                <w:color w:val="auto"/>
                <w:kern w:val="0"/>
                <w:sz w:val="18"/>
                <w:szCs w:val="18"/>
                <w:highlight w:val="none"/>
                <w:lang w:bidi="ar"/>
              </w:rPr>
              <w:t>产品属性</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bCs/>
                <w:color w:val="auto"/>
                <w:sz w:val="18"/>
                <w:szCs w:val="18"/>
                <w:highlight w:val="none"/>
              </w:rPr>
            </w:pPr>
            <w:r>
              <w:rPr>
                <w:rFonts w:hint="eastAsia" w:ascii="微软雅黑" w:hAnsi="微软雅黑"/>
                <w:bCs/>
                <w:color w:val="auto"/>
                <w:sz w:val="18"/>
                <w:szCs w:val="18"/>
                <w:highlight w:val="none"/>
              </w:rPr>
              <w:t>产品质量</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bCs/>
                <w:color w:val="auto"/>
                <w:sz w:val="18"/>
                <w:szCs w:val="18"/>
                <w:highlight w:val="none"/>
              </w:rPr>
            </w:pPr>
            <w:r>
              <w:rPr>
                <w:rFonts w:hint="eastAsia" w:ascii="微软雅黑" w:hAnsi="微软雅黑"/>
                <w:bCs/>
                <w:color w:val="auto"/>
                <w:sz w:val="18"/>
                <w:szCs w:val="18"/>
                <w:highlight w:val="none"/>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bCs/>
                <w:color w:val="auto"/>
                <w:sz w:val="18"/>
                <w:szCs w:val="18"/>
                <w:highlight w:val="none"/>
              </w:rPr>
            </w:pPr>
            <w:r>
              <w:rPr>
                <w:rFonts w:hint="eastAsia" w:ascii="宋体" w:hAnsi="宋体" w:cs="宋体"/>
                <w:bCs/>
                <w:color w:val="auto"/>
                <w:kern w:val="0"/>
                <w:sz w:val="18"/>
                <w:szCs w:val="18"/>
                <w:highlight w:val="none"/>
                <w:lang w:bidi="ar"/>
              </w:rPr>
              <w:t>YST 310热镀用锌合金锭中的要求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微软雅黑" w:hAnsi="微软雅黑"/>
                <w:bCs/>
                <w:color w:val="auto"/>
                <w:sz w:val="18"/>
                <w:szCs w:val="18"/>
                <w:highlight w:val="none"/>
              </w:rPr>
            </w:pPr>
            <w:r>
              <w:rPr>
                <w:rFonts w:hint="eastAsia" w:ascii="宋体" w:hAnsi="宋体" w:cs="宋体"/>
                <w:bCs/>
                <w:color w:val="auto"/>
                <w:kern w:val="0"/>
                <w:sz w:val="18"/>
                <w:szCs w:val="18"/>
                <w:highlight w:val="none"/>
                <w:lang w:bidi="ar"/>
              </w:rPr>
              <w:t>依据 GB/T 12689或GB/T 26042提供检验报告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bCs/>
                <w:color w:val="auto"/>
                <w:sz w:val="18"/>
                <w:szCs w:val="18"/>
                <w:highlight w:val="none"/>
              </w:rPr>
            </w:pPr>
            <w:r>
              <w:rPr>
                <w:rFonts w:hint="eastAsia" w:ascii="微软雅黑" w:hAnsi="微软雅黑"/>
                <w:bCs/>
                <w:color w:val="auto"/>
                <w:sz w:val="18"/>
                <w:szCs w:val="18"/>
                <w:highlight w:val="none"/>
              </w:rPr>
              <w:t>产品使用</w:t>
            </w:r>
          </w:p>
        </w:tc>
      </w:tr>
    </w:tbl>
    <w:p>
      <w:pPr>
        <w:rPr>
          <w:rFonts w:ascii="黑体" w:hAnsi="黑体" w:eastAsia="黑体"/>
          <w:color w:val="auto"/>
          <w:szCs w:val="21"/>
          <w:highlight w:val="none"/>
        </w:rPr>
      </w:pPr>
    </w:p>
    <w:p>
      <w:pPr>
        <w:pStyle w:val="41"/>
        <w:numPr>
          <w:ilvl w:val="1"/>
          <w:numId w:val="1"/>
        </w:numPr>
        <w:spacing w:before="156" w:beforeLines="50" w:after="156" w:afterLines="50"/>
        <w:outlineLvl w:val="9"/>
        <w:rPr>
          <w:color w:val="auto"/>
          <w:szCs w:val="22"/>
          <w:highlight w:val="none"/>
        </w:rPr>
      </w:pPr>
      <w:r>
        <w:rPr>
          <w:rFonts w:hint="eastAsia"/>
          <w:color w:val="auto"/>
          <w:szCs w:val="22"/>
          <w:highlight w:val="none"/>
        </w:rPr>
        <w:t>数据来源</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4.</w:t>
      </w:r>
      <w:r>
        <w:rPr>
          <w:rFonts w:hint="eastAsia" w:ascii="黑体" w:hAnsi="黑体" w:eastAsia="黑体"/>
          <w:color w:val="auto"/>
          <w:szCs w:val="21"/>
          <w:highlight w:val="none"/>
        </w:rPr>
        <w:t>3</w:t>
      </w:r>
      <w:r>
        <w:rPr>
          <w:rFonts w:ascii="黑体" w:hAnsi="黑体" w:eastAsia="黑体"/>
          <w:color w:val="auto"/>
          <w:szCs w:val="21"/>
          <w:highlight w:val="none"/>
        </w:rPr>
        <w:t xml:space="preserve">.1 </w:t>
      </w:r>
      <w:r>
        <w:rPr>
          <w:rFonts w:hint="eastAsia" w:ascii="黑体" w:hAnsi="黑体" w:eastAsia="黑体"/>
          <w:color w:val="auto"/>
          <w:szCs w:val="21"/>
          <w:highlight w:val="none"/>
        </w:rPr>
        <w:t>统计</w:t>
      </w:r>
    </w:p>
    <w:p>
      <w:pPr>
        <w:spacing w:line="360" w:lineRule="auto"/>
        <w:ind w:firstLine="420" w:firstLineChars="200"/>
        <w:jc w:val="left"/>
        <w:rPr>
          <w:color w:val="auto"/>
          <w:szCs w:val="21"/>
          <w:highlight w:val="none"/>
        </w:rPr>
      </w:pPr>
      <w:r>
        <w:rPr>
          <w:rFonts w:hint="eastAsia"/>
          <w:color w:val="auto"/>
          <w:szCs w:val="21"/>
          <w:highlight w:val="none"/>
        </w:rPr>
        <w:t>企业的原辅材料及能源使用量、产品产量、废水、废气和固体废物产生量及相关技术经济指标等，以月报表或年报表为准。</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4.</w:t>
      </w:r>
      <w:r>
        <w:rPr>
          <w:rFonts w:hint="eastAsia" w:ascii="黑体" w:hAnsi="黑体" w:eastAsia="黑体"/>
          <w:color w:val="auto"/>
          <w:szCs w:val="21"/>
          <w:highlight w:val="none"/>
        </w:rPr>
        <w:t>3</w:t>
      </w:r>
      <w:r>
        <w:rPr>
          <w:rFonts w:ascii="黑体" w:hAnsi="黑体" w:eastAsia="黑体"/>
          <w:color w:val="auto"/>
          <w:szCs w:val="21"/>
          <w:highlight w:val="none"/>
        </w:rPr>
        <w:t xml:space="preserve">.2 </w:t>
      </w:r>
      <w:r>
        <w:rPr>
          <w:rFonts w:hint="eastAsia" w:ascii="黑体" w:hAnsi="黑体" w:eastAsia="黑体"/>
          <w:color w:val="auto"/>
          <w:szCs w:val="21"/>
          <w:highlight w:val="none"/>
        </w:rPr>
        <w:t>实测</w:t>
      </w:r>
    </w:p>
    <w:p>
      <w:pPr>
        <w:ind w:firstLine="420" w:firstLineChars="200"/>
        <w:jc w:val="left"/>
        <w:rPr>
          <w:color w:val="auto"/>
          <w:szCs w:val="21"/>
          <w:highlight w:val="none"/>
        </w:rPr>
      </w:pPr>
      <w:r>
        <w:rPr>
          <w:rFonts w:hint="eastAsia"/>
          <w:color w:val="auto"/>
          <w:szCs w:val="21"/>
          <w:highlight w:val="none"/>
        </w:rPr>
        <w:t>企业的原辅材料及能源使用量、产品产量、废水、废气和固体废物产生量及相关技术经济指标等也可选取有代表性生产时间段进行同步实测，所选取的生产时间段一般不少于一个月。</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4.</w:t>
      </w:r>
      <w:r>
        <w:rPr>
          <w:rFonts w:hint="eastAsia" w:ascii="黑体" w:hAnsi="黑体" w:eastAsia="黑体"/>
          <w:color w:val="auto"/>
          <w:szCs w:val="21"/>
          <w:highlight w:val="none"/>
        </w:rPr>
        <w:t>3</w:t>
      </w:r>
      <w:r>
        <w:rPr>
          <w:rFonts w:ascii="黑体" w:hAnsi="黑体" w:eastAsia="黑体"/>
          <w:color w:val="auto"/>
          <w:szCs w:val="21"/>
          <w:highlight w:val="none"/>
        </w:rPr>
        <w:t xml:space="preserve">.3 </w:t>
      </w:r>
      <w:r>
        <w:rPr>
          <w:rFonts w:hint="eastAsia" w:ascii="黑体" w:hAnsi="黑体" w:eastAsia="黑体"/>
          <w:color w:val="auto"/>
          <w:szCs w:val="21"/>
          <w:highlight w:val="none"/>
        </w:rPr>
        <w:t>采样和监测</w:t>
      </w:r>
    </w:p>
    <w:p>
      <w:pPr>
        <w:spacing w:line="360" w:lineRule="auto"/>
        <w:ind w:firstLine="420" w:firstLineChars="200"/>
        <w:jc w:val="left"/>
        <w:rPr>
          <w:color w:val="auto"/>
          <w:szCs w:val="21"/>
          <w:highlight w:val="none"/>
        </w:rPr>
      </w:pPr>
      <w:r>
        <w:rPr>
          <w:rFonts w:hint="eastAsia"/>
          <w:color w:val="auto"/>
          <w:szCs w:val="21"/>
          <w:highlight w:val="none"/>
        </w:rPr>
        <w:t>污染物排放指标的采样和监测按照相关技术规范执行，并采用相应的国家或行业标准进行分析。</w:t>
      </w:r>
    </w:p>
    <w:p>
      <w:pPr>
        <w:pStyle w:val="41"/>
        <w:numPr>
          <w:ilvl w:val="0"/>
          <w:numId w:val="3"/>
        </w:numPr>
        <w:rPr>
          <w:color w:val="auto"/>
          <w:szCs w:val="22"/>
          <w:highlight w:val="none"/>
        </w:rPr>
      </w:pPr>
      <w:bookmarkStart w:id="9" w:name="_Toc12785"/>
      <w:bookmarkStart w:id="10" w:name="_Toc2755362"/>
      <w:r>
        <w:rPr>
          <w:rFonts w:hint="eastAsia"/>
          <w:color w:val="auto"/>
          <w:szCs w:val="22"/>
          <w:highlight w:val="none"/>
        </w:rPr>
        <w:t>产品生命周期评价报告编制方法</w:t>
      </w:r>
      <w:bookmarkEnd w:id="9"/>
      <w:bookmarkEnd w:id="10"/>
    </w:p>
    <w:p>
      <w:pPr>
        <w:pStyle w:val="41"/>
        <w:numPr>
          <w:ilvl w:val="1"/>
          <w:numId w:val="1"/>
        </w:numPr>
        <w:spacing w:before="156" w:beforeLines="50" w:after="156" w:afterLines="50"/>
        <w:outlineLvl w:val="9"/>
        <w:rPr>
          <w:color w:val="auto"/>
          <w:szCs w:val="22"/>
          <w:highlight w:val="none"/>
        </w:rPr>
      </w:pPr>
      <w:r>
        <w:rPr>
          <w:rFonts w:hint="eastAsia"/>
          <w:color w:val="auto"/>
          <w:szCs w:val="22"/>
          <w:highlight w:val="none"/>
        </w:rPr>
        <w:t>方法</w:t>
      </w:r>
    </w:p>
    <w:p>
      <w:pPr>
        <w:spacing w:line="360" w:lineRule="auto"/>
        <w:ind w:firstLine="420" w:firstLineChars="200"/>
        <w:jc w:val="left"/>
        <w:rPr>
          <w:color w:val="auto"/>
          <w:szCs w:val="21"/>
          <w:highlight w:val="none"/>
        </w:rPr>
      </w:pPr>
      <w:r>
        <w:rPr>
          <w:rFonts w:hint="eastAsia"/>
          <w:color w:val="auto"/>
          <w:szCs w:val="21"/>
          <w:highlight w:val="none"/>
        </w:rPr>
        <w:t>应依据附录</w:t>
      </w:r>
      <w:r>
        <w:rPr>
          <w:color w:val="auto"/>
          <w:szCs w:val="21"/>
          <w:highlight w:val="none"/>
        </w:rPr>
        <w:t>A</w:t>
      </w:r>
      <w:r>
        <w:rPr>
          <w:rFonts w:hint="eastAsia"/>
          <w:color w:val="auto"/>
          <w:szCs w:val="21"/>
          <w:highlight w:val="none"/>
        </w:rPr>
        <w:t>中生命周期评价方法和附录</w:t>
      </w:r>
      <w:r>
        <w:rPr>
          <w:color w:val="auto"/>
          <w:szCs w:val="21"/>
          <w:highlight w:val="none"/>
        </w:rPr>
        <w:t>B</w:t>
      </w:r>
      <w:r>
        <w:rPr>
          <w:rFonts w:hint="eastAsia"/>
          <w:color w:val="auto"/>
          <w:szCs w:val="21"/>
          <w:highlight w:val="none"/>
        </w:rPr>
        <w:t>中数据收集表格，对热镀用锌合金锭产品进行生命周期评价。</w:t>
      </w:r>
    </w:p>
    <w:p>
      <w:pPr>
        <w:pStyle w:val="41"/>
        <w:numPr>
          <w:ilvl w:val="1"/>
          <w:numId w:val="1"/>
        </w:numPr>
        <w:spacing w:before="156" w:beforeLines="50" w:after="156" w:afterLines="50"/>
        <w:outlineLvl w:val="9"/>
        <w:rPr>
          <w:color w:val="auto"/>
          <w:szCs w:val="22"/>
          <w:highlight w:val="none"/>
        </w:rPr>
      </w:pPr>
      <w:r>
        <w:rPr>
          <w:rFonts w:hint="eastAsia"/>
          <w:color w:val="auto"/>
          <w:szCs w:val="22"/>
          <w:highlight w:val="none"/>
        </w:rPr>
        <w:t>报告框架</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5.2.1 </w:t>
      </w:r>
      <w:r>
        <w:rPr>
          <w:rFonts w:hint="eastAsia" w:ascii="黑体" w:hAnsi="黑体" w:eastAsia="黑体"/>
          <w:color w:val="auto"/>
          <w:szCs w:val="21"/>
          <w:highlight w:val="none"/>
        </w:rPr>
        <w:t>基本信息</w:t>
      </w:r>
    </w:p>
    <w:p>
      <w:pPr>
        <w:ind w:firstLine="420" w:firstLineChars="200"/>
        <w:jc w:val="left"/>
        <w:rPr>
          <w:color w:val="auto"/>
          <w:szCs w:val="21"/>
          <w:highlight w:val="none"/>
        </w:rPr>
      </w:pPr>
      <w:r>
        <w:rPr>
          <w:rFonts w:hint="eastAsia"/>
          <w:color w:val="auto"/>
          <w:szCs w:val="21"/>
          <w:highlight w:val="none"/>
        </w:rPr>
        <w:t>报告应提供报告信息、申请者信息、评估对象信息、采用的标准信息等基本信息；各信息内容应包括：</w:t>
      </w:r>
    </w:p>
    <w:p>
      <w:pPr>
        <w:ind w:firstLine="420" w:firstLineChars="200"/>
        <w:jc w:val="left"/>
        <w:rPr>
          <w:color w:val="auto"/>
          <w:szCs w:val="21"/>
          <w:highlight w:val="none"/>
        </w:rPr>
      </w:pPr>
      <w:r>
        <w:rPr>
          <w:rFonts w:hint="eastAsia"/>
          <w:color w:val="auto"/>
          <w:szCs w:val="21"/>
          <w:highlight w:val="none"/>
        </w:rPr>
        <w:t>a)报告信息：包括报告编号、编制人员、审核人员、日期等；</w:t>
      </w:r>
    </w:p>
    <w:p>
      <w:pPr>
        <w:ind w:firstLine="420" w:firstLineChars="200"/>
        <w:jc w:val="left"/>
        <w:rPr>
          <w:color w:val="auto"/>
          <w:szCs w:val="21"/>
          <w:highlight w:val="none"/>
        </w:rPr>
      </w:pPr>
      <w:r>
        <w:rPr>
          <w:rFonts w:hint="eastAsia"/>
          <w:color w:val="auto"/>
          <w:szCs w:val="21"/>
          <w:highlight w:val="none"/>
        </w:rPr>
        <w:t>b)申请者信息：包括公司全称、</w:t>
      </w:r>
      <w:r>
        <w:rPr>
          <w:color w:val="auto"/>
          <w:szCs w:val="21"/>
          <w:highlight w:val="none"/>
        </w:rPr>
        <w:t>统一社会信用代码</w:t>
      </w:r>
      <w:r>
        <w:rPr>
          <w:rFonts w:hint="eastAsia"/>
          <w:color w:val="auto"/>
          <w:szCs w:val="21"/>
          <w:highlight w:val="none"/>
        </w:rPr>
        <w:t>、地址、联系人、联系方式等；</w:t>
      </w:r>
    </w:p>
    <w:p>
      <w:pPr>
        <w:ind w:firstLine="420" w:firstLineChars="200"/>
        <w:jc w:val="left"/>
        <w:rPr>
          <w:color w:val="auto"/>
          <w:szCs w:val="21"/>
          <w:highlight w:val="none"/>
        </w:rPr>
      </w:pPr>
      <w:r>
        <w:rPr>
          <w:rFonts w:hint="eastAsia"/>
          <w:color w:val="auto"/>
          <w:szCs w:val="21"/>
          <w:highlight w:val="none"/>
        </w:rPr>
        <w:t>c)评估对象信息：包括产品名称、主要技术指标、制造商及厂址等；</w:t>
      </w:r>
    </w:p>
    <w:p>
      <w:pPr>
        <w:spacing w:line="360" w:lineRule="auto"/>
        <w:ind w:firstLine="420" w:firstLineChars="200"/>
        <w:jc w:val="left"/>
        <w:rPr>
          <w:color w:val="auto"/>
          <w:szCs w:val="21"/>
          <w:highlight w:val="none"/>
        </w:rPr>
      </w:pPr>
      <w:r>
        <w:rPr>
          <w:rFonts w:hint="eastAsia"/>
          <w:color w:val="auto"/>
          <w:szCs w:val="21"/>
          <w:highlight w:val="none"/>
        </w:rPr>
        <w:t>d)采用的标准信息：包括标准名称及标准号等。</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5.2.2 </w:t>
      </w:r>
      <w:r>
        <w:rPr>
          <w:rFonts w:hint="eastAsia" w:ascii="黑体" w:hAnsi="黑体" w:eastAsia="黑体"/>
          <w:color w:val="auto"/>
          <w:szCs w:val="21"/>
          <w:highlight w:val="none"/>
        </w:rPr>
        <w:t>符合性评价</w:t>
      </w:r>
    </w:p>
    <w:p>
      <w:pPr>
        <w:ind w:firstLine="420" w:firstLineChars="200"/>
        <w:jc w:val="left"/>
        <w:rPr>
          <w:color w:val="auto"/>
          <w:szCs w:val="21"/>
          <w:highlight w:val="none"/>
        </w:rPr>
      </w:pPr>
      <w:r>
        <w:rPr>
          <w:rFonts w:hint="eastAsia"/>
          <w:color w:val="auto"/>
          <w:szCs w:val="21"/>
          <w:highlight w:val="none"/>
        </w:rPr>
        <w:t>报告中应提供对基本要求和评价指标要求的符合性情况说明，并提供所有评价指标比基期改进情况的说明。其中报告期为当前评价的年份，一般是指产品参与评价年份的上一年；基期为一个对照年份，一般比报告期提前一年。</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5.2.3 </w:t>
      </w:r>
      <w:r>
        <w:rPr>
          <w:rFonts w:hint="eastAsia" w:ascii="黑体" w:hAnsi="黑体" w:eastAsia="黑体"/>
          <w:color w:val="auto"/>
          <w:szCs w:val="21"/>
          <w:highlight w:val="none"/>
        </w:rPr>
        <w:t>生命周期评价</w:t>
      </w:r>
    </w:p>
    <w:p>
      <w:pPr>
        <w:spacing w:before="312" w:beforeLines="100" w:after="312" w:afterLines="100" w:line="360" w:lineRule="auto"/>
        <w:jc w:val="left"/>
        <w:rPr>
          <w:rFonts w:ascii="黑体" w:hAnsi="黑体" w:eastAsia="黑体"/>
          <w:color w:val="auto"/>
          <w:szCs w:val="21"/>
          <w:highlight w:val="none"/>
        </w:rPr>
      </w:pPr>
      <w:r>
        <w:rPr>
          <w:rFonts w:hint="eastAsia" w:ascii="黑体" w:hAnsi="黑体" w:eastAsia="黑体"/>
          <w:color w:val="auto"/>
          <w:szCs w:val="21"/>
          <w:highlight w:val="none"/>
        </w:rPr>
        <w:t>5.2.3.1 目的和范围的确定</w:t>
      </w:r>
    </w:p>
    <w:p>
      <w:pPr>
        <w:ind w:firstLine="420" w:firstLineChars="200"/>
        <w:jc w:val="left"/>
        <w:rPr>
          <w:rFonts w:ascii="宋体"/>
          <w:color w:val="auto"/>
          <w:szCs w:val="21"/>
          <w:highlight w:val="none"/>
        </w:rPr>
      </w:pPr>
      <w:r>
        <w:rPr>
          <w:rFonts w:hint="eastAsia" w:ascii="宋体" w:hAnsi="宋体"/>
          <w:color w:val="auto"/>
          <w:szCs w:val="21"/>
          <w:highlight w:val="none"/>
        </w:rPr>
        <w:t>报告中应详细描述评估的目的和范围，主要包括热镀用锌合金锭产品系统及功能单位和基准流、系统边界、取舍原则、数据的来源和质量、局限性、影响类型和指标的选取以及报告的形式。</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5.2.3.2 </w:t>
      </w:r>
      <w:r>
        <w:rPr>
          <w:rFonts w:hint="eastAsia" w:ascii="黑体" w:hAnsi="黑体" w:eastAsia="黑体"/>
          <w:color w:val="auto"/>
          <w:szCs w:val="21"/>
          <w:highlight w:val="none"/>
        </w:rPr>
        <w:t>生命周期清单分析</w:t>
      </w:r>
    </w:p>
    <w:p>
      <w:pPr>
        <w:ind w:firstLine="420" w:firstLineChars="200"/>
        <w:jc w:val="left"/>
        <w:rPr>
          <w:color w:val="auto"/>
          <w:szCs w:val="21"/>
          <w:highlight w:val="none"/>
        </w:rPr>
      </w:pPr>
      <w:r>
        <w:rPr>
          <w:rFonts w:hint="eastAsia"/>
          <w:color w:val="auto"/>
          <w:szCs w:val="21"/>
          <w:highlight w:val="none"/>
        </w:rPr>
        <w:t>报告中应对热镀用锌合金锭产品整个生命周期中输入和输出进行汇编和量化。应提供</w:t>
      </w:r>
      <w:r>
        <w:rPr>
          <w:color w:val="auto"/>
          <w:szCs w:val="21"/>
          <w:highlight w:val="none"/>
        </w:rPr>
        <w:t>考虑的生命周期阶段</w:t>
      </w:r>
      <w:r>
        <w:rPr>
          <w:rFonts w:hint="eastAsia"/>
          <w:color w:val="auto"/>
          <w:szCs w:val="21"/>
          <w:highlight w:val="none"/>
        </w:rPr>
        <w:t>，说明每个阶段所考虑的清单因子及收集到的现场数据或背景数据。</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5.2.3.3 </w:t>
      </w:r>
      <w:r>
        <w:rPr>
          <w:rFonts w:hint="eastAsia" w:ascii="黑体" w:hAnsi="黑体" w:eastAsia="黑体"/>
          <w:color w:val="auto"/>
          <w:szCs w:val="21"/>
          <w:highlight w:val="none"/>
        </w:rPr>
        <w:t>生命周期影响评价</w:t>
      </w:r>
    </w:p>
    <w:p>
      <w:pPr>
        <w:ind w:firstLine="420" w:firstLineChars="200"/>
        <w:jc w:val="left"/>
        <w:rPr>
          <w:rFonts w:ascii="宋体" w:hAnsi="宋体"/>
          <w:color w:val="auto"/>
          <w:szCs w:val="21"/>
          <w:highlight w:val="none"/>
        </w:rPr>
      </w:pPr>
      <w:r>
        <w:rPr>
          <w:rFonts w:hint="eastAsia" w:ascii="宋体" w:hAnsi="宋体"/>
          <w:color w:val="auto"/>
          <w:szCs w:val="21"/>
          <w:highlight w:val="none"/>
        </w:rPr>
        <w:t>报告中应对热镀用锌合金锭产品系统在生命周期各阶段的不同影响类型的特征化值，并对不同影响类型在各个生命周期阶段的分布情况进行比较分析。</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5.2.3.</w:t>
      </w:r>
      <w:r>
        <w:rPr>
          <w:rFonts w:hint="eastAsia" w:ascii="黑体" w:hAnsi="黑体" w:eastAsia="黑体"/>
          <w:color w:val="auto"/>
          <w:szCs w:val="21"/>
          <w:highlight w:val="none"/>
        </w:rPr>
        <w:t>4</w:t>
      </w:r>
      <w:r>
        <w:rPr>
          <w:rFonts w:ascii="黑体" w:hAnsi="黑体" w:eastAsia="黑体"/>
          <w:color w:val="auto"/>
          <w:szCs w:val="21"/>
          <w:highlight w:val="none"/>
        </w:rPr>
        <w:t xml:space="preserve"> </w:t>
      </w:r>
      <w:r>
        <w:rPr>
          <w:rFonts w:hint="eastAsia" w:ascii="黑体" w:hAnsi="黑体" w:eastAsia="黑体"/>
          <w:color w:val="auto"/>
          <w:szCs w:val="21"/>
          <w:highlight w:val="none"/>
        </w:rPr>
        <w:t>生命周期解释</w:t>
      </w:r>
    </w:p>
    <w:p>
      <w:pPr>
        <w:ind w:firstLine="420" w:firstLineChars="200"/>
        <w:jc w:val="left"/>
        <w:rPr>
          <w:rFonts w:ascii="宋体" w:hAnsi="宋体"/>
          <w:color w:val="auto"/>
          <w:szCs w:val="21"/>
          <w:highlight w:val="none"/>
        </w:rPr>
      </w:pPr>
      <w:r>
        <w:rPr>
          <w:rFonts w:hint="eastAsia" w:ascii="宋体" w:hAnsi="宋体"/>
          <w:color w:val="auto"/>
          <w:szCs w:val="21"/>
          <w:highlight w:val="none"/>
        </w:rPr>
        <w:t>报告中应提供基于清单分析或影响评价的结果评价之后所形成的结论和建议。解释结果应与目的和范围所规定的要求保持一致。</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5.2</w:t>
      </w:r>
      <w:r>
        <w:rPr>
          <w:rFonts w:hint="eastAsia" w:ascii="黑体" w:hAnsi="黑体" w:eastAsia="黑体"/>
          <w:color w:val="auto"/>
          <w:szCs w:val="21"/>
          <w:highlight w:val="none"/>
        </w:rPr>
        <w:t>.3.5</w:t>
      </w:r>
      <w:r>
        <w:rPr>
          <w:rFonts w:ascii="黑体" w:hAnsi="黑体" w:eastAsia="黑体"/>
          <w:color w:val="auto"/>
          <w:szCs w:val="21"/>
          <w:highlight w:val="none"/>
        </w:rPr>
        <w:t xml:space="preserve"> </w:t>
      </w:r>
      <w:r>
        <w:rPr>
          <w:rFonts w:hint="eastAsia" w:ascii="黑体" w:hAnsi="黑体" w:eastAsia="黑体"/>
          <w:color w:val="auto"/>
          <w:szCs w:val="21"/>
          <w:highlight w:val="none"/>
        </w:rPr>
        <w:t>绿色设计改进方案</w:t>
      </w:r>
    </w:p>
    <w:p>
      <w:pPr>
        <w:ind w:firstLine="420" w:firstLineChars="200"/>
        <w:jc w:val="left"/>
        <w:rPr>
          <w:color w:val="auto"/>
          <w:szCs w:val="21"/>
          <w:highlight w:val="none"/>
        </w:rPr>
      </w:pPr>
      <w:r>
        <w:rPr>
          <w:rFonts w:hint="eastAsia"/>
          <w:color w:val="auto"/>
          <w:szCs w:val="21"/>
          <w:highlight w:val="none"/>
        </w:rPr>
        <w:t>在分析指标的符合性评价结果以及生命周期评价结果的基础上，提出热镀用锌合金锭产品绿色设计改进的具体方案。</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5.2.</w:t>
      </w:r>
      <w:r>
        <w:rPr>
          <w:rFonts w:hint="eastAsia" w:ascii="黑体" w:hAnsi="黑体" w:eastAsia="黑体"/>
          <w:color w:val="auto"/>
          <w:szCs w:val="21"/>
          <w:highlight w:val="none"/>
        </w:rPr>
        <w:t>3.6</w:t>
      </w:r>
      <w:r>
        <w:rPr>
          <w:rFonts w:ascii="黑体" w:hAnsi="黑体" w:eastAsia="黑体"/>
          <w:color w:val="auto"/>
          <w:szCs w:val="21"/>
          <w:highlight w:val="none"/>
        </w:rPr>
        <w:t xml:space="preserve"> </w:t>
      </w:r>
      <w:r>
        <w:rPr>
          <w:rFonts w:hint="eastAsia" w:ascii="黑体" w:hAnsi="黑体" w:eastAsia="黑体"/>
          <w:color w:val="auto"/>
          <w:szCs w:val="21"/>
          <w:highlight w:val="none"/>
        </w:rPr>
        <w:t>评价报告主要结论</w:t>
      </w:r>
    </w:p>
    <w:p>
      <w:pPr>
        <w:ind w:firstLine="420" w:firstLineChars="200"/>
        <w:jc w:val="left"/>
        <w:rPr>
          <w:color w:val="auto"/>
          <w:szCs w:val="21"/>
          <w:highlight w:val="none"/>
        </w:rPr>
      </w:pPr>
      <w:r>
        <w:rPr>
          <w:rFonts w:hint="eastAsia"/>
          <w:color w:val="auto"/>
          <w:szCs w:val="21"/>
          <w:highlight w:val="none"/>
        </w:rPr>
        <w:t>应说明热镀用锌合金锭产品对评价指标的符合性结论、生命周期评价结果、提出的改进方案，并根据评价结论初步判断该产品是否为绿色设计产品。</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5.2.</w:t>
      </w:r>
      <w:r>
        <w:rPr>
          <w:rFonts w:hint="eastAsia" w:ascii="黑体" w:hAnsi="黑体" w:eastAsia="黑体"/>
          <w:color w:val="auto"/>
          <w:szCs w:val="21"/>
          <w:highlight w:val="none"/>
        </w:rPr>
        <w:t>3.7附件</w:t>
      </w:r>
    </w:p>
    <w:p>
      <w:pPr>
        <w:ind w:firstLine="420" w:firstLineChars="200"/>
        <w:jc w:val="left"/>
        <w:rPr>
          <w:color w:val="auto"/>
          <w:szCs w:val="21"/>
          <w:highlight w:val="none"/>
        </w:rPr>
      </w:pPr>
      <w:r>
        <w:rPr>
          <w:rFonts w:hint="eastAsia"/>
          <w:color w:val="auto"/>
          <w:szCs w:val="21"/>
          <w:highlight w:val="none"/>
        </w:rPr>
        <w:t>报告中应提供附件：</w:t>
      </w:r>
    </w:p>
    <w:p>
      <w:pPr>
        <w:ind w:firstLine="420" w:firstLineChars="200"/>
        <w:jc w:val="left"/>
        <w:rPr>
          <w:color w:val="auto"/>
          <w:szCs w:val="21"/>
          <w:highlight w:val="none"/>
        </w:rPr>
      </w:pPr>
      <w:r>
        <w:rPr>
          <w:color w:val="auto"/>
          <w:szCs w:val="21"/>
          <w:highlight w:val="none"/>
        </w:rPr>
        <w:t>a</w:t>
      </w:r>
      <w:r>
        <w:rPr>
          <w:rFonts w:hint="eastAsia"/>
          <w:color w:val="auto"/>
          <w:szCs w:val="21"/>
          <w:highlight w:val="none"/>
        </w:rPr>
        <w:t>）热镀用锌合金锭产品化学成分分析检测结果；</w:t>
      </w:r>
    </w:p>
    <w:p>
      <w:pPr>
        <w:ind w:firstLine="420" w:firstLineChars="200"/>
        <w:jc w:val="left"/>
        <w:rPr>
          <w:color w:val="auto"/>
          <w:szCs w:val="21"/>
          <w:highlight w:val="none"/>
        </w:rPr>
      </w:pPr>
      <w:r>
        <w:rPr>
          <w:color w:val="auto"/>
          <w:szCs w:val="21"/>
          <w:highlight w:val="none"/>
        </w:rPr>
        <w:t>b</w:t>
      </w:r>
      <w:r>
        <w:rPr>
          <w:rFonts w:hint="eastAsia"/>
          <w:color w:val="auto"/>
          <w:szCs w:val="21"/>
          <w:highlight w:val="none"/>
        </w:rPr>
        <w:t>）热镀用锌合金锭产品工艺表（包括工艺名称、工艺过程）；</w:t>
      </w:r>
    </w:p>
    <w:p>
      <w:pPr>
        <w:ind w:firstLine="420" w:firstLineChars="200"/>
        <w:jc w:val="left"/>
        <w:rPr>
          <w:color w:val="auto"/>
          <w:szCs w:val="21"/>
          <w:highlight w:val="none"/>
        </w:rPr>
      </w:pPr>
      <w:r>
        <w:rPr>
          <w:color w:val="auto"/>
          <w:szCs w:val="21"/>
          <w:highlight w:val="none"/>
        </w:rPr>
        <w:t>c</w:t>
      </w:r>
      <w:r>
        <w:rPr>
          <w:rFonts w:hint="eastAsia"/>
          <w:color w:val="auto"/>
          <w:szCs w:val="21"/>
          <w:highlight w:val="none"/>
        </w:rPr>
        <w:t>）各单元过程的数据收集表；</w:t>
      </w:r>
    </w:p>
    <w:p>
      <w:pPr>
        <w:ind w:firstLine="420" w:firstLineChars="200"/>
        <w:jc w:val="left"/>
        <w:rPr>
          <w:color w:val="auto"/>
          <w:szCs w:val="21"/>
          <w:highlight w:val="none"/>
        </w:rPr>
      </w:pPr>
      <w:r>
        <w:rPr>
          <w:color w:val="auto"/>
          <w:szCs w:val="21"/>
          <w:highlight w:val="none"/>
        </w:rPr>
        <w:t>d</w:t>
      </w:r>
      <w:r>
        <w:rPr>
          <w:rFonts w:hint="eastAsia"/>
          <w:color w:val="auto"/>
          <w:szCs w:val="21"/>
          <w:highlight w:val="none"/>
        </w:rPr>
        <w:t>）其他。</w:t>
      </w:r>
    </w:p>
    <w:p>
      <w:pPr>
        <w:pStyle w:val="41"/>
        <w:numPr>
          <w:ilvl w:val="0"/>
          <w:numId w:val="3"/>
        </w:numPr>
        <w:rPr>
          <w:color w:val="auto"/>
          <w:szCs w:val="22"/>
          <w:highlight w:val="none"/>
        </w:rPr>
      </w:pPr>
      <w:bookmarkStart w:id="11" w:name="_Toc2755363"/>
      <w:bookmarkStart w:id="12" w:name="_Toc24939"/>
      <w:r>
        <w:rPr>
          <w:rFonts w:hint="eastAsia"/>
          <w:color w:val="auto"/>
          <w:szCs w:val="22"/>
          <w:highlight w:val="none"/>
        </w:rPr>
        <w:t>绿色产品评价方法和判定依据</w:t>
      </w:r>
      <w:bookmarkEnd w:id="11"/>
      <w:bookmarkEnd w:id="12"/>
    </w:p>
    <w:p>
      <w:pPr>
        <w:pStyle w:val="41"/>
        <w:numPr>
          <w:ilvl w:val="1"/>
          <w:numId w:val="1"/>
        </w:numPr>
        <w:spacing w:before="156" w:beforeLines="50" w:after="156" w:afterLines="50"/>
        <w:outlineLvl w:val="9"/>
        <w:rPr>
          <w:color w:val="auto"/>
          <w:szCs w:val="22"/>
          <w:highlight w:val="none"/>
        </w:rPr>
      </w:pPr>
      <w:r>
        <w:rPr>
          <w:rFonts w:hint="eastAsia"/>
          <w:color w:val="auto"/>
          <w:szCs w:val="22"/>
          <w:highlight w:val="none"/>
        </w:rPr>
        <w:t>评价方法</w:t>
      </w:r>
    </w:p>
    <w:p>
      <w:pPr>
        <w:ind w:firstLine="420" w:firstLineChars="200"/>
        <w:jc w:val="left"/>
        <w:rPr>
          <w:color w:val="auto"/>
          <w:szCs w:val="21"/>
          <w:highlight w:val="none"/>
        </w:rPr>
      </w:pPr>
      <w:r>
        <w:rPr>
          <w:rFonts w:hint="eastAsia"/>
          <w:color w:val="auto"/>
          <w:szCs w:val="21"/>
          <w:highlight w:val="none"/>
        </w:rPr>
        <w:t>本文件采用指标评价与生命周期评价相结合的方法，按照“</w:t>
      </w:r>
      <w:r>
        <w:rPr>
          <w:color w:val="auto"/>
          <w:szCs w:val="21"/>
          <w:highlight w:val="none"/>
        </w:rPr>
        <w:t>4.1</w:t>
      </w:r>
      <w:r>
        <w:rPr>
          <w:rFonts w:hint="eastAsia"/>
          <w:color w:val="auto"/>
          <w:szCs w:val="21"/>
          <w:highlight w:val="none"/>
        </w:rPr>
        <w:t>基本要求”和“</w:t>
      </w:r>
      <w:r>
        <w:rPr>
          <w:color w:val="auto"/>
          <w:szCs w:val="21"/>
          <w:highlight w:val="none"/>
        </w:rPr>
        <w:t>4.</w:t>
      </w:r>
      <w:r>
        <w:rPr>
          <w:rFonts w:hint="eastAsia"/>
          <w:color w:val="auto"/>
          <w:szCs w:val="21"/>
          <w:highlight w:val="none"/>
        </w:rPr>
        <w:t>2评价指标要求”开展自我评价或第三方评价。在满足评价指标要求的基础上，采用生命周期评价方法，编制生命周期评价报告。</w:t>
      </w:r>
    </w:p>
    <w:p>
      <w:pPr>
        <w:pStyle w:val="41"/>
        <w:numPr>
          <w:ilvl w:val="1"/>
          <w:numId w:val="1"/>
        </w:numPr>
        <w:spacing w:before="156" w:beforeLines="50" w:after="156" w:afterLines="50"/>
        <w:outlineLvl w:val="9"/>
        <w:rPr>
          <w:color w:val="auto"/>
          <w:szCs w:val="22"/>
          <w:highlight w:val="none"/>
        </w:rPr>
      </w:pPr>
      <w:r>
        <w:rPr>
          <w:rFonts w:hint="eastAsia"/>
          <w:color w:val="auto"/>
          <w:szCs w:val="22"/>
          <w:highlight w:val="none"/>
        </w:rPr>
        <w:t>评价流程</w:t>
      </w:r>
    </w:p>
    <w:p>
      <w:pPr>
        <w:ind w:firstLine="420" w:firstLineChars="200"/>
        <w:jc w:val="left"/>
        <w:rPr>
          <w:color w:val="auto"/>
          <w:szCs w:val="21"/>
          <w:highlight w:val="none"/>
        </w:rPr>
      </w:pPr>
      <w:r>
        <w:rPr>
          <w:rFonts w:hint="eastAsia"/>
          <w:color w:val="auto"/>
          <w:szCs w:val="21"/>
          <w:highlight w:val="none"/>
        </w:rPr>
        <w:t>根据热镀用锌合金锭产品的特点，明确评价的范围；根据评价指标体系中的的指标和生命周期评价方法，收集需要的数据，同时要对数据质量进行分析。评价流程图见图</w:t>
      </w:r>
      <w:r>
        <w:rPr>
          <w:color w:val="auto"/>
          <w:szCs w:val="21"/>
          <w:highlight w:val="none"/>
        </w:rPr>
        <w:t>1</w:t>
      </w:r>
      <w:r>
        <w:rPr>
          <w:rFonts w:hint="eastAsia"/>
          <w:color w:val="auto"/>
          <w:szCs w:val="21"/>
          <w:highlight w:val="none"/>
        </w:rPr>
        <w:t>。</w:t>
      </w:r>
    </w:p>
    <w:p>
      <w:pPr>
        <w:pStyle w:val="41"/>
        <w:numPr>
          <w:ilvl w:val="1"/>
          <w:numId w:val="1"/>
        </w:numPr>
        <w:spacing w:before="156" w:beforeLines="50" w:after="156" w:afterLines="50"/>
        <w:outlineLvl w:val="9"/>
        <w:rPr>
          <w:color w:val="auto"/>
          <w:szCs w:val="22"/>
          <w:highlight w:val="none"/>
        </w:rPr>
      </w:pPr>
      <w:r>
        <w:rPr>
          <w:rFonts w:hint="eastAsia"/>
          <w:color w:val="auto"/>
          <w:szCs w:val="22"/>
          <w:highlight w:val="none"/>
        </w:rPr>
        <w:t>判断依据</w:t>
      </w:r>
    </w:p>
    <w:p>
      <w:pPr>
        <w:ind w:firstLine="420" w:firstLineChars="200"/>
        <w:jc w:val="left"/>
        <w:rPr>
          <w:color w:val="auto"/>
          <w:szCs w:val="21"/>
          <w:highlight w:val="none"/>
        </w:rPr>
      </w:pPr>
      <w:r>
        <w:rPr>
          <w:rFonts w:hint="eastAsia"/>
          <w:color w:val="auto"/>
          <w:szCs w:val="21"/>
          <w:highlight w:val="none"/>
        </w:rPr>
        <w:t>热镀用锌合金锭产品同时满足以下两个条件，即可判断为绿色设计产品：</w:t>
      </w:r>
    </w:p>
    <w:p>
      <w:pPr>
        <w:ind w:firstLine="420" w:firstLineChars="200"/>
        <w:jc w:val="left"/>
        <w:rPr>
          <w:color w:val="auto"/>
          <w:szCs w:val="21"/>
          <w:highlight w:val="none"/>
        </w:rPr>
      </w:pPr>
      <w:r>
        <w:rPr>
          <w:color w:val="auto"/>
          <w:szCs w:val="21"/>
          <w:highlight w:val="none"/>
        </w:rPr>
        <w:t>a</w:t>
      </w:r>
      <w:r>
        <w:rPr>
          <w:rFonts w:hint="eastAsia"/>
          <w:color w:val="auto"/>
          <w:szCs w:val="21"/>
          <w:highlight w:val="none"/>
        </w:rPr>
        <w:t>）满足基本要求（见</w:t>
      </w:r>
      <w:r>
        <w:rPr>
          <w:color w:val="auto"/>
          <w:szCs w:val="21"/>
          <w:highlight w:val="none"/>
        </w:rPr>
        <w:t>4.1</w:t>
      </w:r>
      <w:r>
        <w:rPr>
          <w:rFonts w:hint="eastAsia"/>
          <w:color w:val="auto"/>
          <w:szCs w:val="21"/>
          <w:highlight w:val="none"/>
        </w:rPr>
        <w:t>）和评价指标要求（见</w:t>
      </w:r>
      <w:r>
        <w:rPr>
          <w:color w:val="auto"/>
          <w:szCs w:val="21"/>
          <w:highlight w:val="none"/>
        </w:rPr>
        <w:t>4.</w:t>
      </w:r>
      <w:r>
        <w:rPr>
          <w:rFonts w:hint="eastAsia"/>
          <w:color w:val="auto"/>
          <w:szCs w:val="21"/>
          <w:highlight w:val="none"/>
        </w:rPr>
        <w:t>2）；</w:t>
      </w:r>
    </w:p>
    <w:p>
      <w:pPr>
        <w:ind w:firstLine="420" w:firstLineChars="200"/>
        <w:jc w:val="left"/>
        <w:rPr>
          <w:color w:val="auto"/>
          <w:szCs w:val="21"/>
          <w:highlight w:val="none"/>
        </w:rPr>
      </w:pPr>
      <w:r>
        <w:rPr>
          <w:color w:val="auto"/>
          <w:szCs w:val="21"/>
          <w:highlight w:val="none"/>
        </w:rPr>
        <w:t>b</w:t>
      </w:r>
      <w:r>
        <w:rPr>
          <w:rFonts w:hint="eastAsia"/>
          <w:color w:val="auto"/>
          <w:szCs w:val="21"/>
          <w:highlight w:val="none"/>
        </w:rPr>
        <w:t>）提供热镀用锌合金锭产品生命周期评价报告（见</w:t>
      </w:r>
      <w:r>
        <w:rPr>
          <w:color w:val="auto"/>
          <w:szCs w:val="21"/>
          <w:highlight w:val="none"/>
        </w:rPr>
        <w:t>5.2</w:t>
      </w:r>
      <w:r>
        <w:rPr>
          <w:rFonts w:hint="eastAsia"/>
          <w:color w:val="auto"/>
          <w:szCs w:val="21"/>
          <w:highlight w:val="none"/>
        </w:rPr>
        <w:t>）。</w:t>
      </w:r>
    </w:p>
    <w:p>
      <w:pPr>
        <w:pStyle w:val="41"/>
        <w:numPr>
          <w:ilvl w:val="1"/>
          <w:numId w:val="1"/>
        </w:numPr>
        <w:spacing w:before="156" w:beforeLines="50" w:after="156" w:afterLines="50"/>
        <w:outlineLvl w:val="9"/>
        <w:rPr>
          <w:color w:val="auto"/>
          <w:szCs w:val="22"/>
          <w:highlight w:val="none"/>
        </w:rPr>
      </w:pPr>
      <w:r>
        <w:rPr>
          <w:rFonts w:hint="eastAsia"/>
          <w:color w:val="auto"/>
          <w:szCs w:val="22"/>
          <w:highlight w:val="none"/>
        </w:rPr>
        <w:t>评价周期</w:t>
      </w:r>
    </w:p>
    <w:p>
      <w:pPr>
        <w:spacing w:line="360" w:lineRule="auto"/>
        <w:jc w:val="left"/>
        <w:rPr>
          <w:color w:val="auto"/>
          <w:szCs w:val="21"/>
          <w:highlight w:val="none"/>
        </w:rPr>
      </w:pPr>
      <w:r>
        <w:rPr>
          <w:rFonts w:hint="eastAsia" w:ascii="黑体" w:hAnsi="黑体" w:eastAsia="黑体"/>
          <w:color w:val="auto"/>
          <w:szCs w:val="21"/>
          <w:highlight w:val="none"/>
        </w:rPr>
        <w:t>6.4.1</w:t>
      </w:r>
      <w:r>
        <w:rPr>
          <w:rFonts w:hint="eastAsia"/>
          <w:color w:val="auto"/>
          <w:szCs w:val="21"/>
          <w:highlight w:val="none"/>
        </w:rPr>
        <w:t>生产工艺有重大变更时，需重新评价确认绿色产品。</w:t>
      </w:r>
    </w:p>
    <w:p>
      <w:pPr>
        <w:spacing w:line="360" w:lineRule="auto"/>
        <w:jc w:val="left"/>
        <w:rPr>
          <w:color w:val="auto"/>
          <w:szCs w:val="21"/>
          <w:highlight w:val="none"/>
        </w:rPr>
      </w:pPr>
      <w:r>
        <w:rPr>
          <w:rFonts w:hint="eastAsia" w:ascii="黑体" w:hAnsi="黑体" w:eastAsia="黑体"/>
          <w:color w:val="auto"/>
          <w:szCs w:val="21"/>
          <w:highlight w:val="none"/>
        </w:rPr>
        <w:t>6.4.2</w:t>
      </w:r>
      <w:r>
        <w:rPr>
          <w:rFonts w:hint="eastAsia"/>
          <w:color w:val="auto"/>
          <w:szCs w:val="21"/>
          <w:highlight w:val="none"/>
        </w:rPr>
        <w:t>被评定为绿色产品时间满5年后需再次评价。</w:t>
      </w:r>
    </w:p>
    <w:p>
      <w:pPr>
        <w:jc w:val="center"/>
        <w:rPr>
          <w:color w:val="auto"/>
          <w:szCs w:val="21"/>
          <w:highlight w:val="none"/>
        </w:rPr>
      </w:pPr>
      <w:r>
        <w:rPr>
          <w:color w:val="auto"/>
          <w:szCs w:val="21"/>
          <w:highlight w:val="none"/>
        </w:rPr>
        <w:drawing>
          <wp:inline distT="0" distB="0" distL="0" distR="0">
            <wp:extent cx="5274310" cy="4070350"/>
            <wp:effectExtent l="0" t="0" r="0" b="0"/>
            <wp:docPr id="1" name="图片 1" descr="C:\Users\scjsb-Wuhl\Desktop\2020-10-28 绿色设计产品评价技术规范--热镀用锌合金锭\2020-10-28 绿色设计产品评价技术规范——热镀用锌合金锭\热镀用锌合金锭绿色设计产品评价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cjsb-Wuhl\Desktop\2020-10-28 绿色设计产品评价技术规范--热镀用锌合金锭\2020-10-28 绿色设计产品评价技术规范——热镀用锌合金锭\热镀用锌合金锭绿色设计产品评价流程.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4070902"/>
                    </a:xfrm>
                    <a:prstGeom prst="rect">
                      <a:avLst/>
                    </a:prstGeom>
                    <a:noFill/>
                    <a:ln>
                      <a:noFill/>
                    </a:ln>
                  </pic:spPr>
                </pic:pic>
              </a:graphicData>
            </a:graphic>
          </wp:inline>
        </w:drawing>
      </w:r>
    </w:p>
    <w:p>
      <w:pPr>
        <w:jc w:val="center"/>
        <w:rPr>
          <w:rFonts w:ascii="黑体" w:eastAsia="黑体"/>
          <w:b/>
          <w:color w:val="auto"/>
          <w:szCs w:val="21"/>
          <w:highlight w:val="none"/>
        </w:rPr>
      </w:pPr>
      <w:r>
        <w:rPr>
          <w:rFonts w:hint="eastAsia" w:ascii="黑体" w:eastAsia="黑体"/>
          <w:b/>
          <w:color w:val="auto"/>
          <w:szCs w:val="21"/>
          <w:highlight w:val="none"/>
        </w:rPr>
        <w:t>图</w:t>
      </w:r>
      <w:r>
        <w:rPr>
          <w:rFonts w:ascii="黑体" w:eastAsia="黑体"/>
          <w:b/>
          <w:color w:val="auto"/>
          <w:szCs w:val="21"/>
          <w:highlight w:val="none"/>
        </w:rPr>
        <w:t xml:space="preserve">1  </w:t>
      </w:r>
      <w:r>
        <w:rPr>
          <w:rFonts w:hint="eastAsia" w:ascii="黑体" w:eastAsia="黑体"/>
          <w:b/>
          <w:color w:val="auto"/>
          <w:szCs w:val="21"/>
          <w:highlight w:val="none"/>
        </w:rPr>
        <w:t>热镀用锌合金锭绿色设计产品评价流程</w:t>
      </w:r>
    </w:p>
    <w:p>
      <w:pPr>
        <w:jc w:val="center"/>
        <w:outlineLvl w:val="0"/>
        <w:rPr>
          <w:rFonts w:ascii="黑体" w:hAnsi="黑体" w:eastAsia="黑体"/>
          <w:color w:val="auto"/>
          <w:szCs w:val="21"/>
          <w:highlight w:val="none"/>
        </w:rPr>
      </w:pPr>
      <w:r>
        <w:rPr>
          <w:color w:val="auto"/>
          <w:szCs w:val="21"/>
          <w:highlight w:val="none"/>
        </w:rPr>
        <w:br w:type="page"/>
      </w:r>
      <w:bookmarkStart w:id="13" w:name="_Toc25994"/>
      <w:r>
        <w:rPr>
          <w:rFonts w:hint="eastAsia" w:ascii="黑体" w:hAnsi="黑体" w:eastAsia="黑体"/>
          <w:color w:val="auto"/>
          <w:szCs w:val="21"/>
          <w:highlight w:val="none"/>
        </w:rPr>
        <w:t>附录</w:t>
      </w:r>
      <w:r>
        <w:rPr>
          <w:rFonts w:ascii="黑体" w:hAnsi="黑体" w:eastAsia="黑体"/>
          <w:color w:val="auto"/>
          <w:szCs w:val="21"/>
          <w:highlight w:val="none"/>
        </w:rPr>
        <w:t>A</w:t>
      </w:r>
      <w:bookmarkEnd w:id="13"/>
    </w:p>
    <w:p>
      <w:pPr>
        <w:jc w:val="center"/>
        <w:outlineLvl w:val="0"/>
        <w:rPr>
          <w:rFonts w:ascii="黑体" w:hAnsi="黑体" w:eastAsia="黑体"/>
          <w:color w:val="auto"/>
          <w:szCs w:val="21"/>
          <w:highlight w:val="none"/>
        </w:rPr>
      </w:pPr>
      <w:bookmarkStart w:id="14" w:name="_Toc51664037"/>
      <w:bookmarkStart w:id="15" w:name="_Toc18872"/>
      <w:r>
        <w:rPr>
          <w:rFonts w:hint="eastAsia" w:ascii="黑体" w:hAnsi="黑体" w:eastAsia="黑体"/>
          <w:color w:val="auto"/>
          <w:szCs w:val="21"/>
          <w:highlight w:val="none"/>
        </w:rPr>
        <w:t>（规范性）</w:t>
      </w:r>
      <w:bookmarkEnd w:id="14"/>
      <w:bookmarkEnd w:id="15"/>
    </w:p>
    <w:p>
      <w:pPr>
        <w:widowControl/>
        <w:jc w:val="center"/>
        <w:outlineLvl w:val="0"/>
        <w:rPr>
          <w:rFonts w:ascii="黑体" w:hAnsi="黑体" w:eastAsia="黑体"/>
          <w:color w:val="auto"/>
          <w:szCs w:val="21"/>
          <w:highlight w:val="none"/>
        </w:rPr>
      </w:pPr>
      <w:bookmarkStart w:id="16" w:name="_Toc4861"/>
      <w:r>
        <w:rPr>
          <w:rFonts w:hint="eastAsia" w:ascii="黑体" w:hAnsi="黑体" w:eastAsia="黑体"/>
          <w:color w:val="auto"/>
          <w:szCs w:val="21"/>
          <w:highlight w:val="none"/>
        </w:rPr>
        <w:t>热镀用锌合金锭产品生命周期评价方法</w:t>
      </w:r>
      <w:bookmarkEnd w:id="16"/>
    </w:p>
    <w:p>
      <w:pPr>
        <w:spacing w:after="156" w:afterLines="5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A.1 </w:t>
      </w:r>
      <w:r>
        <w:rPr>
          <w:rFonts w:hint="eastAsia" w:ascii="黑体" w:hAnsi="黑体" w:eastAsia="黑体"/>
          <w:color w:val="auto"/>
          <w:szCs w:val="21"/>
          <w:highlight w:val="none"/>
        </w:rPr>
        <w:t>概况</w:t>
      </w:r>
    </w:p>
    <w:p>
      <w:pPr>
        <w:ind w:firstLine="420" w:firstLineChars="200"/>
        <w:jc w:val="left"/>
        <w:rPr>
          <w:color w:val="auto"/>
          <w:szCs w:val="21"/>
          <w:highlight w:val="none"/>
        </w:rPr>
      </w:pPr>
      <w:r>
        <w:rPr>
          <w:rFonts w:hint="eastAsia"/>
          <w:color w:val="auto"/>
          <w:szCs w:val="21"/>
          <w:highlight w:val="none"/>
        </w:rPr>
        <w:t>依据</w:t>
      </w:r>
      <w:r>
        <w:rPr>
          <w:color w:val="auto"/>
          <w:szCs w:val="21"/>
          <w:highlight w:val="none"/>
        </w:rPr>
        <w:t>GB/T 24040</w:t>
      </w:r>
      <w:r>
        <w:rPr>
          <w:rFonts w:hint="eastAsia"/>
          <w:color w:val="auto"/>
          <w:szCs w:val="21"/>
          <w:highlight w:val="none"/>
        </w:rPr>
        <w:t>和</w:t>
      </w:r>
      <w:r>
        <w:rPr>
          <w:color w:val="auto"/>
          <w:szCs w:val="21"/>
          <w:highlight w:val="none"/>
        </w:rPr>
        <w:t>GB/T 24044</w:t>
      </w:r>
      <w:r>
        <w:rPr>
          <w:rFonts w:hint="eastAsia"/>
          <w:color w:val="auto"/>
          <w:szCs w:val="21"/>
          <w:highlight w:val="none"/>
        </w:rPr>
        <w:t>，建立热镀用锌合金锭产品的生命周期评价方法。生命周期评价的过程应包括目的和范围的确定、清单分析、影响评价、解释和报告等。具体如下：</w:t>
      </w:r>
    </w:p>
    <w:p>
      <w:pPr>
        <w:ind w:firstLine="420" w:firstLineChars="200"/>
        <w:jc w:val="left"/>
        <w:rPr>
          <w:rFonts w:ascii="宋体"/>
          <w:color w:val="auto"/>
          <w:szCs w:val="21"/>
          <w:highlight w:val="none"/>
        </w:rPr>
      </w:pPr>
      <w:bookmarkStart w:id="17" w:name="_Hlk8136373"/>
      <w:r>
        <w:rPr>
          <w:rFonts w:hint="eastAsia"/>
          <w:color w:val="auto"/>
          <w:szCs w:val="21"/>
          <w:highlight w:val="none"/>
        </w:rPr>
        <w:t>a）目的和范围确定：确定评价的目的、功能单位和</w:t>
      </w:r>
      <w:r>
        <w:rPr>
          <w:rFonts w:hint="eastAsia" w:ascii="宋体" w:hAnsi="宋体"/>
          <w:color w:val="auto"/>
          <w:szCs w:val="21"/>
          <w:highlight w:val="none"/>
        </w:rPr>
        <w:t>和基准流、系统边界、取舍原则、影响类型和指标、数据的来源和质量、给出报告的形式。</w:t>
      </w:r>
    </w:p>
    <w:p>
      <w:pPr>
        <w:ind w:firstLine="420" w:firstLineChars="200"/>
        <w:jc w:val="left"/>
        <w:rPr>
          <w:color w:val="auto"/>
          <w:szCs w:val="21"/>
          <w:highlight w:val="none"/>
        </w:rPr>
      </w:pPr>
      <w:r>
        <w:rPr>
          <w:color w:val="auto"/>
          <w:szCs w:val="21"/>
          <w:highlight w:val="none"/>
        </w:rPr>
        <w:t>b</w:t>
      </w:r>
      <w:r>
        <w:rPr>
          <w:rFonts w:hint="eastAsia"/>
          <w:color w:val="auto"/>
          <w:szCs w:val="21"/>
          <w:highlight w:val="none"/>
        </w:rPr>
        <w:t>）生命周期清单分析：数据收集前的准备、数据的收集、数据质量的审核、数据与单元过程的关联、数据与功能单位的关联、清单计算方法、数据合并和数据处理等。</w:t>
      </w:r>
    </w:p>
    <w:bookmarkEnd w:id="17"/>
    <w:p>
      <w:pPr>
        <w:ind w:firstLine="420" w:firstLineChars="200"/>
        <w:jc w:val="left"/>
        <w:rPr>
          <w:color w:val="auto"/>
          <w:szCs w:val="21"/>
          <w:highlight w:val="none"/>
        </w:rPr>
      </w:pPr>
      <w:bookmarkStart w:id="18" w:name="_Hlk8136449"/>
      <w:r>
        <w:rPr>
          <w:color w:val="auto"/>
          <w:szCs w:val="21"/>
          <w:highlight w:val="none"/>
        </w:rPr>
        <w:t>c</w:t>
      </w:r>
      <w:r>
        <w:rPr>
          <w:rFonts w:hint="eastAsia"/>
          <w:color w:val="auto"/>
          <w:szCs w:val="21"/>
          <w:highlight w:val="none"/>
        </w:rPr>
        <w:t>）生命周期影响评价：选取影响类型、类型参数和特征化模型，将生命周期清单数据划分到所选的影响类型，计算类型特征化值。</w:t>
      </w:r>
    </w:p>
    <w:p>
      <w:pPr>
        <w:ind w:firstLine="420" w:firstLineChars="200"/>
        <w:jc w:val="left"/>
        <w:rPr>
          <w:color w:val="auto"/>
          <w:szCs w:val="21"/>
          <w:highlight w:val="none"/>
        </w:rPr>
      </w:pPr>
      <w:r>
        <w:rPr>
          <w:color w:val="auto"/>
          <w:szCs w:val="21"/>
          <w:highlight w:val="none"/>
        </w:rPr>
        <w:t>d</w:t>
      </w:r>
      <w:r>
        <w:rPr>
          <w:rFonts w:hint="eastAsia"/>
          <w:color w:val="auto"/>
          <w:szCs w:val="21"/>
          <w:highlight w:val="none"/>
        </w:rPr>
        <w:t>）生命周期解释：综合考虑清单分析和影响评价，对评价结果进行完整性、敏感性、一致性和不确定性检查，并对结论、建议和局限性进行说明。</w:t>
      </w:r>
    </w:p>
    <w:p>
      <w:pPr>
        <w:ind w:firstLine="420" w:firstLineChars="200"/>
        <w:jc w:val="left"/>
        <w:rPr>
          <w:color w:val="auto"/>
          <w:szCs w:val="21"/>
          <w:highlight w:val="none"/>
        </w:rPr>
      </w:pPr>
      <w:r>
        <w:rPr>
          <w:rFonts w:hint="eastAsia"/>
          <w:color w:val="auto"/>
          <w:szCs w:val="21"/>
          <w:highlight w:val="none"/>
        </w:rPr>
        <w:t>e）生命周期评价报告：按照要求编制产品生命周期评价报告。</w:t>
      </w:r>
    </w:p>
    <w:bookmarkEnd w:id="18"/>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A.2</w:t>
      </w:r>
      <w:r>
        <w:rPr>
          <w:rFonts w:hint="eastAsia" w:ascii="黑体" w:hAnsi="黑体" w:eastAsia="黑体"/>
          <w:color w:val="auto"/>
          <w:szCs w:val="21"/>
          <w:highlight w:val="none"/>
        </w:rPr>
        <w:t xml:space="preserve"> 目的和范围确定</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A.2.1 </w:t>
      </w:r>
      <w:r>
        <w:rPr>
          <w:rFonts w:hint="eastAsia" w:ascii="黑体" w:hAnsi="黑体" w:eastAsia="黑体"/>
          <w:color w:val="auto"/>
          <w:szCs w:val="21"/>
          <w:highlight w:val="none"/>
        </w:rPr>
        <w:t>总则</w:t>
      </w:r>
    </w:p>
    <w:p>
      <w:pPr>
        <w:ind w:firstLine="420" w:firstLineChars="200"/>
        <w:jc w:val="left"/>
        <w:rPr>
          <w:color w:val="auto"/>
          <w:szCs w:val="21"/>
          <w:highlight w:val="none"/>
        </w:rPr>
      </w:pPr>
      <w:r>
        <w:rPr>
          <w:rFonts w:hint="eastAsia"/>
          <w:color w:val="auto"/>
          <w:szCs w:val="21"/>
          <w:highlight w:val="none"/>
        </w:rPr>
        <w:t>热镀用锌合金锭产品生命周期评价的目的在于汇总和评估在热镀用锌合金锭生产阶段生命周期内的所有投入及产出对环境造成的和潜在的影响；通过评估资源和能源利用，以及废物排放对环境的影响，提出改进方案。</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A.2.2 </w:t>
      </w:r>
      <w:r>
        <w:rPr>
          <w:rFonts w:hint="eastAsia" w:ascii="黑体" w:hAnsi="黑体" w:eastAsia="黑体"/>
          <w:color w:val="auto"/>
          <w:szCs w:val="21"/>
          <w:highlight w:val="none"/>
        </w:rPr>
        <w:t>功能单位和基准流</w:t>
      </w:r>
    </w:p>
    <w:p>
      <w:pPr>
        <w:ind w:firstLine="420" w:firstLineChars="200"/>
        <w:jc w:val="left"/>
        <w:rPr>
          <w:color w:val="auto"/>
          <w:szCs w:val="21"/>
          <w:highlight w:val="none"/>
        </w:rPr>
      </w:pPr>
      <w:r>
        <w:rPr>
          <w:rFonts w:hint="eastAsia"/>
          <w:color w:val="auto"/>
          <w:szCs w:val="21"/>
          <w:highlight w:val="none"/>
        </w:rPr>
        <w:t>功能单位和基准流是对产品功能的量化描述，是数据收集、评价和方案对比的基础。功能单位和基准流的定义与产品种类和用途有关。热镀用锌合金锭产品一般是作为其他产品生产的原材料，其功能单位和基准流一般定义为“生产单位数量的符合质量要求的产品”，本标准以“生产</w:t>
      </w:r>
      <w:r>
        <w:rPr>
          <w:color w:val="auto"/>
          <w:szCs w:val="21"/>
          <w:highlight w:val="none"/>
        </w:rPr>
        <w:t>1</w:t>
      </w:r>
      <w:r>
        <w:rPr>
          <w:rFonts w:hint="eastAsia"/>
          <w:color w:val="auto"/>
          <w:szCs w:val="21"/>
          <w:highlight w:val="none"/>
        </w:rPr>
        <w:t>吨符合</w:t>
      </w:r>
      <w:r>
        <w:rPr>
          <w:rFonts w:hint="eastAsia"/>
          <w:color w:val="auto"/>
          <w:highlight w:val="none"/>
        </w:rPr>
        <w:t>YS/T 310</w:t>
      </w:r>
      <w:r>
        <w:rPr>
          <w:rFonts w:hint="eastAsia"/>
          <w:color w:val="auto"/>
          <w:szCs w:val="21"/>
          <w:highlight w:val="none"/>
        </w:rPr>
        <w:t>质量要求的热镀用锌合金锭产品”来表示。</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A.2.3 </w:t>
      </w:r>
      <w:r>
        <w:rPr>
          <w:rFonts w:hint="eastAsia" w:ascii="黑体" w:hAnsi="黑体" w:eastAsia="黑体"/>
          <w:color w:val="auto"/>
          <w:szCs w:val="21"/>
          <w:highlight w:val="none"/>
        </w:rPr>
        <w:t>系统边界</w:t>
      </w:r>
    </w:p>
    <w:p>
      <w:pPr>
        <w:ind w:firstLine="420" w:firstLineChars="200"/>
        <w:jc w:val="left"/>
        <w:rPr>
          <w:color w:val="auto"/>
          <w:szCs w:val="21"/>
          <w:highlight w:val="none"/>
        </w:rPr>
      </w:pPr>
      <w:r>
        <w:rPr>
          <w:rFonts w:hint="eastAsia"/>
          <w:color w:val="auto"/>
          <w:szCs w:val="21"/>
          <w:highlight w:val="none"/>
        </w:rPr>
        <w:t>热镀用锌合金锭产品生命周期评价范围包括电解锌片或锌锭熔化、合金化配料、熔炼浇铸、冷却凝固、检验发运阶段。热镀用锌合金锭生产包括以锌电解阴极锌片或锌锭为原料，采用火法熔炼生产热镀用锌合金锭，功能单位为生产1t符合</w:t>
      </w:r>
      <w:r>
        <w:rPr>
          <w:rFonts w:hint="eastAsia"/>
          <w:color w:val="auto"/>
          <w:highlight w:val="none"/>
        </w:rPr>
        <w:t>YS/T 310</w:t>
      </w:r>
      <w:r>
        <w:rPr>
          <w:rFonts w:hint="eastAsia"/>
          <w:color w:val="auto"/>
          <w:szCs w:val="21"/>
          <w:highlight w:val="none"/>
        </w:rPr>
        <w:t>标准中热镀用锌合金锭质量要求的产品。根据热镀用锌合金锭产品生产的实际情况，产品评价的系统边界如图A.1所示，对于大气、水体和土壤的排放物和废弃物的排放点为产品生产系统与外界（环境）的接口。</w:t>
      </w:r>
    </w:p>
    <w:p>
      <w:pPr>
        <w:jc w:val="center"/>
        <w:rPr>
          <w:color w:val="auto"/>
          <w:szCs w:val="21"/>
          <w:highlight w:val="none"/>
        </w:rPr>
      </w:pPr>
    </w:p>
    <w:p>
      <w:pPr>
        <w:jc w:val="center"/>
        <w:rPr>
          <w:color w:val="auto"/>
          <w:szCs w:val="21"/>
          <w:highlight w:val="none"/>
        </w:rPr>
      </w:pPr>
    </w:p>
    <w:p>
      <w:pPr>
        <w:rPr>
          <w:color w:val="auto"/>
          <w:szCs w:val="21"/>
          <w:highlight w:val="none"/>
        </w:rPr>
      </w:pPr>
    </w:p>
    <w:p>
      <w:pPr>
        <w:jc w:val="center"/>
        <w:rPr>
          <w:rFonts w:ascii="黑体" w:hAnsi="黑体" w:eastAsia="黑体"/>
          <w:bCs/>
          <w:color w:val="auto"/>
          <w:szCs w:val="21"/>
          <w:highlight w:val="none"/>
        </w:rPr>
      </w:pPr>
      <w:r>
        <w:rPr>
          <w:rFonts w:hint="eastAsia" w:ascii="黑体" w:hAnsi="黑体" w:eastAsia="黑体"/>
          <w:bCs/>
          <w:color w:val="auto"/>
          <w:szCs w:val="21"/>
          <w:highlight w:val="none"/>
        </w:rPr>
        <w:object>
          <v:shape id="_x0000_i1025" o:spt="75" type="#_x0000_t75" style="height:528.4pt;width:473.95pt;" o:ole="t" filled="f" o:preferrelative="t" stroked="f" coordsize="21600,21600">
            <v:path/>
            <v:fill on="f" focussize="0,0"/>
            <v:stroke on="f" joinstyle="miter"/>
            <v:imagedata r:id="rId9" o:title=""/>
            <o:lock v:ext="edit" aspectratio="f"/>
            <w10:wrap type="none"/>
            <w10:anchorlock/>
          </v:shape>
          <o:OLEObject Type="Embed" ProgID="Visio.Drawing.11" ShapeID="_x0000_i1025" DrawAspect="Content" ObjectID="_1468075725" r:id="rId8">
            <o:LockedField>false</o:LockedField>
          </o:OLEObject>
        </w:object>
      </w:r>
      <w:r>
        <w:rPr>
          <w:rFonts w:hint="eastAsia" w:ascii="黑体" w:hAnsi="黑体" w:eastAsia="黑体"/>
          <w:bCs/>
          <w:color w:val="auto"/>
          <w:szCs w:val="21"/>
          <w:highlight w:val="none"/>
        </w:rPr>
        <w:t>图A.1 热镀用锌合金锭产品生命周期评价的系统边界</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A.2.</w:t>
      </w:r>
      <w:r>
        <w:rPr>
          <w:rFonts w:hint="eastAsia" w:ascii="黑体" w:hAnsi="黑体" w:eastAsia="黑体"/>
          <w:color w:val="auto"/>
          <w:szCs w:val="21"/>
          <w:highlight w:val="none"/>
        </w:rPr>
        <w:t>4</w:t>
      </w:r>
      <w:r>
        <w:rPr>
          <w:rFonts w:ascii="黑体" w:hAnsi="黑体" w:eastAsia="黑体"/>
          <w:color w:val="auto"/>
          <w:szCs w:val="21"/>
          <w:highlight w:val="none"/>
        </w:rPr>
        <w:t xml:space="preserve"> </w:t>
      </w:r>
      <w:r>
        <w:rPr>
          <w:rFonts w:hint="eastAsia" w:ascii="黑体" w:hAnsi="黑体" w:eastAsia="黑体"/>
          <w:color w:val="auto"/>
          <w:szCs w:val="21"/>
          <w:highlight w:val="none"/>
        </w:rPr>
        <w:t>数据取舍原则</w:t>
      </w:r>
    </w:p>
    <w:p>
      <w:pPr>
        <w:ind w:firstLine="420" w:firstLineChars="200"/>
        <w:jc w:val="left"/>
        <w:rPr>
          <w:color w:val="auto"/>
          <w:szCs w:val="21"/>
          <w:highlight w:val="none"/>
        </w:rPr>
      </w:pPr>
      <w:r>
        <w:rPr>
          <w:rFonts w:hint="eastAsia"/>
          <w:color w:val="auto"/>
          <w:szCs w:val="21"/>
          <w:highlight w:val="none"/>
        </w:rPr>
        <w:t>热镀用锌合金锭生产过程数据取舍原则如下：</w:t>
      </w:r>
    </w:p>
    <w:p>
      <w:pPr>
        <w:ind w:firstLine="420" w:firstLineChars="200"/>
        <w:jc w:val="left"/>
        <w:rPr>
          <w:color w:val="auto"/>
          <w:szCs w:val="21"/>
          <w:highlight w:val="none"/>
        </w:rPr>
      </w:pPr>
      <w:r>
        <w:rPr>
          <w:color w:val="auto"/>
          <w:szCs w:val="21"/>
          <w:highlight w:val="none"/>
        </w:rPr>
        <w:t>a</w:t>
      </w:r>
      <w:r>
        <w:rPr>
          <w:rFonts w:hint="eastAsia"/>
          <w:color w:val="auto"/>
          <w:szCs w:val="21"/>
          <w:highlight w:val="none"/>
        </w:rPr>
        <w:t>）能源的所有输入均列出；</w:t>
      </w:r>
    </w:p>
    <w:p>
      <w:pPr>
        <w:ind w:firstLine="420" w:firstLineChars="200"/>
        <w:jc w:val="left"/>
        <w:rPr>
          <w:color w:val="auto"/>
          <w:szCs w:val="21"/>
          <w:highlight w:val="none"/>
        </w:rPr>
      </w:pPr>
      <w:r>
        <w:rPr>
          <w:color w:val="auto"/>
          <w:szCs w:val="21"/>
          <w:highlight w:val="none"/>
        </w:rPr>
        <w:t>b</w:t>
      </w:r>
      <w:r>
        <w:rPr>
          <w:rFonts w:hint="eastAsia"/>
          <w:color w:val="auto"/>
          <w:szCs w:val="21"/>
          <w:highlight w:val="none"/>
        </w:rPr>
        <w:t>）原料的所有输入均列出；</w:t>
      </w:r>
    </w:p>
    <w:p>
      <w:pPr>
        <w:pStyle w:val="43"/>
        <w:numPr>
          <w:ilvl w:val="0"/>
          <w:numId w:val="0"/>
        </w:numPr>
        <w:ind w:firstLine="420" w:firstLineChars="200"/>
        <w:rPr>
          <w:color w:val="auto"/>
          <w:szCs w:val="22"/>
          <w:highlight w:val="none"/>
        </w:rPr>
      </w:pPr>
      <w:r>
        <w:rPr>
          <w:color w:val="auto"/>
          <w:szCs w:val="21"/>
          <w:highlight w:val="none"/>
        </w:rPr>
        <w:t>c</w:t>
      </w:r>
      <w:r>
        <w:rPr>
          <w:rFonts w:hint="eastAsia"/>
          <w:color w:val="auto"/>
          <w:szCs w:val="21"/>
          <w:highlight w:val="none"/>
        </w:rPr>
        <w:t>）辅助材料</w:t>
      </w:r>
      <w:r>
        <w:rPr>
          <w:rFonts w:hint="eastAsia"/>
          <w:color w:val="auto"/>
          <w:szCs w:val="22"/>
          <w:highlight w:val="none"/>
        </w:rPr>
        <w:t>重量小于原料总消耗0.1%的项目输入可忽略；</w:t>
      </w:r>
    </w:p>
    <w:p>
      <w:pPr>
        <w:pStyle w:val="43"/>
        <w:numPr>
          <w:ilvl w:val="0"/>
          <w:numId w:val="0"/>
        </w:numPr>
        <w:ind w:firstLine="420" w:firstLineChars="200"/>
        <w:rPr>
          <w:color w:val="auto"/>
          <w:szCs w:val="21"/>
          <w:highlight w:val="none"/>
        </w:rPr>
      </w:pPr>
      <w:r>
        <w:rPr>
          <w:color w:val="auto"/>
          <w:szCs w:val="21"/>
          <w:highlight w:val="none"/>
        </w:rPr>
        <w:t>d</w:t>
      </w:r>
      <w:r>
        <w:rPr>
          <w:rFonts w:hint="eastAsia"/>
          <w:color w:val="auto"/>
          <w:szCs w:val="21"/>
          <w:highlight w:val="none"/>
        </w:rPr>
        <w:t>）</w:t>
      </w:r>
      <w:r>
        <w:rPr>
          <w:rFonts w:hint="eastAsia"/>
          <w:color w:val="auto"/>
          <w:szCs w:val="22"/>
          <w:highlight w:val="none"/>
        </w:rPr>
        <w:t>已有法规、标准、文件（如环保法规、环保标准、环境监测报告、环境影响评价报告等）要求监测的大气、水体的各种排放均列出；</w:t>
      </w:r>
    </w:p>
    <w:p>
      <w:pPr>
        <w:ind w:firstLine="420" w:firstLineChars="200"/>
        <w:jc w:val="left"/>
        <w:rPr>
          <w:color w:val="auto"/>
          <w:szCs w:val="21"/>
          <w:highlight w:val="none"/>
        </w:rPr>
      </w:pPr>
      <w:r>
        <w:rPr>
          <w:rFonts w:hint="eastAsia"/>
          <w:color w:val="auto"/>
          <w:szCs w:val="21"/>
          <w:highlight w:val="none"/>
        </w:rPr>
        <w:t>e）</w:t>
      </w:r>
      <w:r>
        <w:rPr>
          <w:rFonts w:hint="eastAsia"/>
          <w:color w:val="auto"/>
          <w:highlight w:val="none"/>
        </w:rPr>
        <w:t>小于固体废弃物排放总量1%的一般性固体废弃物可忽略；</w:t>
      </w:r>
    </w:p>
    <w:p>
      <w:pPr>
        <w:pStyle w:val="43"/>
        <w:numPr>
          <w:ilvl w:val="0"/>
          <w:numId w:val="0"/>
        </w:numPr>
        <w:ind w:firstLine="420" w:firstLineChars="200"/>
        <w:rPr>
          <w:color w:val="auto"/>
          <w:szCs w:val="22"/>
          <w:highlight w:val="none"/>
        </w:rPr>
      </w:pPr>
      <w:r>
        <w:rPr>
          <w:rFonts w:hint="eastAsia"/>
          <w:color w:val="auto"/>
          <w:szCs w:val="22"/>
          <w:highlight w:val="none"/>
        </w:rPr>
        <w:t>f）道路与厂房的基础设施、各工序的设备、厂房内人员及生活设施的消耗和排放，均忽略；</w:t>
      </w:r>
    </w:p>
    <w:p>
      <w:pPr>
        <w:pStyle w:val="43"/>
        <w:numPr>
          <w:ilvl w:val="0"/>
          <w:numId w:val="0"/>
        </w:numPr>
        <w:ind w:firstLine="420" w:firstLineChars="200"/>
        <w:rPr>
          <w:color w:val="auto"/>
          <w:szCs w:val="22"/>
          <w:highlight w:val="none"/>
        </w:rPr>
      </w:pPr>
      <w:r>
        <w:rPr>
          <w:rFonts w:hint="eastAsia"/>
          <w:color w:val="auto"/>
          <w:szCs w:val="22"/>
          <w:highlight w:val="none"/>
        </w:rPr>
        <w:t>g）任何有毒有害材料和物质均应列出，不可忽略；</w:t>
      </w:r>
    </w:p>
    <w:p>
      <w:pPr>
        <w:ind w:firstLine="420" w:firstLineChars="200"/>
        <w:jc w:val="left"/>
        <w:rPr>
          <w:color w:val="auto"/>
          <w:szCs w:val="21"/>
          <w:highlight w:val="none"/>
        </w:rPr>
      </w:pPr>
      <w:r>
        <w:rPr>
          <w:rFonts w:hint="eastAsia"/>
          <w:color w:val="auto"/>
          <w:szCs w:val="21"/>
          <w:highlight w:val="none"/>
        </w:rPr>
        <w:t>f</w:t>
      </w:r>
      <w:r>
        <w:rPr>
          <w:color w:val="auto"/>
          <w:szCs w:val="21"/>
          <w:highlight w:val="none"/>
        </w:rPr>
        <w:t xml:space="preserve">) </w:t>
      </w:r>
      <w:r>
        <w:rPr>
          <w:rFonts w:hint="eastAsia"/>
          <w:color w:val="auto"/>
          <w:szCs w:val="21"/>
          <w:highlight w:val="none"/>
        </w:rPr>
        <w:t>应该对数据清单中难以获得的数据及其替代数据进行解释说明和敏感性分析。</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A.2.</w:t>
      </w:r>
      <w:r>
        <w:rPr>
          <w:rFonts w:hint="eastAsia" w:ascii="黑体" w:hAnsi="黑体" w:eastAsia="黑体"/>
          <w:color w:val="auto"/>
          <w:szCs w:val="21"/>
          <w:highlight w:val="none"/>
        </w:rPr>
        <w:t>5</w:t>
      </w:r>
      <w:r>
        <w:rPr>
          <w:rFonts w:ascii="黑体" w:hAnsi="黑体" w:eastAsia="黑体"/>
          <w:color w:val="auto"/>
          <w:szCs w:val="21"/>
          <w:highlight w:val="none"/>
        </w:rPr>
        <w:t xml:space="preserve"> </w:t>
      </w:r>
      <w:r>
        <w:rPr>
          <w:rFonts w:hint="eastAsia" w:ascii="黑体" w:hAnsi="黑体" w:eastAsia="黑体"/>
          <w:color w:val="auto"/>
          <w:szCs w:val="21"/>
          <w:highlight w:val="none"/>
        </w:rPr>
        <w:t>影响类型和指标的选取</w:t>
      </w:r>
    </w:p>
    <w:p>
      <w:pPr>
        <w:ind w:firstLine="420" w:firstLineChars="200"/>
        <w:jc w:val="left"/>
        <w:rPr>
          <w:color w:val="auto"/>
          <w:szCs w:val="21"/>
          <w:highlight w:val="none"/>
        </w:rPr>
      </w:pPr>
      <w:r>
        <w:rPr>
          <w:rFonts w:hint="eastAsia"/>
          <w:color w:val="auto"/>
          <w:szCs w:val="21"/>
          <w:highlight w:val="none"/>
        </w:rPr>
        <w:t>应选取气候变化和初级能耗消耗等2种影响类型，其指标和描述等相关信息见</w:t>
      </w:r>
      <w:r>
        <w:rPr>
          <w:color w:val="auto"/>
          <w:szCs w:val="21"/>
          <w:highlight w:val="none"/>
        </w:rPr>
        <w:t>A.</w:t>
      </w:r>
      <w:r>
        <w:rPr>
          <w:rFonts w:hint="eastAsia"/>
          <w:color w:val="auto"/>
          <w:szCs w:val="21"/>
          <w:highlight w:val="none"/>
        </w:rPr>
        <w:t>1</w:t>
      </w:r>
    </w:p>
    <w:p>
      <w:pPr>
        <w:ind w:firstLine="420" w:firstLineChars="200"/>
        <w:jc w:val="center"/>
        <w:rPr>
          <w:rFonts w:ascii="黑体" w:hAnsi="黑体" w:eastAsia="黑体"/>
          <w:color w:val="auto"/>
          <w:szCs w:val="21"/>
          <w:highlight w:val="none"/>
        </w:rPr>
      </w:pPr>
      <w:r>
        <w:rPr>
          <w:rFonts w:hint="eastAsia" w:ascii="黑体" w:hAnsi="黑体" w:eastAsia="黑体"/>
          <w:color w:val="auto"/>
          <w:szCs w:val="21"/>
          <w:highlight w:val="none"/>
        </w:rPr>
        <w:t>表</w:t>
      </w:r>
      <w:r>
        <w:rPr>
          <w:rFonts w:ascii="黑体" w:hAnsi="黑体" w:eastAsia="黑体"/>
          <w:color w:val="auto"/>
          <w:szCs w:val="21"/>
          <w:highlight w:val="none"/>
        </w:rPr>
        <w:t>A.</w:t>
      </w:r>
      <w:r>
        <w:rPr>
          <w:rFonts w:hint="eastAsia" w:ascii="黑体" w:hAnsi="黑体" w:eastAsia="黑体"/>
          <w:color w:val="auto"/>
          <w:szCs w:val="21"/>
          <w:highlight w:val="none"/>
        </w:rPr>
        <w:t>1</w:t>
      </w:r>
      <w:r>
        <w:rPr>
          <w:rFonts w:ascii="黑体" w:hAnsi="黑体" w:eastAsia="黑体"/>
          <w:color w:val="auto"/>
          <w:szCs w:val="21"/>
          <w:highlight w:val="none"/>
        </w:rPr>
        <w:t xml:space="preserve">  </w:t>
      </w:r>
      <w:r>
        <w:rPr>
          <w:rFonts w:hint="eastAsia" w:ascii="黑体" w:hAnsi="黑体" w:eastAsia="黑体"/>
          <w:color w:val="auto"/>
          <w:szCs w:val="21"/>
          <w:highlight w:val="none"/>
        </w:rPr>
        <w:t>热镀用锌合金锭产品的影响类型和指标选取</w:t>
      </w:r>
    </w:p>
    <w:tbl>
      <w:tblPr>
        <w:tblStyle w:val="10"/>
        <w:tblpPr w:leftFromText="180" w:rightFromText="180" w:vertAnchor="text" w:horzAnchor="margin" w:tblpXSpec="center" w:tblpY="32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679"/>
        <w:gridCol w:w="4487"/>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9" w:type="pct"/>
            <w:vAlign w:val="center"/>
          </w:tcPr>
          <w:p>
            <w:pPr>
              <w:jc w:val="center"/>
              <w:textAlignment w:val="center"/>
              <w:rPr>
                <w:rFonts w:ascii="宋体" w:hAnsi="宋体"/>
                <w:bCs/>
                <w:color w:val="auto"/>
                <w:sz w:val="18"/>
                <w:szCs w:val="18"/>
                <w:highlight w:val="none"/>
              </w:rPr>
            </w:pPr>
            <w:r>
              <w:rPr>
                <w:rFonts w:ascii="宋体" w:hAnsi="宋体"/>
                <w:color w:val="auto"/>
                <w:sz w:val="18"/>
                <w:szCs w:val="18"/>
                <w:highlight w:val="none"/>
              </w:rPr>
              <w:t>影响类型</w:t>
            </w:r>
          </w:p>
        </w:tc>
        <w:tc>
          <w:tcPr>
            <w:tcW w:w="986" w:type="pct"/>
            <w:vAlign w:val="center"/>
          </w:tcPr>
          <w:p>
            <w:pPr>
              <w:jc w:val="center"/>
              <w:textAlignment w:val="center"/>
              <w:rPr>
                <w:rFonts w:ascii="宋体" w:hAnsi="宋体"/>
                <w:bCs/>
                <w:color w:val="auto"/>
                <w:sz w:val="18"/>
                <w:szCs w:val="18"/>
                <w:highlight w:val="none"/>
              </w:rPr>
            </w:pPr>
            <w:r>
              <w:rPr>
                <w:rFonts w:ascii="宋体" w:hAnsi="宋体"/>
                <w:color w:val="auto"/>
                <w:sz w:val="18"/>
                <w:szCs w:val="18"/>
                <w:highlight w:val="none"/>
              </w:rPr>
              <w:t>指标</w:t>
            </w:r>
          </w:p>
        </w:tc>
        <w:tc>
          <w:tcPr>
            <w:tcW w:w="2635" w:type="pct"/>
            <w:vAlign w:val="center"/>
          </w:tcPr>
          <w:p>
            <w:pPr>
              <w:ind w:firstLine="420"/>
              <w:jc w:val="center"/>
              <w:textAlignment w:val="center"/>
              <w:rPr>
                <w:rFonts w:ascii="宋体" w:hAnsi="宋体"/>
                <w:bCs/>
                <w:color w:val="auto"/>
                <w:sz w:val="18"/>
                <w:szCs w:val="18"/>
                <w:highlight w:val="none"/>
              </w:rPr>
            </w:pPr>
            <w:r>
              <w:rPr>
                <w:rFonts w:ascii="宋体" w:hAnsi="宋体"/>
                <w:color w:val="auto"/>
                <w:sz w:val="18"/>
                <w:szCs w:val="18"/>
                <w:highlight w:val="none"/>
              </w:rPr>
              <w:t>简介</w:t>
            </w:r>
          </w:p>
        </w:tc>
        <w:tc>
          <w:tcPr>
            <w:tcW w:w="720" w:type="pct"/>
            <w:vAlign w:val="center"/>
          </w:tcPr>
          <w:p>
            <w:pPr>
              <w:jc w:val="center"/>
              <w:textAlignment w:val="center"/>
              <w:rPr>
                <w:rFonts w:ascii="宋体" w:hAnsi="宋体"/>
                <w:bCs/>
                <w:color w:val="auto"/>
                <w:sz w:val="18"/>
                <w:szCs w:val="18"/>
                <w:highlight w:val="none"/>
              </w:rPr>
            </w:pPr>
            <w:r>
              <w:rPr>
                <w:rFonts w:ascii="宋体" w:hAnsi="宋体"/>
                <w:color w:val="auto"/>
                <w:sz w:val="18"/>
                <w:szCs w:val="18"/>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59" w:type="pct"/>
            <w:vAlign w:val="center"/>
          </w:tcPr>
          <w:p>
            <w:pPr>
              <w:jc w:val="center"/>
              <w:textAlignment w:val="center"/>
              <w:rPr>
                <w:rFonts w:ascii="宋体" w:hAnsi="宋体"/>
                <w:b/>
                <w:bCs/>
                <w:color w:val="auto"/>
                <w:sz w:val="18"/>
                <w:szCs w:val="18"/>
                <w:highlight w:val="none"/>
              </w:rPr>
            </w:pPr>
            <w:r>
              <w:rPr>
                <w:rFonts w:hint="eastAsia" w:ascii="宋体" w:hAnsi="宋体"/>
                <w:color w:val="auto"/>
                <w:sz w:val="18"/>
                <w:szCs w:val="18"/>
                <w:highlight w:val="none"/>
              </w:rPr>
              <w:t>气候</w:t>
            </w:r>
            <w:r>
              <w:rPr>
                <w:rFonts w:ascii="宋体" w:hAnsi="宋体"/>
                <w:color w:val="auto"/>
                <w:sz w:val="18"/>
                <w:szCs w:val="18"/>
                <w:highlight w:val="none"/>
              </w:rPr>
              <w:t>变化</w:t>
            </w:r>
          </w:p>
        </w:tc>
        <w:tc>
          <w:tcPr>
            <w:tcW w:w="986" w:type="pct"/>
            <w:vAlign w:val="center"/>
          </w:tcPr>
          <w:p>
            <w:pPr>
              <w:jc w:val="center"/>
              <w:textAlignment w:val="center"/>
              <w:rPr>
                <w:rFonts w:ascii="宋体" w:hAnsi="宋体"/>
                <w:color w:val="auto"/>
                <w:sz w:val="18"/>
                <w:szCs w:val="18"/>
                <w:highlight w:val="none"/>
              </w:rPr>
            </w:pPr>
            <w:r>
              <w:rPr>
                <w:rFonts w:ascii="宋体" w:hAnsi="宋体"/>
                <w:color w:val="auto"/>
                <w:sz w:val="18"/>
                <w:szCs w:val="18"/>
                <w:highlight w:val="none"/>
              </w:rPr>
              <w:t>全球变暖潜力</w:t>
            </w:r>
          </w:p>
          <w:p>
            <w:pPr>
              <w:jc w:val="center"/>
              <w:textAlignment w:val="center"/>
              <w:rPr>
                <w:rFonts w:ascii="宋体" w:hAnsi="宋体"/>
                <w:color w:val="auto"/>
                <w:sz w:val="18"/>
                <w:szCs w:val="18"/>
                <w:highlight w:val="none"/>
              </w:rPr>
            </w:pPr>
            <w:r>
              <w:rPr>
                <w:rFonts w:ascii="宋体" w:hAnsi="宋体"/>
                <w:color w:val="auto"/>
                <w:sz w:val="18"/>
                <w:szCs w:val="18"/>
                <w:highlight w:val="none"/>
              </w:rPr>
              <w:t>（GWP100年）</w:t>
            </w:r>
          </w:p>
        </w:tc>
        <w:tc>
          <w:tcPr>
            <w:tcW w:w="2635" w:type="pct"/>
            <w:vAlign w:val="center"/>
          </w:tcPr>
          <w:p>
            <w:pPr>
              <w:jc w:val="left"/>
              <w:textAlignment w:val="center"/>
              <w:rPr>
                <w:rFonts w:ascii="宋体" w:hAnsi="宋体"/>
                <w:color w:val="auto"/>
                <w:sz w:val="18"/>
                <w:szCs w:val="18"/>
                <w:highlight w:val="none"/>
              </w:rPr>
            </w:pPr>
            <w:r>
              <w:rPr>
                <w:rFonts w:ascii="宋体" w:hAnsi="宋体"/>
                <w:color w:val="auto"/>
                <w:sz w:val="18"/>
                <w:szCs w:val="18"/>
                <w:highlight w:val="none"/>
              </w:rPr>
              <w:t>度量温室气体的排放量，例如CO</w:t>
            </w:r>
            <w:r>
              <w:rPr>
                <w:rFonts w:ascii="宋体" w:hAnsi="宋体"/>
                <w:color w:val="auto"/>
                <w:sz w:val="18"/>
                <w:szCs w:val="18"/>
                <w:highlight w:val="none"/>
                <w:vertAlign w:val="subscript"/>
              </w:rPr>
              <w:t xml:space="preserve">2 </w:t>
            </w:r>
            <w:r>
              <w:rPr>
                <w:rFonts w:ascii="宋体" w:hAnsi="宋体"/>
                <w:color w:val="auto"/>
                <w:sz w:val="18"/>
                <w:szCs w:val="18"/>
                <w:highlight w:val="none"/>
              </w:rPr>
              <w:t>和甲醛。这些气体</w:t>
            </w:r>
            <w:r>
              <w:rPr>
                <w:rFonts w:hint="eastAsia" w:ascii="宋体" w:hAnsi="宋体"/>
                <w:color w:val="auto"/>
                <w:sz w:val="18"/>
                <w:szCs w:val="18"/>
                <w:highlight w:val="none"/>
              </w:rPr>
              <w:t>排放促使了</w:t>
            </w:r>
            <w:r>
              <w:rPr>
                <w:rFonts w:ascii="宋体" w:hAnsi="宋体"/>
                <w:color w:val="auto"/>
                <w:sz w:val="18"/>
                <w:szCs w:val="18"/>
                <w:highlight w:val="none"/>
              </w:rPr>
              <w:t>地</w:t>
            </w:r>
            <w:r>
              <w:rPr>
                <w:rFonts w:hint="eastAsia" w:ascii="宋体" w:hAnsi="宋体"/>
                <w:color w:val="auto"/>
                <w:sz w:val="18"/>
                <w:szCs w:val="18"/>
                <w:highlight w:val="none"/>
              </w:rPr>
              <w:t>表</w:t>
            </w:r>
            <w:r>
              <w:rPr>
                <w:rFonts w:ascii="宋体" w:hAnsi="宋体"/>
                <w:color w:val="auto"/>
                <w:sz w:val="18"/>
                <w:szCs w:val="18"/>
                <w:highlight w:val="none"/>
              </w:rPr>
              <w:t>辐射的吸收，加剧了温室效应。</w:t>
            </w:r>
          </w:p>
        </w:tc>
        <w:tc>
          <w:tcPr>
            <w:tcW w:w="720" w:type="pct"/>
            <w:vAlign w:val="center"/>
          </w:tcPr>
          <w:p>
            <w:pPr>
              <w:jc w:val="center"/>
              <w:textAlignment w:val="center"/>
              <w:rPr>
                <w:rFonts w:ascii="宋体" w:hAnsi="宋体"/>
                <w:color w:val="auto"/>
                <w:sz w:val="18"/>
                <w:szCs w:val="18"/>
                <w:highlight w:val="none"/>
              </w:rPr>
            </w:pPr>
            <w:r>
              <w:rPr>
                <w:rFonts w:ascii="宋体" w:hAnsi="宋体"/>
                <w:color w:val="auto"/>
                <w:sz w:val="18"/>
                <w:szCs w:val="18"/>
                <w:highlight w:val="none"/>
              </w:rPr>
              <w:t>kg CO</w:t>
            </w:r>
            <w:r>
              <w:rPr>
                <w:rFonts w:ascii="宋体" w:hAnsi="宋体"/>
                <w:color w:val="auto"/>
                <w:sz w:val="18"/>
                <w:szCs w:val="18"/>
                <w:highlight w:val="none"/>
                <w:vertAlign w:val="subscript"/>
              </w:rPr>
              <w:t xml:space="preserve">2 </w:t>
            </w:r>
            <w:r>
              <w:rPr>
                <w:rFonts w:ascii="宋体" w:hAnsi="宋体"/>
                <w:color w:val="auto"/>
                <w:sz w:val="18"/>
                <w:szCs w:val="18"/>
                <w:highlight w:val="none"/>
              </w:rPr>
              <w:t>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659" w:type="pct"/>
            <w:vAlign w:val="center"/>
          </w:tcPr>
          <w:p>
            <w:pPr>
              <w:jc w:val="center"/>
              <w:textAlignment w:val="center"/>
              <w:rPr>
                <w:rFonts w:ascii="宋体" w:hAnsi="宋体"/>
                <w:color w:val="auto"/>
                <w:sz w:val="18"/>
                <w:szCs w:val="18"/>
                <w:highlight w:val="none"/>
              </w:rPr>
            </w:pPr>
            <w:r>
              <w:rPr>
                <w:rFonts w:hint="eastAsia" w:ascii="宋体" w:hAnsi="宋体"/>
                <w:color w:val="auto"/>
                <w:sz w:val="18"/>
                <w:szCs w:val="18"/>
                <w:highlight w:val="none"/>
              </w:rPr>
              <w:t>初级</w:t>
            </w:r>
          </w:p>
          <w:p>
            <w:pPr>
              <w:jc w:val="center"/>
              <w:textAlignment w:val="center"/>
              <w:rPr>
                <w:rFonts w:ascii="宋体" w:hAnsi="宋体"/>
                <w:b/>
                <w:bCs/>
                <w:color w:val="auto"/>
                <w:sz w:val="18"/>
                <w:szCs w:val="18"/>
                <w:highlight w:val="none"/>
              </w:rPr>
            </w:pPr>
            <w:r>
              <w:rPr>
                <w:rFonts w:hint="eastAsia" w:ascii="宋体" w:hAnsi="宋体"/>
                <w:color w:val="auto"/>
                <w:sz w:val="18"/>
                <w:szCs w:val="18"/>
                <w:highlight w:val="none"/>
              </w:rPr>
              <w:t>能源消耗</w:t>
            </w:r>
          </w:p>
        </w:tc>
        <w:tc>
          <w:tcPr>
            <w:tcW w:w="986" w:type="pct"/>
            <w:vAlign w:val="center"/>
          </w:tcPr>
          <w:p>
            <w:pPr>
              <w:jc w:val="center"/>
              <w:textAlignment w:val="center"/>
              <w:rPr>
                <w:rFonts w:ascii="宋体" w:hAnsi="宋体"/>
                <w:color w:val="auto"/>
                <w:sz w:val="18"/>
                <w:szCs w:val="18"/>
                <w:highlight w:val="none"/>
              </w:rPr>
            </w:pPr>
            <w:r>
              <w:rPr>
                <w:rFonts w:ascii="宋体" w:hAnsi="宋体"/>
                <w:color w:val="auto"/>
                <w:sz w:val="18"/>
                <w:szCs w:val="18"/>
                <w:highlight w:val="none"/>
              </w:rPr>
              <w:t>初级能源消耗</w:t>
            </w:r>
            <w:r>
              <w:rPr>
                <w:rFonts w:hint="eastAsia" w:ascii="宋体" w:hAnsi="宋体"/>
                <w:color w:val="auto"/>
                <w:sz w:val="18"/>
                <w:szCs w:val="18"/>
                <w:highlight w:val="none"/>
              </w:rPr>
              <w:t>总量</w:t>
            </w:r>
          </w:p>
          <w:p>
            <w:pPr>
              <w:jc w:val="center"/>
              <w:textAlignment w:val="center"/>
              <w:rPr>
                <w:rFonts w:ascii="宋体" w:hAnsi="宋体"/>
                <w:color w:val="auto"/>
                <w:sz w:val="18"/>
                <w:szCs w:val="18"/>
                <w:highlight w:val="none"/>
              </w:rPr>
            </w:pPr>
            <w:r>
              <w:rPr>
                <w:rFonts w:ascii="宋体" w:hAnsi="宋体"/>
                <w:color w:val="auto"/>
                <w:sz w:val="18"/>
                <w:szCs w:val="18"/>
                <w:highlight w:val="none"/>
              </w:rPr>
              <w:t>(PED)</w:t>
            </w:r>
          </w:p>
        </w:tc>
        <w:tc>
          <w:tcPr>
            <w:tcW w:w="2635" w:type="pct"/>
            <w:vAlign w:val="center"/>
          </w:tcPr>
          <w:p>
            <w:pPr>
              <w:jc w:val="left"/>
              <w:textAlignment w:val="center"/>
              <w:rPr>
                <w:rFonts w:ascii="宋体" w:hAnsi="宋体"/>
                <w:color w:val="auto"/>
                <w:sz w:val="18"/>
                <w:szCs w:val="18"/>
                <w:highlight w:val="none"/>
              </w:rPr>
            </w:pPr>
            <w:r>
              <w:rPr>
                <w:rFonts w:ascii="宋体" w:hAnsi="宋体"/>
                <w:color w:val="auto"/>
                <w:sz w:val="18"/>
                <w:szCs w:val="18"/>
                <w:highlight w:val="none"/>
              </w:rPr>
              <w:t>从</w:t>
            </w:r>
            <w:r>
              <w:rPr>
                <w:rFonts w:hint="eastAsia" w:ascii="宋体" w:hAnsi="宋体"/>
                <w:color w:val="auto"/>
                <w:sz w:val="18"/>
                <w:szCs w:val="18"/>
                <w:highlight w:val="none"/>
              </w:rPr>
              <w:t>地球获取的</w:t>
            </w:r>
            <w:r>
              <w:rPr>
                <w:rFonts w:ascii="宋体" w:hAnsi="宋体"/>
                <w:color w:val="auto"/>
                <w:sz w:val="18"/>
                <w:szCs w:val="18"/>
                <w:highlight w:val="none"/>
              </w:rPr>
              <w:t>初级能源消耗</w:t>
            </w:r>
            <w:r>
              <w:rPr>
                <w:rFonts w:hint="eastAsia" w:ascii="宋体" w:hAnsi="宋体"/>
                <w:color w:val="auto"/>
                <w:sz w:val="18"/>
                <w:szCs w:val="18"/>
                <w:highlight w:val="none"/>
              </w:rPr>
              <w:t>总量的测量值。PED是用对不可再生能源</w:t>
            </w:r>
            <w:r>
              <w:rPr>
                <w:rFonts w:ascii="宋体" w:hAnsi="宋体"/>
                <w:color w:val="auto"/>
                <w:sz w:val="18"/>
                <w:szCs w:val="18"/>
                <w:highlight w:val="none"/>
              </w:rPr>
              <w:t>（例如石油、天然气等）和可再生能源（例如水力、风能和太阳能等）的需求来表示的。能源储存的效率（例如电力、热和蒸汽）也考虑其中。</w:t>
            </w:r>
          </w:p>
        </w:tc>
        <w:tc>
          <w:tcPr>
            <w:tcW w:w="720" w:type="pct"/>
            <w:vAlign w:val="center"/>
          </w:tcPr>
          <w:p>
            <w:pPr>
              <w:jc w:val="center"/>
              <w:textAlignment w:val="center"/>
              <w:rPr>
                <w:rFonts w:ascii="宋体" w:hAnsi="宋体"/>
                <w:color w:val="auto"/>
                <w:sz w:val="18"/>
                <w:szCs w:val="18"/>
                <w:highlight w:val="none"/>
              </w:rPr>
            </w:pPr>
            <w:r>
              <w:rPr>
                <w:rFonts w:ascii="宋体" w:hAnsi="宋体"/>
                <w:color w:val="auto"/>
                <w:sz w:val="18"/>
                <w:szCs w:val="18"/>
                <w:highlight w:val="none"/>
              </w:rPr>
              <w:t>MJ</w:t>
            </w:r>
          </w:p>
          <w:p>
            <w:pPr>
              <w:jc w:val="center"/>
              <w:textAlignment w:val="center"/>
              <w:rPr>
                <w:rFonts w:ascii="宋体" w:hAnsi="宋体"/>
                <w:color w:val="auto"/>
                <w:sz w:val="18"/>
                <w:szCs w:val="18"/>
                <w:highlight w:val="none"/>
              </w:rPr>
            </w:pPr>
            <w:r>
              <w:rPr>
                <w:rFonts w:ascii="宋体" w:hAnsi="宋体"/>
                <w:color w:val="auto"/>
                <w:sz w:val="18"/>
                <w:szCs w:val="18"/>
                <w:highlight w:val="none"/>
              </w:rPr>
              <w:t>(低热值)</w:t>
            </w:r>
          </w:p>
        </w:tc>
      </w:tr>
    </w:tbl>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A.3 </w:t>
      </w:r>
      <w:r>
        <w:rPr>
          <w:rFonts w:hint="eastAsia" w:ascii="黑体" w:hAnsi="黑体" w:eastAsia="黑体"/>
          <w:color w:val="auto"/>
          <w:szCs w:val="21"/>
          <w:highlight w:val="none"/>
        </w:rPr>
        <w:t>生命周期清单分析</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A.3.1 </w:t>
      </w:r>
      <w:r>
        <w:rPr>
          <w:rFonts w:hint="eastAsia" w:ascii="黑体" w:hAnsi="黑体" w:eastAsia="黑体"/>
          <w:color w:val="auto"/>
          <w:szCs w:val="21"/>
          <w:highlight w:val="none"/>
        </w:rPr>
        <w:t>总则</w:t>
      </w:r>
    </w:p>
    <w:p>
      <w:pPr>
        <w:ind w:firstLine="420" w:firstLineChars="200"/>
        <w:jc w:val="left"/>
        <w:rPr>
          <w:color w:val="auto"/>
          <w:szCs w:val="21"/>
          <w:highlight w:val="none"/>
        </w:rPr>
      </w:pPr>
      <w:r>
        <w:rPr>
          <w:rFonts w:hint="eastAsia"/>
          <w:color w:val="auto"/>
          <w:szCs w:val="21"/>
          <w:highlight w:val="none"/>
        </w:rPr>
        <w:t>应编制热镀用锌合金锭产品系统边界内的所有原材料、辅料、能源和水资源的输入，产品的输出，排放到大气、水体及土壤的排放物以及废弃物的清单，作为产品生命周期评价的依据。</w:t>
      </w:r>
    </w:p>
    <w:p>
      <w:pPr>
        <w:ind w:firstLine="420"/>
        <w:rPr>
          <w:color w:val="auto"/>
          <w:szCs w:val="21"/>
          <w:highlight w:val="none"/>
        </w:rPr>
      </w:pPr>
      <w:r>
        <w:rPr>
          <w:rFonts w:hint="eastAsia"/>
          <w:color w:val="auto"/>
          <w:szCs w:val="21"/>
          <w:highlight w:val="none"/>
        </w:rPr>
        <w:t>如果数据清单有特殊情况、异常点或其他问题，应在报告中进行明确说明。</w:t>
      </w:r>
    </w:p>
    <w:p>
      <w:pPr>
        <w:ind w:firstLine="420"/>
        <w:rPr>
          <w:color w:val="auto"/>
          <w:szCs w:val="21"/>
          <w:highlight w:val="none"/>
        </w:rPr>
      </w:pPr>
      <w:r>
        <w:rPr>
          <w:rFonts w:hint="eastAsia"/>
          <w:color w:val="auto"/>
          <w:szCs w:val="21"/>
          <w:highlight w:val="none"/>
        </w:rPr>
        <w:t>应书面给出所有的计算程序和计算公式，所做的假设应给予明确说明。当数据收集完毕后，应对收集的数据进行审定。然后确定每个单元过程的定量输入和输出，将各个单元过程的输入输出数据除以热镀用锌合金锭产品的产量，得到功能单位的资源、能源消耗和环境排放。最后将替代产品各单元过程中相同影响因素的数据求和，以获取该影响因素的总量，为产品及影响评价提高必要的数据。</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A.3.2 </w:t>
      </w:r>
      <w:r>
        <w:rPr>
          <w:rFonts w:hint="eastAsia" w:ascii="黑体" w:hAnsi="黑体" w:eastAsia="黑体"/>
          <w:color w:val="auto"/>
          <w:szCs w:val="21"/>
          <w:highlight w:val="none"/>
        </w:rPr>
        <w:t>数据收集</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A.3.2.1 </w:t>
      </w:r>
      <w:r>
        <w:rPr>
          <w:rFonts w:hint="eastAsia" w:ascii="黑体" w:hAnsi="黑体" w:eastAsia="黑体"/>
          <w:color w:val="auto"/>
          <w:szCs w:val="21"/>
          <w:highlight w:val="none"/>
        </w:rPr>
        <w:t>概况</w:t>
      </w:r>
    </w:p>
    <w:p>
      <w:pPr>
        <w:ind w:firstLine="420" w:firstLineChars="200"/>
        <w:jc w:val="left"/>
        <w:rPr>
          <w:rFonts w:ascii="宋体" w:hAnsi="宋体"/>
          <w:color w:val="auto"/>
          <w:szCs w:val="21"/>
          <w:highlight w:val="none"/>
        </w:rPr>
      </w:pPr>
      <w:r>
        <w:rPr>
          <w:rFonts w:hint="eastAsia" w:ascii="宋体" w:hAnsi="宋体"/>
          <w:color w:val="auto"/>
          <w:szCs w:val="21"/>
          <w:highlight w:val="none"/>
        </w:rPr>
        <w:t>应将以下阶段的数据纳入数据清单：</w:t>
      </w:r>
    </w:p>
    <w:p>
      <w:pPr>
        <w:pStyle w:val="43"/>
        <w:numPr>
          <w:ilvl w:val="0"/>
          <w:numId w:val="4"/>
        </w:numPr>
        <w:rPr>
          <w:color w:val="auto"/>
          <w:szCs w:val="22"/>
          <w:highlight w:val="none"/>
        </w:rPr>
      </w:pPr>
      <w:r>
        <w:rPr>
          <w:rFonts w:hint="eastAsia"/>
          <w:color w:val="auto"/>
          <w:szCs w:val="22"/>
          <w:highlight w:val="none"/>
        </w:rPr>
        <w:t>生产</w:t>
      </w:r>
    </w:p>
    <w:p>
      <w:pPr>
        <w:ind w:firstLine="420"/>
        <w:jc w:val="left"/>
        <w:rPr>
          <w:color w:val="auto"/>
          <w:highlight w:val="none"/>
        </w:rPr>
      </w:pPr>
      <w:r>
        <w:rPr>
          <w:rFonts w:hint="eastAsia"/>
          <w:color w:val="auto"/>
          <w:highlight w:val="none"/>
        </w:rPr>
        <w:t>产品生命周期评价过程要收集和</w:t>
      </w:r>
      <w:r>
        <w:rPr>
          <w:color w:val="auto"/>
          <w:highlight w:val="none"/>
        </w:rPr>
        <w:t>使用的数据可分为两类：现场数据和背景数据。主要</w:t>
      </w:r>
      <w:r>
        <w:rPr>
          <w:rFonts w:hint="eastAsia"/>
          <w:color w:val="auto"/>
          <w:highlight w:val="none"/>
        </w:rPr>
        <w:t>/重要</w:t>
      </w:r>
      <w:r>
        <w:rPr>
          <w:color w:val="auto"/>
          <w:highlight w:val="none"/>
        </w:rPr>
        <w:t>数据尽量使用现场数据，如果</w:t>
      </w:r>
      <w:r>
        <w:rPr>
          <w:rFonts w:hint="eastAsia"/>
          <w:color w:val="auto"/>
          <w:highlight w:val="none"/>
        </w:rPr>
        <w:t>无法获得</w:t>
      </w:r>
      <w:r>
        <w:rPr>
          <w:color w:val="auto"/>
          <w:highlight w:val="none"/>
        </w:rPr>
        <w:t>现场数据</w:t>
      </w:r>
      <w:r>
        <w:rPr>
          <w:rFonts w:hint="eastAsia"/>
          <w:color w:val="auto"/>
          <w:highlight w:val="none"/>
        </w:rPr>
        <w:t>，</w:t>
      </w:r>
      <w:r>
        <w:rPr>
          <w:color w:val="auto"/>
          <w:highlight w:val="none"/>
        </w:rPr>
        <w:t>可以选择</w:t>
      </w:r>
      <w:r>
        <w:rPr>
          <w:rFonts w:hint="eastAsia"/>
          <w:color w:val="auto"/>
          <w:highlight w:val="none"/>
        </w:rPr>
        <w:t>用最接近的</w:t>
      </w:r>
      <w:r>
        <w:rPr>
          <w:color w:val="auto"/>
          <w:highlight w:val="none"/>
        </w:rPr>
        <w:t>背景数据</w:t>
      </w:r>
      <w:r>
        <w:rPr>
          <w:rFonts w:hint="eastAsia"/>
          <w:color w:val="auto"/>
          <w:highlight w:val="none"/>
        </w:rPr>
        <w:t>来代替，但需要在报告中做局限性说明。</w:t>
      </w:r>
    </w:p>
    <w:p>
      <w:pPr>
        <w:spacing w:before="312" w:beforeLines="100" w:after="312" w:afterLines="100"/>
        <w:jc w:val="left"/>
        <w:rPr>
          <w:rFonts w:ascii="黑体" w:hAnsi="黑体" w:eastAsia="黑体"/>
          <w:color w:val="auto"/>
          <w:szCs w:val="21"/>
          <w:highlight w:val="none"/>
        </w:rPr>
      </w:pPr>
      <w:r>
        <w:rPr>
          <w:rFonts w:ascii="黑体" w:hAnsi="黑体" w:eastAsia="黑体"/>
          <w:color w:val="auto"/>
          <w:szCs w:val="21"/>
          <w:highlight w:val="none"/>
        </w:rPr>
        <w:t>A.3.2.2</w:t>
      </w:r>
      <w:r>
        <w:rPr>
          <w:rFonts w:hint="eastAsia" w:ascii="黑体" w:hAnsi="黑体" w:eastAsia="黑体"/>
          <w:color w:val="auto"/>
          <w:szCs w:val="21"/>
          <w:highlight w:val="none"/>
        </w:rPr>
        <w:t>现场数据的收集</w:t>
      </w:r>
    </w:p>
    <w:p>
      <w:pPr>
        <w:ind w:firstLine="420" w:firstLineChars="200"/>
        <w:jc w:val="left"/>
        <w:rPr>
          <w:rFonts w:ascii="宋体"/>
          <w:color w:val="auto"/>
          <w:szCs w:val="21"/>
          <w:highlight w:val="none"/>
        </w:rPr>
      </w:pPr>
      <w:r>
        <w:rPr>
          <w:rFonts w:hint="eastAsia" w:ascii="宋体" w:hAnsi="宋体"/>
          <w:color w:val="auto"/>
          <w:szCs w:val="21"/>
          <w:highlight w:val="none"/>
        </w:rPr>
        <w:t>通过直接测量、采访、问卷调查或相关文件材料查阅，从企业直接获得的数据为现场数据。数据应包括热镀用锌合金锭生产过程中所有已知输入和输出。输入指消耗的</w:t>
      </w:r>
      <w:r>
        <w:rPr>
          <w:rFonts w:hint="eastAsia"/>
          <w:color w:val="auto"/>
          <w:szCs w:val="21"/>
          <w:highlight w:val="none"/>
        </w:rPr>
        <w:t>原材料、辅料、能源和水</w:t>
      </w:r>
      <w:r>
        <w:rPr>
          <w:rFonts w:hint="eastAsia" w:ascii="宋体" w:hAnsi="宋体"/>
          <w:color w:val="auto"/>
          <w:szCs w:val="21"/>
          <w:highlight w:val="none"/>
        </w:rPr>
        <w:t>等。输出指产品和环境排放物。可将环境排放物分为：对大气、水体和土壤的排放物以及作为固体废弃物的排放物。数据收集表参见附录</w:t>
      </w:r>
      <w:r>
        <w:rPr>
          <w:rFonts w:ascii="宋体" w:hAnsi="宋体"/>
          <w:color w:val="auto"/>
          <w:szCs w:val="21"/>
          <w:highlight w:val="none"/>
        </w:rPr>
        <w:t>B</w:t>
      </w:r>
      <w:r>
        <w:rPr>
          <w:rFonts w:hint="eastAsia" w:ascii="宋体" w:hAnsi="宋体"/>
          <w:color w:val="auto"/>
          <w:szCs w:val="21"/>
          <w:highlight w:val="none"/>
        </w:rPr>
        <w:t>。</w:t>
      </w:r>
    </w:p>
    <w:p>
      <w:pPr>
        <w:ind w:firstLine="420" w:firstLineChars="200"/>
        <w:jc w:val="left"/>
        <w:rPr>
          <w:rFonts w:ascii="宋体"/>
          <w:color w:val="auto"/>
          <w:szCs w:val="21"/>
          <w:highlight w:val="none"/>
        </w:rPr>
      </w:pPr>
      <w:r>
        <w:rPr>
          <w:rFonts w:hint="eastAsia" w:ascii="宋体" w:hAnsi="宋体"/>
          <w:color w:val="auto"/>
          <w:szCs w:val="21"/>
          <w:highlight w:val="none"/>
        </w:rPr>
        <w:t>每个单元过程的典型现场数据来源主要包括：</w:t>
      </w:r>
    </w:p>
    <w:p>
      <w:pPr>
        <w:ind w:firstLine="420" w:firstLineChars="200"/>
        <w:jc w:val="left"/>
        <w:rPr>
          <w:rFonts w:asci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）能源和水消耗数据；</w:t>
      </w:r>
    </w:p>
    <w:p>
      <w:pPr>
        <w:ind w:firstLine="420" w:firstLineChars="200"/>
        <w:jc w:val="left"/>
        <w:rPr>
          <w:rFonts w:ascii="宋体"/>
          <w:color w:val="auto"/>
          <w:szCs w:val="21"/>
          <w:highlight w:val="none"/>
        </w:rPr>
      </w:pPr>
      <w:r>
        <w:rPr>
          <w:rFonts w:ascii="宋体" w:hAnsi="宋体"/>
          <w:color w:val="auto"/>
          <w:szCs w:val="21"/>
          <w:highlight w:val="none"/>
        </w:rPr>
        <w:t>b</w:t>
      </w:r>
      <w:r>
        <w:rPr>
          <w:rFonts w:hint="eastAsia" w:ascii="宋体" w:hAnsi="宋体"/>
          <w:color w:val="auto"/>
          <w:szCs w:val="21"/>
          <w:highlight w:val="none"/>
        </w:rPr>
        <w:t>）耗材清单以及库存变化；</w:t>
      </w:r>
    </w:p>
    <w:p>
      <w:pPr>
        <w:ind w:firstLine="420" w:firstLineChars="200"/>
        <w:jc w:val="left"/>
        <w:rPr>
          <w:rFonts w:ascii="宋体"/>
          <w:color w:val="auto"/>
          <w:szCs w:val="21"/>
          <w:highlight w:val="none"/>
        </w:rPr>
      </w:pPr>
      <w:r>
        <w:rPr>
          <w:rFonts w:ascii="宋体" w:hAnsi="宋体"/>
          <w:color w:val="auto"/>
          <w:szCs w:val="21"/>
          <w:highlight w:val="none"/>
        </w:rPr>
        <w:t>c</w:t>
      </w:r>
      <w:r>
        <w:rPr>
          <w:rFonts w:hint="eastAsia" w:ascii="宋体" w:hAnsi="宋体"/>
          <w:color w:val="auto"/>
          <w:szCs w:val="21"/>
          <w:highlight w:val="none"/>
        </w:rPr>
        <w:t>）排放物的测量值（气体和废水排放物的数量和浓度）；</w:t>
      </w:r>
    </w:p>
    <w:p>
      <w:pPr>
        <w:ind w:firstLine="420" w:firstLineChars="200"/>
        <w:jc w:val="left"/>
        <w:rPr>
          <w:rFonts w:ascii="宋体"/>
          <w:color w:val="auto"/>
          <w:szCs w:val="21"/>
          <w:highlight w:val="none"/>
        </w:rPr>
      </w:pPr>
      <w:r>
        <w:rPr>
          <w:rFonts w:ascii="宋体" w:hAnsi="宋体"/>
          <w:color w:val="auto"/>
          <w:szCs w:val="21"/>
          <w:highlight w:val="none"/>
        </w:rPr>
        <w:t>d</w:t>
      </w:r>
      <w:r>
        <w:rPr>
          <w:rFonts w:hint="eastAsia" w:ascii="宋体" w:hAnsi="宋体"/>
          <w:color w:val="auto"/>
          <w:szCs w:val="21"/>
          <w:highlight w:val="none"/>
        </w:rPr>
        <w:t>）产品 、排放物和废弃物的成分；</w:t>
      </w:r>
    </w:p>
    <w:p>
      <w:pPr>
        <w:ind w:firstLine="420" w:firstLineChars="200"/>
        <w:jc w:val="left"/>
        <w:rPr>
          <w:rFonts w:ascii="宋体" w:hAnsi="宋体"/>
          <w:color w:val="auto"/>
          <w:szCs w:val="21"/>
          <w:highlight w:val="none"/>
        </w:rPr>
      </w:pPr>
      <w:r>
        <w:rPr>
          <w:rFonts w:hint="eastAsia" w:ascii="宋体" w:hAnsi="宋体"/>
          <w:color w:val="auto"/>
          <w:szCs w:val="21"/>
          <w:highlight w:val="none"/>
        </w:rPr>
        <w:t>e）采购和销售部门等。</w:t>
      </w:r>
    </w:p>
    <w:p>
      <w:pPr>
        <w:spacing w:before="312" w:beforeLines="100" w:after="312" w:afterLines="100"/>
        <w:jc w:val="left"/>
        <w:rPr>
          <w:rFonts w:ascii="黑体" w:hAnsi="黑体" w:eastAsia="黑体"/>
          <w:color w:val="auto"/>
          <w:szCs w:val="21"/>
          <w:highlight w:val="none"/>
        </w:rPr>
      </w:pPr>
      <w:r>
        <w:rPr>
          <w:rFonts w:ascii="黑体" w:hAnsi="黑体" w:eastAsia="黑体"/>
          <w:color w:val="auto"/>
          <w:szCs w:val="21"/>
          <w:highlight w:val="none"/>
        </w:rPr>
        <w:t>A.3.2.3.</w:t>
      </w:r>
      <w:r>
        <w:rPr>
          <w:rFonts w:hint="eastAsia" w:ascii="黑体" w:hAnsi="黑体" w:eastAsia="黑体"/>
          <w:color w:val="auto"/>
          <w:szCs w:val="21"/>
          <w:highlight w:val="none"/>
        </w:rPr>
        <w:t>背景数据的收集</w:t>
      </w:r>
    </w:p>
    <w:p>
      <w:pPr>
        <w:ind w:firstLine="420" w:firstLineChars="200"/>
        <w:jc w:val="left"/>
        <w:rPr>
          <w:rFonts w:ascii="宋体"/>
          <w:color w:val="auto"/>
          <w:szCs w:val="21"/>
          <w:highlight w:val="none"/>
        </w:rPr>
      </w:pPr>
      <w:r>
        <w:rPr>
          <w:rFonts w:hint="eastAsia" w:ascii="宋体" w:hAnsi="宋体"/>
          <w:color w:val="auto"/>
          <w:szCs w:val="21"/>
          <w:highlight w:val="none"/>
        </w:rPr>
        <w:t>背景数据不是直接测量或计算得到的数据。背景数据可以是行业平均数据。所使用数据的来源应有清楚的文件记载并应载入热镀用锌合金锭产品生命周期评价报告。</w:t>
      </w:r>
    </w:p>
    <w:p>
      <w:pPr>
        <w:spacing w:before="312" w:beforeLines="100" w:after="312" w:afterLines="100"/>
        <w:jc w:val="left"/>
        <w:rPr>
          <w:rFonts w:ascii="黑体" w:hAnsi="黑体" w:eastAsia="黑体"/>
          <w:color w:val="auto"/>
          <w:szCs w:val="21"/>
          <w:highlight w:val="none"/>
        </w:rPr>
      </w:pPr>
      <w:r>
        <w:rPr>
          <w:rFonts w:ascii="黑体" w:hAnsi="黑体" w:eastAsia="黑体"/>
          <w:color w:val="auto"/>
          <w:szCs w:val="21"/>
          <w:highlight w:val="none"/>
        </w:rPr>
        <w:t>A.3.2.4</w:t>
      </w:r>
      <w:r>
        <w:rPr>
          <w:rFonts w:hint="eastAsia" w:ascii="黑体" w:hAnsi="黑体" w:eastAsia="黑体"/>
          <w:color w:val="auto"/>
          <w:szCs w:val="21"/>
          <w:highlight w:val="none"/>
        </w:rPr>
        <w:t>生命周期各阶段数据采集</w:t>
      </w:r>
    </w:p>
    <w:p>
      <w:pPr>
        <w:spacing w:before="312" w:beforeLines="100" w:after="312" w:afterLines="100"/>
        <w:jc w:val="left"/>
        <w:rPr>
          <w:rFonts w:ascii="黑体" w:hAnsi="黑体" w:eastAsia="黑体"/>
          <w:color w:val="auto"/>
          <w:szCs w:val="21"/>
          <w:highlight w:val="none"/>
        </w:rPr>
      </w:pPr>
      <w:r>
        <w:rPr>
          <w:rFonts w:hint="eastAsia" w:ascii="黑体" w:hAnsi="黑体" w:eastAsia="黑体"/>
          <w:color w:val="auto"/>
          <w:szCs w:val="21"/>
          <w:highlight w:val="none"/>
        </w:rPr>
        <w:t>A.3.2.4.1 生产阶段</w:t>
      </w:r>
    </w:p>
    <w:p>
      <w:pPr>
        <w:ind w:firstLine="420" w:firstLineChars="200"/>
        <w:jc w:val="left"/>
        <w:rPr>
          <w:color w:val="auto"/>
          <w:highlight w:val="none"/>
        </w:rPr>
      </w:pPr>
      <w:r>
        <w:rPr>
          <w:rFonts w:hint="eastAsia" w:ascii="宋体" w:hAnsi="宋体"/>
          <w:color w:val="auto"/>
          <w:szCs w:val="21"/>
          <w:highlight w:val="none"/>
        </w:rPr>
        <w:t>该阶段起源于原材料、辅料进入生产场址，结束于成品离开生产单位。生产活动包括</w:t>
      </w:r>
      <w:r>
        <w:rPr>
          <w:rFonts w:hint="eastAsia"/>
          <w:color w:val="auto"/>
          <w:highlight w:val="none"/>
        </w:rPr>
        <w:t>电解阴极锌片或锌锭熔炼、合金化配料、熔炼浇铸、冷却凝固、检验发运生产热镀用锌合金过程。</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A.3.3 </w:t>
      </w:r>
      <w:r>
        <w:rPr>
          <w:rFonts w:hint="eastAsia" w:ascii="黑体" w:hAnsi="黑体" w:eastAsia="黑体"/>
          <w:color w:val="auto"/>
          <w:szCs w:val="21"/>
          <w:highlight w:val="none"/>
        </w:rPr>
        <w:t>数据计算</w:t>
      </w:r>
    </w:p>
    <w:p>
      <w:pPr>
        <w:ind w:firstLine="420" w:firstLineChars="200"/>
        <w:jc w:val="left"/>
        <w:rPr>
          <w:color w:val="auto"/>
          <w:szCs w:val="21"/>
          <w:highlight w:val="none"/>
        </w:rPr>
      </w:pPr>
      <w:r>
        <w:rPr>
          <w:rFonts w:hint="eastAsia"/>
          <w:color w:val="auto"/>
          <w:szCs w:val="21"/>
          <w:highlight w:val="none"/>
        </w:rPr>
        <w:t>数据收集后，应对所收集数据的有效性进行检查，确保数据符合质量要求。将收集的数据与单元过程进行关联，同时与功能单位的基准流进行关联。</w:t>
      </w:r>
    </w:p>
    <w:p>
      <w:pPr>
        <w:ind w:firstLine="420" w:firstLineChars="200"/>
        <w:jc w:val="left"/>
        <w:rPr>
          <w:color w:val="auto"/>
          <w:szCs w:val="21"/>
          <w:highlight w:val="none"/>
        </w:rPr>
      </w:pPr>
      <w:r>
        <w:rPr>
          <w:rFonts w:hint="eastAsia"/>
          <w:color w:val="auto"/>
          <w:szCs w:val="21"/>
          <w:highlight w:val="none"/>
        </w:rPr>
        <w:t>合并来自相同数据类型（如大气排放）、相同物质（如</w:t>
      </w:r>
      <w:r>
        <w:rPr>
          <w:color w:val="auto"/>
          <w:szCs w:val="21"/>
          <w:highlight w:val="none"/>
        </w:rPr>
        <w:t>CO</w:t>
      </w:r>
      <w:r>
        <w:rPr>
          <w:color w:val="auto"/>
          <w:szCs w:val="21"/>
          <w:highlight w:val="none"/>
          <w:vertAlign w:val="subscript"/>
        </w:rPr>
        <w:t>2</w:t>
      </w:r>
      <w:r>
        <w:rPr>
          <w:rFonts w:hint="eastAsia"/>
          <w:color w:val="auto"/>
          <w:szCs w:val="21"/>
          <w:highlight w:val="none"/>
        </w:rPr>
        <w:t>）、不同单元过程的数据，以得到这个产品系统的原材料、辅料、能源和水的消耗，对大气、水体和土壤的排放以及废弃物的数据。</w:t>
      </w:r>
    </w:p>
    <w:p>
      <w:pPr>
        <w:jc w:val="left"/>
        <w:rPr>
          <w:rFonts w:ascii="黑体" w:hAnsi="黑体" w:eastAsia="黑体"/>
          <w:color w:val="auto"/>
          <w:szCs w:val="21"/>
          <w:highlight w:val="none"/>
        </w:rPr>
      </w:pPr>
      <w:r>
        <w:rPr>
          <w:rFonts w:ascii="黑体" w:hAnsi="黑体" w:eastAsia="黑体"/>
          <w:color w:val="auto"/>
          <w:szCs w:val="21"/>
          <w:highlight w:val="none"/>
        </w:rPr>
        <w:t>B.3.</w:t>
      </w:r>
      <w:r>
        <w:rPr>
          <w:rFonts w:hint="eastAsia" w:ascii="黑体" w:hAnsi="黑体" w:eastAsia="黑体"/>
          <w:color w:val="auto"/>
          <w:szCs w:val="21"/>
          <w:highlight w:val="none"/>
        </w:rPr>
        <w:t>4</w:t>
      </w:r>
      <w:r>
        <w:rPr>
          <w:rFonts w:ascii="黑体" w:hAnsi="黑体" w:eastAsia="黑体"/>
          <w:color w:val="auto"/>
          <w:szCs w:val="21"/>
          <w:highlight w:val="none"/>
        </w:rPr>
        <w:t xml:space="preserve"> </w:t>
      </w:r>
      <w:r>
        <w:rPr>
          <w:rFonts w:hint="eastAsia" w:ascii="黑体" w:hAnsi="黑体" w:eastAsia="黑体"/>
          <w:color w:val="auto"/>
          <w:szCs w:val="21"/>
          <w:highlight w:val="none"/>
        </w:rPr>
        <w:t>数据质量要求</w:t>
      </w:r>
    </w:p>
    <w:p>
      <w:pPr>
        <w:ind w:firstLine="420" w:firstLineChars="200"/>
        <w:jc w:val="left"/>
        <w:rPr>
          <w:color w:val="auto"/>
          <w:szCs w:val="21"/>
          <w:highlight w:val="none"/>
        </w:rPr>
      </w:pPr>
      <w:r>
        <w:rPr>
          <w:rFonts w:hint="eastAsia"/>
          <w:color w:val="auto"/>
          <w:szCs w:val="21"/>
          <w:highlight w:val="none"/>
        </w:rPr>
        <w:t>数据的来源和质量应遵循以下原则和要求：</w:t>
      </w:r>
    </w:p>
    <w:p>
      <w:pPr>
        <w:numPr>
          <w:ilvl w:val="0"/>
          <w:numId w:val="5"/>
        </w:numPr>
        <w:ind w:firstLine="420" w:firstLineChars="200"/>
        <w:jc w:val="left"/>
        <w:rPr>
          <w:color w:val="auto"/>
          <w:szCs w:val="21"/>
          <w:highlight w:val="none"/>
        </w:rPr>
      </w:pPr>
      <w:r>
        <w:rPr>
          <w:rFonts w:hint="eastAsia"/>
          <w:color w:val="auto"/>
          <w:szCs w:val="21"/>
          <w:highlight w:val="none"/>
        </w:rPr>
        <w:t>准确性</w:t>
      </w:r>
    </w:p>
    <w:p>
      <w:pPr>
        <w:ind w:firstLine="420" w:firstLineChars="200"/>
        <w:jc w:val="left"/>
        <w:rPr>
          <w:color w:val="auto"/>
          <w:szCs w:val="21"/>
          <w:highlight w:val="none"/>
        </w:rPr>
      </w:pPr>
      <w:r>
        <w:rPr>
          <w:rFonts w:hint="eastAsia"/>
          <w:color w:val="auto"/>
          <w:szCs w:val="21"/>
          <w:highlight w:val="none"/>
        </w:rPr>
        <w:t>对于原始数据，如能源消耗、原材料、运输以及其他相关数据由企业直接提供；对于环境污染物排放数据，优先使用环境监测报告中的相关数据。</w:t>
      </w:r>
    </w:p>
    <w:p>
      <w:pPr>
        <w:numPr>
          <w:ilvl w:val="0"/>
          <w:numId w:val="5"/>
        </w:numPr>
        <w:ind w:firstLine="420" w:firstLineChars="200"/>
        <w:jc w:val="left"/>
        <w:rPr>
          <w:color w:val="auto"/>
          <w:szCs w:val="21"/>
          <w:highlight w:val="none"/>
        </w:rPr>
      </w:pPr>
      <w:r>
        <w:rPr>
          <w:rFonts w:hint="eastAsia"/>
          <w:color w:val="auto"/>
          <w:szCs w:val="21"/>
          <w:highlight w:val="none"/>
        </w:rPr>
        <w:t>完整性</w:t>
      </w:r>
    </w:p>
    <w:p>
      <w:pPr>
        <w:ind w:firstLine="420" w:firstLineChars="200"/>
        <w:jc w:val="left"/>
        <w:rPr>
          <w:color w:val="auto"/>
          <w:szCs w:val="21"/>
          <w:highlight w:val="none"/>
        </w:rPr>
      </w:pPr>
      <w:r>
        <w:rPr>
          <w:rFonts w:hint="eastAsia"/>
          <w:color w:val="auto"/>
          <w:szCs w:val="21"/>
          <w:highlight w:val="none"/>
        </w:rPr>
        <w:t>将热镀用锌合金锭生产过程中的左右相关步骤都考虑在内并进行模型构建，以便能反映出实际的生产情况及对应的环境影响。这些生产过程应该与评价的目的和范围保持一致。</w:t>
      </w:r>
    </w:p>
    <w:p>
      <w:pPr>
        <w:numPr>
          <w:ilvl w:val="0"/>
          <w:numId w:val="5"/>
        </w:numPr>
        <w:ind w:firstLine="420" w:firstLineChars="200"/>
        <w:jc w:val="left"/>
        <w:rPr>
          <w:color w:val="auto"/>
          <w:szCs w:val="21"/>
          <w:highlight w:val="none"/>
        </w:rPr>
      </w:pPr>
      <w:r>
        <w:rPr>
          <w:rFonts w:hint="eastAsia"/>
          <w:color w:val="auto"/>
          <w:szCs w:val="21"/>
          <w:highlight w:val="none"/>
        </w:rPr>
        <w:t>一致性</w:t>
      </w:r>
    </w:p>
    <w:p>
      <w:pPr>
        <w:ind w:firstLine="420" w:firstLineChars="200"/>
        <w:jc w:val="left"/>
        <w:rPr>
          <w:color w:val="auto"/>
          <w:szCs w:val="21"/>
          <w:highlight w:val="none"/>
        </w:rPr>
      </w:pPr>
      <w:r>
        <w:rPr>
          <w:rFonts w:hint="eastAsia"/>
          <w:color w:val="auto"/>
          <w:szCs w:val="21"/>
          <w:highlight w:val="none"/>
        </w:rPr>
        <w:t>为确保评价过程和结果一致性，所有原始数据（包括每个单元过程的消耗和排放）均应符合基于相同产品产量、相同边界范围和系统数据统计的统计标准。在所确定的研究范围内手机的全部原始数据需能反映国内企业的实际生产情况。</w:t>
      </w:r>
    </w:p>
    <w:p>
      <w:pPr>
        <w:numPr>
          <w:ilvl w:val="0"/>
          <w:numId w:val="5"/>
        </w:numPr>
        <w:ind w:firstLine="420" w:firstLineChars="200"/>
        <w:jc w:val="left"/>
        <w:rPr>
          <w:color w:val="auto"/>
          <w:szCs w:val="21"/>
          <w:highlight w:val="none"/>
        </w:rPr>
      </w:pPr>
      <w:r>
        <w:rPr>
          <w:rFonts w:hint="eastAsia"/>
          <w:color w:val="auto"/>
          <w:szCs w:val="21"/>
          <w:highlight w:val="none"/>
        </w:rPr>
        <w:t>代表性</w:t>
      </w:r>
    </w:p>
    <w:p>
      <w:pPr>
        <w:ind w:firstLine="420" w:firstLineChars="200"/>
        <w:jc w:val="left"/>
        <w:rPr>
          <w:color w:val="auto"/>
          <w:szCs w:val="21"/>
          <w:highlight w:val="none"/>
        </w:rPr>
      </w:pPr>
      <w:r>
        <w:rPr>
          <w:rFonts w:hint="eastAsia"/>
          <w:color w:val="auto"/>
          <w:szCs w:val="21"/>
          <w:highlight w:val="none"/>
        </w:rPr>
        <w:t>代表性表示数据清单与目的和范围中所定义的地理上的、时间上的和技术上的要求的匹配程度。旨在对所有前景数据系统使用最具代表性的原始数据，对所有背景数据系统使用最具代表性的行业平均数据。当缺乏数据时（没有行业平均数据可用），则应使用最为相关、合适的替代数据。</w:t>
      </w:r>
    </w:p>
    <w:p>
      <w:pPr>
        <w:ind w:left="420" w:leftChars="200"/>
        <w:jc w:val="left"/>
        <w:rPr>
          <w:color w:val="auto"/>
          <w:szCs w:val="21"/>
          <w:highlight w:val="none"/>
        </w:rPr>
      </w:pPr>
      <w:r>
        <w:rPr>
          <w:rFonts w:hint="eastAsia"/>
          <w:color w:val="auto"/>
          <w:szCs w:val="21"/>
          <w:highlight w:val="none"/>
        </w:rPr>
        <w:t>1）技术代表性：应该涵盖和评价冶炼工艺中的所有重要技术和相关工艺；</w:t>
      </w:r>
    </w:p>
    <w:p>
      <w:pPr>
        <w:ind w:left="420" w:leftChars="200"/>
        <w:jc w:val="left"/>
        <w:rPr>
          <w:color w:val="auto"/>
          <w:szCs w:val="21"/>
          <w:highlight w:val="none"/>
        </w:rPr>
      </w:pPr>
      <w:r>
        <w:rPr>
          <w:rFonts w:hint="eastAsia"/>
          <w:color w:val="auto"/>
          <w:szCs w:val="21"/>
          <w:highlight w:val="none"/>
        </w:rPr>
        <w:t>2）地理代表性：应包括热镀用锌合金锭生产企业的地理范围和各种辅助材料的生产加工；</w:t>
      </w:r>
    </w:p>
    <w:p>
      <w:pPr>
        <w:ind w:left="420" w:leftChars="200"/>
        <w:jc w:val="left"/>
        <w:rPr>
          <w:color w:val="auto"/>
          <w:szCs w:val="21"/>
          <w:highlight w:val="none"/>
        </w:rPr>
      </w:pPr>
      <w:r>
        <w:rPr>
          <w:rFonts w:hint="eastAsia"/>
          <w:color w:val="auto"/>
          <w:szCs w:val="21"/>
          <w:highlight w:val="none"/>
        </w:rPr>
        <w:t>3）时间代表性：与评价目标时间差别至少小于3年。</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A.4 </w:t>
      </w:r>
      <w:r>
        <w:rPr>
          <w:rFonts w:hint="eastAsia" w:ascii="黑体" w:hAnsi="黑体" w:eastAsia="黑体"/>
          <w:color w:val="auto"/>
          <w:szCs w:val="21"/>
          <w:highlight w:val="none"/>
        </w:rPr>
        <w:t>生命周期影响评价</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A.4.1 </w:t>
      </w:r>
      <w:r>
        <w:rPr>
          <w:rFonts w:hint="eastAsia" w:ascii="黑体" w:hAnsi="黑体" w:eastAsia="黑体"/>
          <w:color w:val="auto"/>
          <w:szCs w:val="21"/>
          <w:highlight w:val="none"/>
        </w:rPr>
        <w:t>概述</w:t>
      </w:r>
    </w:p>
    <w:p>
      <w:pPr>
        <w:ind w:firstLine="420" w:firstLineChars="200"/>
        <w:jc w:val="left"/>
        <w:rPr>
          <w:color w:val="auto"/>
          <w:szCs w:val="21"/>
          <w:highlight w:val="none"/>
        </w:rPr>
      </w:pPr>
      <w:r>
        <w:rPr>
          <w:rFonts w:hint="eastAsia"/>
          <w:color w:val="auto"/>
          <w:szCs w:val="21"/>
          <w:highlight w:val="none"/>
        </w:rPr>
        <w:t>根据清单分析所提供的资源和能源消耗数据以及各种排放数据，对产品系统潜在的环境影响进行评价，为生命周期解释提供必要的信息。其要素包括选取合适的影响类型，将清单分析结果归类并划分到相应影响类型，以及对类型参数结果进行计算（特征化）。</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A.4.</w:t>
      </w:r>
      <w:r>
        <w:rPr>
          <w:rFonts w:hint="eastAsia" w:ascii="黑体" w:hAnsi="黑体" w:eastAsia="黑体"/>
          <w:color w:val="auto"/>
          <w:szCs w:val="21"/>
          <w:highlight w:val="none"/>
        </w:rPr>
        <w:t>2环境影响类型</w:t>
      </w:r>
    </w:p>
    <w:p>
      <w:pPr>
        <w:ind w:firstLine="420" w:firstLineChars="200"/>
        <w:jc w:val="left"/>
        <w:rPr>
          <w:color w:val="auto"/>
          <w:szCs w:val="21"/>
          <w:highlight w:val="none"/>
        </w:rPr>
      </w:pPr>
      <w:r>
        <w:rPr>
          <w:rFonts w:hint="eastAsia"/>
          <w:color w:val="auto"/>
          <w:szCs w:val="21"/>
          <w:highlight w:val="none"/>
        </w:rPr>
        <w:t>环境影响类型可分为资源消耗、气候变化、固体废弃物以及可吸入颗粒物等4种，其影响区域见表</w:t>
      </w:r>
      <w:r>
        <w:rPr>
          <w:color w:val="auto"/>
          <w:szCs w:val="21"/>
          <w:highlight w:val="none"/>
        </w:rPr>
        <w:t>A.</w:t>
      </w:r>
      <w:r>
        <w:rPr>
          <w:rFonts w:hint="eastAsia"/>
          <w:color w:val="auto"/>
          <w:szCs w:val="21"/>
          <w:highlight w:val="none"/>
        </w:rPr>
        <w:t>2。</w:t>
      </w:r>
    </w:p>
    <w:p>
      <w:pPr>
        <w:ind w:firstLine="420" w:firstLineChars="200"/>
        <w:jc w:val="center"/>
        <w:rPr>
          <w:rFonts w:ascii="黑体" w:hAnsi="黑体" w:eastAsia="黑体"/>
          <w:color w:val="auto"/>
          <w:szCs w:val="21"/>
          <w:highlight w:val="none"/>
        </w:rPr>
      </w:pPr>
      <w:r>
        <w:rPr>
          <w:rFonts w:hint="eastAsia" w:ascii="黑体" w:hAnsi="黑体" w:eastAsia="黑体"/>
          <w:color w:val="auto"/>
          <w:szCs w:val="21"/>
          <w:highlight w:val="none"/>
        </w:rPr>
        <w:t>表</w:t>
      </w:r>
      <w:r>
        <w:rPr>
          <w:rFonts w:ascii="黑体" w:hAnsi="黑体" w:eastAsia="黑体"/>
          <w:color w:val="auto"/>
          <w:szCs w:val="21"/>
          <w:highlight w:val="none"/>
        </w:rPr>
        <w:t>A.</w:t>
      </w:r>
      <w:r>
        <w:rPr>
          <w:rFonts w:hint="eastAsia" w:ascii="黑体" w:hAnsi="黑体" w:eastAsia="黑体"/>
          <w:color w:val="auto"/>
          <w:szCs w:val="21"/>
          <w:highlight w:val="none"/>
        </w:rPr>
        <w:t>2</w:t>
      </w:r>
      <w:r>
        <w:rPr>
          <w:rFonts w:ascii="黑体" w:hAnsi="黑体" w:eastAsia="黑体"/>
          <w:color w:val="auto"/>
          <w:szCs w:val="21"/>
          <w:highlight w:val="none"/>
        </w:rPr>
        <w:t xml:space="preserve">  </w:t>
      </w:r>
      <w:r>
        <w:rPr>
          <w:rFonts w:hint="eastAsia" w:ascii="黑体" w:hAnsi="黑体" w:eastAsia="黑体"/>
          <w:color w:val="auto"/>
          <w:szCs w:val="21"/>
          <w:highlight w:val="none"/>
        </w:rPr>
        <w:t>热镀用锌合金锭产品的环境影响类型</w:t>
      </w:r>
    </w:p>
    <w:tbl>
      <w:tblPr>
        <w:tblStyle w:val="10"/>
        <w:tblpPr w:leftFromText="180" w:rightFromText="180" w:vertAnchor="text" w:horzAnchor="page" w:tblpX="1894" w:tblpY="270"/>
        <w:tblOverlap w:val="never"/>
        <w:tblW w:w="48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9"/>
        <w:gridCol w:w="2798"/>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pct"/>
            <w:vAlign w:val="center"/>
          </w:tcPr>
          <w:p>
            <w:pPr>
              <w:jc w:val="center"/>
              <w:rPr>
                <w:color w:val="auto"/>
                <w:szCs w:val="21"/>
                <w:highlight w:val="none"/>
              </w:rPr>
            </w:pPr>
            <w:r>
              <w:rPr>
                <w:rFonts w:hint="eastAsia"/>
                <w:color w:val="auto"/>
                <w:szCs w:val="21"/>
                <w:highlight w:val="none"/>
              </w:rPr>
              <w:t>序号</w:t>
            </w:r>
          </w:p>
        </w:tc>
        <w:tc>
          <w:tcPr>
            <w:tcW w:w="1680" w:type="pct"/>
            <w:vAlign w:val="center"/>
          </w:tcPr>
          <w:p>
            <w:pPr>
              <w:jc w:val="center"/>
              <w:rPr>
                <w:color w:val="auto"/>
                <w:szCs w:val="21"/>
                <w:highlight w:val="none"/>
              </w:rPr>
            </w:pPr>
            <w:r>
              <w:rPr>
                <w:rFonts w:hint="eastAsia"/>
                <w:color w:val="auto"/>
                <w:szCs w:val="21"/>
                <w:highlight w:val="none"/>
              </w:rPr>
              <w:t>环境影响类型</w:t>
            </w:r>
          </w:p>
        </w:tc>
        <w:tc>
          <w:tcPr>
            <w:tcW w:w="2636" w:type="pct"/>
            <w:vAlign w:val="center"/>
          </w:tcPr>
          <w:p>
            <w:pPr>
              <w:jc w:val="center"/>
              <w:rPr>
                <w:color w:val="auto"/>
                <w:szCs w:val="21"/>
                <w:highlight w:val="none"/>
              </w:rPr>
            </w:pPr>
            <w:r>
              <w:rPr>
                <w:rFonts w:hint="eastAsia"/>
                <w:color w:val="auto"/>
                <w:szCs w:val="21"/>
                <w:highlight w:val="none"/>
              </w:rPr>
              <w:t>影响区域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pct"/>
            <w:vAlign w:val="center"/>
          </w:tcPr>
          <w:p>
            <w:pPr>
              <w:jc w:val="center"/>
              <w:rPr>
                <w:color w:val="auto"/>
                <w:szCs w:val="21"/>
                <w:highlight w:val="none"/>
              </w:rPr>
            </w:pPr>
            <w:r>
              <w:rPr>
                <w:color w:val="auto"/>
                <w:szCs w:val="21"/>
                <w:highlight w:val="none"/>
              </w:rPr>
              <w:t>1</w:t>
            </w:r>
          </w:p>
        </w:tc>
        <w:tc>
          <w:tcPr>
            <w:tcW w:w="1680" w:type="pct"/>
            <w:vAlign w:val="center"/>
          </w:tcPr>
          <w:p>
            <w:pPr>
              <w:jc w:val="center"/>
              <w:rPr>
                <w:color w:val="auto"/>
                <w:szCs w:val="21"/>
                <w:highlight w:val="none"/>
              </w:rPr>
            </w:pPr>
            <w:r>
              <w:rPr>
                <w:rFonts w:hint="eastAsia"/>
                <w:color w:val="auto"/>
                <w:szCs w:val="21"/>
                <w:highlight w:val="none"/>
              </w:rPr>
              <w:t>资源消耗</w:t>
            </w:r>
          </w:p>
        </w:tc>
        <w:tc>
          <w:tcPr>
            <w:tcW w:w="2636" w:type="pct"/>
            <w:vAlign w:val="center"/>
          </w:tcPr>
          <w:p>
            <w:pPr>
              <w:jc w:val="center"/>
              <w:rPr>
                <w:color w:val="auto"/>
                <w:szCs w:val="21"/>
                <w:highlight w:val="none"/>
              </w:rPr>
            </w:pPr>
            <w:r>
              <w:rPr>
                <w:rFonts w:hint="eastAsia"/>
                <w:color w:val="auto"/>
                <w:szCs w:val="21"/>
                <w:highlight w:val="none"/>
              </w:rPr>
              <w:t>全球性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684" w:type="pct"/>
            <w:vAlign w:val="center"/>
          </w:tcPr>
          <w:p>
            <w:pPr>
              <w:jc w:val="center"/>
              <w:rPr>
                <w:color w:val="auto"/>
                <w:szCs w:val="21"/>
                <w:highlight w:val="none"/>
              </w:rPr>
            </w:pPr>
            <w:r>
              <w:rPr>
                <w:color w:val="auto"/>
                <w:szCs w:val="21"/>
                <w:highlight w:val="none"/>
              </w:rPr>
              <w:t>2</w:t>
            </w:r>
          </w:p>
        </w:tc>
        <w:tc>
          <w:tcPr>
            <w:tcW w:w="1680" w:type="pct"/>
            <w:vAlign w:val="center"/>
          </w:tcPr>
          <w:p>
            <w:pPr>
              <w:jc w:val="center"/>
              <w:rPr>
                <w:color w:val="auto"/>
                <w:szCs w:val="21"/>
                <w:highlight w:val="none"/>
              </w:rPr>
            </w:pPr>
            <w:r>
              <w:rPr>
                <w:rFonts w:hint="eastAsia"/>
                <w:color w:val="auto"/>
                <w:szCs w:val="21"/>
                <w:highlight w:val="none"/>
              </w:rPr>
              <w:t>气候变化</w:t>
            </w:r>
          </w:p>
        </w:tc>
        <w:tc>
          <w:tcPr>
            <w:tcW w:w="2636" w:type="pct"/>
            <w:vAlign w:val="center"/>
          </w:tcPr>
          <w:p>
            <w:pPr>
              <w:jc w:val="center"/>
              <w:rPr>
                <w:color w:val="auto"/>
                <w:szCs w:val="21"/>
                <w:highlight w:val="none"/>
              </w:rPr>
            </w:pPr>
            <w:r>
              <w:rPr>
                <w:rFonts w:hint="eastAsia"/>
                <w:color w:val="auto"/>
                <w:szCs w:val="21"/>
                <w:highlight w:val="none"/>
              </w:rPr>
              <w:t>全球性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pct"/>
            <w:vAlign w:val="center"/>
          </w:tcPr>
          <w:p>
            <w:pPr>
              <w:jc w:val="center"/>
              <w:rPr>
                <w:color w:val="auto"/>
                <w:szCs w:val="21"/>
                <w:highlight w:val="none"/>
              </w:rPr>
            </w:pPr>
            <w:r>
              <w:rPr>
                <w:rFonts w:hint="eastAsia"/>
                <w:color w:val="auto"/>
                <w:szCs w:val="21"/>
                <w:highlight w:val="none"/>
              </w:rPr>
              <w:t>3</w:t>
            </w:r>
          </w:p>
        </w:tc>
        <w:tc>
          <w:tcPr>
            <w:tcW w:w="1680" w:type="pct"/>
            <w:vAlign w:val="center"/>
          </w:tcPr>
          <w:p>
            <w:pPr>
              <w:jc w:val="center"/>
              <w:rPr>
                <w:color w:val="auto"/>
                <w:szCs w:val="21"/>
                <w:highlight w:val="none"/>
              </w:rPr>
            </w:pPr>
            <w:r>
              <w:rPr>
                <w:rFonts w:hint="eastAsia"/>
                <w:color w:val="auto"/>
                <w:szCs w:val="21"/>
                <w:highlight w:val="none"/>
              </w:rPr>
              <w:t>固体废弃物</w:t>
            </w:r>
          </w:p>
        </w:tc>
        <w:tc>
          <w:tcPr>
            <w:tcW w:w="2636" w:type="pct"/>
            <w:vAlign w:val="center"/>
          </w:tcPr>
          <w:p>
            <w:pPr>
              <w:jc w:val="center"/>
              <w:rPr>
                <w:color w:val="auto"/>
                <w:szCs w:val="21"/>
                <w:highlight w:val="none"/>
              </w:rPr>
            </w:pPr>
            <w:r>
              <w:rPr>
                <w:rFonts w:hint="eastAsia"/>
                <w:color w:val="auto"/>
                <w:szCs w:val="21"/>
                <w:highlight w:val="none"/>
              </w:rPr>
              <w:t>局地性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pct"/>
            <w:vAlign w:val="center"/>
          </w:tcPr>
          <w:p>
            <w:pPr>
              <w:jc w:val="center"/>
              <w:rPr>
                <w:color w:val="auto"/>
                <w:szCs w:val="21"/>
                <w:highlight w:val="none"/>
              </w:rPr>
            </w:pPr>
            <w:r>
              <w:rPr>
                <w:rFonts w:hint="eastAsia"/>
                <w:color w:val="auto"/>
                <w:szCs w:val="21"/>
                <w:highlight w:val="none"/>
              </w:rPr>
              <w:t>4</w:t>
            </w:r>
          </w:p>
        </w:tc>
        <w:tc>
          <w:tcPr>
            <w:tcW w:w="1680" w:type="pct"/>
            <w:vAlign w:val="center"/>
          </w:tcPr>
          <w:p>
            <w:pPr>
              <w:jc w:val="center"/>
              <w:rPr>
                <w:color w:val="auto"/>
                <w:szCs w:val="21"/>
                <w:highlight w:val="none"/>
              </w:rPr>
            </w:pPr>
            <w:r>
              <w:rPr>
                <w:rFonts w:hint="eastAsia"/>
                <w:color w:val="auto"/>
                <w:szCs w:val="21"/>
                <w:highlight w:val="none"/>
              </w:rPr>
              <w:t>可吸入颗粒物</w:t>
            </w:r>
          </w:p>
        </w:tc>
        <w:tc>
          <w:tcPr>
            <w:tcW w:w="2636" w:type="pct"/>
            <w:vAlign w:val="center"/>
          </w:tcPr>
          <w:p>
            <w:pPr>
              <w:jc w:val="center"/>
              <w:rPr>
                <w:color w:val="auto"/>
                <w:szCs w:val="21"/>
                <w:highlight w:val="none"/>
              </w:rPr>
            </w:pPr>
            <w:r>
              <w:rPr>
                <w:rFonts w:hint="eastAsia"/>
                <w:color w:val="auto"/>
                <w:szCs w:val="21"/>
                <w:highlight w:val="none"/>
              </w:rPr>
              <w:t>局地性</w:t>
            </w:r>
          </w:p>
        </w:tc>
      </w:tr>
    </w:tbl>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A.4.</w:t>
      </w:r>
      <w:r>
        <w:rPr>
          <w:rFonts w:hint="eastAsia" w:ascii="黑体" w:hAnsi="黑体" w:eastAsia="黑体"/>
          <w:color w:val="auto"/>
          <w:szCs w:val="21"/>
          <w:highlight w:val="none"/>
        </w:rPr>
        <w:t>3数据归类</w:t>
      </w:r>
    </w:p>
    <w:p>
      <w:pPr>
        <w:ind w:firstLine="420" w:firstLineChars="200"/>
        <w:jc w:val="left"/>
        <w:rPr>
          <w:color w:val="auto"/>
          <w:szCs w:val="21"/>
          <w:highlight w:val="none"/>
        </w:rPr>
      </w:pPr>
      <w:r>
        <w:rPr>
          <w:rFonts w:hint="eastAsia"/>
          <w:color w:val="auto"/>
          <w:szCs w:val="21"/>
          <w:highlight w:val="none"/>
        </w:rPr>
        <w:t>根据清单因子的物理化学性质，将对某影响类型有贡献的因子归到一起。例如，将对气候变化有贡献的二氧化碳、甲烷、一氧化二氮等清单因子归到气候变化影响类型里面。列表归类，见表A.3。</w:t>
      </w:r>
    </w:p>
    <w:p>
      <w:pPr>
        <w:ind w:firstLine="420" w:firstLineChars="200"/>
        <w:jc w:val="center"/>
        <w:rPr>
          <w:rFonts w:ascii="黑体" w:hAnsi="黑体" w:eastAsia="黑体"/>
          <w:color w:val="auto"/>
          <w:szCs w:val="21"/>
          <w:highlight w:val="none"/>
        </w:rPr>
      </w:pPr>
      <w:r>
        <w:rPr>
          <w:rFonts w:hint="eastAsia" w:ascii="黑体" w:hAnsi="黑体" w:eastAsia="黑体"/>
          <w:color w:val="auto"/>
          <w:szCs w:val="21"/>
          <w:highlight w:val="none"/>
        </w:rPr>
        <w:t>表</w:t>
      </w:r>
      <w:r>
        <w:rPr>
          <w:rFonts w:ascii="黑体" w:hAnsi="黑体" w:eastAsia="黑体"/>
          <w:color w:val="auto"/>
          <w:szCs w:val="21"/>
          <w:highlight w:val="none"/>
        </w:rPr>
        <w:t>A.</w:t>
      </w:r>
      <w:r>
        <w:rPr>
          <w:rFonts w:hint="eastAsia" w:ascii="黑体" w:hAnsi="黑体" w:eastAsia="黑体"/>
          <w:color w:val="auto"/>
          <w:szCs w:val="21"/>
          <w:highlight w:val="none"/>
        </w:rPr>
        <w:t>3</w:t>
      </w:r>
      <w:r>
        <w:rPr>
          <w:rFonts w:ascii="黑体" w:hAnsi="黑体" w:eastAsia="黑体"/>
          <w:color w:val="auto"/>
          <w:szCs w:val="21"/>
          <w:highlight w:val="none"/>
        </w:rPr>
        <w:t xml:space="preserve">   </w:t>
      </w:r>
      <w:r>
        <w:rPr>
          <w:rFonts w:hint="eastAsia" w:ascii="黑体" w:hAnsi="黑体" w:eastAsia="黑体"/>
          <w:color w:val="auto"/>
          <w:szCs w:val="21"/>
          <w:highlight w:val="none"/>
        </w:rPr>
        <w:t>数据归类示例</w:t>
      </w:r>
    </w:p>
    <w:tbl>
      <w:tblPr>
        <w:tblStyle w:val="10"/>
        <w:tblW w:w="4885"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9"/>
        <w:gridCol w:w="2829"/>
        <w:gridCol w:w="4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pct"/>
            <w:vAlign w:val="center"/>
          </w:tcPr>
          <w:p>
            <w:pPr>
              <w:jc w:val="center"/>
              <w:rPr>
                <w:color w:val="auto"/>
                <w:szCs w:val="21"/>
                <w:highlight w:val="none"/>
              </w:rPr>
            </w:pPr>
            <w:r>
              <w:rPr>
                <w:rFonts w:hint="eastAsia"/>
                <w:color w:val="auto"/>
                <w:szCs w:val="21"/>
                <w:highlight w:val="none"/>
              </w:rPr>
              <w:t>序号</w:t>
            </w:r>
          </w:p>
        </w:tc>
        <w:tc>
          <w:tcPr>
            <w:tcW w:w="1699" w:type="pct"/>
            <w:vAlign w:val="center"/>
          </w:tcPr>
          <w:p>
            <w:pPr>
              <w:jc w:val="center"/>
              <w:rPr>
                <w:color w:val="auto"/>
                <w:szCs w:val="21"/>
                <w:highlight w:val="none"/>
              </w:rPr>
            </w:pPr>
            <w:r>
              <w:rPr>
                <w:rFonts w:hint="eastAsia"/>
                <w:color w:val="auto"/>
                <w:szCs w:val="21"/>
                <w:highlight w:val="none"/>
              </w:rPr>
              <w:t>影响类型</w:t>
            </w:r>
          </w:p>
        </w:tc>
        <w:tc>
          <w:tcPr>
            <w:tcW w:w="2617" w:type="pct"/>
            <w:vAlign w:val="center"/>
          </w:tcPr>
          <w:p>
            <w:pPr>
              <w:jc w:val="center"/>
              <w:rPr>
                <w:color w:val="auto"/>
                <w:szCs w:val="21"/>
                <w:highlight w:val="none"/>
              </w:rPr>
            </w:pPr>
            <w:r>
              <w:rPr>
                <w:rFonts w:hint="eastAsia"/>
                <w:color w:val="auto"/>
                <w:szCs w:val="21"/>
                <w:highlight w:val="none"/>
              </w:rPr>
              <w:t>清单因子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pct"/>
            <w:vAlign w:val="center"/>
          </w:tcPr>
          <w:p>
            <w:pPr>
              <w:jc w:val="center"/>
              <w:rPr>
                <w:color w:val="auto"/>
                <w:szCs w:val="21"/>
                <w:highlight w:val="none"/>
              </w:rPr>
            </w:pPr>
            <w:r>
              <w:rPr>
                <w:color w:val="auto"/>
                <w:szCs w:val="21"/>
                <w:highlight w:val="none"/>
              </w:rPr>
              <w:t>1</w:t>
            </w:r>
          </w:p>
        </w:tc>
        <w:tc>
          <w:tcPr>
            <w:tcW w:w="1699" w:type="pct"/>
            <w:vAlign w:val="center"/>
          </w:tcPr>
          <w:p>
            <w:pPr>
              <w:jc w:val="center"/>
              <w:rPr>
                <w:color w:val="auto"/>
                <w:szCs w:val="21"/>
                <w:highlight w:val="none"/>
              </w:rPr>
            </w:pPr>
            <w:r>
              <w:rPr>
                <w:rFonts w:hint="eastAsia"/>
                <w:color w:val="auto"/>
                <w:szCs w:val="21"/>
                <w:highlight w:val="none"/>
              </w:rPr>
              <w:t>资源消耗</w:t>
            </w:r>
          </w:p>
        </w:tc>
        <w:tc>
          <w:tcPr>
            <w:tcW w:w="2617" w:type="pct"/>
            <w:vAlign w:val="center"/>
          </w:tcPr>
          <w:p>
            <w:pPr>
              <w:jc w:val="center"/>
              <w:rPr>
                <w:color w:val="auto"/>
                <w:szCs w:val="21"/>
                <w:highlight w:val="none"/>
              </w:rPr>
            </w:pPr>
            <w:r>
              <w:rPr>
                <w:rFonts w:hint="eastAsia"/>
                <w:color w:val="auto"/>
                <w:szCs w:val="21"/>
                <w:highlight w:val="none"/>
              </w:rPr>
              <w:t>锌、铝、镁、锑、镍、稀土、硅、水等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pct"/>
            <w:vAlign w:val="center"/>
          </w:tcPr>
          <w:p>
            <w:pPr>
              <w:jc w:val="center"/>
              <w:rPr>
                <w:color w:val="auto"/>
                <w:szCs w:val="21"/>
                <w:highlight w:val="none"/>
              </w:rPr>
            </w:pPr>
            <w:r>
              <w:rPr>
                <w:color w:val="auto"/>
                <w:szCs w:val="21"/>
                <w:highlight w:val="none"/>
              </w:rPr>
              <w:t>2</w:t>
            </w:r>
          </w:p>
        </w:tc>
        <w:tc>
          <w:tcPr>
            <w:tcW w:w="1699" w:type="pct"/>
            <w:vAlign w:val="center"/>
          </w:tcPr>
          <w:p>
            <w:pPr>
              <w:jc w:val="center"/>
              <w:rPr>
                <w:color w:val="auto"/>
                <w:szCs w:val="21"/>
                <w:highlight w:val="none"/>
              </w:rPr>
            </w:pPr>
            <w:r>
              <w:rPr>
                <w:rFonts w:hint="eastAsia"/>
                <w:color w:val="auto"/>
                <w:szCs w:val="21"/>
                <w:highlight w:val="none"/>
              </w:rPr>
              <w:t>气候变化</w:t>
            </w:r>
          </w:p>
        </w:tc>
        <w:tc>
          <w:tcPr>
            <w:tcW w:w="2617" w:type="pct"/>
            <w:vAlign w:val="center"/>
          </w:tcPr>
          <w:p>
            <w:pPr>
              <w:jc w:val="center"/>
              <w:rPr>
                <w:color w:val="auto"/>
                <w:szCs w:val="21"/>
                <w:highlight w:val="none"/>
              </w:rPr>
            </w:pPr>
            <w:r>
              <w:rPr>
                <w:color w:val="auto"/>
                <w:szCs w:val="21"/>
                <w:highlight w:val="none"/>
              </w:rPr>
              <w:t>CO</w:t>
            </w:r>
            <w:r>
              <w:rPr>
                <w:color w:val="auto"/>
                <w:szCs w:val="21"/>
                <w:highlight w:val="none"/>
                <w:vertAlign w:val="subscript"/>
              </w:rPr>
              <w:t>2</w:t>
            </w:r>
            <w:r>
              <w:rPr>
                <w:rFonts w:hint="eastAsia"/>
                <w:color w:val="auto"/>
                <w:szCs w:val="21"/>
                <w:highlight w:val="none"/>
              </w:rPr>
              <w:t>、</w:t>
            </w:r>
            <w:r>
              <w:rPr>
                <w:color w:val="auto"/>
                <w:szCs w:val="21"/>
                <w:highlight w:val="none"/>
              </w:rPr>
              <w:t xml:space="preserve">CO </w:t>
            </w:r>
            <w:r>
              <w:rPr>
                <w:rFonts w:hint="eastAsia"/>
                <w:color w:val="auto"/>
                <w:szCs w:val="21"/>
                <w:highlight w:val="none"/>
              </w:rPr>
              <w:t>、</w:t>
            </w:r>
            <w:r>
              <w:rPr>
                <w:color w:val="auto"/>
                <w:szCs w:val="21"/>
                <w:highlight w:val="none"/>
              </w:rPr>
              <w:t>CH</w:t>
            </w:r>
            <w:r>
              <w:rPr>
                <w:color w:val="auto"/>
                <w:szCs w:val="21"/>
                <w:highlight w:val="none"/>
                <w:vertAlign w:val="subscript"/>
              </w:rPr>
              <w:t>4</w:t>
            </w:r>
            <w:r>
              <w:rPr>
                <w:rFonts w:hint="eastAsia"/>
                <w:color w:val="auto"/>
                <w:szCs w:val="21"/>
                <w:highlight w:val="none"/>
              </w:rPr>
              <w:t>、</w:t>
            </w:r>
            <w:r>
              <w:rPr>
                <w:color w:val="auto"/>
                <w:szCs w:val="21"/>
                <w:highlight w:val="none"/>
              </w:rPr>
              <w:t>NO</w:t>
            </w:r>
            <w:r>
              <w:rPr>
                <w:color w:val="auto"/>
                <w:szCs w:val="21"/>
                <w:highlight w:val="none"/>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pct"/>
            <w:vAlign w:val="center"/>
          </w:tcPr>
          <w:p>
            <w:pPr>
              <w:jc w:val="center"/>
              <w:rPr>
                <w:color w:val="auto"/>
                <w:szCs w:val="21"/>
                <w:highlight w:val="none"/>
              </w:rPr>
            </w:pPr>
            <w:r>
              <w:rPr>
                <w:rFonts w:hint="eastAsia"/>
                <w:color w:val="auto"/>
                <w:szCs w:val="21"/>
                <w:highlight w:val="none"/>
              </w:rPr>
              <w:t>3</w:t>
            </w:r>
          </w:p>
        </w:tc>
        <w:tc>
          <w:tcPr>
            <w:tcW w:w="1699" w:type="pct"/>
            <w:vAlign w:val="center"/>
          </w:tcPr>
          <w:p>
            <w:pPr>
              <w:jc w:val="center"/>
              <w:rPr>
                <w:color w:val="auto"/>
                <w:szCs w:val="21"/>
                <w:highlight w:val="none"/>
              </w:rPr>
            </w:pPr>
            <w:r>
              <w:rPr>
                <w:rFonts w:hint="eastAsia"/>
                <w:color w:val="auto"/>
                <w:szCs w:val="21"/>
                <w:highlight w:val="none"/>
              </w:rPr>
              <w:t>固体废弃物</w:t>
            </w:r>
          </w:p>
        </w:tc>
        <w:tc>
          <w:tcPr>
            <w:tcW w:w="2617" w:type="pct"/>
            <w:vAlign w:val="center"/>
          </w:tcPr>
          <w:p>
            <w:pPr>
              <w:jc w:val="center"/>
              <w:rPr>
                <w:color w:val="auto"/>
                <w:szCs w:val="21"/>
                <w:highlight w:val="none"/>
              </w:rPr>
            </w:pPr>
            <w:r>
              <w:rPr>
                <w:rFonts w:hint="eastAsia"/>
                <w:color w:val="auto"/>
                <w:szCs w:val="21"/>
                <w:highlight w:val="none"/>
              </w:rPr>
              <w:t>炉渣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4" w:type="pct"/>
            <w:vAlign w:val="center"/>
          </w:tcPr>
          <w:p>
            <w:pPr>
              <w:jc w:val="center"/>
              <w:rPr>
                <w:color w:val="auto"/>
                <w:szCs w:val="21"/>
                <w:highlight w:val="none"/>
              </w:rPr>
            </w:pPr>
            <w:r>
              <w:rPr>
                <w:rFonts w:hint="eastAsia"/>
                <w:color w:val="auto"/>
                <w:szCs w:val="21"/>
                <w:highlight w:val="none"/>
              </w:rPr>
              <w:t>4</w:t>
            </w:r>
          </w:p>
        </w:tc>
        <w:tc>
          <w:tcPr>
            <w:tcW w:w="1699" w:type="pct"/>
            <w:vAlign w:val="center"/>
          </w:tcPr>
          <w:p>
            <w:pPr>
              <w:jc w:val="center"/>
              <w:rPr>
                <w:color w:val="auto"/>
                <w:szCs w:val="21"/>
                <w:highlight w:val="none"/>
              </w:rPr>
            </w:pPr>
            <w:r>
              <w:rPr>
                <w:rFonts w:hint="eastAsia"/>
                <w:color w:val="auto"/>
                <w:szCs w:val="21"/>
                <w:highlight w:val="none"/>
              </w:rPr>
              <w:t>可吸入颗粒物</w:t>
            </w:r>
          </w:p>
        </w:tc>
        <w:tc>
          <w:tcPr>
            <w:tcW w:w="2617" w:type="pct"/>
            <w:vAlign w:val="center"/>
          </w:tcPr>
          <w:p>
            <w:pPr>
              <w:jc w:val="center"/>
              <w:rPr>
                <w:color w:val="auto"/>
                <w:szCs w:val="21"/>
                <w:highlight w:val="none"/>
              </w:rPr>
            </w:pPr>
            <w:r>
              <w:rPr>
                <w:rFonts w:hint="eastAsia"/>
                <w:color w:val="auto"/>
                <w:szCs w:val="21"/>
                <w:highlight w:val="none"/>
              </w:rPr>
              <w:t>颗粒物</w:t>
            </w:r>
          </w:p>
        </w:tc>
      </w:tr>
    </w:tbl>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A.4.</w:t>
      </w:r>
      <w:r>
        <w:rPr>
          <w:rFonts w:hint="eastAsia" w:ascii="黑体" w:hAnsi="黑体" w:eastAsia="黑体"/>
          <w:color w:val="auto"/>
          <w:szCs w:val="21"/>
          <w:highlight w:val="none"/>
        </w:rPr>
        <w:t>4分类评价</w:t>
      </w:r>
    </w:p>
    <w:p>
      <w:pPr>
        <w:ind w:firstLine="420" w:firstLineChars="200"/>
        <w:jc w:val="left"/>
        <w:rPr>
          <w:color w:val="auto"/>
          <w:szCs w:val="21"/>
          <w:highlight w:val="none"/>
        </w:rPr>
      </w:pPr>
      <w:r>
        <w:rPr>
          <w:rFonts w:hint="eastAsia"/>
          <w:color w:val="auto"/>
          <w:szCs w:val="21"/>
          <w:highlight w:val="none"/>
        </w:rPr>
        <w:t>计算出不同影响类型的特征化值，采用公式（</w:t>
      </w:r>
      <w:r>
        <w:rPr>
          <w:color w:val="auto"/>
          <w:szCs w:val="21"/>
          <w:highlight w:val="none"/>
        </w:rPr>
        <w:t>A.1</w:t>
      </w:r>
      <w:r>
        <w:rPr>
          <w:rFonts w:hint="eastAsia"/>
          <w:color w:val="auto"/>
          <w:szCs w:val="21"/>
          <w:highlight w:val="none"/>
        </w:rPr>
        <w:t>）进行计算。分类评价的结果采用表</w:t>
      </w:r>
      <w:r>
        <w:rPr>
          <w:rFonts w:ascii="黑体" w:hAnsi="黑体" w:eastAsia="黑体"/>
          <w:color w:val="auto"/>
          <w:szCs w:val="21"/>
          <w:highlight w:val="none"/>
        </w:rPr>
        <w:t>A.</w:t>
      </w:r>
      <w:r>
        <w:rPr>
          <w:rFonts w:hint="eastAsia" w:ascii="黑体" w:hAnsi="黑体" w:eastAsia="黑体"/>
          <w:color w:val="auto"/>
          <w:szCs w:val="21"/>
          <w:highlight w:val="none"/>
        </w:rPr>
        <w:t>4</w:t>
      </w:r>
      <w:r>
        <w:rPr>
          <w:rFonts w:hint="eastAsia"/>
          <w:color w:val="auto"/>
          <w:szCs w:val="21"/>
          <w:highlight w:val="none"/>
        </w:rPr>
        <w:t>中的当量物质表示。固体废弃物、可吸入颗粒物的环境影响因子较单一，无需进行特征化处理。</w:t>
      </w:r>
    </w:p>
    <w:p>
      <w:pPr>
        <w:ind w:firstLine="420" w:firstLineChars="200"/>
        <w:jc w:val="center"/>
        <w:rPr>
          <w:rFonts w:ascii="黑体" w:hAnsi="黑体" w:eastAsia="黑体"/>
          <w:color w:val="auto"/>
          <w:szCs w:val="21"/>
          <w:highlight w:val="none"/>
        </w:rPr>
      </w:pPr>
      <w:r>
        <w:rPr>
          <w:rFonts w:hint="eastAsia" w:ascii="黑体" w:hAnsi="黑体" w:eastAsia="黑体"/>
          <w:color w:val="auto"/>
          <w:szCs w:val="21"/>
          <w:highlight w:val="none"/>
        </w:rPr>
        <w:t>表</w:t>
      </w:r>
      <w:r>
        <w:rPr>
          <w:rFonts w:ascii="黑体" w:hAnsi="黑体" w:eastAsia="黑体"/>
          <w:color w:val="auto"/>
          <w:szCs w:val="21"/>
          <w:highlight w:val="none"/>
        </w:rPr>
        <w:t>A.</w:t>
      </w:r>
      <w:r>
        <w:rPr>
          <w:rFonts w:hint="eastAsia" w:ascii="黑体" w:hAnsi="黑体" w:eastAsia="黑体"/>
          <w:color w:val="auto"/>
          <w:szCs w:val="21"/>
          <w:highlight w:val="none"/>
        </w:rPr>
        <w:t>4</w:t>
      </w:r>
      <w:r>
        <w:rPr>
          <w:rFonts w:ascii="黑体" w:hAnsi="黑体" w:eastAsia="黑体"/>
          <w:color w:val="auto"/>
          <w:szCs w:val="21"/>
          <w:highlight w:val="none"/>
        </w:rPr>
        <w:t xml:space="preserve">   </w:t>
      </w:r>
      <w:r>
        <w:rPr>
          <w:rFonts w:hint="eastAsia" w:ascii="黑体" w:hAnsi="黑体" w:eastAsia="黑体"/>
          <w:color w:val="auto"/>
          <w:szCs w:val="21"/>
          <w:highlight w:val="none"/>
        </w:rPr>
        <w:t>特征化因子</w:t>
      </w:r>
    </w:p>
    <w:tbl>
      <w:tblPr>
        <w:tblStyle w:val="10"/>
        <w:tblW w:w="90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268"/>
        <w:gridCol w:w="4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blHeader/>
          <w:jc w:val="center"/>
        </w:trPr>
        <w:tc>
          <w:tcPr>
            <w:tcW w:w="2268" w:type="dxa"/>
            <w:vAlign w:val="center"/>
          </w:tcPr>
          <w:p>
            <w:pPr>
              <w:jc w:val="center"/>
              <w:rPr>
                <w:color w:val="auto"/>
                <w:szCs w:val="21"/>
                <w:highlight w:val="none"/>
              </w:rPr>
            </w:pPr>
            <w:bookmarkStart w:id="19" w:name="_Hlk42155940"/>
            <w:r>
              <w:rPr>
                <w:rFonts w:hint="eastAsia"/>
                <w:color w:val="auto"/>
                <w:szCs w:val="21"/>
                <w:highlight w:val="none"/>
              </w:rPr>
              <w:t>影响类别</w:t>
            </w:r>
          </w:p>
        </w:tc>
        <w:tc>
          <w:tcPr>
            <w:tcW w:w="2268" w:type="dxa"/>
            <w:vAlign w:val="center"/>
          </w:tcPr>
          <w:p>
            <w:pPr>
              <w:jc w:val="center"/>
              <w:rPr>
                <w:color w:val="auto"/>
                <w:szCs w:val="21"/>
                <w:highlight w:val="none"/>
              </w:rPr>
            </w:pPr>
            <w:r>
              <w:rPr>
                <w:rFonts w:hint="eastAsia"/>
                <w:color w:val="auto"/>
                <w:szCs w:val="21"/>
                <w:highlight w:val="none"/>
              </w:rPr>
              <w:t>单位</w:t>
            </w:r>
          </w:p>
        </w:tc>
        <w:tc>
          <w:tcPr>
            <w:tcW w:w="4523" w:type="dxa"/>
            <w:vAlign w:val="center"/>
          </w:tcPr>
          <w:p>
            <w:pPr>
              <w:jc w:val="center"/>
              <w:rPr>
                <w:color w:val="auto"/>
                <w:szCs w:val="21"/>
                <w:highlight w:val="none"/>
              </w:rPr>
            </w:pPr>
            <w:r>
              <w:rPr>
                <w:rFonts w:hint="eastAsia"/>
                <w:color w:val="auto"/>
                <w:szCs w:val="21"/>
                <w:highlight w:val="none"/>
              </w:rPr>
              <w:t>指标参数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vAlign w:val="center"/>
          </w:tcPr>
          <w:p>
            <w:pPr>
              <w:jc w:val="center"/>
              <w:rPr>
                <w:color w:val="auto"/>
                <w:szCs w:val="21"/>
                <w:highlight w:val="none"/>
              </w:rPr>
            </w:pPr>
            <w:r>
              <w:rPr>
                <w:rFonts w:hint="eastAsia"/>
                <w:color w:val="auto"/>
                <w:szCs w:val="21"/>
                <w:highlight w:val="none"/>
              </w:rPr>
              <w:t>资源消耗</w:t>
            </w:r>
          </w:p>
        </w:tc>
        <w:tc>
          <w:tcPr>
            <w:tcW w:w="2268" w:type="dxa"/>
            <w:vAlign w:val="center"/>
          </w:tcPr>
          <w:p>
            <w:pPr>
              <w:jc w:val="center"/>
              <w:rPr>
                <w:color w:val="auto"/>
                <w:szCs w:val="21"/>
                <w:highlight w:val="none"/>
              </w:rPr>
            </w:pPr>
            <w:r>
              <w:rPr>
                <w:rFonts w:hint="eastAsia"/>
                <w:color w:val="auto"/>
                <w:szCs w:val="21"/>
                <w:highlight w:val="none"/>
              </w:rPr>
              <w:t>Kg，Sbeq./kg</w:t>
            </w:r>
          </w:p>
        </w:tc>
        <w:tc>
          <w:tcPr>
            <w:tcW w:w="4523" w:type="dxa"/>
            <w:vAlign w:val="center"/>
          </w:tcPr>
          <w:p>
            <w:pPr>
              <w:jc w:val="center"/>
              <w:rPr>
                <w:color w:val="auto"/>
                <w:szCs w:val="21"/>
                <w:highlight w:val="none"/>
              </w:rPr>
            </w:pPr>
            <w:r>
              <w:rPr>
                <w:rFonts w:hint="eastAsia"/>
                <w:color w:val="auto"/>
                <w:szCs w:val="21"/>
                <w:highlight w:val="none"/>
              </w:rPr>
              <w:t>Zn、Al、Mg、Sb、Ni、稀土、Si等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2268" w:type="dxa"/>
            <w:vMerge w:val="restart"/>
            <w:vAlign w:val="center"/>
          </w:tcPr>
          <w:p>
            <w:pPr>
              <w:jc w:val="center"/>
              <w:rPr>
                <w:color w:val="auto"/>
                <w:szCs w:val="21"/>
                <w:highlight w:val="none"/>
              </w:rPr>
            </w:pPr>
            <w:r>
              <w:rPr>
                <w:rFonts w:hint="eastAsia"/>
                <w:color w:val="auto"/>
                <w:szCs w:val="21"/>
                <w:highlight w:val="none"/>
              </w:rPr>
              <w:t>气候变化</w:t>
            </w:r>
          </w:p>
        </w:tc>
        <w:tc>
          <w:tcPr>
            <w:tcW w:w="2268" w:type="dxa"/>
            <w:vMerge w:val="restart"/>
            <w:vAlign w:val="center"/>
          </w:tcPr>
          <w:p>
            <w:pPr>
              <w:jc w:val="center"/>
              <w:rPr>
                <w:color w:val="auto"/>
                <w:szCs w:val="21"/>
                <w:highlight w:val="none"/>
              </w:rPr>
            </w:pPr>
            <w:r>
              <w:rPr>
                <w:rFonts w:hint="eastAsia"/>
                <w:color w:val="auto"/>
                <w:szCs w:val="21"/>
                <w:highlight w:val="none"/>
              </w:rPr>
              <w:t>Kg，CO</w:t>
            </w:r>
            <w:r>
              <w:rPr>
                <w:rFonts w:hint="eastAsia"/>
                <w:color w:val="auto"/>
                <w:szCs w:val="21"/>
                <w:highlight w:val="none"/>
                <w:vertAlign w:val="subscript"/>
              </w:rPr>
              <w:t>2</w:t>
            </w:r>
            <w:r>
              <w:rPr>
                <w:rFonts w:hint="eastAsia"/>
                <w:color w:val="auto"/>
                <w:szCs w:val="21"/>
                <w:highlight w:val="none"/>
              </w:rPr>
              <w:t xml:space="preserve"> eq./kg</w:t>
            </w:r>
          </w:p>
        </w:tc>
        <w:tc>
          <w:tcPr>
            <w:tcW w:w="4523" w:type="dxa"/>
            <w:vAlign w:val="center"/>
          </w:tcPr>
          <w:p>
            <w:pPr>
              <w:jc w:val="center"/>
              <w:rPr>
                <w:color w:val="auto"/>
                <w:szCs w:val="21"/>
                <w:highlight w:val="none"/>
              </w:rPr>
            </w:pPr>
            <w:r>
              <w:rPr>
                <w:rFonts w:hint="eastAsia"/>
                <w:color w:val="auto"/>
                <w:szCs w:val="21"/>
                <w:highlight w:val="none"/>
              </w:rPr>
              <w:t>CO</w:t>
            </w:r>
            <w:r>
              <w:rPr>
                <w:rFonts w:hint="eastAsia"/>
                <w:color w:val="auto"/>
                <w:szCs w:val="21"/>
                <w:highlight w:val="none"/>
                <w:vertAlign w:val="sub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vMerge w:val="continue"/>
            <w:vAlign w:val="center"/>
          </w:tcPr>
          <w:p>
            <w:pPr>
              <w:jc w:val="center"/>
              <w:rPr>
                <w:color w:val="auto"/>
                <w:szCs w:val="21"/>
                <w:highlight w:val="none"/>
              </w:rPr>
            </w:pPr>
          </w:p>
        </w:tc>
        <w:tc>
          <w:tcPr>
            <w:tcW w:w="2268" w:type="dxa"/>
            <w:vMerge w:val="continue"/>
            <w:vAlign w:val="center"/>
          </w:tcPr>
          <w:p>
            <w:pPr>
              <w:jc w:val="center"/>
              <w:rPr>
                <w:color w:val="auto"/>
                <w:szCs w:val="21"/>
                <w:highlight w:val="none"/>
              </w:rPr>
            </w:pPr>
          </w:p>
        </w:tc>
        <w:tc>
          <w:tcPr>
            <w:tcW w:w="4523" w:type="dxa"/>
            <w:vAlign w:val="center"/>
          </w:tcPr>
          <w:p>
            <w:pPr>
              <w:jc w:val="center"/>
              <w:rPr>
                <w:color w:val="auto"/>
                <w:szCs w:val="21"/>
                <w:highlight w:val="none"/>
              </w:rPr>
            </w:pPr>
            <w:r>
              <w:rPr>
                <w:rFonts w:hint="eastAsia"/>
                <w:color w:val="auto"/>
                <w:szCs w:val="21"/>
                <w:highlight w:val="none"/>
              </w:rPr>
              <w:t>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vMerge w:val="continue"/>
            <w:vAlign w:val="center"/>
          </w:tcPr>
          <w:p>
            <w:pPr>
              <w:jc w:val="center"/>
              <w:rPr>
                <w:color w:val="auto"/>
                <w:szCs w:val="21"/>
                <w:highlight w:val="none"/>
              </w:rPr>
            </w:pPr>
          </w:p>
        </w:tc>
        <w:tc>
          <w:tcPr>
            <w:tcW w:w="2268" w:type="dxa"/>
            <w:vMerge w:val="continue"/>
            <w:vAlign w:val="center"/>
          </w:tcPr>
          <w:p>
            <w:pPr>
              <w:jc w:val="center"/>
              <w:rPr>
                <w:color w:val="auto"/>
                <w:szCs w:val="21"/>
                <w:highlight w:val="none"/>
              </w:rPr>
            </w:pPr>
          </w:p>
        </w:tc>
        <w:tc>
          <w:tcPr>
            <w:tcW w:w="4523" w:type="dxa"/>
            <w:vAlign w:val="center"/>
          </w:tcPr>
          <w:p>
            <w:pPr>
              <w:jc w:val="center"/>
              <w:rPr>
                <w:color w:val="auto"/>
                <w:szCs w:val="21"/>
                <w:highlight w:val="none"/>
              </w:rPr>
            </w:pPr>
            <w:r>
              <w:rPr>
                <w:rFonts w:hint="eastAsia"/>
                <w:color w:val="auto"/>
                <w:szCs w:val="21"/>
                <w:highlight w:val="none"/>
              </w:rPr>
              <w:t>CH</w:t>
            </w:r>
            <w:r>
              <w:rPr>
                <w:rFonts w:hint="eastAsia"/>
                <w:color w:val="auto"/>
                <w:szCs w:val="21"/>
                <w:highlight w:val="none"/>
                <w:vertAlign w:val="subscript"/>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vMerge w:val="continue"/>
            <w:vAlign w:val="center"/>
          </w:tcPr>
          <w:p>
            <w:pPr>
              <w:jc w:val="center"/>
              <w:rPr>
                <w:color w:val="auto"/>
                <w:szCs w:val="21"/>
                <w:highlight w:val="none"/>
              </w:rPr>
            </w:pPr>
          </w:p>
        </w:tc>
        <w:tc>
          <w:tcPr>
            <w:tcW w:w="2268" w:type="dxa"/>
            <w:vMerge w:val="continue"/>
            <w:vAlign w:val="center"/>
          </w:tcPr>
          <w:p>
            <w:pPr>
              <w:jc w:val="center"/>
              <w:rPr>
                <w:color w:val="auto"/>
                <w:szCs w:val="21"/>
                <w:highlight w:val="none"/>
              </w:rPr>
            </w:pPr>
          </w:p>
        </w:tc>
        <w:tc>
          <w:tcPr>
            <w:tcW w:w="4523" w:type="dxa"/>
            <w:vAlign w:val="center"/>
          </w:tcPr>
          <w:p>
            <w:pPr>
              <w:jc w:val="center"/>
              <w:rPr>
                <w:color w:val="auto"/>
                <w:szCs w:val="21"/>
                <w:highlight w:val="none"/>
              </w:rPr>
            </w:pPr>
            <w:r>
              <w:rPr>
                <w:rFonts w:hint="eastAsia"/>
                <w:color w:val="auto"/>
                <w:szCs w:val="21"/>
                <w:highlight w:val="none"/>
              </w:rPr>
              <w:t>NO</w:t>
            </w:r>
            <w:r>
              <w:rPr>
                <w:rFonts w:hint="eastAsia"/>
                <w:color w:val="auto"/>
                <w:szCs w:val="21"/>
                <w:highlight w:val="none"/>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vMerge w:val="continue"/>
            <w:vAlign w:val="center"/>
          </w:tcPr>
          <w:p>
            <w:pPr>
              <w:jc w:val="center"/>
              <w:rPr>
                <w:color w:val="auto"/>
                <w:szCs w:val="21"/>
                <w:highlight w:val="none"/>
              </w:rPr>
            </w:pPr>
          </w:p>
        </w:tc>
        <w:tc>
          <w:tcPr>
            <w:tcW w:w="2268" w:type="dxa"/>
            <w:vMerge w:val="continue"/>
            <w:vAlign w:val="center"/>
          </w:tcPr>
          <w:p>
            <w:pPr>
              <w:jc w:val="center"/>
              <w:rPr>
                <w:color w:val="auto"/>
                <w:szCs w:val="21"/>
                <w:highlight w:val="none"/>
              </w:rPr>
            </w:pPr>
          </w:p>
        </w:tc>
        <w:tc>
          <w:tcPr>
            <w:tcW w:w="4523" w:type="dxa"/>
            <w:vAlign w:val="center"/>
          </w:tcPr>
          <w:p>
            <w:pPr>
              <w:jc w:val="center"/>
              <w:rPr>
                <w:color w:val="auto"/>
                <w:szCs w:val="21"/>
                <w:highlight w:val="none"/>
              </w:rPr>
            </w:pPr>
            <w:r>
              <w:rPr>
                <w:rFonts w:hint="eastAsia"/>
                <w:color w:val="auto"/>
                <w:szCs w:val="21"/>
                <w:highlight w:val="none"/>
              </w:rPr>
              <w:t>NO</w:t>
            </w:r>
            <w:r>
              <w:rPr>
                <w:rFonts w:hint="eastAsia"/>
                <w:color w:val="auto"/>
                <w:szCs w:val="21"/>
                <w:highlight w:val="none"/>
                <w:vertAlign w:val="subscript"/>
              </w:rPr>
              <w:t>x</w:t>
            </w:r>
          </w:p>
        </w:tc>
      </w:tr>
      <w:bookmarkEnd w:id="19"/>
    </w:tbl>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A.4.</w:t>
      </w:r>
      <w:r>
        <w:rPr>
          <w:rFonts w:hint="eastAsia" w:ascii="黑体" w:hAnsi="黑体" w:eastAsia="黑体"/>
          <w:color w:val="auto"/>
          <w:szCs w:val="21"/>
          <w:highlight w:val="none"/>
        </w:rPr>
        <w:t xml:space="preserve">5计算方法                       </w:t>
      </w:r>
    </w:p>
    <w:p>
      <w:pPr>
        <w:ind w:firstLine="3675" w:firstLineChars="1750"/>
        <w:jc w:val="left"/>
        <w:rPr>
          <w:rFonts w:ascii="黑体" w:hAnsi="黑体" w:eastAsia="黑体"/>
          <w:color w:val="auto"/>
          <w:szCs w:val="21"/>
          <w:highlight w:val="none"/>
        </w:rPr>
      </w:pPr>
      <w:r>
        <w:rPr>
          <w:rFonts w:hint="eastAsia" w:hAnsi="宋体"/>
          <w:i/>
          <w:iCs/>
          <w:color w:val="auto"/>
          <w:szCs w:val="21"/>
          <w:highlight w:val="none"/>
        </w:rPr>
        <w:t>EP</w:t>
      </w:r>
      <w:r>
        <w:rPr>
          <w:rFonts w:hint="eastAsia" w:hAnsi="宋体"/>
          <w:i/>
          <w:iCs/>
          <w:color w:val="auto"/>
          <w:szCs w:val="21"/>
          <w:highlight w:val="none"/>
          <w:vertAlign w:val="subscript"/>
        </w:rPr>
        <w:t>i</w:t>
      </w:r>
      <w:r>
        <w:rPr>
          <w:rFonts w:hint="eastAsia" w:hAnsi="宋体"/>
          <w:color w:val="auto"/>
          <w:szCs w:val="21"/>
          <w:highlight w:val="none"/>
        </w:rPr>
        <w:t>=∑</w:t>
      </w:r>
      <w:r>
        <w:rPr>
          <w:rFonts w:hint="eastAsia" w:hAnsi="宋体"/>
          <w:i/>
          <w:iCs/>
          <w:color w:val="auto"/>
          <w:szCs w:val="21"/>
          <w:highlight w:val="none"/>
        </w:rPr>
        <w:t>EP</w:t>
      </w:r>
      <w:r>
        <w:rPr>
          <w:rFonts w:hint="eastAsia" w:hAnsi="宋体"/>
          <w:i/>
          <w:iCs/>
          <w:color w:val="auto"/>
          <w:szCs w:val="21"/>
          <w:highlight w:val="none"/>
          <w:vertAlign w:val="subscript"/>
        </w:rPr>
        <w:t>ij</w:t>
      </w:r>
      <w:r>
        <w:rPr>
          <w:rFonts w:hint="eastAsia" w:hAnsi="宋体"/>
          <w:color w:val="auto"/>
          <w:szCs w:val="21"/>
          <w:highlight w:val="none"/>
        </w:rPr>
        <w:t>=∑</w:t>
      </w:r>
      <w:r>
        <w:rPr>
          <w:rFonts w:hint="eastAsia" w:hAnsi="宋体"/>
          <w:i/>
          <w:iCs/>
          <w:color w:val="auto"/>
          <w:szCs w:val="21"/>
          <w:highlight w:val="none"/>
        </w:rPr>
        <w:t>Q</w:t>
      </w:r>
      <w:r>
        <w:rPr>
          <w:rFonts w:hint="eastAsia" w:hAnsi="宋体"/>
          <w:i/>
          <w:iCs/>
          <w:color w:val="auto"/>
          <w:szCs w:val="21"/>
          <w:highlight w:val="none"/>
          <w:vertAlign w:val="subscript"/>
        </w:rPr>
        <w:t>j</w:t>
      </w:r>
      <w:r>
        <w:rPr>
          <w:rFonts w:hint="eastAsia" w:hAnsi="宋体"/>
          <w:color w:val="auto"/>
          <w:szCs w:val="21"/>
          <w:highlight w:val="none"/>
        </w:rPr>
        <w:t>×</w:t>
      </w:r>
      <w:r>
        <w:rPr>
          <w:rFonts w:hint="eastAsia" w:hAnsi="宋体"/>
          <w:i/>
          <w:iCs/>
          <w:color w:val="auto"/>
          <w:szCs w:val="21"/>
          <w:highlight w:val="none"/>
        </w:rPr>
        <w:t>EF</w:t>
      </w:r>
      <w:r>
        <w:rPr>
          <w:rFonts w:hint="eastAsia" w:hAnsi="宋体"/>
          <w:i/>
          <w:iCs/>
          <w:color w:val="auto"/>
          <w:szCs w:val="21"/>
          <w:highlight w:val="none"/>
          <w:vertAlign w:val="subscript"/>
        </w:rPr>
        <w:t>ij   --------------------------------------</w:t>
      </w:r>
      <w:r>
        <w:rPr>
          <w:rFonts w:hAnsi="宋体"/>
          <w:color w:val="auto"/>
          <w:szCs w:val="21"/>
          <w:highlight w:val="none"/>
        </w:rPr>
        <w:t>（</w:t>
      </w:r>
      <w:r>
        <w:rPr>
          <w:rFonts w:hint="eastAsia" w:hAnsi="宋体"/>
          <w:color w:val="auto"/>
          <w:szCs w:val="21"/>
          <w:highlight w:val="none"/>
        </w:rPr>
        <w:t>A.1</w:t>
      </w:r>
      <w:r>
        <w:rPr>
          <w:rFonts w:hAnsi="宋体"/>
          <w:color w:val="auto"/>
          <w:szCs w:val="21"/>
          <w:highlight w:val="none"/>
        </w:rPr>
        <w:t>）</w:t>
      </w:r>
    </w:p>
    <w:p>
      <w:pPr>
        <w:ind w:firstLine="420"/>
        <w:rPr>
          <w:rFonts w:hAnsi="宋体"/>
          <w:color w:val="auto"/>
          <w:highlight w:val="none"/>
        </w:rPr>
      </w:pPr>
      <w:r>
        <w:rPr>
          <w:rFonts w:hint="eastAsia" w:hAnsi="宋体"/>
          <w:color w:val="auto"/>
          <w:highlight w:val="none"/>
        </w:rPr>
        <w:t>式中</w:t>
      </w:r>
    </w:p>
    <w:p>
      <w:pPr>
        <w:ind w:firstLine="420"/>
        <w:rPr>
          <w:rFonts w:hAnsi="宋体"/>
          <w:color w:val="auto"/>
          <w:highlight w:val="none"/>
        </w:rPr>
      </w:pPr>
      <w:r>
        <w:rPr>
          <w:rFonts w:hint="eastAsia" w:hAnsi="宋体"/>
          <w:i/>
          <w:iCs/>
          <w:color w:val="auto"/>
          <w:highlight w:val="none"/>
        </w:rPr>
        <w:t>EP</w:t>
      </w:r>
      <w:r>
        <w:rPr>
          <w:rFonts w:hint="eastAsia" w:hAnsi="宋体"/>
          <w:i/>
          <w:iCs/>
          <w:color w:val="auto"/>
          <w:highlight w:val="none"/>
          <w:vertAlign w:val="subscript"/>
        </w:rPr>
        <w:t xml:space="preserve">i </w:t>
      </w:r>
      <w:r>
        <w:rPr>
          <w:rFonts w:hint="eastAsia" w:hAnsi="宋体"/>
          <w:color w:val="auto"/>
          <w:highlight w:val="none"/>
        </w:rPr>
        <w:t>— 第</w:t>
      </w:r>
      <w:r>
        <w:rPr>
          <w:rFonts w:hint="eastAsia" w:hAnsi="宋体"/>
          <w:i/>
          <w:iCs/>
          <w:color w:val="auto"/>
          <w:highlight w:val="none"/>
        </w:rPr>
        <w:t>i</w:t>
      </w:r>
      <w:r>
        <w:rPr>
          <w:rFonts w:hint="eastAsia" w:hAnsi="宋体"/>
          <w:color w:val="auto"/>
          <w:highlight w:val="none"/>
        </w:rPr>
        <w:t>种环境类别特征化值；</w:t>
      </w:r>
    </w:p>
    <w:p>
      <w:pPr>
        <w:ind w:firstLine="420"/>
        <w:rPr>
          <w:rFonts w:hAnsi="宋体"/>
          <w:i/>
          <w:iCs/>
          <w:color w:val="auto"/>
          <w:highlight w:val="none"/>
        </w:rPr>
      </w:pPr>
      <w:r>
        <w:rPr>
          <w:rFonts w:hint="eastAsia" w:hAnsi="宋体"/>
          <w:i/>
          <w:iCs/>
          <w:color w:val="auto"/>
          <w:highlight w:val="none"/>
        </w:rPr>
        <w:t>EP</w:t>
      </w:r>
      <w:r>
        <w:rPr>
          <w:rFonts w:hint="eastAsia" w:hAnsi="宋体"/>
          <w:i/>
          <w:iCs/>
          <w:color w:val="auto"/>
          <w:highlight w:val="none"/>
          <w:vertAlign w:val="subscript"/>
        </w:rPr>
        <w:t>ij</w:t>
      </w:r>
      <w:r>
        <w:rPr>
          <w:rFonts w:hint="eastAsia" w:hAnsi="宋体"/>
          <w:color w:val="auto"/>
          <w:highlight w:val="none"/>
        </w:rPr>
        <w:t>— 第</w:t>
      </w:r>
      <w:r>
        <w:rPr>
          <w:rFonts w:hint="eastAsia" w:hAnsi="宋体"/>
          <w:i/>
          <w:iCs/>
          <w:color w:val="auto"/>
          <w:highlight w:val="none"/>
        </w:rPr>
        <w:t>i</w:t>
      </w:r>
      <w:r>
        <w:rPr>
          <w:rFonts w:hint="eastAsia" w:hAnsi="宋体"/>
          <w:color w:val="auto"/>
          <w:highlight w:val="none"/>
        </w:rPr>
        <w:t>种环境类别中第</w:t>
      </w:r>
      <w:r>
        <w:rPr>
          <w:rFonts w:hint="eastAsia" w:hAnsi="宋体"/>
          <w:i/>
          <w:iCs/>
          <w:color w:val="auto"/>
          <w:highlight w:val="none"/>
        </w:rPr>
        <w:t xml:space="preserve">j </w:t>
      </w:r>
      <w:r>
        <w:rPr>
          <w:rFonts w:hint="eastAsia" w:hAnsi="宋体"/>
          <w:color w:val="auto"/>
          <w:highlight w:val="none"/>
        </w:rPr>
        <w:t>种污染物的贡献；</w:t>
      </w:r>
    </w:p>
    <w:p>
      <w:pPr>
        <w:ind w:firstLine="420"/>
        <w:rPr>
          <w:rFonts w:hAnsi="宋体"/>
          <w:color w:val="auto"/>
          <w:highlight w:val="none"/>
        </w:rPr>
      </w:pPr>
      <w:r>
        <w:rPr>
          <w:rFonts w:hint="eastAsia" w:hAnsi="宋体"/>
          <w:i/>
          <w:iCs/>
          <w:color w:val="auto"/>
          <w:highlight w:val="none"/>
        </w:rPr>
        <w:t>Q</w:t>
      </w:r>
      <w:r>
        <w:rPr>
          <w:rFonts w:hint="eastAsia" w:hAnsi="宋体"/>
          <w:i/>
          <w:iCs/>
          <w:color w:val="auto"/>
          <w:highlight w:val="none"/>
          <w:vertAlign w:val="subscript"/>
        </w:rPr>
        <w:t xml:space="preserve">j </w:t>
      </w:r>
      <w:r>
        <w:rPr>
          <w:rFonts w:hint="eastAsia" w:hAnsi="宋体"/>
          <w:color w:val="auto"/>
          <w:highlight w:val="none"/>
        </w:rPr>
        <w:t>— 第</w:t>
      </w:r>
      <w:r>
        <w:rPr>
          <w:rFonts w:hint="eastAsia" w:hAnsi="宋体"/>
          <w:i/>
          <w:iCs/>
          <w:color w:val="auto"/>
          <w:highlight w:val="none"/>
        </w:rPr>
        <w:t xml:space="preserve">j </w:t>
      </w:r>
      <w:r>
        <w:rPr>
          <w:rFonts w:hint="eastAsia" w:hAnsi="宋体"/>
          <w:color w:val="auto"/>
          <w:highlight w:val="none"/>
        </w:rPr>
        <w:t>种污染物的排放量；</w:t>
      </w:r>
    </w:p>
    <w:p>
      <w:pPr>
        <w:ind w:firstLine="420" w:firstLineChars="200"/>
        <w:jc w:val="left"/>
        <w:rPr>
          <w:rFonts w:ascii="黑体" w:hAnsi="黑体" w:eastAsia="黑体"/>
          <w:color w:val="auto"/>
          <w:szCs w:val="21"/>
          <w:highlight w:val="none"/>
        </w:rPr>
      </w:pPr>
      <w:r>
        <w:rPr>
          <w:rFonts w:hint="eastAsia" w:hAnsi="宋体"/>
          <w:i/>
          <w:iCs/>
          <w:color w:val="auto"/>
          <w:highlight w:val="none"/>
        </w:rPr>
        <w:t>EF</w:t>
      </w:r>
      <w:r>
        <w:rPr>
          <w:rFonts w:hint="eastAsia" w:hAnsi="宋体"/>
          <w:i/>
          <w:iCs/>
          <w:color w:val="auto"/>
          <w:highlight w:val="none"/>
          <w:vertAlign w:val="subscript"/>
        </w:rPr>
        <w:t xml:space="preserve">ij </w:t>
      </w:r>
      <w:r>
        <w:rPr>
          <w:rFonts w:hint="eastAsia" w:hAnsi="宋体"/>
          <w:color w:val="auto"/>
          <w:highlight w:val="none"/>
        </w:rPr>
        <w:t>— 第</w:t>
      </w:r>
      <w:r>
        <w:rPr>
          <w:rFonts w:hint="eastAsia" w:hAnsi="宋体"/>
          <w:i/>
          <w:iCs/>
          <w:color w:val="auto"/>
          <w:highlight w:val="none"/>
        </w:rPr>
        <w:t>i</w:t>
      </w:r>
      <w:r>
        <w:rPr>
          <w:rFonts w:hint="eastAsia" w:hAnsi="宋体"/>
          <w:color w:val="auto"/>
          <w:highlight w:val="none"/>
        </w:rPr>
        <w:t>种环境类别中第</w:t>
      </w:r>
      <w:r>
        <w:rPr>
          <w:rFonts w:hint="eastAsia" w:hAnsi="宋体"/>
          <w:i/>
          <w:iCs/>
          <w:color w:val="auto"/>
          <w:highlight w:val="none"/>
        </w:rPr>
        <w:t>j</w:t>
      </w:r>
      <w:r>
        <w:rPr>
          <w:rFonts w:hint="eastAsia" w:hAnsi="宋体"/>
          <w:color w:val="auto"/>
          <w:highlight w:val="none"/>
        </w:rPr>
        <w:t>种污染物的特征化因子。</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A.5 </w:t>
      </w:r>
      <w:r>
        <w:rPr>
          <w:rFonts w:hint="eastAsia" w:ascii="黑体" w:hAnsi="黑体" w:eastAsia="黑体"/>
          <w:color w:val="auto"/>
          <w:szCs w:val="21"/>
          <w:highlight w:val="none"/>
        </w:rPr>
        <w:t>解释</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A.5.1 </w:t>
      </w:r>
      <w:r>
        <w:rPr>
          <w:rFonts w:hint="eastAsia" w:ascii="黑体" w:hAnsi="黑体" w:eastAsia="黑体"/>
          <w:color w:val="auto"/>
          <w:szCs w:val="21"/>
          <w:highlight w:val="none"/>
        </w:rPr>
        <w:t>总则</w:t>
      </w:r>
    </w:p>
    <w:p>
      <w:pPr>
        <w:ind w:firstLine="420" w:firstLineChars="200"/>
        <w:jc w:val="left"/>
        <w:rPr>
          <w:color w:val="auto"/>
          <w:szCs w:val="21"/>
          <w:highlight w:val="none"/>
        </w:rPr>
      </w:pPr>
      <w:r>
        <w:rPr>
          <w:rFonts w:hint="eastAsia"/>
          <w:color w:val="auto"/>
          <w:szCs w:val="21"/>
          <w:highlight w:val="none"/>
        </w:rPr>
        <w:t>解释是综合考虑清单分析和影响评价发现的一个阶段，以它们的结果为基础来识别重大问题（如清单数据、影响类型、各阶段对结果的主要贡献），应包括以下三个要素：“评估，包括完整性、敏感性和一致性检查”</w:t>
      </w:r>
      <w:r>
        <w:rPr>
          <w:rFonts w:hint="eastAsia"/>
          <w:color w:val="auto"/>
          <w:szCs w:val="21"/>
          <w:highlight w:val="none"/>
          <w:lang w:eastAsia="zh-CN"/>
        </w:rPr>
        <w:t>，</w:t>
      </w:r>
      <w:r>
        <w:rPr>
          <w:rFonts w:hint="eastAsia"/>
          <w:color w:val="auto"/>
          <w:szCs w:val="21"/>
          <w:highlight w:val="none"/>
        </w:rPr>
        <w:t>“识别重大问题与确定改进方案”，“结论、建议和局限性”。解释结果应与所规定的目的和范围保持一致。</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A.5.2 </w:t>
      </w:r>
      <w:r>
        <w:rPr>
          <w:rFonts w:hint="eastAsia" w:ascii="黑体" w:hAnsi="黑体" w:eastAsia="黑体"/>
          <w:color w:val="auto"/>
          <w:szCs w:val="21"/>
          <w:highlight w:val="none"/>
        </w:rPr>
        <w:t>评估</w:t>
      </w:r>
    </w:p>
    <w:p>
      <w:pPr>
        <w:ind w:firstLine="420" w:firstLineChars="200"/>
        <w:jc w:val="left"/>
        <w:rPr>
          <w:color w:val="auto"/>
          <w:szCs w:val="21"/>
          <w:highlight w:val="none"/>
        </w:rPr>
      </w:pPr>
      <w:r>
        <w:rPr>
          <w:rFonts w:hint="eastAsia"/>
          <w:color w:val="auto"/>
          <w:szCs w:val="21"/>
          <w:highlight w:val="none"/>
        </w:rPr>
        <w:t>评估生命周期模型稳健性工具应包括：</w:t>
      </w:r>
    </w:p>
    <w:p>
      <w:pPr>
        <w:ind w:firstLine="420" w:firstLineChars="200"/>
        <w:jc w:val="left"/>
        <w:rPr>
          <w:color w:val="auto"/>
          <w:szCs w:val="21"/>
          <w:highlight w:val="none"/>
        </w:rPr>
      </w:pPr>
      <w:r>
        <w:rPr>
          <w:rFonts w:hint="eastAsia"/>
          <w:color w:val="auto"/>
          <w:szCs w:val="21"/>
          <w:highlight w:val="none"/>
        </w:rPr>
        <w:t>a） 完整性检查：评价数据清单，以确保其相对于确定的目标、范围、系统边界和质量准则完整。这包括热镀用锌合金锭产品生产过程的完整性（即包含了所考虑的各生产阶段的所有过程）和输入</w:t>
      </w:r>
      <w:r>
        <w:rPr>
          <w:color w:val="auto"/>
          <w:szCs w:val="21"/>
          <w:highlight w:val="none"/>
        </w:rPr>
        <w:t>/</w:t>
      </w:r>
      <w:r>
        <w:rPr>
          <w:rFonts w:hint="eastAsia"/>
          <w:color w:val="auto"/>
          <w:szCs w:val="21"/>
          <w:highlight w:val="none"/>
        </w:rPr>
        <w:t>输出范围（即包含了与各过程相关的所有原材料、辅料、能源和水的输入以及产品以及环境排放的输出）。</w:t>
      </w:r>
    </w:p>
    <w:p>
      <w:pPr>
        <w:ind w:firstLine="420" w:firstLineChars="200"/>
        <w:jc w:val="left"/>
        <w:rPr>
          <w:color w:val="auto"/>
          <w:szCs w:val="21"/>
          <w:highlight w:val="none"/>
        </w:rPr>
      </w:pPr>
      <w:r>
        <w:rPr>
          <w:color w:val="auto"/>
          <w:szCs w:val="21"/>
          <w:highlight w:val="none"/>
        </w:rPr>
        <w:t>b</w:t>
      </w:r>
      <w:r>
        <w:rPr>
          <w:rFonts w:hint="eastAsia"/>
          <w:color w:val="auto"/>
          <w:szCs w:val="21"/>
          <w:highlight w:val="none"/>
        </w:rPr>
        <w:t>）敏感性检查：通过确定最终结果和结论是如何受到数据、分配方法或类型参数等的不确定性的影响，来评价其可靠性。</w:t>
      </w:r>
    </w:p>
    <w:p>
      <w:pPr>
        <w:ind w:firstLine="420" w:firstLineChars="200"/>
        <w:jc w:val="left"/>
        <w:rPr>
          <w:color w:val="auto"/>
          <w:szCs w:val="21"/>
          <w:highlight w:val="none"/>
        </w:rPr>
      </w:pPr>
      <w:r>
        <w:rPr>
          <w:color w:val="auto"/>
          <w:szCs w:val="21"/>
          <w:highlight w:val="none"/>
        </w:rPr>
        <w:t>c</w:t>
      </w:r>
      <w:r>
        <w:rPr>
          <w:rFonts w:hint="eastAsia"/>
          <w:color w:val="auto"/>
          <w:szCs w:val="21"/>
          <w:highlight w:val="none"/>
        </w:rPr>
        <w:t>）一致性检查：一致性检查的目的是确认假设、方法和数据是否与目的和范围的要求相一致。</w:t>
      </w:r>
    </w:p>
    <w:p>
      <w:pPr>
        <w:ind w:firstLine="420" w:firstLineChars="200"/>
        <w:jc w:val="left"/>
        <w:rPr>
          <w:color w:val="auto"/>
          <w:szCs w:val="21"/>
          <w:highlight w:val="none"/>
        </w:rPr>
      </w:pPr>
      <w:r>
        <w:rPr>
          <w:rFonts w:hint="eastAsia"/>
          <w:color w:val="auto"/>
          <w:szCs w:val="21"/>
          <w:highlight w:val="none"/>
        </w:rPr>
        <w:t>以上不确定性分析结果和数据质量分析结果作为对上述检查的补充。</w:t>
      </w:r>
    </w:p>
    <w:p>
      <w:pPr>
        <w:spacing w:before="312" w:beforeLines="100" w:after="312" w:afterLines="100" w:line="360" w:lineRule="auto"/>
        <w:jc w:val="left"/>
        <w:rPr>
          <w:rFonts w:ascii="黑体" w:hAnsi="黑体" w:eastAsia="黑体"/>
          <w:color w:val="auto"/>
          <w:szCs w:val="21"/>
          <w:highlight w:val="none"/>
        </w:rPr>
      </w:pPr>
      <w:r>
        <w:rPr>
          <w:rFonts w:hint="eastAsia" w:ascii="黑体" w:hAnsi="黑体" w:eastAsia="黑体"/>
          <w:color w:val="auto"/>
          <w:szCs w:val="21"/>
          <w:highlight w:val="none"/>
        </w:rPr>
        <w:t>A.5.3 识别重大问题与确定改进方案</w:t>
      </w:r>
    </w:p>
    <w:p>
      <w:pPr>
        <w:ind w:firstLine="420" w:firstLineChars="200"/>
        <w:jc w:val="left"/>
        <w:rPr>
          <w:color w:val="auto"/>
          <w:szCs w:val="21"/>
          <w:highlight w:val="none"/>
        </w:rPr>
      </w:pPr>
      <w:r>
        <w:rPr>
          <w:rFonts w:hint="eastAsia"/>
          <w:color w:val="auto"/>
          <w:szCs w:val="21"/>
          <w:highlight w:val="none"/>
        </w:rPr>
        <w:t>为了产生环境效益或至少将环境责任降至最低，应根据清单分析和影响评价的结果提出针对热镀用锌合金锭产品的生态设计改进方案。</w:t>
      </w:r>
    </w:p>
    <w:p>
      <w:pPr>
        <w:ind w:firstLine="420" w:firstLineChars="200"/>
        <w:jc w:val="left"/>
        <w:rPr>
          <w:color w:val="auto"/>
          <w:szCs w:val="21"/>
          <w:highlight w:val="none"/>
        </w:rPr>
      </w:pPr>
      <w:r>
        <w:rPr>
          <w:rFonts w:hint="eastAsia"/>
          <w:color w:val="auto"/>
          <w:szCs w:val="21"/>
          <w:highlight w:val="none"/>
        </w:rPr>
        <w:t>评估人员根据产品生命周期评价结果提出的改进方案一般是广泛且全面的，并非所有的改进方案都能得到实施，需要从技术可行性、环境改进、经济效益、顾客增加值（CVA）影响、生产管理等方面评价改进方案，并进行优先排序，绘制实施者优先排序图和生命周期阶段优先排序图，具体方法参加附录C。</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A.5.4 </w:t>
      </w:r>
      <w:r>
        <w:rPr>
          <w:rFonts w:hint="eastAsia" w:ascii="黑体" w:hAnsi="黑体" w:eastAsia="黑体"/>
          <w:color w:val="auto"/>
          <w:szCs w:val="21"/>
          <w:highlight w:val="none"/>
        </w:rPr>
        <w:t>结论、建议和局限性</w:t>
      </w:r>
    </w:p>
    <w:p>
      <w:pPr>
        <w:ind w:firstLine="420" w:firstLineChars="200"/>
        <w:jc w:val="left"/>
        <w:rPr>
          <w:color w:val="auto"/>
          <w:szCs w:val="21"/>
          <w:highlight w:val="none"/>
        </w:rPr>
      </w:pPr>
      <w:r>
        <w:rPr>
          <w:rFonts w:hint="eastAsia"/>
          <w:color w:val="auto"/>
          <w:szCs w:val="21"/>
          <w:highlight w:val="none"/>
        </w:rPr>
        <w:t>应根据确定的热镀锌合金锭产品生命周期评价的目的和范围阐述相应的结论，提出建议并对局限性进行说明。结论应包括“应包括评估方法学和结果的完整性、敏感性和一致性</w:t>
      </w:r>
      <w:r>
        <w:rPr>
          <w:color w:val="auto"/>
          <w:szCs w:val="21"/>
          <w:highlight w:val="none"/>
        </w:rPr>
        <w:t>”</w:t>
      </w:r>
      <w:r>
        <w:rPr>
          <w:rFonts w:hint="eastAsia"/>
          <w:color w:val="auto"/>
          <w:szCs w:val="21"/>
          <w:highlight w:val="none"/>
        </w:rPr>
        <w:t>,与“所识别的重大问题及潜在改进方案”，同时需要检查该结论是否符合锌锭产品研究的目的和范围要求，特别是数据质量要求、预先确定的假定和数值以及应用所需的要求。</w:t>
      </w:r>
    </w:p>
    <w:p>
      <w:pPr>
        <w:spacing w:before="312" w:beforeLines="100" w:after="312" w:afterLines="100" w:line="360" w:lineRule="auto"/>
        <w:jc w:val="left"/>
        <w:rPr>
          <w:rFonts w:ascii="黑体" w:hAnsi="黑体" w:eastAsia="黑体"/>
          <w:color w:val="auto"/>
          <w:szCs w:val="21"/>
          <w:highlight w:val="none"/>
        </w:rPr>
      </w:pPr>
      <w:r>
        <w:rPr>
          <w:rFonts w:ascii="黑体" w:hAnsi="黑体" w:eastAsia="黑体"/>
          <w:color w:val="auto"/>
          <w:szCs w:val="21"/>
          <w:highlight w:val="none"/>
        </w:rPr>
        <w:t xml:space="preserve">A.6 </w:t>
      </w:r>
      <w:r>
        <w:rPr>
          <w:rFonts w:hint="eastAsia" w:ascii="黑体" w:hAnsi="黑体" w:eastAsia="黑体"/>
          <w:color w:val="auto"/>
          <w:szCs w:val="21"/>
          <w:highlight w:val="none"/>
        </w:rPr>
        <w:t>生命周期评价（</w:t>
      </w:r>
      <w:r>
        <w:rPr>
          <w:rFonts w:ascii="黑体" w:hAnsi="黑体" w:eastAsia="黑体"/>
          <w:color w:val="auto"/>
          <w:szCs w:val="21"/>
          <w:highlight w:val="none"/>
        </w:rPr>
        <w:t>LCA</w:t>
      </w:r>
      <w:r>
        <w:rPr>
          <w:rFonts w:hint="eastAsia" w:ascii="黑体" w:hAnsi="黑体" w:eastAsia="黑体"/>
          <w:color w:val="auto"/>
          <w:szCs w:val="21"/>
          <w:highlight w:val="none"/>
        </w:rPr>
        <w:t>）报告</w:t>
      </w:r>
    </w:p>
    <w:p>
      <w:pPr>
        <w:ind w:firstLine="420"/>
        <w:rPr>
          <w:rFonts w:ascii="宋体" w:hAnsi="宋体"/>
          <w:color w:val="auto"/>
          <w:highlight w:val="none"/>
        </w:rPr>
      </w:pPr>
      <w:r>
        <w:rPr>
          <w:rFonts w:ascii="宋体" w:hAnsi="宋体"/>
          <w:color w:val="auto"/>
          <w:highlight w:val="none"/>
        </w:rPr>
        <w:t>产品LCA报告可用于绿色设计产品评价，也可用于产品碳足迹、水足迹、欧盟产品环境足迹（PEF）、环境产品声明（EPD）等LCA评价，具体要求可参见相关标准和评价体系的规定。</w:t>
      </w:r>
    </w:p>
    <w:p>
      <w:pPr>
        <w:rPr>
          <w:rFonts w:ascii="黑体" w:hAnsi="黑体" w:eastAsia="黑体"/>
          <w:color w:val="auto"/>
          <w:szCs w:val="21"/>
          <w:highlight w:val="none"/>
        </w:rPr>
      </w:pPr>
      <w:r>
        <w:rPr>
          <w:rFonts w:hint="eastAsia" w:ascii="黑体" w:hAnsi="黑体" w:eastAsia="黑体"/>
          <w:color w:val="auto"/>
          <w:szCs w:val="21"/>
          <w:highlight w:val="none"/>
        </w:rPr>
        <w:br w:type="page"/>
      </w:r>
    </w:p>
    <w:p>
      <w:pPr>
        <w:jc w:val="center"/>
        <w:outlineLvl w:val="0"/>
        <w:rPr>
          <w:rFonts w:ascii="黑体" w:hAnsi="黑体" w:eastAsia="黑体"/>
          <w:color w:val="auto"/>
          <w:szCs w:val="21"/>
          <w:highlight w:val="none"/>
        </w:rPr>
      </w:pPr>
      <w:bookmarkStart w:id="20" w:name="_Toc16242"/>
      <w:r>
        <w:rPr>
          <w:rFonts w:hint="eastAsia" w:ascii="黑体" w:hAnsi="黑体" w:eastAsia="黑体"/>
          <w:color w:val="auto"/>
          <w:szCs w:val="21"/>
          <w:highlight w:val="none"/>
        </w:rPr>
        <w:t>附录</w:t>
      </w:r>
      <w:r>
        <w:rPr>
          <w:rFonts w:ascii="黑体" w:hAnsi="黑体" w:eastAsia="黑体"/>
          <w:color w:val="auto"/>
          <w:szCs w:val="21"/>
          <w:highlight w:val="none"/>
        </w:rPr>
        <w:t>B</w:t>
      </w:r>
      <w:bookmarkEnd w:id="20"/>
    </w:p>
    <w:p>
      <w:pPr>
        <w:jc w:val="center"/>
        <w:outlineLvl w:val="0"/>
        <w:rPr>
          <w:rFonts w:ascii="黑体" w:hAnsi="黑体" w:eastAsia="黑体"/>
          <w:color w:val="auto"/>
          <w:szCs w:val="21"/>
          <w:highlight w:val="none"/>
        </w:rPr>
      </w:pPr>
      <w:bookmarkStart w:id="21" w:name="_Toc9270"/>
      <w:bookmarkStart w:id="22" w:name="_Toc51664040"/>
      <w:r>
        <w:rPr>
          <w:rFonts w:hint="eastAsia" w:ascii="黑体" w:hAnsi="黑体" w:eastAsia="黑体"/>
          <w:color w:val="auto"/>
          <w:szCs w:val="21"/>
          <w:highlight w:val="none"/>
        </w:rPr>
        <w:t>（资料性）</w:t>
      </w:r>
      <w:bookmarkEnd w:id="21"/>
      <w:bookmarkEnd w:id="22"/>
    </w:p>
    <w:p>
      <w:pPr>
        <w:widowControl/>
        <w:jc w:val="center"/>
        <w:outlineLvl w:val="0"/>
        <w:rPr>
          <w:rFonts w:ascii="黑体" w:hAnsi="黑体" w:eastAsia="黑体"/>
          <w:color w:val="auto"/>
          <w:szCs w:val="21"/>
          <w:highlight w:val="none"/>
        </w:rPr>
      </w:pPr>
      <w:bookmarkStart w:id="23" w:name="_Toc28333"/>
      <w:r>
        <w:rPr>
          <w:rFonts w:hint="eastAsia" w:ascii="黑体" w:hAnsi="黑体" w:eastAsia="黑体"/>
          <w:color w:val="auto"/>
          <w:szCs w:val="21"/>
          <w:highlight w:val="none"/>
        </w:rPr>
        <w:t>数据分析方法示例</w:t>
      </w:r>
      <w:bookmarkEnd w:id="23"/>
    </w:p>
    <w:p>
      <w:pPr>
        <w:ind w:firstLine="420" w:firstLineChars="200"/>
        <w:jc w:val="left"/>
        <w:rPr>
          <w:rFonts w:ascii="宋体" w:hAnsi="宋体" w:cs="宋体"/>
          <w:color w:val="auto"/>
          <w:kern w:val="0"/>
          <w:sz w:val="24"/>
          <w:szCs w:val="24"/>
          <w:highlight w:val="none"/>
          <w:lang w:bidi="ar"/>
        </w:rPr>
      </w:pPr>
      <w:r>
        <w:rPr>
          <w:rFonts w:hint="eastAsia"/>
          <w:color w:val="auto"/>
          <w:szCs w:val="21"/>
          <w:highlight w:val="none"/>
        </w:rPr>
        <w:t>参照图</w:t>
      </w:r>
      <w:r>
        <w:rPr>
          <w:color w:val="auto"/>
          <w:szCs w:val="21"/>
          <w:highlight w:val="none"/>
        </w:rPr>
        <w:t>B.1</w:t>
      </w:r>
      <w:r>
        <w:rPr>
          <w:rFonts w:hint="eastAsia"/>
          <w:color w:val="auto"/>
          <w:szCs w:val="21"/>
          <w:highlight w:val="none"/>
        </w:rPr>
        <w:t>绘制每个单元过程的图，然后参照表</w:t>
      </w:r>
      <w:r>
        <w:rPr>
          <w:color w:val="auto"/>
          <w:szCs w:val="21"/>
          <w:highlight w:val="none"/>
        </w:rPr>
        <w:t>B.1</w:t>
      </w:r>
      <w:r>
        <w:rPr>
          <w:rFonts w:hint="eastAsia"/>
          <w:color w:val="auto"/>
          <w:szCs w:val="21"/>
          <w:highlight w:val="none"/>
        </w:rPr>
        <w:t>收集单元过程的数据，最终汇总形成表B.2</w:t>
      </w:r>
      <w:bookmarkStart w:id="24" w:name="_Hlk41652727"/>
      <w:r>
        <w:rPr>
          <w:rFonts w:hint="eastAsia"/>
          <w:color w:val="auto"/>
          <w:szCs w:val="21"/>
          <w:highlight w:val="none"/>
        </w:rPr>
        <w:t>热镀用锌合金锭产品的数据清单</w:t>
      </w:r>
      <w:bookmarkEnd w:id="24"/>
      <w:r>
        <w:rPr>
          <w:rFonts w:hint="eastAsia"/>
          <w:color w:val="auto"/>
          <w:szCs w:val="21"/>
          <w:highlight w:val="none"/>
        </w:rPr>
        <w:t>。</w:t>
      </w:r>
    </w:p>
    <w:p>
      <w:pPr>
        <w:widowControl/>
        <w:rPr>
          <w:color w:val="auto"/>
          <w:highlight w:val="none"/>
        </w:rPr>
      </w:pPr>
      <w:r>
        <w:rPr>
          <w:color w:val="auto"/>
          <w:highlight w:val="none"/>
        </w:rPr>
        <w:drawing>
          <wp:inline distT="0" distB="0" distL="114300" distR="114300">
            <wp:extent cx="5721985" cy="282892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725845" cy="2830631"/>
                    </a:xfrm>
                    <a:prstGeom prst="rect">
                      <a:avLst/>
                    </a:prstGeom>
                    <a:noFill/>
                    <a:ln>
                      <a:noFill/>
                    </a:ln>
                  </pic:spPr>
                </pic:pic>
              </a:graphicData>
            </a:graphic>
          </wp:inline>
        </w:drawing>
      </w:r>
    </w:p>
    <w:p>
      <w:pPr>
        <w:widowControl/>
        <w:jc w:val="center"/>
        <w:rPr>
          <w:rFonts w:ascii="黑体" w:hAnsi="黑体" w:eastAsia="黑体"/>
          <w:color w:val="auto"/>
          <w:szCs w:val="21"/>
          <w:highlight w:val="none"/>
        </w:rPr>
      </w:pPr>
      <w:r>
        <w:rPr>
          <w:rFonts w:hint="eastAsia" w:ascii="宋体" w:hAnsi="宋体"/>
          <w:color w:val="auto"/>
          <w:szCs w:val="21"/>
          <w:highlight w:val="none"/>
        </w:rPr>
        <w:t>图B</w:t>
      </w:r>
      <w:r>
        <w:rPr>
          <w:rFonts w:ascii="宋体" w:hAnsi="宋体"/>
          <w:color w:val="auto"/>
          <w:szCs w:val="21"/>
          <w:highlight w:val="none"/>
        </w:rPr>
        <w:t xml:space="preserve">.1   </w:t>
      </w:r>
      <w:r>
        <w:rPr>
          <w:rFonts w:hint="eastAsia" w:ascii="黑体" w:hAnsi="黑体" w:eastAsia="黑体"/>
          <w:color w:val="auto"/>
          <w:szCs w:val="21"/>
          <w:highlight w:val="none"/>
        </w:rPr>
        <w:t>合金工序示意图</w:t>
      </w:r>
    </w:p>
    <w:p>
      <w:pPr>
        <w:widowControl/>
        <w:jc w:val="left"/>
        <w:rPr>
          <w:color w:val="auto"/>
          <w:highlight w:val="none"/>
        </w:rPr>
      </w:pPr>
    </w:p>
    <w:p>
      <w:pPr>
        <w:jc w:val="center"/>
        <w:rPr>
          <w:color w:val="auto"/>
          <w:highlight w:val="none"/>
        </w:rPr>
      </w:pPr>
      <w:r>
        <w:rPr>
          <w:rFonts w:hint="eastAsia" w:ascii="宋体" w:hAnsi="宋体"/>
          <w:bCs/>
          <w:color w:val="auto"/>
          <w:highlight w:val="none"/>
        </w:rPr>
        <w:t>表</w:t>
      </w:r>
      <w:r>
        <w:rPr>
          <w:rFonts w:ascii="宋体" w:hAnsi="宋体"/>
          <w:bCs/>
          <w:color w:val="auto"/>
          <w:highlight w:val="none"/>
        </w:rPr>
        <w:t xml:space="preserve">B.1 </w:t>
      </w:r>
      <w:r>
        <w:rPr>
          <w:rFonts w:hint="eastAsia" w:ascii="宋体" w:hAnsi="宋体"/>
          <w:bCs/>
          <w:color w:val="auto"/>
          <w:highlight w:val="none"/>
        </w:rPr>
        <w:t>单元过程数据收集表示例</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134"/>
        <w:gridCol w:w="1134"/>
        <w:gridCol w:w="2268"/>
        <w:gridCol w:w="330"/>
        <w:gridCol w:w="236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blHeader/>
        </w:trPr>
        <w:tc>
          <w:tcPr>
            <w:tcW w:w="4219" w:type="dxa"/>
            <w:gridSpan w:val="3"/>
          </w:tcPr>
          <w:p>
            <w:pPr>
              <w:jc w:val="left"/>
              <w:rPr>
                <w:rFonts w:ascii="宋体" w:hAnsi="宋体"/>
                <w:color w:val="auto"/>
                <w:sz w:val="18"/>
                <w:szCs w:val="18"/>
                <w:highlight w:val="none"/>
              </w:rPr>
            </w:pPr>
            <w:r>
              <w:rPr>
                <w:rFonts w:hint="eastAsia" w:ascii="宋体" w:hAnsi="宋体"/>
                <w:color w:val="auto"/>
                <w:sz w:val="18"/>
                <w:szCs w:val="18"/>
                <w:highlight w:val="none"/>
              </w:rPr>
              <w:t>制表人：</w:t>
            </w:r>
          </w:p>
        </w:tc>
        <w:tc>
          <w:tcPr>
            <w:tcW w:w="4961" w:type="dxa"/>
            <w:gridSpan w:val="3"/>
          </w:tcPr>
          <w:p>
            <w:pPr>
              <w:jc w:val="left"/>
              <w:rPr>
                <w:rFonts w:ascii="宋体" w:hAnsi="宋体"/>
                <w:color w:val="auto"/>
                <w:sz w:val="18"/>
                <w:szCs w:val="18"/>
                <w:highlight w:val="none"/>
              </w:rPr>
            </w:pPr>
            <w:r>
              <w:rPr>
                <w:rFonts w:hint="eastAsia" w:ascii="宋体" w:hAnsi="宋体"/>
                <w:color w:val="auto"/>
                <w:sz w:val="18"/>
                <w:szCs w:val="18"/>
                <w:highlight w:val="none"/>
              </w:rPr>
              <w:t>制表日期：</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blHeader/>
        </w:trPr>
        <w:tc>
          <w:tcPr>
            <w:tcW w:w="4219" w:type="dxa"/>
            <w:gridSpan w:val="3"/>
          </w:tcPr>
          <w:p>
            <w:pPr>
              <w:jc w:val="left"/>
              <w:rPr>
                <w:rFonts w:ascii="宋体" w:hAnsi="宋体"/>
                <w:color w:val="auto"/>
                <w:sz w:val="18"/>
                <w:szCs w:val="18"/>
                <w:highlight w:val="none"/>
              </w:rPr>
            </w:pPr>
            <w:r>
              <w:rPr>
                <w:rFonts w:hint="eastAsia" w:ascii="宋体" w:hAnsi="宋体"/>
                <w:color w:val="auto"/>
                <w:sz w:val="18"/>
                <w:szCs w:val="18"/>
                <w:highlight w:val="none"/>
              </w:rPr>
              <w:t>单元过程名称：</w:t>
            </w:r>
          </w:p>
        </w:tc>
        <w:tc>
          <w:tcPr>
            <w:tcW w:w="4961" w:type="dxa"/>
            <w:gridSpan w:val="3"/>
          </w:tcPr>
          <w:p>
            <w:pPr>
              <w:jc w:val="left"/>
              <w:rPr>
                <w:rFonts w:ascii="宋体" w:hAnsi="宋体"/>
                <w:color w:val="auto"/>
                <w:sz w:val="18"/>
                <w:szCs w:val="18"/>
                <w:highlight w:val="none"/>
              </w:rPr>
            </w:pPr>
            <w:r>
              <w:rPr>
                <w:rFonts w:hint="eastAsia" w:ascii="宋体" w:hAnsi="宋体"/>
                <w:color w:val="auto"/>
                <w:sz w:val="18"/>
                <w:szCs w:val="18"/>
                <w:highlight w:val="none"/>
              </w:rPr>
              <w:t>报送地点：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blHeader/>
        </w:trPr>
        <w:tc>
          <w:tcPr>
            <w:tcW w:w="4219" w:type="dxa"/>
            <w:gridSpan w:val="3"/>
          </w:tcPr>
          <w:p>
            <w:pPr>
              <w:jc w:val="left"/>
              <w:rPr>
                <w:rFonts w:ascii="宋体" w:hAnsi="宋体"/>
                <w:color w:val="auto"/>
                <w:sz w:val="18"/>
                <w:szCs w:val="18"/>
                <w:highlight w:val="none"/>
              </w:rPr>
            </w:pPr>
            <w:r>
              <w:rPr>
                <w:rFonts w:hint="eastAsia" w:ascii="宋体" w:hAnsi="宋体"/>
                <w:color w:val="auto"/>
                <w:sz w:val="18"/>
                <w:szCs w:val="18"/>
                <w:highlight w:val="none"/>
              </w:rPr>
              <w:t>时段：</w:t>
            </w:r>
            <w:r>
              <w:rPr>
                <w:rFonts w:ascii="宋体" w:hAnsi="宋体"/>
                <w:color w:val="auto"/>
                <w:sz w:val="18"/>
                <w:szCs w:val="18"/>
                <w:highlight w:val="none"/>
              </w:rPr>
              <w:t xml:space="preserve">      </w:t>
            </w:r>
            <w:r>
              <w:rPr>
                <w:rFonts w:hint="eastAsia" w:ascii="宋体" w:hAnsi="宋体"/>
                <w:color w:val="auto"/>
                <w:sz w:val="18"/>
                <w:szCs w:val="18"/>
                <w:highlight w:val="none"/>
              </w:rPr>
              <w:t>年</w:t>
            </w:r>
          </w:p>
        </w:tc>
        <w:tc>
          <w:tcPr>
            <w:tcW w:w="2268" w:type="dxa"/>
          </w:tcPr>
          <w:p>
            <w:pPr>
              <w:jc w:val="left"/>
              <w:rPr>
                <w:rFonts w:ascii="宋体" w:hAnsi="宋体"/>
                <w:color w:val="auto"/>
                <w:sz w:val="18"/>
                <w:szCs w:val="18"/>
                <w:highlight w:val="none"/>
              </w:rPr>
            </w:pPr>
            <w:r>
              <w:rPr>
                <w:rFonts w:hint="eastAsia" w:ascii="宋体" w:hAnsi="宋体"/>
                <w:color w:val="auto"/>
                <w:sz w:val="18"/>
                <w:szCs w:val="18"/>
                <w:highlight w:val="none"/>
              </w:rPr>
              <w:t>起始月：</w:t>
            </w:r>
          </w:p>
        </w:tc>
        <w:tc>
          <w:tcPr>
            <w:tcW w:w="2693" w:type="dxa"/>
            <w:gridSpan w:val="2"/>
          </w:tcPr>
          <w:p>
            <w:pPr>
              <w:jc w:val="left"/>
              <w:rPr>
                <w:rFonts w:ascii="宋体" w:hAnsi="宋体"/>
                <w:color w:val="auto"/>
                <w:sz w:val="18"/>
                <w:szCs w:val="18"/>
                <w:highlight w:val="none"/>
              </w:rPr>
            </w:pPr>
            <w:r>
              <w:rPr>
                <w:rFonts w:hint="eastAsia" w:ascii="宋体" w:hAnsi="宋体"/>
                <w:color w:val="auto"/>
                <w:sz w:val="18"/>
                <w:szCs w:val="18"/>
                <w:highlight w:val="none"/>
              </w:rPr>
              <w:t>终止月：</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70" w:hRule="atLeast"/>
          <w:tblHeader/>
        </w:trPr>
        <w:tc>
          <w:tcPr>
            <w:tcW w:w="9180" w:type="dxa"/>
            <w:gridSpan w:val="6"/>
          </w:tcPr>
          <w:p>
            <w:pPr>
              <w:jc w:val="left"/>
              <w:rPr>
                <w:rFonts w:ascii="宋体" w:hAnsi="宋体"/>
                <w:color w:val="auto"/>
                <w:sz w:val="18"/>
                <w:szCs w:val="18"/>
                <w:highlight w:val="none"/>
              </w:rPr>
            </w:pPr>
            <w:r>
              <w:rPr>
                <w:rFonts w:hint="eastAsia" w:ascii="宋体" w:hAnsi="宋体"/>
                <w:color w:val="auto"/>
                <w:sz w:val="18"/>
                <w:szCs w:val="18"/>
                <w:highlight w:val="none"/>
              </w:rPr>
              <w:t>单元过程表述（如需要可加附页）：</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center"/>
              <w:rPr>
                <w:rFonts w:ascii="宋体" w:hAnsi="宋体"/>
                <w:color w:val="auto"/>
                <w:sz w:val="18"/>
                <w:szCs w:val="18"/>
                <w:highlight w:val="none"/>
              </w:rPr>
            </w:pPr>
            <w:r>
              <w:rPr>
                <w:rFonts w:hint="eastAsia" w:ascii="宋体" w:hAnsi="宋体"/>
                <w:color w:val="auto"/>
                <w:sz w:val="18"/>
                <w:szCs w:val="18"/>
                <w:highlight w:val="none"/>
              </w:rPr>
              <w:t>材料输入</w:t>
            </w:r>
          </w:p>
        </w:tc>
        <w:tc>
          <w:tcPr>
            <w:tcW w:w="1134" w:type="dxa"/>
          </w:tcPr>
          <w:p>
            <w:pPr>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1134" w:type="dxa"/>
          </w:tcPr>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2598" w:type="dxa"/>
            <w:gridSpan w:val="2"/>
          </w:tcPr>
          <w:p>
            <w:pPr>
              <w:jc w:val="center"/>
              <w:rPr>
                <w:rFonts w:ascii="宋体" w:hAnsi="宋体"/>
                <w:color w:val="auto"/>
                <w:sz w:val="18"/>
                <w:szCs w:val="18"/>
                <w:highlight w:val="none"/>
              </w:rPr>
            </w:pPr>
            <w:r>
              <w:rPr>
                <w:rFonts w:hint="eastAsia" w:ascii="宋体" w:hAnsi="宋体"/>
                <w:color w:val="auto"/>
                <w:sz w:val="18"/>
                <w:szCs w:val="18"/>
                <w:highlight w:val="none"/>
              </w:rPr>
              <w:t>取样程序描述</w:t>
            </w:r>
          </w:p>
        </w:tc>
        <w:tc>
          <w:tcPr>
            <w:tcW w:w="2363" w:type="dxa"/>
          </w:tcPr>
          <w:p>
            <w:pPr>
              <w:jc w:val="center"/>
              <w:rPr>
                <w:rFonts w:ascii="宋体" w:hAnsi="宋体"/>
                <w:color w:val="auto"/>
                <w:sz w:val="18"/>
                <w:szCs w:val="18"/>
                <w:highlight w:val="none"/>
              </w:rPr>
            </w:pPr>
            <w:r>
              <w:rPr>
                <w:rFonts w:hint="eastAsia" w:ascii="宋体" w:hAnsi="宋体"/>
                <w:color w:val="auto"/>
                <w:sz w:val="18"/>
                <w:szCs w:val="18"/>
                <w:highlight w:val="none"/>
              </w:rPr>
              <w:t>来源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2598" w:type="dxa"/>
            <w:gridSpan w:val="2"/>
          </w:tcPr>
          <w:p>
            <w:pPr>
              <w:jc w:val="left"/>
              <w:rPr>
                <w:rFonts w:ascii="宋体" w:hAnsi="宋体"/>
                <w:color w:val="auto"/>
                <w:sz w:val="18"/>
                <w:szCs w:val="18"/>
                <w:highlight w:val="none"/>
              </w:rPr>
            </w:pPr>
          </w:p>
        </w:tc>
        <w:tc>
          <w:tcPr>
            <w:tcW w:w="2363" w:type="dxa"/>
          </w:tcPr>
          <w:p>
            <w:pPr>
              <w:jc w:val="left"/>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2598" w:type="dxa"/>
            <w:gridSpan w:val="2"/>
          </w:tcPr>
          <w:p>
            <w:pPr>
              <w:jc w:val="left"/>
              <w:rPr>
                <w:rFonts w:ascii="宋体" w:hAnsi="宋体"/>
                <w:color w:val="auto"/>
                <w:sz w:val="18"/>
                <w:szCs w:val="18"/>
                <w:highlight w:val="none"/>
              </w:rPr>
            </w:pPr>
          </w:p>
        </w:tc>
        <w:tc>
          <w:tcPr>
            <w:tcW w:w="2363" w:type="dxa"/>
          </w:tcPr>
          <w:p>
            <w:pPr>
              <w:jc w:val="left"/>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spacing w:line="264"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新水消耗</w:t>
            </w:r>
            <w:r>
              <w:rPr>
                <w:rFonts w:ascii="宋体" w:hAnsi="宋体" w:cs="Calibri"/>
                <w:color w:val="auto"/>
                <w:position w:val="10"/>
                <w:sz w:val="18"/>
                <w:szCs w:val="18"/>
                <w:highlight w:val="none"/>
              </w:rPr>
              <w:t>a</w:t>
            </w:r>
          </w:p>
        </w:tc>
        <w:tc>
          <w:tcPr>
            <w:tcW w:w="1134" w:type="dxa"/>
          </w:tcPr>
          <w:p>
            <w:pPr>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1134" w:type="dxa"/>
          </w:tcPr>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2598" w:type="dxa"/>
            <w:gridSpan w:val="2"/>
          </w:tcPr>
          <w:p>
            <w:pPr>
              <w:jc w:val="center"/>
              <w:rPr>
                <w:rFonts w:ascii="宋体" w:hAnsi="宋体"/>
                <w:color w:val="auto"/>
                <w:sz w:val="18"/>
                <w:szCs w:val="18"/>
                <w:highlight w:val="none"/>
              </w:rPr>
            </w:pPr>
            <w:r>
              <w:rPr>
                <w:rFonts w:hint="eastAsia" w:ascii="宋体" w:hAnsi="宋体"/>
                <w:color w:val="auto"/>
                <w:sz w:val="18"/>
                <w:szCs w:val="18"/>
                <w:highlight w:val="none"/>
              </w:rPr>
              <w:t>取样程序描述</w:t>
            </w:r>
          </w:p>
        </w:tc>
        <w:tc>
          <w:tcPr>
            <w:tcW w:w="2363" w:type="dxa"/>
          </w:tcPr>
          <w:p>
            <w:pPr>
              <w:jc w:val="center"/>
              <w:rPr>
                <w:rFonts w:ascii="宋体" w:hAnsi="宋体"/>
                <w:color w:val="auto"/>
                <w:sz w:val="18"/>
                <w:szCs w:val="18"/>
                <w:highlight w:val="none"/>
              </w:rPr>
            </w:pPr>
            <w:r>
              <w:rPr>
                <w:rFonts w:hint="eastAsia" w:ascii="宋体" w:hAnsi="宋体"/>
                <w:color w:val="auto"/>
                <w:sz w:val="18"/>
                <w:szCs w:val="18"/>
                <w:highlight w:val="none"/>
              </w:rPr>
              <w:t>来源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2598" w:type="dxa"/>
            <w:gridSpan w:val="2"/>
          </w:tcPr>
          <w:p>
            <w:pPr>
              <w:jc w:val="left"/>
              <w:rPr>
                <w:rFonts w:ascii="宋体" w:hAnsi="宋体"/>
                <w:color w:val="auto"/>
                <w:sz w:val="18"/>
                <w:szCs w:val="18"/>
                <w:highlight w:val="none"/>
              </w:rPr>
            </w:pPr>
          </w:p>
        </w:tc>
        <w:tc>
          <w:tcPr>
            <w:tcW w:w="2363" w:type="dxa"/>
          </w:tcPr>
          <w:p>
            <w:pPr>
              <w:jc w:val="left"/>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2598" w:type="dxa"/>
            <w:gridSpan w:val="2"/>
          </w:tcPr>
          <w:p>
            <w:pPr>
              <w:jc w:val="left"/>
              <w:rPr>
                <w:rFonts w:ascii="宋体" w:hAnsi="宋体"/>
                <w:color w:val="auto"/>
                <w:sz w:val="18"/>
                <w:szCs w:val="18"/>
                <w:highlight w:val="none"/>
              </w:rPr>
            </w:pPr>
          </w:p>
        </w:tc>
        <w:tc>
          <w:tcPr>
            <w:tcW w:w="2363" w:type="dxa"/>
          </w:tcPr>
          <w:p>
            <w:pPr>
              <w:jc w:val="left"/>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spacing w:line="264"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能量输入</w:t>
            </w:r>
            <w:r>
              <w:rPr>
                <w:rFonts w:ascii="宋体" w:hAnsi="宋体" w:cs="Calibri"/>
                <w:color w:val="auto"/>
                <w:position w:val="10"/>
                <w:sz w:val="18"/>
                <w:szCs w:val="18"/>
                <w:highlight w:val="none"/>
              </w:rPr>
              <w:t>b</w:t>
            </w:r>
          </w:p>
        </w:tc>
        <w:tc>
          <w:tcPr>
            <w:tcW w:w="1134" w:type="dxa"/>
          </w:tcPr>
          <w:p>
            <w:pPr>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1134" w:type="dxa"/>
          </w:tcPr>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2598" w:type="dxa"/>
            <w:gridSpan w:val="2"/>
          </w:tcPr>
          <w:p>
            <w:pPr>
              <w:jc w:val="center"/>
              <w:rPr>
                <w:rFonts w:ascii="宋体" w:hAnsi="宋体"/>
                <w:color w:val="auto"/>
                <w:sz w:val="18"/>
                <w:szCs w:val="18"/>
                <w:highlight w:val="none"/>
              </w:rPr>
            </w:pPr>
            <w:r>
              <w:rPr>
                <w:rFonts w:hint="eastAsia" w:ascii="宋体" w:hAnsi="宋体"/>
                <w:color w:val="auto"/>
                <w:sz w:val="18"/>
                <w:szCs w:val="18"/>
                <w:highlight w:val="none"/>
              </w:rPr>
              <w:t>取样程序描述</w:t>
            </w:r>
          </w:p>
        </w:tc>
        <w:tc>
          <w:tcPr>
            <w:tcW w:w="2363" w:type="dxa"/>
          </w:tcPr>
          <w:p>
            <w:pPr>
              <w:jc w:val="center"/>
              <w:rPr>
                <w:rFonts w:ascii="宋体" w:hAnsi="宋体"/>
                <w:color w:val="auto"/>
                <w:sz w:val="18"/>
                <w:szCs w:val="18"/>
                <w:highlight w:val="none"/>
              </w:rPr>
            </w:pPr>
            <w:r>
              <w:rPr>
                <w:rFonts w:hint="eastAsia" w:ascii="宋体" w:hAnsi="宋体"/>
                <w:color w:val="auto"/>
                <w:sz w:val="18"/>
                <w:szCs w:val="18"/>
                <w:highlight w:val="none"/>
              </w:rPr>
              <w:t>来源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2598" w:type="dxa"/>
            <w:gridSpan w:val="2"/>
          </w:tcPr>
          <w:p>
            <w:pPr>
              <w:jc w:val="left"/>
              <w:rPr>
                <w:rFonts w:ascii="宋体" w:hAnsi="宋体"/>
                <w:color w:val="auto"/>
                <w:sz w:val="18"/>
                <w:szCs w:val="18"/>
                <w:highlight w:val="none"/>
              </w:rPr>
            </w:pPr>
          </w:p>
        </w:tc>
        <w:tc>
          <w:tcPr>
            <w:tcW w:w="2363" w:type="dxa"/>
          </w:tcPr>
          <w:p>
            <w:pPr>
              <w:jc w:val="left"/>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1134" w:type="dxa"/>
          </w:tcPr>
          <w:p>
            <w:pPr>
              <w:jc w:val="left"/>
              <w:rPr>
                <w:rFonts w:ascii="宋体" w:hAnsi="宋体"/>
                <w:color w:val="auto"/>
                <w:sz w:val="18"/>
                <w:szCs w:val="18"/>
                <w:highlight w:val="none"/>
              </w:rPr>
            </w:pPr>
          </w:p>
        </w:tc>
        <w:tc>
          <w:tcPr>
            <w:tcW w:w="2598" w:type="dxa"/>
            <w:gridSpan w:val="2"/>
          </w:tcPr>
          <w:p>
            <w:pPr>
              <w:jc w:val="left"/>
              <w:rPr>
                <w:rFonts w:ascii="宋体" w:hAnsi="宋体"/>
                <w:color w:val="auto"/>
                <w:sz w:val="18"/>
                <w:szCs w:val="18"/>
                <w:highlight w:val="none"/>
              </w:rPr>
            </w:pPr>
          </w:p>
        </w:tc>
        <w:tc>
          <w:tcPr>
            <w:tcW w:w="2363" w:type="dxa"/>
          </w:tcPr>
          <w:p>
            <w:pPr>
              <w:jc w:val="left"/>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材料输出</w:t>
            </w:r>
            <w:r>
              <w:rPr>
                <w:rFonts w:ascii="宋体" w:hAnsi="宋体"/>
                <w:color w:val="auto"/>
                <w:sz w:val="18"/>
                <w:szCs w:val="18"/>
                <w:highlight w:val="none"/>
              </w:rPr>
              <w:br w:type="textWrapping"/>
            </w:r>
            <w:r>
              <w:rPr>
                <w:rFonts w:hint="eastAsia" w:ascii="宋体" w:hAnsi="宋体"/>
                <w:color w:val="auto"/>
                <w:sz w:val="18"/>
                <w:szCs w:val="18"/>
                <w:highlight w:val="none"/>
              </w:rPr>
              <w:t>（包括产品）</w:t>
            </w:r>
          </w:p>
        </w:tc>
        <w:tc>
          <w:tcPr>
            <w:tcW w:w="1134"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1134"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数量</w:t>
            </w:r>
          </w:p>
        </w:tc>
        <w:tc>
          <w:tcPr>
            <w:tcW w:w="2598" w:type="dxa"/>
            <w:gridSpan w:val="2"/>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取样程序描述</w:t>
            </w:r>
          </w:p>
        </w:tc>
        <w:tc>
          <w:tcPr>
            <w:tcW w:w="2363" w:type="dxa"/>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目的地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jc w:val="center"/>
              <w:rPr>
                <w:rFonts w:ascii="宋体" w:hAnsi="宋体"/>
                <w:color w:val="auto"/>
                <w:sz w:val="18"/>
                <w:szCs w:val="18"/>
                <w:highlight w:val="none"/>
              </w:rPr>
            </w:pPr>
          </w:p>
        </w:tc>
        <w:tc>
          <w:tcPr>
            <w:tcW w:w="1134" w:type="dxa"/>
            <w:vAlign w:val="center"/>
          </w:tcPr>
          <w:p>
            <w:pPr>
              <w:jc w:val="center"/>
              <w:rPr>
                <w:rFonts w:ascii="宋体" w:hAnsi="宋体"/>
                <w:color w:val="auto"/>
                <w:sz w:val="18"/>
                <w:szCs w:val="18"/>
                <w:highlight w:val="none"/>
              </w:rPr>
            </w:pPr>
          </w:p>
        </w:tc>
        <w:tc>
          <w:tcPr>
            <w:tcW w:w="1134" w:type="dxa"/>
            <w:vAlign w:val="center"/>
          </w:tcPr>
          <w:p>
            <w:pPr>
              <w:jc w:val="center"/>
              <w:rPr>
                <w:rFonts w:ascii="宋体" w:hAnsi="宋体"/>
                <w:color w:val="auto"/>
                <w:sz w:val="18"/>
                <w:szCs w:val="18"/>
                <w:highlight w:val="none"/>
              </w:rPr>
            </w:pPr>
          </w:p>
        </w:tc>
        <w:tc>
          <w:tcPr>
            <w:tcW w:w="2598" w:type="dxa"/>
            <w:gridSpan w:val="2"/>
            <w:vAlign w:val="center"/>
          </w:tcPr>
          <w:p>
            <w:pPr>
              <w:jc w:val="center"/>
              <w:rPr>
                <w:rFonts w:ascii="宋体" w:hAnsi="宋体"/>
                <w:color w:val="auto"/>
                <w:sz w:val="18"/>
                <w:szCs w:val="18"/>
                <w:highlight w:val="none"/>
              </w:rPr>
            </w:pPr>
          </w:p>
        </w:tc>
        <w:tc>
          <w:tcPr>
            <w:tcW w:w="2363" w:type="dxa"/>
            <w:vAlign w:val="center"/>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jc w:val="center"/>
              <w:rPr>
                <w:rFonts w:ascii="宋体" w:hAnsi="宋体"/>
                <w:color w:val="auto"/>
                <w:sz w:val="18"/>
                <w:szCs w:val="18"/>
                <w:highlight w:val="none"/>
              </w:rPr>
            </w:pPr>
          </w:p>
        </w:tc>
        <w:tc>
          <w:tcPr>
            <w:tcW w:w="1134" w:type="dxa"/>
            <w:vAlign w:val="center"/>
          </w:tcPr>
          <w:p>
            <w:pPr>
              <w:jc w:val="center"/>
              <w:rPr>
                <w:rFonts w:ascii="宋体" w:hAnsi="宋体"/>
                <w:color w:val="auto"/>
                <w:sz w:val="18"/>
                <w:szCs w:val="18"/>
                <w:highlight w:val="none"/>
              </w:rPr>
            </w:pPr>
          </w:p>
        </w:tc>
        <w:tc>
          <w:tcPr>
            <w:tcW w:w="1134" w:type="dxa"/>
            <w:vAlign w:val="center"/>
          </w:tcPr>
          <w:p>
            <w:pPr>
              <w:jc w:val="center"/>
              <w:rPr>
                <w:rFonts w:ascii="宋体" w:hAnsi="宋体"/>
                <w:color w:val="auto"/>
                <w:sz w:val="18"/>
                <w:szCs w:val="18"/>
                <w:highlight w:val="none"/>
              </w:rPr>
            </w:pPr>
          </w:p>
        </w:tc>
        <w:tc>
          <w:tcPr>
            <w:tcW w:w="2598" w:type="dxa"/>
            <w:gridSpan w:val="2"/>
            <w:vAlign w:val="center"/>
          </w:tcPr>
          <w:p>
            <w:pPr>
              <w:jc w:val="center"/>
              <w:rPr>
                <w:rFonts w:ascii="宋体" w:hAnsi="宋体"/>
                <w:color w:val="auto"/>
                <w:sz w:val="18"/>
                <w:szCs w:val="18"/>
                <w:highlight w:val="none"/>
              </w:rPr>
            </w:pPr>
          </w:p>
        </w:tc>
        <w:tc>
          <w:tcPr>
            <w:tcW w:w="2363" w:type="dxa"/>
            <w:vAlign w:val="center"/>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spacing w:line="264" w:lineRule="exact"/>
              <w:jc w:val="center"/>
              <w:rPr>
                <w:rFonts w:ascii="宋体" w:hAnsi="宋体" w:cs="Calibri"/>
                <w:color w:val="auto"/>
                <w:position w:val="10"/>
                <w:sz w:val="18"/>
                <w:szCs w:val="18"/>
                <w:highlight w:val="none"/>
              </w:rPr>
            </w:pPr>
            <w:r>
              <w:rPr>
                <w:rFonts w:ascii="宋体" w:hAnsi="宋体" w:cs="宋体"/>
                <w:color w:val="auto"/>
                <w:sz w:val="18"/>
                <w:szCs w:val="18"/>
                <w:highlight w:val="none"/>
              </w:rPr>
              <w:t>向</w:t>
            </w:r>
            <w:r>
              <w:rPr>
                <w:rFonts w:hint="eastAsia" w:ascii="宋体" w:hAnsi="宋体" w:cs="宋体"/>
                <w:color w:val="auto"/>
                <w:sz w:val="18"/>
                <w:szCs w:val="18"/>
                <w:highlight w:val="none"/>
              </w:rPr>
              <w:t>大</w:t>
            </w:r>
            <w:r>
              <w:rPr>
                <w:rFonts w:ascii="宋体" w:hAnsi="宋体" w:cs="宋体"/>
                <w:color w:val="auto"/>
                <w:sz w:val="18"/>
                <w:szCs w:val="18"/>
                <w:highlight w:val="none"/>
              </w:rPr>
              <w:t>气排</w:t>
            </w:r>
            <w:r>
              <w:rPr>
                <w:rFonts w:ascii="宋体" w:hAnsi="宋体" w:cs="宋体"/>
                <w:color w:val="auto"/>
                <w:spacing w:val="27"/>
                <w:sz w:val="18"/>
                <w:szCs w:val="18"/>
                <w:highlight w:val="none"/>
              </w:rPr>
              <w:t>放</w:t>
            </w:r>
            <w:r>
              <w:rPr>
                <w:rFonts w:ascii="宋体" w:hAnsi="宋体" w:cs="Calibri"/>
                <w:color w:val="auto"/>
                <w:position w:val="10"/>
                <w:sz w:val="18"/>
                <w:szCs w:val="18"/>
                <w:highlight w:val="none"/>
              </w:rPr>
              <w:t>c</w:t>
            </w:r>
          </w:p>
        </w:tc>
        <w:tc>
          <w:tcPr>
            <w:tcW w:w="1134" w:type="dxa"/>
          </w:tcPr>
          <w:p>
            <w:pPr>
              <w:autoSpaceDE w:val="0"/>
              <w:autoSpaceDN w:val="0"/>
              <w:snapToGrid w:val="0"/>
              <w:spacing w:line="263" w:lineRule="exact"/>
              <w:ind w:left="350"/>
              <w:jc w:val="left"/>
              <w:rPr>
                <w:rFonts w:ascii="宋体" w:hAnsi="宋体" w:cs="宋体"/>
                <w:color w:val="auto"/>
                <w:sz w:val="18"/>
                <w:szCs w:val="18"/>
                <w:highlight w:val="none"/>
              </w:rPr>
            </w:pPr>
            <w:r>
              <w:rPr>
                <w:rFonts w:ascii="宋体" w:hAnsi="宋体" w:cs="宋体"/>
                <w:color w:val="auto"/>
                <w:sz w:val="18"/>
                <w:szCs w:val="18"/>
                <w:highlight w:val="none"/>
              </w:rPr>
              <w:t>单位</w:t>
            </w:r>
          </w:p>
        </w:tc>
        <w:tc>
          <w:tcPr>
            <w:tcW w:w="1134" w:type="dxa"/>
          </w:tcPr>
          <w:p>
            <w:pPr>
              <w:autoSpaceDE w:val="0"/>
              <w:autoSpaceDN w:val="0"/>
              <w:snapToGrid w:val="0"/>
              <w:spacing w:line="263" w:lineRule="exact"/>
              <w:jc w:val="center"/>
              <w:rPr>
                <w:rFonts w:ascii="宋体" w:hAnsi="宋体" w:cs="宋体"/>
                <w:color w:val="auto"/>
                <w:sz w:val="18"/>
                <w:szCs w:val="18"/>
                <w:highlight w:val="none"/>
              </w:rPr>
            </w:pPr>
            <w:r>
              <w:rPr>
                <w:rFonts w:ascii="宋体" w:hAnsi="宋体" w:cs="宋体"/>
                <w:color w:val="auto"/>
                <w:sz w:val="18"/>
                <w:szCs w:val="18"/>
                <w:highlight w:val="none"/>
              </w:rPr>
              <w:t>数量</w:t>
            </w:r>
          </w:p>
        </w:tc>
        <w:tc>
          <w:tcPr>
            <w:tcW w:w="2598" w:type="dxa"/>
            <w:gridSpan w:val="2"/>
          </w:tcPr>
          <w:p>
            <w:pPr>
              <w:autoSpaceDE w:val="0"/>
              <w:autoSpaceDN w:val="0"/>
              <w:snapToGrid w:val="0"/>
              <w:spacing w:line="263" w:lineRule="exact"/>
              <w:jc w:val="center"/>
              <w:rPr>
                <w:rFonts w:ascii="宋体" w:hAnsi="宋体" w:cs="宋体"/>
                <w:color w:val="auto"/>
                <w:sz w:val="18"/>
                <w:szCs w:val="18"/>
                <w:highlight w:val="none"/>
              </w:rPr>
            </w:pPr>
            <w:r>
              <w:rPr>
                <w:rFonts w:ascii="宋体" w:hAnsi="宋体" w:cs="宋体"/>
                <w:color w:val="auto"/>
                <w:sz w:val="18"/>
                <w:szCs w:val="18"/>
                <w:highlight w:val="none"/>
              </w:rPr>
              <w:t>取样程序描述</w:t>
            </w:r>
          </w:p>
        </w:tc>
        <w:tc>
          <w:tcPr>
            <w:tcW w:w="2363" w:type="dxa"/>
            <w:vAlign w:val="center"/>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2598" w:type="dxa"/>
            <w:gridSpan w:val="2"/>
          </w:tcPr>
          <w:p>
            <w:pPr>
              <w:autoSpaceDE w:val="0"/>
              <w:autoSpaceDN w:val="0"/>
              <w:snapToGrid w:val="0"/>
              <w:ind w:firstLine="420"/>
              <w:jc w:val="left"/>
              <w:rPr>
                <w:rFonts w:ascii="宋体" w:hAnsi="宋体" w:cs="宋体"/>
                <w:color w:val="auto"/>
                <w:sz w:val="18"/>
                <w:szCs w:val="18"/>
                <w:highlight w:val="none"/>
              </w:rPr>
            </w:pP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2598" w:type="dxa"/>
            <w:gridSpan w:val="2"/>
          </w:tcPr>
          <w:p>
            <w:pPr>
              <w:autoSpaceDE w:val="0"/>
              <w:autoSpaceDN w:val="0"/>
              <w:snapToGrid w:val="0"/>
              <w:ind w:firstLine="420"/>
              <w:jc w:val="left"/>
              <w:rPr>
                <w:rFonts w:ascii="宋体" w:hAnsi="宋体" w:cs="宋体"/>
                <w:color w:val="auto"/>
                <w:sz w:val="18"/>
                <w:szCs w:val="18"/>
                <w:highlight w:val="none"/>
              </w:rPr>
            </w:pP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spacing w:line="264" w:lineRule="exact"/>
              <w:jc w:val="center"/>
              <w:rPr>
                <w:rFonts w:ascii="宋体" w:hAnsi="宋体" w:cs="Calibri"/>
                <w:color w:val="auto"/>
                <w:position w:val="10"/>
                <w:sz w:val="18"/>
                <w:szCs w:val="18"/>
                <w:highlight w:val="none"/>
              </w:rPr>
            </w:pPr>
            <w:r>
              <w:rPr>
                <w:rFonts w:ascii="宋体" w:hAnsi="宋体" w:cs="宋体"/>
                <w:color w:val="auto"/>
                <w:sz w:val="18"/>
                <w:szCs w:val="18"/>
                <w:highlight w:val="none"/>
              </w:rPr>
              <w:t>向水体排</w:t>
            </w:r>
            <w:r>
              <w:rPr>
                <w:rFonts w:ascii="宋体" w:hAnsi="宋体" w:cs="宋体"/>
                <w:color w:val="auto"/>
                <w:spacing w:val="27"/>
                <w:sz w:val="18"/>
                <w:szCs w:val="18"/>
                <w:highlight w:val="none"/>
              </w:rPr>
              <w:t>放</w:t>
            </w:r>
            <w:r>
              <w:rPr>
                <w:rFonts w:ascii="宋体" w:hAnsi="宋体" w:cs="Calibri"/>
                <w:color w:val="auto"/>
                <w:position w:val="10"/>
                <w:sz w:val="18"/>
                <w:szCs w:val="18"/>
                <w:highlight w:val="none"/>
              </w:rPr>
              <w:t>d</w:t>
            </w:r>
          </w:p>
        </w:tc>
        <w:tc>
          <w:tcPr>
            <w:tcW w:w="1134" w:type="dxa"/>
          </w:tcPr>
          <w:p>
            <w:pPr>
              <w:autoSpaceDE w:val="0"/>
              <w:autoSpaceDN w:val="0"/>
              <w:snapToGrid w:val="0"/>
              <w:spacing w:line="263" w:lineRule="exact"/>
              <w:ind w:left="350"/>
              <w:jc w:val="left"/>
              <w:rPr>
                <w:rFonts w:ascii="宋体" w:hAnsi="宋体" w:cs="宋体"/>
                <w:color w:val="auto"/>
                <w:sz w:val="18"/>
                <w:szCs w:val="18"/>
                <w:highlight w:val="none"/>
              </w:rPr>
            </w:pPr>
            <w:r>
              <w:rPr>
                <w:rFonts w:ascii="宋体" w:hAnsi="宋体" w:cs="宋体"/>
                <w:color w:val="auto"/>
                <w:sz w:val="18"/>
                <w:szCs w:val="18"/>
                <w:highlight w:val="none"/>
              </w:rPr>
              <w:t>单位</w:t>
            </w:r>
          </w:p>
        </w:tc>
        <w:tc>
          <w:tcPr>
            <w:tcW w:w="1134" w:type="dxa"/>
          </w:tcPr>
          <w:p>
            <w:pPr>
              <w:autoSpaceDE w:val="0"/>
              <w:autoSpaceDN w:val="0"/>
              <w:snapToGrid w:val="0"/>
              <w:spacing w:line="263" w:lineRule="exact"/>
              <w:ind w:left="350"/>
              <w:jc w:val="left"/>
              <w:rPr>
                <w:rFonts w:ascii="宋体" w:hAnsi="宋体" w:cs="宋体"/>
                <w:color w:val="auto"/>
                <w:sz w:val="18"/>
                <w:szCs w:val="18"/>
                <w:highlight w:val="none"/>
              </w:rPr>
            </w:pPr>
            <w:r>
              <w:rPr>
                <w:rFonts w:ascii="宋体" w:hAnsi="宋体" w:cs="宋体"/>
                <w:color w:val="auto"/>
                <w:sz w:val="18"/>
                <w:szCs w:val="18"/>
                <w:highlight w:val="none"/>
              </w:rPr>
              <w:t>数量</w:t>
            </w:r>
          </w:p>
        </w:tc>
        <w:tc>
          <w:tcPr>
            <w:tcW w:w="2598" w:type="dxa"/>
            <w:gridSpan w:val="2"/>
          </w:tcPr>
          <w:p>
            <w:pPr>
              <w:autoSpaceDE w:val="0"/>
              <w:autoSpaceDN w:val="0"/>
              <w:snapToGrid w:val="0"/>
              <w:spacing w:line="263" w:lineRule="exact"/>
              <w:jc w:val="center"/>
              <w:rPr>
                <w:rFonts w:ascii="宋体" w:hAnsi="宋体" w:cs="宋体"/>
                <w:color w:val="auto"/>
                <w:sz w:val="18"/>
                <w:szCs w:val="18"/>
                <w:highlight w:val="none"/>
              </w:rPr>
            </w:pPr>
            <w:r>
              <w:rPr>
                <w:rFonts w:ascii="宋体" w:hAnsi="宋体" w:cs="宋体"/>
                <w:color w:val="auto"/>
                <w:sz w:val="18"/>
                <w:szCs w:val="18"/>
                <w:highlight w:val="none"/>
              </w:rPr>
              <w:t>取样程序描述</w:t>
            </w: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2598" w:type="dxa"/>
            <w:gridSpan w:val="2"/>
          </w:tcPr>
          <w:p>
            <w:pPr>
              <w:autoSpaceDE w:val="0"/>
              <w:autoSpaceDN w:val="0"/>
              <w:snapToGrid w:val="0"/>
              <w:ind w:firstLine="420"/>
              <w:jc w:val="left"/>
              <w:rPr>
                <w:rFonts w:ascii="宋体" w:hAnsi="宋体" w:cs="宋体"/>
                <w:color w:val="auto"/>
                <w:sz w:val="18"/>
                <w:szCs w:val="18"/>
                <w:highlight w:val="none"/>
              </w:rPr>
            </w:pP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2598" w:type="dxa"/>
            <w:gridSpan w:val="2"/>
          </w:tcPr>
          <w:p>
            <w:pPr>
              <w:autoSpaceDE w:val="0"/>
              <w:autoSpaceDN w:val="0"/>
              <w:snapToGrid w:val="0"/>
              <w:ind w:firstLine="420"/>
              <w:jc w:val="left"/>
              <w:rPr>
                <w:rFonts w:ascii="宋体" w:hAnsi="宋体" w:cs="宋体"/>
                <w:color w:val="auto"/>
                <w:sz w:val="18"/>
                <w:szCs w:val="18"/>
                <w:highlight w:val="none"/>
              </w:rPr>
            </w:pP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spacing w:line="264" w:lineRule="exact"/>
              <w:jc w:val="center"/>
              <w:rPr>
                <w:rFonts w:ascii="宋体" w:hAnsi="宋体" w:cs="Calibri"/>
                <w:color w:val="auto"/>
                <w:position w:val="10"/>
                <w:sz w:val="18"/>
                <w:szCs w:val="18"/>
                <w:highlight w:val="none"/>
              </w:rPr>
            </w:pPr>
            <w:r>
              <w:rPr>
                <w:rFonts w:ascii="宋体" w:hAnsi="宋体" w:cs="宋体"/>
                <w:color w:val="auto"/>
                <w:sz w:val="18"/>
                <w:szCs w:val="18"/>
                <w:highlight w:val="none"/>
              </w:rPr>
              <w:t>向土壤排</w:t>
            </w:r>
            <w:r>
              <w:rPr>
                <w:rFonts w:ascii="宋体" w:hAnsi="宋体" w:cs="宋体"/>
                <w:color w:val="auto"/>
                <w:spacing w:val="27"/>
                <w:sz w:val="18"/>
                <w:szCs w:val="18"/>
                <w:highlight w:val="none"/>
              </w:rPr>
              <w:t>放</w:t>
            </w:r>
            <w:r>
              <w:rPr>
                <w:rFonts w:ascii="宋体" w:hAnsi="宋体" w:cs="Calibri"/>
                <w:color w:val="auto"/>
                <w:position w:val="10"/>
                <w:sz w:val="18"/>
                <w:szCs w:val="18"/>
                <w:highlight w:val="none"/>
              </w:rPr>
              <w:t>e</w:t>
            </w:r>
          </w:p>
        </w:tc>
        <w:tc>
          <w:tcPr>
            <w:tcW w:w="1134" w:type="dxa"/>
          </w:tcPr>
          <w:p>
            <w:pPr>
              <w:autoSpaceDE w:val="0"/>
              <w:autoSpaceDN w:val="0"/>
              <w:snapToGrid w:val="0"/>
              <w:spacing w:line="263" w:lineRule="exact"/>
              <w:ind w:left="350"/>
              <w:jc w:val="left"/>
              <w:rPr>
                <w:rFonts w:ascii="宋体" w:hAnsi="宋体" w:cs="宋体"/>
                <w:color w:val="auto"/>
                <w:sz w:val="18"/>
                <w:szCs w:val="18"/>
                <w:highlight w:val="none"/>
              </w:rPr>
            </w:pPr>
            <w:r>
              <w:rPr>
                <w:rFonts w:ascii="宋体" w:hAnsi="宋体" w:cs="宋体"/>
                <w:color w:val="auto"/>
                <w:sz w:val="18"/>
                <w:szCs w:val="18"/>
                <w:highlight w:val="none"/>
              </w:rPr>
              <w:t>单位</w:t>
            </w:r>
          </w:p>
        </w:tc>
        <w:tc>
          <w:tcPr>
            <w:tcW w:w="1134" w:type="dxa"/>
          </w:tcPr>
          <w:p>
            <w:pPr>
              <w:autoSpaceDE w:val="0"/>
              <w:autoSpaceDN w:val="0"/>
              <w:snapToGrid w:val="0"/>
              <w:spacing w:line="263" w:lineRule="exact"/>
              <w:ind w:left="350"/>
              <w:jc w:val="left"/>
              <w:rPr>
                <w:rFonts w:ascii="宋体" w:hAnsi="宋体" w:cs="宋体"/>
                <w:color w:val="auto"/>
                <w:sz w:val="18"/>
                <w:szCs w:val="18"/>
                <w:highlight w:val="none"/>
              </w:rPr>
            </w:pPr>
            <w:r>
              <w:rPr>
                <w:rFonts w:ascii="宋体" w:hAnsi="宋体" w:cs="宋体"/>
                <w:color w:val="auto"/>
                <w:sz w:val="18"/>
                <w:szCs w:val="18"/>
                <w:highlight w:val="none"/>
              </w:rPr>
              <w:t>数量</w:t>
            </w:r>
          </w:p>
        </w:tc>
        <w:tc>
          <w:tcPr>
            <w:tcW w:w="2598" w:type="dxa"/>
            <w:gridSpan w:val="2"/>
          </w:tcPr>
          <w:p>
            <w:pPr>
              <w:autoSpaceDE w:val="0"/>
              <w:autoSpaceDN w:val="0"/>
              <w:snapToGrid w:val="0"/>
              <w:spacing w:line="263" w:lineRule="exact"/>
              <w:jc w:val="center"/>
              <w:rPr>
                <w:rFonts w:ascii="宋体" w:hAnsi="宋体" w:cs="宋体"/>
                <w:color w:val="auto"/>
                <w:sz w:val="18"/>
                <w:szCs w:val="18"/>
                <w:highlight w:val="none"/>
              </w:rPr>
            </w:pPr>
            <w:r>
              <w:rPr>
                <w:rFonts w:ascii="宋体" w:hAnsi="宋体" w:cs="宋体"/>
                <w:color w:val="auto"/>
                <w:sz w:val="18"/>
                <w:szCs w:val="18"/>
                <w:highlight w:val="none"/>
              </w:rPr>
              <w:t>取样程序描述</w:t>
            </w: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2598" w:type="dxa"/>
            <w:gridSpan w:val="2"/>
          </w:tcPr>
          <w:p>
            <w:pPr>
              <w:autoSpaceDE w:val="0"/>
              <w:autoSpaceDN w:val="0"/>
              <w:snapToGrid w:val="0"/>
              <w:ind w:firstLine="420"/>
              <w:jc w:val="left"/>
              <w:rPr>
                <w:rFonts w:ascii="宋体" w:hAnsi="宋体" w:cs="宋体"/>
                <w:color w:val="auto"/>
                <w:sz w:val="18"/>
                <w:szCs w:val="18"/>
                <w:highlight w:val="none"/>
              </w:rPr>
            </w:pP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2598" w:type="dxa"/>
            <w:gridSpan w:val="2"/>
          </w:tcPr>
          <w:p>
            <w:pPr>
              <w:autoSpaceDE w:val="0"/>
              <w:autoSpaceDN w:val="0"/>
              <w:snapToGrid w:val="0"/>
              <w:ind w:firstLine="420"/>
              <w:jc w:val="left"/>
              <w:rPr>
                <w:rFonts w:ascii="宋体" w:hAnsi="宋体" w:cs="宋体"/>
                <w:color w:val="auto"/>
                <w:sz w:val="18"/>
                <w:szCs w:val="18"/>
                <w:highlight w:val="none"/>
              </w:rPr>
            </w:pP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spacing w:line="264" w:lineRule="exact"/>
              <w:jc w:val="center"/>
              <w:rPr>
                <w:rFonts w:ascii="宋体" w:hAnsi="宋体" w:cs="Calibri"/>
                <w:color w:val="auto"/>
                <w:position w:val="10"/>
                <w:sz w:val="18"/>
                <w:szCs w:val="18"/>
                <w:highlight w:val="none"/>
              </w:rPr>
            </w:pPr>
            <w:r>
              <w:rPr>
                <w:rFonts w:ascii="宋体" w:hAnsi="宋体" w:cs="宋体"/>
                <w:color w:val="auto"/>
                <w:sz w:val="18"/>
                <w:szCs w:val="18"/>
                <w:highlight w:val="none"/>
              </w:rPr>
              <w:t>其他排</w:t>
            </w:r>
            <w:r>
              <w:rPr>
                <w:rFonts w:ascii="宋体" w:hAnsi="宋体" w:cs="宋体"/>
                <w:color w:val="auto"/>
                <w:spacing w:val="27"/>
                <w:sz w:val="18"/>
                <w:szCs w:val="18"/>
                <w:highlight w:val="none"/>
              </w:rPr>
              <w:t>放</w:t>
            </w:r>
            <w:r>
              <w:rPr>
                <w:rFonts w:ascii="宋体" w:hAnsi="宋体" w:cs="Calibri"/>
                <w:color w:val="auto"/>
                <w:position w:val="10"/>
                <w:sz w:val="18"/>
                <w:szCs w:val="18"/>
                <w:highlight w:val="none"/>
              </w:rPr>
              <w:t>f</w:t>
            </w:r>
          </w:p>
        </w:tc>
        <w:tc>
          <w:tcPr>
            <w:tcW w:w="1134" w:type="dxa"/>
          </w:tcPr>
          <w:p>
            <w:pPr>
              <w:autoSpaceDE w:val="0"/>
              <w:autoSpaceDN w:val="0"/>
              <w:snapToGrid w:val="0"/>
              <w:spacing w:line="263" w:lineRule="exact"/>
              <w:ind w:left="350"/>
              <w:jc w:val="left"/>
              <w:rPr>
                <w:rFonts w:ascii="宋体" w:hAnsi="宋体" w:cs="宋体"/>
                <w:color w:val="auto"/>
                <w:sz w:val="18"/>
                <w:szCs w:val="18"/>
                <w:highlight w:val="none"/>
              </w:rPr>
            </w:pPr>
            <w:r>
              <w:rPr>
                <w:rFonts w:ascii="宋体" w:hAnsi="宋体" w:cs="宋体"/>
                <w:color w:val="auto"/>
                <w:sz w:val="18"/>
                <w:szCs w:val="18"/>
                <w:highlight w:val="none"/>
              </w:rPr>
              <w:t>单位</w:t>
            </w:r>
          </w:p>
        </w:tc>
        <w:tc>
          <w:tcPr>
            <w:tcW w:w="1134" w:type="dxa"/>
          </w:tcPr>
          <w:p>
            <w:pPr>
              <w:autoSpaceDE w:val="0"/>
              <w:autoSpaceDN w:val="0"/>
              <w:snapToGrid w:val="0"/>
              <w:spacing w:line="263" w:lineRule="exact"/>
              <w:ind w:left="350"/>
              <w:jc w:val="left"/>
              <w:rPr>
                <w:rFonts w:ascii="宋体" w:hAnsi="宋体" w:cs="宋体"/>
                <w:color w:val="auto"/>
                <w:sz w:val="18"/>
                <w:szCs w:val="18"/>
                <w:highlight w:val="none"/>
              </w:rPr>
            </w:pPr>
            <w:r>
              <w:rPr>
                <w:rFonts w:ascii="宋体" w:hAnsi="宋体" w:cs="宋体"/>
                <w:color w:val="auto"/>
                <w:sz w:val="18"/>
                <w:szCs w:val="18"/>
                <w:highlight w:val="none"/>
              </w:rPr>
              <w:t>数量</w:t>
            </w:r>
          </w:p>
        </w:tc>
        <w:tc>
          <w:tcPr>
            <w:tcW w:w="2598" w:type="dxa"/>
            <w:gridSpan w:val="2"/>
          </w:tcPr>
          <w:p>
            <w:pPr>
              <w:autoSpaceDE w:val="0"/>
              <w:autoSpaceDN w:val="0"/>
              <w:snapToGrid w:val="0"/>
              <w:spacing w:line="263" w:lineRule="exact"/>
              <w:jc w:val="center"/>
              <w:rPr>
                <w:rFonts w:ascii="宋体" w:hAnsi="宋体" w:cs="宋体"/>
                <w:color w:val="auto"/>
                <w:sz w:val="18"/>
                <w:szCs w:val="18"/>
                <w:highlight w:val="none"/>
              </w:rPr>
            </w:pPr>
            <w:r>
              <w:rPr>
                <w:rFonts w:ascii="宋体" w:hAnsi="宋体" w:cs="宋体"/>
                <w:color w:val="auto"/>
                <w:sz w:val="18"/>
                <w:szCs w:val="18"/>
                <w:highlight w:val="none"/>
              </w:rPr>
              <w:t>取样程序描述</w:t>
            </w: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2598" w:type="dxa"/>
            <w:gridSpan w:val="2"/>
          </w:tcPr>
          <w:p>
            <w:pPr>
              <w:autoSpaceDE w:val="0"/>
              <w:autoSpaceDN w:val="0"/>
              <w:snapToGrid w:val="0"/>
              <w:ind w:firstLine="420"/>
              <w:jc w:val="left"/>
              <w:rPr>
                <w:rFonts w:ascii="宋体" w:hAnsi="宋体" w:cs="宋体"/>
                <w:color w:val="auto"/>
                <w:sz w:val="18"/>
                <w:szCs w:val="18"/>
                <w:highlight w:val="none"/>
              </w:rPr>
            </w:pP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1134" w:type="dxa"/>
          </w:tcPr>
          <w:p>
            <w:pPr>
              <w:autoSpaceDE w:val="0"/>
              <w:autoSpaceDN w:val="0"/>
              <w:snapToGrid w:val="0"/>
              <w:ind w:firstLine="420"/>
              <w:jc w:val="left"/>
              <w:rPr>
                <w:rFonts w:ascii="宋体" w:hAnsi="宋体" w:cs="宋体"/>
                <w:color w:val="auto"/>
                <w:sz w:val="18"/>
                <w:szCs w:val="18"/>
                <w:highlight w:val="none"/>
              </w:rPr>
            </w:pPr>
          </w:p>
        </w:tc>
        <w:tc>
          <w:tcPr>
            <w:tcW w:w="2598" w:type="dxa"/>
            <w:gridSpan w:val="2"/>
          </w:tcPr>
          <w:p>
            <w:pPr>
              <w:autoSpaceDE w:val="0"/>
              <w:autoSpaceDN w:val="0"/>
              <w:snapToGrid w:val="0"/>
              <w:ind w:firstLine="420"/>
              <w:jc w:val="left"/>
              <w:rPr>
                <w:rFonts w:ascii="宋体" w:hAnsi="宋体" w:cs="宋体"/>
                <w:color w:val="auto"/>
                <w:sz w:val="18"/>
                <w:szCs w:val="18"/>
                <w:highlight w:val="none"/>
              </w:rPr>
            </w:pPr>
          </w:p>
        </w:tc>
        <w:tc>
          <w:tcPr>
            <w:tcW w:w="2363" w:type="dxa"/>
          </w:tcPr>
          <w:p>
            <w:pPr>
              <w:jc w:val="center"/>
              <w:rPr>
                <w:rFonts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9180" w:type="dxa"/>
            <w:gridSpan w:val="6"/>
          </w:tcPr>
          <w:p>
            <w:pPr>
              <w:tabs>
                <w:tab w:val="left" w:pos="7419"/>
              </w:tabs>
              <w:autoSpaceDE w:val="0"/>
              <w:autoSpaceDN w:val="0"/>
              <w:snapToGrid w:val="0"/>
              <w:spacing w:before="3" w:line="263" w:lineRule="exact"/>
              <w:ind w:firstLine="90" w:firstLineChars="50"/>
              <w:jc w:val="left"/>
              <w:rPr>
                <w:rFonts w:ascii="宋体" w:hAnsi="宋体" w:cs="宋体"/>
                <w:color w:val="auto"/>
                <w:sz w:val="18"/>
                <w:szCs w:val="18"/>
                <w:highlight w:val="none"/>
              </w:rPr>
            </w:pPr>
            <w:r>
              <w:rPr>
                <w:rFonts w:ascii="宋体" w:hAnsi="宋体" w:cs="宋体"/>
                <w:color w:val="auto"/>
                <w:sz w:val="18"/>
                <w:szCs w:val="18"/>
                <w:highlight w:val="none"/>
              </w:rPr>
              <w:t>注：此数据收集表中的数据是指规定时段内所有未分配的输入和输出。</w:t>
            </w:r>
            <w:r>
              <w:rPr>
                <w:rFonts w:ascii="宋体" w:hAnsi="宋体" w:cs="宋体"/>
                <w:color w:val="auto"/>
                <w:sz w:val="18"/>
                <w:szCs w:val="18"/>
                <w:highlight w:val="none"/>
              </w:rPr>
              <w:tab/>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9180" w:type="dxa"/>
            <w:gridSpan w:val="6"/>
          </w:tcPr>
          <w:p>
            <w:pPr>
              <w:ind w:firstLine="180" w:firstLineChars="100"/>
              <w:rPr>
                <w:rFonts w:ascii="宋体" w:hAnsi="宋体"/>
                <w:color w:val="auto"/>
                <w:sz w:val="18"/>
                <w:szCs w:val="18"/>
                <w:highlight w:val="none"/>
              </w:rPr>
            </w:pPr>
            <w:r>
              <w:rPr>
                <w:rFonts w:hint="eastAsia" w:ascii="宋体" w:hAnsi="宋体"/>
                <w:color w:val="auto"/>
                <w:sz w:val="18"/>
                <w:szCs w:val="18"/>
                <w:highlight w:val="none"/>
                <w:vertAlign w:val="superscript"/>
              </w:rPr>
              <w:t>a</w:t>
            </w:r>
            <w:r>
              <w:rPr>
                <w:rFonts w:ascii="宋体" w:hAnsi="宋体"/>
                <w:color w:val="auto"/>
                <w:sz w:val="18"/>
                <w:szCs w:val="18"/>
                <w:highlight w:val="none"/>
                <w:vertAlign w:val="superscript"/>
              </w:rPr>
              <w:t xml:space="preserve">  </w:t>
            </w:r>
            <w:r>
              <w:rPr>
                <w:rFonts w:hint="eastAsia" w:ascii="宋体" w:hAnsi="宋体"/>
                <w:color w:val="auto"/>
                <w:sz w:val="18"/>
                <w:szCs w:val="18"/>
                <w:highlight w:val="none"/>
              </w:rPr>
              <w:t>地表水、饮用水等</w:t>
            </w:r>
          </w:p>
          <w:p>
            <w:pPr>
              <w:ind w:firstLine="180" w:firstLineChars="100"/>
              <w:rPr>
                <w:rFonts w:ascii="宋体" w:hAnsi="宋体"/>
                <w:color w:val="auto"/>
                <w:sz w:val="18"/>
                <w:szCs w:val="18"/>
                <w:highlight w:val="none"/>
              </w:rPr>
            </w:pPr>
            <w:r>
              <w:rPr>
                <w:rFonts w:hint="eastAsia" w:ascii="宋体" w:hAnsi="宋体"/>
                <w:color w:val="auto"/>
                <w:sz w:val="18"/>
                <w:szCs w:val="18"/>
                <w:highlight w:val="none"/>
                <w:vertAlign w:val="superscript"/>
              </w:rPr>
              <w:t>b</w:t>
            </w:r>
            <w:r>
              <w:rPr>
                <w:rFonts w:ascii="宋体" w:hAnsi="宋体"/>
                <w:color w:val="auto"/>
                <w:sz w:val="18"/>
                <w:szCs w:val="18"/>
                <w:highlight w:val="none"/>
                <w:vertAlign w:val="superscript"/>
              </w:rPr>
              <w:t xml:space="preserve">  </w:t>
            </w:r>
            <w:r>
              <w:rPr>
                <w:rFonts w:hint="eastAsia" w:ascii="宋体" w:hAnsi="宋体"/>
                <w:color w:val="auto"/>
                <w:sz w:val="18"/>
                <w:szCs w:val="18"/>
                <w:highlight w:val="none"/>
              </w:rPr>
              <w:t>重燃料油、煤油、汽油、天然气、煤气、网电等。</w:t>
            </w:r>
          </w:p>
          <w:p>
            <w:pPr>
              <w:ind w:firstLine="180" w:firstLineChars="100"/>
              <w:rPr>
                <w:rFonts w:ascii="宋体" w:hAnsi="宋体"/>
                <w:color w:val="auto"/>
                <w:sz w:val="18"/>
                <w:szCs w:val="18"/>
                <w:highlight w:val="none"/>
              </w:rPr>
            </w:pPr>
            <w:r>
              <w:rPr>
                <w:rFonts w:ascii="宋体" w:hAnsi="宋体"/>
                <w:color w:val="auto"/>
                <w:sz w:val="18"/>
                <w:szCs w:val="18"/>
                <w:highlight w:val="none"/>
                <w:vertAlign w:val="superscript"/>
              </w:rPr>
              <w:t>c</w:t>
            </w:r>
            <w:r>
              <w:rPr>
                <w:rFonts w:ascii="宋体" w:hAnsi="宋体"/>
                <w:color w:val="auto"/>
                <w:sz w:val="18"/>
                <w:szCs w:val="18"/>
                <w:highlight w:val="none"/>
              </w:rPr>
              <w:t xml:space="preserve"> </w:t>
            </w:r>
            <w:r>
              <w:rPr>
                <w:rFonts w:hint="eastAsia" w:ascii="宋体" w:hAnsi="宋体"/>
                <w:color w:val="auto"/>
                <w:sz w:val="18"/>
                <w:szCs w:val="18"/>
                <w:highlight w:val="none"/>
              </w:rPr>
              <w:t>无机物：</w:t>
            </w:r>
            <w:r>
              <w:rPr>
                <w:rFonts w:ascii="宋体" w:hAnsi="宋体"/>
                <w:color w:val="auto"/>
                <w:sz w:val="18"/>
                <w:szCs w:val="18"/>
                <w:highlight w:val="none"/>
              </w:rPr>
              <w:t>SO</w:t>
            </w:r>
            <w:r>
              <w:rPr>
                <w:rFonts w:ascii="宋体" w:hAnsi="宋体"/>
                <w:color w:val="auto"/>
                <w:sz w:val="18"/>
                <w:szCs w:val="18"/>
                <w:highlight w:val="none"/>
                <w:vertAlign w:val="subscript"/>
              </w:rPr>
              <w:t>x</w:t>
            </w:r>
            <w:r>
              <w:rPr>
                <w:rFonts w:hint="eastAsia" w:ascii="宋体" w:hAnsi="宋体"/>
                <w:color w:val="auto"/>
                <w:sz w:val="18"/>
                <w:szCs w:val="18"/>
                <w:highlight w:val="none"/>
              </w:rPr>
              <w:t>、</w:t>
            </w:r>
            <w:r>
              <w:rPr>
                <w:rFonts w:ascii="宋体" w:hAnsi="宋体"/>
                <w:color w:val="auto"/>
                <w:sz w:val="18"/>
                <w:szCs w:val="18"/>
                <w:highlight w:val="none"/>
              </w:rPr>
              <w:t>CO</w:t>
            </w:r>
            <w:r>
              <w:rPr>
                <w:rFonts w:ascii="宋体" w:hAnsi="宋体"/>
                <w:color w:val="auto"/>
                <w:sz w:val="18"/>
                <w:szCs w:val="18"/>
                <w:highlight w:val="none"/>
                <w:vertAlign w:val="subscript"/>
              </w:rPr>
              <w:t>2</w:t>
            </w:r>
            <w:r>
              <w:rPr>
                <w:rFonts w:hint="eastAsia" w:ascii="宋体" w:hAnsi="宋体"/>
                <w:color w:val="auto"/>
                <w:sz w:val="18"/>
                <w:szCs w:val="18"/>
                <w:highlight w:val="none"/>
              </w:rPr>
              <w:t>、</w:t>
            </w:r>
            <w:r>
              <w:rPr>
                <w:rFonts w:ascii="宋体" w:hAnsi="宋体"/>
                <w:color w:val="auto"/>
                <w:sz w:val="18"/>
                <w:szCs w:val="18"/>
                <w:highlight w:val="none"/>
              </w:rPr>
              <w:t>CO</w:t>
            </w:r>
            <w:r>
              <w:rPr>
                <w:rFonts w:hint="eastAsia" w:ascii="宋体" w:hAnsi="宋体"/>
                <w:color w:val="auto"/>
                <w:sz w:val="18"/>
                <w:szCs w:val="18"/>
                <w:highlight w:val="none"/>
              </w:rPr>
              <w:t>、粉尘/颗粒物、</w:t>
            </w:r>
            <w:r>
              <w:rPr>
                <w:rFonts w:ascii="宋体" w:hAnsi="宋体"/>
                <w:color w:val="auto"/>
                <w:sz w:val="18"/>
                <w:szCs w:val="18"/>
                <w:highlight w:val="none"/>
              </w:rPr>
              <w:t>NH</w:t>
            </w:r>
            <w:r>
              <w:rPr>
                <w:rFonts w:ascii="宋体" w:hAnsi="宋体"/>
                <w:color w:val="auto"/>
                <w:sz w:val="18"/>
                <w:szCs w:val="18"/>
                <w:highlight w:val="none"/>
                <w:vertAlign w:val="subscript"/>
              </w:rPr>
              <w:t>3</w:t>
            </w:r>
            <w:r>
              <w:rPr>
                <w:rFonts w:hint="eastAsia" w:ascii="宋体" w:hAnsi="宋体"/>
                <w:color w:val="auto"/>
                <w:sz w:val="18"/>
                <w:szCs w:val="18"/>
                <w:highlight w:val="none"/>
              </w:rPr>
              <w:t>、</w:t>
            </w:r>
            <w:r>
              <w:rPr>
                <w:rFonts w:ascii="宋体" w:hAnsi="宋体"/>
                <w:color w:val="auto"/>
                <w:sz w:val="18"/>
                <w:szCs w:val="18"/>
                <w:highlight w:val="none"/>
              </w:rPr>
              <w:t>NO</w:t>
            </w:r>
            <w:r>
              <w:rPr>
                <w:rFonts w:ascii="宋体" w:hAnsi="宋体"/>
                <w:color w:val="auto"/>
                <w:sz w:val="18"/>
                <w:szCs w:val="18"/>
                <w:highlight w:val="none"/>
                <w:vertAlign w:val="subscript"/>
              </w:rPr>
              <w:t>x</w:t>
            </w:r>
            <w:r>
              <w:rPr>
                <w:rFonts w:hint="eastAsia" w:ascii="宋体" w:hAnsi="宋体"/>
                <w:color w:val="auto"/>
                <w:sz w:val="18"/>
                <w:szCs w:val="18"/>
                <w:highlight w:val="none"/>
              </w:rPr>
              <w:t>；金属：</w:t>
            </w:r>
            <w:r>
              <w:rPr>
                <w:rFonts w:ascii="宋体" w:hAnsi="宋体"/>
                <w:color w:val="auto"/>
                <w:sz w:val="18"/>
                <w:szCs w:val="18"/>
                <w:highlight w:val="none"/>
              </w:rPr>
              <w:t>As</w:t>
            </w:r>
            <w:r>
              <w:rPr>
                <w:rFonts w:hint="eastAsia" w:ascii="宋体" w:hAnsi="宋体"/>
                <w:color w:val="auto"/>
                <w:sz w:val="18"/>
                <w:szCs w:val="18"/>
                <w:highlight w:val="none"/>
              </w:rPr>
              <w:t>、</w:t>
            </w:r>
            <w:r>
              <w:rPr>
                <w:rFonts w:ascii="宋体" w:hAnsi="宋体"/>
                <w:color w:val="auto"/>
                <w:sz w:val="18"/>
                <w:szCs w:val="18"/>
                <w:highlight w:val="none"/>
              </w:rPr>
              <w:t>Pb</w:t>
            </w:r>
            <w:r>
              <w:rPr>
                <w:rFonts w:hint="eastAsia" w:ascii="宋体" w:hAnsi="宋体"/>
                <w:color w:val="auto"/>
                <w:sz w:val="18"/>
                <w:szCs w:val="18"/>
                <w:highlight w:val="none"/>
              </w:rPr>
              <w:t>、Cd、</w:t>
            </w:r>
            <w:r>
              <w:rPr>
                <w:rFonts w:ascii="宋体" w:hAnsi="宋体"/>
                <w:color w:val="auto"/>
                <w:sz w:val="18"/>
                <w:szCs w:val="18"/>
                <w:highlight w:val="none"/>
              </w:rPr>
              <w:t>Hg</w:t>
            </w:r>
            <w:r>
              <w:rPr>
                <w:rFonts w:hint="eastAsia" w:ascii="宋体" w:hAnsi="宋体"/>
                <w:color w:val="auto"/>
                <w:sz w:val="18"/>
                <w:szCs w:val="18"/>
                <w:highlight w:val="none"/>
              </w:rPr>
              <w:t>。</w:t>
            </w:r>
          </w:p>
          <w:p>
            <w:pPr>
              <w:ind w:left="90" w:leftChars="43" w:firstLine="90" w:firstLineChars="50"/>
              <w:rPr>
                <w:rFonts w:ascii="宋体" w:hAnsi="宋体"/>
                <w:color w:val="auto"/>
                <w:sz w:val="18"/>
                <w:szCs w:val="18"/>
                <w:highlight w:val="none"/>
              </w:rPr>
            </w:pPr>
            <w:r>
              <w:rPr>
                <w:rFonts w:ascii="宋体" w:hAnsi="宋体"/>
                <w:color w:val="auto"/>
                <w:sz w:val="18"/>
                <w:szCs w:val="18"/>
                <w:highlight w:val="none"/>
                <w:vertAlign w:val="superscript"/>
              </w:rPr>
              <w:t>d</w:t>
            </w:r>
            <w:r>
              <w:rPr>
                <w:rFonts w:hint="eastAsia" w:ascii="宋体" w:hAnsi="宋体"/>
                <w:color w:val="auto"/>
                <w:sz w:val="18"/>
                <w:szCs w:val="18"/>
                <w:highlight w:val="none"/>
                <w:vertAlign w:val="superscript"/>
              </w:rPr>
              <w:t xml:space="preserve">   </w:t>
            </w:r>
            <w:r>
              <w:rPr>
                <w:rFonts w:ascii="宋体" w:hAnsi="宋体"/>
                <w:color w:val="auto"/>
                <w:sz w:val="18"/>
                <w:szCs w:val="18"/>
                <w:highlight w:val="none"/>
              </w:rPr>
              <w:t>Fe</w:t>
            </w:r>
            <w:r>
              <w:rPr>
                <w:rFonts w:ascii="宋体" w:hAnsi="宋体"/>
                <w:color w:val="auto"/>
                <w:sz w:val="18"/>
                <w:szCs w:val="18"/>
                <w:highlight w:val="none"/>
                <w:vertAlign w:val="superscript"/>
              </w:rPr>
              <w:t>2+</w:t>
            </w:r>
            <w:r>
              <w:rPr>
                <w:rFonts w:hint="eastAsia" w:ascii="宋体" w:hAnsi="宋体"/>
                <w:color w:val="auto"/>
                <w:sz w:val="18"/>
                <w:szCs w:val="18"/>
                <w:highlight w:val="none"/>
              </w:rPr>
              <w:t>、</w:t>
            </w:r>
            <w:r>
              <w:rPr>
                <w:rFonts w:ascii="宋体" w:hAnsi="宋体"/>
                <w:color w:val="auto"/>
                <w:sz w:val="18"/>
                <w:szCs w:val="18"/>
                <w:highlight w:val="none"/>
              </w:rPr>
              <w:t>Hg</w:t>
            </w:r>
            <w:r>
              <w:rPr>
                <w:rFonts w:ascii="宋体" w:hAnsi="宋体"/>
                <w:color w:val="auto"/>
                <w:sz w:val="18"/>
                <w:szCs w:val="18"/>
                <w:highlight w:val="none"/>
                <w:vertAlign w:val="superscript"/>
              </w:rPr>
              <w:t>+</w:t>
            </w:r>
            <w:r>
              <w:rPr>
                <w:rFonts w:hint="eastAsia" w:ascii="宋体" w:hAnsi="宋体"/>
                <w:color w:val="auto"/>
                <w:sz w:val="18"/>
                <w:szCs w:val="18"/>
                <w:highlight w:val="none"/>
              </w:rPr>
              <w:t>、</w:t>
            </w:r>
            <w:r>
              <w:rPr>
                <w:rFonts w:ascii="宋体" w:hAnsi="宋体"/>
                <w:color w:val="auto"/>
                <w:sz w:val="18"/>
                <w:szCs w:val="18"/>
                <w:highlight w:val="none"/>
              </w:rPr>
              <w:t>Na</w:t>
            </w:r>
            <w:r>
              <w:rPr>
                <w:rFonts w:ascii="宋体" w:hAnsi="宋体"/>
                <w:color w:val="auto"/>
                <w:sz w:val="18"/>
                <w:szCs w:val="18"/>
                <w:highlight w:val="none"/>
                <w:vertAlign w:val="superscript"/>
              </w:rPr>
              <w:t>+</w:t>
            </w:r>
            <w:r>
              <w:rPr>
                <w:rFonts w:hint="eastAsia" w:ascii="宋体" w:hAnsi="宋体"/>
                <w:color w:val="auto"/>
                <w:sz w:val="18"/>
                <w:szCs w:val="18"/>
                <w:highlight w:val="none"/>
              </w:rPr>
              <w:t>、</w:t>
            </w:r>
            <w:r>
              <w:rPr>
                <w:rFonts w:ascii="宋体" w:hAnsi="宋体"/>
                <w:color w:val="auto"/>
                <w:sz w:val="18"/>
                <w:szCs w:val="18"/>
                <w:highlight w:val="none"/>
              </w:rPr>
              <w:t>NH</w:t>
            </w:r>
            <w:r>
              <w:rPr>
                <w:rFonts w:ascii="宋体" w:hAnsi="宋体"/>
                <w:color w:val="auto"/>
                <w:sz w:val="18"/>
                <w:szCs w:val="18"/>
                <w:highlight w:val="none"/>
                <w:vertAlign w:val="subscript"/>
              </w:rPr>
              <w:t>4</w:t>
            </w:r>
            <w:r>
              <w:rPr>
                <w:rFonts w:ascii="宋体" w:hAnsi="宋体"/>
                <w:color w:val="auto"/>
                <w:sz w:val="18"/>
                <w:szCs w:val="18"/>
                <w:highlight w:val="none"/>
                <w:vertAlign w:val="superscript"/>
              </w:rPr>
              <w:t>+</w:t>
            </w:r>
            <w:r>
              <w:rPr>
                <w:rFonts w:hint="eastAsia" w:ascii="宋体" w:hAnsi="宋体"/>
                <w:color w:val="auto"/>
                <w:sz w:val="18"/>
                <w:szCs w:val="18"/>
                <w:highlight w:val="none"/>
              </w:rPr>
              <w:t>、</w:t>
            </w:r>
            <w:r>
              <w:rPr>
                <w:rFonts w:ascii="宋体" w:hAnsi="宋体"/>
                <w:color w:val="auto"/>
                <w:sz w:val="18"/>
                <w:szCs w:val="18"/>
                <w:highlight w:val="none"/>
              </w:rPr>
              <w:t>NO</w:t>
            </w:r>
            <w:r>
              <w:rPr>
                <w:rFonts w:ascii="宋体" w:hAnsi="宋体"/>
                <w:color w:val="auto"/>
                <w:sz w:val="18"/>
                <w:szCs w:val="18"/>
                <w:highlight w:val="none"/>
                <w:vertAlign w:val="subscript"/>
              </w:rPr>
              <w:t>3</w:t>
            </w:r>
            <w:r>
              <w:rPr>
                <w:rFonts w:ascii="宋体" w:hAnsi="宋体"/>
                <w:color w:val="auto"/>
                <w:sz w:val="18"/>
                <w:szCs w:val="18"/>
                <w:highlight w:val="none"/>
                <w:vertAlign w:val="superscript"/>
              </w:rPr>
              <w:t>-</w:t>
            </w:r>
            <w:r>
              <w:rPr>
                <w:rFonts w:hint="eastAsia" w:ascii="宋体" w:hAnsi="宋体"/>
                <w:color w:val="auto"/>
                <w:sz w:val="18"/>
                <w:szCs w:val="18"/>
                <w:highlight w:val="none"/>
              </w:rPr>
              <w:t>、其他金属、其他氮化合物。</w:t>
            </w:r>
          </w:p>
          <w:p>
            <w:pPr>
              <w:ind w:left="178" w:leftChars="85"/>
              <w:rPr>
                <w:rFonts w:ascii="宋体" w:hAnsi="宋体"/>
                <w:color w:val="auto"/>
                <w:sz w:val="18"/>
                <w:szCs w:val="18"/>
                <w:highlight w:val="none"/>
              </w:rPr>
            </w:pPr>
            <w:r>
              <w:rPr>
                <w:rFonts w:ascii="宋体" w:hAnsi="宋体"/>
                <w:color w:val="auto"/>
                <w:sz w:val="18"/>
                <w:szCs w:val="18"/>
                <w:highlight w:val="none"/>
                <w:vertAlign w:val="superscript"/>
              </w:rPr>
              <w:t>e</w:t>
            </w:r>
            <w:r>
              <w:rPr>
                <w:rFonts w:hint="eastAsia" w:ascii="宋体" w:hAnsi="宋体"/>
                <w:color w:val="auto"/>
                <w:sz w:val="18"/>
                <w:szCs w:val="18"/>
                <w:highlight w:val="none"/>
              </w:rPr>
              <w:t xml:space="preserve"> 固体废物、</w:t>
            </w:r>
            <w:r>
              <w:rPr>
                <w:rFonts w:hint="eastAsia" w:ascii="宋体" w:hAnsi="宋体" w:cs="宋体"/>
                <w:color w:val="auto"/>
                <w:sz w:val="18"/>
                <w:szCs w:val="18"/>
                <w:highlight w:val="none"/>
              </w:rPr>
              <w:t>危险</w:t>
            </w:r>
            <w:r>
              <w:rPr>
                <w:rFonts w:hint="eastAsia" w:ascii="宋体" w:hAnsi="宋体"/>
                <w:color w:val="auto"/>
                <w:sz w:val="18"/>
                <w:szCs w:val="18"/>
                <w:highlight w:val="none"/>
              </w:rPr>
              <w:t>废物。</w:t>
            </w:r>
          </w:p>
          <w:p>
            <w:pPr>
              <w:ind w:left="178" w:leftChars="85"/>
              <w:rPr>
                <w:rFonts w:ascii="宋体" w:hAnsi="宋体"/>
                <w:color w:val="auto"/>
                <w:sz w:val="18"/>
                <w:szCs w:val="18"/>
                <w:highlight w:val="none"/>
              </w:rPr>
            </w:pPr>
            <w:r>
              <w:rPr>
                <w:rFonts w:ascii="宋体" w:hAnsi="宋体"/>
                <w:color w:val="auto"/>
                <w:sz w:val="18"/>
                <w:szCs w:val="18"/>
                <w:highlight w:val="none"/>
                <w:vertAlign w:val="superscript"/>
              </w:rPr>
              <w:t>f</w:t>
            </w:r>
            <w:r>
              <w:rPr>
                <w:rFonts w:hint="eastAsia" w:ascii="宋体" w:hAnsi="宋体"/>
                <w:color w:val="auto"/>
                <w:sz w:val="18"/>
                <w:szCs w:val="18"/>
                <w:highlight w:val="none"/>
              </w:rPr>
              <w:t>噪声、辐射、振动、余热。</w:t>
            </w:r>
          </w:p>
        </w:tc>
      </w:tr>
    </w:tbl>
    <w:p>
      <w:pPr>
        <w:rPr>
          <w:b/>
          <w:bCs/>
          <w:color w:val="auto"/>
          <w:highlight w:val="none"/>
        </w:rPr>
      </w:pPr>
    </w:p>
    <w:p>
      <w:pPr>
        <w:jc w:val="center"/>
        <w:rPr>
          <w:rFonts w:ascii="黑体" w:hAnsi="黑体" w:eastAsia="黑体"/>
          <w:color w:val="auto"/>
          <w:highlight w:val="none"/>
        </w:rPr>
      </w:pPr>
      <w:r>
        <w:rPr>
          <w:rFonts w:hint="eastAsia" w:ascii="黑体" w:hAnsi="黑体" w:eastAsia="黑体"/>
          <w:color w:val="auto"/>
          <w:highlight w:val="none"/>
        </w:rPr>
        <w:t>B.2热镀用锌合金锭产品的数据清单</w:t>
      </w: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39"/>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参数</w:t>
            </w:r>
          </w:p>
        </w:tc>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单位</w:t>
            </w:r>
          </w:p>
        </w:tc>
        <w:tc>
          <w:tcPr>
            <w:tcW w:w="1668"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材料输入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金属（</w:t>
            </w:r>
            <w:r>
              <w:rPr>
                <w:rFonts w:hint="eastAsia" w:ascii="宋体" w:hAnsi="宋体"/>
                <w:color w:val="auto"/>
                <w:sz w:val="18"/>
                <w:szCs w:val="18"/>
                <w:highlight w:val="none"/>
              </w:rPr>
              <w:t>Zn、Cu</w:t>
            </w:r>
            <w:r>
              <w:rPr>
                <w:rFonts w:ascii="宋体" w:hAnsi="宋体"/>
                <w:color w:val="auto"/>
                <w:sz w:val="18"/>
                <w:szCs w:val="18"/>
                <w:highlight w:val="none"/>
              </w:rPr>
              <w:t>等）</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水消耗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循环水</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能量输入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电能</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至空气的排放物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粉尘</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颗粒物</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至土壤的排放物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废渣</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其他排放物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噪声</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utoSpaceDE w:val="0"/>
              <w:autoSpaceDN w:val="0"/>
              <w:snapToGrid w:val="0"/>
              <w:jc w:val="center"/>
              <w:rPr>
                <w:rFonts w:ascii="宋体" w:hAnsi="宋体"/>
                <w:color w:val="auto"/>
                <w:sz w:val="18"/>
                <w:szCs w:val="18"/>
                <w:highlight w:val="none"/>
              </w:rPr>
            </w:pPr>
            <w:r>
              <w:rPr>
                <w:rFonts w:ascii="宋体" w:hAnsi="宋体"/>
                <w:color w:val="auto"/>
                <w:sz w:val="18"/>
                <w:szCs w:val="18"/>
                <w:highlight w:val="none"/>
              </w:rPr>
              <w:t>···</w:t>
            </w:r>
          </w:p>
        </w:tc>
        <w:tc>
          <w:tcPr>
            <w:tcW w:w="1666" w:type="pct"/>
          </w:tcPr>
          <w:p>
            <w:pPr>
              <w:autoSpaceDE w:val="0"/>
              <w:autoSpaceDN w:val="0"/>
              <w:snapToGrid w:val="0"/>
              <w:jc w:val="center"/>
              <w:rPr>
                <w:rFonts w:ascii="宋体" w:hAnsi="宋体"/>
                <w:color w:val="auto"/>
                <w:sz w:val="18"/>
                <w:szCs w:val="18"/>
                <w:highlight w:val="none"/>
              </w:rPr>
            </w:pPr>
          </w:p>
        </w:tc>
        <w:tc>
          <w:tcPr>
            <w:tcW w:w="1668" w:type="pct"/>
          </w:tcPr>
          <w:p>
            <w:pPr>
              <w:autoSpaceDE w:val="0"/>
              <w:autoSpaceDN w:val="0"/>
              <w:snapToGrid w:val="0"/>
              <w:jc w:val="center"/>
              <w:rPr>
                <w:rFonts w:ascii="宋体" w:hAnsi="宋体"/>
                <w:color w:val="auto"/>
                <w:sz w:val="18"/>
                <w:szCs w:val="18"/>
                <w:highlight w:val="none"/>
              </w:rPr>
            </w:pPr>
          </w:p>
        </w:tc>
      </w:tr>
    </w:tbl>
    <w:p>
      <w:pPr>
        <w:rPr>
          <w:rFonts w:ascii="黑体" w:hAnsi="黑体" w:eastAsia="黑体"/>
          <w:color w:val="auto"/>
          <w:szCs w:val="21"/>
          <w:highlight w:val="none"/>
        </w:rPr>
      </w:pPr>
    </w:p>
    <w:p>
      <w:pPr>
        <w:jc w:val="center"/>
        <w:outlineLvl w:val="0"/>
        <w:rPr>
          <w:rFonts w:ascii="黑体" w:hAnsi="黑体" w:eastAsia="黑体"/>
          <w:color w:val="auto"/>
          <w:szCs w:val="21"/>
          <w:highlight w:val="none"/>
        </w:rPr>
      </w:pPr>
      <w:bookmarkStart w:id="25" w:name="_Toc16237"/>
      <w:r>
        <w:rPr>
          <w:rFonts w:hint="eastAsia" w:ascii="黑体" w:hAnsi="黑体" w:eastAsia="黑体"/>
          <w:color w:val="auto"/>
          <w:szCs w:val="21"/>
          <w:highlight w:val="none"/>
        </w:rPr>
        <w:t>附 录C</w:t>
      </w:r>
      <w:bookmarkEnd w:id="25"/>
      <w:r>
        <w:rPr>
          <w:rFonts w:hint="eastAsia" w:ascii="黑体" w:hAnsi="黑体" w:eastAsia="黑体"/>
          <w:color w:val="auto"/>
          <w:szCs w:val="21"/>
          <w:highlight w:val="none"/>
        </w:rPr>
        <w:t xml:space="preserve"> </w:t>
      </w:r>
    </w:p>
    <w:p>
      <w:pPr>
        <w:jc w:val="center"/>
        <w:outlineLvl w:val="0"/>
        <w:rPr>
          <w:rFonts w:ascii="黑体" w:hAnsi="黑体" w:eastAsia="黑体"/>
          <w:color w:val="auto"/>
          <w:szCs w:val="21"/>
          <w:highlight w:val="none"/>
        </w:rPr>
      </w:pPr>
      <w:bookmarkStart w:id="26" w:name="_Toc11633"/>
      <w:bookmarkStart w:id="27" w:name="_Toc51664046"/>
      <w:r>
        <w:rPr>
          <w:rFonts w:hint="eastAsia" w:ascii="黑体" w:hAnsi="黑体" w:eastAsia="黑体"/>
          <w:color w:val="auto"/>
          <w:szCs w:val="21"/>
          <w:highlight w:val="none"/>
        </w:rPr>
        <w:t>（资料性）</w:t>
      </w:r>
      <w:bookmarkEnd w:id="26"/>
      <w:bookmarkEnd w:id="27"/>
      <w:r>
        <w:rPr>
          <w:rFonts w:hint="eastAsia" w:ascii="黑体" w:hAnsi="黑体" w:eastAsia="黑体"/>
          <w:color w:val="auto"/>
          <w:szCs w:val="21"/>
          <w:highlight w:val="none"/>
        </w:rPr>
        <w:t xml:space="preserve"> </w:t>
      </w:r>
    </w:p>
    <w:p>
      <w:pPr>
        <w:jc w:val="center"/>
        <w:outlineLvl w:val="0"/>
        <w:rPr>
          <w:rFonts w:ascii="黑体" w:hAnsi="黑体" w:eastAsia="黑体"/>
          <w:color w:val="auto"/>
          <w:szCs w:val="21"/>
          <w:highlight w:val="none"/>
        </w:rPr>
      </w:pPr>
      <w:bookmarkStart w:id="28" w:name="_Toc12427"/>
      <w:bookmarkStart w:id="29" w:name="_Toc51664047"/>
      <w:r>
        <w:rPr>
          <w:rFonts w:hint="eastAsia" w:ascii="黑体" w:hAnsi="黑体" w:eastAsia="黑体"/>
          <w:color w:val="auto"/>
          <w:szCs w:val="21"/>
          <w:highlight w:val="none"/>
        </w:rPr>
        <w:t>产品绿色设计改进方案优先排序方法及示例</w:t>
      </w:r>
      <w:bookmarkEnd w:id="28"/>
      <w:bookmarkEnd w:id="29"/>
      <w:r>
        <w:rPr>
          <w:rFonts w:hint="eastAsia" w:ascii="黑体" w:hAnsi="黑体" w:eastAsia="黑体"/>
          <w:color w:val="auto"/>
          <w:szCs w:val="21"/>
          <w:highlight w:val="none"/>
        </w:rPr>
        <w:t xml:space="preserve"> </w:t>
      </w:r>
    </w:p>
    <w:p>
      <w:pPr>
        <w:spacing w:before="156" w:beforeLines="50"/>
        <w:jc w:val="left"/>
        <w:rPr>
          <w:rFonts w:ascii="黑体" w:hAnsi="黑体" w:eastAsia="黑体"/>
          <w:color w:val="auto"/>
          <w:szCs w:val="21"/>
          <w:highlight w:val="none"/>
        </w:rPr>
      </w:pPr>
      <w:r>
        <w:rPr>
          <w:rFonts w:hint="eastAsia" w:ascii="黑体" w:hAnsi="黑体" w:eastAsia="黑体"/>
          <w:color w:val="auto"/>
          <w:szCs w:val="21"/>
          <w:highlight w:val="none"/>
        </w:rPr>
        <w:t>C</w:t>
      </w:r>
      <w:r>
        <w:rPr>
          <w:rFonts w:ascii="黑体" w:hAnsi="黑体" w:eastAsia="黑体"/>
          <w:color w:val="auto"/>
          <w:szCs w:val="21"/>
          <w:highlight w:val="none"/>
        </w:rPr>
        <w:t xml:space="preserve">.1 排序方法 </w:t>
      </w:r>
    </w:p>
    <w:p>
      <w:pPr>
        <w:ind w:firstLine="420" w:firstLineChars="200"/>
        <w:jc w:val="left"/>
        <w:rPr>
          <w:color w:val="auto"/>
          <w:szCs w:val="21"/>
          <w:highlight w:val="none"/>
        </w:rPr>
      </w:pPr>
      <w:r>
        <w:rPr>
          <w:rFonts w:hint="eastAsia"/>
          <w:color w:val="auto"/>
          <w:szCs w:val="21"/>
          <w:highlight w:val="none"/>
        </w:rPr>
        <w:t xml:space="preserve">产品绿色设计改进方案优先排序方法步骤如下： </w:t>
      </w:r>
    </w:p>
    <w:p>
      <w:pPr>
        <w:ind w:firstLine="420" w:firstLineChars="200"/>
        <w:jc w:val="left"/>
        <w:rPr>
          <w:color w:val="auto"/>
          <w:szCs w:val="21"/>
          <w:highlight w:val="none"/>
        </w:rPr>
      </w:pPr>
      <w:r>
        <w:rPr>
          <w:rFonts w:hint="eastAsia"/>
          <w:color w:val="auto"/>
          <w:szCs w:val="21"/>
          <w:highlight w:val="none"/>
        </w:rPr>
        <w:t xml:space="preserve">第一步：将所有方案划分为生产类、设计类和管理类三类方案； </w:t>
      </w:r>
    </w:p>
    <w:p>
      <w:pPr>
        <w:ind w:firstLine="420" w:firstLineChars="200"/>
        <w:jc w:val="left"/>
        <w:rPr>
          <w:color w:val="auto"/>
          <w:szCs w:val="21"/>
          <w:highlight w:val="none"/>
        </w:rPr>
      </w:pPr>
      <w:r>
        <w:rPr>
          <w:rFonts w:hint="eastAsia"/>
          <w:color w:val="auto"/>
          <w:szCs w:val="21"/>
          <w:highlight w:val="none"/>
        </w:rPr>
        <w:t xml:space="preserve">第二步：选取方案的评价指标，本标准的评价指标包括： </w:t>
      </w:r>
    </w:p>
    <w:p>
      <w:pPr>
        <w:pStyle w:val="43"/>
        <w:numPr>
          <w:ilvl w:val="0"/>
          <w:numId w:val="6"/>
        </w:numPr>
        <w:rPr>
          <w:color w:val="auto"/>
          <w:szCs w:val="22"/>
          <w:highlight w:val="none"/>
        </w:rPr>
      </w:pPr>
      <w:r>
        <w:rPr>
          <w:rFonts w:hint="eastAsia"/>
          <w:color w:val="auto"/>
          <w:szCs w:val="22"/>
          <w:highlight w:val="none"/>
        </w:rPr>
        <w:t xml:space="preserve">技术可行性，评估实施某方案的技术可行性； </w:t>
      </w:r>
    </w:p>
    <w:p>
      <w:pPr>
        <w:pStyle w:val="43"/>
        <w:numPr>
          <w:ilvl w:val="0"/>
          <w:numId w:val="6"/>
        </w:numPr>
        <w:rPr>
          <w:color w:val="auto"/>
          <w:szCs w:val="22"/>
          <w:highlight w:val="none"/>
        </w:rPr>
      </w:pPr>
      <w:r>
        <w:rPr>
          <w:rFonts w:hint="eastAsia"/>
          <w:color w:val="auto"/>
          <w:szCs w:val="22"/>
          <w:highlight w:val="none"/>
        </w:rPr>
        <w:t xml:space="preserve">绿色设计改进，判断一个方案的实施能够对某个重要环境要素产生何种程度的作用； </w:t>
      </w:r>
    </w:p>
    <w:p>
      <w:pPr>
        <w:pStyle w:val="43"/>
        <w:numPr>
          <w:ilvl w:val="0"/>
          <w:numId w:val="6"/>
        </w:numPr>
        <w:rPr>
          <w:color w:val="auto"/>
          <w:szCs w:val="22"/>
          <w:highlight w:val="none"/>
        </w:rPr>
      </w:pPr>
      <w:r>
        <w:rPr>
          <w:rFonts w:hint="eastAsia"/>
          <w:color w:val="auto"/>
          <w:szCs w:val="22"/>
          <w:highlight w:val="none"/>
        </w:rPr>
        <w:t xml:space="preserve">经济效益，评估一个组织实施某特定方案所产生的财务影响； </w:t>
      </w:r>
    </w:p>
    <w:p>
      <w:pPr>
        <w:pStyle w:val="43"/>
        <w:numPr>
          <w:ilvl w:val="0"/>
          <w:numId w:val="6"/>
        </w:numPr>
        <w:rPr>
          <w:color w:val="auto"/>
          <w:szCs w:val="22"/>
          <w:highlight w:val="none"/>
        </w:rPr>
      </w:pPr>
      <w:r>
        <w:rPr>
          <w:rFonts w:hint="eastAsia"/>
          <w:color w:val="auto"/>
          <w:szCs w:val="22"/>
          <w:highlight w:val="none"/>
        </w:rPr>
        <w:t xml:space="preserve">顾客增加值（CVA）影响，表示因实施了某些方案而提高消费者认同增加值； </w:t>
      </w:r>
    </w:p>
    <w:p>
      <w:pPr>
        <w:pStyle w:val="43"/>
        <w:numPr>
          <w:ilvl w:val="0"/>
          <w:numId w:val="6"/>
        </w:numPr>
        <w:rPr>
          <w:color w:val="auto"/>
          <w:szCs w:val="22"/>
          <w:highlight w:val="none"/>
        </w:rPr>
      </w:pPr>
      <w:r>
        <w:rPr>
          <w:rFonts w:hint="eastAsia"/>
          <w:color w:val="auto"/>
          <w:szCs w:val="22"/>
          <w:highlight w:val="none"/>
        </w:rPr>
        <w:t xml:space="preserve">生产管理，估计实施某方案可能对生产计划或者其他生产管理者产生的影响。 </w:t>
      </w:r>
    </w:p>
    <w:p>
      <w:pPr>
        <w:ind w:firstLine="420" w:firstLineChars="200"/>
        <w:jc w:val="left"/>
        <w:rPr>
          <w:color w:val="auto"/>
          <w:szCs w:val="21"/>
          <w:highlight w:val="none"/>
        </w:rPr>
      </w:pPr>
      <w:r>
        <w:rPr>
          <w:rFonts w:hint="eastAsia"/>
          <w:color w:val="auto"/>
          <w:szCs w:val="21"/>
          <w:highlight w:val="none"/>
        </w:rPr>
        <w:t>第三步：各指标的等级评分准则如表 C</w:t>
      </w:r>
      <w:r>
        <w:rPr>
          <w:color w:val="auto"/>
          <w:szCs w:val="21"/>
          <w:highlight w:val="none"/>
        </w:rPr>
        <w:t xml:space="preserve">.1 </w:t>
      </w:r>
      <w:r>
        <w:rPr>
          <w:rFonts w:hint="eastAsia"/>
          <w:color w:val="auto"/>
          <w:szCs w:val="21"/>
          <w:highlight w:val="none"/>
        </w:rPr>
        <w:t xml:space="preserve">所示。评估人员依据准则对各方案在不同指标上的表现进行打分； </w:t>
      </w:r>
    </w:p>
    <w:p>
      <w:pPr>
        <w:ind w:firstLine="420" w:firstLineChars="200"/>
        <w:jc w:val="left"/>
        <w:rPr>
          <w:color w:val="auto"/>
          <w:szCs w:val="21"/>
          <w:highlight w:val="none"/>
        </w:rPr>
      </w:pPr>
      <w:r>
        <w:rPr>
          <w:rFonts w:hint="eastAsia"/>
          <w:color w:val="auto"/>
          <w:szCs w:val="21"/>
          <w:highlight w:val="none"/>
        </w:rPr>
        <w:t xml:space="preserve">第四步：加总每个方案在 </w:t>
      </w:r>
      <w:r>
        <w:rPr>
          <w:color w:val="auto"/>
          <w:szCs w:val="21"/>
          <w:highlight w:val="none"/>
        </w:rPr>
        <w:t xml:space="preserve">5 </w:t>
      </w:r>
      <w:r>
        <w:rPr>
          <w:rFonts w:hint="eastAsia"/>
          <w:color w:val="auto"/>
          <w:szCs w:val="21"/>
          <w:highlight w:val="none"/>
        </w:rPr>
        <w:t xml:space="preserve">个指标上的得分，得到每个方案的总评分； </w:t>
      </w:r>
    </w:p>
    <w:p>
      <w:pPr>
        <w:ind w:firstLine="420" w:firstLineChars="200"/>
        <w:jc w:val="left"/>
        <w:rPr>
          <w:color w:val="auto"/>
          <w:szCs w:val="21"/>
          <w:highlight w:val="none"/>
        </w:rPr>
      </w:pPr>
      <w:r>
        <w:rPr>
          <w:rFonts w:hint="eastAsia"/>
          <w:color w:val="auto"/>
          <w:szCs w:val="21"/>
          <w:highlight w:val="none"/>
        </w:rPr>
        <w:t xml:space="preserve">第五步：对每个方案的总评分进行标准化，方法为总评分减去 </w:t>
      </w:r>
      <w:r>
        <w:rPr>
          <w:color w:val="auto"/>
          <w:szCs w:val="21"/>
          <w:highlight w:val="none"/>
        </w:rPr>
        <w:t>10</w:t>
      </w:r>
      <w:r>
        <w:rPr>
          <w:rFonts w:hint="eastAsia"/>
          <w:color w:val="auto"/>
          <w:szCs w:val="21"/>
          <w:highlight w:val="none"/>
        </w:rPr>
        <w:t xml:space="preserve">； </w:t>
      </w:r>
    </w:p>
    <w:p>
      <w:pPr>
        <w:ind w:firstLine="420" w:firstLineChars="200"/>
        <w:jc w:val="left"/>
        <w:rPr>
          <w:color w:val="auto"/>
          <w:szCs w:val="21"/>
          <w:highlight w:val="none"/>
        </w:rPr>
      </w:pPr>
      <w:r>
        <w:rPr>
          <w:rFonts w:hint="eastAsia"/>
          <w:color w:val="auto"/>
          <w:szCs w:val="21"/>
          <w:highlight w:val="none"/>
        </w:rPr>
        <w:t xml:space="preserve">第六步：经过标准化后的方案被分成“生产、设计、管理”三组，绘制分组的实施者优先排序图，分别针对制造工程师、设计工程师或管理人员等实施者； </w:t>
      </w:r>
    </w:p>
    <w:p>
      <w:pPr>
        <w:ind w:firstLine="420" w:firstLineChars="200"/>
        <w:jc w:val="left"/>
        <w:rPr>
          <w:color w:val="auto"/>
          <w:szCs w:val="21"/>
          <w:highlight w:val="none"/>
        </w:rPr>
      </w:pPr>
      <w:r>
        <w:rPr>
          <w:rFonts w:hint="eastAsia"/>
          <w:color w:val="auto"/>
          <w:szCs w:val="21"/>
          <w:highlight w:val="none"/>
        </w:rPr>
        <w:t>第七步：将改进方案按照生命周期阶段分成1</w:t>
      </w:r>
      <w:r>
        <w:rPr>
          <w:color w:val="auto"/>
          <w:szCs w:val="21"/>
          <w:highlight w:val="none"/>
        </w:rPr>
        <w:t xml:space="preserve"> </w:t>
      </w:r>
      <w:r>
        <w:rPr>
          <w:rFonts w:hint="eastAsia"/>
          <w:color w:val="auto"/>
          <w:szCs w:val="21"/>
          <w:highlight w:val="none"/>
        </w:rPr>
        <w:t xml:space="preserve">组（产品生产），绘制生命周期阶段优先排序图。 </w:t>
      </w:r>
    </w:p>
    <w:p>
      <w:pPr>
        <w:widowControl/>
        <w:jc w:val="center"/>
        <w:rPr>
          <w:rFonts w:ascii="黑体" w:hAnsi="宋体" w:eastAsia="黑体" w:cs="黑体"/>
          <w:color w:val="auto"/>
          <w:kern w:val="0"/>
          <w:szCs w:val="21"/>
          <w:highlight w:val="none"/>
          <w:lang w:bidi="ar"/>
        </w:rPr>
      </w:pPr>
      <w:r>
        <w:rPr>
          <w:rFonts w:hint="eastAsia" w:ascii="黑体" w:hAnsi="宋体" w:eastAsia="黑体" w:cs="黑体"/>
          <w:color w:val="auto"/>
          <w:kern w:val="0"/>
          <w:szCs w:val="21"/>
          <w:highlight w:val="none"/>
          <w:lang w:bidi="ar"/>
        </w:rPr>
        <w:t>表 C.1 指标等级评分准则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黑体" w:hAnsi="宋体" w:eastAsia="黑体" w:cs="黑体"/>
                <w:color w:val="auto"/>
                <w:kern w:val="0"/>
                <w:szCs w:val="21"/>
                <w:highlight w:val="none"/>
                <w:lang w:bidi="ar"/>
              </w:rPr>
            </w:pPr>
            <w:r>
              <w:rPr>
                <w:rFonts w:hint="eastAsia" w:ascii="宋体" w:hAnsi="宋体" w:cs="宋体"/>
                <w:b/>
                <w:color w:val="auto"/>
                <w:kern w:val="0"/>
                <w:sz w:val="18"/>
                <w:szCs w:val="18"/>
                <w:highlight w:val="none"/>
                <w:lang w:bidi="ar"/>
              </w:rPr>
              <w:t>符号</w:t>
            </w:r>
          </w:p>
        </w:tc>
        <w:tc>
          <w:tcPr>
            <w:tcW w:w="2841" w:type="dxa"/>
            <w:vAlign w:val="center"/>
          </w:tcPr>
          <w:p>
            <w:pPr>
              <w:widowControl/>
              <w:jc w:val="center"/>
              <w:rPr>
                <w:rFonts w:ascii="黑体" w:hAnsi="宋体" w:eastAsia="黑体" w:cs="黑体"/>
                <w:color w:val="auto"/>
                <w:kern w:val="0"/>
                <w:szCs w:val="21"/>
                <w:highlight w:val="none"/>
                <w:lang w:bidi="ar"/>
              </w:rPr>
            </w:pPr>
            <w:r>
              <w:rPr>
                <w:rFonts w:hint="eastAsia" w:ascii="宋体" w:hAnsi="宋体" w:cs="宋体"/>
                <w:b/>
                <w:color w:val="auto"/>
                <w:kern w:val="0"/>
                <w:sz w:val="18"/>
                <w:szCs w:val="18"/>
                <w:highlight w:val="none"/>
                <w:lang w:bidi="ar"/>
              </w:rPr>
              <w:t>评价</w:t>
            </w:r>
          </w:p>
        </w:tc>
        <w:tc>
          <w:tcPr>
            <w:tcW w:w="2841" w:type="dxa"/>
            <w:vAlign w:val="center"/>
          </w:tcPr>
          <w:p>
            <w:pPr>
              <w:widowControl/>
              <w:jc w:val="center"/>
              <w:rPr>
                <w:rFonts w:ascii="黑体" w:hAnsi="宋体" w:eastAsia="黑体" w:cs="黑体"/>
                <w:color w:val="auto"/>
                <w:kern w:val="0"/>
                <w:szCs w:val="21"/>
                <w:highlight w:val="none"/>
                <w:lang w:bidi="ar"/>
              </w:rPr>
            </w:pPr>
            <w:r>
              <w:rPr>
                <w:rFonts w:hint="eastAsia" w:ascii="宋体" w:hAnsi="宋体" w:cs="宋体"/>
                <w:b/>
                <w:color w:val="auto"/>
                <w:kern w:val="0"/>
                <w:sz w:val="18"/>
                <w:szCs w:val="18"/>
                <w:highlight w:val="none"/>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很好</w:t>
            </w:r>
            <w:r>
              <w:rPr>
                <w:rFonts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bidi="ar"/>
              </w:rPr>
              <w:t>很高</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好</w:t>
            </w:r>
            <w:r>
              <w:rPr>
                <w:rFonts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bidi="ar"/>
              </w:rPr>
              <w:t>高</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中等、一般</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差</w:t>
            </w:r>
            <w:r>
              <w:rPr>
                <w:rFonts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bidi="ar"/>
              </w:rPr>
              <w:t>低</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宋体" w:hAnsi="宋体" w:cs="宋体"/>
                <w:color w:val="auto"/>
                <w:kern w:val="0"/>
                <w:sz w:val="18"/>
                <w:szCs w:val="18"/>
                <w:highlight w:val="none"/>
                <w:lang w:bidi="ar"/>
              </w:rPr>
            </w:pPr>
            <w:r>
              <w:rPr>
                <w:rFonts w:ascii="宋体" w:hAnsi="宋体" w:cs="宋体"/>
                <w:color w:val="auto"/>
                <w:kern w:val="0"/>
                <w:sz w:val="18"/>
                <w:szCs w:val="18"/>
                <w:highlight w:val="none"/>
                <w:lang w:bidi="ar"/>
              </w:rPr>
              <w:t>--</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很差</w:t>
            </w:r>
            <w:r>
              <w:rPr>
                <w:rFonts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bidi="ar"/>
              </w:rPr>
              <w:t>很低</w:t>
            </w:r>
          </w:p>
        </w:tc>
        <w:tc>
          <w:tcPr>
            <w:tcW w:w="2841" w:type="dxa"/>
            <w:vAlign w:val="center"/>
          </w:tcPr>
          <w:p>
            <w:pPr>
              <w:widowControl/>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0</w:t>
            </w:r>
          </w:p>
        </w:tc>
      </w:tr>
    </w:tbl>
    <w:p>
      <w:pPr>
        <w:widowControl/>
        <w:jc w:val="center"/>
        <w:rPr>
          <w:rFonts w:ascii="黑体" w:hAnsi="宋体" w:eastAsia="黑体" w:cs="黑体"/>
          <w:color w:val="auto"/>
          <w:kern w:val="0"/>
          <w:szCs w:val="21"/>
          <w:highlight w:val="none"/>
          <w:lang w:bidi="ar"/>
        </w:rPr>
      </w:pPr>
    </w:p>
    <w:p>
      <w:pPr>
        <w:spacing w:before="156" w:beforeLines="50"/>
        <w:jc w:val="left"/>
        <w:rPr>
          <w:rFonts w:ascii="黑体" w:hAnsi="黑体" w:eastAsia="黑体"/>
          <w:color w:val="auto"/>
          <w:szCs w:val="21"/>
          <w:highlight w:val="none"/>
        </w:rPr>
      </w:pPr>
      <w:r>
        <w:rPr>
          <w:rFonts w:hint="eastAsia" w:ascii="黑体" w:hAnsi="黑体" w:eastAsia="黑体"/>
          <w:color w:val="auto"/>
          <w:szCs w:val="21"/>
          <w:highlight w:val="none"/>
        </w:rPr>
        <w:t xml:space="preserve">C.2 排序示例 </w:t>
      </w:r>
    </w:p>
    <w:p>
      <w:pPr>
        <w:spacing w:before="156" w:beforeLines="50"/>
        <w:jc w:val="left"/>
        <w:rPr>
          <w:rFonts w:ascii="黑体" w:hAnsi="黑体" w:eastAsia="黑体"/>
          <w:color w:val="auto"/>
          <w:szCs w:val="21"/>
          <w:highlight w:val="none"/>
        </w:rPr>
      </w:pPr>
      <w:r>
        <w:rPr>
          <w:rFonts w:hint="eastAsia" w:ascii="黑体" w:hAnsi="黑体" w:eastAsia="黑体"/>
          <w:color w:val="auto"/>
          <w:szCs w:val="21"/>
          <w:highlight w:val="none"/>
        </w:rPr>
        <w:t xml:space="preserve">C.2.1 改进方案 </w:t>
      </w:r>
    </w:p>
    <w:p>
      <w:pPr>
        <w:ind w:firstLine="420" w:firstLineChars="200"/>
        <w:jc w:val="left"/>
        <w:rPr>
          <w:color w:val="auto"/>
          <w:szCs w:val="21"/>
          <w:highlight w:val="none"/>
        </w:rPr>
      </w:pPr>
      <w:r>
        <w:rPr>
          <w:rFonts w:hint="eastAsia"/>
          <w:color w:val="auto"/>
          <w:szCs w:val="21"/>
          <w:highlight w:val="none"/>
        </w:rPr>
        <w:t xml:space="preserve">依据某热镀用锌合金锭产品生命周期评价结果提出的一些建议如下： </w:t>
      </w:r>
    </w:p>
    <w:p>
      <w:pPr>
        <w:pStyle w:val="43"/>
        <w:numPr>
          <w:ilvl w:val="0"/>
          <w:numId w:val="7"/>
        </w:numPr>
        <w:rPr>
          <w:color w:val="auto"/>
          <w:szCs w:val="22"/>
          <w:highlight w:val="none"/>
        </w:rPr>
      </w:pPr>
      <w:r>
        <w:rPr>
          <w:rFonts w:hint="eastAsia"/>
          <w:color w:val="auto"/>
          <w:szCs w:val="22"/>
          <w:highlight w:val="none"/>
        </w:rPr>
        <w:t xml:space="preserve">生产制造改进方案包括： </w:t>
      </w:r>
    </w:p>
    <w:p>
      <w:pPr>
        <w:ind w:firstLine="420" w:firstLineChars="200"/>
        <w:jc w:val="left"/>
        <w:rPr>
          <w:color w:val="auto"/>
          <w:szCs w:val="21"/>
          <w:highlight w:val="none"/>
        </w:rPr>
      </w:pPr>
      <w:r>
        <w:rPr>
          <w:color w:val="auto"/>
          <w:szCs w:val="21"/>
          <w:highlight w:val="none"/>
        </w:rPr>
        <w:t>——</w:t>
      </w:r>
      <w:r>
        <w:rPr>
          <w:rFonts w:hint="eastAsia"/>
          <w:color w:val="auto"/>
          <w:szCs w:val="21"/>
          <w:highlight w:val="none"/>
        </w:rPr>
        <w:t>开展技术改造，淘汰耗能大的落后设备，引进节能型设备，提高能效水平；</w:t>
      </w:r>
    </w:p>
    <w:p>
      <w:pPr>
        <w:ind w:firstLine="420" w:firstLineChars="200"/>
        <w:jc w:val="left"/>
        <w:rPr>
          <w:color w:val="auto"/>
          <w:szCs w:val="21"/>
          <w:highlight w:val="none"/>
        </w:rPr>
      </w:pPr>
      <w:r>
        <w:rPr>
          <w:color w:val="auto"/>
          <w:szCs w:val="21"/>
          <w:highlight w:val="none"/>
        </w:rPr>
        <w:t>——</w:t>
      </w:r>
      <w:r>
        <w:rPr>
          <w:rFonts w:hint="eastAsia"/>
          <w:color w:val="auto"/>
          <w:szCs w:val="21"/>
          <w:highlight w:val="none"/>
        </w:rPr>
        <w:t>锌灰应采用先进处理工艺对其进行资源化、减量化处理，减少污染物排放</w:t>
      </w:r>
    </w:p>
    <w:p>
      <w:pPr>
        <w:ind w:firstLine="420" w:firstLineChars="200"/>
        <w:jc w:val="left"/>
        <w:rPr>
          <w:color w:val="auto"/>
          <w:szCs w:val="21"/>
          <w:highlight w:val="none"/>
        </w:rPr>
      </w:pPr>
      <w:r>
        <w:rPr>
          <w:color w:val="auto"/>
          <w:szCs w:val="21"/>
          <w:highlight w:val="none"/>
        </w:rPr>
        <w:t>——</w:t>
      </w:r>
      <w:r>
        <w:rPr>
          <w:rFonts w:hint="eastAsia"/>
          <w:color w:val="auto"/>
          <w:szCs w:val="21"/>
          <w:highlight w:val="none"/>
        </w:rPr>
        <w:t>与供应商合作，尽可能减少进入工厂的包装材料种类，以便开展固体废弃物的再循环。</w:t>
      </w:r>
    </w:p>
    <w:p>
      <w:pPr>
        <w:pStyle w:val="43"/>
        <w:numPr>
          <w:ilvl w:val="0"/>
          <w:numId w:val="7"/>
        </w:numPr>
        <w:rPr>
          <w:color w:val="auto"/>
          <w:szCs w:val="21"/>
          <w:highlight w:val="none"/>
        </w:rPr>
      </w:pPr>
      <w:r>
        <w:rPr>
          <w:rFonts w:hint="eastAsia"/>
          <w:color w:val="auto"/>
          <w:szCs w:val="21"/>
          <w:highlight w:val="none"/>
        </w:rPr>
        <w:t xml:space="preserve">设计改进方案包括： </w:t>
      </w:r>
    </w:p>
    <w:p>
      <w:pPr>
        <w:ind w:firstLine="420" w:firstLineChars="200"/>
        <w:jc w:val="left"/>
        <w:rPr>
          <w:color w:val="auto"/>
          <w:szCs w:val="21"/>
          <w:highlight w:val="none"/>
        </w:rPr>
      </w:pPr>
      <w:r>
        <w:rPr>
          <w:color w:val="auto"/>
          <w:szCs w:val="21"/>
          <w:highlight w:val="none"/>
        </w:rPr>
        <w:t>——</w:t>
      </w:r>
      <w:r>
        <w:rPr>
          <w:rFonts w:hint="eastAsia"/>
          <w:color w:val="auto"/>
          <w:szCs w:val="21"/>
          <w:highlight w:val="none"/>
        </w:rPr>
        <w:t>修改材料要求，鼓励和规定采用电解锌片直接生产锌合金；</w:t>
      </w:r>
    </w:p>
    <w:p>
      <w:pPr>
        <w:ind w:firstLine="420" w:firstLineChars="200"/>
        <w:jc w:val="left"/>
        <w:rPr>
          <w:color w:val="auto"/>
          <w:szCs w:val="21"/>
          <w:highlight w:val="none"/>
        </w:rPr>
      </w:pPr>
      <w:r>
        <w:rPr>
          <w:color w:val="auto"/>
          <w:szCs w:val="21"/>
          <w:highlight w:val="none"/>
        </w:rPr>
        <w:t>——</w:t>
      </w:r>
      <w:r>
        <w:rPr>
          <w:rFonts w:hint="eastAsia"/>
          <w:color w:val="auto"/>
          <w:szCs w:val="21"/>
          <w:highlight w:val="none"/>
        </w:rPr>
        <w:t xml:space="preserve">通过智能化手段进行产品设计，提高产品合格率。 </w:t>
      </w:r>
    </w:p>
    <w:p>
      <w:pPr>
        <w:pStyle w:val="43"/>
        <w:numPr>
          <w:ilvl w:val="0"/>
          <w:numId w:val="7"/>
        </w:numPr>
        <w:rPr>
          <w:color w:val="auto"/>
          <w:szCs w:val="22"/>
          <w:highlight w:val="none"/>
        </w:rPr>
      </w:pPr>
      <w:r>
        <w:rPr>
          <w:rFonts w:hint="eastAsia"/>
          <w:color w:val="auto"/>
          <w:szCs w:val="22"/>
          <w:highlight w:val="none"/>
        </w:rPr>
        <w:t xml:space="preserve">产品管理改进方案包括： </w:t>
      </w:r>
    </w:p>
    <w:p>
      <w:pPr>
        <w:ind w:firstLine="420" w:firstLineChars="200"/>
        <w:jc w:val="left"/>
        <w:rPr>
          <w:color w:val="auto"/>
          <w:szCs w:val="21"/>
          <w:highlight w:val="none"/>
        </w:rPr>
      </w:pPr>
      <w:r>
        <w:rPr>
          <w:color w:val="auto"/>
          <w:szCs w:val="21"/>
          <w:highlight w:val="none"/>
        </w:rPr>
        <w:t>——</w:t>
      </w:r>
      <w:r>
        <w:rPr>
          <w:rFonts w:hint="eastAsia"/>
          <w:color w:val="auto"/>
          <w:szCs w:val="21"/>
          <w:highlight w:val="none"/>
        </w:rPr>
        <w:t xml:space="preserve">建立二维码发运系统，提供操作手册。 </w:t>
      </w:r>
    </w:p>
    <w:p>
      <w:pPr>
        <w:spacing w:before="156" w:beforeLines="50"/>
        <w:jc w:val="left"/>
        <w:rPr>
          <w:rFonts w:ascii="黑体" w:hAnsi="黑体" w:eastAsia="黑体"/>
          <w:color w:val="auto"/>
          <w:szCs w:val="21"/>
          <w:highlight w:val="none"/>
        </w:rPr>
      </w:pPr>
      <w:r>
        <w:rPr>
          <w:rFonts w:hint="eastAsia" w:ascii="黑体" w:hAnsi="黑体" w:eastAsia="黑体"/>
          <w:color w:val="auto"/>
          <w:szCs w:val="21"/>
          <w:highlight w:val="none"/>
        </w:rPr>
        <w:t xml:space="preserve">C.2.2 改进方案的优先排序表 </w:t>
      </w:r>
    </w:p>
    <w:p>
      <w:pPr>
        <w:ind w:firstLine="420" w:firstLineChars="200"/>
        <w:jc w:val="left"/>
        <w:rPr>
          <w:color w:val="auto"/>
          <w:szCs w:val="21"/>
          <w:highlight w:val="none"/>
        </w:rPr>
      </w:pPr>
      <w:r>
        <w:rPr>
          <w:rFonts w:hint="eastAsia"/>
          <w:color w:val="auto"/>
          <w:szCs w:val="21"/>
          <w:highlight w:val="none"/>
        </w:rPr>
        <w:t>改进方案的优先排序表如表C</w:t>
      </w:r>
      <w:r>
        <w:rPr>
          <w:color w:val="auto"/>
          <w:szCs w:val="21"/>
          <w:highlight w:val="none"/>
        </w:rPr>
        <w:t xml:space="preserve">.2 </w:t>
      </w:r>
      <w:r>
        <w:rPr>
          <w:rFonts w:hint="eastAsia"/>
          <w:color w:val="auto"/>
          <w:szCs w:val="21"/>
          <w:highlight w:val="none"/>
        </w:rPr>
        <w:t xml:space="preserve">所示 </w:t>
      </w:r>
    </w:p>
    <w:p>
      <w:pPr>
        <w:widowControl/>
        <w:jc w:val="center"/>
        <w:rPr>
          <w:rFonts w:ascii="黑体" w:hAnsi="宋体" w:eastAsia="黑体" w:cs="黑体"/>
          <w:color w:val="auto"/>
          <w:kern w:val="0"/>
          <w:szCs w:val="21"/>
          <w:highlight w:val="none"/>
          <w:lang w:bidi="ar"/>
        </w:rPr>
      </w:pPr>
      <w:r>
        <w:rPr>
          <w:rFonts w:hint="eastAsia" w:ascii="黑体" w:hAnsi="宋体" w:eastAsia="黑体" w:cs="黑体"/>
          <w:color w:val="auto"/>
          <w:kern w:val="0"/>
          <w:szCs w:val="21"/>
          <w:highlight w:val="none"/>
          <w:lang w:bidi="ar"/>
        </w:rPr>
        <w:t>表 C.2 改进方案的优先排序表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2563"/>
        <w:gridCol w:w="1012"/>
        <w:gridCol w:w="825"/>
        <w:gridCol w:w="813"/>
        <w:gridCol w:w="600"/>
        <w:gridCol w:w="662"/>
        <w:gridCol w:w="70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环节</w:t>
            </w:r>
          </w:p>
        </w:tc>
        <w:tc>
          <w:tcPr>
            <w:tcW w:w="256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改进方案</w:t>
            </w:r>
          </w:p>
        </w:tc>
        <w:tc>
          <w:tcPr>
            <w:tcW w:w="1012" w:type="dxa"/>
            <w:vAlign w:val="center"/>
          </w:tcPr>
          <w:p>
            <w:pPr>
              <w:widowControl/>
              <w:jc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生命周期</w:t>
            </w:r>
          </w:p>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阶段</w:t>
            </w:r>
          </w:p>
        </w:tc>
        <w:tc>
          <w:tcPr>
            <w:tcW w:w="825" w:type="dxa"/>
            <w:vAlign w:val="center"/>
          </w:tcPr>
          <w:p>
            <w:pPr>
              <w:widowControl/>
              <w:jc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技术</w:t>
            </w:r>
          </w:p>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可行性</w:t>
            </w:r>
          </w:p>
        </w:tc>
        <w:tc>
          <w:tcPr>
            <w:tcW w:w="813" w:type="dxa"/>
            <w:vAlign w:val="center"/>
          </w:tcPr>
          <w:p>
            <w:pPr>
              <w:widowControl/>
              <w:jc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环境</w:t>
            </w:r>
          </w:p>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敏感性</w:t>
            </w:r>
          </w:p>
        </w:tc>
        <w:tc>
          <w:tcPr>
            <w:tcW w:w="600" w:type="dxa"/>
            <w:vAlign w:val="center"/>
          </w:tcPr>
          <w:p>
            <w:pPr>
              <w:widowControl/>
              <w:jc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经济</w:t>
            </w:r>
          </w:p>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影响</w:t>
            </w:r>
          </w:p>
        </w:tc>
        <w:tc>
          <w:tcPr>
            <w:tcW w:w="662" w:type="dxa"/>
            <w:vAlign w:val="center"/>
          </w:tcPr>
          <w:p>
            <w:pPr>
              <w:widowControl/>
              <w:jc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CVA</w:t>
            </w:r>
          </w:p>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影响</w:t>
            </w:r>
          </w:p>
        </w:tc>
        <w:tc>
          <w:tcPr>
            <w:tcW w:w="700" w:type="dxa"/>
            <w:vAlign w:val="center"/>
          </w:tcPr>
          <w:p>
            <w:pPr>
              <w:widowControl/>
              <w:jc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生产</w:t>
            </w:r>
          </w:p>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管理</w:t>
            </w:r>
          </w:p>
        </w:tc>
        <w:tc>
          <w:tcPr>
            <w:tcW w:w="66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Merge w:val="restart"/>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生产</w:t>
            </w:r>
          </w:p>
        </w:tc>
        <w:tc>
          <w:tcPr>
            <w:tcW w:w="2563" w:type="dxa"/>
            <w:vAlign w:val="center"/>
          </w:tcPr>
          <w:p>
            <w:pPr>
              <w:jc w:val="left"/>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sz w:val="18"/>
                <w:szCs w:val="18"/>
                <w:highlight w:val="none"/>
              </w:rPr>
              <w:t>开展技术改造，淘汰耗能大的落后设备，引进节能型设备，提高能效水平</w:t>
            </w:r>
          </w:p>
        </w:tc>
        <w:tc>
          <w:tcPr>
            <w:tcW w:w="101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L1.1</w:t>
            </w:r>
          </w:p>
        </w:tc>
        <w:tc>
          <w:tcPr>
            <w:tcW w:w="825"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 xml:space="preserve">++ </w:t>
            </w:r>
          </w:p>
        </w:tc>
        <w:tc>
          <w:tcPr>
            <w:tcW w:w="81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 xml:space="preserve">++ </w:t>
            </w:r>
          </w:p>
        </w:tc>
        <w:tc>
          <w:tcPr>
            <w:tcW w:w="6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c>
          <w:tcPr>
            <w:tcW w:w="66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 xml:space="preserve">+/- </w:t>
            </w:r>
          </w:p>
        </w:tc>
        <w:tc>
          <w:tcPr>
            <w:tcW w:w="7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c>
          <w:tcPr>
            <w:tcW w:w="66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Merge w:val="continue"/>
            <w:vAlign w:val="center"/>
          </w:tcPr>
          <w:p>
            <w:pPr>
              <w:widowControl/>
              <w:jc w:val="center"/>
              <w:rPr>
                <w:rFonts w:asciiTheme="minorEastAsia" w:hAnsiTheme="minorEastAsia" w:eastAsiaTheme="minorEastAsia" w:cstheme="minorEastAsia"/>
                <w:color w:val="auto"/>
                <w:kern w:val="0"/>
                <w:sz w:val="18"/>
                <w:szCs w:val="18"/>
                <w:highlight w:val="none"/>
                <w:lang w:bidi="ar"/>
              </w:rPr>
            </w:pPr>
          </w:p>
        </w:tc>
        <w:tc>
          <w:tcPr>
            <w:tcW w:w="2563" w:type="dxa"/>
            <w:vAlign w:val="center"/>
          </w:tcPr>
          <w:p>
            <w:pPr>
              <w:widowControl/>
              <w:jc w:val="left"/>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sz w:val="18"/>
                <w:szCs w:val="18"/>
                <w:highlight w:val="none"/>
              </w:rPr>
              <w:t>锌灰应采用先进处理工艺对其进行资源化、减量化处理，减少污染物排放</w:t>
            </w:r>
          </w:p>
        </w:tc>
        <w:tc>
          <w:tcPr>
            <w:tcW w:w="101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 xml:space="preserve">L1.2 </w:t>
            </w:r>
          </w:p>
        </w:tc>
        <w:tc>
          <w:tcPr>
            <w:tcW w:w="825"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c>
          <w:tcPr>
            <w:tcW w:w="81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 xml:space="preserve">++ </w:t>
            </w:r>
          </w:p>
        </w:tc>
        <w:tc>
          <w:tcPr>
            <w:tcW w:w="6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c>
          <w:tcPr>
            <w:tcW w:w="66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宋体" w:hAnsi="宋体" w:cs="宋体"/>
                <w:color w:val="auto"/>
                <w:kern w:val="0"/>
                <w:sz w:val="18"/>
                <w:szCs w:val="18"/>
                <w:highlight w:val="none"/>
                <w:lang w:bidi="ar"/>
              </w:rPr>
              <w:t>+/-</w:t>
            </w:r>
          </w:p>
        </w:tc>
        <w:tc>
          <w:tcPr>
            <w:tcW w:w="7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宋体" w:hAnsi="宋体" w:cs="宋体"/>
                <w:color w:val="auto"/>
                <w:kern w:val="0"/>
                <w:sz w:val="18"/>
                <w:szCs w:val="18"/>
                <w:highlight w:val="none"/>
                <w:lang w:bidi="ar"/>
              </w:rPr>
              <w:t>+/-</w:t>
            </w:r>
          </w:p>
        </w:tc>
        <w:tc>
          <w:tcPr>
            <w:tcW w:w="66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679" w:type="dxa"/>
            <w:vMerge w:val="continue"/>
            <w:vAlign w:val="center"/>
          </w:tcPr>
          <w:p>
            <w:pPr>
              <w:widowControl/>
              <w:jc w:val="center"/>
              <w:rPr>
                <w:rFonts w:asciiTheme="minorEastAsia" w:hAnsiTheme="minorEastAsia" w:eastAsiaTheme="minorEastAsia" w:cstheme="minorEastAsia"/>
                <w:color w:val="auto"/>
                <w:kern w:val="0"/>
                <w:sz w:val="18"/>
                <w:szCs w:val="18"/>
                <w:highlight w:val="none"/>
                <w:lang w:bidi="ar"/>
              </w:rPr>
            </w:pPr>
          </w:p>
        </w:tc>
        <w:tc>
          <w:tcPr>
            <w:tcW w:w="2563" w:type="dxa"/>
            <w:vAlign w:val="center"/>
          </w:tcPr>
          <w:p>
            <w:pPr>
              <w:jc w:val="left"/>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sz w:val="18"/>
                <w:szCs w:val="18"/>
                <w:highlight w:val="none"/>
              </w:rPr>
              <w:t>与供应商合作，尽可能减少进入工厂的包装材料种类，以便开展固体废弃物的再循环</w:t>
            </w:r>
          </w:p>
        </w:tc>
        <w:tc>
          <w:tcPr>
            <w:tcW w:w="101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L1.3</w:t>
            </w:r>
          </w:p>
        </w:tc>
        <w:tc>
          <w:tcPr>
            <w:tcW w:w="825"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c>
          <w:tcPr>
            <w:tcW w:w="81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c>
          <w:tcPr>
            <w:tcW w:w="6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宋体" w:hAnsi="宋体" w:cs="宋体"/>
                <w:color w:val="auto"/>
                <w:kern w:val="0"/>
                <w:sz w:val="18"/>
                <w:szCs w:val="18"/>
                <w:highlight w:val="none"/>
                <w:lang w:bidi="ar"/>
              </w:rPr>
              <w:t>+/-</w:t>
            </w:r>
          </w:p>
        </w:tc>
        <w:tc>
          <w:tcPr>
            <w:tcW w:w="66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宋体" w:hAnsi="宋体" w:cs="宋体"/>
                <w:color w:val="auto"/>
                <w:kern w:val="0"/>
                <w:sz w:val="18"/>
                <w:szCs w:val="18"/>
                <w:highlight w:val="none"/>
                <w:lang w:bidi="ar"/>
              </w:rPr>
              <w:t>+/-</w:t>
            </w:r>
          </w:p>
        </w:tc>
        <w:tc>
          <w:tcPr>
            <w:tcW w:w="7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宋体" w:hAnsi="宋体" w:cs="宋体"/>
                <w:color w:val="auto"/>
                <w:kern w:val="0"/>
                <w:sz w:val="18"/>
                <w:szCs w:val="18"/>
                <w:highlight w:val="none"/>
                <w:lang w:bidi="ar"/>
              </w:rPr>
              <w:t>+/-</w:t>
            </w:r>
          </w:p>
        </w:tc>
        <w:tc>
          <w:tcPr>
            <w:tcW w:w="66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679" w:type="dxa"/>
            <w:vMerge w:val="restart"/>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sz w:val="18"/>
                <w:szCs w:val="18"/>
                <w:highlight w:val="none"/>
              </w:rPr>
              <w:t>设计</w:t>
            </w:r>
          </w:p>
        </w:tc>
        <w:tc>
          <w:tcPr>
            <w:tcW w:w="2563" w:type="dxa"/>
            <w:vAlign w:val="center"/>
          </w:tcPr>
          <w:p>
            <w:pPr>
              <w:jc w:val="left"/>
              <w:rPr>
                <w:rFonts w:asciiTheme="minorEastAsia" w:hAnsiTheme="minorEastAsia" w:eastAsiaTheme="minorEastAsia" w:cstheme="minorEastAsia"/>
                <w:color w:val="auto"/>
                <w:kern w:val="0"/>
                <w:sz w:val="18"/>
                <w:szCs w:val="18"/>
                <w:highlight w:val="none"/>
                <w:lang w:bidi="ar"/>
              </w:rPr>
            </w:pPr>
            <w:r>
              <w:rPr>
                <w:rFonts w:hint="eastAsia"/>
                <w:color w:val="auto"/>
                <w:sz w:val="18"/>
                <w:szCs w:val="18"/>
                <w:highlight w:val="none"/>
              </w:rPr>
              <w:t>修改材料要求，鼓励采用电解锌片，符合要求的二次利用铝片等直接生产锌合金</w:t>
            </w:r>
          </w:p>
        </w:tc>
        <w:tc>
          <w:tcPr>
            <w:tcW w:w="101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L1.4</w:t>
            </w:r>
          </w:p>
        </w:tc>
        <w:tc>
          <w:tcPr>
            <w:tcW w:w="825"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c>
          <w:tcPr>
            <w:tcW w:w="81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宋体" w:hAnsi="宋体" w:cs="宋体"/>
                <w:color w:val="auto"/>
                <w:kern w:val="0"/>
                <w:sz w:val="18"/>
                <w:szCs w:val="18"/>
                <w:highlight w:val="none"/>
                <w:lang w:bidi="ar"/>
              </w:rPr>
              <w:t>+/-</w:t>
            </w:r>
          </w:p>
        </w:tc>
        <w:tc>
          <w:tcPr>
            <w:tcW w:w="6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c>
          <w:tcPr>
            <w:tcW w:w="66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宋体" w:hAnsi="宋体" w:cs="宋体"/>
                <w:color w:val="auto"/>
                <w:kern w:val="0"/>
                <w:sz w:val="18"/>
                <w:szCs w:val="18"/>
                <w:highlight w:val="none"/>
                <w:lang w:bidi="ar"/>
              </w:rPr>
              <w:t>+</w:t>
            </w:r>
          </w:p>
        </w:tc>
        <w:tc>
          <w:tcPr>
            <w:tcW w:w="7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宋体" w:hAnsi="宋体" w:cs="宋体"/>
                <w:color w:val="auto"/>
                <w:kern w:val="0"/>
                <w:sz w:val="18"/>
                <w:szCs w:val="18"/>
                <w:highlight w:val="none"/>
                <w:lang w:bidi="ar"/>
              </w:rPr>
              <w:t>+/-</w:t>
            </w:r>
          </w:p>
        </w:tc>
        <w:tc>
          <w:tcPr>
            <w:tcW w:w="66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Merge w:val="continue"/>
            <w:vAlign w:val="center"/>
          </w:tcPr>
          <w:p>
            <w:pPr>
              <w:widowControl/>
              <w:jc w:val="center"/>
              <w:rPr>
                <w:rFonts w:asciiTheme="minorEastAsia" w:hAnsiTheme="minorEastAsia" w:eastAsiaTheme="minorEastAsia" w:cstheme="minorEastAsia"/>
                <w:color w:val="auto"/>
                <w:kern w:val="0"/>
                <w:sz w:val="18"/>
                <w:szCs w:val="18"/>
                <w:highlight w:val="none"/>
                <w:lang w:bidi="ar"/>
              </w:rPr>
            </w:pPr>
          </w:p>
        </w:tc>
        <w:tc>
          <w:tcPr>
            <w:tcW w:w="2563" w:type="dxa"/>
            <w:vAlign w:val="center"/>
          </w:tcPr>
          <w:p>
            <w:pPr>
              <w:widowControl/>
              <w:jc w:val="left"/>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sz w:val="18"/>
                <w:szCs w:val="18"/>
                <w:highlight w:val="none"/>
              </w:rPr>
              <w:t>通过智能化手段进行产品设计，提高产品合格率</w:t>
            </w:r>
          </w:p>
        </w:tc>
        <w:tc>
          <w:tcPr>
            <w:tcW w:w="101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 xml:space="preserve">L1.5 </w:t>
            </w:r>
          </w:p>
        </w:tc>
        <w:tc>
          <w:tcPr>
            <w:tcW w:w="825"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 xml:space="preserve">++ </w:t>
            </w:r>
          </w:p>
        </w:tc>
        <w:tc>
          <w:tcPr>
            <w:tcW w:w="81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 xml:space="preserve">+ </w:t>
            </w:r>
          </w:p>
        </w:tc>
        <w:tc>
          <w:tcPr>
            <w:tcW w:w="6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 xml:space="preserve">+ </w:t>
            </w:r>
          </w:p>
        </w:tc>
        <w:tc>
          <w:tcPr>
            <w:tcW w:w="662"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w:t>
            </w:r>
          </w:p>
        </w:tc>
        <w:tc>
          <w:tcPr>
            <w:tcW w:w="700"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w:t>
            </w:r>
          </w:p>
        </w:tc>
        <w:tc>
          <w:tcPr>
            <w:tcW w:w="663"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1</w:t>
            </w:r>
            <w:r>
              <w:rPr>
                <w:rFonts w:hint="eastAsia" w:asciiTheme="minorEastAsia" w:hAnsiTheme="minorEastAsia" w:eastAsiaTheme="minorEastAsia" w:cstheme="minorEastAsia"/>
                <w:color w:val="auto"/>
                <w:kern w:val="0"/>
                <w:sz w:val="18"/>
                <w:szCs w:val="18"/>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Align w:val="center"/>
          </w:tcPr>
          <w:p>
            <w:pPr>
              <w:widowControl/>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管理</w:t>
            </w:r>
          </w:p>
        </w:tc>
        <w:tc>
          <w:tcPr>
            <w:tcW w:w="2563" w:type="dxa"/>
            <w:vAlign w:val="center"/>
          </w:tcPr>
          <w:p>
            <w:pPr>
              <w:jc w:val="left"/>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建立二维码发运系统，提供操作手册</w:t>
            </w:r>
          </w:p>
        </w:tc>
        <w:tc>
          <w:tcPr>
            <w:tcW w:w="1012" w:type="dxa"/>
            <w:vAlign w:val="center"/>
          </w:tcPr>
          <w:p>
            <w:pPr>
              <w:jc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L1.6</w:t>
            </w:r>
          </w:p>
        </w:tc>
        <w:tc>
          <w:tcPr>
            <w:tcW w:w="825" w:type="dxa"/>
            <w:vAlign w:val="center"/>
          </w:tcPr>
          <w:p>
            <w:pPr>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 xml:space="preserve">++ </w:t>
            </w:r>
          </w:p>
        </w:tc>
        <w:tc>
          <w:tcPr>
            <w:tcW w:w="813" w:type="dxa"/>
            <w:vAlign w:val="center"/>
          </w:tcPr>
          <w:p>
            <w:pPr>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 xml:space="preserve">+ </w:t>
            </w:r>
          </w:p>
        </w:tc>
        <w:tc>
          <w:tcPr>
            <w:tcW w:w="600" w:type="dxa"/>
            <w:vAlign w:val="center"/>
          </w:tcPr>
          <w:p>
            <w:pPr>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 xml:space="preserve">+/- </w:t>
            </w:r>
          </w:p>
        </w:tc>
        <w:tc>
          <w:tcPr>
            <w:tcW w:w="662" w:type="dxa"/>
            <w:vAlign w:val="center"/>
          </w:tcPr>
          <w:p>
            <w:pPr>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w:t>
            </w:r>
          </w:p>
        </w:tc>
        <w:tc>
          <w:tcPr>
            <w:tcW w:w="700" w:type="dxa"/>
            <w:vAlign w:val="center"/>
          </w:tcPr>
          <w:p>
            <w:pPr>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 xml:space="preserve">- </w:t>
            </w:r>
          </w:p>
        </w:tc>
        <w:tc>
          <w:tcPr>
            <w:tcW w:w="663" w:type="dxa"/>
            <w:vAlign w:val="center"/>
          </w:tcPr>
          <w:p>
            <w:pPr>
              <w:jc w:val="center"/>
              <w:rPr>
                <w:rFonts w:asciiTheme="minorEastAsia" w:hAnsiTheme="minorEastAsia" w:eastAsiaTheme="minorEastAsia" w:cstheme="minorEastAsia"/>
                <w:color w:val="auto"/>
                <w:kern w:val="0"/>
                <w:sz w:val="18"/>
                <w:szCs w:val="18"/>
                <w:highlight w:val="none"/>
                <w:lang w:bidi="ar"/>
              </w:rPr>
            </w:pPr>
            <w:r>
              <w:rPr>
                <w:rFonts w:asciiTheme="minorEastAsia" w:hAnsiTheme="minorEastAsia" w:eastAsiaTheme="minorEastAsia" w:cstheme="minorEastAsia"/>
                <w:color w:val="auto"/>
                <w:kern w:val="0"/>
                <w:sz w:val="18"/>
                <w:szCs w:val="18"/>
                <w:highlight w:val="none"/>
                <w:lang w:bidi="ar"/>
              </w:rPr>
              <w:t xml:space="preserve">13 </w:t>
            </w:r>
          </w:p>
        </w:tc>
      </w:tr>
    </w:tbl>
    <w:p>
      <w:pPr>
        <w:spacing w:before="156" w:beforeLines="50"/>
        <w:jc w:val="left"/>
        <w:rPr>
          <w:rFonts w:ascii="黑体" w:hAnsi="黑体" w:eastAsia="黑体"/>
          <w:color w:val="auto"/>
          <w:szCs w:val="21"/>
          <w:highlight w:val="none"/>
        </w:rPr>
      </w:pPr>
      <w:r>
        <w:rPr>
          <w:rFonts w:hint="eastAsia" w:ascii="黑体" w:hAnsi="黑体" w:eastAsia="黑体"/>
          <w:color w:val="auto"/>
          <w:szCs w:val="21"/>
          <w:highlight w:val="none"/>
        </w:rPr>
        <w:t xml:space="preserve">C.2.3 实施者优先排序图和生命周期阶段优先排序图 </w:t>
      </w:r>
    </w:p>
    <w:p>
      <w:pPr>
        <w:ind w:firstLine="420" w:firstLineChars="200"/>
        <w:jc w:val="left"/>
        <w:rPr>
          <w:color w:val="auto"/>
          <w:szCs w:val="21"/>
          <w:highlight w:val="none"/>
        </w:rPr>
      </w:pPr>
      <w:r>
        <w:rPr>
          <w:rFonts w:hint="eastAsia"/>
          <w:color w:val="auto"/>
          <w:szCs w:val="21"/>
          <w:highlight w:val="none"/>
        </w:rPr>
        <w:t>图 C</w:t>
      </w:r>
      <w:r>
        <w:rPr>
          <w:color w:val="auto"/>
          <w:szCs w:val="21"/>
          <w:highlight w:val="none"/>
        </w:rPr>
        <w:t xml:space="preserve">.1 </w:t>
      </w:r>
      <w:r>
        <w:rPr>
          <w:rFonts w:hint="eastAsia"/>
          <w:color w:val="auto"/>
          <w:szCs w:val="21"/>
          <w:highlight w:val="none"/>
        </w:rPr>
        <w:t xml:space="preserve">为实施者优先排序图，可以看出在原材料获取和产品生产环节，有两项措施最为优先：一是开展技术改造，淘汰耗能大的落后设备，引进节能型设备，提高能效水平；二是锌灰应采用先进处理工艺对其进行资源化、减量化处理，减少污染物排放。 </w:t>
      </w:r>
    </w:p>
    <w:p>
      <w:pPr>
        <w:ind w:firstLine="420" w:firstLineChars="200"/>
        <w:jc w:val="left"/>
        <w:rPr>
          <w:rFonts w:ascii="宋体" w:hAnsi="宋体" w:cs="宋体"/>
          <w:color w:val="auto"/>
          <w:kern w:val="0"/>
          <w:szCs w:val="21"/>
          <w:highlight w:val="none"/>
          <w:lang w:bidi="ar"/>
        </w:rPr>
      </w:pPr>
      <w:r>
        <w:rPr>
          <w:rFonts w:hint="eastAsia"/>
          <w:color w:val="auto"/>
          <w:szCs w:val="21"/>
          <w:highlight w:val="none"/>
        </w:rPr>
        <w:t>图C</w:t>
      </w:r>
      <w:r>
        <w:rPr>
          <w:color w:val="auto"/>
          <w:szCs w:val="21"/>
          <w:highlight w:val="none"/>
        </w:rPr>
        <w:t xml:space="preserve">.2 </w:t>
      </w:r>
      <w:r>
        <w:rPr>
          <w:rFonts w:hint="eastAsia"/>
          <w:color w:val="auto"/>
          <w:szCs w:val="21"/>
          <w:highlight w:val="none"/>
        </w:rPr>
        <w:t>生命周期阶段优先排序图，为改进方案提供了一个新的评估手段，即将改进方案按时间</w:t>
      </w:r>
      <w:r>
        <w:rPr>
          <w:rFonts w:hint="eastAsia" w:ascii="宋体" w:hAnsi="宋体" w:cs="宋体"/>
          <w:color w:val="auto"/>
          <w:kern w:val="0"/>
          <w:szCs w:val="21"/>
          <w:highlight w:val="none"/>
          <w:lang w:bidi="ar"/>
        </w:rPr>
        <w:t>和空间进行排序。例如，原材料获取和锌灰处置的优先度很高，因此该阶段的环境影响相对较大。而减少进入工厂的包装材料种类和建立二维码信息发运系统的优先度较低。</w:t>
      </w:r>
    </w:p>
    <w:p>
      <w:pPr>
        <w:jc w:val="center"/>
        <w:rPr>
          <w:color w:val="auto"/>
          <w:highlight w:val="none"/>
        </w:rPr>
      </w:pPr>
      <w:r>
        <w:rPr>
          <w:color w:val="auto"/>
          <w:highlight w:val="none"/>
        </w:rPr>
        <w:drawing>
          <wp:inline distT="0" distB="0" distL="0" distR="0">
            <wp:extent cx="4572000" cy="2647950"/>
            <wp:effectExtent l="0" t="0" r="19050"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jc w:val="left"/>
        <w:rPr>
          <w:rFonts w:ascii="黑体" w:hAnsi="宋体" w:eastAsia="黑体" w:cs="黑体"/>
          <w:color w:val="auto"/>
          <w:kern w:val="0"/>
          <w:szCs w:val="21"/>
          <w:highlight w:val="none"/>
          <w:lang w:bidi="ar"/>
        </w:rPr>
      </w:pPr>
      <w:r>
        <w:rPr>
          <w:rFonts w:hint="eastAsia" w:ascii="黑体" w:hAnsi="宋体" w:eastAsia="黑体" w:cs="黑体"/>
          <w:color w:val="auto"/>
          <w:kern w:val="0"/>
          <w:sz w:val="18"/>
          <w:szCs w:val="18"/>
          <w:highlight w:val="none"/>
          <w:lang w:bidi="ar"/>
        </w:rPr>
        <w:t>注：</w:t>
      </w:r>
      <w:r>
        <w:rPr>
          <w:rFonts w:hint="eastAsia" w:ascii="宋体" w:hAnsi="宋体" w:cs="宋体"/>
          <w:color w:val="auto"/>
          <w:kern w:val="0"/>
          <w:sz w:val="18"/>
          <w:szCs w:val="18"/>
          <w:highlight w:val="none"/>
          <w:lang w:bidi="ar"/>
        </w:rPr>
        <w:t>横轴上对应的是关于生产（</w:t>
      </w:r>
      <w:r>
        <w:rPr>
          <w:rFonts w:ascii="TimesNewRomanPSMT" w:hAnsi="TimesNewRomanPSMT" w:eastAsia="TimesNewRomanPSMT" w:cs="TimesNewRomanPSMT"/>
          <w:color w:val="auto"/>
          <w:kern w:val="0"/>
          <w:sz w:val="18"/>
          <w:szCs w:val="18"/>
          <w:highlight w:val="none"/>
          <w:lang w:bidi="ar"/>
        </w:rPr>
        <w:t>M</w:t>
      </w:r>
      <w:r>
        <w:rPr>
          <w:rFonts w:hint="eastAsia" w:ascii="宋体" w:hAnsi="宋体" w:cs="宋体"/>
          <w:color w:val="auto"/>
          <w:kern w:val="0"/>
          <w:sz w:val="18"/>
          <w:szCs w:val="18"/>
          <w:highlight w:val="none"/>
          <w:lang w:bidi="ar"/>
        </w:rPr>
        <w:t>）、设计（</w:t>
      </w:r>
      <w:r>
        <w:rPr>
          <w:rFonts w:ascii="TimesNewRomanPSMT" w:hAnsi="TimesNewRomanPSMT" w:eastAsia="TimesNewRomanPSMT" w:cs="TimesNewRomanPSMT"/>
          <w:color w:val="auto"/>
          <w:kern w:val="0"/>
          <w:sz w:val="18"/>
          <w:szCs w:val="18"/>
          <w:highlight w:val="none"/>
          <w:lang w:bidi="ar"/>
        </w:rPr>
        <w:t>D</w:t>
      </w:r>
      <w:r>
        <w:rPr>
          <w:rFonts w:hint="eastAsia" w:ascii="宋体" w:hAnsi="宋体" w:cs="宋体"/>
          <w:color w:val="auto"/>
          <w:kern w:val="0"/>
          <w:sz w:val="18"/>
          <w:szCs w:val="18"/>
          <w:highlight w:val="none"/>
          <w:lang w:bidi="ar"/>
        </w:rPr>
        <w:t>）和管理（</w:t>
      </w:r>
      <w:r>
        <w:rPr>
          <w:rFonts w:ascii="TimesNewRomanPSMT" w:hAnsi="TimesNewRomanPSMT" w:eastAsia="TimesNewRomanPSMT" w:cs="TimesNewRomanPSMT"/>
          <w:color w:val="auto"/>
          <w:kern w:val="0"/>
          <w:sz w:val="18"/>
          <w:szCs w:val="18"/>
          <w:highlight w:val="none"/>
          <w:lang w:bidi="ar"/>
        </w:rPr>
        <w:t>MG</w:t>
      </w:r>
      <w:r>
        <w:rPr>
          <w:rFonts w:hint="eastAsia" w:ascii="宋体" w:hAnsi="宋体" w:cs="宋体"/>
          <w:color w:val="auto"/>
          <w:kern w:val="0"/>
          <w:sz w:val="18"/>
          <w:szCs w:val="18"/>
          <w:highlight w:val="none"/>
          <w:lang w:bidi="ar"/>
        </w:rPr>
        <w:t xml:space="preserve">）的改进方案；纵轴上，数字越大表明优先度越高。 </w:t>
      </w:r>
    </w:p>
    <w:p>
      <w:pPr>
        <w:widowControl/>
        <w:jc w:val="center"/>
        <w:rPr>
          <w:rFonts w:ascii="黑体" w:hAnsi="宋体" w:eastAsia="黑体" w:cs="黑体"/>
          <w:color w:val="auto"/>
          <w:kern w:val="0"/>
          <w:szCs w:val="21"/>
          <w:highlight w:val="none"/>
          <w:lang w:bidi="ar"/>
        </w:rPr>
      </w:pPr>
      <w:r>
        <w:rPr>
          <w:rFonts w:hint="eastAsia" w:ascii="黑体" w:hAnsi="宋体" w:eastAsia="黑体" w:cs="黑体"/>
          <w:color w:val="auto"/>
          <w:kern w:val="0"/>
          <w:szCs w:val="21"/>
          <w:highlight w:val="none"/>
          <w:lang w:bidi="ar"/>
        </w:rPr>
        <w:t>图 C.1 某热镀用锌合金锭产品改进方案的实施者优先排序图</w:t>
      </w:r>
    </w:p>
    <w:p>
      <w:pPr>
        <w:widowControl/>
        <w:jc w:val="center"/>
        <w:rPr>
          <w:color w:val="auto"/>
          <w:highlight w:val="none"/>
        </w:rPr>
      </w:pPr>
      <w:r>
        <w:rPr>
          <w:color w:val="auto"/>
          <w:highlight w:val="none"/>
        </w:rPr>
        <w:drawing>
          <wp:inline distT="0" distB="0" distL="0" distR="0">
            <wp:extent cx="4572000" cy="2638425"/>
            <wp:effectExtent l="0" t="0" r="1905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jc w:val="left"/>
        <w:rPr>
          <w:color w:val="auto"/>
          <w:highlight w:val="none"/>
        </w:rPr>
      </w:pPr>
      <w:r>
        <w:rPr>
          <w:rFonts w:hint="eastAsia" w:ascii="黑体" w:hAnsi="宋体" w:eastAsia="黑体" w:cs="黑体"/>
          <w:color w:val="auto"/>
          <w:kern w:val="0"/>
          <w:sz w:val="18"/>
          <w:szCs w:val="18"/>
          <w:highlight w:val="none"/>
          <w:lang w:bidi="ar"/>
        </w:rPr>
        <w:t>注：</w:t>
      </w:r>
      <w:r>
        <w:rPr>
          <w:rFonts w:hint="eastAsia" w:ascii="宋体" w:hAnsi="宋体" w:cs="宋体"/>
          <w:color w:val="auto"/>
          <w:kern w:val="0"/>
          <w:sz w:val="18"/>
          <w:szCs w:val="18"/>
          <w:highlight w:val="none"/>
          <w:lang w:bidi="ar"/>
        </w:rPr>
        <w:t xml:space="preserve">每个柱状图下方代码的第一个数字表示相应的生命周期阶段，第二个数字表示改进方案的序号。 </w:t>
      </w:r>
    </w:p>
    <w:p>
      <w:pPr>
        <w:widowControl/>
        <w:jc w:val="center"/>
        <w:rPr>
          <w:rFonts w:ascii="黑体" w:hAnsi="宋体" w:eastAsia="黑体" w:cs="黑体"/>
          <w:color w:val="auto"/>
          <w:kern w:val="0"/>
          <w:szCs w:val="21"/>
          <w:highlight w:val="none"/>
          <w:lang w:bidi="ar"/>
        </w:rPr>
      </w:pPr>
      <w:r>
        <w:rPr>
          <w:rFonts w:hint="eastAsia" w:ascii="黑体" w:hAnsi="宋体" w:eastAsia="黑体" w:cs="黑体"/>
          <w:color w:val="auto"/>
          <w:kern w:val="0"/>
          <w:szCs w:val="21"/>
          <w:highlight w:val="none"/>
          <w:lang w:bidi="ar"/>
        </w:rPr>
        <w:t>图 C.2 某热镀用锌合金锭产品改进方案的生命周期阶段优先排序图</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8" o:spid="_x0000_s205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2055" o:spid="_x0000_s205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E42113"/>
    <w:multiLevelType w:val="multilevel"/>
    <w:tmpl w:val="D2E42113"/>
    <w:lvl w:ilvl="0" w:tentative="0">
      <w:start w:val="1"/>
      <w:numFmt w:val="lowerLetter"/>
      <w:lvlText w:val="%1)"/>
      <w:lvlJc w:val="left"/>
      <w:pPr>
        <w:tabs>
          <w:tab w:val="left" w:pos="915"/>
        </w:tabs>
        <w:ind w:left="915" w:hanging="285"/>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85CE231"/>
    <w:multiLevelType w:val="multilevel"/>
    <w:tmpl w:val="085CE231"/>
    <w:lvl w:ilvl="0" w:tentative="0">
      <w:start w:val="1"/>
      <w:numFmt w:val="lowerLetter"/>
      <w:lvlText w:val="%1)"/>
      <w:lvlJc w:val="left"/>
      <w:pPr>
        <w:tabs>
          <w:tab w:val="left" w:pos="915"/>
        </w:tabs>
        <w:ind w:left="915" w:hanging="285"/>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949BC9"/>
    <w:multiLevelType w:val="multilevel"/>
    <w:tmpl w:val="1F949BC9"/>
    <w:lvl w:ilvl="0" w:tentative="0">
      <w:start w:val="1"/>
      <w:numFmt w:val="lowerLetter"/>
      <w:lvlText w:val="%1)"/>
      <w:lvlJc w:val="left"/>
      <w:pPr>
        <w:tabs>
          <w:tab w:val="left" w:pos="915"/>
        </w:tabs>
        <w:ind w:left="915" w:hanging="285"/>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4C50F90"/>
    <w:multiLevelType w:val="multilevel"/>
    <w:tmpl w:val="44C50F90"/>
    <w:lvl w:ilvl="0" w:tentative="0">
      <w:start w:val="1"/>
      <w:numFmt w:val="lowerLetter"/>
      <w:pStyle w:val="43"/>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6DCE7FCF"/>
    <w:multiLevelType w:val="singleLevel"/>
    <w:tmpl w:val="6DCE7FCF"/>
    <w:lvl w:ilvl="0" w:tentative="0">
      <w:start w:val="1"/>
      <w:numFmt w:val="lowerLetter"/>
      <w:suff w:val="nothing"/>
      <w:lvlText w:val="%1）"/>
      <w:lvlJc w:val="left"/>
    </w:lvl>
  </w:abstractNum>
  <w:num w:numId="1">
    <w:abstractNumId w:val="3"/>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1E56"/>
    <w:rsid w:val="0000107C"/>
    <w:rsid w:val="000042EC"/>
    <w:rsid w:val="000119CA"/>
    <w:rsid w:val="000220B6"/>
    <w:rsid w:val="00035924"/>
    <w:rsid w:val="000413A2"/>
    <w:rsid w:val="00041729"/>
    <w:rsid w:val="00047704"/>
    <w:rsid w:val="000509EB"/>
    <w:rsid w:val="00051833"/>
    <w:rsid w:val="0006366C"/>
    <w:rsid w:val="00064671"/>
    <w:rsid w:val="00065803"/>
    <w:rsid w:val="000666A7"/>
    <w:rsid w:val="00067AEC"/>
    <w:rsid w:val="00071C03"/>
    <w:rsid w:val="000726F7"/>
    <w:rsid w:val="00074530"/>
    <w:rsid w:val="00075C57"/>
    <w:rsid w:val="000771B9"/>
    <w:rsid w:val="00081946"/>
    <w:rsid w:val="000920ED"/>
    <w:rsid w:val="0009253E"/>
    <w:rsid w:val="00093124"/>
    <w:rsid w:val="00093385"/>
    <w:rsid w:val="00096A6D"/>
    <w:rsid w:val="000A13C9"/>
    <w:rsid w:val="000A2227"/>
    <w:rsid w:val="000A2A92"/>
    <w:rsid w:val="000B18C1"/>
    <w:rsid w:val="000C279E"/>
    <w:rsid w:val="000C38AD"/>
    <w:rsid w:val="000C553A"/>
    <w:rsid w:val="000C79FE"/>
    <w:rsid w:val="000D2053"/>
    <w:rsid w:val="000D3213"/>
    <w:rsid w:val="000D50CD"/>
    <w:rsid w:val="000D63AB"/>
    <w:rsid w:val="000E2016"/>
    <w:rsid w:val="000E24F9"/>
    <w:rsid w:val="000E2E8D"/>
    <w:rsid w:val="000F0D26"/>
    <w:rsid w:val="001005E9"/>
    <w:rsid w:val="001029A4"/>
    <w:rsid w:val="00114327"/>
    <w:rsid w:val="001158B8"/>
    <w:rsid w:val="001252FD"/>
    <w:rsid w:val="00125F2A"/>
    <w:rsid w:val="0013069E"/>
    <w:rsid w:val="00130C98"/>
    <w:rsid w:val="00137123"/>
    <w:rsid w:val="0014537E"/>
    <w:rsid w:val="00151ECB"/>
    <w:rsid w:val="0015400C"/>
    <w:rsid w:val="001554D8"/>
    <w:rsid w:val="00156609"/>
    <w:rsid w:val="00156D69"/>
    <w:rsid w:val="0016323F"/>
    <w:rsid w:val="001636FC"/>
    <w:rsid w:val="001672E8"/>
    <w:rsid w:val="00170A99"/>
    <w:rsid w:val="0017146A"/>
    <w:rsid w:val="00176977"/>
    <w:rsid w:val="00180C9D"/>
    <w:rsid w:val="001822A2"/>
    <w:rsid w:val="001829BC"/>
    <w:rsid w:val="00186FD2"/>
    <w:rsid w:val="001928CA"/>
    <w:rsid w:val="0019584D"/>
    <w:rsid w:val="001A17E3"/>
    <w:rsid w:val="001B2016"/>
    <w:rsid w:val="001B6AED"/>
    <w:rsid w:val="001B7AD9"/>
    <w:rsid w:val="001C349D"/>
    <w:rsid w:val="001D03F9"/>
    <w:rsid w:val="001E0F4F"/>
    <w:rsid w:val="001E29EF"/>
    <w:rsid w:val="001E2A67"/>
    <w:rsid w:val="001E7F01"/>
    <w:rsid w:val="001F1EA3"/>
    <w:rsid w:val="001F1F5E"/>
    <w:rsid w:val="001F7852"/>
    <w:rsid w:val="00204E11"/>
    <w:rsid w:val="00205D1B"/>
    <w:rsid w:val="00216A6D"/>
    <w:rsid w:val="00221E50"/>
    <w:rsid w:val="0022324D"/>
    <w:rsid w:val="00225FBF"/>
    <w:rsid w:val="00227067"/>
    <w:rsid w:val="00231EF3"/>
    <w:rsid w:val="00233031"/>
    <w:rsid w:val="0025045E"/>
    <w:rsid w:val="00264C48"/>
    <w:rsid w:val="00266EDF"/>
    <w:rsid w:val="002671A8"/>
    <w:rsid w:val="00270A1A"/>
    <w:rsid w:val="00276EDE"/>
    <w:rsid w:val="002921A5"/>
    <w:rsid w:val="002967B5"/>
    <w:rsid w:val="00297BA0"/>
    <w:rsid w:val="002A2229"/>
    <w:rsid w:val="002A3DAF"/>
    <w:rsid w:val="002A4EEA"/>
    <w:rsid w:val="002A6F61"/>
    <w:rsid w:val="002B10BC"/>
    <w:rsid w:val="002C025D"/>
    <w:rsid w:val="002C0BC9"/>
    <w:rsid w:val="002C24EA"/>
    <w:rsid w:val="002C5D83"/>
    <w:rsid w:val="002C7DE0"/>
    <w:rsid w:val="002D0C53"/>
    <w:rsid w:val="002D18F0"/>
    <w:rsid w:val="002D2EE0"/>
    <w:rsid w:val="002D5384"/>
    <w:rsid w:val="002D6F27"/>
    <w:rsid w:val="002D7A03"/>
    <w:rsid w:val="002E2DA8"/>
    <w:rsid w:val="002E38BD"/>
    <w:rsid w:val="002E4571"/>
    <w:rsid w:val="002E4BCC"/>
    <w:rsid w:val="002E55B4"/>
    <w:rsid w:val="002E7360"/>
    <w:rsid w:val="002F060F"/>
    <w:rsid w:val="002F0DCC"/>
    <w:rsid w:val="002F2447"/>
    <w:rsid w:val="002F3B65"/>
    <w:rsid w:val="002F425B"/>
    <w:rsid w:val="003066AB"/>
    <w:rsid w:val="00307703"/>
    <w:rsid w:val="00307C81"/>
    <w:rsid w:val="003104FE"/>
    <w:rsid w:val="0031085F"/>
    <w:rsid w:val="00314A72"/>
    <w:rsid w:val="0032444B"/>
    <w:rsid w:val="003259F2"/>
    <w:rsid w:val="0033160B"/>
    <w:rsid w:val="00333CF4"/>
    <w:rsid w:val="00334C5D"/>
    <w:rsid w:val="00347471"/>
    <w:rsid w:val="00361FDC"/>
    <w:rsid w:val="00363C70"/>
    <w:rsid w:val="003739C3"/>
    <w:rsid w:val="00384441"/>
    <w:rsid w:val="00390F93"/>
    <w:rsid w:val="00390FE6"/>
    <w:rsid w:val="003912AC"/>
    <w:rsid w:val="003A417B"/>
    <w:rsid w:val="003B08ED"/>
    <w:rsid w:val="003B4EE3"/>
    <w:rsid w:val="003C5336"/>
    <w:rsid w:val="003D2CE5"/>
    <w:rsid w:val="003D3942"/>
    <w:rsid w:val="003D3A81"/>
    <w:rsid w:val="003D49D7"/>
    <w:rsid w:val="003E3395"/>
    <w:rsid w:val="003E3EA9"/>
    <w:rsid w:val="003E6788"/>
    <w:rsid w:val="003E7352"/>
    <w:rsid w:val="003F13D9"/>
    <w:rsid w:val="003F34C5"/>
    <w:rsid w:val="003F47A7"/>
    <w:rsid w:val="004018D5"/>
    <w:rsid w:val="00410104"/>
    <w:rsid w:val="00410972"/>
    <w:rsid w:val="004163FE"/>
    <w:rsid w:val="00420C0D"/>
    <w:rsid w:val="00432FE0"/>
    <w:rsid w:val="00434900"/>
    <w:rsid w:val="00434E8E"/>
    <w:rsid w:val="00435BB3"/>
    <w:rsid w:val="00436B30"/>
    <w:rsid w:val="00453B18"/>
    <w:rsid w:val="004548CF"/>
    <w:rsid w:val="004579E8"/>
    <w:rsid w:val="004621D9"/>
    <w:rsid w:val="00466076"/>
    <w:rsid w:val="00471930"/>
    <w:rsid w:val="00472E80"/>
    <w:rsid w:val="004735EF"/>
    <w:rsid w:val="00480D18"/>
    <w:rsid w:val="00491650"/>
    <w:rsid w:val="00494738"/>
    <w:rsid w:val="00495FE9"/>
    <w:rsid w:val="004B2AC0"/>
    <w:rsid w:val="004B4160"/>
    <w:rsid w:val="004B417D"/>
    <w:rsid w:val="004B5025"/>
    <w:rsid w:val="004C19A5"/>
    <w:rsid w:val="004C2632"/>
    <w:rsid w:val="004C5CBF"/>
    <w:rsid w:val="004C6B76"/>
    <w:rsid w:val="004D34C6"/>
    <w:rsid w:val="004F03A8"/>
    <w:rsid w:val="004F733A"/>
    <w:rsid w:val="0050047C"/>
    <w:rsid w:val="00500FC0"/>
    <w:rsid w:val="00510978"/>
    <w:rsid w:val="005114D3"/>
    <w:rsid w:val="00525B57"/>
    <w:rsid w:val="00527049"/>
    <w:rsid w:val="00527CCE"/>
    <w:rsid w:val="005314E7"/>
    <w:rsid w:val="00542802"/>
    <w:rsid w:val="005442E2"/>
    <w:rsid w:val="0054671F"/>
    <w:rsid w:val="00552ECC"/>
    <w:rsid w:val="005603B0"/>
    <w:rsid w:val="00560785"/>
    <w:rsid w:val="005636D3"/>
    <w:rsid w:val="00565AD3"/>
    <w:rsid w:val="00566324"/>
    <w:rsid w:val="00571576"/>
    <w:rsid w:val="00572471"/>
    <w:rsid w:val="00572592"/>
    <w:rsid w:val="00574059"/>
    <w:rsid w:val="00585DB6"/>
    <w:rsid w:val="005B11C5"/>
    <w:rsid w:val="005B1D64"/>
    <w:rsid w:val="005B6D96"/>
    <w:rsid w:val="005C640D"/>
    <w:rsid w:val="005D4863"/>
    <w:rsid w:val="005D6E2E"/>
    <w:rsid w:val="005D7CE4"/>
    <w:rsid w:val="005E5143"/>
    <w:rsid w:val="005F795E"/>
    <w:rsid w:val="00607F97"/>
    <w:rsid w:val="00612A6B"/>
    <w:rsid w:val="0061454E"/>
    <w:rsid w:val="00614D99"/>
    <w:rsid w:val="006243F7"/>
    <w:rsid w:val="00633E44"/>
    <w:rsid w:val="00633E4E"/>
    <w:rsid w:val="00637163"/>
    <w:rsid w:val="006374EA"/>
    <w:rsid w:val="0064562D"/>
    <w:rsid w:val="006507A6"/>
    <w:rsid w:val="0065225C"/>
    <w:rsid w:val="00652F06"/>
    <w:rsid w:val="00653DB4"/>
    <w:rsid w:val="006622FD"/>
    <w:rsid w:val="00671446"/>
    <w:rsid w:val="00671925"/>
    <w:rsid w:val="006728FB"/>
    <w:rsid w:val="00696060"/>
    <w:rsid w:val="006A1E9A"/>
    <w:rsid w:val="006A4D0C"/>
    <w:rsid w:val="006A6DE9"/>
    <w:rsid w:val="006A7145"/>
    <w:rsid w:val="006B010D"/>
    <w:rsid w:val="006B3C0F"/>
    <w:rsid w:val="006C3D5C"/>
    <w:rsid w:val="006D2E3A"/>
    <w:rsid w:val="006D3A31"/>
    <w:rsid w:val="006E4E2E"/>
    <w:rsid w:val="006F26BC"/>
    <w:rsid w:val="006F5E27"/>
    <w:rsid w:val="007012D7"/>
    <w:rsid w:val="007045A9"/>
    <w:rsid w:val="00704AF5"/>
    <w:rsid w:val="00706A54"/>
    <w:rsid w:val="0071435F"/>
    <w:rsid w:val="00714649"/>
    <w:rsid w:val="007175AA"/>
    <w:rsid w:val="00727B57"/>
    <w:rsid w:val="00730472"/>
    <w:rsid w:val="007316DD"/>
    <w:rsid w:val="00736570"/>
    <w:rsid w:val="00736611"/>
    <w:rsid w:val="007522FE"/>
    <w:rsid w:val="007551F6"/>
    <w:rsid w:val="00756F3B"/>
    <w:rsid w:val="00760748"/>
    <w:rsid w:val="00763456"/>
    <w:rsid w:val="00765E2E"/>
    <w:rsid w:val="00767AA3"/>
    <w:rsid w:val="00772ECA"/>
    <w:rsid w:val="00782DF0"/>
    <w:rsid w:val="00783353"/>
    <w:rsid w:val="00785F9C"/>
    <w:rsid w:val="00791DE6"/>
    <w:rsid w:val="0079342A"/>
    <w:rsid w:val="00796345"/>
    <w:rsid w:val="00796D17"/>
    <w:rsid w:val="007A27A8"/>
    <w:rsid w:val="007B43B7"/>
    <w:rsid w:val="007B695E"/>
    <w:rsid w:val="007B747A"/>
    <w:rsid w:val="007C0462"/>
    <w:rsid w:val="007C12C6"/>
    <w:rsid w:val="007D17D3"/>
    <w:rsid w:val="007D6E5C"/>
    <w:rsid w:val="007D7BAA"/>
    <w:rsid w:val="007E1E4E"/>
    <w:rsid w:val="007E3127"/>
    <w:rsid w:val="007E5119"/>
    <w:rsid w:val="007E5AE6"/>
    <w:rsid w:val="007F145D"/>
    <w:rsid w:val="007F1E56"/>
    <w:rsid w:val="007F21A6"/>
    <w:rsid w:val="007F3F8A"/>
    <w:rsid w:val="007F5530"/>
    <w:rsid w:val="007F5DB3"/>
    <w:rsid w:val="007F7622"/>
    <w:rsid w:val="008008CC"/>
    <w:rsid w:val="00802D85"/>
    <w:rsid w:val="00814608"/>
    <w:rsid w:val="00816278"/>
    <w:rsid w:val="00827DAA"/>
    <w:rsid w:val="00834A78"/>
    <w:rsid w:val="008350A2"/>
    <w:rsid w:val="00836057"/>
    <w:rsid w:val="0083718F"/>
    <w:rsid w:val="00837ADB"/>
    <w:rsid w:val="008409F6"/>
    <w:rsid w:val="0084100F"/>
    <w:rsid w:val="008411E7"/>
    <w:rsid w:val="00845FA8"/>
    <w:rsid w:val="008473D3"/>
    <w:rsid w:val="008522EF"/>
    <w:rsid w:val="00854633"/>
    <w:rsid w:val="00854840"/>
    <w:rsid w:val="00860446"/>
    <w:rsid w:val="0086185D"/>
    <w:rsid w:val="00861A56"/>
    <w:rsid w:val="008657FD"/>
    <w:rsid w:val="008675D0"/>
    <w:rsid w:val="00870B09"/>
    <w:rsid w:val="008726FA"/>
    <w:rsid w:val="008850E4"/>
    <w:rsid w:val="00890FD2"/>
    <w:rsid w:val="0089155F"/>
    <w:rsid w:val="00892147"/>
    <w:rsid w:val="00894C7C"/>
    <w:rsid w:val="008A41B0"/>
    <w:rsid w:val="008B1EA6"/>
    <w:rsid w:val="008B4313"/>
    <w:rsid w:val="008B586B"/>
    <w:rsid w:val="008B7277"/>
    <w:rsid w:val="008C0891"/>
    <w:rsid w:val="008C324A"/>
    <w:rsid w:val="008D2A02"/>
    <w:rsid w:val="008D3C5E"/>
    <w:rsid w:val="008D61AF"/>
    <w:rsid w:val="008D79FA"/>
    <w:rsid w:val="008E12C8"/>
    <w:rsid w:val="008E6687"/>
    <w:rsid w:val="008F1151"/>
    <w:rsid w:val="008F2B41"/>
    <w:rsid w:val="008F4CF0"/>
    <w:rsid w:val="009062D4"/>
    <w:rsid w:val="00912168"/>
    <w:rsid w:val="00912E6C"/>
    <w:rsid w:val="00920E6C"/>
    <w:rsid w:val="00935470"/>
    <w:rsid w:val="009429BC"/>
    <w:rsid w:val="00943AFF"/>
    <w:rsid w:val="00953A13"/>
    <w:rsid w:val="00954744"/>
    <w:rsid w:val="00955D21"/>
    <w:rsid w:val="00962496"/>
    <w:rsid w:val="009673E9"/>
    <w:rsid w:val="009872AA"/>
    <w:rsid w:val="009A1020"/>
    <w:rsid w:val="009A722B"/>
    <w:rsid w:val="009C4AE4"/>
    <w:rsid w:val="009D3038"/>
    <w:rsid w:val="009D6696"/>
    <w:rsid w:val="009D7198"/>
    <w:rsid w:val="009E3344"/>
    <w:rsid w:val="009E3F2E"/>
    <w:rsid w:val="009E4ACB"/>
    <w:rsid w:val="009E6261"/>
    <w:rsid w:val="009F06BA"/>
    <w:rsid w:val="009F3B73"/>
    <w:rsid w:val="009F7C21"/>
    <w:rsid w:val="00A02DCA"/>
    <w:rsid w:val="00A03961"/>
    <w:rsid w:val="00A03DF4"/>
    <w:rsid w:val="00A0474A"/>
    <w:rsid w:val="00A10BFD"/>
    <w:rsid w:val="00A14E54"/>
    <w:rsid w:val="00A211DA"/>
    <w:rsid w:val="00A318C7"/>
    <w:rsid w:val="00A40C0F"/>
    <w:rsid w:val="00A414E1"/>
    <w:rsid w:val="00A42FA4"/>
    <w:rsid w:val="00A47D43"/>
    <w:rsid w:val="00A50BFA"/>
    <w:rsid w:val="00A539D6"/>
    <w:rsid w:val="00A62199"/>
    <w:rsid w:val="00A638D7"/>
    <w:rsid w:val="00A832D3"/>
    <w:rsid w:val="00A86250"/>
    <w:rsid w:val="00A9454B"/>
    <w:rsid w:val="00AA3865"/>
    <w:rsid w:val="00AA5723"/>
    <w:rsid w:val="00AA572B"/>
    <w:rsid w:val="00AA6166"/>
    <w:rsid w:val="00AB3F14"/>
    <w:rsid w:val="00AB4BC7"/>
    <w:rsid w:val="00AB61C0"/>
    <w:rsid w:val="00AB74C7"/>
    <w:rsid w:val="00AB7B49"/>
    <w:rsid w:val="00AC3F65"/>
    <w:rsid w:val="00AD326D"/>
    <w:rsid w:val="00AE089C"/>
    <w:rsid w:val="00AF6867"/>
    <w:rsid w:val="00B02134"/>
    <w:rsid w:val="00B0284E"/>
    <w:rsid w:val="00B12F4C"/>
    <w:rsid w:val="00B16078"/>
    <w:rsid w:val="00B176D3"/>
    <w:rsid w:val="00B22E73"/>
    <w:rsid w:val="00B277CA"/>
    <w:rsid w:val="00B33D90"/>
    <w:rsid w:val="00B35F61"/>
    <w:rsid w:val="00B424E9"/>
    <w:rsid w:val="00B42E64"/>
    <w:rsid w:val="00B43E9F"/>
    <w:rsid w:val="00B44659"/>
    <w:rsid w:val="00B45BCE"/>
    <w:rsid w:val="00B51E0F"/>
    <w:rsid w:val="00B67B6B"/>
    <w:rsid w:val="00B67D6A"/>
    <w:rsid w:val="00B72E1B"/>
    <w:rsid w:val="00B8075C"/>
    <w:rsid w:val="00B8394B"/>
    <w:rsid w:val="00B87D03"/>
    <w:rsid w:val="00B90608"/>
    <w:rsid w:val="00B910F4"/>
    <w:rsid w:val="00B91854"/>
    <w:rsid w:val="00B933B5"/>
    <w:rsid w:val="00B943F4"/>
    <w:rsid w:val="00BB047D"/>
    <w:rsid w:val="00BB11FF"/>
    <w:rsid w:val="00BB74E3"/>
    <w:rsid w:val="00BC2ABD"/>
    <w:rsid w:val="00BC5932"/>
    <w:rsid w:val="00BC64CA"/>
    <w:rsid w:val="00BD2126"/>
    <w:rsid w:val="00BD6274"/>
    <w:rsid w:val="00BD6CC1"/>
    <w:rsid w:val="00BE279C"/>
    <w:rsid w:val="00BE2FDD"/>
    <w:rsid w:val="00BE544C"/>
    <w:rsid w:val="00BE6DF8"/>
    <w:rsid w:val="00C00A54"/>
    <w:rsid w:val="00C023DA"/>
    <w:rsid w:val="00C07FC4"/>
    <w:rsid w:val="00C10D7F"/>
    <w:rsid w:val="00C127AD"/>
    <w:rsid w:val="00C13E9C"/>
    <w:rsid w:val="00C15121"/>
    <w:rsid w:val="00C16521"/>
    <w:rsid w:val="00C16653"/>
    <w:rsid w:val="00C17F1C"/>
    <w:rsid w:val="00C21C92"/>
    <w:rsid w:val="00C23530"/>
    <w:rsid w:val="00C235C3"/>
    <w:rsid w:val="00C274F5"/>
    <w:rsid w:val="00C32ED7"/>
    <w:rsid w:val="00C4165D"/>
    <w:rsid w:val="00C4395A"/>
    <w:rsid w:val="00C4554E"/>
    <w:rsid w:val="00C4557B"/>
    <w:rsid w:val="00C47BD4"/>
    <w:rsid w:val="00C50C83"/>
    <w:rsid w:val="00C52DDA"/>
    <w:rsid w:val="00C61405"/>
    <w:rsid w:val="00C66D31"/>
    <w:rsid w:val="00C678C2"/>
    <w:rsid w:val="00C71ECF"/>
    <w:rsid w:val="00C7785C"/>
    <w:rsid w:val="00C801FF"/>
    <w:rsid w:val="00C87004"/>
    <w:rsid w:val="00C9121B"/>
    <w:rsid w:val="00C92893"/>
    <w:rsid w:val="00C9528C"/>
    <w:rsid w:val="00CA50D6"/>
    <w:rsid w:val="00CA5C11"/>
    <w:rsid w:val="00CA6775"/>
    <w:rsid w:val="00CA6B92"/>
    <w:rsid w:val="00CB258F"/>
    <w:rsid w:val="00CC2D60"/>
    <w:rsid w:val="00CD1E23"/>
    <w:rsid w:val="00CD36C5"/>
    <w:rsid w:val="00CD6E8E"/>
    <w:rsid w:val="00CE0F16"/>
    <w:rsid w:val="00CE1E7C"/>
    <w:rsid w:val="00CE29C1"/>
    <w:rsid w:val="00CE2BB8"/>
    <w:rsid w:val="00CE79F4"/>
    <w:rsid w:val="00CF24C5"/>
    <w:rsid w:val="00CF2711"/>
    <w:rsid w:val="00CF2824"/>
    <w:rsid w:val="00CF6F70"/>
    <w:rsid w:val="00D00824"/>
    <w:rsid w:val="00D01AA4"/>
    <w:rsid w:val="00D056CC"/>
    <w:rsid w:val="00D13103"/>
    <w:rsid w:val="00D13E54"/>
    <w:rsid w:val="00D15F23"/>
    <w:rsid w:val="00D16BAC"/>
    <w:rsid w:val="00D219E5"/>
    <w:rsid w:val="00D21B3B"/>
    <w:rsid w:val="00D221DF"/>
    <w:rsid w:val="00D23808"/>
    <w:rsid w:val="00D25071"/>
    <w:rsid w:val="00D255B3"/>
    <w:rsid w:val="00D27EF7"/>
    <w:rsid w:val="00D3477B"/>
    <w:rsid w:val="00D361BB"/>
    <w:rsid w:val="00D370D4"/>
    <w:rsid w:val="00D37FEA"/>
    <w:rsid w:val="00D41678"/>
    <w:rsid w:val="00D52A4B"/>
    <w:rsid w:val="00D53B6D"/>
    <w:rsid w:val="00D568E2"/>
    <w:rsid w:val="00D56A12"/>
    <w:rsid w:val="00D56D81"/>
    <w:rsid w:val="00D624C9"/>
    <w:rsid w:val="00D62521"/>
    <w:rsid w:val="00D708BD"/>
    <w:rsid w:val="00D732AA"/>
    <w:rsid w:val="00D73961"/>
    <w:rsid w:val="00D82580"/>
    <w:rsid w:val="00D8260B"/>
    <w:rsid w:val="00D85561"/>
    <w:rsid w:val="00D92C38"/>
    <w:rsid w:val="00D92D95"/>
    <w:rsid w:val="00DB5DFA"/>
    <w:rsid w:val="00DB728C"/>
    <w:rsid w:val="00DC209A"/>
    <w:rsid w:val="00DC37C4"/>
    <w:rsid w:val="00DC3B50"/>
    <w:rsid w:val="00DD1092"/>
    <w:rsid w:val="00DE1D5F"/>
    <w:rsid w:val="00DF4FAD"/>
    <w:rsid w:val="00E05FA2"/>
    <w:rsid w:val="00E13BAB"/>
    <w:rsid w:val="00E16780"/>
    <w:rsid w:val="00E23772"/>
    <w:rsid w:val="00E250F9"/>
    <w:rsid w:val="00E25977"/>
    <w:rsid w:val="00E265C2"/>
    <w:rsid w:val="00E32C7B"/>
    <w:rsid w:val="00E338DC"/>
    <w:rsid w:val="00E40D10"/>
    <w:rsid w:val="00E4523A"/>
    <w:rsid w:val="00E47FD7"/>
    <w:rsid w:val="00E50826"/>
    <w:rsid w:val="00E67394"/>
    <w:rsid w:val="00E71B03"/>
    <w:rsid w:val="00E7286D"/>
    <w:rsid w:val="00E76C8A"/>
    <w:rsid w:val="00E85841"/>
    <w:rsid w:val="00E86202"/>
    <w:rsid w:val="00E96DB4"/>
    <w:rsid w:val="00EB7FDC"/>
    <w:rsid w:val="00ED190B"/>
    <w:rsid w:val="00ED1B7A"/>
    <w:rsid w:val="00ED2165"/>
    <w:rsid w:val="00ED22C2"/>
    <w:rsid w:val="00ED55C1"/>
    <w:rsid w:val="00EE2A10"/>
    <w:rsid w:val="00EE6711"/>
    <w:rsid w:val="00EE6DE1"/>
    <w:rsid w:val="00EE7DFD"/>
    <w:rsid w:val="00EF3A85"/>
    <w:rsid w:val="00EF471A"/>
    <w:rsid w:val="00EF6A0C"/>
    <w:rsid w:val="00EF7F16"/>
    <w:rsid w:val="00F042A9"/>
    <w:rsid w:val="00F06E9E"/>
    <w:rsid w:val="00F079D4"/>
    <w:rsid w:val="00F07A11"/>
    <w:rsid w:val="00F130EE"/>
    <w:rsid w:val="00F152BB"/>
    <w:rsid w:val="00F15337"/>
    <w:rsid w:val="00F16321"/>
    <w:rsid w:val="00F16D6D"/>
    <w:rsid w:val="00F175FA"/>
    <w:rsid w:val="00F22D5F"/>
    <w:rsid w:val="00F27752"/>
    <w:rsid w:val="00F30A7F"/>
    <w:rsid w:val="00F34800"/>
    <w:rsid w:val="00F43900"/>
    <w:rsid w:val="00F45FED"/>
    <w:rsid w:val="00F47EF1"/>
    <w:rsid w:val="00F509FA"/>
    <w:rsid w:val="00F514AE"/>
    <w:rsid w:val="00F72A9D"/>
    <w:rsid w:val="00F75608"/>
    <w:rsid w:val="00F82110"/>
    <w:rsid w:val="00F8526E"/>
    <w:rsid w:val="00F90A75"/>
    <w:rsid w:val="00F94D20"/>
    <w:rsid w:val="00F96039"/>
    <w:rsid w:val="00F97953"/>
    <w:rsid w:val="00FA6C8B"/>
    <w:rsid w:val="00FB110B"/>
    <w:rsid w:val="00FB3AA4"/>
    <w:rsid w:val="00FB4601"/>
    <w:rsid w:val="00FB6E2C"/>
    <w:rsid w:val="00FC27F9"/>
    <w:rsid w:val="00FC34C7"/>
    <w:rsid w:val="00FC3FDD"/>
    <w:rsid w:val="00FC7490"/>
    <w:rsid w:val="00FD2C65"/>
    <w:rsid w:val="00FE3114"/>
    <w:rsid w:val="033671A5"/>
    <w:rsid w:val="04E12F03"/>
    <w:rsid w:val="059F5E21"/>
    <w:rsid w:val="078609C8"/>
    <w:rsid w:val="0A2847BA"/>
    <w:rsid w:val="0ED53707"/>
    <w:rsid w:val="116A74EC"/>
    <w:rsid w:val="15681C75"/>
    <w:rsid w:val="159D5101"/>
    <w:rsid w:val="19481B43"/>
    <w:rsid w:val="19635942"/>
    <w:rsid w:val="1A3629F0"/>
    <w:rsid w:val="1B126D99"/>
    <w:rsid w:val="1BC05558"/>
    <w:rsid w:val="1BC77FCA"/>
    <w:rsid w:val="1C3663D1"/>
    <w:rsid w:val="1C586AF2"/>
    <w:rsid w:val="1F7168E0"/>
    <w:rsid w:val="1F8D347C"/>
    <w:rsid w:val="1FE4039D"/>
    <w:rsid w:val="22832499"/>
    <w:rsid w:val="22B30A80"/>
    <w:rsid w:val="23EE7EA4"/>
    <w:rsid w:val="24970CA3"/>
    <w:rsid w:val="25CB7DF3"/>
    <w:rsid w:val="261249CF"/>
    <w:rsid w:val="292C55AA"/>
    <w:rsid w:val="2BDE7796"/>
    <w:rsid w:val="2E837924"/>
    <w:rsid w:val="350203E2"/>
    <w:rsid w:val="374F6955"/>
    <w:rsid w:val="38652E1B"/>
    <w:rsid w:val="38B47012"/>
    <w:rsid w:val="3E573AF8"/>
    <w:rsid w:val="3ECC1FA8"/>
    <w:rsid w:val="3FF06FB4"/>
    <w:rsid w:val="40EF04B2"/>
    <w:rsid w:val="41F22391"/>
    <w:rsid w:val="42981934"/>
    <w:rsid w:val="42B91FEE"/>
    <w:rsid w:val="43080553"/>
    <w:rsid w:val="44801049"/>
    <w:rsid w:val="45B943BF"/>
    <w:rsid w:val="48D35E09"/>
    <w:rsid w:val="498821FD"/>
    <w:rsid w:val="4B171154"/>
    <w:rsid w:val="4C3C360A"/>
    <w:rsid w:val="4D1A7026"/>
    <w:rsid w:val="4D4273DD"/>
    <w:rsid w:val="4F720573"/>
    <w:rsid w:val="4F7C0938"/>
    <w:rsid w:val="511561A5"/>
    <w:rsid w:val="53704E14"/>
    <w:rsid w:val="543644CE"/>
    <w:rsid w:val="545D4A39"/>
    <w:rsid w:val="59FD2E64"/>
    <w:rsid w:val="5BB7038F"/>
    <w:rsid w:val="5E1724BE"/>
    <w:rsid w:val="5EE40559"/>
    <w:rsid w:val="600B7288"/>
    <w:rsid w:val="611D7B87"/>
    <w:rsid w:val="61883F50"/>
    <w:rsid w:val="61C03B7A"/>
    <w:rsid w:val="656059D7"/>
    <w:rsid w:val="65ED7C2D"/>
    <w:rsid w:val="662676F0"/>
    <w:rsid w:val="6AA82399"/>
    <w:rsid w:val="6B0F0722"/>
    <w:rsid w:val="6B184813"/>
    <w:rsid w:val="6B3019E1"/>
    <w:rsid w:val="6B3E63EE"/>
    <w:rsid w:val="739C712B"/>
    <w:rsid w:val="74ED4BED"/>
    <w:rsid w:val="756F710C"/>
    <w:rsid w:val="76965005"/>
    <w:rsid w:val="774501CD"/>
    <w:rsid w:val="794C5F3D"/>
    <w:rsid w:val="7B277250"/>
    <w:rsid w:val="7BE61393"/>
    <w:rsid w:val="7D546AE8"/>
    <w:rsid w:val="7E085205"/>
    <w:rsid w:val="7E1B6085"/>
    <w:rsid w:val="7E1C2625"/>
    <w:rsid w:val="7E7C798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4"/>
        <o:r id="V:Rule2" type="connector" idref="#AutoShape 22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alloon Text"/>
    <w:basedOn w:val="1"/>
    <w:link w:val="29"/>
    <w:semiHidden/>
    <w:qFormat/>
    <w:uiPriority w:val="99"/>
    <w:rPr>
      <w:sz w:val="18"/>
      <w:szCs w:val="18"/>
    </w:rPr>
  </w:style>
  <w:style w:type="paragraph" w:styleId="4">
    <w:name w:val="footer"/>
    <w:basedOn w:val="1"/>
    <w:link w:val="16"/>
    <w:semiHidden/>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locked/>
    <w:uiPriority w:val="39"/>
  </w:style>
  <w:style w:type="paragraph" w:styleId="7">
    <w:name w:val="Body Text Indent 3"/>
    <w:basedOn w:val="1"/>
    <w:link w:val="28"/>
    <w:qFormat/>
    <w:uiPriority w:val="99"/>
    <w:pPr>
      <w:tabs>
        <w:tab w:val="left" w:pos="900"/>
      </w:tabs>
      <w:ind w:right="288" w:rightChars="137" w:firstLine="900"/>
      <w:jc w:val="center"/>
    </w:pPr>
    <w:rPr>
      <w:rFonts w:ascii="Times New Roman" w:hAnsi="Times New Roman"/>
      <w:b/>
      <w:bCs/>
      <w:szCs w:val="24"/>
    </w:rPr>
  </w:style>
  <w:style w:type="paragraph" w:styleId="8">
    <w:name w:val="toc 2"/>
    <w:basedOn w:val="1"/>
    <w:next w:val="1"/>
    <w:locked/>
    <w:uiPriority w:val="0"/>
    <w:pPr>
      <w:ind w:left="420" w:leftChars="200"/>
    </w:p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Hyperlink"/>
    <w:unhideWhenUsed/>
    <w:qFormat/>
    <w:uiPriority w:val="99"/>
    <w:rPr>
      <w:color w:val="0000FF"/>
      <w:u w:val="single"/>
    </w:rPr>
  </w:style>
  <w:style w:type="character" w:customStyle="1" w:styleId="14">
    <w:name w:val="标题 1 Char"/>
    <w:link w:val="2"/>
    <w:qFormat/>
    <w:locked/>
    <w:uiPriority w:val="99"/>
    <w:rPr>
      <w:rFonts w:ascii="宋体" w:hAnsi="宋体" w:eastAsia="宋体" w:cs="宋体"/>
      <w:b/>
      <w:bCs/>
      <w:kern w:val="36"/>
      <w:sz w:val="48"/>
      <w:szCs w:val="48"/>
    </w:rPr>
  </w:style>
  <w:style w:type="character" w:customStyle="1" w:styleId="15">
    <w:name w:val="页眉 Char"/>
    <w:link w:val="5"/>
    <w:semiHidden/>
    <w:qFormat/>
    <w:locked/>
    <w:uiPriority w:val="99"/>
    <w:rPr>
      <w:rFonts w:cs="Times New Roman"/>
      <w:sz w:val="18"/>
      <w:szCs w:val="18"/>
    </w:rPr>
  </w:style>
  <w:style w:type="character" w:customStyle="1" w:styleId="16">
    <w:name w:val="页脚 Char"/>
    <w:link w:val="4"/>
    <w:semiHidden/>
    <w:qFormat/>
    <w:locked/>
    <w:uiPriority w:val="99"/>
    <w:rPr>
      <w:rFonts w:cs="Times New Roman"/>
      <w:sz w:val="18"/>
      <w:szCs w:val="18"/>
    </w:rPr>
  </w:style>
  <w:style w:type="paragraph" w:customStyle="1" w:styleId="17">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8">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9">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0">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1">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3">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4">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5">
    <w:name w:val="实施日期"/>
    <w:basedOn w:val="24"/>
    <w:qFormat/>
    <w:uiPriority w:val="99"/>
    <w:pPr>
      <w:framePr w:hSpace="0" w:xAlign="right"/>
      <w:jc w:val="right"/>
    </w:pPr>
  </w:style>
  <w:style w:type="character" w:customStyle="1" w:styleId="26">
    <w:name w:val="发布"/>
    <w:qFormat/>
    <w:uiPriority w:val="99"/>
    <w:rPr>
      <w:rFonts w:ascii="黑体" w:eastAsia="黑体" w:cs="Times New Roman"/>
      <w:spacing w:val="22"/>
      <w:w w:val="100"/>
      <w:position w:val="3"/>
      <w:sz w:val="28"/>
    </w:rPr>
  </w:style>
  <w:style w:type="paragraph" w:customStyle="1" w:styleId="2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8">
    <w:name w:val="正文文本缩进 3 Char"/>
    <w:link w:val="7"/>
    <w:qFormat/>
    <w:locked/>
    <w:uiPriority w:val="99"/>
    <w:rPr>
      <w:rFonts w:ascii="Times New Roman" w:hAnsi="Times New Roman" w:eastAsia="宋体" w:cs="Times New Roman"/>
      <w:b/>
      <w:bCs/>
      <w:sz w:val="24"/>
      <w:szCs w:val="24"/>
    </w:rPr>
  </w:style>
  <w:style w:type="character" w:customStyle="1" w:styleId="29">
    <w:name w:val="批注框文本 Char"/>
    <w:link w:val="3"/>
    <w:semiHidden/>
    <w:qFormat/>
    <w:locked/>
    <w:uiPriority w:val="99"/>
    <w:rPr>
      <w:rFonts w:cs="Times New Roman"/>
      <w:sz w:val="18"/>
      <w:szCs w:val="18"/>
    </w:rPr>
  </w:style>
  <w:style w:type="character" w:styleId="30">
    <w:name w:val="Placeholder Text"/>
    <w:semiHidden/>
    <w:qFormat/>
    <w:uiPriority w:val="99"/>
    <w:rPr>
      <w:rFonts w:cs="Times New Roman"/>
      <w:color w:val="808080"/>
    </w:rPr>
  </w:style>
  <w:style w:type="paragraph" w:styleId="31">
    <w:name w:val="List Paragraph"/>
    <w:basedOn w:val="1"/>
    <w:qFormat/>
    <w:uiPriority w:val="99"/>
    <w:pPr>
      <w:ind w:firstLine="420" w:firstLineChars="200"/>
    </w:pPr>
  </w:style>
  <w:style w:type="paragraph" w:customStyle="1" w:styleId="32">
    <w:name w:val="TOC 标题1"/>
    <w:basedOn w:val="2"/>
    <w:next w:val="1"/>
    <w:semiHidden/>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3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4">
    <w:name w:val="font61"/>
    <w:basedOn w:val="12"/>
    <w:qFormat/>
    <w:uiPriority w:val="0"/>
    <w:rPr>
      <w:rFonts w:hint="eastAsia" w:ascii="宋体" w:hAnsi="宋体" w:eastAsia="宋体" w:cs="宋体"/>
      <w:color w:val="000000"/>
      <w:sz w:val="21"/>
      <w:szCs w:val="21"/>
      <w:u w:val="none"/>
      <w:vertAlign w:val="superscript"/>
    </w:rPr>
  </w:style>
  <w:style w:type="character" w:customStyle="1" w:styleId="35">
    <w:name w:val="font51"/>
    <w:basedOn w:val="12"/>
    <w:qFormat/>
    <w:uiPriority w:val="0"/>
    <w:rPr>
      <w:rFonts w:hint="default" w:ascii="Calibri" w:hAnsi="Calibri" w:cs="Calibri"/>
      <w:color w:val="000000"/>
      <w:sz w:val="21"/>
      <w:szCs w:val="21"/>
      <w:u w:val="none"/>
    </w:rPr>
  </w:style>
  <w:style w:type="character" w:customStyle="1" w:styleId="36">
    <w:name w:val="font21"/>
    <w:basedOn w:val="12"/>
    <w:qFormat/>
    <w:uiPriority w:val="0"/>
    <w:rPr>
      <w:rFonts w:hint="eastAsia" w:ascii="宋体" w:hAnsi="宋体" w:eastAsia="宋体" w:cs="宋体"/>
      <w:color w:val="000000"/>
      <w:sz w:val="21"/>
      <w:szCs w:val="21"/>
      <w:u w:val="none"/>
    </w:rPr>
  </w:style>
  <w:style w:type="character" w:customStyle="1" w:styleId="37">
    <w:name w:val="font01"/>
    <w:basedOn w:val="12"/>
    <w:qFormat/>
    <w:uiPriority w:val="0"/>
    <w:rPr>
      <w:rFonts w:hint="eastAsia" w:ascii="宋体" w:hAnsi="宋体" w:eastAsia="宋体" w:cs="宋体"/>
      <w:color w:val="000000"/>
      <w:sz w:val="21"/>
      <w:szCs w:val="21"/>
      <w:u w:val="none"/>
      <w:vertAlign w:val="subscript"/>
    </w:rPr>
  </w:style>
  <w:style w:type="character" w:customStyle="1" w:styleId="38">
    <w:name w:val="font31"/>
    <w:basedOn w:val="12"/>
    <w:qFormat/>
    <w:uiPriority w:val="0"/>
    <w:rPr>
      <w:rFonts w:hint="default" w:ascii="Calibri" w:hAnsi="Calibri" w:cs="Calibri"/>
      <w:color w:val="FF0000"/>
      <w:sz w:val="21"/>
      <w:szCs w:val="21"/>
      <w:u w:val="none"/>
    </w:rPr>
  </w:style>
  <w:style w:type="character" w:customStyle="1" w:styleId="39">
    <w:name w:val="font81"/>
    <w:basedOn w:val="12"/>
    <w:qFormat/>
    <w:uiPriority w:val="0"/>
    <w:rPr>
      <w:rFonts w:hint="eastAsia" w:ascii="宋体" w:hAnsi="宋体" w:eastAsia="宋体" w:cs="宋体"/>
      <w:color w:val="FF0000"/>
      <w:sz w:val="21"/>
      <w:szCs w:val="21"/>
      <w:u w:val="none"/>
    </w:rPr>
  </w:style>
  <w:style w:type="character" w:customStyle="1" w:styleId="40">
    <w:name w:val="font71"/>
    <w:basedOn w:val="12"/>
    <w:qFormat/>
    <w:uiPriority w:val="0"/>
    <w:rPr>
      <w:rFonts w:hint="eastAsia" w:ascii="宋体" w:hAnsi="宋体" w:eastAsia="宋体" w:cs="宋体"/>
      <w:color w:val="FF0000"/>
      <w:sz w:val="21"/>
      <w:szCs w:val="21"/>
      <w:u w:val="none"/>
      <w:vertAlign w:val="superscript"/>
    </w:rPr>
  </w:style>
  <w:style w:type="paragraph" w:customStyle="1" w:styleId="41">
    <w:name w:val="章标题"/>
    <w:next w:val="42"/>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2">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3">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44">
    <w:name w:val="一级条标题"/>
    <w:next w:val="42"/>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3.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scjsb-Wuhl\Desktop\2020-10-28%20&#32511;&#33394;&#35774;&#35745;&#20135;&#21697;&#35780;&#20215;&#25216;&#26415;&#35268;&#33539;--&#28909;&#38208;&#29992;&#38156;&#21512;&#37329;&#38189;\2020-10-28%20&#32511;&#33394;&#35774;&#35745;&#20135;&#21697;&#35780;&#20215;&#25216;&#26415;&#35268;&#33539;&#8212;&#8212;&#28909;&#38208;&#29992;&#38156;&#21512;&#37329;&#38189;\&#30452;&#26041;&#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spPr>
            <a:solidFill>
              <a:srgbClr val="0070C0"/>
            </a:solidFill>
            <a:ln>
              <a:noFill/>
            </a:ln>
            <a:effectLst/>
          </c:spPr>
          <c:invertIfNegative val="0"/>
          <c:dLbls>
            <c:delete val="1"/>
          </c:dLbls>
          <c:cat>
            <c:strRef>
              <c:f>[直方图.xls]Sheet1!$I$1:$I$6</c:f>
              <c:strCache>
                <c:ptCount val="6"/>
                <c:pt idx="0">
                  <c:v>M1</c:v>
                </c:pt>
                <c:pt idx="1">
                  <c:v>M2</c:v>
                </c:pt>
                <c:pt idx="2">
                  <c:v>M3</c:v>
                </c:pt>
                <c:pt idx="3">
                  <c:v>D1</c:v>
                </c:pt>
                <c:pt idx="4">
                  <c:v>D2</c:v>
                </c:pt>
                <c:pt idx="5">
                  <c:v>MG1</c:v>
                </c:pt>
              </c:strCache>
            </c:strRef>
          </c:cat>
          <c:val>
            <c:numRef>
              <c:f>[直方图.xls]Sheet1!$J$1:$J$6</c:f>
              <c:numCache>
                <c:formatCode>General</c:formatCode>
                <c:ptCount val="6"/>
                <c:pt idx="0">
                  <c:v>6</c:v>
                </c:pt>
                <c:pt idx="1">
                  <c:v>6</c:v>
                </c:pt>
                <c:pt idx="2">
                  <c:v>3</c:v>
                </c:pt>
                <c:pt idx="3">
                  <c:v>5</c:v>
                </c:pt>
                <c:pt idx="4">
                  <c:v>4</c:v>
                </c:pt>
                <c:pt idx="5">
                  <c:v>3</c:v>
                </c:pt>
              </c:numCache>
            </c:numRef>
          </c:val>
        </c:ser>
        <c:dLbls>
          <c:showLegendKey val="0"/>
          <c:showVal val="0"/>
          <c:showCatName val="0"/>
          <c:showSerName val="0"/>
          <c:showPercent val="0"/>
          <c:showBubbleSize val="0"/>
        </c:dLbls>
        <c:gapWidth val="150"/>
        <c:overlap val="100"/>
        <c:axId val="126035456"/>
        <c:axId val="126036992"/>
      </c:barChart>
      <c:catAx>
        <c:axId val="1260354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rgbClr val="0070C0"/>
                </a:solidFill>
                <a:latin typeface="+mn-lt"/>
                <a:ea typeface="+mn-ea"/>
                <a:cs typeface="+mn-cs"/>
              </a:defRPr>
            </a:pPr>
          </a:p>
        </c:txPr>
        <c:crossAx val="126036992"/>
        <c:crosses val="autoZero"/>
        <c:auto val="1"/>
        <c:lblAlgn val="ctr"/>
        <c:lblOffset val="100"/>
        <c:noMultiLvlLbl val="0"/>
      </c:catAx>
      <c:valAx>
        <c:axId val="126036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0070C0"/>
                </a:solidFill>
                <a:latin typeface="+mn-lt"/>
                <a:ea typeface="+mn-ea"/>
                <a:cs typeface="+mn-cs"/>
              </a:defRPr>
            </a:pPr>
          </a:p>
        </c:txPr>
        <c:crossAx val="12603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solidFill>
            <a:srgbClr val="0070C0"/>
          </a:solidFill>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rgbClr val="0070C0"/>
            </a:solidFill>
            <a:ln>
              <a:noFill/>
            </a:ln>
            <a:effectLst/>
          </c:spPr>
          <c:invertIfNegative val="0"/>
          <c:dLbls>
            <c:delete val="1"/>
          </c:dLbls>
          <c:cat>
            <c:strRef>
              <c:f>[直方图.xls]Sheet1!$I$18:$I$23</c:f>
              <c:strCache>
                <c:ptCount val="6"/>
                <c:pt idx="0">
                  <c:v>L1.1</c:v>
                </c:pt>
                <c:pt idx="1">
                  <c:v>L1.2</c:v>
                </c:pt>
                <c:pt idx="2">
                  <c:v>L1.4</c:v>
                </c:pt>
                <c:pt idx="3">
                  <c:v>L1.5</c:v>
                </c:pt>
                <c:pt idx="4">
                  <c:v>L1.3</c:v>
                </c:pt>
                <c:pt idx="5">
                  <c:v>L1.6</c:v>
                </c:pt>
              </c:strCache>
            </c:strRef>
          </c:cat>
          <c:val>
            <c:numRef>
              <c:f>[直方图.xls]Sheet1!$J$18:$J$23</c:f>
              <c:numCache>
                <c:formatCode>General</c:formatCode>
                <c:ptCount val="6"/>
                <c:pt idx="0">
                  <c:v>6</c:v>
                </c:pt>
                <c:pt idx="1">
                  <c:v>6</c:v>
                </c:pt>
                <c:pt idx="2">
                  <c:v>5</c:v>
                </c:pt>
                <c:pt idx="3">
                  <c:v>4</c:v>
                </c:pt>
                <c:pt idx="4">
                  <c:v>3</c:v>
                </c:pt>
                <c:pt idx="5">
                  <c:v>3</c:v>
                </c:pt>
              </c:numCache>
            </c:numRef>
          </c:val>
        </c:ser>
        <c:dLbls>
          <c:showLegendKey val="0"/>
          <c:showVal val="0"/>
          <c:showCatName val="0"/>
          <c:showSerName val="0"/>
          <c:showPercent val="0"/>
          <c:showBubbleSize val="0"/>
        </c:dLbls>
        <c:gapWidth val="150"/>
        <c:overlap val="100"/>
        <c:axId val="126048512"/>
        <c:axId val="126328832"/>
      </c:barChart>
      <c:catAx>
        <c:axId val="12604851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rgbClr val="0070C0"/>
                </a:solidFill>
                <a:latin typeface="+mn-lt"/>
                <a:ea typeface="+mn-ea"/>
                <a:cs typeface="+mn-cs"/>
              </a:defRPr>
            </a:pPr>
          </a:p>
        </c:txPr>
        <c:crossAx val="126328832"/>
        <c:crosses val="autoZero"/>
        <c:auto val="1"/>
        <c:lblAlgn val="ctr"/>
        <c:lblOffset val="100"/>
        <c:noMultiLvlLbl val="0"/>
      </c:catAx>
      <c:valAx>
        <c:axId val="1263288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0070C0"/>
                </a:solidFill>
                <a:latin typeface="+mn-lt"/>
                <a:ea typeface="+mn-ea"/>
                <a:cs typeface="+mn-cs"/>
              </a:defRPr>
            </a:pPr>
          </a:p>
        </c:txPr>
        <c:crossAx val="12604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solidFill>
            <a:srgbClr val="0070C0"/>
          </a:solidFill>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8"/>
    <customShpInfo spid="_x0000_s2055"/>
    <customShpInfo spid="_x0000_s1026"/>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EA79E-8880-4373-ACA0-DEEB18BAEE0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1817</Words>
  <Characters>10358</Characters>
  <Lines>86</Lines>
  <Paragraphs>24</Paragraphs>
  <TotalTime>20</TotalTime>
  <ScaleCrop>false</ScaleCrop>
  <LinksUpToDate>false</LinksUpToDate>
  <CharactersWithSpaces>12151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2018-03-21T05:21:00Z</dcterms:created>
  <dc:creator>dwh</dc:creator>
  <cp:lastModifiedBy>林若虚</cp:lastModifiedBy>
  <cp:lastPrinted>2020-10-26T08:54:00Z</cp:lastPrinted>
  <dcterms:modified xsi:type="dcterms:W3CDTF">2020-11-30T08:03:39Z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