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C5" w:rsidRDefault="00C517C5">
      <w:pPr>
        <w:spacing w:line="360" w:lineRule="auto"/>
        <w:jc w:val="center"/>
        <w:rPr>
          <w:rFonts w:ascii="黑体" w:eastAsia="黑体" w:hAnsi="宋体"/>
          <w:sz w:val="24"/>
        </w:rPr>
      </w:pPr>
      <w:bookmarkStart w:id="0" w:name="_GoBack"/>
      <w:bookmarkEnd w:id="0"/>
      <w:r>
        <w:rPr>
          <w:rFonts w:ascii="黑体" w:eastAsia="黑体"/>
          <w:bCs/>
          <w:sz w:val="24"/>
        </w:rPr>
        <w:t>JJFZ</w:t>
      </w:r>
      <w:r>
        <w:rPr>
          <w:rFonts w:ascii="黑体" w:eastAsia="黑体" w:hint="eastAsia"/>
          <w:bCs/>
          <w:sz w:val="24"/>
        </w:rPr>
        <w:t>（有色金属）</w:t>
      </w:r>
      <w:r>
        <w:rPr>
          <w:rFonts w:ascii="黑体" w:eastAsia="黑体"/>
          <w:bCs/>
          <w:sz w:val="24"/>
        </w:rPr>
        <w:t>003-2019</w:t>
      </w:r>
      <w:r>
        <w:rPr>
          <w:rFonts w:ascii="黑体" w:eastAsia="黑体" w:hint="eastAsia"/>
          <w:bCs/>
          <w:sz w:val="24"/>
          <w:lang w:val="en-GB"/>
        </w:rPr>
        <w:t>《</w:t>
      </w:r>
      <w:r>
        <w:rPr>
          <w:rFonts w:ascii="黑体" w:eastAsia="黑体" w:hint="eastAsia"/>
          <w:sz w:val="24"/>
        </w:rPr>
        <w:t>有色金属材料用多维探测器</w:t>
      </w:r>
      <w:r>
        <w:rPr>
          <w:rFonts w:ascii="黑体" w:eastAsia="黑体"/>
          <w:sz w:val="24"/>
        </w:rPr>
        <w:t>X</w:t>
      </w:r>
      <w:r>
        <w:rPr>
          <w:rFonts w:ascii="黑体" w:eastAsia="黑体" w:hint="eastAsia"/>
          <w:sz w:val="24"/>
        </w:rPr>
        <w:t>射线衍射仪校准规范》</w:t>
      </w:r>
    </w:p>
    <w:p w:rsidR="00C517C5" w:rsidRDefault="00C517C5">
      <w:pPr>
        <w:spacing w:line="360" w:lineRule="auto"/>
        <w:jc w:val="center"/>
        <w:rPr>
          <w:rFonts w:ascii="黑体" w:eastAsia="黑体"/>
          <w:bCs/>
          <w:sz w:val="24"/>
        </w:rPr>
      </w:pPr>
      <w:r>
        <w:rPr>
          <w:rFonts w:ascii="黑体" w:eastAsia="黑体" w:hint="eastAsia"/>
          <w:bCs/>
          <w:sz w:val="24"/>
        </w:rPr>
        <w:t>行业计量技术规范编制说明</w:t>
      </w:r>
    </w:p>
    <w:p w:rsidR="00C517C5" w:rsidRDefault="00C517C5" w:rsidP="00921F51">
      <w:pPr>
        <w:spacing w:line="360" w:lineRule="auto"/>
        <w:rPr>
          <w:b/>
        </w:rPr>
      </w:pPr>
      <w:r>
        <w:rPr>
          <w:rFonts w:hint="eastAsia"/>
          <w:b/>
        </w:rPr>
        <w:t>一、工作简况</w:t>
      </w:r>
    </w:p>
    <w:p w:rsidR="00C517C5" w:rsidRDefault="00C517C5">
      <w:pPr>
        <w:spacing w:line="360" w:lineRule="auto"/>
        <w:rPr>
          <w:rFonts w:ascii="黑体" w:eastAsia="黑体"/>
          <w:szCs w:val="21"/>
        </w:rPr>
      </w:pPr>
      <w:r>
        <w:rPr>
          <w:rFonts w:ascii="黑体" w:eastAsia="黑体"/>
          <w:szCs w:val="21"/>
        </w:rPr>
        <w:t xml:space="preserve">1  </w:t>
      </w:r>
      <w:r>
        <w:rPr>
          <w:rFonts w:ascii="黑体" w:eastAsia="黑体" w:hAnsi="宋体" w:hint="eastAsia"/>
          <w:szCs w:val="21"/>
        </w:rPr>
        <w:t>任务来源</w:t>
      </w:r>
    </w:p>
    <w:p w:rsidR="00C517C5" w:rsidRDefault="00C517C5" w:rsidP="00FF7E79">
      <w:pPr>
        <w:pStyle w:val="BodyText2"/>
        <w:spacing w:after="0" w:line="360" w:lineRule="auto"/>
        <w:ind w:firstLineChars="200" w:firstLine="31680"/>
        <w:rPr>
          <w:rFonts w:hAnsi="宋体"/>
          <w:szCs w:val="21"/>
        </w:rPr>
      </w:pPr>
      <w:r>
        <w:rPr>
          <w:rFonts w:hAnsi="宋体" w:hint="eastAsia"/>
          <w:szCs w:val="21"/>
        </w:rPr>
        <w:t>根据工业和信息化部《关于印发</w:t>
      </w:r>
      <w:r>
        <w:rPr>
          <w:rFonts w:hAnsi="宋体"/>
          <w:szCs w:val="21"/>
        </w:rPr>
        <w:t>2019</w:t>
      </w:r>
      <w:r>
        <w:rPr>
          <w:rFonts w:hAnsi="宋体" w:hint="eastAsia"/>
          <w:szCs w:val="21"/>
        </w:rPr>
        <w:t>年行业计量技术规范制修订计划的通知》（工信厅科函［</w:t>
      </w:r>
      <w:r>
        <w:rPr>
          <w:rFonts w:hAnsi="宋体"/>
          <w:szCs w:val="21"/>
        </w:rPr>
        <w:t>2019</w:t>
      </w:r>
      <w:r>
        <w:rPr>
          <w:rFonts w:hAnsi="宋体" w:hint="eastAsia"/>
          <w:szCs w:val="21"/>
        </w:rPr>
        <w:t>］</w:t>
      </w:r>
      <w:r>
        <w:rPr>
          <w:rFonts w:hAnsi="宋体"/>
          <w:szCs w:val="21"/>
        </w:rPr>
        <w:t>142</w:t>
      </w:r>
      <w:r>
        <w:rPr>
          <w:rFonts w:hAnsi="宋体" w:hint="eastAsia"/>
          <w:szCs w:val="21"/>
        </w:rPr>
        <w:t>号）文的要求，行业计量技术规范</w:t>
      </w:r>
      <w:r w:rsidRPr="001B4F51">
        <w:rPr>
          <w:rFonts w:hAnsi="宋体" w:hint="eastAsia"/>
          <w:szCs w:val="21"/>
        </w:rPr>
        <w:t>《有色金属材料用多维探测器</w:t>
      </w:r>
      <w:r w:rsidRPr="001B4F51">
        <w:rPr>
          <w:rFonts w:hAnsi="宋体"/>
          <w:szCs w:val="21"/>
        </w:rPr>
        <w:t>X</w:t>
      </w:r>
      <w:r w:rsidRPr="001B4F51">
        <w:rPr>
          <w:rFonts w:hAnsi="宋体" w:hint="eastAsia"/>
          <w:szCs w:val="21"/>
        </w:rPr>
        <w:t>射线衍射仪校准规范》由</w:t>
      </w:r>
      <w:r>
        <w:rPr>
          <w:rFonts w:hAnsi="宋体" w:hint="eastAsia"/>
          <w:szCs w:val="21"/>
        </w:rPr>
        <w:t>广东省科学院工业分析检测中心负责起草。该项目计划编号为</w:t>
      </w:r>
      <w:r>
        <w:rPr>
          <w:rFonts w:hAnsi="宋体"/>
          <w:szCs w:val="21"/>
        </w:rPr>
        <w:t>JJFZ</w:t>
      </w:r>
      <w:r>
        <w:rPr>
          <w:rFonts w:hAnsi="宋体" w:hint="eastAsia"/>
          <w:szCs w:val="21"/>
        </w:rPr>
        <w:t>（有色金属）</w:t>
      </w:r>
      <w:r>
        <w:rPr>
          <w:rFonts w:hAnsi="宋体"/>
          <w:szCs w:val="21"/>
        </w:rPr>
        <w:t>003-2019</w:t>
      </w:r>
      <w:r>
        <w:rPr>
          <w:rFonts w:hAnsi="宋体" w:hint="eastAsia"/>
          <w:szCs w:val="21"/>
        </w:rPr>
        <w:t>。按计划要求，本计量规范应于</w:t>
      </w:r>
      <w:r>
        <w:rPr>
          <w:rFonts w:hAnsi="宋体"/>
          <w:szCs w:val="21"/>
        </w:rPr>
        <w:t>2021</w:t>
      </w:r>
      <w:r>
        <w:rPr>
          <w:rFonts w:hAnsi="宋体" w:hint="eastAsia"/>
          <w:szCs w:val="21"/>
        </w:rPr>
        <w:t>年完成。</w:t>
      </w:r>
    </w:p>
    <w:p w:rsidR="00C517C5" w:rsidRDefault="00C517C5">
      <w:pPr>
        <w:pStyle w:val="BodyText2"/>
        <w:spacing w:after="0" w:line="360" w:lineRule="auto"/>
        <w:rPr>
          <w:rFonts w:ascii="黑体" w:eastAsia="黑体" w:hAnsi="宋体"/>
          <w:szCs w:val="21"/>
        </w:rPr>
      </w:pPr>
      <w:r>
        <w:rPr>
          <w:rFonts w:ascii="黑体" w:eastAsia="黑体" w:hAnsi="宋体"/>
          <w:szCs w:val="21"/>
        </w:rPr>
        <w:t>1.2</w:t>
      </w:r>
      <w:r>
        <w:rPr>
          <w:rFonts w:ascii="黑体" w:eastAsia="黑体" w:hAnsi="宋体" w:hint="eastAsia"/>
          <w:szCs w:val="21"/>
        </w:rPr>
        <w:t>承担单位情况</w:t>
      </w:r>
    </w:p>
    <w:p w:rsidR="00C517C5" w:rsidRPr="00B52B79" w:rsidRDefault="00C517C5" w:rsidP="00FF7E79">
      <w:pPr>
        <w:spacing w:line="360" w:lineRule="auto"/>
        <w:ind w:firstLineChars="200" w:firstLine="31680"/>
      </w:pPr>
      <w:r w:rsidRPr="00B52B79">
        <w:rPr>
          <w:rFonts w:hint="eastAsia"/>
        </w:rPr>
        <w:t>广东省科学院工业分析检测中心始建于</w:t>
      </w:r>
      <w:r w:rsidRPr="00B52B79">
        <w:t xml:space="preserve">1971 </w:t>
      </w:r>
      <w:r w:rsidRPr="00B52B79">
        <w:rPr>
          <w:rFonts w:hint="eastAsia"/>
        </w:rPr>
        <w:t>年，先后隶属于广州有色金属研究院、广东省工业技术研究院（广州有色金属研究院），</w:t>
      </w:r>
      <w:r w:rsidRPr="00B52B79">
        <w:t>2015</w:t>
      </w:r>
      <w:r w:rsidRPr="00B52B79">
        <w:rPr>
          <w:rFonts w:hint="eastAsia"/>
        </w:rPr>
        <w:t>年</w:t>
      </w:r>
      <w:r w:rsidRPr="00B52B79">
        <w:t>12</w:t>
      </w:r>
      <w:r w:rsidRPr="00B52B79">
        <w:rPr>
          <w:rFonts w:hint="eastAsia"/>
        </w:rPr>
        <w:t>月经广东省机构编制委员会批准成为广东省科学院属下的独立二级事业法人单位。是我国从事矿产品、金属材料、冶金产品、化工产品、再生资源质量检测和性能评价，欧盟环保（</w:t>
      </w:r>
      <w:r w:rsidRPr="00B52B79">
        <w:t>RoHS</w:t>
      </w:r>
      <w:r w:rsidRPr="00B52B79">
        <w:rPr>
          <w:rFonts w:hint="eastAsia"/>
        </w:rPr>
        <w:t>）指令的有害物质检测、金属材料综合利用检测以及分析测试技术研究与技术咨询的专业机构。中心现有高、中、初级专业技术和管理人员</w:t>
      </w:r>
      <w:r w:rsidRPr="00B52B79">
        <w:t>100</w:t>
      </w:r>
      <w:r w:rsidRPr="00B52B79">
        <w:rPr>
          <w:rFonts w:hint="eastAsia"/>
        </w:rPr>
        <w:t>余人，其中教授有</w:t>
      </w:r>
      <w:r w:rsidRPr="00B52B79">
        <w:t>15</w:t>
      </w:r>
      <w:r w:rsidRPr="00B52B79">
        <w:rPr>
          <w:rFonts w:hint="eastAsia"/>
        </w:rPr>
        <w:t>人，高级工程师</w:t>
      </w:r>
      <w:r w:rsidRPr="00B52B79">
        <w:t>24</w:t>
      </w:r>
      <w:r w:rsidRPr="00B52B79">
        <w:rPr>
          <w:rFonts w:hint="eastAsia"/>
        </w:rPr>
        <w:t>人，硕博士</w:t>
      </w:r>
      <w:r w:rsidRPr="00B52B79">
        <w:t>20</w:t>
      </w:r>
      <w:r w:rsidRPr="00B52B79">
        <w:rPr>
          <w:rFonts w:hint="eastAsia"/>
        </w:rPr>
        <w:t>人，具有中级职称以上科技人员占</w:t>
      </w:r>
      <w:r w:rsidRPr="00B52B79">
        <w:t>80%</w:t>
      </w:r>
      <w:r w:rsidRPr="00B52B79">
        <w:rPr>
          <w:rFonts w:hint="eastAsia"/>
        </w:rPr>
        <w:t>。近十年来获得省部级科技进步奖</w:t>
      </w:r>
      <w:r w:rsidRPr="00B52B79">
        <w:t>20</w:t>
      </w:r>
      <w:r w:rsidRPr="00B52B79">
        <w:rPr>
          <w:rFonts w:hint="eastAsia"/>
        </w:rPr>
        <w:t>项。累计申请专利</w:t>
      </w:r>
      <w:r w:rsidRPr="00B52B79">
        <w:t>19</w:t>
      </w:r>
      <w:r w:rsidRPr="00B52B79">
        <w:rPr>
          <w:rFonts w:hint="eastAsia"/>
        </w:rPr>
        <w:t>件，其中授权发明专利</w:t>
      </w:r>
      <w:r w:rsidRPr="00B52B79">
        <w:t>8</w:t>
      </w:r>
      <w:r w:rsidRPr="00B52B79">
        <w:rPr>
          <w:rFonts w:hint="eastAsia"/>
        </w:rPr>
        <w:t>件、授权实用新型专利</w:t>
      </w:r>
      <w:r w:rsidRPr="00B52B79">
        <w:t>2</w:t>
      </w:r>
      <w:r w:rsidRPr="00B52B79">
        <w:rPr>
          <w:rFonts w:hint="eastAsia"/>
        </w:rPr>
        <w:t>件。承担国家、省级各类项目</w:t>
      </w:r>
      <w:r w:rsidRPr="00B52B79">
        <w:t>50</w:t>
      </w:r>
      <w:r w:rsidRPr="00B52B79">
        <w:rPr>
          <w:rFonts w:hint="eastAsia"/>
        </w:rPr>
        <w:t>余项，主持和参与国家、行业标准</w:t>
      </w:r>
      <w:r w:rsidRPr="00B52B79">
        <w:t>200</w:t>
      </w:r>
      <w:r w:rsidRPr="00B52B79">
        <w:rPr>
          <w:rFonts w:hint="eastAsia"/>
        </w:rPr>
        <w:t>余项，发表专著</w:t>
      </w:r>
      <w:r w:rsidRPr="00B52B79">
        <w:t>5</w:t>
      </w:r>
      <w:r w:rsidRPr="00B52B79">
        <w:rPr>
          <w:rFonts w:hint="eastAsia"/>
        </w:rPr>
        <w:t>部，发表论文</w:t>
      </w:r>
      <w:r w:rsidRPr="00B52B79">
        <w:t>300</w:t>
      </w:r>
      <w:r w:rsidRPr="00B52B79">
        <w:rPr>
          <w:rFonts w:hint="eastAsia"/>
        </w:rPr>
        <w:t>余篇。</w:t>
      </w:r>
    </w:p>
    <w:p w:rsidR="00C517C5" w:rsidRPr="00E25C0A" w:rsidRDefault="00C517C5" w:rsidP="00FF7E79">
      <w:pPr>
        <w:spacing w:line="360" w:lineRule="auto"/>
        <w:ind w:firstLineChars="200" w:firstLine="31680"/>
      </w:pPr>
      <w:r w:rsidRPr="00E25C0A">
        <w:rPr>
          <w:rFonts w:hint="eastAsia"/>
        </w:rPr>
        <w:t>国标（北京）检验认证有限公司（以下简称国标检验）于</w:t>
      </w:r>
      <w:r w:rsidRPr="00E25C0A">
        <w:t>2014</w:t>
      </w:r>
      <w:r w:rsidRPr="00E25C0A">
        <w:rPr>
          <w:rFonts w:hint="eastAsia"/>
        </w:rPr>
        <w:t>年</w:t>
      </w:r>
      <w:r w:rsidRPr="00E25C0A">
        <w:t>7</w:t>
      </w:r>
      <w:r w:rsidRPr="00E25C0A">
        <w:rPr>
          <w:rFonts w:hint="eastAsia"/>
        </w:rPr>
        <w:t>月由原北京有色金属研究总院测试技术研究所改制成立，系中央企业有研科技集团有限公司（原北京有色金属研究总院）下属国合通用测试评价认证股份公司的全资子公司。国标检验是中国有色金属行业测试评价技术开发的骨干单位和分析测试标准的主要起草单位之一。主要从事金属材料及产品、有色金属矿物的化学成分成分、组织结构分析、物理性能测试、力学性能测试、无损探伤检测、失效分析等测试评价服务，培训、咨询、认证等技术服务，以及分析仪器研制、标准物质生产等。先后承担国家科技重大专项、国际科技支撑计划、国家自然科学基金等国家级科研项目</w:t>
      </w:r>
      <w:r w:rsidRPr="00E25C0A">
        <w:t>41</w:t>
      </w:r>
      <w:r w:rsidRPr="00E25C0A">
        <w:rPr>
          <w:rFonts w:hint="eastAsia"/>
        </w:rPr>
        <w:t>项，获得省部级科技成果奖励</w:t>
      </w:r>
      <w:r w:rsidRPr="00E25C0A">
        <w:t>110</w:t>
      </w:r>
      <w:r w:rsidRPr="00E25C0A">
        <w:rPr>
          <w:rFonts w:hint="eastAsia"/>
        </w:rPr>
        <w:t>余项，拥有授权中国专利和国际专利</w:t>
      </w:r>
      <w:r w:rsidRPr="00E25C0A">
        <w:t>100</w:t>
      </w:r>
      <w:r w:rsidRPr="00E25C0A">
        <w:rPr>
          <w:rFonts w:hint="eastAsia"/>
        </w:rPr>
        <w:t>余项，制定国家和行业标准</w:t>
      </w:r>
      <w:r w:rsidRPr="00E25C0A">
        <w:t>381</w:t>
      </w:r>
      <w:r w:rsidRPr="00E25C0A">
        <w:rPr>
          <w:rFonts w:hint="eastAsia"/>
        </w:rPr>
        <w:t>项，研制国家标准物质</w:t>
      </w:r>
      <w:r w:rsidRPr="00E25C0A">
        <w:t>/</w:t>
      </w:r>
      <w:r w:rsidRPr="00E25C0A">
        <w:rPr>
          <w:rFonts w:hint="eastAsia"/>
        </w:rPr>
        <w:t>标准样品</w:t>
      </w:r>
      <w:r w:rsidRPr="00E25C0A">
        <w:t>162</w:t>
      </w:r>
      <w:r w:rsidRPr="00E25C0A">
        <w:rPr>
          <w:rFonts w:hint="eastAsia"/>
        </w:rPr>
        <w:t>个，在国内外期刊发表学术论文</w:t>
      </w:r>
      <w:r w:rsidRPr="00E25C0A">
        <w:t>800</w:t>
      </w:r>
      <w:r w:rsidRPr="00E25C0A">
        <w:rPr>
          <w:rFonts w:hint="eastAsia"/>
        </w:rPr>
        <w:t>多篇，撰写学术著作</w:t>
      </w:r>
      <w:r w:rsidRPr="00E25C0A">
        <w:t>23</w:t>
      </w:r>
      <w:r w:rsidRPr="00E25C0A">
        <w:rPr>
          <w:rFonts w:hint="eastAsia"/>
        </w:rPr>
        <w:t>部。</w:t>
      </w:r>
    </w:p>
    <w:p w:rsidR="00C517C5" w:rsidRDefault="00C517C5" w:rsidP="00FF7E79">
      <w:pPr>
        <w:spacing w:line="360" w:lineRule="auto"/>
        <w:ind w:firstLineChars="200" w:firstLine="31680"/>
      </w:pPr>
      <w:r w:rsidRPr="00E25C0A">
        <w:rPr>
          <w:rFonts w:hint="eastAsia"/>
        </w:rPr>
        <w:t>西安汉唐分析检测有限公司成立于</w:t>
      </w:r>
      <w:r w:rsidRPr="00E25C0A">
        <w:t>2018</w:t>
      </w:r>
      <w:r w:rsidRPr="00E25C0A">
        <w:rPr>
          <w:rFonts w:hint="eastAsia"/>
        </w:rPr>
        <w:t>年</w:t>
      </w:r>
      <w:r w:rsidRPr="00E25C0A">
        <w:t>8</w:t>
      </w:r>
      <w:r w:rsidRPr="00E25C0A">
        <w:rPr>
          <w:rFonts w:hint="eastAsia"/>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sidRPr="00E25C0A">
        <w:t>8000</w:t>
      </w:r>
      <w:r w:rsidRPr="00E25C0A">
        <w:rPr>
          <w:rFonts w:hint="eastAsia"/>
        </w:rPr>
        <w:t>余平米，下设泾渭分部、西北院分部、宝鸡分公司等三个业务分部。现有工作人员</w:t>
      </w:r>
      <w:r w:rsidRPr="00E25C0A">
        <w:t>150</w:t>
      </w:r>
      <w:r w:rsidRPr="00E25C0A">
        <w:rPr>
          <w:rFonts w:hint="eastAsia"/>
        </w:rPr>
        <w:t>余名，其中技术人员</w:t>
      </w:r>
      <w:r w:rsidRPr="00E25C0A">
        <w:t>70</w:t>
      </w:r>
      <w:r w:rsidRPr="00E25C0A">
        <w:rPr>
          <w:rFonts w:hint="eastAsia"/>
        </w:rPr>
        <w:t>余名，拥有各种仪器设备设施</w:t>
      </w:r>
      <w:r w:rsidRPr="00E25C0A">
        <w:t>120</w:t>
      </w:r>
      <w:r w:rsidRPr="00E25C0A">
        <w:rPr>
          <w:rFonts w:hint="eastAsia"/>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sidRPr="00E25C0A">
        <w:t>/</w:t>
      </w:r>
      <w:r w:rsidRPr="00E25C0A">
        <w:rPr>
          <w:rFonts w:hint="eastAsia"/>
        </w:rPr>
        <w:t>国家</w:t>
      </w:r>
      <w:r w:rsidRPr="00E25C0A">
        <w:t>/</w:t>
      </w:r>
      <w:r w:rsidRPr="00E25C0A">
        <w:rPr>
          <w:rFonts w:hint="eastAsia"/>
        </w:rPr>
        <w:t>行业标准制定、计量技术规范、分析方法研究、标准物质研制、人员培训等服务项目。</w:t>
      </w:r>
    </w:p>
    <w:p w:rsidR="00C517C5" w:rsidRDefault="00C517C5" w:rsidP="00FF7E79">
      <w:pPr>
        <w:spacing w:line="360" w:lineRule="auto"/>
        <w:ind w:firstLineChars="200" w:firstLine="31680"/>
      </w:pPr>
      <w:r w:rsidRPr="00E25C0A">
        <w:rPr>
          <w:rFonts w:hint="eastAsia"/>
        </w:rPr>
        <w:t>广州计量检测技术研究院（</w:t>
      </w:r>
      <w:r w:rsidRPr="00E25C0A">
        <w:t>GIMT</w:t>
      </w:r>
      <w:r w:rsidRPr="00E25C0A">
        <w:rPr>
          <w:rFonts w:hint="eastAsia"/>
        </w:rPr>
        <w:t>）是广州市政府依法设置的国家法定计量检定机构，隶属广州市市场监督管理局。</w:t>
      </w:r>
      <w:r w:rsidRPr="00E25C0A">
        <w:t>GIMT</w:t>
      </w:r>
      <w:r w:rsidRPr="00E25C0A">
        <w:rPr>
          <w:rFonts w:hint="eastAsia"/>
        </w:rPr>
        <w:t>依据《计量法》开展计量检定</w:t>
      </w:r>
      <w:r w:rsidRPr="00E25C0A">
        <w:t>/</w:t>
      </w:r>
      <w:r w:rsidRPr="00E25C0A">
        <w:rPr>
          <w:rFonts w:hint="eastAsia"/>
        </w:rPr>
        <w:t>校准工作，同时承担部分产品的质量监督检验工作。</w:t>
      </w:r>
      <w:r w:rsidRPr="00E25C0A">
        <w:t>GIMT</w:t>
      </w:r>
      <w:r w:rsidRPr="00E25C0A">
        <w:rPr>
          <w:rFonts w:hint="eastAsia"/>
        </w:rPr>
        <w:t>现有员工近</w:t>
      </w:r>
      <w:r w:rsidRPr="00E25C0A">
        <w:t>450</w:t>
      </w:r>
      <w:r w:rsidRPr="00E25C0A">
        <w:rPr>
          <w:rFonts w:hint="eastAsia"/>
        </w:rPr>
        <w:t>人，博士、硕士</w:t>
      </w:r>
      <w:r w:rsidRPr="00E25C0A">
        <w:t>120</w:t>
      </w:r>
      <w:r w:rsidRPr="00E25C0A">
        <w:rPr>
          <w:rFonts w:hint="eastAsia"/>
        </w:rPr>
        <w:t>余人，专业技术人员</w:t>
      </w:r>
      <w:r w:rsidRPr="00E25C0A">
        <w:t>250</w:t>
      </w:r>
      <w:r w:rsidRPr="00E25C0A">
        <w:rPr>
          <w:rFonts w:hint="eastAsia"/>
        </w:rPr>
        <w:t>余人，其中高级工程师</w:t>
      </w:r>
      <w:r w:rsidRPr="00E25C0A">
        <w:t>57</w:t>
      </w:r>
      <w:r w:rsidRPr="00E25C0A">
        <w:rPr>
          <w:rFonts w:hint="eastAsia"/>
        </w:rPr>
        <w:t>人，教授级高工</w:t>
      </w:r>
      <w:r w:rsidRPr="00E25C0A">
        <w:t>4</w:t>
      </w:r>
      <w:r w:rsidRPr="00E25C0A">
        <w:rPr>
          <w:rFonts w:hint="eastAsia"/>
        </w:rPr>
        <w:t>人，拥有国务院特殊津贴获得者</w:t>
      </w:r>
      <w:r w:rsidRPr="00E25C0A">
        <w:t>1</w:t>
      </w:r>
      <w:r w:rsidRPr="00E25C0A">
        <w:rPr>
          <w:rFonts w:hint="eastAsia"/>
        </w:rPr>
        <w:t>人，广州市认定高层次人才</w:t>
      </w:r>
      <w:r w:rsidRPr="00E25C0A">
        <w:t>3</w:t>
      </w:r>
      <w:r w:rsidRPr="00E25C0A">
        <w:rPr>
          <w:rFonts w:hint="eastAsia"/>
        </w:rPr>
        <w:t>人。</w:t>
      </w:r>
      <w:r w:rsidRPr="00E25C0A">
        <w:t>GIMT</w:t>
      </w:r>
      <w:r w:rsidRPr="00E25C0A">
        <w:rPr>
          <w:rFonts w:hint="eastAsia"/>
        </w:rPr>
        <w:t>已建立社会公用计量标准近</w:t>
      </w:r>
      <w:r w:rsidRPr="00E25C0A">
        <w:t>500</w:t>
      </w:r>
      <w:r w:rsidRPr="00E25C0A">
        <w:rPr>
          <w:rFonts w:hint="eastAsia"/>
        </w:rPr>
        <w:t>项，通过</w:t>
      </w:r>
      <w:r w:rsidRPr="00E25C0A">
        <w:t>CNAS</w:t>
      </w:r>
      <w:r w:rsidRPr="00E25C0A">
        <w:rPr>
          <w:rFonts w:hint="eastAsia"/>
        </w:rPr>
        <w:t>认可的校准和检测项目</w:t>
      </w:r>
      <w:r w:rsidRPr="00E25C0A">
        <w:t>1500</w:t>
      </w:r>
      <w:r w:rsidRPr="00E25C0A">
        <w:rPr>
          <w:rFonts w:hint="eastAsia"/>
        </w:rPr>
        <w:t>余项。</w:t>
      </w:r>
      <w:r w:rsidRPr="00E25C0A">
        <w:t>GIMT</w:t>
      </w:r>
      <w:r w:rsidRPr="00E25C0A">
        <w:rPr>
          <w:rFonts w:hint="eastAsia"/>
        </w:rPr>
        <w:t>在理化分析计量及检测方面经验丰富，熟悉仪器测量原理及性能。目前已取得的计量校准</w:t>
      </w:r>
      <w:r w:rsidRPr="00E25C0A">
        <w:t>CNAS</w:t>
      </w:r>
      <w:r w:rsidRPr="00E25C0A">
        <w:rPr>
          <w:rFonts w:hint="eastAsia"/>
        </w:rPr>
        <w:t>资质涵盖质谱仪、色谱仪、光谱仪、气体分析仪、流量测定仪、在线水质类分析设备以及在线气体分析类等多个领域。在计量业务之外，</w:t>
      </w:r>
      <w:r w:rsidRPr="00E25C0A">
        <w:t>GIMT</w:t>
      </w:r>
      <w:r w:rsidRPr="00E25C0A">
        <w:rPr>
          <w:rFonts w:hint="eastAsia"/>
        </w:rPr>
        <w:t>也进行化学分析类标准物质的研究工作，具有标准气体的配制能力，目前已通过国家计量行政部门批准的标准物质有</w:t>
      </w:r>
      <w:r w:rsidRPr="00E25C0A">
        <w:t>76</w:t>
      </w:r>
      <w:r w:rsidRPr="00E25C0A">
        <w:rPr>
          <w:rFonts w:hint="eastAsia"/>
        </w:rPr>
        <w:t>种，主持及参与国家计量校准规范</w:t>
      </w:r>
      <w:r w:rsidRPr="00E25C0A">
        <w:t>5</w:t>
      </w:r>
      <w:r w:rsidRPr="00E25C0A">
        <w:rPr>
          <w:rFonts w:hint="eastAsia"/>
        </w:rPr>
        <w:t>项，广东省地方检定规程</w:t>
      </w:r>
      <w:r w:rsidRPr="00E25C0A">
        <w:t>8</w:t>
      </w:r>
      <w:r w:rsidRPr="00E25C0A">
        <w:rPr>
          <w:rFonts w:hint="eastAsia"/>
        </w:rPr>
        <w:t>项，行业计量校准规范</w:t>
      </w:r>
      <w:r w:rsidRPr="00E25C0A">
        <w:t>2</w:t>
      </w:r>
      <w:r w:rsidRPr="00E25C0A">
        <w:rPr>
          <w:rFonts w:hint="eastAsia"/>
        </w:rPr>
        <w:t>项，广东省地方标准</w:t>
      </w:r>
      <w:r w:rsidRPr="00E25C0A">
        <w:t>5</w:t>
      </w:r>
      <w:r w:rsidRPr="00E25C0A">
        <w:rPr>
          <w:rFonts w:hint="eastAsia"/>
        </w:rPr>
        <w:t>项，团体标准</w:t>
      </w:r>
      <w:r w:rsidRPr="00E25C0A">
        <w:t>2</w:t>
      </w:r>
      <w:r w:rsidRPr="00E25C0A">
        <w:rPr>
          <w:rFonts w:hint="eastAsia"/>
        </w:rPr>
        <w:t>项。</w:t>
      </w:r>
    </w:p>
    <w:p w:rsidR="00C517C5" w:rsidRDefault="00C517C5" w:rsidP="00FF7E79">
      <w:pPr>
        <w:spacing w:line="360" w:lineRule="auto"/>
        <w:ind w:firstLineChars="200" w:firstLine="31680"/>
      </w:pPr>
      <w:r w:rsidRPr="00E25C0A">
        <w:rPr>
          <w:rFonts w:hint="eastAsia"/>
        </w:rPr>
        <w:t>广州阳瑞仪器科技有限公司是专业从事国外精密科学分析仪器及相关耗材的高科技公司。公司建设有独立的材料示范实验室，拥有不少于</w:t>
      </w:r>
      <w:r w:rsidRPr="00E25C0A">
        <w:t>400</w:t>
      </w:r>
      <w:r w:rsidRPr="00E25C0A">
        <w:rPr>
          <w:rFonts w:hint="eastAsia"/>
        </w:rPr>
        <w:t>万人民币以上资本的仪器。同时，公司也致力于</w:t>
      </w:r>
      <w:r w:rsidRPr="00E25C0A">
        <w:t>X-</w:t>
      </w:r>
      <w:r w:rsidRPr="00E25C0A">
        <w:rPr>
          <w:rFonts w:hint="eastAsia"/>
        </w:rPr>
        <w:t>射线科学研究设备相关周边设备及其技术的科研开发及其相关应用工作，并与中山大学、广东分析测试中心研究所等科研院所建立了联合实验室。公司为理学集团（</w:t>
      </w:r>
      <w:r w:rsidRPr="00E25C0A">
        <w:t>RIGAKU</w:t>
      </w:r>
      <w:r w:rsidRPr="00E25C0A">
        <w:rPr>
          <w:rFonts w:hint="eastAsia"/>
        </w:rPr>
        <w:t>）授权的华南区域总代理商，主要经营理学集团生产的各种</w:t>
      </w:r>
      <w:r w:rsidRPr="00E25C0A">
        <w:t>X-</w:t>
      </w:r>
      <w:r w:rsidRPr="00E25C0A">
        <w:rPr>
          <w:rFonts w:hint="eastAsia"/>
        </w:rPr>
        <w:t>射线粉末衍射仪的进口销售、技术推广及其维护工作，并为客户提供高附加值的全方位解决方案。作为高科技公司，目前专业科研技术力量含博士生一人，研究生共计五人。公司客户群体涵盖国内以及香港、澳门地区等高校、科研机构及大企业公司研发中心等，仪器大量应用于化工、地质、医药、食品、生物、石化、冶金、质检等各种材料分析领域。</w:t>
      </w:r>
    </w:p>
    <w:p w:rsidR="00C517C5" w:rsidRPr="00E25C0A" w:rsidRDefault="00C517C5" w:rsidP="00FF7E79">
      <w:pPr>
        <w:spacing w:line="360" w:lineRule="auto"/>
        <w:ind w:firstLineChars="200" w:firstLine="31680"/>
      </w:pPr>
      <w:r w:rsidRPr="00E25C0A">
        <w:rPr>
          <w:rFonts w:hint="eastAsia"/>
        </w:rPr>
        <w:t>广东省科学院材料与加工研究所，现隶属于广东省科学院，是</w:t>
      </w:r>
      <w:r w:rsidRPr="00E25C0A">
        <w:t>22</w:t>
      </w:r>
      <w:r w:rsidRPr="00E25C0A">
        <w:rPr>
          <w:rFonts w:hint="eastAsia"/>
        </w:rPr>
        <w:t>个骨干研究所之一，是公益二类事业单位。研究所主要围绕粉末冶金材料、金属基复合材料、铝镁铜钛有色金属材料、先进材料成型加工技术及装备等领域，为广东省高层次人才聚集、成果转化应用和创新驱动高端平台三位一体的专业性研究机构，是华南地区重要的新材料研发与应用的科研单位。现有人员</w:t>
      </w:r>
      <w:r w:rsidRPr="00E25C0A">
        <w:t>125</w:t>
      </w:r>
      <w:r w:rsidRPr="00E25C0A">
        <w:rPr>
          <w:rFonts w:hint="eastAsia"/>
        </w:rPr>
        <w:t>人，其中专业技术人员</w:t>
      </w:r>
      <w:r w:rsidRPr="00E25C0A">
        <w:t>78</w:t>
      </w:r>
      <w:r w:rsidRPr="00E25C0A">
        <w:rPr>
          <w:rFonts w:hint="eastAsia"/>
        </w:rPr>
        <w:t>人，高级职称人员</w:t>
      </w:r>
      <w:r w:rsidRPr="00E25C0A">
        <w:t>29</w:t>
      </w:r>
      <w:r w:rsidRPr="00E25C0A">
        <w:rPr>
          <w:rFonts w:hint="eastAsia"/>
        </w:rPr>
        <w:t>人，博士</w:t>
      </w:r>
      <w:r w:rsidRPr="00E25C0A">
        <w:t>25</w:t>
      </w:r>
      <w:r w:rsidRPr="00E25C0A">
        <w:rPr>
          <w:rFonts w:hint="eastAsia"/>
        </w:rPr>
        <w:t>人，硕士</w:t>
      </w:r>
      <w:r w:rsidRPr="00E25C0A">
        <w:t>28</w:t>
      </w:r>
      <w:r w:rsidRPr="00E25C0A">
        <w:rPr>
          <w:rFonts w:hint="eastAsia"/>
        </w:rPr>
        <w:t>人，研究生导师</w:t>
      </w:r>
      <w:r w:rsidRPr="00E25C0A">
        <w:t>19</w:t>
      </w:r>
      <w:r w:rsidRPr="00E25C0A">
        <w:rPr>
          <w:rFonts w:hint="eastAsia"/>
        </w:rPr>
        <w:t>人，在读研究生</w:t>
      </w:r>
      <w:r w:rsidRPr="00E25C0A">
        <w:t>40</w:t>
      </w:r>
      <w:r w:rsidRPr="00E25C0A">
        <w:rPr>
          <w:rFonts w:hint="eastAsia"/>
        </w:rPr>
        <w:t>余人。建有国家钛及稀有金属粉末冶金工程技术研究中心，广东省金属强韧化技术与应用重点实验室等</w:t>
      </w:r>
      <w:r w:rsidRPr="00E25C0A">
        <w:t>14</w:t>
      </w:r>
      <w:r w:rsidRPr="00E25C0A">
        <w:rPr>
          <w:rFonts w:hint="eastAsia"/>
        </w:rPr>
        <w:t>个科技创新平台以及科技成果转化中心。近五年来先后承担了国家、省市各级科研课题近</w:t>
      </w:r>
      <w:r w:rsidRPr="00E25C0A">
        <w:t>200</w:t>
      </w:r>
      <w:r w:rsidRPr="00E25C0A">
        <w:rPr>
          <w:rFonts w:hint="eastAsia"/>
        </w:rPr>
        <w:t>项，项目经费累计达</w:t>
      </w:r>
      <w:r w:rsidRPr="00E25C0A">
        <w:t>1.5</w:t>
      </w:r>
      <w:r w:rsidRPr="00E25C0A">
        <w:rPr>
          <w:rFonts w:hint="eastAsia"/>
        </w:rPr>
        <w:t>亿元，实现成果转移转化收入超</w:t>
      </w:r>
      <w:r w:rsidRPr="00E25C0A">
        <w:t>5</w:t>
      </w:r>
      <w:r w:rsidRPr="00E25C0A">
        <w:rPr>
          <w:rFonts w:hint="eastAsia"/>
        </w:rPr>
        <w:t>亿元。获省部级奖励</w:t>
      </w:r>
      <w:r w:rsidRPr="00E25C0A">
        <w:t>20</w:t>
      </w:r>
      <w:r>
        <w:rPr>
          <w:rFonts w:hint="eastAsia"/>
        </w:rPr>
        <w:t>余项，其中国家科技进步二等奖１项、省部级科技进步一等奖</w:t>
      </w:r>
      <w:r>
        <w:t>6</w:t>
      </w:r>
      <w:r w:rsidRPr="00E25C0A">
        <w:rPr>
          <w:rFonts w:hint="eastAsia"/>
        </w:rPr>
        <w:t>项、二等奖</w:t>
      </w:r>
      <w:r>
        <w:t>9</w:t>
      </w:r>
      <w:r w:rsidRPr="00E25C0A">
        <w:rPr>
          <w:rFonts w:hint="eastAsia"/>
        </w:rPr>
        <w:t>项。申请发明专利</w:t>
      </w:r>
      <w:r w:rsidRPr="00E25C0A">
        <w:t>174</w:t>
      </w:r>
      <w:r w:rsidRPr="00E25C0A">
        <w:rPr>
          <w:rFonts w:hint="eastAsia"/>
        </w:rPr>
        <w:t>件、获授权发明专利</w:t>
      </w:r>
      <w:r w:rsidRPr="00E25C0A">
        <w:t>71</w:t>
      </w:r>
      <w:r w:rsidRPr="00E25C0A">
        <w:rPr>
          <w:rFonts w:hint="eastAsia"/>
        </w:rPr>
        <w:t>件、发表学术论文</w:t>
      </w:r>
      <w:r w:rsidRPr="00E25C0A">
        <w:t>500</w:t>
      </w:r>
      <w:r w:rsidRPr="00E25C0A">
        <w:rPr>
          <w:rFonts w:hint="eastAsia"/>
        </w:rPr>
        <w:t>余篇，专著</w:t>
      </w:r>
      <w:r w:rsidRPr="00E25C0A">
        <w:t>4</w:t>
      </w:r>
      <w:r w:rsidRPr="00E25C0A">
        <w:rPr>
          <w:rFonts w:hint="eastAsia"/>
        </w:rPr>
        <w:t>部。</w:t>
      </w:r>
    </w:p>
    <w:p w:rsidR="00C517C5" w:rsidRDefault="00C517C5" w:rsidP="006208F2">
      <w:pPr>
        <w:pStyle w:val="BodyText2"/>
        <w:spacing w:after="0" w:line="360" w:lineRule="auto"/>
        <w:rPr>
          <w:rFonts w:ascii="黑体" w:eastAsia="黑体"/>
          <w:szCs w:val="21"/>
        </w:rPr>
      </w:pPr>
      <w:r>
        <w:rPr>
          <w:rFonts w:ascii="黑体" w:eastAsia="黑体"/>
          <w:szCs w:val="21"/>
        </w:rPr>
        <w:t>1.3</w:t>
      </w:r>
      <w:r>
        <w:rPr>
          <w:rFonts w:ascii="黑体" w:eastAsia="黑体" w:hAnsi="宋体" w:hint="eastAsia"/>
          <w:szCs w:val="21"/>
        </w:rPr>
        <w:t>主要工作过程</w:t>
      </w:r>
    </w:p>
    <w:p w:rsidR="00C517C5" w:rsidRDefault="00C517C5" w:rsidP="00FF7E79">
      <w:pPr>
        <w:spacing w:line="360" w:lineRule="auto"/>
        <w:ind w:firstLineChars="200" w:firstLine="31680"/>
      </w:pPr>
      <w:r>
        <w:rPr>
          <w:rFonts w:hint="eastAsia"/>
        </w:rPr>
        <w:t>广东省科学院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rsidR="00C517C5" w:rsidRDefault="00C517C5" w:rsidP="00FF7E79">
      <w:pPr>
        <w:spacing w:line="360" w:lineRule="auto"/>
        <w:ind w:firstLineChars="100" w:firstLine="31680"/>
      </w:pPr>
      <w:r>
        <w:t>1</w:t>
      </w:r>
      <w:r>
        <w:rPr>
          <w:rFonts w:hint="eastAsia"/>
        </w:rPr>
        <w:t>）</w:t>
      </w:r>
      <w:r>
        <w:t>2019</w:t>
      </w:r>
      <w:r>
        <w:rPr>
          <w:rFonts w:hint="eastAsia"/>
        </w:rPr>
        <w:t>年</w:t>
      </w:r>
      <w:r>
        <w:t>8</w:t>
      </w:r>
      <w:r>
        <w:rPr>
          <w:rFonts w:hint="eastAsia"/>
        </w:rPr>
        <w:t>月成立计量规范编制组，参与单位有国标（北京）检验认证有限公司、西安汉唐分析检测有限公司、广州阳瑞仪器科技有限公司、广州计量检测技术研究院和广东省科学院材料与加工研究所，并明确了各自的工作内容和任务。</w:t>
      </w:r>
    </w:p>
    <w:p w:rsidR="00C517C5" w:rsidRDefault="00C517C5" w:rsidP="00FF7E79">
      <w:pPr>
        <w:spacing w:line="360" w:lineRule="auto"/>
        <w:ind w:firstLineChars="100" w:firstLine="31680"/>
      </w:pPr>
      <w:r>
        <w:t>2</w:t>
      </w:r>
      <w:r>
        <w:rPr>
          <w:rFonts w:hint="eastAsia"/>
        </w:rPr>
        <w:t>）</w:t>
      </w:r>
      <w:r>
        <w:t>2019</w:t>
      </w:r>
      <w:r>
        <w:rPr>
          <w:rFonts w:hint="eastAsia"/>
        </w:rPr>
        <w:t>年</w:t>
      </w:r>
      <w:r>
        <w:t>9</w:t>
      </w:r>
      <w:r>
        <w:rPr>
          <w:rFonts w:hint="eastAsia"/>
        </w:rPr>
        <w:t>月～</w:t>
      </w:r>
      <w:r>
        <w:t>2019</w:t>
      </w:r>
      <w:r>
        <w:rPr>
          <w:rFonts w:hint="eastAsia"/>
        </w:rPr>
        <w:t>年</w:t>
      </w:r>
      <w:r>
        <w:t>12</w:t>
      </w:r>
      <w:r>
        <w:rPr>
          <w:rFonts w:hint="eastAsia"/>
        </w:rPr>
        <w:t>月计量规范编制组成员认真学习了《国家计量校准规范编写规则》，对</w:t>
      </w:r>
      <w:r w:rsidRPr="00770C97">
        <w:rPr>
          <w:rFonts w:hint="eastAsia"/>
        </w:rPr>
        <w:t>有色金属材料用多维探测器</w:t>
      </w:r>
      <w:r w:rsidRPr="00770C97">
        <w:t>X</w:t>
      </w:r>
      <w:r w:rsidRPr="00770C97">
        <w:rPr>
          <w:rFonts w:hint="eastAsia"/>
        </w:rPr>
        <w:t>射线衍射仪校准规范</w:t>
      </w:r>
      <w:r>
        <w:rPr>
          <w:rFonts w:hint="eastAsia"/>
        </w:rPr>
        <w:t>中的计量特性及校准方法进行了讨论，确定了校准项目和方法，在</w:t>
      </w:r>
      <w:r>
        <w:t>2020</w:t>
      </w:r>
      <w:r>
        <w:rPr>
          <w:rFonts w:hint="eastAsia"/>
        </w:rPr>
        <w:t>年</w:t>
      </w:r>
      <w:r>
        <w:t>5</w:t>
      </w:r>
      <w:r>
        <w:rPr>
          <w:rFonts w:hint="eastAsia"/>
        </w:rPr>
        <w:t>月形成了计量规范讨论稿。</w:t>
      </w:r>
    </w:p>
    <w:p w:rsidR="00C517C5" w:rsidRDefault="00C517C5" w:rsidP="00FF7E79">
      <w:pPr>
        <w:spacing w:line="360" w:lineRule="auto"/>
        <w:ind w:firstLineChars="100" w:firstLine="31680"/>
      </w:pPr>
      <w:r>
        <w:t>3</w:t>
      </w:r>
      <w:r>
        <w:rPr>
          <w:rFonts w:hint="eastAsia"/>
        </w:rPr>
        <w:t>）</w:t>
      </w:r>
      <w:smartTag w:uri="urn:schemas-microsoft-com:office:smarttags" w:element="chsdate">
        <w:smartTagPr>
          <w:attr w:name="IsROCDate" w:val="False"/>
          <w:attr w:name="IsLunarDate" w:val="False"/>
          <w:attr w:name="Day" w:val="21"/>
          <w:attr w:name="Month" w:val="9"/>
          <w:attr w:name="Year" w:val="2020"/>
        </w:smartTagPr>
        <w:r>
          <w:t>2020</w:t>
        </w:r>
        <w:r>
          <w:rPr>
            <w:rFonts w:hint="eastAsia"/>
          </w:rPr>
          <w:t>年</w:t>
        </w:r>
        <w:r>
          <w:t>9</w:t>
        </w:r>
        <w:r>
          <w:rPr>
            <w:rFonts w:hint="eastAsia"/>
          </w:rPr>
          <w:t>月</w:t>
        </w:r>
        <w:r>
          <w:t>21</w:t>
        </w:r>
        <w:r>
          <w:rPr>
            <w:rFonts w:hint="eastAsia"/>
          </w:rPr>
          <w:t>日</w:t>
        </w:r>
      </w:smartTag>
      <w:r>
        <w:rPr>
          <w:rFonts w:hint="eastAsia"/>
        </w:rPr>
        <w:t>～</w:t>
      </w:r>
      <w:r>
        <w:t>22</w:t>
      </w:r>
      <w:r>
        <w:rPr>
          <w:rFonts w:hint="eastAsia"/>
        </w:rPr>
        <w:t>日计量规范编制组成员参加了由有色金属行业计量技术委员会组织的在北京召开的</w:t>
      </w:r>
      <w:r>
        <w:t>2020</w:t>
      </w:r>
      <w:r>
        <w:rPr>
          <w:rFonts w:hint="eastAsia"/>
        </w:rPr>
        <w:t>年有色金属行业计量技术规范编制组讨论会，会上与会专家、代表对本计量规范的讨论稿提出了宝贵的意见和建议，会议确定了项目负责起草单位、起草单位及一验、二验单位，明确了各项工作时间进度要求。</w:t>
      </w:r>
    </w:p>
    <w:p w:rsidR="00C517C5" w:rsidRDefault="00C517C5" w:rsidP="00FF7E79">
      <w:pPr>
        <w:spacing w:line="360" w:lineRule="auto"/>
        <w:ind w:firstLineChars="100" w:firstLine="31680"/>
      </w:pPr>
      <w:r>
        <w:t>4</w:t>
      </w:r>
      <w:r>
        <w:rPr>
          <w:rFonts w:hint="eastAsia"/>
        </w:rPr>
        <w:t>）</w:t>
      </w:r>
      <w:r>
        <w:t>2020</w:t>
      </w:r>
      <w:r>
        <w:rPr>
          <w:rFonts w:hint="eastAsia"/>
        </w:rPr>
        <w:t>年</w:t>
      </w:r>
      <w:r>
        <w:t>10</w:t>
      </w:r>
      <w:r>
        <w:rPr>
          <w:rFonts w:hint="eastAsia"/>
        </w:rPr>
        <w:t>月编制组成员根据</w:t>
      </w:r>
      <w:r>
        <w:t>9</w:t>
      </w:r>
      <w:r>
        <w:rPr>
          <w:rFonts w:hint="eastAsia"/>
        </w:rPr>
        <w:t>月讨论会会议精神，根据会上提出的意见对《</w:t>
      </w:r>
      <w:r w:rsidRPr="00D565D1">
        <w:rPr>
          <w:rFonts w:hint="eastAsia"/>
        </w:rPr>
        <w:t>有色金属材料用多维探测器</w:t>
      </w:r>
      <w:r w:rsidRPr="00D565D1">
        <w:t>X</w:t>
      </w:r>
      <w:r w:rsidRPr="00D565D1">
        <w:rPr>
          <w:rFonts w:hint="eastAsia"/>
        </w:rPr>
        <w:t>射线衍射仪校准规范</w:t>
      </w:r>
      <w:r>
        <w:rPr>
          <w:rFonts w:hint="eastAsia"/>
        </w:rPr>
        <w:t>》进行了修改完善，去掉了零维探测器校准项目以及应力计量特性，对公式格式规范化，重新调整本计量规范的编写和资料性附录，完善试验数据，不确定度评定示例更加可行，最终形成了本计量规范的征求意见稿。</w:t>
      </w:r>
    </w:p>
    <w:p w:rsidR="00C517C5" w:rsidRDefault="00C517C5" w:rsidP="00FF7E79">
      <w:pPr>
        <w:spacing w:line="360" w:lineRule="auto"/>
        <w:ind w:firstLineChars="100" w:firstLine="31680"/>
      </w:pPr>
      <w:r>
        <w:t>5</w:t>
      </w:r>
      <w:r>
        <w:rPr>
          <w:rFonts w:hint="eastAsia"/>
        </w:rPr>
        <w:t>）</w:t>
      </w:r>
      <w:r>
        <w:t>2020</w:t>
      </w:r>
      <w:r>
        <w:rPr>
          <w:rFonts w:hint="eastAsia"/>
        </w:rPr>
        <w:t>年</w:t>
      </w:r>
      <w:r>
        <w:t>11</w:t>
      </w:r>
      <w:r>
        <w:rPr>
          <w:rFonts w:hint="eastAsia"/>
        </w:rPr>
        <w:t>月编制组成员根据征求意见稿反馈意见以及验证试验结果，对规范进行了修改完善，合并了一维和二维探测器的计量特性，删除了能量分辨率相关内容，优化了部分计量参数指标，对整个规范文本进行了编辑性修改，形成本计量规范的送审稿。</w:t>
      </w:r>
    </w:p>
    <w:p w:rsidR="00C517C5" w:rsidRPr="00FF7E79" w:rsidRDefault="00C517C5" w:rsidP="00FF7E79">
      <w:pPr>
        <w:spacing w:line="360" w:lineRule="auto"/>
        <w:ind w:firstLineChars="100" w:firstLine="31680"/>
      </w:pPr>
    </w:p>
    <w:p w:rsidR="00C517C5" w:rsidRDefault="00C517C5" w:rsidP="00921F51">
      <w:pPr>
        <w:spacing w:line="360" w:lineRule="auto"/>
        <w:rPr>
          <w:rFonts w:ascii="黑体" w:eastAsia="黑体"/>
          <w:color w:val="FF0000"/>
          <w:szCs w:val="21"/>
        </w:rPr>
      </w:pPr>
      <w:r>
        <w:rPr>
          <w:rFonts w:hint="eastAsia"/>
          <w:color w:val="000000"/>
          <w:szCs w:val="21"/>
        </w:rPr>
        <w:t>二、</w:t>
      </w:r>
      <w:r>
        <w:rPr>
          <w:rFonts w:ascii="黑体" w:eastAsia="黑体" w:hAnsi="宋体" w:hint="eastAsia"/>
          <w:szCs w:val="21"/>
        </w:rPr>
        <w:t>编制原则和依据</w:t>
      </w:r>
    </w:p>
    <w:p w:rsidR="00C517C5" w:rsidRDefault="00C517C5">
      <w:pPr>
        <w:pStyle w:val="BodyText2"/>
        <w:spacing w:after="0" w:line="360" w:lineRule="auto"/>
        <w:rPr>
          <w:rFonts w:ascii="黑体" w:eastAsia="黑体"/>
          <w:szCs w:val="21"/>
        </w:rPr>
      </w:pPr>
      <w:r>
        <w:rPr>
          <w:rFonts w:ascii="黑体" w:eastAsia="黑体"/>
          <w:szCs w:val="21"/>
        </w:rPr>
        <w:t>2.1</w:t>
      </w:r>
      <w:r>
        <w:rPr>
          <w:rFonts w:ascii="黑体" w:eastAsia="黑体" w:hAnsi="宋体" w:hint="eastAsia"/>
          <w:szCs w:val="21"/>
        </w:rPr>
        <w:t>规范编制原则</w:t>
      </w:r>
    </w:p>
    <w:p w:rsidR="00C517C5" w:rsidRPr="008D64F4" w:rsidRDefault="00C517C5">
      <w:pPr>
        <w:spacing w:line="360" w:lineRule="auto"/>
        <w:ind w:firstLine="435"/>
        <w:rPr>
          <w:szCs w:val="21"/>
        </w:rPr>
      </w:pPr>
      <w:r>
        <w:rPr>
          <w:rFonts w:ascii="宋体" w:hAnsi="宋体"/>
          <w:szCs w:val="21"/>
        </w:rPr>
        <w:t>1</w:t>
      </w:r>
      <w:r>
        <w:rPr>
          <w:rFonts w:ascii="宋体" w:hAnsi="宋体" w:hint="eastAsia"/>
          <w:szCs w:val="21"/>
        </w:rPr>
        <w:t>）</w:t>
      </w:r>
      <w:r w:rsidRPr="008D64F4">
        <w:rPr>
          <w:rFonts w:hAnsi="宋体" w:hint="eastAsia"/>
          <w:szCs w:val="21"/>
        </w:rPr>
        <w:t>该规范按照</w:t>
      </w:r>
      <w:r w:rsidRPr="008D64F4">
        <w:rPr>
          <w:szCs w:val="21"/>
        </w:rPr>
        <w:t>JJF 1071-2010</w:t>
      </w:r>
      <w:r w:rsidRPr="008D64F4">
        <w:rPr>
          <w:rFonts w:hAnsi="宋体" w:hint="eastAsia"/>
          <w:szCs w:val="21"/>
        </w:rPr>
        <w:t>《国家计量校准规范编写规则》、</w:t>
      </w:r>
      <w:r w:rsidRPr="008D64F4">
        <w:rPr>
          <w:szCs w:val="21"/>
        </w:rPr>
        <w:t>JJF 1001—2011</w:t>
      </w:r>
      <w:r w:rsidRPr="008D64F4">
        <w:rPr>
          <w:rFonts w:hAnsi="宋体" w:hint="eastAsia"/>
          <w:szCs w:val="21"/>
        </w:rPr>
        <w:t>《通用计量术语及定义》和</w:t>
      </w:r>
      <w:r w:rsidRPr="008D64F4">
        <w:rPr>
          <w:szCs w:val="21"/>
        </w:rPr>
        <w:t>JJF 1059.1—2012</w:t>
      </w:r>
      <w:r w:rsidRPr="008D64F4">
        <w:rPr>
          <w:rFonts w:hAnsi="宋体" w:hint="eastAsia"/>
          <w:szCs w:val="21"/>
        </w:rPr>
        <w:t>《测量不确定度评定与表示》编写。</w:t>
      </w:r>
    </w:p>
    <w:p w:rsidR="00C517C5" w:rsidRDefault="00C517C5" w:rsidP="00FF7E79">
      <w:pPr>
        <w:spacing w:line="360" w:lineRule="auto"/>
        <w:ind w:firstLineChars="200" w:firstLine="31680"/>
        <w:rPr>
          <w:rFonts w:ascii="宋体"/>
          <w:szCs w:val="21"/>
        </w:rPr>
      </w:pPr>
      <w:r w:rsidRPr="008D64F4">
        <w:rPr>
          <w:szCs w:val="21"/>
        </w:rPr>
        <w:t>2</w:t>
      </w:r>
      <w:r w:rsidRPr="008D64F4">
        <w:rPr>
          <w:rFonts w:hAnsi="宋体" w:hint="eastAsia"/>
          <w:szCs w:val="21"/>
        </w:rPr>
        <w:t>）先进性：本规范依据</w:t>
      </w:r>
      <w:r w:rsidRPr="008D64F4">
        <w:rPr>
          <w:szCs w:val="21"/>
        </w:rPr>
        <w:t>JB/T 9400</w:t>
      </w:r>
      <w:r>
        <w:rPr>
          <w:szCs w:val="21"/>
        </w:rPr>
        <w:t>—2010</w:t>
      </w:r>
      <w:r w:rsidRPr="008D64F4">
        <w:rPr>
          <w:rFonts w:hAnsi="宋体" w:hint="eastAsia"/>
          <w:szCs w:val="21"/>
        </w:rPr>
        <w:t>《</w:t>
      </w:r>
      <w:r w:rsidRPr="008D64F4">
        <w:rPr>
          <w:szCs w:val="21"/>
        </w:rPr>
        <w:t>X</w:t>
      </w:r>
      <w:r w:rsidRPr="008D64F4">
        <w:rPr>
          <w:rFonts w:hAnsi="宋体" w:hint="eastAsia"/>
          <w:szCs w:val="21"/>
        </w:rPr>
        <w:t>射线衍射仪</w:t>
      </w:r>
      <w:r w:rsidRPr="008D64F4">
        <w:rPr>
          <w:szCs w:val="21"/>
        </w:rPr>
        <w:t xml:space="preserve"> </w:t>
      </w:r>
      <w:r w:rsidRPr="008D64F4">
        <w:rPr>
          <w:rFonts w:hAnsi="宋体" w:hint="eastAsia"/>
          <w:szCs w:val="21"/>
        </w:rPr>
        <w:t>技术条件》检测要求，充分考虑到</w:t>
      </w:r>
      <w:r w:rsidRPr="008D64F4">
        <w:rPr>
          <w:szCs w:val="21"/>
        </w:rPr>
        <w:t>X</w:t>
      </w:r>
      <w:r w:rsidRPr="008D64F4">
        <w:rPr>
          <w:rFonts w:hAnsi="宋体" w:hint="eastAsia"/>
          <w:szCs w:val="21"/>
        </w:rPr>
        <w:t>射线衍射仪的发展现状，根据现有检测设备的条件，</w:t>
      </w:r>
      <w:r>
        <w:rPr>
          <w:rFonts w:ascii="宋体" w:hAnsi="宋体" w:hint="eastAsia"/>
          <w:szCs w:val="21"/>
        </w:rPr>
        <w:t>制订了本规范的基本原则和编制依据，使本规范具有较好的操作性和规范性。</w:t>
      </w:r>
    </w:p>
    <w:p w:rsidR="00C517C5" w:rsidRDefault="00C517C5" w:rsidP="00FF7E79">
      <w:pPr>
        <w:spacing w:line="360" w:lineRule="auto"/>
        <w:ind w:firstLineChars="200" w:firstLine="31680"/>
        <w:rPr>
          <w:rFonts w:ascii="宋体"/>
          <w:szCs w:val="21"/>
        </w:rPr>
      </w:pPr>
      <w:r>
        <w:rPr>
          <w:rFonts w:ascii="宋体" w:hAnsi="宋体"/>
          <w:szCs w:val="21"/>
        </w:rPr>
        <w:t>3</w:t>
      </w:r>
      <w:r>
        <w:rPr>
          <w:rFonts w:ascii="宋体" w:hAnsi="宋体" w:hint="eastAsia"/>
          <w:szCs w:val="21"/>
        </w:rPr>
        <w:t>）创新性：制定后的计量规范确定了一维探测器、二维探测器</w:t>
      </w:r>
      <w:r w:rsidRPr="008D64F4">
        <w:rPr>
          <w:szCs w:val="21"/>
        </w:rPr>
        <w:t>X</w:t>
      </w:r>
      <w:r w:rsidRPr="008D64F4">
        <w:rPr>
          <w:rFonts w:hAnsi="宋体" w:hint="eastAsia"/>
          <w:szCs w:val="21"/>
        </w:rPr>
        <w:t>射线衍射仪</w:t>
      </w:r>
      <w:r>
        <w:rPr>
          <w:rFonts w:hAnsi="宋体" w:hint="eastAsia"/>
          <w:szCs w:val="21"/>
        </w:rPr>
        <w:t>的校准项目和方法，有助于推进</w:t>
      </w:r>
      <w:r>
        <w:rPr>
          <w:rFonts w:ascii="宋体" w:hAnsi="宋体" w:hint="eastAsia"/>
          <w:szCs w:val="21"/>
        </w:rPr>
        <w:t>一维探测器、二维探测器</w:t>
      </w:r>
      <w:r w:rsidRPr="008D64F4">
        <w:rPr>
          <w:szCs w:val="21"/>
        </w:rPr>
        <w:t>X</w:t>
      </w:r>
      <w:r w:rsidRPr="008D64F4">
        <w:rPr>
          <w:rFonts w:hAnsi="宋体" w:hint="eastAsia"/>
          <w:szCs w:val="21"/>
        </w:rPr>
        <w:t>射线衍射仪</w:t>
      </w:r>
      <w:r>
        <w:rPr>
          <w:rFonts w:hAnsi="宋体" w:hint="eastAsia"/>
          <w:szCs w:val="21"/>
        </w:rPr>
        <w:t>的应用，</w:t>
      </w:r>
      <w:r>
        <w:rPr>
          <w:rFonts w:ascii="宋体" w:hAnsi="宋体" w:hint="eastAsia"/>
          <w:szCs w:val="21"/>
        </w:rPr>
        <w:t>对评价设备性能好坏，提高设备的可比性，保证后期测量数据的可靠性具有较好的作用。</w:t>
      </w:r>
    </w:p>
    <w:p w:rsidR="00C517C5" w:rsidRDefault="00C517C5">
      <w:pPr>
        <w:spacing w:line="360" w:lineRule="auto"/>
        <w:rPr>
          <w:rFonts w:ascii="黑体" w:eastAsia="黑体" w:hAnsi="宋体"/>
          <w:szCs w:val="21"/>
        </w:rPr>
      </w:pPr>
      <w:r>
        <w:rPr>
          <w:rFonts w:ascii="黑体" w:eastAsia="黑体"/>
          <w:szCs w:val="21"/>
        </w:rPr>
        <w:t>2.2</w:t>
      </w:r>
      <w:r>
        <w:rPr>
          <w:rFonts w:ascii="黑体" w:eastAsia="黑体" w:hAnsi="宋体" w:hint="eastAsia"/>
          <w:szCs w:val="21"/>
        </w:rPr>
        <w:t>制定规范主要内容的论据</w:t>
      </w:r>
    </w:p>
    <w:p w:rsidR="00C517C5" w:rsidRDefault="00C517C5">
      <w:pPr>
        <w:spacing w:line="360" w:lineRule="auto"/>
        <w:rPr>
          <w:rFonts w:ascii="黑体" w:eastAsia="黑体" w:hAnsi="黑体"/>
          <w:szCs w:val="21"/>
        </w:rPr>
      </w:pPr>
      <w:smartTag w:uri="urn:schemas-microsoft-com:office:smarttags" w:element="chsdate">
        <w:smartTagPr>
          <w:attr w:name="IsROCDate" w:val="False"/>
          <w:attr w:name="IsLunarDate" w:val="False"/>
          <w:attr w:name="Day" w:val="13"/>
          <w:attr w:name="Month" w:val="10"/>
          <w:attr w:name="Year" w:val="2020"/>
        </w:smartTagPr>
        <w:r>
          <w:rPr>
            <w:rFonts w:ascii="黑体" w:eastAsia="黑体" w:hAnsi="黑体"/>
            <w:szCs w:val="21"/>
          </w:rPr>
          <w:t>2.2.1</w:t>
        </w:r>
      </w:smartTag>
      <w:r>
        <w:rPr>
          <w:rFonts w:ascii="黑体" w:eastAsia="黑体" w:hAnsi="黑体" w:hint="eastAsia"/>
          <w:szCs w:val="21"/>
        </w:rPr>
        <w:t>范围</w:t>
      </w:r>
    </w:p>
    <w:p w:rsidR="00C517C5" w:rsidRDefault="00C517C5" w:rsidP="00FF7E79">
      <w:pPr>
        <w:spacing w:line="360" w:lineRule="auto"/>
        <w:ind w:firstLineChars="200" w:firstLine="31680"/>
        <w:rPr>
          <w:rFonts w:ascii="宋体" w:eastAsia="方正行楷简体"/>
          <w:kern w:val="0"/>
          <w:szCs w:val="21"/>
        </w:rPr>
      </w:pPr>
      <w:r>
        <w:rPr>
          <w:rFonts w:ascii="宋体" w:eastAsia="方正行楷简体"/>
          <w:kern w:val="0"/>
          <w:szCs w:val="21"/>
        </w:rPr>
        <w:t>1</w:t>
      </w:r>
      <w:r>
        <w:rPr>
          <w:rFonts w:ascii="宋体" w:eastAsia="方正行楷简体" w:hint="eastAsia"/>
          <w:kern w:val="0"/>
          <w:szCs w:val="21"/>
        </w:rPr>
        <w:t>）本规范适用</w:t>
      </w:r>
      <w:r w:rsidRPr="008D64F4">
        <w:rPr>
          <w:rFonts w:ascii="宋体" w:hAnsi="宋体" w:hint="eastAsia"/>
          <w:szCs w:val="21"/>
        </w:rPr>
        <w:t>于有色金属材料用</w:t>
      </w:r>
      <w:r>
        <w:rPr>
          <w:rFonts w:hint="eastAsia"/>
          <w:sz w:val="24"/>
        </w:rPr>
        <w:t>配备</w:t>
      </w:r>
      <w:r w:rsidRPr="008D64F4">
        <w:rPr>
          <w:rFonts w:ascii="宋体" w:hAnsi="宋体" w:hint="eastAsia"/>
          <w:szCs w:val="21"/>
        </w:rPr>
        <w:t>一维和二维探测器的</w:t>
      </w:r>
      <w:r w:rsidRPr="008D64F4">
        <w:rPr>
          <w:rFonts w:ascii="宋体" w:hAnsi="宋体"/>
          <w:szCs w:val="21"/>
        </w:rPr>
        <w:t>X</w:t>
      </w:r>
      <w:r w:rsidRPr="008D64F4">
        <w:rPr>
          <w:rFonts w:ascii="宋体" w:hAnsi="宋体" w:hint="eastAsia"/>
          <w:szCs w:val="21"/>
        </w:rPr>
        <w:t>射线衍射仪的校准</w:t>
      </w:r>
      <w:r>
        <w:rPr>
          <w:rFonts w:ascii="宋体" w:eastAsia="方正行楷简体" w:hint="eastAsia"/>
          <w:kern w:val="0"/>
          <w:szCs w:val="21"/>
        </w:rPr>
        <w:t>。</w:t>
      </w:r>
    </w:p>
    <w:p w:rsidR="00C517C5" w:rsidRDefault="00C517C5">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Pr>
            <w:rFonts w:ascii="黑体" w:eastAsia="黑体" w:hAnsi="宋体"/>
            <w:szCs w:val="21"/>
          </w:rPr>
          <w:t>2.2.2</w:t>
        </w:r>
      </w:smartTag>
      <w:r>
        <w:rPr>
          <w:rFonts w:ascii="黑体" w:eastAsia="黑体"/>
          <w:szCs w:val="21"/>
        </w:rPr>
        <w:t xml:space="preserve"> </w:t>
      </w:r>
      <w:r>
        <w:rPr>
          <w:rFonts w:ascii="黑体" w:eastAsia="黑体" w:hAnsi="宋体" w:hint="eastAsia"/>
          <w:szCs w:val="21"/>
        </w:rPr>
        <w:t>引用文件</w:t>
      </w:r>
    </w:p>
    <w:p w:rsidR="00C517C5" w:rsidRPr="008D64F4" w:rsidRDefault="00C517C5" w:rsidP="00FF7E79">
      <w:pPr>
        <w:spacing w:line="360" w:lineRule="auto"/>
        <w:ind w:firstLineChars="200" w:firstLine="31680"/>
        <w:rPr>
          <w:rFonts w:hAnsi="宋体"/>
          <w:szCs w:val="21"/>
        </w:rPr>
      </w:pPr>
      <w:r w:rsidRPr="008D64F4">
        <w:rPr>
          <w:rFonts w:hAnsi="宋体" w:hint="eastAsia"/>
          <w:szCs w:val="21"/>
        </w:rPr>
        <w:t>本规范规定了一维和二维探测器的</w:t>
      </w:r>
      <w:r w:rsidRPr="008D64F4">
        <w:rPr>
          <w:rFonts w:hAnsi="宋体"/>
          <w:szCs w:val="21"/>
        </w:rPr>
        <w:t>X</w:t>
      </w:r>
      <w:r w:rsidRPr="008D64F4">
        <w:rPr>
          <w:rFonts w:hAnsi="宋体" w:hint="eastAsia"/>
          <w:szCs w:val="21"/>
        </w:rPr>
        <w:t>射线衍射仪的校准要求，因此引用了</w:t>
      </w:r>
      <w:r w:rsidRPr="00147CBC">
        <w:rPr>
          <w:sz w:val="24"/>
        </w:rPr>
        <w:t xml:space="preserve">JB/T 9400  </w:t>
      </w:r>
      <w:r w:rsidRPr="008D64F4">
        <w:rPr>
          <w:rFonts w:hAnsi="宋体" w:hint="eastAsia"/>
          <w:szCs w:val="21"/>
        </w:rPr>
        <w:t>《</w:t>
      </w:r>
      <w:r w:rsidRPr="008D64F4">
        <w:rPr>
          <w:rFonts w:hAnsi="宋体"/>
          <w:szCs w:val="21"/>
        </w:rPr>
        <w:t>X</w:t>
      </w:r>
      <w:r w:rsidRPr="008D64F4">
        <w:rPr>
          <w:rFonts w:hAnsi="宋体" w:hint="eastAsia"/>
          <w:szCs w:val="21"/>
        </w:rPr>
        <w:t>射线衍射仪</w:t>
      </w:r>
      <w:r w:rsidRPr="008D64F4">
        <w:rPr>
          <w:rFonts w:hAnsi="宋体"/>
          <w:szCs w:val="21"/>
        </w:rPr>
        <w:t xml:space="preserve"> </w:t>
      </w:r>
      <w:r w:rsidRPr="008D64F4">
        <w:rPr>
          <w:rFonts w:hAnsi="宋体" w:hint="eastAsia"/>
          <w:szCs w:val="21"/>
        </w:rPr>
        <w:t>技术条件》</w:t>
      </w:r>
    </w:p>
    <w:p w:rsidR="00C517C5" w:rsidRPr="006208F2" w:rsidRDefault="00C517C5" w:rsidP="008D64F4">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2.2.3</w:t>
        </w:r>
      </w:smartTag>
      <w:r w:rsidRPr="006208F2">
        <w:rPr>
          <w:rFonts w:ascii="黑体" w:eastAsia="黑体"/>
          <w:szCs w:val="21"/>
        </w:rPr>
        <w:t xml:space="preserve"> </w:t>
      </w:r>
      <w:r w:rsidRPr="006208F2">
        <w:rPr>
          <w:rFonts w:ascii="黑体" w:eastAsia="黑体" w:hAnsi="宋体" w:hint="eastAsia"/>
          <w:szCs w:val="21"/>
        </w:rPr>
        <w:t>概述</w:t>
      </w:r>
    </w:p>
    <w:p w:rsidR="00C517C5" w:rsidRPr="006208F2" w:rsidRDefault="00C517C5" w:rsidP="00FF7E79">
      <w:pPr>
        <w:widowControl/>
        <w:autoSpaceDE w:val="0"/>
        <w:autoSpaceDN w:val="0"/>
        <w:adjustRightInd w:val="0"/>
        <w:spacing w:line="360" w:lineRule="auto"/>
        <w:ind w:firstLineChars="200" w:firstLine="31680"/>
        <w:jc w:val="left"/>
        <w:rPr>
          <w:szCs w:val="21"/>
        </w:rPr>
      </w:pPr>
      <w:r w:rsidRPr="006208F2">
        <w:rPr>
          <w:szCs w:val="21"/>
        </w:rPr>
        <w:t>X</w:t>
      </w:r>
      <w:r w:rsidRPr="006208F2">
        <w:rPr>
          <w:rFonts w:hint="eastAsia"/>
          <w:szCs w:val="21"/>
        </w:rPr>
        <w:t>射线衍射仪是利用已知的特征</w:t>
      </w:r>
      <w:r w:rsidRPr="006208F2">
        <w:rPr>
          <w:szCs w:val="21"/>
        </w:rPr>
        <w:t>X</w:t>
      </w:r>
      <w:r w:rsidRPr="006208F2">
        <w:rPr>
          <w:rFonts w:hint="eastAsia"/>
          <w:szCs w:val="21"/>
        </w:rPr>
        <w:t>射线对样品进行扫描，将采集到的晶体学相关数据与国际通用的标准数据比较，再加以计算从而获得一系列晶体结构信息，主要用于物相的定性、定量分析，以及晶格常数、材料残余内应力、织构等与晶体结构有关的数据的测定。</w:t>
      </w:r>
      <w:r w:rsidRPr="006208F2">
        <w:rPr>
          <w:szCs w:val="21"/>
        </w:rPr>
        <w:t>X</w:t>
      </w:r>
      <w:r w:rsidRPr="006208F2">
        <w:rPr>
          <w:rFonts w:hint="eastAsia"/>
          <w:szCs w:val="21"/>
        </w:rPr>
        <w:t>射线衍射仪主要依靠</w:t>
      </w:r>
      <w:r w:rsidRPr="006208F2">
        <w:rPr>
          <w:szCs w:val="21"/>
        </w:rPr>
        <w:t>X</w:t>
      </w:r>
      <w:r w:rsidRPr="006208F2">
        <w:rPr>
          <w:rFonts w:hint="eastAsia"/>
          <w:szCs w:val="21"/>
        </w:rPr>
        <w:t>射线探测器采集数据，探测器主要包括</w:t>
      </w:r>
      <w:bookmarkStart w:id="1" w:name="_Hlk49497099"/>
      <w:r w:rsidRPr="006208F2">
        <w:rPr>
          <w:rFonts w:hint="eastAsia"/>
          <w:szCs w:val="21"/>
        </w:rPr>
        <w:t>零维闪烁计数器和正比计数器、一维线阵探测器、二维</w:t>
      </w:r>
      <w:bookmarkEnd w:id="1"/>
      <w:r w:rsidRPr="006208F2">
        <w:rPr>
          <w:rFonts w:hint="eastAsia"/>
          <w:szCs w:val="21"/>
        </w:rPr>
        <w:t>阵列探测器等。</w:t>
      </w:r>
    </w:p>
    <w:p w:rsidR="00C517C5" w:rsidRPr="006208F2" w:rsidRDefault="00C517C5">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2.2.4</w:t>
        </w:r>
      </w:smartTag>
      <w:r w:rsidRPr="006208F2">
        <w:rPr>
          <w:rFonts w:ascii="黑体" w:eastAsia="黑体"/>
          <w:szCs w:val="21"/>
        </w:rPr>
        <w:t xml:space="preserve"> </w:t>
      </w:r>
      <w:r w:rsidRPr="006208F2">
        <w:rPr>
          <w:rFonts w:ascii="黑体" w:eastAsia="黑体" w:hAnsi="宋体" w:hint="eastAsia"/>
          <w:szCs w:val="21"/>
        </w:rPr>
        <w:t>计量特性</w:t>
      </w:r>
    </w:p>
    <w:p w:rsidR="00C517C5" w:rsidRDefault="00C517C5" w:rsidP="00FF7E79">
      <w:pPr>
        <w:spacing w:line="360" w:lineRule="auto"/>
        <w:ind w:firstLineChars="200" w:firstLine="31680"/>
      </w:pPr>
      <w:r>
        <w:rPr>
          <w:rFonts w:hint="eastAsia"/>
        </w:rPr>
        <w:t>根据征求意见稿的反馈意见，在本章中合并了一维和二维的计量特性，删除了对能量分辨率的要求，对一维和二维探测器的指标存在差异化时分别列出相应要求，优化了部分计量参数指标。</w:t>
      </w:r>
    </w:p>
    <w:p w:rsidR="00C517C5" w:rsidRPr="006208F2" w:rsidRDefault="00C517C5">
      <w:pPr>
        <w:spacing w:line="360" w:lineRule="auto"/>
        <w:rPr>
          <w:rFonts w:ascii="黑体" w:eastAsia="黑体" w:hAnsi="宋体"/>
          <w:szCs w:val="21"/>
        </w:rPr>
      </w:pPr>
      <w:r w:rsidRPr="006208F2">
        <w:rPr>
          <w:rFonts w:ascii="宋体" w:hAnsi="宋体"/>
          <w:szCs w:val="21"/>
        </w:rPr>
        <w:t xml:space="preserve"> </w:t>
      </w: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2.2.5</w:t>
        </w:r>
      </w:smartTag>
      <w:r w:rsidRPr="006208F2">
        <w:rPr>
          <w:rFonts w:ascii="黑体" w:eastAsia="黑体"/>
          <w:szCs w:val="21"/>
        </w:rPr>
        <w:t xml:space="preserve"> </w:t>
      </w:r>
      <w:r w:rsidRPr="006208F2">
        <w:rPr>
          <w:rFonts w:ascii="黑体" w:eastAsia="黑体" w:hAnsi="宋体" w:hint="eastAsia"/>
          <w:szCs w:val="21"/>
        </w:rPr>
        <w:t>校准条件</w:t>
      </w:r>
    </w:p>
    <w:p w:rsidR="00C517C5" w:rsidRDefault="00C517C5" w:rsidP="00FF7E79">
      <w:pPr>
        <w:spacing w:line="360" w:lineRule="auto"/>
        <w:ind w:firstLineChars="200" w:firstLine="31680"/>
      </w:pPr>
      <w:r w:rsidRPr="003A5722">
        <w:rPr>
          <w:rFonts w:hint="eastAsia"/>
        </w:rPr>
        <w:t>根据征求意见稿的反馈意见</w:t>
      </w:r>
      <w:r>
        <w:rPr>
          <w:rFonts w:hint="eastAsia"/>
        </w:rPr>
        <w:t>，对试验环境条件的温度、湿度条件进行了优化，对标准物质的表述进行了修改，明确了标准物质的特性。</w:t>
      </w:r>
    </w:p>
    <w:p w:rsidR="00C517C5" w:rsidRPr="006208F2" w:rsidRDefault="00C517C5">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2.2.6</w:t>
        </w:r>
      </w:smartTag>
      <w:r w:rsidRPr="006208F2">
        <w:rPr>
          <w:rFonts w:ascii="黑体" w:eastAsia="黑体"/>
          <w:szCs w:val="21"/>
        </w:rPr>
        <w:t xml:space="preserve"> </w:t>
      </w:r>
      <w:r w:rsidRPr="006208F2">
        <w:rPr>
          <w:rFonts w:ascii="黑体" w:eastAsia="黑体" w:hAnsi="宋体" w:hint="eastAsia"/>
          <w:szCs w:val="21"/>
        </w:rPr>
        <w:t>校准项目和校准方法</w:t>
      </w:r>
    </w:p>
    <w:p w:rsidR="00C517C5" w:rsidRDefault="00C517C5" w:rsidP="00FF7E79">
      <w:pPr>
        <w:spacing w:line="360" w:lineRule="auto"/>
        <w:ind w:firstLineChars="200" w:firstLine="31680"/>
      </w:pPr>
      <w:r>
        <w:rPr>
          <w:rFonts w:hint="eastAsia"/>
        </w:rPr>
        <w:t>根据征求意见稿的反馈意见，校准项目删除了能量分辨率的内容，增加了不同仪器狭缝系统的注解说明。根据验证试验的过程和结果，对校准方法中的部分参数和步骤进行了调整和优化。</w:t>
      </w:r>
    </w:p>
    <w:p w:rsidR="00C517C5" w:rsidRPr="006208F2" w:rsidRDefault="00C517C5" w:rsidP="00DB56CA">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2.2.7</w:t>
        </w:r>
      </w:smartTag>
      <w:r w:rsidRPr="006208F2">
        <w:rPr>
          <w:rFonts w:ascii="黑体" w:eastAsia="黑体" w:hAnsi="宋体"/>
          <w:szCs w:val="21"/>
        </w:rPr>
        <w:t xml:space="preserve"> </w:t>
      </w:r>
      <w:r w:rsidRPr="006208F2">
        <w:rPr>
          <w:rFonts w:ascii="黑体" w:eastAsia="黑体" w:hAnsi="宋体" w:hint="eastAsia"/>
          <w:szCs w:val="21"/>
        </w:rPr>
        <w:t>校准结果表达</w:t>
      </w:r>
    </w:p>
    <w:p w:rsidR="00C517C5" w:rsidRPr="00FF7E79" w:rsidRDefault="00C517C5" w:rsidP="00FF7E79">
      <w:pPr>
        <w:spacing w:line="360" w:lineRule="auto"/>
        <w:ind w:firstLineChars="200" w:firstLine="31680"/>
      </w:pPr>
      <w:r w:rsidRPr="006208F2">
        <w:rPr>
          <w:rFonts w:ascii="宋体" w:hAnsi="宋体" w:hint="eastAsia"/>
          <w:szCs w:val="21"/>
        </w:rPr>
        <w:t>根据上述校准项目结果，</w:t>
      </w:r>
      <w:r>
        <w:rPr>
          <w:rFonts w:hint="eastAsia"/>
        </w:rPr>
        <w:t>进行了少量编辑性修改，</w:t>
      </w:r>
      <w:r w:rsidRPr="006208F2">
        <w:rPr>
          <w:rFonts w:ascii="宋体" w:hAnsi="宋体" w:hint="eastAsia"/>
          <w:szCs w:val="21"/>
        </w:rPr>
        <w:t>按照校准报告规格出具校准证书。</w:t>
      </w:r>
    </w:p>
    <w:p w:rsidR="00C517C5" w:rsidRPr="006208F2" w:rsidRDefault="00C517C5">
      <w:pPr>
        <w:spacing w:line="360" w:lineRule="auto"/>
        <w:rPr>
          <w:rFonts w:ascii="黑体" w:eastAsia="黑体" w:hAnsi="宋体"/>
          <w:szCs w:val="21"/>
        </w:rPr>
      </w:pPr>
      <w:smartTag w:uri="urn:schemas-microsoft-com:office:smarttags" w:element="chsdate">
        <w:smartTagPr>
          <w:attr w:name="IsROCDate" w:val="False"/>
          <w:attr w:name="IsLunarDate" w:val="False"/>
          <w:attr w:name="Day" w:val="13"/>
          <w:attr w:name="Month" w:val="10"/>
          <w:attr w:name="Year" w:val="2020"/>
        </w:smartTagPr>
        <w:r w:rsidRPr="006208F2">
          <w:rPr>
            <w:rFonts w:ascii="黑体" w:eastAsia="黑体" w:hAnsi="宋体"/>
            <w:szCs w:val="21"/>
          </w:rPr>
          <w:t>2.2.7</w:t>
        </w:r>
      </w:smartTag>
      <w:r w:rsidRPr="006208F2">
        <w:rPr>
          <w:rFonts w:ascii="黑体" w:eastAsia="黑体"/>
          <w:szCs w:val="21"/>
        </w:rPr>
        <w:t xml:space="preserve"> </w:t>
      </w:r>
      <w:r w:rsidRPr="006208F2">
        <w:rPr>
          <w:rFonts w:ascii="黑体" w:eastAsia="黑体" w:hAnsi="宋体" w:hint="eastAsia"/>
          <w:szCs w:val="21"/>
        </w:rPr>
        <w:t>附录性资料</w:t>
      </w:r>
    </w:p>
    <w:p w:rsidR="00C517C5" w:rsidRPr="006208F2" w:rsidRDefault="00C517C5">
      <w:pPr>
        <w:spacing w:line="360" w:lineRule="auto"/>
        <w:ind w:firstLine="420"/>
        <w:rPr>
          <w:rFonts w:ascii="宋体"/>
          <w:szCs w:val="21"/>
        </w:rPr>
      </w:pPr>
      <w:r w:rsidRPr="006208F2">
        <w:rPr>
          <w:rFonts w:ascii="宋体" w:hAnsi="宋体" w:hint="eastAsia"/>
          <w:szCs w:val="21"/>
        </w:rPr>
        <w:t>校准规范规定需出具不确定度值，附录中给出了压痕仪校准结果测量不确定度的评定示例，以便本校准规范实施过程中具有可操作性。</w:t>
      </w:r>
    </w:p>
    <w:p w:rsidR="00C517C5" w:rsidRPr="006208F2" w:rsidRDefault="00C517C5">
      <w:pPr>
        <w:adjustRightInd w:val="0"/>
        <w:spacing w:line="360" w:lineRule="auto"/>
        <w:rPr>
          <w:rFonts w:ascii="黑体" w:eastAsia="黑体" w:hAnsi="宋体"/>
          <w:szCs w:val="21"/>
        </w:rPr>
      </w:pPr>
      <w:r w:rsidRPr="006208F2">
        <w:rPr>
          <w:rFonts w:ascii="黑体" w:eastAsia="黑体" w:hAnsi="宋体" w:hint="eastAsia"/>
          <w:szCs w:val="21"/>
        </w:rPr>
        <w:t>三、标准水平分析</w:t>
      </w:r>
    </w:p>
    <w:p w:rsidR="00C517C5" w:rsidRPr="006208F2" w:rsidRDefault="00C517C5">
      <w:pPr>
        <w:adjustRightInd w:val="0"/>
        <w:spacing w:line="360" w:lineRule="auto"/>
        <w:rPr>
          <w:rFonts w:ascii="黑体" w:eastAsia="黑体" w:hAnsi="宋体"/>
          <w:szCs w:val="21"/>
        </w:rPr>
      </w:pPr>
      <w:r w:rsidRPr="006208F2">
        <w:rPr>
          <w:rFonts w:ascii="黑体" w:eastAsia="黑体" w:hAnsi="宋体"/>
          <w:szCs w:val="21"/>
        </w:rPr>
        <w:t>3.1</w:t>
      </w:r>
      <w:r w:rsidRPr="006208F2">
        <w:rPr>
          <w:rFonts w:ascii="黑体" w:eastAsia="黑体" w:hAnsi="宋体" w:hint="eastAsia"/>
          <w:szCs w:val="21"/>
        </w:rPr>
        <w:t>采用国际标准及国外先进标准的程度</w:t>
      </w:r>
    </w:p>
    <w:p w:rsidR="00C517C5" w:rsidRDefault="00C517C5" w:rsidP="00FF7E79">
      <w:pPr>
        <w:adjustRightInd w:val="0"/>
        <w:spacing w:line="360" w:lineRule="auto"/>
        <w:ind w:firstLineChars="200" w:firstLine="31680"/>
        <w:rPr>
          <w:rFonts w:ascii="宋体"/>
          <w:szCs w:val="21"/>
        </w:rPr>
      </w:pPr>
      <w:r>
        <w:rPr>
          <w:rFonts w:ascii="宋体" w:hAnsi="宋体" w:hint="eastAsia"/>
          <w:szCs w:val="21"/>
        </w:rPr>
        <w:t>据查，目前国内外没有专门针对多晶</w:t>
      </w:r>
      <w:r>
        <w:rPr>
          <w:rFonts w:ascii="宋体" w:hAnsi="宋体"/>
          <w:szCs w:val="21"/>
        </w:rPr>
        <w:t>X</w:t>
      </w:r>
      <w:r>
        <w:rPr>
          <w:rFonts w:ascii="宋体" w:hAnsi="宋体" w:hint="eastAsia"/>
          <w:szCs w:val="21"/>
        </w:rPr>
        <w:t>射线衍射仪一维、二维探测器的校准规范，计量检测机构也未开展该类仪器的检定校准。</w:t>
      </w:r>
    </w:p>
    <w:p w:rsidR="00C517C5" w:rsidRDefault="00C517C5">
      <w:pPr>
        <w:adjustRightInd w:val="0"/>
        <w:spacing w:line="360" w:lineRule="auto"/>
        <w:rPr>
          <w:rFonts w:ascii="黑体" w:eastAsia="黑体" w:hAnsi="宋体"/>
          <w:szCs w:val="21"/>
        </w:rPr>
      </w:pPr>
      <w:r>
        <w:rPr>
          <w:rFonts w:ascii="黑体" w:eastAsia="黑体" w:hAnsi="宋体"/>
          <w:szCs w:val="21"/>
        </w:rPr>
        <w:t>3.2</w:t>
      </w:r>
      <w:r>
        <w:rPr>
          <w:rFonts w:ascii="黑体" w:eastAsia="黑体" w:hAnsi="宋体" w:hint="eastAsia"/>
          <w:szCs w:val="21"/>
        </w:rPr>
        <w:t>与国际及国外同类标准水平的对比分析</w:t>
      </w:r>
    </w:p>
    <w:p w:rsidR="00C517C5" w:rsidRDefault="00C517C5" w:rsidP="00FF7E79">
      <w:pPr>
        <w:spacing w:line="360" w:lineRule="auto"/>
        <w:ind w:firstLineChars="200" w:firstLine="31680"/>
        <w:rPr>
          <w:sz w:val="18"/>
        </w:rPr>
      </w:pPr>
      <w:r>
        <w:rPr>
          <w:rFonts w:ascii="宋体" w:hAnsi="宋体" w:hint="eastAsia"/>
          <w:szCs w:val="21"/>
        </w:rPr>
        <w:t>目前国外没有相关技术规范，本规范水平达到国外先进水平。</w:t>
      </w:r>
    </w:p>
    <w:p w:rsidR="00C517C5" w:rsidRDefault="00C517C5">
      <w:pPr>
        <w:adjustRightInd w:val="0"/>
        <w:spacing w:line="360" w:lineRule="auto"/>
        <w:rPr>
          <w:rFonts w:ascii="黑体" w:eastAsia="黑体" w:hAnsi="宋体"/>
          <w:szCs w:val="21"/>
        </w:rPr>
      </w:pPr>
      <w:r>
        <w:rPr>
          <w:rFonts w:ascii="黑体" w:eastAsia="黑体" w:hAnsi="宋体" w:hint="eastAsia"/>
          <w:szCs w:val="21"/>
        </w:rPr>
        <w:t>四、与有关的现行法律、法规和强制性国家标准的关系</w:t>
      </w:r>
    </w:p>
    <w:p w:rsidR="00C517C5" w:rsidRDefault="00C517C5" w:rsidP="00FF7E79">
      <w:pPr>
        <w:adjustRightInd w:val="0"/>
        <w:spacing w:line="360" w:lineRule="auto"/>
        <w:ind w:firstLineChars="200" w:firstLine="31680"/>
        <w:rPr>
          <w:rFonts w:hAnsi="宋体"/>
          <w:szCs w:val="21"/>
        </w:rPr>
      </w:pPr>
      <w:r>
        <w:rPr>
          <w:rFonts w:hAnsi="宋体" w:hint="eastAsia"/>
          <w:szCs w:val="21"/>
        </w:rPr>
        <w:t>本规范与有关的现行法律、法规和国家计量技术规范具有一致性，无冲突之处。</w:t>
      </w:r>
    </w:p>
    <w:p w:rsidR="00C517C5" w:rsidRDefault="00C517C5">
      <w:pPr>
        <w:adjustRightInd w:val="0"/>
        <w:spacing w:line="360" w:lineRule="auto"/>
        <w:rPr>
          <w:rFonts w:ascii="黑体" w:eastAsia="黑体" w:hAnsi="宋体"/>
          <w:szCs w:val="21"/>
        </w:rPr>
      </w:pPr>
      <w:r>
        <w:rPr>
          <w:rFonts w:ascii="黑体" w:eastAsia="黑体" w:hAnsi="宋体" w:hint="eastAsia"/>
          <w:szCs w:val="21"/>
        </w:rPr>
        <w:t>五、重大分歧意见的处理经过和依据</w:t>
      </w:r>
    </w:p>
    <w:p w:rsidR="00C517C5" w:rsidRDefault="00C517C5" w:rsidP="00FF7E79">
      <w:pPr>
        <w:adjustRightInd w:val="0"/>
        <w:spacing w:line="360" w:lineRule="auto"/>
        <w:ind w:firstLineChars="200" w:firstLine="31680"/>
        <w:rPr>
          <w:rFonts w:hAnsi="宋体"/>
          <w:szCs w:val="21"/>
        </w:rPr>
      </w:pPr>
      <w:r>
        <w:rPr>
          <w:rFonts w:hAnsi="宋体" w:hint="eastAsia"/>
          <w:szCs w:val="21"/>
        </w:rPr>
        <w:t>无</w:t>
      </w:r>
    </w:p>
    <w:p w:rsidR="00C517C5" w:rsidRDefault="00C517C5">
      <w:pPr>
        <w:adjustRightInd w:val="0"/>
        <w:spacing w:line="360" w:lineRule="auto"/>
        <w:rPr>
          <w:rFonts w:ascii="黑体" w:eastAsia="黑体" w:hAnsi="宋体"/>
          <w:szCs w:val="21"/>
        </w:rPr>
      </w:pPr>
      <w:r>
        <w:rPr>
          <w:rFonts w:ascii="黑体" w:eastAsia="黑体" w:hAnsi="宋体" w:hint="eastAsia"/>
          <w:szCs w:val="21"/>
        </w:rPr>
        <w:t>六、标准作为强制性或推荐性国家（或行业）标准的建议</w:t>
      </w:r>
    </w:p>
    <w:p w:rsidR="00C517C5" w:rsidRDefault="00C517C5" w:rsidP="00FF7E79">
      <w:pPr>
        <w:adjustRightInd w:val="0"/>
        <w:spacing w:line="360" w:lineRule="auto"/>
        <w:ind w:firstLineChars="200" w:firstLine="31680"/>
        <w:rPr>
          <w:rFonts w:hAnsi="宋体"/>
          <w:szCs w:val="21"/>
        </w:rPr>
      </w:pPr>
      <w:r>
        <w:rPr>
          <w:rFonts w:hAnsi="宋体" w:hint="eastAsia"/>
          <w:szCs w:val="21"/>
        </w:rPr>
        <w:t>建议本规范作为推荐性行业计量技术规范，供相关行业参考采用。</w:t>
      </w:r>
    </w:p>
    <w:p w:rsidR="00C517C5" w:rsidRDefault="00C517C5">
      <w:pPr>
        <w:adjustRightInd w:val="0"/>
        <w:spacing w:line="360" w:lineRule="auto"/>
        <w:rPr>
          <w:rFonts w:ascii="黑体" w:eastAsia="黑体" w:hAnsi="宋体"/>
          <w:szCs w:val="21"/>
        </w:rPr>
      </w:pPr>
      <w:r>
        <w:rPr>
          <w:rFonts w:ascii="黑体" w:eastAsia="黑体" w:hAnsi="宋体" w:hint="eastAsia"/>
          <w:szCs w:val="21"/>
        </w:rPr>
        <w:t>七、贯彻标准的要求和措施建议</w:t>
      </w:r>
    </w:p>
    <w:p w:rsidR="00C517C5" w:rsidRDefault="00C517C5" w:rsidP="00FF7E79">
      <w:pPr>
        <w:adjustRightInd w:val="0"/>
        <w:spacing w:line="360" w:lineRule="auto"/>
        <w:ind w:firstLineChars="200" w:firstLine="31680"/>
        <w:rPr>
          <w:rFonts w:hAnsi="宋体"/>
          <w:szCs w:val="21"/>
        </w:rPr>
      </w:pPr>
      <w:r>
        <w:rPr>
          <w:rFonts w:hAnsi="宋体" w:hint="eastAsia"/>
          <w:szCs w:val="21"/>
        </w:rPr>
        <w:t>无</w:t>
      </w:r>
    </w:p>
    <w:p w:rsidR="00C517C5" w:rsidRDefault="00C517C5">
      <w:pPr>
        <w:adjustRightInd w:val="0"/>
        <w:snapToGrid w:val="0"/>
        <w:spacing w:line="360" w:lineRule="auto"/>
        <w:rPr>
          <w:rFonts w:ascii="黑体" w:eastAsia="黑体" w:hAnsi="宋体"/>
          <w:szCs w:val="21"/>
        </w:rPr>
      </w:pPr>
      <w:r>
        <w:rPr>
          <w:rFonts w:ascii="黑体" w:eastAsia="黑体" w:hAnsi="宋体" w:hint="eastAsia"/>
          <w:szCs w:val="21"/>
        </w:rPr>
        <w:t>八、废止现行有关标准的建议</w:t>
      </w:r>
    </w:p>
    <w:p w:rsidR="00C517C5" w:rsidRDefault="00C517C5" w:rsidP="00FF7E79">
      <w:pPr>
        <w:adjustRightInd w:val="0"/>
        <w:snapToGrid w:val="0"/>
        <w:spacing w:line="360" w:lineRule="auto"/>
        <w:ind w:firstLineChars="200" w:firstLine="31680"/>
        <w:rPr>
          <w:rFonts w:hAnsi="宋体"/>
          <w:szCs w:val="21"/>
        </w:rPr>
      </w:pPr>
      <w:r>
        <w:rPr>
          <w:rFonts w:hAnsi="宋体" w:hint="eastAsia"/>
          <w:szCs w:val="21"/>
        </w:rPr>
        <w:t>无</w:t>
      </w:r>
    </w:p>
    <w:p w:rsidR="00C517C5" w:rsidRDefault="00C517C5">
      <w:pPr>
        <w:spacing w:line="360" w:lineRule="auto"/>
        <w:rPr>
          <w:rFonts w:ascii="黑体" w:eastAsia="黑体"/>
        </w:rPr>
      </w:pPr>
      <w:r>
        <w:rPr>
          <w:rFonts w:ascii="黑体" w:eastAsia="黑体" w:hint="eastAsia"/>
        </w:rPr>
        <w:t>九、预期效果</w:t>
      </w:r>
    </w:p>
    <w:p w:rsidR="00C517C5" w:rsidRDefault="00C517C5" w:rsidP="00FF7E79">
      <w:pPr>
        <w:adjustRightInd w:val="0"/>
        <w:snapToGrid w:val="0"/>
        <w:spacing w:line="360" w:lineRule="auto"/>
        <w:ind w:firstLineChars="200" w:firstLine="31680"/>
      </w:pPr>
      <w:r>
        <w:rPr>
          <w:rFonts w:hint="eastAsia"/>
        </w:rPr>
        <w:t>本规范的制定实施有利于</w:t>
      </w:r>
      <w:r>
        <w:rPr>
          <w:rFonts w:ascii="宋体" w:hAnsi="宋体" w:hint="eastAsia"/>
          <w:szCs w:val="21"/>
        </w:rPr>
        <w:t>多晶</w:t>
      </w:r>
      <w:r>
        <w:rPr>
          <w:rFonts w:ascii="宋体" w:hAnsi="宋体"/>
          <w:szCs w:val="21"/>
        </w:rPr>
        <w:t>X</w:t>
      </w:r>
      <w:r>
        <w:rPr>
          <w:rFonts w:ascii="宋体" w:hAnsi="宋体" w:hint="eastAsia"/>
          <w:szCs w:val="21"/>
        </w:rPr>
        <w:t>射线衍射仪</w:t>
      </w:r>
      <w:r>
        <w:rPr>
          <w:rFonts w:ascii="宋体" w:eastAsia="方正行楷简体" w:hint="eastAsia"/>
          <w:kern w:val="0"/>
          <w:szCs w:val="21"/>
        </w:rPr>
        <w:t>的验收和校准，</w:t>
      </w:r>
      <w:r>
        <w:rPr>
          <w:rFonts w:hint="eastAsia"/>
        </w:rPr>
        <w:t>进一步促进</w:t>
      </w:r>
      <w:r>
        <w:rPr>
          <w:rFonts w:ascii="宋体" w:hAnsi="宋体" w:hint="eastAsia"/>
          <w:szCs w:val="21"/>
        </w:rPr>
        <w:t>多晶</w:t>
      </w:r>
      <w:r>
        <w:rPr>
          <w:rFonts w:ascii="宋体" w:hAnsi="宋体"/>
          <w:szCs w:val="21"/>
        </w:rPr>
        <w:t>X</w:t>
      </w:r>
      <w:r>
        <w:rPr>
          <w:rFonts w:ascii="宋体" w:hAnsi="宋体" w:hint="eastAsia"/>
          <w:szCs w:val="21"/>
        </w:rPr>
        <w:t>射线衍射仪</w:t>
      </w:r>
      <w:r>
        <w:rPr>
          <w:rFonts w:hint="eastAsia"/>
        </w:rPr>
        <w:t>在各行各业中的运用。</w:t>
      </w:r>
    </w:p>
    <w:p w:rsidR="00C517C5" w:rsidRDefault="00C517C5">
      <w:pPr>
        <w:adjustRightInd w:val="0"/>
        <w:snapToGrid w:val="0"/>
        <w:spacing w:line="360" w:lineRule="auto"/>
        <w:rPr>
          <w:rFonts w:ascii="黑体" w:eastAsia="黑体" w:hAnsi="宋体"/>
          <w:szCs w:val="21"/>
        </w:rPr>
      </w:pPr>
      <w:r>
        <w:rPr>
          <w:rFonts w:ascii="黑体" w:eastAsia="黑体" w:hAnsi="宋体" w:hint="eastAsia"/>
          <w:szCs w:val="21"/>
        </w:rPr>
        <w:t>十、其他应予说明的事项</w:t>
      </w:r>
    </w:p>
    <w:p w:rsidR="00C517C5" w:rsidRDefault="00C517C5" w:rsidP="00FF7E79">
      <w:pPr>
        <w:spacing w:line="360" w:lineRule="auto"/>
        <w:ind w:firstLineChars="200" w:firstLine="31680"/>
      </w:pPr>
      <w:r>
        <w:rPr>
          <w:rFonts w:hint="eastAsia"/>
        </w:rPr>
        <w:t>无</w:t>
      </w:r>
    </w:p>
    <w:p w:rsidR="00C517C5" w:rsidRDefault="00C517C5">
      <w:pPr>
        <w:spacing w:line="360" w:lineRule="auto"/>
        <w:jc w:val="right"/>
        <w:rPr>
          <w:rFonts w:ascii="黑体" w:eastAsia="黑体" w:hAnsi="黑体"/>
          <w:b/>
          <w:szCs w:val="21"/>
        </w:rPr>
      </w:pPr>
      <w:r>
        <w:rPr>
          <w:rFonts w:ascii="黑体" w:eastAsia="黑体"/>
        </w:rPr>
        <w:t xml:space="preserve">         </w:t>
      </w:r>
      <w:r>
        <w:rPr>
          <w:rFonts w:ascii="黑体" w:eastAsia="黑体" w:hAnsi="黑体"/>
        </w:rPr>
        <w:t xml:space="preserve">      </w:t>
      </w:r>
      <w:r>
        <w:rPr>
          <w:rFonts w:ascii="黑体" w:eastAsia="黑体" w:hAnsi="黑体" w:hint="eastAsia"/>
          <w:b/>
        </w:rPr>
        <w:t>《</w:t>
      </w:r>
      <w:r>
        <w:rPr>
          <w:rFonts w:ascii="黑体" w:eastAsia="黑体" w:hint="eastAsia"/>
          <w:sz w:val="24"/>
        </w:rPr>
        <w:t>有色金属材料用多维探测器</w:t>
      </w:r>
      <w:r>
        <w:rPr>
          <w:rFonts w:ascii="黑体" w:eastAsia="黑体"/>
          <w:sz w:val="24"/>
        </w:rPr>
        <w:t>X</w:t>
      </w:r>
      <w:r>
        <w:rPr>
          <w:rFonts w:ascii="黑体" w:eastAsia="黑体" w:hint="eastAsia"/>
          <w:sz w:val="24"/>
        </w:rPr>
        <w:t>射线衍射仪校准规范</w:t>
      </w:r>
      <w:r>
        <w:rPr>
          <w:rFonts w:ascii="宋体" w:eastAsia="方正行楷简体" w:hint="eastAsia"/>
          <w:b/>
          <w:kern w:val="0"/>
          <w:szCs w:val="21"/>
        </w:rPr>
        <w:t>》标准编制组</w:t>
      </w:r>
    </w:p>
    <w:p w:rsidR="00C517C5" w:rsidRDefault="00C517C5">
      <w:pPr>
        <w:adjustRightInd w:val="0"/>
        <w:snapToGrid w:val="0"/>
        <w:spacing w:line="360" w:lineRule="auto"/>
        <w:ind w:right="105"/>
        <w:jc w:val="right"/>
        <w:textAlignment w:val="top"/>
        <w:rPr>
          <w:rFonts w:ascii="黑体" w:eastAsia="黑体"/>
        </w:rPr>
      </w:pPr>
      <w:smartTag w:uri="urn:schemas-microsoft-com:office:smarttags" w:element="chsdate">
        <w:smartTagPr>
          <w:attr w:name="IsROCDate" w:val="False"/>
          <w:attr w:name="IsLunarDate" w:val="False"/>
          <w:attr w:name="Day" w:val="13"/>
          <w:attr w:name="Month" w:val="10"/>
          <w:attr w:name="Year" w:val="2020"/>
        </w:smartTagPr>
        <w:r>
          <w:rPr>
            <w:rFonts w:ascii="黑体" w:eastAsia="黑体"/>
          </w:rPr>
          <w:t>2020</w:t>
        </w:r>
        <w:r>
          <w:rPr>
            <w:rFonts w:ascii="黑体" w:eastAsia="黑体" w:hint="eastAsia"/>
          </w:rPr>
          <w:t>年</w:t>
        </w:r>
        <w:r>
          <w:rPr>
            <w:rFonts w:ascii="黑体" w:eastAsia="黑体"/>
          </w:rPr>
          <w:t>10</w:t>
        </w:r>
        <w:r>
          <w:rPr>
            <w:rFonts w:ascii="黑体" w:eastAsia="黑体" w:hint="eastAsia"/>
          </w:rPr>
          <w:t>月</w:t>
        </w:r>
        <w:r>
          <w:rPr>
            <w:rFonts w:ascii="黑体" w:eastAsia="黑体"/>
          </w:rPr>
          <w:t>13</w:t>
        </w:r>
        <w:r>
          <w:rPr>
            <w:rFonts w:ascii="黑体" w:eastAsia="黑体" w:hint="eastAsia"/>
          </w:rPr>
          <w:t>日</w:t>
        </w:r>
      </w:smartTag>
    </w:p>
    <w:sectPr w:rsidR="00C517C5" w:rsidSect="00933BA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7C5" w:rsidRDefault="00C517C5" w:rsidP="00933BAF">
      <w:r>
        <w:separator/>
      </w:r>
    </w:p>
  </w:endnote>
  <w:endnote w:type="continuationSeparator" w:id="0">
    <w:p w:rsidR="00C517C5" w:rsidRDefault="00C517C5" w:rsidP="00933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行楷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5" w:rsidRDefault="00C517C5">
    <w:pPr>
      <w:pStyle w:val="Footer"/>
      <w:jc w:val="center"/>
    </w:pPr>
    <w:r>
      <w:rPr>
        <w:rFonts w:hint="eastAsia"/>
      </w:rPr>
      <w:t>第</w:t>
    </w:r>
    <w:fldSimple w:instr=" PAGE   \* MERGEFORMAT ">
      <w:r w:rsidRPr="00FF7E79">
        <w:rPr>
          <w:noProof/>
          <w:lang w:val="zh-CN"/>
        </w:rPr>
        <w:t>1</w:t>
      </w:r>
    </w:fldSimple>
    <w:r>
      <w:rPr>
        <w:rFonts w:hint="eastAsia"/>
      </w:rPr>
      <w:t>页共</w:t>
    </w:r>
    <w:r>
      <w:t>3</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7C5" w:rsidRDefault="00C517C5" w:rsidP="00933BAF">
      <w:r>
        <w:separator/>
      </w:r>
    </w:p>
  </w:footnote>
  <w:footnote w:type="continuationSeparator" w:id="0">
    <w:p w:rsidR="00C517C5" w:rsidRDefault="00C517C5" w:rsidP="00933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5" w:rsidRDefault="00C517C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D2A77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B42D87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9DAB94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EFEA5B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5382F0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046EA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9DEA01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9D874B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2587C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CC78CA"/>
    <w:lvl w:ilvl="0">
      <w:start w:val="1"/>
      <w:numFmt w:val="bullet"/>
      <w:lvlText w:val=""/>
      <w:lvlJc w:val="left"/>
      <w:pPr>
        <w:tabs>
          <w:tab w:val="num" w:pos="360"/>
        </w:tabs>
        <w:ind w:left="360" w:hanging="360"/>
      </w:pPr>
      <w:rPr>
        <w:rFonts w:ascii="Wingdings" w:hAnsi="Wingdings" w:hint="default"/>
      </w:rPr>
    </w:lvl>
  </w:abstractNum>
  <w:abstractNum w:abstractNumId="10">
    <w:nsid w:val="37C3713A"/>
    <w:multiLevelType w:val="hybridMultilevel"/>
    <w:tmpl w:val="2D4040F6"/>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1">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nsid w:val="72AE480C"/>
    <w:multiLevelType w:val="multilevel"/>
    <w:tmpl w:val="72AE480C"/>
    <w:lvl w:ilvl="0">
      <w:start w:val="1"/>
      <w:numFmt w:val="decimal"/>
      <w:lvlText w:val="%1)"/>
      <w:lvlJc w:val="left"/>
      <w:pPr>
        <w:ind w:left="934" w:hanging="420"/>
      </w:pPr>
      <w:rPr>
        <w:rFonts w:cs="Times New Roman"/>
      </w:rPr>
    </w:lvl>
    <w:lvl w:ilvl="1">
      <w:start w:val="4"/>
      <w:numFmt w:val="decimal"/>
      <w:lvlText w:val="%2）"/>
      <w:lvlJc w:val="left"/>
      <w:pPr>
        <w:tabs>
          <w:tab w:val="left" w:pos="1294"/>
        </w:tabs>
        <w:ind w:left="1294" w:hanging="360"/>
      </w:pPr>
      <w:rPr>
        <w:rFonts w:cs="Times New Roman" w:hint="default"/>
      </w:rPr>
    </w:lvl>
    <w:lvl w:ilvl="2">
      <w:start w:val="1"/>
      <w:numFmt w:val="lowerRoman"/>
      <w:lvlText w:val="%3."/>
      <w:lvlJc w:val="right"/>
      <w:pPr>
        <w:ind w:left="1774" w:hanging="420"/>
      </w:pPr>
      <w:rPr>
        <w:rFonts w:cs="Times New Roman"/>
      </w:rPr>
    </w:lvl>
    <w:lvl w:ilvl="3">
      <w:start w:val="1"/>
      <w:numFmt w:val="decimal"/>
      <w:lvlText w:val="%4."/>
      <w:lvlJc w:val="left"/>
      <w:pPr>
        <w:ind w:left="2194" w:hanging="420"/>
      </w:pPr>
      <w:rPr>
        <w:rFonts w:cs="Times New Roman"/>
      </w:rPr>
    </w:lvl>
    <w:lvl w:ilvl="4">
      <w:start w:val="1"/>
      <w:numFmt w:val="lowerLetter"/>
      <w:lvlText w:val="%5)"/>
      <w:lvlJc w:val="left"/>
      <w:pPr>
        <w:ind w:left="2614" w:hanging="420"/>
      </w:pPr>
      <w:rPr>
        <w:rFonts w:cs="Times New Roman"/>
      </w:rPr>
    </w:lvl>
    <w:lvl w:ilvl="5">
      <w:start w:val="1"/>
      <w:numFmt w:val="lowerRoman"/>
      <w:lvlText w:val="%6."/>
      <w:lvlJc w:val="right"/>
      <w:pPr>
        <w:ind w:left="3034" w:hanging="420"/>
      </w:pPr>
      <w:rPr>
        <w:rFonts w:cs="Times New Roman"/>
      </w:rPr>
    </w:lvl>
    <w:lvl w:ilvl="6">
      <w:start w:val="1"/>
      <w:numFmt w:val="decimal"/>
      <w:lvlText w:val="%7."/>
      <w:lvlJc w:val="left"/>
      <w:pPr>
        <w:ind w:left="3454" w:hanging="420"/>
      </w:pPr>
      <w:rPr>
        <w:rFonts w:cs="Times New Roman"/>
      </w:rPr>
    </w:lvl>
    <w:lvl w:ilvl="7">
      <w:start w:val="1"/>
      <w:numFmt w:val="lowerLetter"/>
      <w:lvlText w:val="%8)"/>
      <w:lvlJc w:val="left"/>
      <w:pPr>
        <w:ind w:left="3874" w:hanging="420"/>
      </w:pPr>
      <w:rPr>
        <w:rFonts w:cs="Times New Roman"/>
      </w:rPr>
    </w:lvl>
    <w:lvl w:ilvl="8">
      <w:start w:val="1"/>
      <w:numFmt w:val="lowerRoman"/>
      <w:lvlText w:val="%9."/>
      <w:lvlJc w:val="right"/>
      <w:pPr>
        <w:ind w:left="4294" w:hanging="420"/>
      </w:pPr>
      <w:rPr>
        <w:rFonts w:cs="Times New Roman"/>
      </w:r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578"/>
    <w:rsid w:val="000022A2"/>
    <w:rsid w:val="0000397C"/>
    <w:rsid w:val="00005248"/>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2051C"/>
    <w:rsid w:val="00A216E0"/>
    <w:rsid w:val="00A27E01"/>
    <w:rsid w:val="00A33BBD"/>
    <w:rsid w:val="00A347A3"/>
    <w:rsid w:val="00A36707"/>
    <w:rsid w:val="00A36EF3"/>
    <w:rsid w:val="00A376DC"/>
    <w:rsid w:val="00A37EEF"/>
    <w:rsid w:val="00A4253A"/>
    <w:rsid w:val="00A42D69"/>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778E"/>
    <w:rsid w:val="00B62317"/>
    <w:rsid w:val="00B67D13"/>
    <w:rsid w:val="00B80205"/>
    <w:rsid w:val="00B81391"/>
    <w:rsid w:val="00B83C93"/>
    <w:rsid w:val="00B93078"/>
    <w:rsid w:val="00B93358"/>
    <w:rsid w:val="00B9366B"/>
    <w:rsid w:val="00B9383E"/>
    <w:rsid w:val="00BA1A3A"/>
    <w:rsid w:val="00BA6B4A"/>
    <w:rsid w:val="00BA6F6D"/>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5BBE3B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AF"/>
    <w:pPr>
      <w:widowControl w:val="0"/>
      <w:jc w:val="both"/>
    </w:pPr>
    <w:rPr>
      <w:szCs w:val="24"/>
    </w:rPr>
  </w:style>
  <w:style w:type="paragraph" w:styleId="Heading2">
    <w:name w:val="heading 2"/>
    <w:basedOn w:val="Normal"/>
    <w:next w:val="Normal"/>
    <w:link w:val="Heading2Char"/>
    <w:uiPriority w:val="99"/>
    <w:qFormat/>
    <w:rsid w:val="00933BA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33BAF"/>
    <w:rPr>
      <w:rFonts w:ascii="Arial" w:eastAsia="黑体" w:hAnsi="Arial" w:cs="Times New Roman"/>
      <w:b/>
      <w:bCs/>
      <w:kern w:val="2"/>
      <w:sz w:val="32"/>
      <w:szCs w:val="32"/>
    </w:rPr>
  </w:style>
  <w:style w:type="paragraph" w:styleId="Date">
    <w:name w:val="Date"/>
    <w:basedOn w:val="Normal"/>
    <w:next w:val="Normal"/>
    <w:link w:val="DateChar"/>
    <w:uiPriority w:val="99"/>
    <w:rsid w:val="00933BAF"/>
    <w:pPr>
      <w:ind w:leftChars="2500" w:left="100"/>
    </w:pPr>
  </w:style>
  <w:style w:type="character" w:customStyle="1" w:styleId="DateChar">
    <w:name w:val="Date Char"/>
    <w:basedOn w:val="DefaultParagraphFont"/>
    <w:link w:val="Date"/>
    <w:uiPriority w:val="99"/>
    <w:locked/>
    <w:rsid w:val="00933BAF"/>
    <w:rPr>
      <w:rFonts w:cs="Times New Roman"/>
      <w:kern w:val="2"/>
      <w:sz w:val="24"/>
      <w:szCs w:val="24"/>
    </w:rPr>
  </w:style>
  <w:style w:type="paragraph" w:styleId="BalloonText">
    <w:name w:val="Balloon Text"/>
    <w:basedOn w:val="Normal"/>
    <w:link w:val="BalloonTextChar"/>
    <w:uiPriority w:val="99"/>
    <w:rsid w:val="00933BAF"/>
    <w:rPr>
      <w:sz w:val="18"/>
      <w:szCs w:val="18"/>
    </w:rPr>
  </w:style>
  <w:style w:type="character" w:customStyle="1" w:styleId="BalloonTextChar">
    <w:name w:val="Balloon Text Char"/>
    <w:basedOn w:val="DefaultParagraphFont"/>
    <w:link w:val="BalloonText"/>
    <w:uiPriority w:val="99"/>
    <w:locked/>
    <w:rsid w:val="00933BAF"/>
    <w:rPr>
      <w:rFonts w:cs="Times New Roman"/>
      <w:kern w:val="2"/>
      <w:sz w:val="18"/>
      <w:szCs w:val="18"/>
    </w:rPr>
  </w:style>
  <w:style w:type="paragraph" w:styleId="Footer">
    <w:name w:val="footer"/>
    <w:basedOn w:val="Normal"/>
    <w:link w:val="FooterChar"/>
    <w:uiPriority w:val="99"/>
    <w:rsid w:val="00933B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3BAF"/>
    <w:rPr>
      <w:rFonts w:cs="Times New Roman"/>
      <w:kern w:val="2"/>
      <w:sz w:val="18"/>
      <w:szCs w:val="18"/>
    </w:rPr>
  </w:style>
  <w:style w:type="paragraph" w:styleId="Header">
    <w:name w:val="header"/>
    <w:basedOn w:val="Normal"/>
    <w:link w:val="HeaderChar"/>
    <w:uiPriority w:val="99"/>
    <w:rsid w:val="00933B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3BAF"/>
    <w:rPr>
      <w:rFonts w:cs="Times New Roman"/>
      <w:sz w:val="18"/>
      <w:szCs w:val="18"/>
    </w:rPr>
  </w:style>
  <w:style w:type="paragraph" w:styleId="BodyText2">
    <w:name w:val="Body Text 2"/>
    <w:basedOn w:val="Normal"/>
    <w:link w:val="BodyText2Char"/>
    <w:uiPriority w:val="99"/>
    <w:rsid w:val="00933BAF"/>
    <w:pPr>
      <w:spacing w:after="120" w:line="480" w:lineRule="auto"/>
    </w:pPr>
  </w:style>
  <w:style w:type="character" w:customStyle="1" w:styleId="BodyText2Char">
    <w:name w:val="Body Text 2 Char"/>
    <w:basedOn w:val="DefaultParagraphFont"/>
    <w:link w:val="BodyText2"/>
    <w:uiPriority w:val="99"/>
    <w:semiHidden/>
    <w:locked/>
    <w:rsid w:val="00933BAF"/>
    <w:rPr>
      <w:rFonts w:cs="Times New Roman"/>
      <w:sz w:val="24"/>
      <w:szCs w:val="24"/>
    </w:rPr>
  </w:style>
  <w:style w:type="table" w:styleId="TableGrid">
    <w:name w:val="Table Grid"/>
    <w:basedOn w:val="TableNormal"/>
    <w:uiPriority w:val="99"/>
    <w:rsid w:val="00933BA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段"/>
    <w:link w:val="Char"/>
    <w:uiPriority w:val="99"/>
    <w:rsid w:val="00933BAF"/>
    <w:pPr>
      <w:autoSpaceDE w:val="0"/>
      <w:autoSpaceDN w:val="0"/>
      <w:ind w:firstLineChars="200" w:firstLine="200"/>
      <w:jc w:val="both"/>
    </w:pPr>
    <w:rPr>
      <w:rFonts w:ascii="宋体"/>
      <w:kern w:val="0"/>
      <w:szCs w:val="20"/>
    </w:rPr>
  </w:style>
  <w:style w:type="character" w:customStyle="1" w:styleId="Char">
    <w:name w:val="段 Char"/>
    <w:basedOn w:val="DefaultParagraphFont"/>
    <w:link w:val="a6"/>
    <w:uiPriority w:val="99"/>
    <w:locked/>
    <w:rsid w:val="00933BAF"/>
    <w:rPr>
      <w:rFonts w:ascii="宋体" w:cs="Times New Roman"/>
      <w:sz w:val="21"/>
      <w:lang w:val="en-US" w:eastAsia="zh-CN" w:bidi="ar-SA"/>
    </w:rPr>
  </w:style>
  <w:style w:type="character" w:styleId="PlaceholderText">
    <w:name w:val="Placeholder Text"/>
    <w:basedOn w:val="DefaultParagraphFont"/>
    <w:uiPriority w:val="99"/>
    <w:semiHidden/>
    <w:rsid w:val="00933BAF"/>
    <w:rPr>
      <w:rFonts w:cs="Times New Roman"/>
      <w:color w:val="808080"/>
    </w:rPr>
  </w:style>
  <w:style w:type="paragraph" w:styleId="ListParagraph">
    <w:name w:val="List Paragraph"/>
    <w:basedOn w:val="Normal"/>
    <w:uiPriority w:val="99"/>
    <w:qFormat/>
    <w:rsid w:val="00933BAF"/>
    <w:pPr>
      <w:ind w:firstLineChars="200" w:firstLine="420"/>
    </w:pPr>
  </w:style>
  <w:style w:type="paragraph" w:customStyle="1" w:styleId="a">
    <w:name w:val="前言、引言标题"/>
    <w:next w:val="Normal"/>
    <w:uiPriority w:val="99"/>
    <w:rsid w:val="00933BAF"/>
    <w:pPr>
      <w:numPr>
        <w:numId w:val="1"/>
      </w:numPr>
      <w:shd w:val="clear" w:color="FFFFFF" w:fill="FFFFFF"/>
      <w:spacing w:before="640" w:after="560"/>
      <w:jc w:val="center"/>
      <w:outlineLvl w:val="0"/>
    </w:pPr>
    <w:rPr>
      <w:rFonts w:ascii="黑体" w:eastAsia="黑体"/>
      <w:kern w:val="0"/>
      <w:sz w:val="32"/>
      <w:szCs w:val="20"/>
    </w:rPr>
  </w:style>
  <w:style w:type="paragraph" w:customStyle="1" w:styleId="a0">
    <w:name w:val="章标题"/>
    <w:next w:val="a6"/>
    <w:uiPriority w:val="99"/>
    <w:rsid w:val="00933BAF"/>
    <w:pPr>
      <w:numPr>
        <w:ilvl w:val="1"/>
        <w:numId w:val="1"/>
      </w:numPr>
      <w:spacing w:beforeLines="50" w:afterLines="50"/>
      <w:jc w:val="both"/>
      <w:outlineLvl w:val="1"/>
    </w:pPr>
    <w:rPr>
      <w:rFonts w:ascii="黑体" w:eastAsia="黑体"/>
      <w:kern w:val="0"/>
      <w:sz w:val="20"/>
      <w:szCs w:val="20"/>
    </w:rPr>
  </w:style>
  <w:style w:type="paragraph" w:customStyle="1" w:styleId="a1">
    <w:name w:val="一级条标题"/>
    <w:basedOn w:val="a0"/>
    <w:next w:val="a6"/>
    <w:link w:val="Char0"/>
    <w:uiPriority w:val="99"/>
    <w:rsid w:val="00933BAF"/>
    <w:pPr>
      <w:numPr>
        <w:ilvl w:val="2"/>
      </w:numPr>
      <w:spacing w:beforeLines="0" w:afterLines="0"/>
      <w:outlineLvl w:val="2"/>
    </w:pPr>
    <w:rPr>
      <w:sz w:val="21"/>
    </w:rPr>
  </w:style>
  <w:style w:type="paragraph" w:customStyle="1" w:styleId="a2">
    <w:name w:val="二级条标题"/>
    <w:basedOn w:val="a1"/>
    <w:next w:val="a6"/>
    <w:uiPriority w:val="99"/>
    <w:rsid w:val="00933BAF"/>
    <w:pPr>
      <w:numPr>
        <w:ilvl w:val="3"/>
      </w:numPr>
      <w:ind w:left="2310" w:hanging="420"/>
      <w:outlineLvl w:val="3"/>
    </w:pPr>
  </w:style>
  <w:style w:type="paragraph" w:customStyle="1" w:styleId="a3">
    <w:name w:val="三级条标题"/>
    <w:basedOn w:val="a2"/>
    <w:next w:val="a6"/>
    <w:uiPriority w:val="99"/>
    <w:rsid w:val="00933BAF"/>
    <w:pPr>
      <w:numPr>
        <w:ilvl w:val="4"/>
      </w:numPr>
      <w:ind w:left="2730"/>
      <w:outlineLvl w:val="4"/>
    </w:pPr>
  </w:style>
  <w:style w:type="paragraph" w:customStyle="1" w:styleId="a4">
    <w:name w:val="四级条标题"/>
    <w:basedOn w:val="a3"/>
    <w:next w:val="a6"/>
    <w:uiPriority w:val="99"/>
    <w:rsid w:val="00933BAF"/>
    <w:pPr>
      <w:numPr>
        <w:ilvl w:val="5"/>
      </w:numPr>
      <w:ind w:left="3150"/>
      <w:outlineLvl w:val="5"/>
    </w:pPr>
  </w:style>
  <w:style w:type="paragraph" w:customStyle="1" w:styleId="a5">
    <w:name w:val="五级条标题"/>
    <w:basedOn w:val="a4"/>
    <w:next w:val="a6"/>
    <w:uiPriority w:val="99"/>
    <w:rsid w:val="00933BAF"/>
    <w:pPr>
      <w:numPr>
        <w:ilvl w:val="6"/>
      </w:numPr>
      <w:ind w:left="3570"/>
      <w:outlineLvl w:val="6"/>
    </w:pPr>
  </w:style>
  <w:style w:type="character" w:customStyle="1" w:styleId="Char0">
    <w:name w:val="一级条标题 Char"/>
    <w:link w:val="a1"/>
    <w:uiPriority w:val="99"/>
    <w:locked/>
    <w:rsid w:val="00933BAF"/>
    <w:rPr>
      <w:rFonts w:ascii="黑体" w:eastAsia="黑体"/>
      <w:sz w:val="21"/>
      <w:lang w:val="en-US" w:eastAsia="zh-CN"/>
    </w:rPr>
  </w:style>
  <w:style w:type="paragraph" w:styleId="NormalWeb">
    <w:name w:val="Normal (Web)"/>
    <w:basedOn w:val="Normal"/>
    <w:uiPriority w:val="99"/>
    <w:semiHidden/>
    <w:rsid w:val="003A7828"/>
    <w:pPr>
      <w:widowControl/>
      <w:spacing w:before="100" w:beforeAutospacing="1" w:after="100" w:afterAutospacing="1"/>
      <w:jc w:val="left"/>
    </w:pPr>
    <w:rPr>
      <w:rFonts w:ascii="宋体" w:hAnsi="宋体" w:cs="宋体"/>
      <w:kern w:val="0"/>
      <w:sz w:val="24"/>
    </w:rPr>
  </w:style>
  <w:style w:type="paragraph" w:styleId="BodyTextIndent2">
    <w:name w:val="Body Text Indent 2"/>
    <w:basedOn w:val="Normal"/>
    <w:link w:val="BodyTextIndent2Char"/>
    <w:uiPriority w:val="99"/>
    <w:rsid w:val="00332D34"/>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332D34"/>
    <w:pPr>
      <w:spacing w:after="120"/>
      <w:ind w:leftChars="200" w:left="4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rsid w:val="00332D34"/>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paragraph" w:styleId="BodyText">
    <w:name w:val="Body Text"/>
    <w:basedOn w:val="Normal"/>
    <w:link w:val="BodyTextChar"/>
    <w:uiPriority w:val="99"/>
    <w:rsid w:val="00332D34"/>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332D34"/>
    <w:pPr>
      <w:ind w:firstLineChars="100" w:firstLine="420"/>
    </w:pPr>
  </w:style>
  <w:style w:type="character" w:customStyle="1" w:styleId="BodyTextFirstIndentChar">
    <w:name w:val="Body Text First Indent Char"/>
    <w:basedOn w:val="BodyTextChar"/>
    <w:link w:val="BodyTextFirstIndent"/>
    <w:uiPriority w:val="99"/>
    <w:semiHidden/>
    <w:lock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713</Words>
  <Characters>4066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subject/>
  <dc:creator>USER</dc:creator>
  <cp:keywords/>
  <dc:description/>
  <cp:lastModifiedBy>User</cp:lastModifiedBy>
  <cp:revision>2</cp:revision>
  <cp:lastPrinted>2013-05-26T06:25:00Z</cp:lastPrinted>
  <dcterms:created xsi:type="dcterms:W3CDTF">2020-11-16T00:26:00Z</dcterms:created>
  <dcterms:modified xsi:type="dcterms:W3CDTF">2020-11-16T00:26:00Z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