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z w:val="32"/>
          <w:szCs w:val="32"/>
        </w:rPr>
      </w:pPr>
      <w:bookmarkStart w:id="0" w:name="_GoBack"/>
      <w:bookmarkEnd w:id="0"/>
      <w:r>
        <w:rPr>
          <w:rFonts w:hint="eastAsia" w:ascii="黑体" w:hAnsi="黑体" w:eastAsia="黑体"/>
          <w:sz w:val="32"/>
          <w:szCs w:val="32"/>
        </w:rPr>
        <w:t>稀土行业标准《稀土火法冶炼回收料》编制说明</w:t>
      </w:r>
    </w:p>
    <w:p>
      <w:pPr>
        <w:pStyle w:val="9"/>
        <w:numPr>
          <w:ilvl w:val="0"/>
          <w:numId w:val="2"/>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10"/>
        <w:adjustRightInd w:val="0"/>
        <w:snapToGrid w:val="0"/>
        <w:spacing w:beforeLines="50" w:afterLines="50" w:line="360" w:lineRule="auto"/>
        <w:ind w:firstLine="0"/>
        <w:jc w:val="left"/>
        <w:outlineLvl w:val="1"/>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稀土火法冶炼生产过程中，会同时产生许多具有稀土元素回收价值的废渣（即回收料），包括稀土金属熔盐电解法产生的电解渣和热还原工艺产生的还原渣。目前国内采用电解工艺生产稀土金属的年产量在35000~45000吨左右，产出的稀土电解渣每年约2200吨左右；采用钙热还原工艺生产稀土金属的年产量约260吨左右，产出的还原渣每年约250吨左右；采用镧热还原蒸馏工艺生产稀土金属的年产量约850吨左右，产出的还原渣每年约800吨左右。这些回收料经处理后可再次利用，作为一些稀土产品的原料。</w:t>
      </w:r>
    </w:p>
    <w:p>
      <w:pPr>
        <w:pStyle w:val="10"/>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贯彻落实《国务院关于促进稀土行业持续健康发展的若干意见》要求，针对稀土火法冶炼回收料，国内早已形成贸易、回收加工产业链，主要用于稀土元素的回收再利用。为能更好地给产业链供需双方带来方便，促进不可再生矿产资源的回收再利用，拟申请稀土火法冶炼回收料产品标准。该系列标准的建立将进一步完善我国稀土标准体系，同时也为稀土金属及其合金发展解决后顾之忧，对国内、国外该类产品的质量提供一个可借鉴的标准参照。</w:t>
      </w:r>
    </w:p>
    <w:p>
      <w:pPr>
        <w:pStyle w:val="10"/>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rPr>
        <w:t>1.</w:t>
      </w:r>
      <w:r>
        <w:rPr>
          <w:rFonts w:hint="eastAsia" w:ascii="黑体" w:hAnsi="黑体" w:eastAsia="黑体" w:cs="黑体"/>
          <w:lang w:val="en-US" w:eastAsia="zh-CN"/>
        </w:rPr>
        <w:t>2</w:t>
      </w:r>
      <w:r>
        <w:rPr>
          <w:rFonts w:hint="eastAsia" w:ascii="黑体" w:hAnsi="黑体" w:eastAsia="黑体" w:cs="黑体"/>
        </w:rPr>
        <w:t xml:space="preserve"> 任务</w:t>
      </w:r>
      <w:r>
        <w:rPr>
          <w:rFonts w:hint="eastAsia" w:ascii="黑体" w:hAnsi="黑体" w:eastAsia="黑体" w:cs="黑体"/>
          <w:lang w:eastAsia="zh-CN"/>
        </w:rPr>
        <w:t>来源</w:t>
      </w:r>
      <w:r>
        <w:rPr>
          <w:rFonts w:hint="eastAsia" w:ascii="黑体" w:hAnsi="黑体" w:eastAsia="黑体" w:cs="黑体"/>
          <w:lang w:val="en-US" w:eastAsia="zh-CN"/>
        </w:rPr>
        <w:t xml:space="preserve"> </w:t>
      </w:r>
    </w:p>
    <w:p>
      <w:pPr>
        <w:spacing w:line="360" w:lineRule="auto"/>
        <w:ind w:firstLine="480"/>
        <w:rPr>
          <w:rFonts w:hint="eastAsia" w:ascii="Times New Roman" w:hAnsi="Times New Roman" w:eastAsia="宋体" w:cs="Times New Roman"/>
          <w:color w:val="FF0000"/>
          <w:szCs w:val="21"/>
          <w:lang w:eastAsia="zh-CN"/>
        </w:rPr>
      </w:pPr>
      <w:r>
        <w:rPr>
          <w:rFonts w:hint="eastAsia" w:ascii="Times New Roman" w:hAnsi="Times New Roman" w:cs="Times New Roman"/>
          <w:szCs w:val="21"/>
        </w:rPr>
        <w:t>根据稀土标委[2020] 35号文件“关于转发2020年第二批稀土国家、行业标准制（修）订项目计划的通知”，《稀土火法冶炼回收料》行业标准计划正式下达，计划号为2020-0461T-XB，完成年限为2020年。本标准牵头起草单位为虔东稀土集团股份有限公司，参与起草单位包括：有研稀土新材料股份有限公司、福建省长汀金龙稀土有限公司、赣州有色冶金研究所、江西南方稀土高技术股份有限公司、赣州晨光稀土新材料股份有限公司、内蒙古希捷环保科技有限责任公司、甘肃稀土新材料股份有限公司、包头稀土研究院、乐山有研稀土高技术有限公司、中化地质矿山总局浙江地质勘查院</w:t>
      </w:r>
      <w:r>
        <w:rPr>
          <w:rFonts w:hint="eastAsia" w:cs="Times New Roman"/>
          <w:szCs w:val="21"/>
          <w:lang w:eastAsia="zh-CN"/>
        </w:rPr>
        <w:t>、</w:t>
      </w:r>
      <w:r>
        <w:rPr>
          <w:rFonts w:hint="eastAsia" w:ascii="Times New Roman" w:hAnsi="Times New Roman" w:cs="Times New Roman"/>
          <w:szCs w:val="21"/>
        </w:rPr>
        <w:t>江西泰斯特新材料测试评价中心、中稀天马新材料科技股份有限公司、江苏南方永磁科技有限公司、</w:t>
      </w:r>
      <w:r>
        <w:rPr>
          <w:rFonts w:hint="eastAsia" w:cs="Times New Roman"/>
          <w:szCs w:val="21"/>
          <w:lang w:eastAsia="zh-CN"/>
        </w:rPr>
        <w:t>有色金属技术经济研究院有限责任公司</w:t>
      </w:r>
      <w:r>
        <w:rPr>
          <w:rFonts w:hint="eastAsia" w:ascii="Times New Roman" w:hAnsi="Times New Roman" w:cs="Times New Roman"/>
          <w:szCs w:val="21"/>
        </w:rPr>
        <w:t>。</w:t>
      </w:r>
    </w:p>
    <w:p>
      <w:pPr>
        <w:pStyle w:val="10"/>
        <w:adjustRightInd w:val="0"/>
        <w:snapToGrid w:val="0"/>
        <w:spacing w:beforeLines="50" w:afterLines="50" w:line="360" w:lineRule="auto"/>
        <w:ind w:firstLine="0"/>
        <w:jc w:val="left"/>
        <w:outlineLvl w:val="1"/>
        <w:rPr>
          <w:rFonts w:hint="eastAsia" w:ascii="黑体" w:hAnsi="黑体" w:eastAsia="黑体" w:cs="黑体"/>
        </w:rPr>
      </w:pPr>
      <w:r>
        <w:rPr>
          <w:rFonts w:hint="eastAsia" w:ascii="黑体" w:hAnsi="黑体" w:eastAsia="黑体" w:cs="黑体"/>
        </w:rPr>
        <w:t>1.</w:t>
      </w:r>
      <w:r>
        <w:rPr>
          <w:rFonts w:hint="eastAsia" w:ascii="黑体" w:hAnsi="黑体" w:eastAsia="黑体" w:cs="黑体"/>
          <w:lang w:val="en-US" w:eastAsia="zh-CN"/>
        </w:rPr>
        <w:t>3</w:t>
      </w:r>
      <w:r>
        <w:rPr>
          <w:rFonts w:hint="eastAsia" w:ascii="黑体" w:hAnsi="黑体" w:eastAsia="黑体" w:cs="黑体"/>
        </w:rPr>
        <w:t xml:space="preserve"> 标准项目编制工作组单位简况</w:t>
      </w:r>
    </w:p>
    <w:p>
      <w:pPr>
        <w:pStyle w:val="11"/>
        <w:adjustRightInd w:val="0"/>
        <w:snapToGrid w:val="0"/>
        <w:spacing w:line="360" w:lineRule="auto"/>
        <w:ind w:firstLine="420"/>
        <w:jc w:val="left"/>
        <w:rPr>
          <w:rFonts w:ascii="Times New Roman" w:hAnsi="Times New Roman" w:cs="Times New Roman"/>
        </w:rPr>
      </w:pPr>
      <w:r>
        <w:rPr>
          <w:rFonts w:hint="eastAsia" w:ascii="Times New Roman" w:hAnsi="Times New Roman" w:eastAsia="宋体" w:cs="Times New Roman"/>
          <w:kern w:val="2"/>
          <w:sz w:val="21"/>
          <w:szCs w:val="21"/>
          <w:lang w:val="en-US" w:eastAsia="zh-CN" w:bidi="ar-SA"/>
        </w:rPr>
        <w:t>虔东稀土集团股份有限公司（以下简称虔东集团），是一家专业从事稀土各类产品生产经营的民营企业。经过</w:t>
      </w:r>
      <w:r>
        <w:rPr>
          <w:rFonts w:hint="eastAsia" w:ascii="Times New Roman" w:hAnsi="Times New Roman"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0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11家子公司和控股公司。公司已初步建立了完整的科研、试验、生产、检测体系和具有国</w:t>
      </w:r>
      <w:r>
        <w:rPr>
          <w:rFonts w:hint="eastAsia" w:ascii="Times New Roman" w:hAnsi="Times New Roman" w:cs="Times New Roman"/>
          <w:kern w:val="0"/>
        </w:rPr>
        <w:t>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w:t>
      </w:r>
      <w:r>
        <w:rPr>
          <w:rFonts w:hint="eastAsia" w:ascii="Times New Roman" w:hAnsi="Times New Roman" w:cs="Times New Roman"/>
        </w:rPr>
        <w:t>国家“创新基金计划”项目等</w:t>
      </w:r>
      <w:r>
        <w:rPr>
          <w:rFonts w:ascii="Times New Roman" w:hAnsi="Times New Roman" w:cs="Times New Roman"/>
        </w:rPr>
        <w:t>70</w:t>
      </w:r>
      <w:r>
        <w:rPr>
          <w:rFonts w:hint="eastAsia" w:ascii="Times New Roman" w:hAnsi="Times New Roman" w:cs="Times New Roman"/>
        </w:rPr>
        <w:t>多个国家、省、市级新产品的研制和开发。</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szCs w:val="21"/>
        </w:rPr>
      </w:pPr>
      <w:r>
        <w:rPr>
          <w:rFonts w:hint="eastAsia"/>
          <w:szCs w:val="21"/>
        </w:rPr>
        <w:t>近年来虔东集团主持制修订了多项标准：</w:t>
      </w:r>
      <w:r>
        <w:rPr>
          <w:rFonts w:hint="eastAsia" w:ascii="Times New Roman" w:hAnsi="Times New Roman" w:eastAsia="宋体" w:cs="Times New Roman"/>
          <w:kern w:val="0"/>
          <w:sz w:val="21"/>
          <w:szCs w:val="21"/>
          <w:lang w:val="en-US" w:eastAsia="zh-CN" w:bidi="ar-SA"/>
        </w:rPr>
        <w:t>《钕铁硼废料》、《稀土复合钇锆粉》、《金属铈》、《镨钕氧化物》、《金属钐》、《钕铁硼废料化学分析方法》、《钕铁硼合金化学分析方法》、《稀土废渣废水化学分析方法》等等，参</w:t>
      </w:r>
      <w:r>
        <w:rPr>
          <w:rFonts w:hint="eastAsia"/>
          <w:szCs w:val="21"/>
        </w:rPr>
        <w:t>与了多项</w:t>
      </w:r>
      <w:r>
        <w:rPr>
          <w:rFonts w:hint="eastAsia"/>
          <w:szCs w:val="21"/>
          <w:lang w:eastAsia="zh-CN"/>
        </w:rPr>
        <w:t>稀土</w:t>
      </w:r>
      <w:r>
        <w:rPr>
          <w:rFonts w:hint="eastAsia"/>
          <w:szCs w:val="21"/>
        </w:rPr>
        <w:t>标准的起草及验证工作，在稀土标准的制修订方面，累积了丰富的经验。</w:t>
      </w:r>
    </w:p>
    <w:p>
      <w:pPr>
        <w:pStyle w:val="10"/>
        <w:adjustRightInd w:val="0"/>
        <w:snapToGrid w:val="0"/>
        <w:spacing w:beforeLines="50" w:afterLines="50" w:line="360" w:lineRule="auto"/>
        <w:ind w:firstLine="0"/>
        <w:jc w:val="left"/>
        <w:outlineLvl w:val="1"/>
        <w:rPr>
          <w:rFonts w:hint="eastAsia" w:ascii="黑体" w:hAnsi="黑体" w:eastAsia="黑体" w:cs="黑体"/>
          <w:lang w:eastAsia="zh-CN"/>
        </w:rPr>
      </w:pPr>
      <w:r>
        <w:rPr>
          <w:rFonts w:ascii="黑体" w:hAnsi="黑体" w:eastAsia="黑体" w:cs="黑体"/>
        </w:rPr>
        <w:t xml:space="preserve">1.4 </w:t>
      </w:r>
      <w:r>
        <w:rPr>
          <w:rFonts w:hint="eastAsia" w:ascii="黑体" w:hAnsi="黑体" w:eastAsia="黑体" w:cs="黑体"/>
          <w:lang w:eastAsia="zh-CN"/>
        </w:rPr>
        <w:t>主要工作过程</w:t>
      </w:r>
    </w:p>
    <w:p>
      <w:pPr>
        <w:pStyle w:val="10"/>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lang w:val="en-US" w:eastAsia="zh-CN"/>
        </w:rPr>
        <w:t>1.4.1 虔东稀土集团股份有限公司专项研究小组工作：</w:t>
      </w:r>
    </w:p>
    <w:p>
      <w:pPr>
        <w:spacing w:line="360" w:lineRule="auto"/>
        <w:ind w:firstLine="420" w:firstLineChars="200"/>
        <w:rPr>
          <w:rFonts w:ascii="Times New Roman" w:hAnsi="Times New Roman" w:cs="Times New Roman"/>
        </w:rPr>
      </w:pPr>
      <w:r>
        <w:rPr>
          <w:szCs w:val="21"/>
        </w:rPr>
        <w:t>根据任务落实会议精神，我公司组建了</w:t>
      </w:r>
      <w:r>
        <w:rPr>
          <w:rFonts w:hint="eastAsia"/>
          <w:szCs w:val="21"/>
        </w:rPr>
        <w:t>《</w:t>
      </w:r>
      <w:r>
        <w:rPr>
          <w:rFonts w:hint="eastAsia" w:ascii="Times New Roman" w:hAnsi="Times New Roman" w:cs="Times New Roman"/>
          <w:szCs w:val="21"/>
        </w:rPr>
        <w:t>稀土火法冶炼回收料</w:t>
      </w:r>
      <w:r>
        <w:rPr>
          <w:rFonts w:hint="eastAsia"/>
          <w:szCs w:val="21"/>
        </w:rPr>
        <w:t>》</w:t>
      </w:r>
      <w:r>
        <w:rPr>
          <w:szCs w:val="21"/>
        </w:rPr>
        <w:t>行标</w:t>
      </w:r>
      <w:r>
        <w:rPr>
          <w:rFonts w:hint="eastAsia"/>
          <w:szCs w:val="21"/>
        </w:rPr>
        <w:t>起草工作</w:t>
      </w:r>
      <w:r>
        <w:rPr>
          <w:szCs w:val="21"/>
        </w:rPr>
        <w:t>小组</w:t>
      </w:r>
      <w:r>
        <w:rPr>
          <w:rFonts w:hint="eastAsia"/>
          <w:szCs w:val="21"/>
          <w:lang w:eastAsia="zh-CN"/>
        </w:rPr>
        <w:t>，</w:t>
      </w:r>
      <w:r>
        <w:rPr>
          <w:rFonts w:ascii="Times New Roman" w:hAnsi="Times New Roman" w:cs="Times New Roman"/>
          <w:szCs w:val="21"/>
        </w:rPr>
        <w:t>工作进度安排情况如下：</w:t>
      </w:r>
    </w:p>
    <w:p>
      <w:pPr>
        <w:spacing w:line="360" w:lineRule="auto"/>
        <w:ind w:firstLine="420" w:firstLineChars="200"/>
        <w:rPr>
          <w:rFonts w:hint="eastAsia" w:cs="Times New Roman"/>
          <w:szCs w:val="21"/>
          <w:lang w:eastAsia="zh-CN"/>
        </w:rPr>
      </w:pPr>
      <w:r>
        <w:rPr>
          <w:rFonts w:ascii="Times New Roman" w:hAnsi="Times New Roman" w:cs="Times New Roman"/>
          <w:szCs w:val="21"/>
        </w:rPr>
        <w:t>1）20</w:t>
      </w:r>
      <w:r>
        <w:rPr>
          <w:rFonts w:hint="eastAsia" w:cs="Times New Roman"/>
          <w:szCs w:val="21"/>
          <w:lang w:val="en-US" w:eastAsia="zh-CN"/>
        </w:rPr>
        <w:t>20</w:t>
      </w:r>
      <w:r>
        <w:rPr>
          <w:rFonts w:ascii="Times New Roman" w:hAnsi="Times New Roman" w:cs="Times New Roman"/>
          <w:szCs w:val="21"/>
        </w:rPr>
        <w:t>年</w:t>
      </w:r>
      <w:r>
        <w:rPr>
          <w:rFonts w:hint="eastAsia" w:cs="Times New Roman"/>
          <w:szCs w:val="21"/>
          <w:lang w:val="en-US" w:eastAsia="zh-CN"/>
        </w:rPr>
        <w:t>4</w:t>
      </w:r>
      <w:r>
        <w:rPr>
          <w:rFonts w:ascii="Times New Roman" w:hAnsi="Times New Roman" w:cs="Times New Roman"/>
          <w:szCs w:val="21"/>
        </w:rPr>
        <w:t>月</w:t>
      </w:r>
      <w:r>
        <w:rPr>
          <w:rFonts w:hint="eastAsia" w:ascii="Times New Roman" w:hAnsi="Times New Roman" w:cs="Times New Roman"/>
          <w:szCs w:val="21"/>
        </w:rPr>
        <w:t>-</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8</w:t>
      </w:r>
      <w:r>
        <w:rPr>
          <w:rFonts w:ascii="Times New Roman" w:hAnsi="Times New Roman" w:cs="Times New Roman"/>
          <w:szCs w:val="21"/>
        </w:rPr>
        <w:t>月：</w:t>
      </w:r>
      <w:r>
        <w:rPr>
          <w:rFonts w:hint="eastAsia" w:cs="Times New Roman"/>
          <w:szCs w:val="21"/>
          <w:lang w:eastAsia="zh-CN"/>
        </w:rPr>
        <w:t>标准编制前的查询、调研、论证及项目落实；</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2）20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9</w:t>
      </w:r>
      <w:r>
        <w:rPr>
          <w:rFonts w:ascii="Times New Roman" w:hAnsi="Times New Roman" w:cs="Times New Roman"/>
          <w:szCs w:val="21"/>
        </w:rPr>
        <w:t>月：组织相关人员对标准初稿及编制说明进行讨论，形成征求意见稿。</w:t>
      </w:r>
      <w:r>
        <w:rPr>
          <w:rFonts w:hint="eastAsia" w:cs="Times New Roman"/>
          <w:szCs w:val="21"/>
          <w:lang w:eastAsia="zh-CN"/>
        </w:rPr>
        <w:t>并向</w:t>
      </w:r>
      <w:r>
        <w:rPr>
          <w:rFonts w:hint="eastAsia" w:cs="Times New Roman"/>
          <w:lang w:eastAsia="zh-CN"/>
        </w:rPr>
        <w:t>标准起草参与单位、</w:t>
      </w:r>
      <w:r>
        <w:rPr>
          <w:rFonts w:ascii="Times New Roman" w:hAnsi="Times New Roman" w:cs="Times New Roman"/>
        </w:rPr>
        <w:t>生产厂家、应用厂家征求意见</w:t>
      </w:r>
      <w:r>
        <w:rPr>
          <w:rFonts w:hint="eastAsia" w:cs="Times New Roman"/>
          <w:lang w:eastAsia="zh-CN"/>
        </w:rPr>
        <w:t>，</w:t>
      </w:r>
      <w:r>
        <w:rPr>
          <w:rFonts w:ascii="Times New Roman" w:hAnsi="Times New Roman" w:cs="Times New Roman"/>
        </w:rPr>
        <w:t>进行意见汇总</w:t>
      </w:r>
      <w:r>
        <w:rPr>
          <w:rFonts w:hint="eastAsia" w:cs="Times New Roman"/>
          <w:lang w:eastAsia="zh-CN"/>
        </w:rPr>
        <w:t>；</w:t>
      </w:r>
    </w:p>
    <w:p>
      <w:pPr>
        <w:spacing w:line="360" w:lineRule="auto"/>
        <w:ind w:firstLine="480"/>
        <w:rPr>
          <w:rFonts w:hint="eastAsia" w:ascii="Times New Roman" w:hAnsi="Times New Roman" w:eastAsia="宋体" w:cs="Times New Roman"/>
          <w:lang w:eastAsia="zh-CN"/>
        </w:rPr>
      </w:pPr>
      <w:r>
        <w:rPr>
          <w:rFonts w:hint="eastAsia" w:cs="Times New Roman"/>
          <w:szCs w:val="21"/>
          <w:lang w:val="en-US" w:eastAsia="zh-CN"/>
        </w:rPr>
        <w:t>3</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w:t>
      </w:r>
      <w:r>
        <w:rPr>
          <w:rFonts w:hint="eastAsia" w:cs="Times New Roman"/>
          <w:szCs w:val="21"/>
          <w:lang w:val="en-US" w:eastAsia="zh-CN"/>
        </w:rPr>
        <w:t>10</w:t>
      </w:r>
      <w:r>
        <w:rPr>
          <w:rFonts w:ascii="Times New Roman" w:hAnsi="Times New Roman" w:cs="Times New Roman"/>
          <w:szCs w:val="21"/>
        </w:rPr>
        <w:t>月：</w:t>
      </w:r>
      <w:r>
        <w:rPr>
          <w:rFonts w:ascii="Times New Roman" w:hAnsi="Times New Roman" w:cs="Times New Roman"/>
        </w:rPr>
        <w:t>形成预审稿</w:t>
      </w:r>
      <w:r>
        <w:rPr>
          <w:rFonts w:hint="eastAsia" w:cs="Times New Roman"/>
          <w:lang w:eastAsia="zh-CN"/>
        </w:rPr>
        <w:t>，进行标准的预审，预审后根据预审会意见修改预审稿，并再次征求意见，形成送审稿；</w:t>
      </w:r>
    </w:p>
    <w:p>
      <w:pPr>
        <w:spacing w:line="360" w:lineRule="auto"/>
        <w:ind w:firstLine="420" w:firstLineChars="200"/>
        <w:rPr>
          <w:rFonts w:ascii="Times New Roman" w:hAnsi="Times New Roman" w:cs="Times New Roman"/>
          <w:szCs w:val="21"/>
        </w:rPr>
      </w:pPr>
      <w:r>
        <w:rPr>
          <w:rFonts w:hint="eastAsia" w:cs="Times New Roman"/>
          <w:szCs w:val="21"/>
          <w:lang w:val="en-US" w:eastAsia="zh-CN"/>
        </w:rPr>
        <w:t>4</w:t>
      </w:r>
      <w:r>
        <w:rPr>
          <w:rFonts w:ascii="Times New Roman" w:hAnsi="Times New Roman" w:cs="Times New Roman"/>
          <w:szCs w:val="21"/>
        </w:rPr>
        <w:t>）20</w:t>
      </w:r>
      <w:r>
        <w:rPr>
          <w:rFonts w:hint="eastAsia" w:ascii="Times New Roman" w:hAnsi="Times New Roman" w:cs="Times New Roman"/>
          <w:szCs w:val="21"/>
        </w:rPr>
        <w:t>2</w:t>
      </w:r>
      <w:r>
        <w:rPr>
          <w:rFonts w:hint="eastAsia" w:cs="Times New Roman"/>
          <w:szCs w:val="21"/>
          <w:lang w:val="en-US" w:eastAsia="zh-CN"/>
        </w:rPr>
        <w:t>0</w:t>
      </w:r>
      <w:r>
        <w:rPr>
          <w:rFonts w:ascii="Times New Roman" w:hAnsi="Times New Roman" w:cs="Times New Roman"/>
          <w:szCs w:val="21"/>
        </w:rPr>
        <w:t>年</w:t>
      </w:r>
      <w:r>
        <w:rPr>
          <w:rFonts w:hint="eastAsia" w:cs="Times New Roman"/>
          <w:szCs w:val="21"/>
          <w:lang w:val="en-US" w:eastAsia="zh-CN"/>
        </w:rPr>
        <w:t>11</w:t>
      </w:r>
      <w:r>
        <w:rPr>
          <w:rFonts w:ascii="Times New Roman" w:hAnsi="Times New Roman" w:cs="Times New Roman"/>
          <w:szCs w:val="21"/>
        </w:rPr>
        <w:t>月</w:t>
      </w:r>
      <w:r>
        <w:rPr>
          <w:rFonts w:hint="eastAsia" w:cs="Times New Roman"/>
          <w:szCs w:val="21"/>
          <w:lang w:eastAsia="zh-CN"/>
        </w:rPr>
        <w:t>：</w:t>
      </w:r>
      <w:r>
        <w:rPr>
          <w:rFonts w:ascii="Times New Roman" w:hAnsi="Times New Roman" w:cs="Times New Roman"/>
        </w:rPr>
        <w:t>召开标准审定会，</w:t>
      </w:r>
      <w:r>
        <w:rPr>
          <w:rFonts w:ascii="Times New Roman" w:hAnsi="Times New Roman" w:cs="Times New Roman"/>
          <w:szCs w:val="21"/>
        </w:rPr>
        <w:t>根据审定会专家提出的意见归纳整理，完成报批稿。</w:t>
      </w:r>
    </w:p>
    <w:p>
      <w:pPr>
        <w:pStyle w:val="10"/>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lang w:val="en-US" w:eastAsia="zh-CN"/>
        </w:rPr>
        <w:t>1.4.2 标准预审会会议纪要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szCs w:val="21"/>
        </w:rPr>
      </w:pPr>
      <w:r>
        <w:rPr>
          <w:rFonts w:hint="eastAsia" w:asciiTheme="minorEastAsia" w:hAnsiTheme="minorEastAsia"/>
          <w:szCs w:val="21"/>
        </w:rPr>
        <w:t>2020年</w:t>
      </w:r>
      <w:r>
        <w:rPr>
          <w:rFonts w:hint="eastAsia" w:asciiTheme="minorEastAsia" w:hAnsiTheme="minorEastAsia"/>
          <w:szCs w:val="21"/>
          <w:lang w:val="en-US" w:eastAsia="zh-CN"/>
        </w:rPr>
        <w:t>10</w:t>
      </w:r>
      <w:r>
        <w:rPr>
          <w:rFonts w:hint="eastAsia" w:asciiTheme="minorEastAsia" w:hAnsiTheme="minorEastAsia"/>
          <w:szCs w:val="21"/>
        </w:rPr>
        <w:t>月2</w:t>
      </w:r>
      <w:r>
        <w:rPr>
          <w:rFonts w:hint="eastAsia" w:asciiTheme="minorEastAsia" w:hAnsiTheme="minorEastAsia"/>
          <w:szCs w:val="21"/>
          <w:lang w:val="en-US" w:eastAsia="zh-CN"/>
        </w:rPr>
        <w:t>0</w:t>
      </w:r>
      <w:r>
        <w:rPr>
          <w:rFonts w:hint="eastAsia" w:asciiTheme="minorEastAsia" w:hAnsiTheme="minorEastAsia"/>
          <w:szCs w:val="21"/>
        </w:rPr>
        <w:t>日-2</w:t>
      </w:r>
      <w:r>
        <w:rPr>
          <w:rFonts w:hint="eastAsia" w:asciiTheme="minorEastAsia" w:hAnsiTheme="minorEastAsia"/>
          <w:szCs w:val="21"/>
          <w:lang w:val="en-US" w:eastAsia="zh-CN"/>
        </w:rPr>
        <w:t>1</w:t>
      </w:r>
      <w:r>
        <w:rPr>
          <w:rFonts w:hint="eastAsia" w:asciiTheme="minorEastAsia" w:hAnsiTheme="minorEastAsia"/>
          <w:szCs w:val="21"/>
        </w:rPr>
        <w:t>日，全国稀土标准化技术委员会第</w:t>
      </w:r>
      <w:r>
        <w:rPr>
          <w:rFonts w:hint="eastAsia" w:asciiTheme="minorEastAsia" w:hAnsiTheme="minorEastAsia"/>
          <w:szCs w:val="21"/>
          <w:lang w:eastAsia="zh-CN"/>
        </w:rPr>
        <w:t>六</w:t>
      </w:r>
      <w:r>
        <w:rPr>
          <w:rFonts w:hint="eastAsia" w:asciiTheme="minorEastAsia" w:hAnsiTheme="minorEastAsia"/>
          <w:szCs w:val="21"/>
        </w:rPr>
        <w:t>次标准工作会议在</w:t>
      </w:r>
      <w:r>
        <w:rPr>
          <w:rFonts w:hint="eastAsia" w:asciiTheme="minorEastAsia" w:hAnsiTheme="minorEastAsia"/>
          <w:szCs w:val="21"/>
          <w:lang w:eastAsia="zh-CN"/>
        </w:rPr>
        <w:t>江苏苏州</w:t>
      </w:r>
      <w:r>
        <w:rPr>
          <w:rFonts w:hint="eastAsia" w:asciiTheme="minorEastAsia" w:hAnsiTheme="minorEastAsia"/>
          <w:szCs w:val="21"/>
        </w:rPr>
        <w:t>召开，此次会议对虔东稀土集团股份有限公司承担的《稀土火法冶炼回收料》行业标准进行了预审，会上专家给出了相关意见和建议，汇总如下：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3术语和定义中增加“电解渣”和“还原渣”的定义；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表1中删除“其他回收料”这一分类，熔盐电解回收料包含的品名中增加一个“其他”，并将“扫地灰”和“回收粉尘”放入“其他”品名中；热还原回收料增加“穿炉料”和“其他”两个品名，并将钙热还原渣的稀土总量范围由“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hint="eastAsia" w:asciiTheme="minorEastAsia" w:hAnsiTheme="minorEastAsia"/>
          <w:szCs w:val="21"/>
          <w:lang w:val="en-US" w:eastAsia="zh-CN"/>
        </w:rPr>
        <w:t>%”改为“0.5%</w:t>
      </w:r>
      <w:r>
        <w:rPr>
          <w:rFonts w:hint="eastAsia" w:ascii="微软雅黑" w:hAnsi="微软雅黑" w:eastAsia="微软雅黑" w:cs="微软雅黑"/>
          <w:sz w:val="18"/>
          <w:szCs w:val="18"/>
        </w:rPr>
        <w:t>~</w:t>
      </w:r>
      <w:r>
        <w:rPr>
          <w:rFonts w:hint="eastAsia" w:asciiTheme="minorEastAsia" w:hAnsiTheme="minorEastAsia"/>
          <w:szCs w:val="21"/>
          <w:lang w:val="en-US" w:eastAsia="zh-CN"/>
        </w:rPr>
        <w:t>4%”；</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4.2及7.2中“</w:t>
      </w:r>
      <w:r>
        <w:rPr>
          <w:rFonts w:hint="eastAsia" w:hAnsi="Times New Roman" w:cs="Times New Roman"/>
          <w:szCs w:val="20"/>
          <w:lang w:eastAsia="zh-CN"/>
        </w:rPr>
        <w:t>稀土火法冶炼回收料中不允许混有易爆品及危险毒物</w:t>
      </w:r>
      <w:r>
        <w:rPr>
          <w:rFonts w:hint="eastAsia" w:asciiTheme="minorEastAsia" w:hAnsiTheme="minorEastAsia"/>
          <w:szCs w:val="21"/>
          <w:lang w:val="en-US" w:eastAsia="zh-CN"/>
        </w:rPr>
        <w:t>”改为“</w:t>
      </w:r>
      <w:r>
        <w:rPr>
          <w:rFonts w:hint="eastAsia" w:hAnsi="Times New Roman" w:cs="Times New Roman"/>
          <w:szCs w:val="20"/>
          <w:lang w:eastAsia="zh-CN"/>
        </w:rPr>
        <w:t>稀土火法冶炼回收料中不</w:t>
      </w:r>
      <w:r>
        <w:rPr>
          <w:rFonts w:hint="eastAsia" w:hAnsi="Times New Roman" w:cs="Times New Roman"/>
          <w:szCs w:val="20"/>
          <w:lang w:val="en-US" w:eastAsia="zh-CN"/>
        </w:rPr>
        <w:t>应</w:t>
      </w:r>
      <w:r>
        <w:rPr>
          <w:rFonts w:hint="eastAsia" w:hAnsi="Times New Roman" w:cs="Times New Roman"/>
          <w:szCs w:val="20"/>
          <w:lang w:eastAsia="zh-CN"/>
        </w:rPr>
        <w:t>混有</w:t>
      </w:r>
      <w:r>
        <w:rPr>
          <w:rFonts w:hint="eastAsia" w:hAnsi="Times New Roman" w:cs="Times New Roman"/>
          <w:szCs w:val="20"/>
          <w:lang w:val="en-US" w:eastAsia="zh-CN"/>
        </w:rPr>
        <w:t>与生产无关的夹杂物</w:t>
      </w:r>
      <w:r>
        <w:rPr>
          <w:rFonts w:hint="eastAsia" w:asciiTheme="minorEastAsia" w:hAnsiTheme="minorEastAsia"/>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4.3.1中稀土总量范围由“</w:t>
      </w:r>
      <w:r>
        <w:rPr>
          <w:rFonts w:hint="eastAsia" w:ascii="宋体" w:hAnsi="宋体"/>
          <w:lang w:val="en-US" w:eastAsia="zh-CN"/>
        </w:rPr>
        <w:t>3</w:t>
      </w:r>
      <w:r>
        <w:rPr>
          <w:rFonts w:hint="eastAsia" w:ascii="宋体" w:hAnsi="宋体"/>
        </w:rPr>
        <w:t>%</w:t>
      </w:r>
      <w:r>
        <w:rPr>
          <w:rFonts w:hint="eastAsia" w:ascii="微软雅黑" w:hAnsi="微软雅黑" w:eastAsia="微软雅黑" w:cs="微软雅黑"/>
          <w:sz w:val="18"/>
          <w:szCs w:val="18"/>
        </w:rPr>
        <w:t>~</w:t>
      </w:r>
      <w:r>
        <w:rPr>
          <w:rFonts w:hint="eastAsia" w:ascii="宋体" w:hAnsi="宋体"/>
        </w:rPr>
        <w:t>99%</w:t>
      </w:r>
      <w:r>
        <w:rPr>
          <w:rFonts w:hint="eastAsia" w:asciiTheme="minorEastAsia" w:hAnsiTheme="minorEastAsia"/>
          <w:szCs w:val="21"/>
          <w:lang w:val="en-US" w:eastAsia="zh-CN"/>
        </w:rPr>
        <w:t>”改为“</w:t>
      </w:r>
      <w:r>
        <w:rPr>
          <w:rFonts w:hint="eastAsia" w:ascii="宋体" w:hAnsi="宋体"/>
          <w:lang w:val="en-US" w:eastAsia="zh-CN"/>
        </w:rPr>
        <w:t>0.5</w:t>
      </w:r>
      <w:r>
        <w:rPr>
          <w:rFonts w:hint="eastAsia" w:ascii="宋体" w:hAnsi="宋体"/>
        </w:rPr>
        <w:t>%</w:t>
      </w:r>
      <w:r>
        <w:rPr>
          <w:rFonts w:hint="eastAsia" w:ascii="微软雅黑" w:hAnsi="微软雅黑" w:eastAsia="微软雅黑" w:cs="微软雅黑"/>
          <w:sz w:val="18"/>
          <w:szCs w:val="18"/>
        </w:rPr>
        <w:t>~</w:t>
      </w:r>
      <w:r>
        <w:rPr>
          <w:rFonts w:hint="eastAsia" w:ascii="宋体" w:hAnsi="宋体"/>
        </w:rPr>
        <w:t>99%</w:t>
      </w:r>
      <w:r>
        <w:rPr>
          <w:rFonts w:hint="eastAsia" w:asciiTheme="minorEastAsia" w:hAnsiTheme="minorEastAsia"/>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表2中分类和品名要与表1一致，钙热还原渣中Al的含量由“0.02</w:t>
      </w:r>
      <w:r>
        <w:rPr>
          <w:rFonts w:hint="eastAsia" w:ascii="微软雅黑" w:hAnsi="微软雅黑" w:eastAsia="微软雅黑" w:cs="微软雅黑"/>
          <w:sz w:val="18"/>
          <w:szCs w:val="18"/>
        </w:rPr>
        <w:t>~</w:t>
      </w:r>
      <w:r>
        <w:rPr>
          <w:rFonts w:hint="eastAsia" w:asciiTheme="minorEastAsia" w:hAnsiTheme="minorEastAsia"/>
          <w:szCs w:val="21"/>
          <w:lang w:val="en-US" w:eastAsia="zh-CN"/>
        </w:rPr>
        <w:t>1.0”改为“＜1.5”，Fe和Si的含量均由“0.02</w:t>
      </w:r>
      <w:r>
        <w:rPr>
          <w:rFonts w:hint="eastAsia" w:ascii="微软雅黑" w:hAnsi="微软雅黑" w:eastAsia="微软雅黑" w:cs="微软雅黑"/>
          <w:sz w:val="18"/>
          <w:szCs w:val="18"/>
        </w:rPr>
        <w:t>~</w:t>
      </w:r>
      <w:r>
        <w:rPr>
          <w:rFonts w:hint="eastAsia" w:asciiTheme="minorEastAsia" w:hAnsiTheme="minorEastAsia"/>
          <w:szCs w:val="21"/>
          <w:lang w:val="en-US" w:eastAsia="zh-CN"/>
        </w:rPr>
        <w:t>1.0”改为“＜1.0”，“F”和“Ca”的含量按98%的CaF</w:t>
      </w:r>
      <w:r>
        <w:rPr>
          <w:rFonts w:hint="eastAsia" w:asciiTheme="minorEastAsia" w:hAnsiTheme="minorEastAsia"/>
          <w:szCs w:val="21"/>
          <w:vertAlign w:val="subscript"/>
          <w:lang w:val="en-US" w:eastAsia="zh-CN"/>
        </w:rPr>
        <w:t>2</w:t>
      </w:r>
      <w:r>
        <w:rPr>
          <w:rFonts w:hint="eastAsia" w:asciiTheme="minorEastAsia" w:hAnsiTheme="minorEastAsia"/>
          <w:szCs w:val="21"/>
          <w:lang w:val="en-US" w:eastAsia="zh-CN"/>
        </w:rPr>
        <w:t>进行折算；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删除5.3 外观质量；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6.1和6.2对换顺序，</w:t>
      </w:r>
      <w:r>
        <w:rPr>
          <w:rFonts w:hint="eastAsia" w:hAnsi="宋体" w:cs="宋体"/>
          <w:lang w:val="en-US" w:eastAsia="zh-CN"/>
        </w:rPr>
        <w:t>先组批后检查验收；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szCs w:val="21"/>
          <w:lang w:val="en-US" w:eastAsia="zh-CN"/>
        </w:rPr>
      </w:pPr>
      <w:r>
        <w:rPr>
          <w:rFonts w:hint="eastAsia" w:hAnsi="宋体" w:cs="宋体"/>
          <w:lang w:val="en-US" w:eastAsia="zh-CN"/>
        </w:rPr>
        <w:t>组批中“</w:t>
      </w:r>
      <w:r>
        <w:rPr>
          <w:rFonts w:hint="eastAsia" w:ascii="宋体" w:hAnsi="宋体" w:cs="宋体"/>
          <w:kern w:val="0"/>
          <w:szCs w:val="21"/>
          <w:lang w:eastAsia="zh-CN"/>
        </w:rPr>
        <w:t>稀土火法冶炼回收料</w:t>
      </w:r>
      <w:r>
        <w:rPr>
          <w:rFonts w:hint="eastAsia" w:ascii="宋体" w:hAnsi="宋体" w:cs="宋体"/>
          <w:kern w:val="0"/>
          <w:szCs w:val="21"/>
        </w:rPr>
        <w:t>应成批提交检验，每批应由类别、组成成分相同的稀土火法冶炼回收料组成</w:t>
      </w:r>
      <w:r>
        <w:rPr>
          <w:rFonts w:hint="eastAsia" w:hAnsi="宋体" w:cs="宋体"/>
          <w:lang w:val="en-US" w:eastAsia="zh-CN"/>
        </w:rPr>
        <w:t>”改为“</w:t>
      </w:r>
      <w:r>
        <w:rPr>
          <w:rFonts w:hint="eastAsia" w:ascii="宋体" w:hAnsi="宋体" w:cs="宋体"/>
          <w:kern w:val="0"/>
          <w:szCs w:val="21"/>
          <w:lang w:eastAsia="zh-CN"/>
        </w:rPr>
        <w:t>稀土火法冶炼回收料每批应由类别相同，成分相近的稀土火法冶炼回收料组成。每批回收料应粉碎后制样，成批提交检验</w:t>
      </w:r>
      <w:r>
        <w:rPr>
          <w:rFonts w:hint="eastAsia" w:hAnsi="宋体" w:cs="宋体"/>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宋体" w:hAnsi="宋体" w:cs="宋体"/>
          <w:kern w:val="0"/>
          <w:szCs w:val="21"/>
          <w:lang w:val="en-US" w:eastAsia="zh-CN"/>
        </w:rPr>
      </w:pPr>
      <w:r>
        <w:rPr>
          <w:rFonts w:hint="eastAsia" w:ascii="宋体" w:hAnsi="宋体" w:cs="宋体"/>
          <w:kern w:val="0"/>
          <w:szCs w:val="21"/>
          <w:lang w:val="en-US" w:eastAsia="zh-CN"/>
        </w:rPr>
        <w:t>6.4增加制样过程，6.4.2中“</w:t>
      </w:r>
      <w:r>
        <w:rPr>
          <w:rFonts w:hint="eastAsia" w:ascii="宋体" w:hAnsi="宋体" w:cs="宋体"/>
          <w:kern w:val="0"/>
          <w:szCs w:val="21"/>
        </w:rPr>
        <w:t>每件（袋）取样量不少于</w:t>
      </w:r>
      <w:r>
        <w:rPr>
          <w:rFonts w:hint="eastAsia" w:ascii="宋体" w:hAnsi="宋体" w:cs="宋体"/>
          <w:kern w:val="0"/>
          <w:szCs w:val="21"/>
          <w:lang w:val="en-US" w:eastAsia="zh-CN"/>
        </w:rPr>
        <w:t>200</w:t>
      </w:r>
      <w:r>
        <w:rPr>
          <w:rFonts w:hint="eastAsia" w:ascii="宋体" w:hAnsi="宋体" w:cs="宋体"/>
          <w:kern w:val="0"/>
          <w:szCs w:val="21"/>
        </w:rPr>
        <w:t>g</w:t>
      </w:r>
      <w:r>
        <w:rPr>
          <w:rFonts w:hint="eastAsia" w:ascii="宋体" w:hAnsi="宋体" w:cs="宋体"/>
          <w:kern w:val="0"/>
          <w:szCs w:val="21"/>
          <w:lang w:val="en-US" w:eastAsia="zh-CN"/>
        </w:rPr>
        <w:t>”改为“</w:t>
      </w:r>
      <w:r>
        <w:rPr>
          <w:rFonts w:hint="eastAsia" w:ascii="宋体" w:hAnsi="宋体" w:cs="宋体"/>
          <w:kern w:val="0"/>
          <w:szCs w:val="21"/>
        </w:rPr>
        <w:t>每件（袋）取样量不少于</w:t>
      </w:r>
      <w:r>
        <w:rPr>
          <w:rFonts w:hint="eastAsia" w:ascii="宋体" w:hAnsi="宋体" w:cs="宋体"/>
          <w:kern w:val="0"/>
          <w:szCs w:val="21"/>
          <w:lang w:val="en-US" w:eastAsia="zh-CN"/>
        </w:rPr>
        <w:t>50</w:t>
      </w:r>
      <w:r>
        <w:rPr>
          <w:rFonts w:hint="eastAsia" w:ascii="宋体" w:hAnsi="宋体" w:cs="宋体"/>
          <w:kern w:val="0"/>
          <w:szCs w:val="21"/>
        </w:rPr>
        <w:t>g</w:t>
      </w:r>
      <w:r>
        <w:rPr>
          <w:rFonts w:hint="eastAsia" w:ascii="宋体" w:hAnsi="宋体" w:cs="宋体"/>
          <w:kern w:val="0"/>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宋体" w:hAnsi="宋体" w:cs="宋体"/>
          <w:kern w:val="0"/>
          <w:szCs w:val="21"/>
          <w:lang w:val="en-US" w:eastAsia="zh-CN"/>
        </w:rPr>
      </w:pPr>
      <w:r>
        <w:rPr>
          <w:rFonts w:hint="eastAsia" w:ascii="宋体" w:hAnsi="宋体" w:cs="宋体"/>
          <w:kern w:val="0"/>
          <w:szCs w:val="21"/>
          <w:lang w:val="en-US" w:eastAsia="zh-CN"/>
        </w:rPr>
        <w:t>“6.5检验结果判定”改为“6.5检验结果判定”，“</w:t>
      </w:r>
      <w:r>
        <w:rPr>
          <w:rFonts w:hint="eastAsia" w:ascii="宋体" w:hAnsi="宋体" w:cs="宋体"/>
          <w:kern w:val="0"/>
          <w:szCs w:val="21"/>
        </w:rPr>
        <w:t>化学成分分析结果与本</w:t>
      </w:r>
      <w:r>
        <w:rPr>
          <w:rFonts w:hint="eastAsia" w:ascii="宋体" w:hAnsi="宋体" w:cs="宋体"/>
          <w:kern w:val="0"/>
          <w:szCs w:val="21"/>
          <w:lang w:eastAsia="zh-CN"/>
        </w:rPr>
        <w:t>文件</w:t>
      </w:r>
      <w:r>
        <w:rPr>
          <w:rFonts w:hint="eastAsia" w:ascii="宋体" w:hAnsi="宋体" w:cs="宋体"/>
          <w:kern w:val="0"/>
          <w:szCs w:val="21"/>
        </w:rPr>
        <w:t>规定不符时，则从该批产品中取双倍试样对不合格项目进行重复试验，如仍有任一项结果不合格，则判该批产品为不合格</w:t>
      </w:r>
      <w:r>
        <w:rPr>
          <w:rFonts w:hint="eastAsia" w:ascii="宋体" w:hAnsi="宋体" w:cs="宋体"/>
          <w:kern w:val="0"/>
          <w:szCs w:val="21"/>
          <w:lang w:val="en-US" w:eastAsia="zh-CN"/>
        </w:rPr>
        <w:t>”改为“</w:t>
      </w:r>
      <w:r>
        <w:rPr>
          <w:rFonts w:hint="eastAsia" w:ascii="宋体" w:hAnsi="宋体" w:cs="宋体"/>
          <w:kern w:val="0"/>
          <w:szCs w:val="21"/>
        </w:rPr>
        <w:t>从该批产品中取双倍试样进行重复试验，确定样品检验结果</w:t>
      </w:r>
      <w:r>
        <w:rPr>
          <w:rFonts w:hint="eastAsia" w:ascii="宋体" w:hAnsi="宋体" w:cs="宋体"/>
          <w:kern w:val="0"/>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黑体" w:hAnsi="黑体" w:eastAsia="黑体" w:cs="黑体"/>
          <w:lang w:val="en-US" w:eastAsia="zh-CN"/>
        </w:rPr>
      </w:pPr>
      <w:r>
        <w:rPr>
          <w:rFonts w:hint="eastAsia" w:ascii="宋体" w:hAnsi="宋体" w:cs="宋体"/>
          <w:kern w:val="0"/>
          <w:szCs w:val="21"/>
          <w:lang w:val="en-US" w:eastAsia="zh-CN"/>
        </w:rPr>
        <w:t>7.2运输和贮存过程中增加“应注意防潮”要求；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黑体" w:hAnsi="黑体" w:eastAsia="黑体" w:cs="黑体"/>
          <w:lang w:val="en-US" w:eastAsia="zh-CN"/>
        </w:rPr>
      </w:pPr>
      <w:r>
        <w:rPr>
          <w:rFonts w:hint="eastAsia" w:ascii="宋体" w:hAnsi="宋体" w:cs="宋体"/>
          <w:kern w:val="0"/>
          <w:szCs w:val="21"/>
          <w:lang w:val="en-US" w:eastAsia="zh-CN"/>
        </w:rPr>
        <w:t>7.3 e）中删除“</w:t>
      </w:r>
      <w:r>
        <w:rPr>
          <w:rFonts w:hint="eastAsia" w:hAnsi="宋体" w:cs="宋体"/>
          <w:szCs w:val="21"/>
        </w:rPr>
        <w:t>和供方质量检验部门印记</w:t>
      </w:r>
      <w:r>
        <w:rPr>
          <w:rFonts w:hint="eastAsia" w:ascii="宋体" w:hAnsi="宋体" w:cs="宋体"/>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lang w:val="en-US" w:eastAsia="zh-CN"/>
        </w:rPr>
      </w:pPr>
      <w:r>
        <w:rPr>
          <w:rFonts w:hint="eastAsia" w:ascii="黑体" w:hAnsi="黑体" w:eastAsia="黑体" w:cs="黑体"/>
          <w:szCs w:val="22"/>
          <w:lang w:val="en-US" w:eastAsia="zh-CN"/>
        </w:rPr>
        <w:t xml:space="preserve">1.4.3 </w:t>
      </w:r>
      <w:r>
        <w:rPr>
          <w:rFonts w:hint="eastAsia" w:ascii="黑体" w:hAnsi="黑体" w:eastAsia="黑体" w:cs="黑体"/>
          <w:lang w:val="en-US" w:eastAsia="zh-CN"/>
        </w:rPr>
        <w:t>标准审定会会议纪要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lang w:val="en-US" w:eastAsia="zh-CN"/>
        </w:rPr>
      </w:pPr>
    </w:p>
    <w:p>
      <w:pPr>
        <w:pStyle w:val="9"/>
        <w:numPr>
          <w:ilvl w:val="0"/>
          <w:numId w:val="2"/>
        </w:numPr>
        <w:adjustRightInd w:val="0"/>
        <w:snapToGrid w:val="0"/>
        <w:spacing w:line="360" w:lineRule="auto"/>
        <w:outlineLvl w:val="0"/>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标准编制原则</w:t>
      </w:r>
    </w:p>
    <w:p>
      <w:pPr>
        <w:spacing w:line="360" w:lineRule="auto"/>
        <w:outlineLvl w:val="1"/>
        <w:rPr>
          <w:rFonts w:hint="eastAsia" w:ascii="黑体" w:hAnsi="黑体" w:eastAsia="黑体"/>
          <w:kern w:val="0"/>
          <w:szCs w:val="21"/>
        </w:rPr>
      </w:pPr>
      <w:r>
        <w:rPr>
          <w:rFonts w:hint="eastAsia" w:ascii="黑体" w:hAnsi="黑体" w:eastAsia="黑体"/>
          <w:kern w:val="0"/>
          <w:szCs w:val="21"/>
        </w:rPr>
        <w:t>2.1</w:t>
      </w:r>
      <w:r>
        <w:rPr>
          <w:rFonts w:hint="eastAsia" w:ascii="黑体" w:hAnsi="黑体" w:eastAsia="黑体"/>
          <w:kern w:val="0"/>
          <w:szCs w:val="21"/>
          <w:lang w:val="en-US" w:eastAsia="zh-CN"/>
        </w:rPr>
        <w:t xml:space="preserve"> </w:t>
      </w:r>
      <w:r>
        <w:rPr>
          <w:rFonts w:hint="eastAsia" w:ascii="黑体" w:hAnsi="黑体" w:eastAsia="黑体"/>
          <w:kern w:val="0"/>
          <w:szCs w:val="21"/>
        </w:rPr>
        <w:t>编制原则和依据</w:t>
      </w:r>
    </w:p>
    <w:p>
      <w:pPr>
        <w:numPr>
          <w:ilvl w:val="0"/>
          <w:numId w:val="4"/>
        </w:numPr>
        <w:autoSpaceDE w:val="0"/>
        <w:autoSpaceDN w:val="0"/>
        <w:spacing w:line="360" w:lineRule="auto"/>
        <w:ind w:firstLine="420" w:firstLineChars="200"/>
        <w:rPr>
          <w:rFonts w:ascii="Times New Roman" w:hAnsi="Times New Roman" w:cs="Times New Roman"/>
          <w:szCs w:val="21"/>
        </w:rPr>
      </w:pPr>
      <w:r>
        <w:rPr>
          <w:rFonts w:cs="Times New Roman" w:asciiTheme="minorEastAsia" w:hAnsiTheme="minorEastAsia" w:eastAsiaTheme="minorEastAsia"/>
          <w:szCs w:val="21"/>
        </w:rPr>
        <w:t>本</w:t>
      </w:r>
      <w:r>
        <w:rPr>
          <w:rFonts w:hint="eastAsia" w:cs="Times New Roman" w:asciiTheme="minorEastAsia" w:hAnsiTheme="minorEastAsia" w:eastAsiaTheme="minorEastAsia"/>
          <w:szCs w:val="21"/>
          <w:lang w:eastAsia="zh-CN"/>
        </w:rPr>
        <w:t>文件</w:t>
      </w:r>
      <w:r>
        <w:rPr>
          <w:rFonts w:cs="Times New Roman" w:asciiTheme="minorEastAsia" w:hAnsiTheme="minorEastAsia" w:eastAsiaTheme="minorEastAsia"/>
          <w:szCs w:val="21"/>
        </w:rPr>
        <w:t>根据GB/</w:t>
      </w:r>
      <w:r>
        <w:rPr>
          <w:rFonts w:ascii="Times New Roman" w:hAnsi="Times New Roman" w:cs="Times New Roman"/>
          <w:szCs w:val="21"/>
        </w:rPr>
        <w:t>T1.1-20</w:t>
      </w:r>
      <w:r>
        <w:rPr>
          <w:rFonts w:hint="eastAsia" w:cs="Times New Roman"/>
          <w:szCs w:val="21"/>
          <w:lang w:val="en-US" w:eastAsia="zh-CN"/>
        </w:rPr>
        <w:t>20</w:t>
      </w:r>
      <w:r>
        <w:rPr>
          <w:rFonts w:ascii="Times New Roman" w:hAnsi="Times New Roman" w:cs="Times New Roman"/>
          <w:szCs w:val="21"/>
        </w:rPr>
        <w:t>《标准化工作导则》的规定编写；</w:t>
      </w:r>
    </w:p>
    <w:p>
      <w:pPr>
        <w:numPr>
          <w:ilvl w:val="0"/>
          <w:numId w:val="4"/>
        </w:numPr>
        <w:autoSpaceDE w:val="0"/>
        <w:autoSpaceDN w:val="0"/>
        <w:spacing w:line="360" w:lineRule="auto"/>
        <w:ind w:firstLine="420" w:firstLineChars="200"/>
        <w:rPr>
          <w:rFonts w:ascii="Times New Roman" w:hAnsi="Times New Roman" w:cs="Times New Roman"/>
          <w:szCs w:val="21"/>
        </w:rPr>
      </w:pPr>
      <w:r>
        <w:rPr>
          <w:rFonts w:hint="eastAsia" w:cs="Times New Roman"/>
          <w:szCs w:val="21"/>
          <w:lang w:eastAsia="zh-CN"/>
        </w:rPr>
        <w:t>充分满足行业需求的原则。</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rPr>
        <w:t>2.2</w:t>
      </w:r>
      <w:r>
        <w:rPr>
          <w:rFonts w:hint="eastAsia" w:ascii="黑体" w:hAnsi="黑体" w:eastAsia="黑体"/>
          <w:kern w:val="0"/>
          <w:szCs w:val="21"/>
          <w:lang w:val="en-US" w:eastAsia="zh-CN"/>
        </w:rPr>
        <w:t xml:space="preserve"> </w:t>
      </w:r>
      <w:r>
        <w:rPr>
          <w:rFonts w:hint="eastAsia" w:ascii="黑体" w:hAnsi="黑体" w:eastAsia="黑体"/>
          <w:kern w:val="0"/>
          <w:szCs w:val="21"/>
          <w:lang w:eastAsia="zh-CN"/>
        </w:rPr>
        <w:t>根据工艺确定技术指标</w:t>
      </w:r>
    </w:p>
    <w:p>
      <w:pPr>
        <w:pStyle w:val="11"/>
        <w:adjustRightInd w:val="0"/>
        <w:snapToGrid w:val="0"/>
        <w:spacing w:line="360" w:lineRule="auto"/>
        <w:ind w:firstLine="420" w:firstLineChars="200"/>
        <w:rPr>
          <w:rFonts w:hint="eastAsia" w:ascii="Times New Roman" w:hAnsi="宋体"/>
          <w:color w:val="000000"/>
        </w:rPr>
      </w:pPr>
      <w:r>
        <w:rPr>
          <w:rFonts w:hint="eastAsia" w:ascii="Times New Roman" w:hAnsi="宋体"/>
          <w:color w:val="000000"/>
          <w:lang w:eastAsia="zh-CN"/>
        </w:rPr>
        <w:t>稀土火法冶炼回收料目前主要来源于电解法和热还原法</w:t>
      </w:r>
      <w:r>
        <w:rPr>
          <w:rFonts w:hint="eastAsia" w:ascii="Times New Roman" w:hAnsi="宋体"/>
          <w:color w:val="000000"/>
        </w:rPr>
        <w:t>两种工艺</w:t>
      </w:r>
      <w:r>
        <w:rPr>
          <w:rFonts w:hint="eastAsia" w:ascii="Times New Roman" w:hAnsi="宋体"/>
          <w:color w:val="000000"/>
          <w:lang w:eastAsia="zh-CN"/>
        </w:rPr>
        <w:t>，</w:t>
      </w:r>
      <w:r>
        <w:rPr>
          <w:rFonts w:hint="eastAsia" w:ascii="Times New Roman" w:hAnsi="宋体"/>
          <w:color w:val="000000"/>
        </w:rPr>
        <w:t>综合考虑两种工艺情况，确定主要技术指标。</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lang w:eastAsia="zh-CN"/>
        </w:rPr>
        <w:t>2.3</w:t>
      </w:r>
      <w:r>
        <w:rPr>
          <w:rFonts w:hint="eastAsia" w:ascii="黑体" w:hAnsi="黑体" w:eastAsia="黑体"/>
          <w:kern w:val="0"/>
          <w:szCs w:val="21"/>
          <w:lang w:val="en-US" w:eastAsia="zh-CN"/>
        </w:rPr>
        <w:t xml:space="preserve"> </w:t>
      </w:r>
      <w:r>
        <w:rPr>
          <w:rFonts w:hint="eastAsia" w:ascii="黑体" w:hAnsi="黑体" w:eastAsia="黑体"/>
          <w:kern w:val="0"/>
          <w:szCs w:val="21"/>
          <w:lang w:eastAsia="zh-CN"/>
        </w:rPr>
        <w:t>确定标准适用的范围</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Times New Roman" w:hAnsi="Times New Roman" w:cs="Times New Roman"/>
        </w:rPr>
      </w:pPr>
      <w:r>
        <w:rPr>
          <w:rFonts w:hint="eastAsia" w:ascii="Times New Roman" w:hAnsi="Times New Roman" w:cs="Times New Roman"/>
        </w:rPr>
        <w:t>本文件规定了稀土火法冶炼回收料的技术要求、试验方法、检验规则、包装、标识、运输和贮存及随行文件。本文件适用于采用熔盐电解或热还原工艺产生的稀土火法冶炼回收料。</w:t>
      </w:r>
    </w:p>
    <w:p>
      <w:pPr>
        <w:widowControl/>
        <w:adjustRightInd w:val="0"/>
        <w:snapToGrid w:val="0"/>
        <w:spacing w:line="360" w:lineRule="auto"/>
        <w:jc w:val="left"/>
        <w:outlineLvl w:val="0"/>
        <w:rPr>
          <w:rFonts w:hint="eastAsia"/>
          <w:kern w:val="0"/>
          <w:szCs w:val="21"/>
        </w:rPr>
      </w:pPr>
      <w:r>
        <w:rPr>
          <w:rFonts w:hint="eastAsia" w:ascii="黑体" w:hAnsi="黑体" w:eastAsia="黑体" w:cs="黑体"/>
          <w:sz w:val="24"/>
          <w:szCs w:val="24"/>
        </w:rPr>
        <w:t>三、确定标准主要内容</w:t>
      </w:r>
    </w:p>
    <w:p>
      <w:pPr>
        <w:spacing w:line="400" w:lineRule="exact"/>
        <w:jc w:val="left"/>
        <w:textAlignment w:val="baseline"/>
        <w:rPr>
          <w:rFonts w:hint="eastAsia" w:ascii="黑体" w:hAnsi="黑体" w:eastAsia="黑体" w:cs="黑体"/>
        </w:rPr>
      </w:pPr>
      <w:r>
        <w:rPr>
          <w:rFonts w:hint="eastAsia" w:ascii="黑体" w:hAnsi="黑体" w:eastAsia="黑体" w:cs="黑体"/>
          <w:lang w:val="en-US" w:eastAsia="zh-CN"/>
        </w:rPr>
        <w:t>3</w:t>
      </w:r>
      <w:r>
        <w:rPr>
          <w:rFonts w:hint="eastAsia" w:ascii="黑体" w:hAnsi="黑体" w:eastAsia="黑体" w:cs="黑体"/>
        </w:rPr>
        <w:t>.1  分类</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outlineLvl w:val="0"/>
        <w:rPr>
          <w:rFonts w:hint="eastAsia" w:ascii="Times New Roman" w:hAnsi="Times New Roman" w:cs="Times New Roman"/>
          <w:szCs w:val="22"/>
        </w:rPr>
      </w:pPr>
      <w:r>
        <w:rPr>
          <w:rFonts w:hint="eastAsia" w:ascii="Times New Roman" w:hAnsi="Times New Roman" w:cs="Times New Roman"/>
          <w:szCs w:val="22"/>
        </w:rPr>
        <w:t>稀土火法冶炼回收料的分类见表1。</w:t>
      </w:r>
    </w:p>
    <w:p>
      <w:pPr>
        <w:spacing w:line="400" w:lineRule="exact"/>
        <w:jc w:val="center"/>
        <w:textAlignment w:val="baseline"/>
        <w:rPr>
          <w:rFonts w:hint="eastAsia" w:ascii="黑体" w:hAnsi="黑体" w:eastAsia="黑体"/>
        </w:rPr>
      </w:pPr>
      <w:r>
        <w:rPr>
          <w:rFonts w:hint="eastAsia" w:ascii="黑体" w:hAnsi="黑体" w:eastAsia="黑体"/>
          <w:szCs w:val="21"/>
        </w:rPr>
        <w:t>表</w:t>
      </w:r>
      <w:r>
        <w:rPr>
          <w:rFonts w:ascii="黑体" w:hAnsi="黑体" w:eastAsia="黑体"/>
          <w:szCs w:val="21"/>
        </w:rPr>
        <w:t xml:space="preserve">1 </w:t>
      </w:r>
      <w:r>
        <w:rPr>
          <w:rFonts w:hint="eastAsia" w:ascii="黑体" w:hAnsi="黑体" w:eastAsia="黑体"/>
          <w:szCs w:val="21"/>
          <w:lang w:eastAsia="zh-CN"/>
        </w:rPr>
        <w:t>稀土火法冶炼</w:t>
      </w:r>
      <w:r>
        <w:rPr>
          <w:rFonts w:hint="eastAsia" w:ascii="黑体" w:hAnsi="黑体" w:eastAsia="黑体"/>
        </w:rPr>
        <w:t>回收料的分类</w:t>
      </w:r>
    </w:p>
    <w:tbl>
      <w:tblPr>
        <w:tblStyle w:val="6"/>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37"/>
        <w:gridCol w:w="3311"/>
        <w:gridCol w:w="3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tcBorders>
              <w:top w:val="single" w:color="000000" w:sz="12" w:space="0"/>
              <w:left w:val="single" w:color="000000" w:sz="12"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分类</w:t>
            </w:r>
          </w:p>
        </w:tc>
        <w:tc>
          <w:tcPr>
            <w:tcW w:w="1837" w:type="dxa"/>
            <w:tcBorders>
              <w:top w:val="single" w:color="000000" w:sz="12"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品名</w:t>
            </w:r>
          </w:p>
        </w:tc>
        <w:tc>
          <w:tcPr>
            <w:tcW w:w="3311" w:type="dxa"/>
            <w:tcBorders>
              <w:top w:val="single" w:color="000000" w:sz="12"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主成分</w:t>
            </w:r>
          </w:p>
        </w:tc>
        <w:tc>
          <w:tcPr>
            <w:tcW w:w="3004" w:type="dxa"/>
            <w:tcBorders>
              <w:top w:val="single" w:color="000000" w:sz="12" w:space="0"/>
              <w:left w:val="single" w:color="000000" w:sz="4" w:space="0"/>
              <w:bottom w:val="single" w:color="000000" w:sz="4" w:space="0"/>
              <w:right w:val="single" w:color="000000" w:sz="12" w:space="0"/>
            </w:tcBorders>
            <w:noWrap w:val="0"/>
            <w:vAlign w:val="top"/>
          </w:tcPr>
          <w:p>
            <w:pPr>
              <w:adjustRightInd w:val="0"/>
              <w:snapToGrid w:val="0"/>
              <w:jc w:val="center"/>
              <w:rPr>
                <w:rFonts w:ascii="宋体" w:hAnsi="宋体"/>
                <w:sz w:val="18"/>
                <w:szCs w:val="18"/>
              </w:rPr>
            </w:pPr>
            <w:r>
              <w:rPr>
                <w:rFonts w:hint="eastAsia" w:ascii="宋体" w:hAnsi="宋体"/>
                <w:sz w:val="18"/>
                <w:szCs w:val="18"/>
              </w:rPr>
              <w:t>稀土氧化物总量</w:t>
            </w:r>
          </w:p>
          <w:p>
            <w:pPr>
              <w:adjustRightInd w:val="0"/>
              <w:snapToGrid w:val="0"/>
              <w:jc w:val="center"/>
              <w:rPr>
                <w:rFonts w:ascii="宋体" w:hAnsi="宋体"/>
                <w:sz w:val="18"/>
                <w:szCs w:val="18"/>
              </w:rPr>
            </w:pPr>
            <w:r>
              <w:rPr>
                <w:rFonts w:hint="eastAsia" w:ascii="宋体" w:hAnsi="宋体"/>
                <w:sz w:val="18"/>
                <w:szCs w:val="18"/>
              </w:rPr>
              <w:t>参考范围</w:t>
            </w:r>
          </w:p>
          <w:p>
            <w:pPr>
              <w:pStyle w:val="11"/>
              <w:jc w:val="center"/>
              <w:rPr>
                <w:rFonts w:hint="eastAsia" w:ascii="宋体"/>
                <w:sz w:val="18"/>
              </w:rPr>
            </w:pPr>
            <w:r>
              <w:rPr>
                <w:rFonts w:hint="eastAsia" w:ascii="宋体" w:hAnsi="宋体"/>
                <w:sz w:val="18"/>
                <w:szCs w:val="18"/>
              </w:rPr>
              <w:t>（REO，%）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熔盐电解回收料</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lang w:eastAsia="zh-CN"/>
              </w:rPr>
              <w:t>电解渣</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REF</w:t>
            </w:r>
            <w:r>
              <w:rPr>
                <w:rFonts w:hint="eastAsia" w:ascii="宋体"/>
                <w:sz w:val="18"/>
                <w:vertAlign w:val="subscript"/>
                <w:lang w:val="en-US" w:eastAsia="zh-CN"/>
              </w:rPr>
              <w:t>3</w:t>
            </w:r>
            <w:r>
              <w:rPr>
                <w:rFonts w:hint="eastAsia" w:ascii="宋体"/>
                <w:sz w:val="18"/>
              </w:rPr>
              <w:t>、RE、RE</w:t>
            </w:r>
            <w:r>
              <w:rPr>
                <w:rFonts w:hint="eastAsia" w:ascii="宋体"/>
                <w:sz w:val="18"/>
                <w:vertAlign w:val="subscript"/>
              </w:rPr>
              <w:t>x</w:t>
            </w:r>
            <w:r>
              <w:rPr>
                <w:rFonts w:hint="eastAsia" w:ascii="宋体"/>
                <w:sz w:val="18"/>
              </w:rPr>
              <w:t>O</w:t>
            </w:r>
            <w:r>
              <w:rPr>
                <w:rFonts w:hint="eastAsia" w:ascii="宋体"/>
                <w:sz w:val="18"/>
                <w:vertAlign w:val="subscript"/>
              </w:rPr>
              <w:t>y</w:t>
            </w:r>
          </w:p>
        </w:tc>
        <w:tc>
          <w:tcPr>
            <w:tcW w:w="3004" w:type="dxa"/>
            <w:tcBorders>
              <w:top w:val="single" w:color="000000" w:sz="4" w:space="0"/>
              <w:left w:val="single" w:color="000000" w:sz="4" w:space="0"/>
              <w:bottom w:val="single" w:color="000000" w:sz="4" w:space="0"/>
              <w:right w:val="single" w:color="000000" w:sz="12" w:space="0"/>
            </w:tcBorders>
            <w:noWrap w:val="0"/>
            <w:vAlign w:val="center"/>
          </w:tcPr>
          <w:p>
            <w:pPr>
              <w:pStyle w:val="11"/>
              <w:jc w:val="center"/>
              <w:rPr>
                <w:rFonts w:hint="eastAsia" w:ascii="宋体"/>
                <w:sz w:val="18"/>
              </w:rPr>
            </w:pPr>
            <w:r>
              <w:rPr>
                <w:rFonts w:hint="eastAsia" w:ascii="宋体"/>
                <w:sz w:val="18"/>
              </w:rPr>
              <w:t>1</w:t>
            </w:r>
            <w:r>
              <w:rPr>
                <w:rFonts w:hint="eastAsia" w:ascii="微软雅黑" w:hAnsi="微软雅黑" w:eastAsia="微软雅黑" w:cs="微软雅黑"/>
                <w:sz w:val="18"/>
                <w:szCs w:val="18"/>
              </w:rPr>
              <w:t>~</w:t>
            </w:r>
            <w:r>
              <w:rPr>
                <w:rFonts w:hint="eastAsia" w:ascii="宋体"/>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4" w:space="0"/>
              <w:right w:val="single" w:color="000000" w:sz="4" w:space="0"/>
            </w:tcBorders>
            <w:noWrap w:val="0"/>
            <w:vAlign w:val="center"/>
          </w:tcPr>
          <w:p>
            <w:pPr>
              <w:pStyle w:val="11"/>
              <w:jc w:val="center"/>
              <w:rPr>
                <w:rFonts w:hint="eastAsia" w:ascii="宋体"/>
                <w:sz w:val="18"/>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穿槽泄</w:t>
            </w:r>
            <w:r>
              <w:rPr>
                <w:rFonts w:hint="eastAsia" w:ascii="宋体"/>
                <w:sz w:val="18"/>
                <w:lang w:eastAsia="zh-CN"/>
              </w:rPr>
              <w:t>漏</w:t>
            </w:r>
            <w:r>
              <w:rPr>
                <w:rFonts w:hint="eastAsia" w:ascii="宋体"/>
                <w:sz w:val="18"/>
              </w:rPr>
              <w:t>熔盐（电解槽漏液）</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REF</w:t>
            </w:r>
            <w:r>
              <w:rPr>
                <w:rFonts w:hint="eastAsia" w:ascii="宋体"/>
                <w:sz w:val="18"/>
                <w:vertAlign w:val="subscript"/>
              </w:rPr>
              <w:t>3</w:t>
            </w:r>
            <w:r>
              <w:rPr>
                <w:rFonts w:hint="eastAsia" w:ascii="宋体"/>
                <w:sz w:val="18"/>
              </w:rPr>
              <w:t>、LiF、RE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rPr>
              <w:t>、RE</w:t>
            </w:r>
          </w:p>
        </w:tc>
        <w:tc>
          <w:tcPr>
            <w:tcW w:w="3004" w:type="dxa"/>
            <w:tcBorders>
              <w:top w:val="single" w:color="000000" w:sz="4" w:space="0"/>
              <w:left w:val="single" w:color="000000" w:sz="4" w:space="0"/>
              <w:bottom w:val="single" w:color="000000" w:sz="4" w:space="0"/>
              <w:right w:val="single" w:color="000000" w:sz="12" w:space="0"/>
            </w:tcBorders>
            <w:noWrap w:val="0"/>
            <w:vAlign w:val="center"/>
          </w:tcPr>
          <w:p>
            <w:pPr>
              <w:pStyle w:val="11"/>
              <w:jc w:val="center"/>
              <w:rPr>
                <w:rFonts w:hint="eastAsia" w:ascii="宋体"/>
                <w:sz w:val="18"/>
              </w:rPr>
            </w:pPr>
            <w:r>
              <w:rPr>
                <w:rFonts w:hint="eastAsia" w:ascii="宋体"/>
                <w:sz w:val="18"/>
              </w:rPr>
              <w:t>5%</w:t>
            </w:r>
            <w:r>
              <w:rPr>
                <w:rFonts w:hint="eastAsia" w:ascii="微软雅黑" w:hAnsi="微软雅黑" w:eastAsia="微软雅黑" w:cs="微软雅黑"/>
                <w:sz w:val="18"/>
                <w:szCs w:val="18"/>
              </w:rPr>
              <w:t>~</w:t>
            </w:r>
            <w:r>
              <w:rPr>
                <w:rFonts w:hint="eastAsia" w:ascii="宋体"/>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11"/>
              <w:jc w:val="center"/>
              <w:rPr>
                <w:rFonts w:hint="eastAsia" w:ascii="宋体"/>
                <w:sz w:val="18"/>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sz w:val="18"/>
                <w:szCs w:val="18"/>
              </w:rPr>
              <w:t>包装打磨料</w:t>
            </w:r>
            <w:r>
              <w:rPr>
                <w:rFonts w:hint="eastAsia"/>
                <w:sz w:val="18"/>
                <w:szCs w:val="18"/>
                <w:lang w:eastAsia="zh-CN"/>
              </w:rPr>
              <w:t>（抛光粉）</w:t>
            </w:r>
          </w:p>
        </w:tc>
        <w:tc>
          <w:tcPr>
            <w:tcW w:w="3311" w:type="dxa"/>
            <w:tcBorders>
              <w:top w:val="single" w:color="000000" w:sz="4" w:space="0"/>
              <w:left w:val="single" w:color="000000" w:sz="4" w:space="0"/>
              <w:bottom w:val="single" w:color="000000" w:sz="4" w:space="0"/>
              <w:right w:val="single" w:color="000000" w:sz="4" w:space="0"/>
            </w:tcBorders>
            <w:noWrap w:val="0"/>
            <w:vAlign w:val="top"/>
          </w:tcPr>
          <w:p>
            <w:pPr>
              <w:pStyle w:val="11"/>
              <w:jc w:val="center"/>
              <w:rPr>
                <w:rFonts w:hint="eastAsia" w:ascii="宋体"/>
                <w:sz w:val="18"/>
              </w:rPr>
            </w:pPr>
            <w:r>
              <w:rPr>
                <w:rFonts w:hint="eastAsia" w:ascii="宋体"/>
                <w:sz w:val="18"/>
              </w:rPr>
              <w:t>REF</w:t>
            </w:r>
            <w:r>
              <w:rPr>
                <w:rFonts w:hint="eastAsia" w:ascii="宋体"/>
                <w:sz w:val="18"/>
                <w:vertAlign w:val="subscript"/>
                <w:lang w:val="en-US" w:eastAsia="zh-CN"/>
              </w:rPr>
              <w:t>3</w:t>
            </w:r>
            <w:r>
              <w:rPr>
                <w:rFonts w:hint="eastAsia" w:ascii="宋体"/>
                <w:sz w:val="18"/>
              </w:rPr>
              <w:t>、RE、RE</w:t>
            </w:r>
            <w:r>
              <w:rPr>
                <w:rFonts w:hint="eastAsia" w:ascii="宋体"/>
                <w:sz w:val="18"/>
                <w:vertAlign w:val="subscript"/>
              </w:rPr>
              <w:t>x</w:t>
            </w:r>
            <w:r>
              <w:rPr>
                <w:rFonts w:hint="eastAsia" w:ascii="宋体"/>
                <w:sz w:val="18"/>
              </w:rPr>
              <w:t>O</w:t>
            </w:r>
            <w:r>
              <w:rPr>
                <w:rFonts w:hint="eastAsia" w:ascii="宋体"/>
                <w:sz w:val="18"/>
                <w:vertAlign w:val="subscript"/>
              </w:rPr>
              <w:t>y</w:t>
            </w:r>
          </w:p>
        </w:tc>
        <w:tc>
          <w:tcPr>
            <w:tcW w:w="3004" w:type="dxa"/>
            <w:tcBorders>
              <w:top w:val="single" w:color="000000" w:sz="4" w:space="0"/>
              <w:left w:val="single" w:color="000000" w:sz="4" w:space="0"/>
              <w:bottom w:val="single" w:color="000000" w:sz="4" w:space="0"/>
              <w:right w:val="single" w:color="000000" w:sz="12" w:space="0"/>
            </w:tcBorders>
            <w:noWrap w:val="0"/>
            <w:vAlign w:val="top"/>
          </w:tcPr>
          <w:p>
            <w:pPr>
              <w:pStyle w:val="11"/>
              <w:jc w:val="center"/>
              <w:rPr>
                <w:rFonts w:ascii="宋体"/>
                <w:sz w:val="18"/>
              </w:rPr>
            </w:pPr>
            <w:r>
              <w:rPr>
                <w:rFonts w:hint="eastAsia" w:ascii="宋体"/>
                <w:sz w:val="18"/>
              </w:rPr>
              <w:t>15%</w:t>
            </w:r>
            <w:r>
              <w:rPr>
                <w:rFonts w:hint="eastAsia" w:ascii="微软雅黑" w:hAnsi="微软雅黑" w:eastAsia="微软雅黑" w:cs="微软雅黑"/>
                <w:sz w:val="18"/>
                <w:szCs w:val="18"/>
              </w:rPr>
              <w:t>~</w:t>
            </w:r>
            <w:r>
              <w:rPr>
                <w:rFonts w:hint="eastAsia" w:ascii="宋体"/>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11"/>
              <w:jc w:val="center"/>
              <w:rPr>
                <w:rFonts w:hint="eastAsia" w:ascii="宋体"/>
                <w:sz w:val="18"/>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lang w:eastAsia="zh-CN"/>
              </w:rPr>
              <w:t>其他（如扫地灰、回收粉尘）</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default" w:ascii="宋体" w:eastAsia="宋体"/>
                <w:sz w:val="18"/>
                <w:lang w:val="en-US" w:eastAsia="zh-CN"/>
              </w:rPr>
            </w:pPr>
            <w:r>
              <w:rPr>
                <w:rFonts w:hint="eastAsia" w:ascii="宋体"/>
                <w:sz w:val="18"/>
              </w:rPr>
              <w:t>REF</w:t>
            </w:r>
            <w:r>
              <w:rPr>
                <w:rFonts w:hint="eastAsia" w:ascii="宋体"/>
                <w:sz w:val="18"/>
                <w:vertAlign w:val="subscript"/>
                <w:lang w:val="en-US" w:eastAsia="zh-CN"/>
              </w:rPr>
              <w:t>3</w:t>
            </w:r>
            <w:r>
              <w:rPr>
                <w:rFonts w:hint="eastAsia" w:ascii="宋体"/>
                <w:sz w:val="18"/>
              </w:rPr>
              <w:t>、RE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rPr>
              <w:t>、</w:t>
            </w:r>
            <w:r>
              <w:rPr>
                <w:rFonts w:hint="eastAsia" w:ascii="宋体"/>
                <w:sz w:val="18"/>
                <w:lang w:val="en-US" w:eastAsia="zh-CN"/>
              </w:rPr>
              <w:t>LiF</w:t>
            </w:r>
          </w:p>
        </w:tc>
        <w:tc>
          <w:tcPr>
            <w:tcW w:w="3004" w:type="dxa"/>
            <w:tcBorders>
              <w:top w:val="single" w:color="000000" w:sz="4" w:space="0"/>
              <w:left w:val="single" w:color="000000" w:sz="4" w:space="0"/>
              <w:bottom w:val="single" w:color="000000" w:sz="4" w:space="0"/>
              <w:right w:val="single" w:color="000000" w:sz="12" w:space="0"/>
            </w:tcBorders>
            <w:noWrap w:val="0"/>
            <w:vAlign w:val="center"/>
          </w:tcPr>
          <w:p>
            <w:pPr>
              <w:pStyle w:val="11"/>
              <w:jc w:val="center"/>
              <w:rPr>
                <w:rFonts w:hint="eastAsia" w:ascii="宋体"/>
                <w:sz w:val="18"/>
              </w:rPr>
            </w:pPr>
            <w:r>
              <w:rPr>
                <w:rFonts w:hint="eastAsia" w:ascii="宋体"/>
                <w:sz w:val="18"/>
                <w:lang w:val="en-US" w:eastAsia="zh-CN"/>
              </w:rPr>
              <w:t>1</w:t>
            </w:r>
            <w:r>
              <w:rPr>
                <w:rFonts w:hint="eastAsia" w:ascii="宋体"/>
                <w:sz w:val="18"/>
              </w:rPr>
              <w:t>%</w:t>
            </w:r>
            <w:r>
              <w:rPr>
                <w:rFonts w:hint="eastAsia" w:ascii="微软雅黑" w:hAnsi="微软雅黑" w:eastAsia="微软雅黑" w:cs="微软雅黑"/>
                <w:sz w:val="18"/>
                <w:szCs w:val="18"/>
              </w:rPr>
              <w:t>~</w:t>
            </w:r>
            <w:r>
              <w:rPr>
                <w:rFonts w:hint="eastAsia" w:ascii="宋体"/>
                <w:sz w:val="18"/>
                <w:lang w:val="en-US" w:eastAsia="zh-CN"/>
              </w:rPr>
              <w:t>50</w:t>
            </w:r>
            <w:r>
              <w:rPr>
                <w:rFonts w:hint="eastAsia" w:asci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热还原回收料</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rPr>
              <w:t>镧热还原渣</w:t>
            </w:r>
            <w:r>
              <w:rPr>
                <w:rFonts w:hint="eastAsia" w:ascii="宋体"/>
                <w:sz w:val="18"/>
                <w:lang w:eastAsia="zh-CN"/>
              </w:rPr>
              <w:t>（如镧钐渣、</w:t>
            </w:r>
            <w:r>
              <w:rPr>
                <w:rFonts w:hint="eastAsia" w:ascii="宋体"/>
                <w:sz w:val="18"/>
              </w:rPr>
              <w:t>镧镱渣</w:t>
            </w:r>
            <w:r>
              <w:rPr>
                <w:rFonts w:hint="eastAsia" w:ascii="宋体"/>
                <w:sz w:val="18"/>
                <w:lang w:eastAsia="zh-CN"/>
              </w:rPr>
              <w:t>）</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sz w:val="18"/>
              </w:rPr>
            </w:pPr>
            <w:r>
              <w:rPr>
                <w:rFonts w:hint="eastAsia" w:ascii="宋体"/>
                <w:sz w:val="18"/>
              </w:rPr>
              <w:t>La</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、La、Sm</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、Sm、Yb</w:t>
            </w:r>
            <w:r>
              <w:rPr>
                <w:rFonts w:hint="eastAsia" w:ascii="宋体"/>
                <w:sz w:val="18"/>
                <w:vertAlign w:val="subscript"/>
              </w:rPr>
              <w:t>2</w:t>
            </w:r>
            <w:r>
              <w:rPr>
                <w:rFonts w:hint="eastAsia" w:ascii="宋体"/>
                <w:sz w:val="18"/>
              </w:rPr>
              <w:t>O</w:t>
            </w:r>
            <w:r>
              <w:rPr>
                <w:rFonts w:hint="eastAsia" w:ascii="宋体"/>
                <w:sz w:val="18"/>
                <w:vertAlign w:val="subscript"/>
              </w:rPr>
              <w:t>3</w:t>
            </w:r>
            <w:r>
              <w:rPr>
                <w:rFonts w:hint="eastAsia" w:ascii="宋体"/>
                <w:sz w:val="18"/>
              </w:rPr>
              <w:t>、Yb等</w:t>
            </w:r>
          </w:p>
        </w:tc>
        <w:tc>
          <w:tcPr>
            <w:tcW w:w="3004" w:type="dxa"/>
            <w:tcBorders>
              <w:top w:val="single" w:color="000000" w:sz="4" w:space="0"/>
              <w:left w:val="single" w:color="000000" w:sz="4" w:space="0"/>
              <w:bottom w:val="single" w:color="000000" w:sz="4" w:space="0"/>
              <w:right w:val="single" w:color="000000" w:sz="12" w:space="0"/>
            </w:tcBorders>
            <w:noWrap w:val="0"/>
            <w:vAlign w:val="center"/>
          </w:tcPr>
          <w:p>
            <w:pPr>
              <w:pStyle w:val="11"/>
              <w:jc w:val="center"/>
              <w:rPr>
                <w:rFonts w:hint="eastAsia" w:ascii="宋体"/>
                <w:sz w:val="18"/>
              </w:rPr>
            </w:pPr>
            <w:r>
              <w:rPr>
                <w:rFonts w:hint="eastAsia" w:ascii="宋体"/>
                <w:sz w:val="18"/>
                <w:lang w:eastAsia="zh-CN"/>
              </w:rPr>
              <w:t>≥</w:t>
            </w:r>
            <w:r>
              <w:rPr>
                <w:rFonts w:hint="eastAsia" w:ascii="宋体"/>
                <w:sz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11"/>
              <w:jc w:val="center"/>
              <w:rPr>
                <w:rFonts w:hint="eastAsia" w:ascii="宋体"/>
                <w:sz w:val="18"/>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rPr>
              <w:t>钙热还原渣</w:t>
            </w:r>
            <w:r>
              <w:rPr>
                <w:rFonts w:hint="eastAsia" w:ascii="宋体"/>
                <w:sz w:val="18"/>
                <w:lang w:eastAsia="zh-CN"/>
              </w:rPr>
              <w:t>（如铽钙渣、</w:t>
            </w:r>
            <w:r>
              <w:rPr>
                <w:rFonts w:hint="eastAsia" w:ascii="宋体"/>
                <w:sz w:val="18"/>
              </w:rPr>
              <w:t>镝钙渣</w:t>
            </w:r>
            <w:r>
              <w:rPr>
                <w:rFonts w:hint="eastAsia" w:ascii="宋体"/>
                <w:sz w:val="18"/>
                <w:lang w:eastAsia="zh-CN"/>
              </w:rPr>
              <w:t>）</w:t>
            </w:r>
          </w:p>
        </w:tc>
        <w:tc>
          <w:tcPr>
            <w:tcW w:w="3311"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default" w:ascii="宋体"/>
                <w:sz w:val="18"/>
                <w:lang w:val="en-US"/>
              </w:rPr>
            </w:pPr>
            <w:r>
              <w:rPr>
                <w:rFonts w:hint="eastAsia" w:ascii="宋体"/>
                <w:sz w:val="18"/>
              </w:rPr>
              <w:t>CaF</w:t>
            </w:r>
            <w:r>
              <w:rPr>
                <w:rFonts w:hint="eastAsia" w:ascii="宋体"/>
                <w:sz w:val="18"/>
                <w:vertAlign w:val="subscript"/>
              </w:rPr>
              <w:t>2</w:t>
            </w:r>
            <w:r>
              <w:rPr>
                <w:rFonts w:hint="eastAsia" w:ascii="宋体"/>
                <w:sz w:val="18"/>
              </w:rPr>
              <w:t>、少量</w:t>
            </w:r>
            <w:r>
              <w:rPr>
                <w:rFonts w:hint="eastAsia" w:ascii="宋体"/>
                <w:sz w:val="18"/>
                <w:lang w:val="en-US" w:eastAsia="zh-CN"/>
              </w:rPr>
              <w:t>RE、CaCO</w:t>
            </w:r>
            <w:r>
              <w:rPr>
                <w:rFonts w:hint="eastAsia" w:ascii="宋体"/>
                <w:sz w:val="18"/>
                <w:vertAlign w:val="subscript"/>
                <w:lang w:val="en-US" w:eastAsia="zh-CN"/>
              </w:rPr>
              <w:t>3</w:t>
            </w:r>
          </w:p>
        </w:tc>
        <w:tc>
          <w:tcPr>
            <w:tcW w:w="3004" w:type="dxa"/>
            <w:tcBorders>
              <w:top w:val="single" w:color="000000" w:sz="4" w:space="0"/>
              <w:left w:val="single" w:color="000000" w:sz="4" w:space="0"/>
              <w:bottom w:val="single" w:color="000000" w:sz="4" w:space="0"/>
              <w:right w:val="single" w:color="000000" w:sz="12" w:space="0"/>
            </w:tcBorders>
            <w:noWrap w:val="0"/>
            <w:vAlign w:val="center"/>
          </w:tcPr>
          <w:p>
            <w:pPr>
              <w:pStyle w:val="11"/>
              <w:jc w:val="center"/>
              <w:rPr>
                <w:rFonts w:ascii="宋体"/>
                <w:sz w:val="18"/>
              </w:rPr>
            </w:pPr>
            <w:r>
              <w:rPr>
                <w:rFonts w:hint="eastAsia" w:ascii="宋体"/>
                <w:sz w:val="18"/>
                <w:lang w:val="en-US" w:eastAsia="zh-CN"/>
              </w:rPr>
              <w:t>0.5</w:t>
            </w:r>
            <w:r>
              <w:rPr>
                <w:rFonts w:hint="eastAsia" w:ascii="宋体"/>
                <w:sz w:val="18"/>
              </w:rPr>
              <w:t>%</w:t>
            </w:r>
            <w:r>
              <w:rPr>
                <w:rFonts w:hint="eastAsia" w:ascii="微软雅黑" w:hAnsi="微软雅黑" w:eastAsia="微软雅黑" w:cs="微软雅黑"/>
                <w:sz w:val="18"/>
                <w:szCs w:val="18"/>
              </w:rPr>
              <w:t>~</w:t>
            </w:r>
            <w:r>
              <w:rPr>
                <w:rFonts w:hint="eastAsia" w:ascii="宋体" w:eastAsia="微软雅黑"/>
                <w:sz w:val="18"/>
                <w:lang w:val="en-US" w:eastAsia="zh-CN"/>
              </w:rPr>
              <w:t>4</w:t>
            </w:r>
            <w:r>
              <w:rPr>
                <w:rFonts w:hint="eastAsia" w:asci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11"/>
              <w:jc w:val="center"/>
              <w:rPr>
                <w:rFonts w:hint="eastAsia" w:ascii="宋体"/>
                <w:sz w:val="18"/>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lang w:eastAsia="zh-CN"/>
              </w:rPr>
              <w:t>穿炉料</w:t>
            </w:r>
          </w:p>
        </w:tc>
        <w:tc>
          <w:tcPr>
            <w:tcW w:w="3311" w:type="dxa"/>
            <w:tcBorders>
              <w:top w:val="single" w:color="000000" w:sz="4" w:space="0"/>
              <w:left w:val="single" w:color="000000" w:sz="4" w:space="0"/>
              <w:bottom w:val="single" w:color="000000" w:sz="4" w:space="0"/>
              <w:right w:val="single" w:color="000000" w:sz="4" w:space="0"/>
            </w:tcBorders>
            <w:noWrap w:val="0"/>
            <w:vAlign w:val="top"/>
          </w:tcPr>
          <w:p>
            <w:pPr>
              <w:pStyle w:val="11"/>
              <w:jc w:val="center"/>
              <w:rPr>
                <w:rFonts w:hint="default" w:ascii="宋体" w:eastAsia="宋体"/>
                <w:sz w:val="18"/>
                <w:lang w:val="en-US" w:eastAsia="zh-CN"/>
              </w:rPr>
            </w:pPr>
            <w:r>
              <w:rPr>
                <w:rFonts w:hint="eastAsia" w:ascii="宋体"/>
                <w:sz w:val="18"/>
              </w:rPr>
              <w:t>REF</w:t>
            </w:r>
            <w:r>
              <w:rPr>
                <w:rFonts w:hint="eastAsia" w:ascii="宋体"/>
                <w:sz w:val="18"/>
                <w:vertAlign w:val="subscript"/>
                <w:lang w:val="en-US" w:eastAsia="zh-CN"/>
              </w:rPr>
              <w:t>3</w:t>
            </w:r>
            <w:r>
              <w:rPr>
                <w:rFonts w:hint="eastAsia" w:ascii="宋体"/>
                <w:sz w:val="18"/>
              </w:rPr>
              <w:t>、RE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lang w:val="en-US" w:eastAsia="zh-CN"/>
              </w:rPr>
              <w:t>、RE</w:t>
            </w:r>
          </w:p>
        </w:tc>
        <w:tc>
          <w:tcPr>
            <w:tcW w:w="3004" w:type="dxa"/>
            <w:tcBorders>
              <w:top w:val="single" w:color="000000" w:sz="4" w:space="0"/>
              <w:left w:val="single" w:color="000000" w:sz="4" w:space="0"/>
              <w:bottom w:val="single" w:color="000000" w:sz="4" w:space="0"/>
              <w:right w:val="single" w:color="000000" w:sz="12" w:space="0"/>
            </w:tcBorders>
            <w:noWrap w:val="0"/>
            <w:vAlign w:val="top"/>
          </w:tcPr>
          <w:p>
            <w:pPr>
              <w:pStyle w:val="11"/>
              <w:jc w:val="center"/>
              <w:rPr>
                <w:rFonts w:hint="default" w:ascii="宋体" w:eastAsia="宋体"/>
                <w:sz w:val="18"/>
                <w:lang w:val="en-US" w:eastAsia="zh-CN"/>
              </w:rPr>
            </w:pPr>
            <w:r>
              <w:rPr>
                <w:rFonts w:hint="eastAsia" w:ascii="宋体"/>
                <w:sz w:val="18"/>
                <w:lang w:val="en-US" w:eastAsia="zh-CN"/>
              </w:rPr>
              <w:t>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1" w:type="dxa"/>
            <w:vMerge w:val="continue"/>
            <w:tcBorders>
              <w:top w:val="single" w:color="000000" w:sz="4" w:space="0"/>
              <w:left w:val="single" w:color="000000" w:sz="12" w:space="0"/>
              <w:bottom w:val="single" w:color="000000" w:sz="12" w:space="0"/>
              <w:right w:val="single" w:color="000000" w:sz="4" w:space="0"/>
            </w:tcBorders>
            <w:noWrap w:val="0"/>
            <w:vAlign w:val="top"/>
          </w:tcPr>
          <w:p>
            <w:pPr>
              <w:pStyle w:val="11"/>
              <w:jc w:val="center"/>
              <w:rPr>
                <w:rFonts w:hint="eastAsia" w:ascii="宋体" w:eastAsia="宋体"/>
                <w:sz w:val="18"/>
                <w:lang w:eastAsia="zh-CN"/>
              </w:rPr>
            </w:pPr>
          </w:p>
        </w:tc>
        <w:tc>
          <w:tcPr>
            <w:tcW w:w="1837" w:type="dxa"/>
            <w:tcBorders>
              <w:top w:val="single" w:color="000000" w:sz="4" w:space="0"/>
              <w:left w:val="single" w:color="000000" w:sz="4" w:space="0"/>
              <w:bottom w:val="single" w:color="000000" w:sz="12" w:space="0"/>
              <w:right w:val="single" w:color="000000" w:sz="4" w:space="0"/>
            </w:tcBorders>
            <w:noWrap w:val="0"/>
            <w:vAlign w:val="center"/>
          </w:tcPr>
          <w:p>
            <w:pPr>
              <w:pStyle w:val="11"/>
              <w:jc w:val="center"/>
              <w:rPr>
                <w:rFonts w:hint="eastAsia" w:ascii="宋体" w:eastAsia="宋体"/>
                <w:sz w:val="18"/>
                <w:lang w:eastAsia="zh-CN"/>
              </w:rPr>
            </w:pPr>
            <w:r>
              <w:rPr>
                <w:rFonts w:hint="eastAsia" w:ascii="宋体"/>
                <w:sz w:val="18"/>
                <w:lang w:eastAsia="zh-CN"/>
              </w:rPr>
              <w:t>其他</w:t>
            </w:r>
          </w:p>
        </w:tc>
        <w:tc>
          <w:tcPr>
            <w:tcW w:w="3311" w:type="dxa"/>
            <w:tcBorders>
              <w:top w:val="single" w:color="000000" w:sz="4" w:space="0"/>
              <w:left w:val="single" w:color="000000" w:sz="4" w:space="0"/>
              <w:bottom w:val="single" w:color="000000" w:sz="12" w:space="0"/>
              <w:right w:val="single" w:color="000000" w:sz="4" w:space="0"/>
            </w:tcBorders>
            <w:noWrap w:val="0"/>
            <w:vAlign w:val="top"/>
          </w:tcPr>
          <w:p>
            <w:pPr>
              <w:pStyle w:val="11"/>
              <w:jc w:val="center"/>
              <w:rPr>
                <w:rFonts w:hint="eastAsia" w:ascii="宋体" w:eastAsia="宋体"/>
                <w:sz w:val="18"/>
                <w:lang w:eastAsia="zh-CN"/>
              </w:rPr>
            </w:pPr>
            <w:r>
              <w:rPr>
                <w:rFonts w:hint="eastAsia" w:ascii="宋体"/>
                <w:sz w:val="18"/>
              </w:rPr>
              <w:t>REF</w:t>
            </w:r>
            <w:r>
              <w:rPr>
                <w:rFonts w:hint="eastAsia" w:ascii="宋体"/>
                <w:sz w:val="18"/>
                <w:vertAlign w:val="subscript"/>
                <w:lang w:val="en-US" w:eastAsia="zh-CN"/>
              </w:rPr>
              <w:t>3</w:t>
            </w:r>
            <w:r>
              <w:rPr>
                <w:rFonts w:hint="eastAsia" w:ascii="宋体"/>
                <w:sz w:val="18"/>
              </w:rPr>
              <w:t>、RE</w:t>
            </w:r>
            <w:r>
              <w:rPr>
                <w:rFonts w:hint="eastAsia" w:ascii="宋体"/>
                <w:sz w:val="18"/>
                <w:vertAlign w:val="subscript"/>
              </w:rPr>
              <w:t>x</w:t>
            </w:r>
            <w:r>
              <w:rPr>
                <w:rFonts w:hint="eastAsia" w:ascii="宋体"/>
                <w:sz w:val="18"/>
              </w:rPr>
              <w:t>O</w:t>
            </w:r>
            <w:r>
              <w:rPr>
                <w:rFonts w:hint="eastAsia" w:ascii="宋体"/>
                <w:sz w:val="18"/>
                <w:vertAlign w:val="subscript"/>
              </w:rPr>
              <w:t>y</w:t>
            </w:r>
            <w:r>
              <w:rPr>
                <w:rFonts w:hint="eastAsia" w:ascii="宋体"/>
                <w:sz w:val="18"/>
              </w:rPr>
              <w:t>、RE</w:t>
            </w:r>
          </w:p>
        </w:tc>
        <w:tc>
          <w:tcPr>
            <w:tcW w:w="3004" w:type="dxa"/>
            <w:tcBorders>
              <w:top w:val="single" w:color="000000" w:sz="4" w:space="0"/>
              <w:left w:val="single" w:color="000000" w:sz="4" w:space="0"/>
              <w:bottom w:val="single" w:color="000000" w:sz="12" w:space="0"/>
              <w:right w:val="single" w:color="000000" w:sz="12" w:space="0"/>
            </w:tcBorders>
            <w:noWrap w:val="0"/>
            <w:vAlign w:val="top"/>
          </w:tcPr>
          <w:p>
            <w:pPr>
              <w:pStyle w:val="11"/>
              <w:jc w:val="center"/>
              <w:rPr>
                <w:rFonts w:hint="eastAsia" w:ascii="宋体"/>
                <w:sz w:val="18"/>
              </w:rPr>
            </w:pPr>
            <w:r>
              <w:rPr>
                <w:rFonts w:hint="eastAsia" w:ascii="宋体"/>
                <w:sz w:val="18"/>
              </w:rPr>
              <w:t>5%</w:t>
            </w:r>
            <w:r>
              <w:rPr>
                <w:rFonts w:hint="eastAsia" w:ascii="微软雅黑" w:hAnsi="微软雅黑" w:eastAsia="微软雅黑" w:cs="微软雅黑"/>
                <w:sz w:val="18"/>
                <w:szCs w:val="18"/>
              </w:rPr>
              <w:t>~</w:t>
            </w:r>
            <w:r>
              <w:rPr>
                <w:rFonts w:hint="eastAsia" w:ascii="宋体"/>
                <w:sz w:val="18"/>
                <w:lang w:val="en-US" w:eastAsia="zh-CN"/>
              </w:rPr>
              <w:t>3</w:t>
            </w:r>
            <w:r>
              <w:rPr>
                <w:rFonts w:hint="eastAsia" w:ascii="宋体"/>
                <w:sz w:val="18"/>
              </w:rPr>
              <w:t>0%</w:t>
            </w:r>
          </w:p>
        </w:tc>
      </w:tr>
    </w:tbl>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  化学成分</w:t>
      </w:r>
    </w:p>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.3.1  稀土</w:t>
      </w:r>
      <w:r>
        <w:rPr>
          <w:rFonts w:hint="eastAsia"/>
          <w:szCs w:val="22"/>
          <w:lang w:val="en-US" w:eastAsia="zh-CN"/>
        </w:rPr>
        <w:t>元素</w:t>
      </w:r>
      <w:r>
        <w:rPr>
          <w:rFonts w:hint="eastAsia"/>
          <w:szCs w:val="22"/>
        </w:rPr>
        <w:t>组成</w:t>
      </w:r>
    </w:p>
    <w:p>
      <w:pPr>
        <w:adjustRightInd w:val="0"/>
        <w:snapToGrid w:val="0"/>
        <w:spacing w:line="360" w:lineRule="exact"/>
        <w:ind w:firstLine="525" w:firstLineChars="250"/>
        <w:rPr>
          <w:rFonts w:hint="eastAsia" w:ascii="宋体" w:hAnsi="宋体" w:eastAsia="宋体"/>
          <w:lang w:eastAsia="zh-CN"/>
        </w:rPr>
      </w:pPr>
      <w:r>
        <w:rPr>
          <w:rFonts w:hint="eastAsia" w:hAnsi="Times New Roman" w:cs="Times New Roman"/>
          <w:szCs w:val="20"/>
          <w:lang w:eastAsia="zh-CN"/>
        </w:rPr>
        <w:t>稀土火法冶炼回收料</w:t>
      </w:r>
      <w:r>
        <w:rPr>
          <w:rFonts w:hint="eastAsia" w:ascii="宋体" w:hAnsi="宋体"/>
        </w:rPr>
        <w:t>包含一种或多种稀土元素，所含稀土总量范围为</w:t>
      </w:r>
      <w:r>
        <w:rPr>
          <w:rFonts w:hint="eastAsia" w:ascii="宋体" w:hAnsi="宋体"/>
          <w:lang w:val="en-US" w:eastAsia="zh-CN"/>
        </w:rPr>
        <w:t>0.5</w:t>
      </w:r>
      <w:r>
        <w:rPr>
          <w:rFonts w:hint="eastAsia" w:ascii="宋体" w:hAnsi="宋体"/>
        </w:rPr>
        <w:t>%</w:t>
      </w:r>
      <w:r>
        <w:rPr>
          <w:rFonts w:hint="eastAsia" w:ascii="微软雅黑" w:hAnsi="微软雅黑" w:eastAsia="微软雅黑" w:cs="微软雅黑"/>
          <w:sz w:val="18"/>
          <w:szCs w:val="18"/>
        </w:rPr>
        <w:t>~</w:t>
      </w:r>
      <w:r>
        <w:rPr>
          <w:rFonts w:hint="eastAsia" w:ascii="宋体" w:hAnsi="宋体"/>
        </w:rPr>
        <w:t>99%</w:t>
      </w:r>
      <w:r>
        <w:rPr>
          <w:rFonts w:hint="eastAsia" w:ascii="宋体" w:hAnsi="宋体"/>
          <w:lang w:eastAsia="zh-CN"/>
        </w:rPr>
        <w:t>。以电解或还原金属类别为稀土配分的主体元素范围为</w:t>
      </w:r>
      <w:r>
        <w:rPr>
          <w:rFonts w:hint="eastAsia" w:ascii="宋体" w:hAnsi="宋体"/>
          <w:lang w:val="en-US" w:eastAsia="zh-CN"/>
        </w:rPr>
        <w:t>0%</w:t>
      </w:r>
      <w:r>
        <w:rPr>
          <w:rFonts w:hint="eastAsia" w:ascii="微软雅黑" w:hAnsi="微软雅黑" w:eastAsia="微软雅黑" w:cs="微软雅黑"/>
          <w:sz w:val="18"/>
          <w:szCs w:val="18"/>
        </w:rPr>
        <w:t>~</w:t>
      </w:r>
      <w:r>
        <w:rPr>
          <w:rFonts w:hint="eastAsia" w:ascii="宋体" w:hAnsi="宋体"/>
        </w:rPr>
        <w:t>99%</w:t>
      </w:r>
      <w:r>
        <w:rPr>
          <w:rFonts w:hint="eastAsia" w:ascii="宋体" w:hAnsi="宋体"/>
          <w:lang w:eastAsia="zh-CN"/>
        </w:rPr>
        <w:t>。</w:t>
      </w:r>
    </w:p>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.3.2  非稀土元素的基本组成</w:t>
      </w:r>
    </w:p>
    <w:p>
      <w:pPr>
        <w:adjustRightInd w:val="0"/>
        <w:snapToGrid w:val="0"/>
        <w:spacing w:line="360" w:lineRule="exact"/>
        <w:ind w:firstLine="525" w:firstLineChars="250"/>
        <w:rPr>
          <w:rFonts w:hint="eastAsia" w:ascii="宋体" w:hAnsi="宋体"/>
        </w:rPr>
      </w:pPr>
      <w:r>
        <w:rPr>
          <w:rFonts w:hint="eastAsia" w:hAnsi="Times New Roman" w:cs="Times New Roman"/>
          <w:szCs w:val="20"/>
          <w:lang w:eastAsia="zh-CN"/>
        </w:rPr>
        <w:t>稀土火法冶炼回收料</w:t>
      </w:r>
      <w:r>
        <w:rPr>
          <w:rFonts w:hint="eastAsia" w:ascii="宋体" w:hAnsi="宋体"/>
        </w:rPr>
        <w:t>中非稀土元素</w:t>
      </w:r>
      <w:r>
        <w:rPr>
          <w:rFonts w:hint="eastAsia" w:ascii="宋体" w:hAnsi="宋体"/>
          <w:lang w:eastAsia="zh-CN"/>
        </w:rPr>
        <w:t>的含量因工艺引入杂质的来源不同，有所差异，</w:t>
      </w:r>
      <w:r>
        <w:rPr>
          <w:rFonts w:hint="eastAsia" w:ascii="宋体" w:hAnsi="宋体"/>
        </w:rPr>
        <w:t>基本组成见</w:t>
      </w:r>
      <w:r>
        <w:rPr>
          <w:rFonts w:ascii="宋体" w:hAnsi="宋体"/>
        </w:rPr>
        <w:t>表</w:t>
      </w:r>
      <w:r>
        <w:rPr>
          <w:rFonts w:hint="eastAsia" w:ascii="宋体" w:hAnsi="宋体"/>
        </w:rPr>
        <w:t>2。</w:t>
      </w:r>
    </w:p>
    <w:p>
      <w:pPr>
        <w:spacing w:line="400" w:lineRule="exact"/>
        <w:jc w:val="center"/>
        <w:textAlignment w:val="baseline"/>
        <w:rPr>
          <w:rFonts w:hint="eastAsia" w:ascii="黑体" w:hAnsi="黑体" w:eastAsia="黑体"/>
        </w:rPr>
      </w:pPr>
      <w:r>
        <w:rPr>
          <w:rFonts w:hint="eastAsia" w:ascii="黑体" w:hAnsi="黑体" w:eastAsia="黑体"/>
        </w:rPr>
        <w:t>表2 稀土火法冶炼回收料中非稀土元素的基本组成</w:t>
      </w:r>
    </w:p>
    <w:tbl>
      <w:tblPr>
        <w:tblStyle w:val="6"/>
        <w:tblW w:w="111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6"/>
        <w:gridCol w:w="1433"/>
        <w:gridCol w:w="992"/>
        <w:gridCol w:w="1025"/>
        <w:gridCol w:w="819"/>
        <w:gridCol w:w="1009"/>
        <w:gridCol w:w="1077"/>
        <w:gridCol w:w="791"/>
        <w:gridCol w:w="682"/>
        <w:gridCol w:w="703"/>
        <w:gridCol w:w="703"/>
        <w:gridCol w:w="703"/>
        <w:gridCol w:w="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556" w:type="dxa"/>
            <w:vMerge w:val="restart"/>
            <w:tcBorders>
              <w:top w:val="single" w:color="auto" w:sz="12" w:space="0"/>
              <w:right w:val="single" w:color="auto" w:sz="4" w:space="0"/>
            </w:tcBorders>
            <w:noWrap w:val="0"/>
            <w:vAlign w:val="center"/>
          </w:tcPr>
          <w:p>
            <w:pPr>
              <w:pStyle w:val="5"/>
              <w:ind w:firstLine="0" w:firstLineChars="0"/>
              <w:jc w:val="center"/>
              <w:rPr>
                <w:rFonts w:hint="eastAsia" w:ascii="宋体" w:hAnsi="宋体" w:eastAsia="宋体"/>
                <w:sz w:val="18"/>
                <w:szCs w:val="18"/>
                <w:lang w:eastAsia="zh-CN"/>
              </w:rPr>
            </w:pPr>
            <w:r>
              <w:rPr>
                <w:rFonts w:hint="eastAsia" w:ascii="宋体" w:hAnsi="宋体"/>
                <w:sz w:val="18"/>
                <w:szCs w:val="18"/>
                <w:lang w:eastAsia="zh-CN"/>
              </w:rPr>
              <w:t>分类</w:t>
            </w:r>
          </w:p>
        </w:tc>
        <w:tc>
          <w:tcPr>
            <w:tcW w:w="1433" w:type="dxa"/>
            <w:vMerge w:val="restart"/>
            <w:tcBorders>
              <w:top w:val="single" w:color="auto" w:sz="12" w:space="0"/>
              <w:left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eastAsia="zh-CN"/>
              </w:rPr>
            </w:pPr>
            <w:r>
              <w:rPr>
                <w:rFonts w:hint="eastAsia" w:ascii="宋体" w:hAnsi="宋体"/>
                <w:sz w:val="18"/>
                <w:szCs w:val="18"/>
                <w:lang w:eastAsia="zh-CN"/>
              </w:rPr>
              <w:t>品名</w:t>
            </w:r>
          </w:p>
        </w:tc>
        <w:tc>
          <w:tcPr>
            <w:tcW w:w="9207" w:type="dxa"/>
            <w:gridSpan w:val="11"/>
            <w:tcBorders>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lang w:eastAsia="zh-CN"/>
              </w:rPr>
              <w:t>非稀土元素组成范围（质量分数）</w:t>
            </w:r>
            <w:r>
              <w:rPr>
                <w:rFonts w:hint="eastAsia" w:ascii="宋体" w:hAnsi="宋体"/>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 w:hRule="atLeast"/>
          <w:jc w:val="center"/>
        </w:trPr>
        <w:tc>
          <w:tcPr>
            <w:tcW w:w="556" w:type="dxa"/>
            <w:vMerge w:val="continue"/>
            <w:tcBorders>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lang w:eastAsia="zh-CN"/>
              </w:rPr>
            </w:pPr>
          </w:p>
        </w:tc>
        <w:tc>
          <w:tcPr>
            <w:tcW w:w="1433" w:type="dxa"/>
            <w:vMerge w:val="continue"/>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lang w:eastAsia="zh-CN"/>
              </w:rPr>
            </w:pPr>
          </w:p>
        </w:tc>
        <w:tc>
          <w:tcPr>
            <w:tcW w:w="992"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kern w:val="2"/>
                <w:sz w:val="18"/>
                <w:szCs w:val="18"/>
                <w:lang w:val="en-US" w:eastAsia="zh-CN" w:bidi="ar-SA"/>
              </w:rPr>
            </w:pPr>
            <w:r>
              <w:rPr>
                <w:rFonts w:hint="eastAsia" w:ascii="宋体" w:hAnsi="宋体"/>
                <w:sz w:val="18"/>
                <w:szCs w:val="18"/>
              </w:rPr>
              <w:t>F</w:t>
            </w:r>
          </w:p>
        </w:tc>
        <w:tc>
          <w:tcPr>
            <w:tcW w:w="1025"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kern w:val="2"/>
                <w:sz w:val="18"/>
                <w:szCs w:val="18"/>
                <w:lang w:val="en-US" w:eastAsia="zh-CN" w:bidi="ar-SA"/>
              </w:rPr>
            </w:pPr>
            <w:r>
              <w:rPr>
                <w:rFonts w:hint="eastAsia" w:ascii="宋体" w:hAnsi="宋体"/>
                <w:sz w:val="18"/>
                <w:szCs w:val="18"/>
              </w:rPr>
              <w:t>Al</w:t>
            </w:r>
          </w:p>
        </w:tc>
        <w:tc>
          <w:tcPr>
            <w:tcW w:w="819"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color w:val="FF0000"/>
                <w:kern w:val="2"/>
                <w:sz w:val="18"/>
                <w:szCs w:val="18"/>
                <w:highlight w:val="yellow"/>
                <w:lang w:val="en-US" w:eastAsia="zh-CN" w:bidi="ar-SA"/>
              </w:rPr>
            </w:pPr>
            <w:r>
              <w:rPr>
                <w:rFonts w:hint="eastAsia" w:ascii="宋体" w:hAnsi="宋体"/>
                <w:sz w:val="18"/>
                <w:szCs w:val="18"/>
              </w:rPr>
              <w:t>Fe</w:t>
            </w:r>
          </w:p>
        </w:tc>
        <w:tc>
          <w:tcPr>
            <w:tcW w:w="1009"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color w:val="FF0000"/>
                <w:kern w:val="2"/>
                <w:sz w:val="18"/>
                <w:szCs w:val="18"/>
                <w:highlight w:val="yellow"/>
                <w:lang w:val="en-US" w:eastAsia="zh-CN" w:bidi="ar-SA"/>
              </w:rPr>
            </w:pPr>
            <w:r>
              <w:rPr>
                <w:rFonts w:hint="eastAsia" w:ascii="宋体" w:hAnsi="宋体"/>
                <w:sz w:val="18"/>
                <w:szCs w:val="18"/>
              </w:rPr>
              <w:t>Si</w:t>
            </w:r>
          </w:p>
        </w:tc>
        <w:tc>
          <w:tcPr>
            <w:tcW w:w="1077"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kern w:val="2"/>
                <w:sz w:val="21"/>
                <w:szCs w:val="24"/>
                <w:lang w:val="en-US" w:eastAsia="zh-CN" w:bidi="ar-SA"/>
              </w:rPr>
            </w:pPr>
            <w:r>
              <w:rPr>
                <w:rFonts w:hint="eastAsia" w:ascii="宋体" w:hAnsi="宋体"/>
                <w:sz w:val="18"/>
                <w:szCs w:val="18"/>
              </w:rPr>
              <w:t>Ca</w:t>
            </w:r>
          </w:p>
        </w:tc>
        <w:tc>
          <w:tcPr>
            <w:tcW w:w="791"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kern w:val="2"/>
                <w:sz w:val="18"/>
                <w:szCs w:val="18"/>
                <w:lang w:val="en-US" w:eastAsia="zh-CN" w:bidi="ar-SA"/>
              </w:rPr>
            </w:pPr>
            <w:r>
              <w:rPr>
                <w:rFonts w:hint="eastAsia" w:ascii="宋体" w:hAnsi="宋体"/>
                <w:sz w:val="18"/>
                <w:szCs w:val="18"/>
                <w:lang w:val="en-US" w:eastAsia="zh-CN"/>
              </w:rPr>
              <w:t>Mg</w:t>
            </w:r>
          </w:p>
        </w:tc>
        <w:tc>
          <w:tcPr>
            <w:tcW w:w="682" w:type="dxa"/>
            <w:tcBorders>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kern w:val="2"/>
                <w:sz w:val="18"/>
                <w:szCs w:val="18"/>
                <w:lang w:val="en-US" w:eastAsia="zh-CN" w:bidi="ar-SA"/>
              </w:rPr>
            </w:pPr>
            <w:r>
              <w:rPr>
                <w:rFonts w:hint="eastAsia" w:ascii="宋体" w:hAnsi="宋体"/>
                <w:sz w:val="18"/>
                <w:szCs w:val="18"/>
              </w:rPr>
              <w:t>Li</w:t>
            </w:r>
          </w:p>
        </w:tc>
        <w:tc>
          <w:tcPr>
            <w:tcW w:w="703" w:type="dxa"/>
            <w:tcBorders>
              <w:left w:val="single" w:color="auto" w:sz="4" w:space="0"/>
              <w:bottom w:val="single" w:color="auto" w:sz="4" w:space="0"/>
            </w:tcBorders>
            <w:noWrap w:val="0"/>
            <w:vAlign w:val="center"/>
          </w:tcPr>
          <w:p>
            <w:pPr>
              <w:pStyle w:val="5"/>
              <w:ind w:firstLine="0" w:firstLineChars="0"/>
              <w:jc w:val="center"/>
              <w:rPr>
                <w:rFonts w:hint="eastAsia" w:ascii="宋体" w:hAnsi="宋体"/>
                <w:color w:val="FF0000"/>
                <w:kern w:val="2"/>
                <w:sz w:val="18"/>
                <w:szCs w:val="18"/>
                <w:highlight w:val="yellow"/>
                <w:lang w:val="en-US" w:eastAsia="zh-CN" w:bidi="ar-SA"/>
              </w:rPr>
            </w:pPr>
            <w:r>
              <w:rPr>
                <w:rFonts w:hint="eastAsia" w:ascii="宋体" w:hAnsi="宋体"/>
                <w:sz w:val="18"/>
                <w:szCs w:val="18"/>
              </w:rPr>
              <w:t>C</w:t>
            </w:r>
          </w:p>
        </w:tc>
        <w:tc>
          <w:tcPr>
            <w:tcW w:w="703" w:type="dxa"/>
            <w:tcBorders>
              <w:left w:val="single" w:color="auto" w:sz="4" w:space="0"/>
              <w:bottom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Cr</w:t>
            </w:r>
          </w:p>
        </w:tc>
        <w:tc>
          <w:tcPr>
            <w:tcW w:w="703" w:type="dxa"/>
            <w:tcBorders>
              <w:left w:val="single" w:color="auto" w:sz="4" w:space="0"/>
              <w:bottom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Zn</w:t>
            </w:r>
          </w:p>
        </w:tc>
        <w:tc>
          <w:tcPr>
            <w:tcW w:w="703" w:type="dxa"/>
            <w:tcBorders>
              <w:left w:val="single" w:color="auto" w:sz="4" w:space="0"/>
              <w:bottom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Ni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556" w:type="dxa"/>
            <w:tcBorders>
              <w:top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sz w:val="18"/>
                <w:szCs w:val="18"/>
              </w:rPr>
            </w:pPr>
            <w:r>
              <w:rPr>
                <w:rFonts w:hint="eastAsia" w:ascii="宋体" w:hAnsi="宋体" w:eastAsia="宋体"/>
                <w:sz w:val="18"/>
                <w:szCs w:val="18"/>
                <w:lang w:eastAsia="zh-CN"/>
              </w:rPr>
              <w:t>熔盐电解回收料</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eastAsia="zh-CN"/>
              </w:rPr>
            </w:pPr>
            <w:r>
              <w:rPr>
                <w:rFonts w:hint="eastAsia" w:ascii="宋体"/>
                <w:sz w:val="18"/>
                <w:lang w:eastAsia="zh-CN"/>
              </w:rPr>
              <w:t>电解渣、</w:t>
            </w:r>
            <w:r>
              <w:rPr>
                <w:rFonts w:hint="eastAsia" w:ascii="宋体"/>
                <w:sz w:val="18"/>
              </w:rPr>
              <w:t>穿槽泄</w:t>
            </w:r>
            <w:r>
              <w:rPr>
                <w:rFonts w:hint="eastAsia" w:ascii="宋体"/>
                <w:sz w:val="18"/>
                <w:lang w:eastAsia="zh-CN"/>
              </w:rPr>
              <w:t>漏</w:t>
            </w:r>
            <w:r>
              <w:rPr>
                <w:rFonts w:hint="eastAsia" w:ascii="宋体"/>
                <w:sz w:val="18"/>
              </w:rPr>
              <w:t>熔盐（电解槽漏液）</w:t>
            </w:r>
            <w:r>
              <w:rPr>
                <w:rFonts w:hint="eastAsia" w:ascii="宋体"/>
                <w:sz w:val="18"/>
                <w:lang w:eastAsia="zh-CN"/>
              </w:rPr>
              <w:t>、</w:t>
            </w:r>
            <w:r>
              <w:rPr>
                <w:rFonts w:hint="eastAsia"/>
                <w:sz w:val="18"/>
                <w:szCs w:val="18"/>
              </w:rPr>
              <w:t>包装打磨料</w:t>
            </w:r>
            <w:r>
              <w:rPr>
                <w:rFonts w:hint="eastAsia"/>
                <w:sz w:val="18"/>
                <w:szCs w:val="18"/>
                <w:lang w:eastAsia="zh-CN"/>
              </w:rPr>
              <w:t>（抛光粉）、</w:t>
            </w:r>
            <w:r>
              <w:rPr>
                <w:rFonts w:hint="eastAsia" w:ascii="宋体"/>
                <w:sz w:val="18"/>
                <w:lang w:eastAsia="zh-CN"/>
              </w:rPr>
              <w:t>其他（如扫地灰、回收粉尘）</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3</w:t>
            </w:r>
            <w:r>
              <w:rPr>
                <w:rFonts w:hint="eastAsia" w:ascii="宋体" w:hAnsi="宋体"/>
                <w:sz w:val="18"/>
                <w:szCs w:val="18"/>
                <w:lang w:val="en-US" w:eastAsia="zh-CN"/>
              </w:rPr>
              <w:t>.0</w:t>
            </w:r>
            <w:r>
              <w:rPr>
                <w:rFonts w:hint="eastAsia" w:ascii="微软雅黑" w:hAnsi="微软雅黑" w:eastAsia="微软雅黑" w:cs="微软雅黑"/>
                <w:sz w:val="18"/>
                <w:szCs w:val="18"/>
              </w:rPr>
              <w:t>~</w:t>
            </w:r>
            <w:r>
              <w:rPr>
                <w:rFonts w:hint="eastAsia" w:ascii="宋体" w:hAnsi="宋体"/>
                <w:sz w:val="18"/>
                <w:szCs w:val="18"/>
              </w:rPr>
              <w:t>30</w:t>
            </w:r>
            <w:r>
              <w:rPr>
                <w:rFonts w:hint="eastAsia" w:ascii="宋体" w:hAnsi="宋体"/>
                <w:sz w:val="18"/>
                <w:szCs w:val="18"/>
                <w:lang w:val="en-US" w:eastAsia="zh-CN"/>
              </w:rPr>
              <w:t>.0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FF0000"/>
                <w:sz w:val="18"/>
                <w:szCs w:val="18"/>
                <w:highlight w:val="yellow"/>
              </w:rPr>
            </w:pPr>
            <w:r>
              <w:rPr>
                <w:rFonts w:hint="eastAsia" w:ascii="宋体" w:hAnsi="宋体"/>
                <w:sz w:val="18"/>
                <w:szCs w:val="18"/>
              </w:rPr>
              <w:t>＜0.8</w:t>
            </w:r>
          </w:p>
        </w:tc>
        <w:tc>
          <w:tcPr>
            <w:tcW w:w="81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eastAsia="宋体"/>
                <w:color w:val="FF0000"/>
                <w:sz w:val="18"/>
                <w:szCs w:val="18"/>
                <w:highlight w:val="yellow"/>
                <w:lang w:val="en-US" w:eastAsia="zh-CN"/>
              </w:rPr>
            </w:pPr>
            <w:r>
              <w:rPr>
                <w:rFonts w:hint="eastAsia" w:ascii="宋体" w:hAnsi="宋体"/>
                <w:sz w:val="18"/>
                <w:szCs w:val="18"/>
              </w:rPr>
              <w:t>＜7</w:t>
            </w:r>
            <w:r>
              <w:rPr>
                <w:rFonts w:hint="eastAsia" w:ascii="宋体" w:hAnsi="宋体"/>
                <w:sz w:val="18"/>
                <w:szCs w:val="18"/>
                <w:lang w:val="en-US" w:eastAsia="zh-CN"/>
              </w:rPr>
              <w:t>.0</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color w:val="FF0000"/>
                <w:sz w:val="18"/>
                <w:szCs w:val="18"/>
                <w:highlight w:val="yellow"/>
                <w:lang w:val="en-US"/>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lang w:val="en-US" w:eastAsia="zh-CN"/>
              </w:rPr>
              <w:t>3.0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color w:val="FF0000"/>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p>
        </w:tc>
        <w:tc>
          <w:tcPr>
            <w:tcW w:w="791"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68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＜6</w:t>
            </w:r>
            <w:r>
              <w:rPr>
                <w:rFonts w:hint="eastAsia" w:ascii="宋体" w:hAnsi="宋体"/>
                <w:sz w:val="18"/>
                <w:szCs w:val="18"/>
                <w:lang w:val="en-US" w:eastAsia="zh-CN"/>
              </w:rPr>
              <w:t>.0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default" w:ascii="宋体" w:hAnsi="宋体" w:eastAsia="宋体"/>
                <w:color w:val="FF0000"/>
                <w:sz w:val="18"/>
                <w:szCs w:val="18"/>
                <w:highlight w:val="yellow"/>
                <w:lang w:val="en-US" w:eastAsia="zh-CN"/>
              </w:rPr>
            </w:pPr>
            <w:r>
              <w:rPr>
                <w:rFonts w:hint="eastAsia" w:ascii="宋体" w:hAnsi="宋体"/>
                <w:sz w:val="18"/>
                <w:szCs w:val="18"/>
              </w:rPr>
              <w:t>＜6</w:t>
            </w:r>
            <w:r>
              <w:rPr>
                <w:rFonts w:hint="eastAsia" w:ascii="宋体" w:hAnsi="宋体"/>
                <w:sz w:val="18"/>
                <w:szCs w:val="18"/>
                <w:lang w:val="en-US" w:eastAsia="zh-CN"/>
              </w:rPr>
              <w:t>.0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lang w:eastAsia="zh-CN"/>
              </w:rPr>
              <w:t>＜</w:t>
            </w:r>
            <w:r>
              <w:rPr>
                <w:rFonts w:hint="eastAsia" w:ascii="宋体" w:hAnsi="宋体"/>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556" w:type="dxa"/>
            <w:vMerge w:val="restart"/>
            <w:tcBorders>
              <w:top w:val="single" w:color="auto" w:sz="4" w:space="0"/>
              <w:right w:val="single" w:color="auto" w:sz="4" w:space="0"/>
            </w:tcBorders>
            <w:noWrap w:val="0"/>
            <w:vAlign w:val="center"/>
          </w:tcPr>
          <w:p>
            <w:pPr>
              <w:pStyle w:val="5"/>
              <w:ind w:firstLine="0" w:firstLineChars="0"/>
              <w:jc w:val="center"/>
              <w:rPr>
                <w:rFonts w:ascii="宋体" w:hAnsi="宋体"/>
                <w:sz w:val="18"/>
                <w:szCs w:val="18"/>
              </w:rPr>
            </w:pPr>
            <w:r>
              <w:rPr>
                <w:rFonts w:hint="eastAsia" w:ascii="宋体"/>
                <w:sz w:val="18"/>
              </w:rPr>
              <w:t>热还原回收料</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kern w:val="2"/>
                <w:sz w:val="18"/>
                <w:szCs w:val="18"/>
                <w:lang w:val="en-US" w:eastAsia="zh-CN" w:bidi="ar-SA"/>
              </w:rPr>
            </w:pPr>
            <w:r>
              <w:rPr>
                <w:rFonts w:hint="eastAsia" w:ascii="宋体" w:hAnsi="宋体"/>
                <w:sz w:val="18"/>
                <w:szCs w:val="18"/>
              </w:rPr>
              <w:t>镧热还原渣回收料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81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＜0.05</w:t>
            </w:r>
          </w:p>
        </w:tc>
        <w:tc>
          <w:tcPr>
            <w:tcW w:w="791"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556" w:type="dxa"/>
            <w:vMerge w:val="continue"/>
            <w:tcBorders>
              <w:right w:val="single" w:color="auto" w:sz="4" w:space="0"/>
            </w:tcBorders>
            <w:noWrap w:val="0"/>
            <w:vAlign w:val="center"/>
          </w:tcPr>
          <w:p>
            <w:pPr>
              <w:pStyle w:val="5"/>
              <w:ind w:firstLine="0" w:firstLineChars="0"/>
              <w:jc w:val="center"/>
              <w:rPr>
                <w:rFonts w:ascii="宋体" w:hAnsi="宋体"/>
                <w:sz w:val="18"/>
                <w:szCs w:val="18"/>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kern w:val="2"/>
                <w:sz w:val="18"/>
                <w:szCs w:val="18"/>
                <w:lang w:val="en-US" w:eastAsia="zh-CN" w:bidi="ar-SA"/>
              </w:rPr>
            </w:pPr>
            <w:r>
              <w:rPr>
                <w:rFonts w:hint="eastAsia" w:ascii="宋体" w:hAnsi="宋体"/>
                <w:sz w:val="18"/>
                <w:szCs w:val="18"/>
              </w:rPr>
              <w:t>钙热还原渣回收料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eastAsia="宋体"/>
                <w:sz w:val="18"/>
                <w:szCs w:val="18"/>
                <w:lang w:val="en-US" w:eastAsia="zh-CN"/>
              </w:rPr>
              <w:t>48.0</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sz w:val="18"/>
                <w:szCs w:val="18"/>
                <w:lang w:val="en-US"/>
              </w:rPr>
            </w:pPr>
            <w:r>
              <w:rPr>
                <w:rFonts w:hint="eastAsia" w:ascii="宋体" w:hAnsi="宋体"/>
                <w:sz w:val="18"/>
                <w:szCs w:val="18"/>
              </w:rPr>
              <w:t>＜1</w:t>
            </w:r>
            <w:r>
              <w:rPr>
                <w:rFonts w:hint="eastAsia" w:ascii="宋体" w:hAnsi="宋体"/>
                <w:sz w:val="18"/>
                <w:szCs w:val="18"/>
                <w:lang w:val="en-US" w:eastAsia="zh-CN"/>
              </w:rPr>
              <w:t>.5</w:t>
            </w:r>
          </w:p>
        </w:tc>
        <w:tc>
          <w:tcPr>
            <w:tcW w:w="81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.0</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50.0</w:t>
            </w:r>
          </w:p>
        </w:tc>
        <w:tc>
          <w:tcPr>
            <w:tcW w:w="791"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682"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bottom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556" w:type="dxa"/>
            <w:vMerge w:val="continue"/>
            <w:tcBorders>
              <w:bottom w:val="single" w:color="auto" w:sz="12" w:space="0"/>
              <w:right w:val="single" w:color="auto" w:sz="4" w:space="0"/>
            </w:tcBorders>
            <w:noWrap w:val="0"/>
            <w:vAlign w:val="center"/>
          </w:tcPr>
          <w:p>
            <w:pPr>
              <w:pStyle w:val="5"/>
              <w:ind w:firstLine="0" w:firstLineChars="0"/>
              <w:jc w:val="center"/>
              <w:rPr>
                <w:rFonts w:ascii="宋体" w:hAnsi="宋体"/>
                <w:sz w:val="18"/>
                <w:szCs w:val="18"/>
              </w:rPr>
            </w:pPr>
          </w:p>
        </w:tc>
        <w:tc>
          <w:tcPr>
            <w:tcW w:w="1433" w:type="dxa"/>
            <w:tcBorders>
              <w:top w:val="single" w:color="auto" w:sz="4" w:space="0"/>
              <w:left w:val="single" w:color="auto" w:sz="4" w:space="0"/>
              <w:bottom w:val="single" w:color="auto" w:sz="12" w:space="0"/>
              <w:right w:val="single" w:color="auto" w:sz="4" w:space="0"/>
            </w:tcBorders>
            <w:noWrap w:val="0"/>
            <w:vAlign w:val="center"/>
          </w:tcPr>
          <w:p>
            <w:pPr>
              <w:pStyle w:val="5"/>
              <w:ind w:firstLine="0" w:firstLineChars="0"/>
              <w:jc w:val="center"/>
              <w:rPr>
                <w:rFonts w:hint="eastAsia" w:ascii="宋体" w:hAnsi="宋体"/>
                <w:sz w:val="18"/>
                <w:szCs w:val="18"/>
              </w:rPr>
            </w:pPr>
            <w:r>
              <w:rPr>
                <w:rFonts w:hint="eastAsia" w:ascii="宋体" w:hAnsi="宋体"/>
                <w:sz w:val="18"/>
                <w:szCs w:val="18"/>
                <w:lang w:eastAsia="zh-CN"/>
              </w:rPr>
              <w:t>穿炉料、其他</w:t>
            </w:r>
          </w:p>
        </w:tc>
        <w:tc>
          <w:tcPr>
            <w:tcW w:w="992"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eastAsia" w:ascii="宋体" w:hAnsi="宋体" w:eastAsia="宋体" w:cs="Times New Roman"/>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1</w:t>
            </w:r>
            <w:r>
              <w:rPr>
                <w:rFonts w:hint="eastAsia" w:ascii="宋体" w:hAnsi="宋体"/>
                <w:sz w:val="18"/>
                <w:szCs w:val="18"/>
              </w:rPr>
              <w:t>0</w:t>
            </w:r>
            <w:r>
              <w:rPr>
                <w:rFonts w:hint="eastAsia" w:ascii="宋体" w:hAnsi="宋体"/>
                <w:sz w:val="18"/>
                <w:szCs w:val="18"/>
                <w:lang w:val="en-US" w:eastAsia="zh-CN"/>
              </w:rPr>
              <w:t>.0</w:t>
            </w:r>
          </w:p>
        </w:tc>
        <w:tc>
          <w:tcPr>
            <w:tcW w:w="1025"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default" w:ascii="宋体" w:hAnsi="宋体" w:eastAsia="宋体" w:cs="Times New Roman"/>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28.0</w:t>
            </w:r>
          </w:p>
        </w:tc>
        <w:tc>
          <w:tcPr>
            <w:tcW w:w="819"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2.0</w:t>
            </w:r>
            <w:r>
              <w:rPr>
                <w:rFonts w:hint="eastAsia" w:ascii="微软雅黑" w:hAnsi="微软雅黑" w:eastAsia="微软雅黑" w:cs="微软雅黑"/>
                <w:sz w:val="18"/>
                <w:szCs w:val="18"/>
              </w:rPr>
              <w:t>~</w:t>
            </w:r>
            <w:r>
              <w:rPr>
                <w:rFonts w:hint="eastAsia" w:ascii="宋体" w:hAnsi="宋体"/>
                <w:sz w:val="18"/>
                <w:szCs w:val="18"/>
                <w:lang w:val="en-US" w:eastAsia="zh-CN"/>
              </w:rPr>
              <w:t>3.0</w:t>
            </w:r>
          </w:p>
        </w:tc>
        <w:tc>
          <w:tcPr>
            <w:tcW w:w="1009"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eastAsia" w:ascii="宋体" w:hAnsi="宋体" w:eastAsia="宋体" w:cs="Times New Roman"/>
                <w:kern w:val="2"/>
                <w:sz w:val="18"/>
                <w:szCs w:val="18"/>
                <w:lang w:val="en-US" w:eastAsia="zh-CN" w:bidi="ar-SA"/>
              </w:rPr>
            </w:pPr>
            <w:r>
              <w:rPr>
                <w:rFonts w:hint="eastAsia" w:ascii="宋体" w:hAnsi="宋体"/>
                <w:sz w:val="18"/>
                <w:szCs w:val="18"/>
              </w:rPr>
              <w:t>＜</w:t>
            </w:r>
            <w:r>
              <w:rPr>
                <w:rFonts w:hint="eastAsia" w:ascii="宋体" w:hAnsi="宋体"/>
                <w:sz w:val="18"/>
                <w:szCs w:val="18"/>
                <w:lang w:val="en-US" w:eastAsia="zh-CN"/>
              </w:rPr>
              <w:t>55.0</w:t>
            </w:r>
          </w:p>
        </w:tc>
        <w:tc>
          <w:tcPr>
            <w:tcW w:w="1077"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default" w:ascii="宋体" w:hAnsi="宋体" w:eastAsia="宋体" w:cs="Times New Roman"/>
                <w:kern w:val="2"/>
                <w:sz w:val="18"/>
                <w:szCs w:val="18"/>
                <w:lang w:val="en-US" w:eastAsia="zh-CN" w:bidi="ar-SA"/>
              </w:rPr>
            </w:pPr>
            <w:r>
              <w:rPr>
                <w:rFonts w:hint="eastAsia" w:ascii="宋体" w:hAnsi="宋体"/>
                <w:sz w:val="18"/>
                <w:szCs w:val="18"/>
              </w:rPr>
              <w:t>0.02</w:t>
            </w:r>
            <w:r>
              <w:rPr>
                <w:rFonts w:hint="eastAsia" w:ascii="微软雅黑" w:hAnsi="微软雅黑" w:eastAsia="微软雅黑" w:cs="微软雅黑"/>
                <w:sz w:val="18"/>
                <w:szCs w:val="18"/>
              </w:rPr>
              <w:t>~</w:t>
            </w:r>
            <w:r>
              <w:rPr>
                <w:rFonts w:hint="eastAsia" w:ascii="宋体" w:hAnsi="宋体"/>
                <w:sz w:val="18"/>
                <w:szCs w:val="18"/>
              </w:rPr>
              <w:t>1</w:t>
            </w:r>
            <w:r>
              <w:rPr>
                <w:rFonts w:hint="eastAsia" w:ascii="宋体" w:hAnsi="宋体"/>
                <w:sz w:val="18"/>
                <w:szCs w:val="18"/>
                <w:lang w:val="en-US" w:eastAsia="zh-CN"/>
              </w:rPr>
              <w:t>.0</w:t>
            </w:r>
          </w:p>
        </w:tc>
        <w:tc>
          <w:tcPr>
            <w:tcW w:w="791"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default" w:ascii="宋体" w:hAnsi="宋体"/>
                <w:sz w:val="18"/>
                <w:szCs w:val="18"/>
                <w:lang w:val="en-US" w:eastAsia="zh-CN"/>
              </w:rPr>
            </w:pPr>
            <w:r>
              <w:rPr>
                <w:rFonts w:hint="eastAsia" w:ascii="宋体" w:hAnsi="宋体"/>
                <w:sz w:val="18"/>
                <w:szCs w:val="18"/>
              </w:rPr>
              <w:t>＜</w:t>
            </w:r>
            <w:r>
              <w:rPr>
                <w:rFonts w:hint="eastAsia" w:ascii="宋体" w:hAnsi="宋体"/>
                <w:sz w:val="18"/>
                <w:szCs w:val="18"/>
                <w:lang w:val="en-US" w:eastAsia="zh-CN"/>
              </w:rPr>
              <w:t>3.0</w:t>
            </w:r>
          </w:p>
        </w:tc>
        <w:tc>
          <w:tcPr>
            <w:tcW w:w="682" w:type="dxa"/>
            <w:tcBorders>
              <w:top w:val="single" w:color="auto" w:sz="4" w:space="0"/>
              <w:left w:val="single" w:color="auto" w:sz="4" w:space="0"/>
              <w:right w:val="single" w:color="auto" w:sz="4" w:space="0"/>
            </w:tcBorders>
            <w:noWrap w:val="0"/>
            <w:vAlign w:val="center"/>
          </w:tcPr>
          <w:p>
            <w:pPr>
              <w:pStyle w:val="5"/>
              <w:ind w:firstLine="0" w:firstLineChars="0"/>
              <w:jc w:val="center"/>
              <w:rPr>
                <w:rFonts w:hint="default" w:ascii="宋体" w:hAnsi="宋体"/>
                <w:sz w:val="18"/>
                <w:szCs w:val="18"/>
                <w:lang w:val="en-US" w:eastAsia="zh-CN"/>
              </w:rPr>
            </w:pPr>
            <w:r>
              <w:rPr>
                <w:rFonts w:hint="eastAsia" w:ascii="宋体" w:hAnsi="宋体"/>
                <w:sz w:val="18"/>
                <w:szCs w:val="18"/>
              </w:rPr>
              <w:t>＜6</w:t>
            </w:r>
            <w:r>
              <w:rPr>
                <w:rFonts w:hint="eastAsia" w:ascii="宋体" w:hAnsi="宋体"/>
                <w:sz w:val="18"/>
                <w:szCs w:val="18"/>
                <w:lang w:val="en-US" w:eastAsia="zh-CN"/>
              </w:rPr>
              <w:t>.0</w:t>
            </w:r>
          </w:p>
        </w:tc>
        <w:tc>
          <w:tcPr>
            <w:tcW w:w="703" w:type="dxa"/>
            <w:tcBorders>
              <w:top w:val="single" w:color="auto" w:sz="4" w:space="0"/>
              <w:left w:val="single" w:color="auto" w:sz="4" w:space="0"/>
            </w:tcBorders>
            <w:noWrap w:val="0"/>
            <w:vAlign w:val="center"/>
          </w:tcPr>
          <w:p>
            <w:pPr>
              <w:pStyle w:val="5"/>
              <w:ind w:firstLine="0" w:firstLineChars="0"/>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6.0</w:t>
            </w:r>
          </w:p>
        </w:tc>
        <w:tc>
          <w:tcPr>
            <w:tcW w:w="703" w:type="dxa"/>
            <w:tcBorders>
              <w:top w:val="single" w:color="auto" w:sz="4" w:space="0"/>
              <w:left w:val="single" w:color="auto" w:sz="4" w:space="0"/>
            </w:tcBorders>
            <w:noWrap w:val="0"/>
            <w:vAlign w:val="center"/>
          </w:tcPr>
          <w:p>
            <w:pPr>
              <w:pStyle w:val="5"/>
              <w:ind w:firstLine="0" w:firstLineChars="0"/>
              <w:jc w:val="center"/>
              <w:rPr>
                <w:rFonts w:hint="eastAsia" w:ascii="宋体" w:hAnsi="宋体"/>
                <w:sz w:val="18"/>
                <w:szCs w:val="18"/>
                <w:lang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tcBorders>
            <w:noWrap w:val="0"/>
            <w:vAlign w:val="center"/>
          </w:tcPr>
          <w:p>
            <w:pPr>
              <w:pStyle w:val="5"/>
              <w:ind w:firstLine="0" w:firstLineChars="0"/>
              <w:jc w:val="center"/>
              <w:rPr>
                <w:rFonts w:hint="eastAsia" w:ascii="宋体" w:hAnsi="宋体"/>
                <w:sz w:val="18"/>
                <w:szCs w:val="18"/>
                <w:lang w:eastAsia="zh-CN"/>
              </w:rPr>
            </w:pPr>
            <w:r>
              <w:rPr>
                <w:rFonts w:hint="eastAsia" w:ascii="宋体" w:hAnsi="宋体"/>
                <w:sz w:val="18"/>
                <w:szCs w:val="18"/>
                <w:lang w:eastAsia="zh-CN"/>
              </w:rPr>
              <w:t>＜</w:t>
            </w:r>
            <w:r>
              <w:rPr>
                <w:rFonts w:hint="eastAsia" w:ascii="宋体" w:hAnsi="宋体"/>
                <w:sz w:val="18"/>
                <w:szCs w:val="18"/>
                <w:lang w:val="en-US" w:eastAsia="zh-CN"/>
              </w:rPr>
              <w:t>0.050</w:t>
            </w:r>
          </w:p>
        </w:tc>
        <w:tc>
          <w:tcPr>
            <w:tcW w:w="703" w:type="dxa"/>
            <w:tcBorders>
              <w:top w:val="single" w:color="auto" w:sz="4" w:space="0"/>
              <w:left w:val="single" w:color="auto" w:sz="4" w:space="0"/>
            </w:tcBorders>
            <w:noWrap w:val="0"/>
            <w:vAlign w:val="center"/>
          </w:tcPr>
          <w:p>
            <w:pPr>
              <w:pStyle w:val="5"/>
              <w:ind w:firstLine="0" w:firstLineChars="0"/>
              <w:jc w:val="center"/>
              <w:rPr>
                <w:rFonts w:hint="eastAsia" w:ascii="宋体" w:hAnsi="宋体"/>
                <w:sz w:val="18"/>
                <w:szCs w:val="18"/>
                <w:lang w:val="en-US" w:eastAsia="zh-CN"/>
              </w:rPr>
            </w:pPr>
            <w:r>
              <w:rPr>
                <w:rFonts w:hint="eastAsia" w:ascii="宋体" w:hAnsi="宋体"/>
                <w:sz w:val="18"/>
                <w:szCs w:val="18"/>
                <w:lang w:eastAsia="zh-CN"/>
              </w:rPr>
              <w:t>＜</w:t>
            </w:r>
            <w:r>
              <w:rPr>
                <w:rFonts w:hint="eastAsia" w:ascii="宋体" w:hAnsi="宋体"/>
                <w:sz w:val="18"/>
                <w:szCs w:val="18"/>
                <w:lang w:val="en-US" w:eastAsia="zh-CN"/>
              </w:rPr>
              <w:t>0.050</w:t>
            </w:r>
          </w:p>
        </w:tc>
      </w:tr>
    </w:tbl>
    <w:p>
      <w:pPr>
        <w:pStyle w:val="14"/>
        <w:numPr>
          <w:ilvl w:val="0"/>
          <w:numId w:val="0"/>
        </w:numPr>
        <w:spacing w:before="157" w:beforeLines="50" w:after="157" w:afterLines="50"/>
        <w:rPr>
          <w:rFonts w:hint="eastAsia"/>
          <w:szCs w:val="22"/>
        </w:rPr>
      </w:pPr>
      <w:r>
        <w:rPr>
          <w:rFonts w:hint="eastAsia"/>
          <w:szCs w:val="22"/>
          <w:lang w:val="en-US" w:eastAsia="zh-CN"/>
        </w:rPr>
        <w:t>3</w:t>
      </w:r>
      <w:r>
        <w:rPr>
          <w:rFonts w:hint="eastAsia"/>
          <w:szCs w:val="22"/>
        </w:rPr>
        <w:t>.2  基本要求</w:t>
      </w:r>
    </w:p>
    <w:p>
      <w:pPr>
        <w:adjustRightInd w:val="0"/>
        <w:snapToGrid w:val="0"/>
        <w:spacing w:line="360" w:lineRule="exact"/>
        <w:ind w:firstLine="525" w:firstLineChars="250"/>
        <w:rPr>
          <w:rFonts w:hint="eastAsia" w:ascii="Times New Roman" w:hAnsi="Times New Roman" w:cs="Times New Roman"/>
          <w:szCs w:val="20"/>
          <w:lang w:val="en-US" w:eastAsia="zh-CN"/>
        </w:rPr>
      </w:pPr>
      <w:r>
        <w:rPr>
          <w:rFonts w:hint="eastAsia" w:ascii="Times New Roman" w:hAnsi="Times New Roman" w:cs="Times New Roman"/>
          <w:szCs w:val="20"/>
          <w:lang w:eastAsia="zh-CN"/>
        </w:rPr>
        <w:t>稀土火法冶炼回收料中不应混有与生产无关的夹杂物。稀土火法冶炼回收单元应按照分类及化学成分对回收料进行分类回收。</w:t>
      </w:r>
    </w:p>
    <w:p>
      <w:pPr>
        <w:widowControl/>
        <w:numPr>
          <w:ilvl w:val="0"/>
          <w:numId w:val="5"/>
        </w:numPr>
        <w:adjustRightInd w:val="0"/>
        <w:snapToGrid w:val="0"/>
        <w:spacing w:beforeLines="50" w:afterLines="50" w:line="360" w:lineRule="auto"/>
        <w:outlineLvl w:val="0"/>
        <w:rPr>
          <w:rFonts w:hint="eastAsia" w:eastAsia="黑体"/>
          <w:sz w:val="24"/>
          <w:szCs w:val="24"/>
        </w:rPr>
      </w:pPr>
      <w:r>
        <w:rPr>
          <w:rFonts w:hint="eastAsia" w:eastAsia="黑体"/>
          <w:sz w:val="24"/>
          <w:szCs w:val="24"/>
        </w:rPr>
        <w:t>标准水平分析</w:t>
      </w:r>
    </w:p>
    <w:p>
      <w:pPr>
        <w:keepNext w:val="0"/>
        <w:keepLines w:val="0"/>
        <w:pageBreakBefore w:val="0"/>
        <w:widowControl/>
        <w:kinsoku/>
        <w:wordWrap/>
        <w:overflowPunct/>
        <w:topLinePunct w:val="0"/>
        <w:autoSpaceDE/>
        <w:autoSpaceDN/>
        <w:bidi w:val="0"/>
        <w:adjustRightInd/>
        <w:snapToGrid/>
        <w:spacing w:beforeLines="50" w:afterLines="50" w:line="360" w:lineRule="auto"/>
        <w:ind w:firstLine="420" w:firstLineChars="200"/>
        <w:textAlignment w:val="auto"/>
        <w:outlineLvl w:val="0"/>
        <w:rPr>
          <w:rFonts w:hint="eastAsia" w:ascii="Times New Roman" w:hAnsi="Times New Roman" w:cs="Times New Roman"/>
        </w:rPr>
      </w:pPr>
      <w:r>
        <w:rPr>
          <w:rFonts w:hint="eastAsia" w:ascii="Times New Roman" w:hAnsi="Times New Roman" w:cs="Times New Roman"/>
        </w:rPr>
        <w:t>随着稀土金属与稀土合金产品大量生产，产生了许多具有稀土元素回收价值的废渣（即回收料），包括稀土金属熔盐电解法产生的电解渣和热还原工艺产生的还原渣。为贯彻落实《国务院关于促进稀土行业持续健康发展的若干意见》要求，针对稀土火法冶炼回收料国内早已形成贸易、回收加工产业链，主要用于稀土元素的回收再利用。为能更好地给产业链供需双方带来方便，促进不可再生矿产资源的回收再利用，拟申请稀土火法冶炼回收料产品标准。该系列标准的建立将进一步完善我国稀土标准体系，同时也为稀土金属及其合金发展解决后顾之忧，对国内、国外该类产品的质量提供一个可借鉴的标准参照。目前尚无国际化标准，不涉及知识产权问题。</w:t>
      </w:r>
    </w:p>
    <w:p>
      <w:pPr>
        <w:widowControl/>
        <w:spacing w:beforeLines="50" w:afterLines="50" w:line="360" w:lineRule="auto"/>
        <w:outlineLvl w:val="0"/>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pStyle w:val="10"/>
        <w:keepNext w:val="0"/>
        <w:keepLines w:val="0"/>
        <w:pageBreakBefore w:val="0"/>
        <w:widowControl/>
        <w:kinsoku/>
        <w:wordWrap/>
        <w:overflowPunct/>
        <w:topLinePunct w:val="0"/>
        <w:autoSpaceDE/>
        <w:autoSpaceDN/>
        <w:bidi w:val="0"/>
        <w:adjustRightInd w:val="0"/>
        <w:snapToGrid w:val="0"/>
        <w:spacing w:beforeLines="50" w:afterLines="50" w:line="360" w:lineRule="auto"/>
        <w:ind w:firstLine="420" w:firstLineChars="200"/>
        <w:jc w:val="left"/>
        <w:textAlignment w:val="auto"/>
        <w:rPr>
          <w:rFonts w:hint="eastAsia" w:hAnsi="宋体" w:cs="宋体"/>
          <w:color w:val="000000"/>
          <w:szCs w:val="21"/>
        </w:rPr>
      </w:pPr>
      <w:r>
        <w:rPr>
          <w:rFonts w:hint="eastAsia" w:hAnsi="宋体"/>
          <w:szCs w:val="21"/>
        </w:rPr>
        <w:t>本</w:t>
      </w:r>
      <w:r>
        <w:rPr>
          <w:rFonts w:hint="eastAsia" w:hAnsi="宋体"/>
          <w:szCs w:val="21"/>
          <w:lang w:eastAsia="zh-CN"/>
        </w:rPr>
        <w:t>文件</w:t>
      </w:r>
      <w:r>
        <w:rPr>
          <w:rFonts w:hint="eastAsia" w:hAnsi="宋体"/>
          <w:szCs w:val="21"/>
        </w:rPr>
        <w:t>与环保法及其他相关法律、法规无冲突，符合相关规定，确定能涵盖其特性及共性的技术内容。</w:t>
      </w:r>
    </w:p>
    <w:p>
      <w:pPr>
        <w:widowControl/>
        <w:spacing w:line="360" w:lineRule="auto"/>
        <w:outlineLvl w:val="0"/>
        <w:rPr>
          <w:rFonts w:hint="eastAsia" w:eastAsia="黑体"/>
          <w:kern w:val="0"/>
          <w:szCs w:val="21"/>
        </w:rPr>
      </w:pPr>
      <w:r>
        <w:rPr>
          <w:rFonts w:hint="eastAsia" w:ascii="黑体" w:hAnsi="黑体" w:eastAsia="黑体" w:cs="黑体"/>
          <w:kern w:val="0"/>
          <w:sz w:val="24"/>
          <w:szCs w:val="24"/>
        </w:rPr>
        <w:t>六、标准中如涉及专利，应有明确的知识产权说明</w:t>
      </w:r>
      <w:r>
        <w:rPr>
          <w:rFonts w:ascii="黑体" w:hAnsi="黑体" w:eastAsia="黑体" w:cs="黑体"/>
          <w:kern w:val="0"/>
          <w:sz w:val="24"/>
          <w:szCs w:val="24"/>
        </w:rPr>
        <w:t xml:space="preserve"> </w:t>
      </w:r>
    </w:p>
    <w:p>
      <w:pPr>
        <w:widowControl/>
        <w:spacing w:before="120" w:line="360" w:lineRule="auto"/>
        <w:ind w:firstLine="420" w:firstLineChars="200"/>
        <w:jc w:val="left"/>
        <w:rPr>
          <w:rFonts w:hint="eastAsia"/>
          <w:szCs w:val="21"/>
        </w:rPr>
      </w:pPr>
      <w:r>
        <w:rPr>
          <w:rFonts w:hint="eastAsia" w:hAnsi="宋体"/>
          <w:szCs w:val="21"/>
        </w:rPr>
        <w:t>本</w:t>
      </w:r>
      <w:r>
        <w:rPr>
          <w:rFonts w:hint="eastAsia" w:hAnsi="宋体"/>
          <w:szCs w:val="21"/>
          <w:lang w:eastAsia="zh-CN"/>
        </w:rPr>
        <w:t>文件</w:t>
      </w:r>
      <w:r>
        <w:rPr>
          <w:rFonts w:hint="eastAsia" w:hAnsi="宋体"/>
          <w:szCs w:val="21"/>
        </w:rPr>
        <w:t>制定过程中，没有检索到专利和知识产权问题。</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w:t>
      </w:r>
      <w:r>
        <w:rPr>
          <w:rFonts w:hint="eastAsia"/>
          <w:kern w:val="0"/>
          <w:szCs w:val="21"/>
          <w:lang w:eastAsia="zh-CN"/>
        </w:rPr>
        <w:t>文件</w:t>
      </w:r>
      <w:r>
        <w:rPr>
          <w:rFonts w:hint="eastAsia"/>
          <w:kern w:val="0"/>
          <w:szCs w:val="21"/>
        </w:rPr>
        <w:t>是根据我国实际生产使用情况制定的，其整体内容达到国际先进水平，建议作为推荐性行业标准来制定。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rPr>
          <w:kern w:val="0"/>
          <w:szCs w:val="21"/>
        </w:rPr>
      </w:pPr>
      <w:r>
        <w:rPr>
          <w:rFonts w:hint="eastAsia"/>
          <w:kern w:val="0"/>
          <w:szCs w:val="21"/>
        </w:rPr>
        <w:t>——组织措施</w:t>
      </w:r>
    </w:p>
    <w:p>
      <w:pPr>
        <w:widowControl/>
        <w:spacing w:line="360" w:lineRule="auto"/>
        <w:rPr>
          <w:kern w:val="0"/>
          <w:szCs w:val="21"/>
        </w:rPr>
      </w:pPr>
      <w:r>
        <w:rPr>
          <w:rFonts w:hint="eastAsia"/>
          <w:kern w:val="0"/>
          <w:szCs w:val="21"/>
          <w:lang w:eastAsia="zh-CN"/>
        </w:rPr>
        <w:t>文件</w:t>
      </w:r>
      <w:r>
        <w:rPr>
          <w:rFonts w:hint="eastAsia"/>
          <w:kern w:val="0"/>
          <w:szCs w:val="21"/>
        </w:rPr>
        <w:t>颁布实施后，需要国家有关部门组织大力宣传和贯彻，使相关企业及相关贸易单位能够主动地解读</w:t>
      </w:r>
      <w:r>
        <w:rPr>
          <w:rFonts w:hint="eastAsia"/>
          <w:kern w:val="0"/>
          <w:szCs w:val="21"/>
          <w:lang w:eastAsia="zh-CN"/>
        </w:rPr>
        <w:t>文件</w:t>
      </w:r>
      <w:r>
        <w:rPr>
          <w:rFonts w:hint="eastAsia"/>
          <w:kern w:val="0"/>
          <w:szCs w:val="21"/>
        </w:rPr>
        <w:t>内容，充分认识和理解制订的</w:t>
      </w:r>
      <w:r>
        <w:rPr>
          <w:rFonts w:hint="eastAsia"/>
          <w:kern w:val="0"/>
          <w:szCs w:val="21"/>
          <w:lang w:eastAsia="zh-CN"/>
        </w:rPr>
        <w:t>文件</w:t>
      </w:r>
      <w:r>
        <w:rPr>
          <w:rFonts w:hint="eastAsia"/>
          <w:kern w:val="0"/>
          <w:szCs w:val="21"/>
        </w:rPr>
        <w:t>条款，进而加以应用。</w:t>
      </w:r>
    </w:p>
    <w:p>
      <w:pPr>
        <w:widowControl/>
        <w:spacing w:line="360" w:lineRule="auto"/>
        <w:rPr>
          <w:kern w:val="0"/>
          <w:szCs w:val="21"/>
        </w:rPr>
      </w:pPr>
      <w:r>
        <w:rPr>
          <w:rFonts w:hint="eastAsia"/>
          <w:kern w:val="0"/>
          <w:szCs w:val="21"/>
        </w:rPr>
        <w:t>——技术措施</w:t>
      </w:r>
    </w:p>
    <w:p>
      <w:pPr>
        <w:pStyle w:val="10"/>
        <w:adjustRightInd w:val="0"/>
        <w:snapToGrid w:val="0"/>
        <w:spacing w:beforeLines="50" w:afterLines="50" w:line="360" w:lineRule="auto"/>
        <w:ind w:firstLine="0"/>
        <w:jc w:val="left"/>
        <w:rPr>
          <w:rFonts w:hint="eastAsia" w:ascii="黑体" w:hAnsi="宋体" w:eastAsia="黑体"/>
          <w:bCs/>
          <w:lang w:val="en-US" w:eastAsia="zh-CN"/>
        </w:rPr>
      </w:pPr>
      <w:r>
        <w:rPr>
          <w:rFonts w:hint="eastAsia"/>
          <w:kern w:val="0"/>
          <w:szCs w:val="21"/>
        </w:rPr>
        <w:t>该</w:t>
      </w:r>
      <w:r>
        <w:rPr>
          <w:rFonts w:hint="eastAsia"/>
          <w:kern w:val="0"/>
          <w:szCs w:val="21"/>
          <w:lang w:eastAsia="zh-CN"/>
        </w:rPr>
        <w:t>文件</w:t>
      </w:r>
      <w:r>
        <w:rPr>
          <w:rFonts w:hint="eastAsia"/>
          <w:kern w:val="0"/>
          <w:szCs w:val="21"/>
        </w:rPr>
        <w:t>综合产品用途及工艺方式，确定了各技术指标。相关企业参照使用本标准时，应对</w:t>
      </w:r>
      <w:r>
        <w:rPr>
          <w:rFonts w:hint="eastAsia"/>
          <w:kern w:val="0"/>
          <w:szCs w:val="21"/>
          <w:lang w:eastAsia="zh-CN"/>
        </w:rPr>
        <w:t>稀土火法冶炼回收料</w:t>
      </w:r>
      <w:r>
        <w:rPr>
          <w:rFonts w:hint="eastAsia"/>
          <w:kern w:val="0"/>
          <w:szCs w:val="21"/>
        </w:rPr>
        <w:t>的特性有充分的了解，应认真解读该产品</w:t>
      </w:r>
      <w:r>
        <w:rPr>
          <w:rFonts w:hint="eastAsia"/>
          <w:kern w:val="0"/>
          <w:szCs w:val="21"/>
          <w:lang w:eastAsia="zh-CN"/>
        </w:rPr>
        <w:t>文件</w:t>
      </w:r>
      <w:r>
        <w:rPr>
          <w:rFonts w:hint="eastAsia"/>
          <w:kern w:val="0"/>
          <w:szCs w:val="21"/>
        </w:rPr>
        <w:t>。</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beforeLines="50" w:afterLines="50" w:line="360" w:lineRule="auto"/>
        <w:ind w:firstLine="420" w:firstLineChars="200"/>
        <w:rPr>
          <w:rFonts w:ascii="黑体" w:hAnsi="黑体" w:eastAsia="黑体" w:cs="黑体"/>
          <w:kern w:val="0"/>
          <w:sz w:val="24"/>
          <w:szCs w:val="24"/>
        </w:rPr>
      </w:pPr>
      <w:r>
        <w:rPr>
          <w:rFonts w:hint="eastAsia" w:hAnsi="宋体"/>
          <w:szCs w:val="21"/>
        </w:rPr>
        <w:t>本</w:t>
      </w:r>
      <w:r>
        <w:rPr>
          <w:rFonts w:hint="eastAsia" w:hAnsi="宋体"/>
          <w:szCs w:val="21"/>
          <w:lang w:eastAsia="zh-CN"/>
        </w:rPr>
        <w:t>文件</w:t>
      </w:r>
      <w:r>
        <w:rPr>
          <w:rFonts w:hint="eastAsia" w:hAnsi="宋体"/>
          <w:szCs w:val="21"/>
        </w:rPr>
        <w:t>为国内首次制定。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十一、其他应予说明的事项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    无。</w:t>
      </w:r>
    </w:p>
    <w:p>
      <w:pPr>
        <w:widowControl/>
        <w:tabs>
          <w:tab w:val="left" w:pos="1260"/>
        </w:tabs>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 xml:space="preserve">十二、产业化情况、推广应用论证和预期达到的经济效果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依据国家《稀土行业发展规划（2016-2020 年）》规划[27]，稀土冶炼分离产品（按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氧化稀土计）由2015 年的10万吨/年至2020 年的14万吨/年，年平均产量增长率达到8 %，稀土的供应与需求逐年增长。随着稀土功能材料等高科技领域的迅速发展，稀土金属（合金）的需求量也日益增加。然而，稀土氟化物-氟化锂-氧化稀土体系熔盐电解生产</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稀土金属及稀土合金过程中，由于石墨高温粉化产生的夹带稀土的粉尘，此外周期性的金属出炉及炉内阳极损耗后更换阳极时等操作带出、溅出的熔盐亦成为了稀土熔盐废料，同时，过程中更换炉体炉衬后的清炉、穿炉、拆炉引入的杂质和原料中杂质在熔盐电解质中不断循环累积而更换熔盐造成的稀土熔盐废料，致使整个稀土熔盐电解工艺中稀土收率仅在95 %左右，其稀土损失量则为5 %。结合数据可知，每年由于稀土冶炼而造成的稀土损失（以氧化物计）大概0.665 万吨。如能将其回收，将产生较大的经济效益。由于稀土损失形式主要为粉尘及熔盐渣[32]，废弃物里不仅含有稀土，而且含有大量石墨粉、氟化钙、氧化铝、氧化铁等许多金属及非金属杂质。如能将其中损耗的稀土充分回收，则可显著降低稀土行业中稀土损失率，减少生产成本，提升经济效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left="4095" w:hanging="4095" w:hangingChars="1950"/>
        <w:jc w:val="right"/>
        <w:rPr>
          <w:szCs w:val="21"/>
        </w:rPr>
      </w:pPr>
      <w:r>
        <w:rPr>
          <w:rFonts w:hint="eastAsia"/>
          <w:szCs w:val="21"/>
        </w:rPr>
        <w:t xml:space="preserve">  虔东稀土集团股份有限公司       </w:t>
      </w:r>
    </w:p>
    <w:p>
      <w:pPr>
        <w:spacing w:line="360" w:lineRule="auto"/>
        <w:ind w:firstLine="4935" w:firstLineChars="2350"/>
        <w:rPr>
          <w:szCs w:val="21"/>
        </w:rPr>
      </w:pPr>
      <w:r>
        <w:rPr>
          <w:szCs w:val="21"/>
        </w:rPr>
        <w:t xml:space="preserve">       </w:t>
      </w:r>
      <w:r>
        <w:rPr>
          <w:rFonts w:hint="eastAsia"/>
          <w:szCs w:val="21"/>
        </w:rPr>
        <w:t xml:space="preserve">     二0二0年</w:t>
      </w:r>
      <w:r>
        <w:rPr>
          <w:rFonts w:hint="eastAsia"/>
          <w:szCs w:val="21"/>
          <w:lang w:eastAsia="zh-CN"/>
        </w:rPr>
        <w:t>十</w:t>
      </w:r>
      <w:r>
        <w:rPr>
          <w:rFonts w:hint="eastAsia"/>
          <w:szCs w:val="21"/>
        </w:rPr>
        <w:t>月</w:t>
      </w:r>
    </w:p>
    <w:p>
      <w:pPr>
        <w:pStyle w:val="4"/>
        <w:rPr>
          <w:rFonts w:ascii="宋体" w:hAnsi="宋体" w:eastAsia="宋体" w:cs="Tahom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96BF"/>
    <w:multiLevelType w:val="singleLevel"/>
    <w:tmpl w:val="8BB396BF"/>
    <w:lvl w:ilvl="0" w:tentative="0">
      <w:start w:val="4"/>
      <w:numFmt w:val="chineseCounting"/>
      <w:suff w:val="nothing"/>
      <w:lvlText w:val="%1、"/>
      <w:lvlJc w:val="left"/>
      <w:rPr>
        <w:rFonts w:hint="eastAsia"/>
      </w:rPr>
    </w:lvl>
  </w:abstractNum>
  <w:abstractNum w:abstractNumId="1">
    <w:nsid w:val="9406D208"/>
    <w:multiLevelType w:val="singleLevel"/>
    <w:tmpl w:val="9406D208"/>
    <w:lvl w:ilvl="0" w:tentative="0">
      <w:start w:val="1"/>
      <w:numFmt w:val="decimal"/>
      <w:suff w:val="space"/>
      <w:lvlText w:val="%1."/>
      <w:lvlJc w:val="left"/>
    </w:lvl>
  </w:abstractNum>
  <w:abstractNum w:abstractNumId="2">
    <w:nsid w:val="1FC91163"/>
    <w:multiLevelType w:val="multilevel"/>
    <w:tmpl w:val="1FC91163"/>
    <w:lvl w:ilvl="0" w:tentative="0">
      <w:start w:val="1"/>
      <w:numFmt w:val="decimal"/>
      <w:pStyle w:val="1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4">
    <w:nsid w:val="6E89BBE2"/>
    <w:multiLevelType w:val="singleLevel"/>
    <w:tmpl w:val="6E89BBE2"/>
    <w:lvl w:ilvl="0" w:tentative="0">
      <w:start w:val="1"/>
      <w:numFmt w:val="decimal"/>
      <w:suff w:val="nothing"/>
      <w:lvlText w:val="（%1）"/>
      <w:lvlJc w:val="left"/>
    </w:lvl>
  </w:abstractNum>
  <w:num w:numId="1">
    <w:abstractNumId w:val="2"/>
  </w:num>
  <w:num w:numId="2">
    <w:abstractNumId w:val="3"/>
    <w:lvlOverride w:ilvl="0">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95"/>
    <w:rsid w:val="00020A4C"/>
    <w:rsid w:val="00131C58"/>
    <w:rsid w:val="001A6395"/>
    <w:rsid w:val="001F44DC"/>
    <w:rsid w:val="00314E30"/>
    <w:rsid w:val="003E525D"/>
    <w:rsid w:val="005D4B1B"/>
    <w:rsid w:val="005D6F4D"/>
    <w:rsid w:val="00603FED"/>
    <w:rsid w:val="00676339"/>
    <w:rsid w:val="00705EF4"/>
    <w:rsid w:val="0075017A"/>
    <w:rsid w:val="00781CF1"/>
    <w:rsid w:val="0091568B"/>
    <w:rsid w:val="009D5175"/>
    <w:rsid w:val="009E52BC"/>
    <w:rsid w:val="00BF5944"/>
    <w:rsid w:val="00C86DEF"/>
    <w:rsid w:val="00CD0E3D"/>
    <w:rsid w:val="00CD595B"/>
    <w:rsid w:val="00CE550F"/>
    <w:rsid w:val="00DB4463"/>
    <w:rsid w:val="00F15D2E"/>
    <w:rsid w:val="02474C02"/>
    <w:rsid w:val="02570F8A"/>
    <w:rsid w:val="03424D03"/>
    <w:rsid w:val="041449AB"/>
    <w:rsid w:val="049A5F6F"/>
    <w:rsid w:val="073C17AE"/>
    <w:rsid w:val="0BD407AC"/>
    <w:rsid w:val="0CF11724"/>
    <w:rsid w:val="0F8815AC"/>
    <w:rsid w:val="0F9D0330"/>
    <w:rsid w:val="0FB70478"/>
    <w:rsid w:val="0FD01E80"/>
    <w:rsid w:val="11080B4B"/>
    <w:rsid w:val="16F655C2"/>
    <w:rsid w:val="1C533DDF"/>
    <w:rsid w:val="1DAA4279"/>
    <w:rsid w:val="1EBC624B"/>
    <w:rsid w:val="1F3124C7"/>
    <w:rsid w:val="1F762997"/>
    <w:rsid w:val="20721F89"/>
    <w:rsid w:val="20BA1770"/>
    <w:rsid w:val="241619E2"/>
    <w:rsid w:val="28C83F78"/>
    <w:rsid w:val="29545E59"/>
    <w:rsid w:val="2D434B4C"/>
    <w:rsid w:val="2EDC55E5"/>
    <w:rsid w:val="2F3D2426"/>
    <w:rsid w:val="303C3236"/>
    <w:rsid w:val="316B6294"/>
    <w:rsid w:val="31D06125"/>
    <w:rsid w:val="34702385"/>
    <w:rsid w:val="3763370F"/>
    <w:rsid w:val="37891FA7"/>
    <w:rsid w:val="3D02680E"/>
    <w:rsid w:val="3D19437D"/>
    <w:rsid w:val="3DC64DA0"/>
    <w:rsid w:val="401B003B"/>
    <w:rsid w:val="420C2EB4"/>
    <w:rsid w:val="42FF0232"/>
    <w:rsid w:val="44C10F23"/>
    <w:rsid w:val="45204EFC"/>
    <w:rsid w:val="470C105F"/>
    <w:rsid w:val="4C6C0CF9"/>
    <w:rsid w:val="4D1C5987"/>
    <w:rsid w:val="4D4C3E6A"/>
    <w:rsid w:val="4DA623F4"/>
    <w:rsid w:val="527407A2"/>
    <w:rsid w:val="547A392F"/>
    <w:rsid w:val="585D1B19"/>
    <w:rsid w:val="59193E80"/>
    <w:rsid w:val="59235E2F"/>
    <w:rsid w:val="594B52D7"/>
    <w:rsid w:val="5A5A2DFA"/>
    <w:rsid w:val="5A6E7408"/>
    <w:rsid w:val="5E535DBD"/>
    <w:rsid w:val="603D0A92"/>
    <w:rsid w:val="62442A91"/>
    <w:rsid w:val="62AB0092"/>
    <w:rsid w:val="68BF4F0E"/>
    <w:rsid w:val="6A5F6440"/>
    <w:rsid w:val="6C294A67"/>
    <w:rsid w:val="6DFC4BCC"/>
    <w:rsid w:val="6F0B7346"/>
    <w:rsid w:val="71687A52"/>
    <w:rsid w:val="73EA308B"/>
    <w:rsid w:val="76405987"/>
    <w:rsid w:val="78DA21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paragraph" w:styleId="5">
    <w:name w:val="Body Text First Indent"/>
    <w:basedOn w:val="2"/>
    <w:qFormat/>
    <w:uiPriority w:val="0"/>
    <w:pPr>
      <w:ind w:firstLine="420" w:firstLineChars="100"/>
    </w:p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p16"/>
    <w:basedOn w:val="1"/>
    <w:qFormat/>
    <w:uiPriority w:val="99"/>
    <w:pPr>
      <w:widowControl/>
    </w:pPr>
    <w:rPr>
      <w:rFonts w:ascii="Calibri" w:hAnsi="Calibri" w:cs="宋体"/>
      <w:kern w:val="0"/>
      <w:szCs w:val="21"/>
    </w:rPr>
  </w:style>
  <w:style w:type="paragraph" w:customStyle="1" w:styleId="10">
    <w:name w:val="p15"/>
    <w:basedOn w:val="1"/>
    <w:qFormat/>
    <w:uiPriority w:val="99"/>
    <w:pPr>
      <w:widowControl/>
      <w:ind w:firstLine="420"/>
    </w:pPr>
    <w:rPr>
      <w:rFonts w:ascii="Calibri" w:hAnsi="Calibri" w:cs="宋体"/>
      <w:kern w:val="0"/>
      <w:szCs w:val="21"/>
    </w:rPr>
  </w:style>
  <w:style w:type="paragraph" w:customStyle="1" w:styleId="11">
    <w:name w:val="p0"/>
    <w:basedOn w:val="1"/>
    <w:qFormat/>
    <w:uiPriority w:val="0"/>
    <w:rPr>
      <w:rFonts w:ascii="Calibri" w:hAnsi="Calibri" w:cs="宋体"/>
      <w:szCs w:val="21"/>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p17"/>
    <w:basedOn w:val="1"/>
    <w:qFormat/>
    <w:uiPriority w:val="0"/>
    <w:pPr>
      <w:widowControl/>
      <w:ind w:firstLine="420"/>
    </w:pPr>
    <w:rPr>
      <w:rFonts w:ascii="宋体" w:hAnsi="宋体" w:cs="宋体"/>
      <w:kern w:val="0"/>
      <w:szCs w:val="21"/>
    </w:rPr>
  </w:style>
  <w:style w:type="paragraph" w:customStyle="1" w:styleId="14">
    <w:name w:val="章标题"/>
    <w:next w:val="1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0</TotalTime>
  <ScaleCrop>false</ScaleCrop>
  <LinksUpToDate>false</LinksUpToDate>
  <CharactersWithSpaces>543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2019-09-25T08:36:00Z</dcterms:created>
  <dc:creator>Administrator</dc:creator>
  <cp:lastModifiedBy>CathayMok</cp:lastModifiedBy>
  <dcterms:modified xsi:type="dcterms:W3CDTF">2020-11-23T03:21:52Z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