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adjustRightInd w:val="0"/>
        <w:snapToGrid w:val="0"/>
        <w:spacing w:before="156" w:beforeLines="50"/>
        <w:jc w:val="center"/>
      </w:pPr>
      <w:r>
        <w:rPr>
          <w:rFonts w:hint="eastAsia" w:ascii="黑体" w:eastAsia="黑体"/>
          <w:sz w:val="32"/>
          <w:szCs w:val="32"/>
        </w:rPr>
        <w:t>稀土国家标准《稀土金属中非稀土杂质化学分析方法  氧、氮量的测定》（GB/T12690.4-20</w:t>
      </w:r>
      <w:r>
        <w:rPr>
          <w:rFonts w:hint="eastAsia" w:ascii="黑体" w:eastAsia="黑体"/>
          <w:sz w:val="32"/>
          <w:szCs w:val="32"/>
          <w:lang w:val="en-US" w:eastAsia="zh-CN"/>
        </w:rPr>
        <w:t>2</w:t>
      </w:r>
      <w:r>
        <w:rPr>
          <w:rFonts w:hint="eastAsia" w:ascii="黑体" w:eastAsia="黑体"/>
          <w:sz w:val="32"/>
          <w:szCs w:val="32"/>
        </w:rPr>
        <w:t>X） 编制说明</w:t>
      </w:r>
    </w:p>
    <w:p>
      <w:pPr>
        <w:adjustRightInd w:val="0"/>
        <w:snapToGrid w:val="0"/>
        <w:spacing w:before="312" w:beforeLines="100" w:line="360" w:lineRule="auto"/>
        <w:rPr>
          <w:rFonts w:ascii="Arial" w:hAnsi="Arial" w:cs="Arial" w:eastAsiaTheme="minorEastAsia"/>
          <w:szCs w:val="21"/>
        </w:rPr>
      </w:pPr>
      <w:r>
        <w:rPr>
          <w:rFonts w:ascii="Arial" w:hAnsi="Arial" w:cs="Arial" w:eastAsiaTheme="minorEastAsia"/>
          <w:szCs w:val="21"/>
        </w:rPr>
        <w:t>一、工作简况</w:t>
      </w:r>
      <w:r>
        <w:rPr>
          <w:rFonts w:hint="eastAsia" w:ascii="Arial" w:hAnsi="Arial" w:cs="Arial" w:eastAsiaTheme="minorEastAsia"/>
          <w:szCs w:val="21"/>
        </w:rPr>
        <w:t xml:space="preserve"> </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1.1</w:t>
      </w:r>
      <w:r>
        <w:rPr>
          <w:rFonts w:ascii="Arial" w:hAnsi="Arial" w:cs="Arial" w:eastAsiaTheme="minorEastAsia"/>
          <w:szCs w:val="21"/>
        </w:rPr>
        <w:t>立项目的</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稀土氧化物和稀土金属是重要的稀土产品，是磁性材料(钕铁硼磁性材料、钐钴磁性材料)、稀土发光材料、稀土抛光材料、稀土磁制冷材料、稀土贮氢材料、稀土荧光材料、稀土发热材料、稀土催化材料、PVC稀土助剂等稀土新材料的关键原料，同时高纯稀土金属和高纯稀土氧化物本身就是重要的稀土新材料。国家标准《稀土金属及其氧化物中非稀土杂质化学分析方法》（GB/T12690系列）作为基础类的分析方法标准，对整个稀土行业中生产量和贸易起到举足轻重的作用。</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近年来，我国的稀土行业分析标准体系逐渐建立，随着稀土行业的发展、稀土新材料产业的兴起，对标准分析方法提出了更高的要求，同时分析仪器和检测技术的进步，也为标准分析方法的进一步修订提高提供了可能。自2013年起，稀标委已就国家标准《稀土金属及其氧化物中非稀土杂质化学分析方法》（GB/T12690系列）中需要修订的部分着手进行修订，以满足行业发展需要，更好的为稀土新材料产业发展提供支持。</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稀土金属及其氧化物中非稀土杂质化学分析方法第4部：氧、氮量的测定 脉冲-红外吸收法和脉冲-热导法（GB/T 12690.4-2003）2003年发布，该版标准发布已超过14年，随着新的分析技术的发展和新产品的出现，尤其是高纯稀土金属是中国制造2025的重点方向，2003版标准的仪器参数、测定范围等已不能满足目前行业发展和市场需求，亟需修订。</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1.2</w:t>
      </w:r>
      <w:r>
        <w:rPr>
          <w:rFonts w:ascii="Arial" w:hAnsi="Arial" w:cs="Arial" w:eastAsiaTheme="minorEastAsia"/>
          <w:szCs w:val="21"/>
        </w:rPr>
        <w:t>任务来源</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包头稀土研究</w:t>
      </w:r>
      <w:r>
        <w:rPr>
          <w:rFonts w:ascii="Arial" w:hAnsi="Arial" w:cs="Arial" w:eastAsiaTheme="minorEastAsia"/>
          <w:szCs w:val="21"/>
        </w:rPr>
        <w:t>院于201</w:t>
      </w:r>
      <w:r>
        <w:rPr>
          <w:rFonts w:hint="eastAsia" w:ascii="Arial" w:hAnsi="Arial" w:cs="Arial" w:eastAsiaTheme="minorEastAsia"/>
          <w:szCs w:val="21"/>
        </w:rPr>
        <w:t>8</w:t>
      </w:r>
      <w:r>
        <w:rPr>
          <w:rFonts w:ascii="Arial" w:hAnsi="Arial" w:cs="Arial" w:eastAsiaTheme="minorEastAsia"/>
          <w:szCs w:val="21"/>
        </w:rPr>
        <w:t>年向稀标委提出了《稀土金属及其氧化物中非稀土杂质化学分析方法</w:t>
      </w:r>
      <w:r>
        <w:rPr>
          <w:rFonts w:hint="eastAsia" w:ascii="Arial" w:hAnsi="Arial" w:cs="Arial" w:eastAsiaTheme="minorEastAsia"/>
          <w:szCs w:val="21"/>
        </w:rPr>
        <w:t xml:space="preserve"> 氧、氮量的测定</w:t>
      </w:r>
      <w:r>
        <w:rPr>
          <w:rFonts w:ascii="Arial" w:hAnsi="Arial" w:cs="Arial" w:eastAsiaTheme="minorEastAsia"/>
          <w:szCs w:val="21"/>
        </w:rPr>
        <w:t>》的修订建议，于201</w:t>
      </w:r>
      <w:r>
        <w:rPr>
          <w:rFonts w:hint="eastAsia" w:ascii="Arial" w:hAnsi="Arial" w:cs="Arial" w:eastAsiaTheme="minorEastAsia"/>
          <w:szCs w:val="21"/>
        </w:rPr>
        <w:t>8</w:t>
      </w:r>
      <w:r>
        <w:rPr>
          <w:rFonts w:ascii="Arial" w:hAnsi="Arial" w:cs="Arial" w:eastAsiaTheme="minorEastAsia"/>
          <w:szCs w:val="21"/>
        </w:rPr>
        <w:t>底获得批复。全国稀土标准化技术委员会于201</w:t>
      </w:r>
      <w:r>
        <w:rPr>
          <w:rFonts w:hint="eastAsia" w:ascii="Arial" w:hAnsi="Arial" w:cs="Arial" w:eastAsiaTheme="minorEastAsia"/>
          <w:szCs w:val="21"/>
        </w:rPr>
        <w:t>9</w:t>
      </w:r>
      <w:r>
        <w:rPr>
          <w:rFonts w:ascii="Arial" w:hAnsi="Arial" w:cs="Arial" w:eastAsiaTheme="minorEastAsia"/>
          <w:szCs w:val="21"/>
        </w:rPr>
        <w:t>年</w:t>
      </w:r>
      <w:r>
        <w:rPr>
          <w:rFonts w:hint="eastAsia" w:ascii="Arial" w:hAnsi="Arial" w:cs="Arial" w:eastAsiaTheme="minorEastAsia"/>
          <w:szCs w:val="21"/>
        </w:rPr>
        <w:t>1</w:t>
      </w:r>
      <w:r>
        <w:rPr>
          <w:rFonts w:ascii="Arial" w:hAnsi="Arial" w:cs="Arial" w:eastAsiaTheme="minorEastAsia"/>
          <w:szCs w:val="21"/>
        </w:rPr>
        <w:t>月2</w:t>
      </w:r>
      <w:r>
        <w:rPr>
          <w:rFonts w:hint="eastAsia" w:ascii="Arial" w:hAnsi="Arial" w:cs="Arial" w:eastAsiaTheme="minorEastAsia"/>
          <w:szCs w:val="21"/>
        </w:rPr>
        <w:t>3</w:t>
      </w:r>
      <w:r>
        <w:rPr>
          <w:rFonts w:ascii="Arial" w:hAnsi="Arial" w:cs="Arial" w:eastAsiaTheme="minorEastAsia"/>
          <w:szCs w:val="21"/>
        </w:rPr>
        <w:t>日在</w:t>
      </w:r>
      <w:r>
        <w:rPr>
          <w:rFonts w:hint="eastAsia" w:ascii="Arial" w:hAnsi="Arial" w:cs="Arial" w:eastAsiaTheme="minorEastAsia"/>
          <w:szCs w:val="21"/>
        </w:rPr>
        <w:t>浙江省宁波市</w:t>
      </w:r>
      <w:r>
        <w:rPr>
          <w:rFonts w:ascii="Arial" w:hAnsi="Arial" w:cs="Arial" w:eastAsiaTheme="minorEastAsia"/>
          <w:szCs w:val="21"/>
        </w:rPr>
        <w:t>召开了</w:t>
      </w:r>
      <w:r>
        <w:rPr>
          <w:rFonts w:hint="eastAsia" w:ascii="Arial" w:hAnsi="Arial" w:cs="Arial" w:eastAsiaTheme="minorEastAsia"/>
          <w:szCs w:val="21"/>
        </w:rPr>
        <w:t>《钪稳定铈锆复合粉》等11项稀土国家、行业标准任务落实会</w:t>
      </w:r>
      <w:r>
        <w:rPr>
          <w:rFonts w:ascii="Arial" w:hAnsi="Arial" w:cs="Arial" w:eastAsiaTheme="minorEastAsia"/>
          <w:szCs w:val="21"/>
        </w:rPr>
        <w:t>，确定由</w:t>
      </w:r>
      <w:r>
        <w:rPr>
          <w:rFonts w:hint="eastAsia" w:ascii="Arial" w:hAnsi="Arial" w:cs="Arial" w:eastAsiaTheme="minorEastAsia"/>
          <w:szCs w:val="21"/>
        </w:rPr>
        <w:t>包头稀土研究院</w:t>
      </w:r>
      <w:r>
        <w:rPr>
          <w:rFonts w:ascii="Arial" w:hAnsi="Arial" w:cs="Arial" w:eastAsiaTheme="minorEastAsia"/>
          <w:szCs w:val="21"/>
        </w:rPr>
        <w:t xml:space="preserve">负责国家标准《稀土金属及其氧化物中非稀土杂质化学分析方法 </w:t>
      </w:r>
      <w:r>
        <w:rPr>
          <w:rFonts w:hint="eastAsia" w:ascii="Arial" w:hAnsi="Arial" w:cs="Arial" w:eastAsiaTheme="minorEastAsia"/>
          <w:szCs w:val="21"/>
        </w:rPr>
        <w:t>氧、氮</w:t>
      </w:r>
      <w:r>
        <w:rPr>
          <w:rFonts w:ascii="Arial" w:hAnsi="Arial" w:cs="Arial" w:eastAsiaTheme="minorEastAsia"/>
          <w:szCs w:val="21"/>
        </w:rPr>
        <w:t>量的测定》的</w:t>
      </w:r>
      <w:r>
        <w:rPr>
          <w:rFonts w:hint="eastAsia" w:ascii="Arial" w:hAnsi="Arial" w:cs="Arial" w:eastAsiaTheme="minorEastAsia"/>
          <w:szCs w:val="21"/>
        </w:rPr>
        <w:t>修订与制定</w:t>
      </w:r>
      <w:r>
        <w:rPr>
          <w:rFonts w:ascii="Arial" w:hAnsi="Arial" w:cs="Arial" w:eastAsiaTheme="minorEastAsia"/>
          <w:szCs w:val="21"/>
        </w:rPr>
        <w:t>。</w:t>
      </w:r>
      <w:r>
        <w:rPr>
          <w:rFonts w:hint="eastAsia" w:ascii="Arial" w:hAnsi="Arial" w:cs="Arial" w:eastAsiaTheme="minorEastAsia"/>
          <w:szCs w:val="21"/>
        </w:rPr>
        <w:t>项目编号为20184317-T-469，计划完成时间为2020年7月底。项目内容</w:t>
      </w:r>
      <w:r>
        <w:rPr>
          <w:rFonts w:ascii="Arial" w:hAnsi="Arial" w:cs="Arial" w:eastAsiaTheme="minorEastAsia"/>
          <w:szCs w:val="21"/>
        </w:rPr>
        <w:t>及验证单位情况见</w:t>
      </w:r>
      <w:r>
        <w:fldChar w:fldCharType="begin"/>
      </w:r>
      <w:r>
        <w:instrText xml:space="preserve"> REF _Ref496714443 \h  \* MERGEFORMAT </w:instrText>
      </w:r>
      <w:r>
        <w:fldChar w:fldCharType="separate"/>
      </w:r>
      <w:r>
        <w:rPr>
          <w:rFonts w:ascii="Arial" w:hAnsi="Arial" w:cs="Arial" w:eastAsiaTheme="minorEastAsia"/>
          <w:szCs w:val="21"/>
        </w:rPr>
        <w:t>表1</w:t>
      </w:r>
      <w:r>
        <w:fldChar w:fldCharType="end"/>
      </w:r>
      <w:r>
        <w:rPr>
          <w:rFonts w:ascii="Arial" w:hAnsi="Arial" w:cs="Arial" w:eastAsiaTheme="minorEastAsia"/>
          <w:szCs w:val="21"/>
        </w:rPr>
        <w:t>。</w:t>
      </w:r>
    </w:p>
    <w:p>
      <w:pPr>
        <w:adjustRightInd w:val="0"/>
        <w:snapToGrid w:val="0"/>
        <w:jc w:val="center"/>
        <w:rPr>
          <w:rFonts w:hint="eastAsia" w:ascii="Arial" w:hAnsi="Arial" w:cs="Arial" w:eastAsiaTheme="minorEastAsia"/>
          <w:szCs w:val="21"/>
          <w:lang w:val="en-US" w:eastAsia="zh-CN"/>
        </w:rPr>
      </w:pPr>
      <w:bookmarkStart w:id="0" w:name="_Ref496714443"/>
      <w:r>
        <w:rPr>
          <w:rFonts w:ascii="Arial" w:hAnsi="Arial" w:cs="Arial" w:eastAsiaTheme="minorEastAsia"/>
          <w:szCs w:val="21"/>
        </w:rPr>
        <w:t>表</w:t>
      </w:r>
      <w:r>
        <w:rPr>
          <w:rFonts w:ascii="Arial" w:hAnsi="Arial" w:cs="Arial" w:eastAsiaTheme="minorEastAsia"/>
          <w:szCs w:val="21"/>
        </w:rPr>
        <w:fldChar w:fldCharType="begin"/>
      </w:r>
      <w:r>
        <w:rPr>
          <w:rFonts w:ascii="Arial" w:hAnsi="Arial" w:cs="Arial" w:eastAsiaTheme="minorEastAsia"/>
          <w:szCs w:val="21"/>
        </w:rPr>
        <w:instrText xml:space="preserve">SEQ 表 \* ARABIC</w:instrText>
      </w:r>
      <w:r>
        <w:rPr>
          <w:rFonts w:ascii="Arial" w:hAnsi="Arial" w:cs="Arial" w:eastAsiaTheme="minorEastAsia"/>
          <w:szCs w:val="21"/>
        </w:rPr>
        <w:fldChar w:fldCharType="separate"/>
      </w:r>
      <w:r>
        <w:rPr>
          <w:rFonts w:ascii="Arial" w:hAnsi="Arial" w:cs="Arial" w:eastAsiaTheme="minorEastAsia"/>
          <w:szCs w:val="21"/>
        </w:rPr>
        <w:t>1</w:t>
      </w:r>
      <w:r>
        <w:rPr>
          <w:rFonts w:ascii="Arial" w:hAnsi="Arial" w:cs="Arial" w:eastAsiaTheme="minorEastAsia"/>
          <w:szCs w:val="21"/>
        </w:rPr>
        <w:fldChar w:fldCharType="end"/>
      </w:r>
      <w:bookmarkEnd w:id="0"/>
      <w:r>
        <w:rPr>
          <w:rFonts w:hint="eastAsia" w:ascii="Arial" w:hAnsi="Arial" w:cs="Arial" w:eastAsiaTheme="minorEastAsia"/>
          <w:szCs w:val="21"/>
          <w:lang w:val="en-US" w:eastAsia="zh-CN"/>
        </w:rPr>
        <w:t xml:space="preserve"> 项目内容及验证单位情况</w:t>
      </w:r>
    </w:p>
    <w:tbl>
      <w:tblPr>
        <w:tblStyle w:val="18"/>
        <w:tblW w:w="852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537"/>
        <w:gridCol w:w="1405"/>
        <w:gridCol w:w="1178"/>
        <w:gridCol w:w="1724"/>
        <w:gridCol w:w="267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37"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计划号</w:t>
            </w:r>
          </w:p>
        </w:tc>
        <w:tc>
          <w:tcPr>
            <w:tcW w:w="1405"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项目名称</w:t>
            </w:r>
          </w:p>
        </w:tc>
        <w:tc>
          <w:tcPr>
            <w:tcW w:w="1178"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起草单位</w:t>
            </w:r>
          </w:p>
        </w:tc>
        <w:tc>
          <w:tcPr>
            <w:tcW w:w="1724"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第一验证单位</w:t>
            </w:r>
          </w:p>
        </w:tc>
        <w:tc>
          <w:tcPr>
            <w:tcW w:w="2678"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第二验证单位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37" w:type="dxa"/>
            <w:vAlign w:val="center"/>
          </w:tcPr>
          <w:p>
            <w:pPr>
              <w:adjustRightInd w:val="0"/>
              <w:snapToGrid w:val="0"/>
              <w:spacing w:line="360" w:lineRule="auto"/>
              <w:rPr>
                <w:rFonts w:ascii="Arial" w:hAnsi="Arial" w:cs="Arial" w:eastAsiaTheme="minorEastAsia"/>
                <w:sz w:val="18"/>
                <w:szCs w:val="18"/>
              </w:rPr>
            </w:pPr>
            <w:r>
              <w:rPr>
                <w:rFonts w:hint="eastAsia" w:ascii="Arial" w:hAnsi="Arial" w:cs="Arial" w:eastAsiaTheme="minorEastAsia"/>
                <w:szCs w:val="21"/>
              </w:rPr>
              <w:t>20184317-T-469</w:t>
            </w:r>
          </w:p>
        </w:tc>
        <w:tc>
          <w:tcPr>
            <w:tcW w:w="1405" w:type="dxa"/>
            <w:vAlign w:val="center"/>
          </w:tcPr>
          <w:p>
            <w:pPr>
              <w:adjustRightInd w:val="0"/>
              <w:snapToGrid w:val="0"/>
              <w:spacing w:line="360" w:lineRule="auto"/>
              <w:rPr>
                <w:rFonts w:ascii="Arial" w:hAnsi="Arial" w:cs="Arial" w:eastAsiaTheme="minorEastAsia"/>
                <w:sz w:val="18"/>
                <w:szCs w:val="18"/>
              </w:rPr>
            </w:pPr>
            <w:r>
              <w:rPr>
                <w:rFonts w:ascii="Arial" w:hAnsi="Arial" w:cs="Arial" w:eastAsiaTheme="minorEastAsia"/>
                <w:sz w:val="18"/>
                <w:szCs w:val="18"/>
              </w:rPr>
              <w:t>稀土金属及其氧化物中非稀土杂质化学分析方法</w:t>
            </w:r>
            <w:r>
              <w:rPr>
                <w:rFonts w:hint="eastAsia" w:ascii="Arial" w:hAnsi="Arial" w:cs="Arial" w:eastAsiaTheme="minorEastAsia"/>
                <w:sz w:val="18"/>
                <w:szCs w:val="18"/>
              </w:rPr>
              <w:t xml:space="preserve"> 氧、氮</w:t>
            </w:r>
            <w:r>
              <w:rPr>
                <w:rFonts w:ascii="Arial" w:hAnsi="Arial" w:cs="Arial" w:eastAsiaTheme="minorEastAsia"/>
                <w:sz w:val="18"/>
                <w:szCs w:val="18"/>
              </w:rPr>
              <w:t>量的测定</w:t>
            </w:r>
          </w:p>
        </w:tc>
        <w:tc>
          <w:tcPr>
            <w:tcW w:w="1178" w:type="dxa"/>
            <w:vAlign w:val="center"/>
          </w:tcPr>
          <w:p>
            <w:pPr>
              <w:adjustRightInd w:val="0"/>
              <w:snapToGrid w:val="0"/>
              <w:spacing w:line="360" w:lineRule="auto"/>
              <w:rPr>
                <w:rFonts w:ascii="Arial" w:hAnsi="Arial" w:cs="Arial" w:eastAsiaTheme="minorEastAsia"/>
                <w:sz w:val="18"/>
                <w:szCs w:val="18"/>
              </w:rPr>
            </w:pPr>
            <w:r>
              <w:rPr>
                <w:rFonts w:hint="eastAsia" w:ascii="Arial" w:hAnsi="Arial" w:cs="Arial" w:eastAsiaTheme="minorEastAsia"/>
                <w:sz w:val="18"/>
                <w:szCs w:val="18"/>
              </w:rPr>
              <w:t>包头稀土研究院</w:t>
            </w:r>
          </w:p>
        </w:tc>
        <w:tc>
          <w:tcPr>
            <w:tcW w:w="1724" w:type="dxa"/>
            <w:vAlign w:val="center"/>
          </w:tcPr>
          <w:p>
            <w:pPr>
              <w:adjustRightInd w:val="0"/>
              <w:snapToGrid w:val="0"/>
              <w:spacing w:line="360" w:lineRule="auto"/>
              <w:rPr>
                <w:rFonts w:hint="default" w:ascii="Arial" w:hAnsi="Arial" w:cs="Arial" w:eastAsiaTheme="minorEastAsia"/>
                <w:sz w:val="18"/>
                <w:szCs w:val="18"/>
                <w:lang w:val="en-US" w:eastAsia="zh-CN"/>
              </w:rPr>
            </w:pPr>
            <w:r>
              <w:rPr>
                <w:rFonts w:hint="eastAsia" w:ascii="Arial" w:hAnsi="Arial" w:cs="Arial" w:eastAsiaTheme="minorEastAsia"/>
                <w:sz w:val="18"/>
                <w:szCs w:val="18"/>
                <w:lang w:val="en-US" w:eastAsia="zh-CN"/>
              </w:rPr>
              <w:t>国标（北京）检验认证有限公司</w:t>
            </w:r>
          </w:p>
          <w:p>
            <w:pPr>
              <w:adjustRightInd w:val="0"/>
              <w:snapToGrid w:val="0"/>
              <w:spacing w:line="360" w:lineRule="auto"/>
              <w:rPr>
                <w:rFonts w:ascii="Arial" w:hAnsi="Arial" w:cs="Arial" w:eastAsiaTheme="minorEastAsia"/>
                <w:sz w:val="18"/>
                <w:szCs w:val="18"/>
              </w:rPr>
            </w:pPr>
            <w:r>
              <w:rPr>
                <w:rFonts w:hint="eastAsia" w:ascii="Arial" w:hAnsi="Arial" w:cs="Arial" w:eastAsiaTheme="minorEastAsia"/>
                <w:sz w:val="18"/>
                <w:szCs w:val="18"/>
              </w:rPr>
              <w:t>钢研纳克检测技术股份有限公司</w:t>
            </w:r>
          </w:p>
        </w:tc>
        <w:tc>
          <w:tcPr>
            <w:tcW w:w="2678" w:type="dxa"/>
            <w:vAlign w:val="center"/>
          </w:tcPr>
          <w:p>
            <w:pPr>
              <w:adjustRightInd w:val="0"/>
              <w:snapToGrid w:val="0"/>
              <w:spacing w:line="360" w:lineRule="auto"/>
              <w:rPr>
                <w:rFonts w:ascii="Arial" w:hAnsi="Arial" w:cs="Arial" w:eastAsiaTheme="minorEastAsia"/>
                <w:sz w:val="18"/>
                <w:szCs w:val="18"/>
              </w:rPr>
            </w:pPr>
            <w:r>
              <w:rPr>
                <w:rFonts w:hint="eastAsia" w:ascii="Arial" w:hAnsi="Arial" w:cs="Arial" w:eastAsiaTheme="minorEastAsia"/>
                <w:sz w:val="18"/>
                <w:szCs w:val="18"/>
                <w:lang w:val="en-US" w:eastAsia="zh-CN"/>
              </w:rPr>
              <w:t>天津包钢稀土研究院有限责任公司</w:t>
            </w:r>
            <w:r>
              <w:rPr>
                <w:rFonts w:hint="eastAsia" w:ascii="Arial" w:hAnsi="Arial" w:cs="Arial" w:eastAsiaTheme="minorEastAsia"/>
                <w:sz w:val="18"/>
                <w:szCs w:val="18"/>
              </w:rPr>
              <w:t>、湖南稀土金属材料研究院</w:t>
            </w:r>
            <w:r>
              <w:rPr>
                <w:rFonts w:hint="eastAsia" w:ascii="Arial" w:hAnsi="Arial" w:cs="Arial" w:eastAsiaTheme="minorEastAsia"/>
                <w:sz w:val="18"/>
                <w:szCs w:val="18"/>
                <w:lang w:eastAsia="zh-CN"/>
              </w:rPr>
              <w:t>、</w:t>
            </w:r>
            <w:r>
              <w:rPr>
                <w:rFonts w:hint="eastAsia" w:ascii="Arial" w:hAnsi="Arial" w:cs="Arial" w:eastAsiaTheme="minorEastAsia"/>
                <w:sz w:val="18"/>
                <w:szCs w:val="18"/>
              </w:rPr>
              <w:t>国家稀土产品质量监督检验中心、</w:t>
            </w:r>
            <w:r>
              <w:rPr>
                <w:rFonts w:hint="eastAsia" w:ascii="Arial" w:hAnsi="Arial" w:cs="Arial" w:eastAsiaTheme="minorEastAsia"/>
                <w:sz w:val="18"/>
                <w:szCs w:val="18"/>
                <w:lang w:val="en-US" w:eastAsia="zh-CN"/>
              </w:rPr>
              <w:t>福建省</w:t>
            </w:r>
            <w:r>
              <w:rPr>
                <w:rFonts w:hint="eastAsia" w:ascii="Arial" w:hAnsi="Arial" w:cs="Arial" w:eastAsiaTheme="minorEastAsia"/>
                <w:sz w:val="18"/>
                <w:szCs w:val="18"/>
              </w:rPr>
              <w:t>长汀金龙稀土有限公司</w:t>
            </w:r>
          </w:p>
        </w:tc>
      </w:tr>
    </w:tbl>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1.3</w:t>
      </w:r>
      <w:r>
        <w:rPr>
          <w:rFonts w:ascii="Arial" w:hAnsi="Arial" w:cs="Arial" w:eastAsiaTheme="minorEastAsia"/>
          <w:szCs w:val="21"/>
        </w:rPr>
        <w:t>标准项目编制工作组单位简况</w:t>
      </w:r>
    </w:p>
    <w:p>
      <w:pPr>
        <w:pStyle w:val="49"/>
        <w:spacing w:line="360" w:lineRule="auto"/>
        <w:rPr>
          <w:rFonts w:ascii="Times New Roman" w:hAnsi="Times New Roman" w:cs="Times New Roman" w:eastAsiaTheme="minorEastAsia"/>
          <w:szCs w:val="21"/>
        </w:rPr>
      </w:pPr>
      <w:r>
        <w:rPr>
          <w:rFonts w:ascii="Times New Roman" w:cs="Times New Roman" w:hAnsiTheme="minorEastAsia" w:eastAsiaTheme="minorEastAsia"/>
          <w:szCs w:val="21"/>
        </w:rPr>
        <w:t>包头稀土研究院成立于</w:t>
      </w:r>
      <w:r>
        <w:rPr>
          <w:rFonts w:ascii="Times New Roman" w:hAnsi="Times New Roman" w:cs="Times New Roman" w:eastAsiaTheme="minorEastAsia"/>
          <w:szCs w:val="21"/>
        </w:rPr>
        <w:t>1963</w:t>
      </w:r>
      <w:r>
        <w:rPr>
          <w:rFonts w:ascii="Times New Roman" w:cs="Times New Roman" w:hAnsiTheme="minorEastAsia" w:eastAsiaTheme="minorEastAsia"/>
          <w:szCs w:val="21"/>
        </w:rPr>
        <w:t>年，直属原冶金工业部。</w:t>
      </w:r>
      <w:r>
        <w:rPr>
          <w:rFonts w:ascii="Times New Roman" w:hAnsi="Times New Roman" w:cs="Times New Roman" w:eastAsiaTheme="minorEastAsia"/>
          <w:szCs w:val="21"/>
        </w:rPr>
        <w:t>1992</w:t>
      </w:r>
      <w:r>
        <w:rPr>
          <w:rFonts w:ascii="Times New Roman" w:cs="Times New Roman" w:hAnsiTheme="minorEastAsia" w:eastAsiaTheme="minorEastAsia"/>
          <w:szCs w:val="21"/>
        </w:rPr>
        <w:t>年进入包钢（集团）公司，是全国最大的综合性稀土科技研发机构。本院是以稀土资源的综合开发、利用为宗旨，以稀土冶金、环境保护、新型稀土功能材料及在高新技术领域的应用、稀土提升传统产业的技术水平、稀土分析检测、稀土情报信息为研究重点的多专业、多学科的综合性研发机构。目前，全院形成规范的母子公司体系，拥有以科技开发和行业服务及生产经营为主的全资、控股、参股公司</w:t>
      </w:r>
      <w:r>
        <w:rPr>
          <w:rFonts w:ascii="Times New Roman" w:hAnsi="Times New Roman" w:cs="Times New Roman" w:eastAsiaTheme="minorEastAsia"/>
          <w:szCs w:val="21"/>
        </w:rPr>
        <w:t>13</w:t>
      </w:r>
      <w:r>
        <w:rPr>
          <w:rFonts w:ascii="Times New Roman" w:cs="Times New Roman" w:hAnsiTheme="minorEastAsia" w:eastAsiaTheme="minorEastAsia"/>
          <w:szCs w:val="21"/>
        </w:rPr>
        <w:t>家。本院建有国家级</w:t>
      </w:r>
      <w:r>
        <w:rPr>
          <w:rFonts w:ascii="Times New Roman" w:hAnsi="Times New Roman" w:cs="Times New Roman" w:eastAsiaTheme="minorEastAsia"/>
          <w:szCs w:val="21"/>
        </w:rPr>
        <w:t>“</w:t>
      </w:r>
      <w:r>
        <w:rPr>
          <w:rFonts w:ascii="Times New Roman" w:cs="Times New Roman" w:hAnsiTheme="minorEastAsia" w:eastAsiaTheme="minorEastAsia"/>
          <w:szCs w:val="21"/>
        </w:rPr>
        <w:t>稀土冶金及功能材料国家工程研究中心</w:t>
      </w:r>
      <w:r>
        <w:rPr>
          <w:rFonts w:ascii="Times New Roman" w:hAnsi="Times New Roman" w:cs="Times New Roman" w:eastAsiaTheme="minorEastAsia"/>
          <w:szCs w:val="21"/>
        </w:rPr>
        <w:t>”</w:t>
      </w:r>
      <w:r>
        <w:rPr>
          <w:rFonts w:ascii="Times New Roman" w:cs="Times New Roman" w:hAnsiTheme="minorEastAsia" w:eastAsiaTheme="minorEastAsia"/>
          <w:szCs w:val="21"/>
        </w:rPr>
        <w:t>、</w:t>
      </w:r>
      <w:r>
        <w:rPr>
          <w:rFonts w:ascii="Times New Roman" w:hAnsi="Times New Roman" w:cs="Times New Roman" w:eastAsiaTheme="minorEastAsia"/>
          <w:szCs w:val="21"/>
        </w:rPr>
        <w:t>“</w:t>
      </w:r>
      <w:r>
        <w:rPr>
          <w:rFonts w:ascii="Times New Roman" w:cs="Times New Roman" w:hAnsiTheme="minorEastAsia" w:eastAsiaTheme="minorEastAsia"/>
          <w:szCs w:val="21"/>
        </w:rPr>
        <w:t>北方稀土行业生产力促进中心</w:t>
      </w:r>
      <w:r>
        <w:rPr>
          <w:rFonts w:ascii="Times New Roman" w:hAnsi="Times New Roman" w:cs="Times New Roman" w:eastAsiaTheme="minorEastAsia"/>
          <w:szCs w:val="21"/>
        </w:rPr>
        <w:t>”</w:t>
      </w:r>
      <w:r>
        <w:rPr>
          <w:rFonts w:ascii="Times New Roman" w:cs="Times New Roman" w:hAnsiTheme="minorEastAsia" w:eastAsiaTheme="minorEastAsia"/>
          <w:szCs w:val="21"/>
        </w:rPr>
        <w:t>和</w:t>
      </w:r>
      <w:r>
        <w:rPr>
          <w:rFonts w:ascii="Times New Roman" w:hAnsi="Times New Roman" w:cs="Times New Roman" w:eastAsiaTheme="minorEastAsia"/>
          <w:szCs w:val="21"/>
        </w:rPr>
        <w:t>“</w:t>
      </w:r>
      <w:r>
        <w:rPr>
          <w:rFonts w:ascii="Times New Roman" w:cs="Times New Roman" w:hAnsiTheme="minorEastAsia" w:eastAsiaTheme="minorEastAsia"/>
          <w:szCs w:val="21"/>
        </w:rPr>
        <w:t>白云鄂博稀土资源研究与综合利用国家重点实验室</w:t>
      </w:r>
      <w:r>
        <w:rPr>
          <w:rFonts w:ascii="Times New Roman" w:hAnsi="Times New Roman" w:cs="Times New Roman" w:eastAsiaTheme="minorEastAsia"/>
          <w:szCs w:val="21"/>
        </w:rPr>
        <w:t>”</w:t>
      </w:r>
      <w:r>
        <w:rPr>
          <w:rFonts w:ascii="Times New Roman" w:cs="Times New Roman" w:hAnsiTheme="minorEastAsia" w:eastAsiaTheme="minorEastAsia"/>
          <w:szCs w:val="21"/>
        </w:rPr>
        <w:t>；内蒙古自治区级</w:t>
      </w:r>
      <w:r>
        <w:rPr>
          <w:rFonts w:ascii="Times New Roman" w:hAnsi="Times New Roman" w:cs="Times New Roman" w:eastAsiaTheme="minorEastAsia"/>
          <w:szCs w:val="21"/>
        </w:rPr>
        <w:t>“</w:t>
      </w:r>
      <w:r>
        <w:rPr>
          <w:rFonts w:ascii="Times New Roman" w:cs="Times New Roman" w:hAnsiTheme="minorEastAsia" w:eastAsiaTheme="minorEastAsia"/>
          <w:szCs w:val="21"/>
        </w:rPr>
        <w:t>内蒙古希苑稀土功能材料工程技术研究中心</w:t>
      </w:r>
      <w:r>
        <w:rPr>
          <w:rFonts w:ascii="Times New Roman" w:hAnsi="Times New Roman" w:cs="Times New Roman" w:eastAsiaTheme="minorEastAsia"/>
          <w:szCs w:val="21"/>
        </w:rPr>
        <w:t>”</w:t>
      </w:r>
      <w:r>
        <w:rPr>
          <w:rFonts w:ascii="Times New Roman" w:cs="Times New Roman" w:hAnsiTheme="minorEastAsia" w:eastAsiaTheme="minorEastAsia"/>
          <w:szCs w:val="21"/>
        </w:rPr>
        <w:t>、</w:t>
      </w:r>
      <w:r>
        <w:rPr>
          <w:rFonts w:ascii="Times New Roman" w:hAnsi="Times New Roman" w:cs="Times New Roman" w:eastAsiaTheme="minorEastAsia"/>
          <w:szCs w:val="21"/>
        </w:rPr>
        <w:t>“</w:t>
      </w:r>
      <w:r>
        <w:rPr>
          <w:rFonts w:ascii="Times New Roman" w:cs="Times New Roman" w:hAnsiTheme="minorEastAsia" w:eastAsiaTheme="minorEastAsia"/>
          <w:szCs w:val="21"/>
        </w:rPr>
        <w:t>内蒙古自治区稀土生产力促进中心</w:t>
      </w:r>
      <w:r>
        <w:rPr>
          <w:rFonts w:ascii="Times New Roman" w:hAnsi="Times New Roman" w:cs="Times New Roman" w:eastAsiaTheme="minorEastAsia"/>
          <w:szCs w:val="21"/>
        </w:rPr>
        <w:t>”</w:t>
      </w:r>
      <w:r>
        <w:rPr>
          <w:rFonts w:ascii="Times New Roman" w:cs="Times New Roman" w:hAnsiTheme="minorEastAsia" w:eastAsiaTheme="minorEastAsia"/>
          <w:szCs w:val="21"/>
        </w:rPr>
        <w:t>、</w:t>
      </w:r>
      <w:r>
        <w:rPr>
          <w:rFonts w:ascii="Times New Roman" w:hAnsi="Times New Roman" w:cs="Times New Roman" w:eastAsiaTheme="minorEastAsia"/>
          <w:szCs w:val="21"/>
        </w:rPr>
        <w:t>“</w:t>
      </w:r>
      <w:r>
        <w:rPr>
          <w:rFonts w:ascii="Times New Roman" w:cs="Times New Roman" w:hAnsiTheme="minorEastAsia" w:eastAsiaTheme="minorEastAsia"/>
          <w:szCs w:val="21"/>
        </w:rPr>
        <w:t>内蒙古自治区稀土高温冶金工程技术研究中心</w:t>
      </w:r>
      <w:r>
        <w:rPr>
          <w:rFonts w:ascii="Times New Roman" w:hAnsi="Times New Roman" w:cs="Times New Roman" w:eastAsiaTheme="minorEastAsia"/>
          <w:szCs w:val="21"/>
        </w:rPr>
        <w:t>”</w:t>
      </w:r>
      <w:r>
        <w:rPr>
          <w:rFonts w:ascii="Times New Roman" w:cs="Times New Roman" w:hAnsiTheme="minorEastAsia" w:eastAsiaTheme="minorEastAsia"/>
          <w:szCs w:val="21"/>
        </w:rPr>
        <w:t>以及</w:t>
      </w:r>
      <w:r>
        <w:rPr>
          <w:rFonts w:ascii="Times New Roman" w:hAnsi="Times New Roman" w:cs="Times New Roman" w:eastAsiaTheme="minorEastAsia"/>
          <w:szCs w:val="21"/>
        </w:rPr>
        <w:t>“</w:t>
      </w:r>
      <w:r>
        <w:rPr>
          <w:rFonts w:ascii="Times New Roman" w:cs="Times New Roman" w:hAnsiTheme="minorEastAsia" w:eastAsiaTheme="minorEastAsia"/>
          <w:szCs w:val="21"/>
        </w:rPr>
        <w:t>内蒙古自治区铌冶金工程实验室</w:t>
      </w:r>
      <w:r>
        <w:rPr>
          <w:rFonts w:ascii="Times New Roman" w:hAnsi="Times New Roman" w:cs="Times New Roman" w:eastAsiaTheme="minorEastAsia"/>
          <w:szCs w:val="21"/>
        </w:rPr>
        <w:t>”</w:t>
      </w:r>
      <w:r>
        <w:rPr>
          <w:rFonts w:ascii="Times New Roman" w:cs="Times New Roman" w:hAnsiTheme="minorEastAsia" w:eastAsiaTheme="minorEastAsia"/>
          <w:szCs w:val="21"/>
        </w:rPr>
        <w:t>。</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包头稀土研究院理化检测中心是本院的重要组成部分，拥有中国合格评定国家认可实验室认证（</w:t>
      </w:r>
      <w:r>
        <w:rPr>
          <w:rFonts w:ascii="Times New Roman" w:hAnsi="Times New Roman" w:cs="Times New Roman" w:eastAsiaTheme="minorEastAsia"/>
          <w:szCs w:val="21"/>
        </w:rPr>
        <w:t>CNAS</w:t>
      </w:r>
      <w:r>
        <w:rPr>
          <w:rFonts w:ascii="Times New Roman" w:cs="Times New Roman" w:hAnsiTheme="minorEastAsia" w:eastAsiaTheme="minorEastAsia"/>
          <w:szCs w:val="21"/>
        </w:rPr>
        <w:t>）、内蒙古技术监督局的计量认证（</w:t>
      </w:r>
      <w:r>
        <w:rPr>
          <w:rFonts w:ascii="Times New Roman" w:hAnsi="Times New Roman" w:cs="Times New Roman" w:eastAsiaTheme="minorEastAsia"/>
          <w:szCs w:val="21"/>
        </w:rPr>
        <w:t>CMA</w:t>
      </w:r>
      <w:r>
        <w:rPr>
          <w:rFonts w:ascii="Times New Roman" w:cs="Times New Roman" w:hAnsiTheme="minorEastAsia" w:eastAsiaTheme="minorEastAsia"/>
          <w:szCs w:val="21"/>
        </w:rPr>
        <w:t>）、全国分析检测人员能力培训和考核中心（</w:t>
      </w:r>
      <w:r>
        <w:rPr>
          <w:rFonts w:ascii="Times New Roman" w:hAnsi="Times New Roman" w:cs="Times New Roman" w:eastAsiaTheme="minorEastAsia"/>
          <w:szCs w:val="21"/>
        </w:rPr>
        <w:t>NTC</w:t>
      </w:r>
      <w:r>
        <w:rPr>
          <w:rFonts w:ascii="Times New Roman" w:cs="Times New Roman" w:hAnsiTheme="minorEastAsia" w:eastAsiaTheme="minorEastAsia"/>
          <w:szCs w:val="21"/>
        </w:rPr>
        <w:t>）等资质。主要从事稀土矿石、合金、金属、化合物及稀土新材料的检测工作，同时承接黑色金属、有色金属、选冶、新材料、土壤、铝材和生物样品的分析检测工作，出色地完成了大量国内外委托的检测业务。建院以来承担多项国家</w:t>
      </w:r>
      <w:r>
        <w:rPr>
          <w:rFonts w:ascii="Times New Roman" w:hAnsi="Times New Roman" w:cs="Times New Roman" w:eastAsiaTheme="minorEastAsia"/>
          <w:szCs w:val="21"/>
        </w:rPr>
        <w:t>/</w:t>
      </w:r>
      <w:r>
        <w:rPr>
          <w:rFonts w:ascii="Times New Roman" w:cs="Times New Roman" w:hAnsiTheme="minorEastAsia" w:eastAsiaTheme="minorEastAsia"/>
          <w:szCs w:val="21"/>
        </w:rPr>
        <w:t>行业标准分析方法的研究和标准样品的研制工作，在国内稀土产品检测领域地位突出。截止目前，理化检测中心完成国家</w:t>
      </w:r>
      <w:r>
        <w:rPr>
          <w:rFonts w:ascii="Times New Roman" w:hAnsi="Times New Roman" w:cs="Times New Roman" w:eastAsiaTheme="minorEastAsia"/>
          <w:szCs w:val="21"/>
        </w:rPr>
        <w:t>/</w:t>
      </w:r>
      <w:r>
        <w:rPr>
          <w:rFonts w:ascii="Times New Roman" w:cs="Times New Roman" w:hAnsiTheme="minorEastAsia" w:eastAsiaTheme="minorEastAsia"/>
          <w:szCs w:val="21"/>
        </w:rPr>
        <w:t>行业标准分析方法的相关起草工作</w:t>
      </w:r>
      <w:r>
        <w:rPr>
          <w:rFonts w:ascii="Times New Roman" w:hAnsi="Times New Roman" w:cs="Times New Roman" w:eastAsiaTheme="minorEastAsia"/>
          <w:szCs w:val="21"/>
        </w:rPr>
        <w:t>100</w:t>
      </w:r>
      <w:r>
        <w:rPr>
          <w:rFonts w:ascii="Times New Roman" w:cs="Times New Roman" w:hAnsiTheme="minorEastAsia" w:eastAsiaTheme="minorEastAsia"/>
          <w:szCs w:val="21"/>
        </w:rPr>
        <w:t>多项，曾获七五、八五攻关科研奖，多次获得中国有色金属工业科学技术二、三等奖等荣誉。基于包头稀土研究院长期在稀土湿法冶炼、环境保护、标准起草等方面积累的丰富经验，该项目实施期间，包头稀土研究院借鉴已有科研成果、发挥自身优势保证项目顺利推进。</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1.4</w:t>
      </w:r>
      <w:r>
        <w:rPr>
          <w:rFonts w:ascii="Arial" w:hAnsi="Arial" w:cs="Arial" w:eastAsiaTheme="minorEastAsia"/>
          <w:szCs w:val="21"/>
        </w:rPr>
        <w:t>主要工作过程</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1.</w:t>
      </w:r>
      <w:r>
        <w:rPr>
          <w:rFonts w:ascii="Arial" w:hAnsi="Arial" w:cs="Arial" w:eastAsiaTheme="minorEastAsia"/>
          <w:szCs w:val="21"/>
        </w:rPr>
        <w:t>4.1国内外标准的收集</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本标准是基于GB/T 12690.</w:t>
      </w:r>
      <w:r>
        <w:rPr>
          <w:rFonts w:hint="eastAsia" w:ascii="Arial" w:hAnsi="Arial" w:cs="Arial" w:eastAsiaTheme="minorEastAsia"/>
          <w:szCs w:val="21"/>
        </w:rPr>
        <w:t>4</w:t>
      </w:r>
      <w:r>
        <w:rPr>
          <w:rFonts w:ascii="Arial" w:hAnsi="Arial" w:cs="Arial" w:eastAsiaTheme="minorEastAsia"/>
          <w:szCs w:val="21"/>
        </w:rPr>
        <w:t>-200</w:t>
      </w:r>
      <w:r>
        <w:rPr>
          <w:rFonts w:hint="eastAsia" w:ascii="Arial" w:hAnsi="Arial" w:cs="Arial" w:eastAsiaTheme="minorEastAsia"/>
          <w:szCs w:val="21"/>
        </w:rPr>
        <w:t>3</w:t>
      </w:r>
      <w:r>
        <w:rPr>
          <w:rFonts w:ascii="Arial" w:hAnsi="Arial" w:cs="Arial" w:eastAsiaTheme="minorEastAsia"/>
          <w:szCs w:val="21"/>
        </w:rPr>
        <w:t>进行修订的，未查到其它与本标准完全一致的国内或国外标准。</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1.</w:t>
      </w:r>
      <w:r>
        <w:rPr>
          <w:rFonts w:ascii="Arial" w:hAnsi="Arial" w:cs="Arial" w:eastAsiaTheme="minorEastAsia"/>
          <w:szCs w:val="21"/>
        </w:rPr>
        <w:t>4.2主要工作过程</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2019年1月，全国稀土标准化化技术委员会召开任务落实会，确定由包头稀土研究院起草本标准，国合通用测试评价认证股份公司、钢研纳克检测技术股份有限公司、包头稀土研究院天津分院、湖南稀土金属材料研究院、内蒙古自治区稀土产品质量监督检验研究院(国家稀土产品质量监督检验中心)、厦门长汀金龙稀土有限公司等6家单位参与起草验证。</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——2019年2月至2019年8月研制统一样品，准备相关材料，负责起草单位根据试验方案进行不同的方法试验，完成试验报告和标准征求意见稿的编写工作。</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——2019年9月初，将试验样品和试验报告寄发给有关验证单位，进行方法的验证和征求意见稿的意见征求工作。</w:t>
      </w:r>
    </w:p>
    <w:p>
      <w:pPr>
        <w:adjustRightInd w:val="0"/>
        <w:snapToGrid w:val="0"/>
        <w:spacing w:line="360" w:lineRule="auto"/>
        <w:rPr>
          <w:rFonts w:hint="eastAsia" w:ascii="Arial" w:hAnsi="Arial" w:cs="Arial" w:eastAsiaTheme="minorEastAsia"/>
          <w:szCs w:val="21"/>
        </w:rPr>
      </w:pPr>
      <w:r>
        <w:rPr>
          <w:rFonts w:hint="eastAsia" w:ascii="Arial" w:hAnsi="Arial" w:cs="Arial" w:eastAsiaTheme="minorEastAsia"/>
          <w:szCs w:val="21"/>
        </w:rPr>
        <w:t>——2020年1月上旬各相关验证单位完成一验和二验相关工作，返回验证报告和意见。完成精密度试验和数据统计工作。根据征求意见，修改征求意见稿并形成预审稿。</w:t>
      </w:r>
    </w:p>
    <w:p>
      <w:pPr>
        <w:adjustRightInd w:val="0"/>
        <w:snapToGrid w:val="0"/>
        <w:spacing w:line="360" w:lineRule="auto"/>
        <w:rPr>
          <w:rFonts w:hint="eastAsia" w:ascii="Arial" w:hAnsi="Arial" w:cs="Arial" w:eastAsiaTheme="minorEastAsia"/>
          <w:szCs w:val="21"/>
          <w:lang w:val="en-US" w:eastAsia="zh-CN"/>
        </w:rPr>
      </w:pPr>
      <w:r>
        <w:rPr>
          <w:rFonts w:hint="eastAsia" w:ascii="Arial" w:hAnsi="Arial" w:cs="Arial" w:eastAsiaTheme="minorEastAsia"/>
          <w:szCs w:val="21"/>
        </w:rPr>
        <w:t>——</w:t>
      </w:r>
      <w:r>
        <w:rPr>
          <w:rFonts w:hint="eastAsia" w:ascii="Arial" w:hAnsi="Arial" w:cs="Arial" w:eastAsiaTheme="minorEastAsia"/>
          <w:szCs w:val="21"/>
          <w:lang w:val="en-US" w:eastAsia="zh-CN"/>
        </w:rPr>
        <w:t>2020年6月，参加标委会预审会议，会议之后就与会专家提出的意见和建议对研究报告和标准稿进行进一步完善。</w:t>
      </w:r>
    </w:p>
    <w:p>
      <w:pPr>
        <w:adjustRightInd w:val="0"/>
        <w:snapToGrid w:val="0"/>
        <w:spacing w:line="360" w:lineRule="auto"/>
        <w:rPr>
          <w:rFonts w:hint="eastAsia" w:ascii="Arial" w:hAnsi="Arial" w:cs="Arial" w:eastAsiaTheme="minorEastAsia"/>
          <w:szCs w:val="21"/>
          <w:lang w:val="en-US" w:eastAsia="zh-CN"/>
        </w:rPr>
      </w:pPr>
      <w:r>
        <w:rPr>
          <w:rFonts w:hint="eastAsia" w:ascii="Arial" w:hAnsi="Arial" w:cs="Arial" w:eastAsiaTheme="minorEastAsia"/>
          <w:szCs w:val="21"/>
        </w:rPr>
        <w:t>——</w:t>
      </w:r>
      <w:r>
        <w:rPr>
          <w:rFonts w:hint="eastAsia" w:ascii="Arial" w:hAnsi="Arial" w:cs="Arial" w:eastAsiaTheme="minorEastAsia"/>
          <w:szCs w:val="21"/>
          <w:lang w:val="en-US" w:eastAsia="zh-CN"/>
        </w:rPr>
        <w:t>2020年11月，完成修改后的研究报告和送审稿，准备标准审定会。标准送审稿意见建议汇总见表2</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675"/>
        <w:gridCol w:w="3870"/>
        <w:gridCol w:w="2002"/>
        <w:gridCol w:w="796"/>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50" w:type="pct"/>
            <w:noWrap w:val="0"/>
            <w:vAlign w:val="center"/>
          </w:tcPr>
          <w:p>
            <w:pPr>
              <w:jc w:val="center"/>
              <w:rPr>
                <w:szCs w:val="21"/>
              </w:rPr>
            </w:pPr>
            <w:r>
              <w:rPr>
                <w:szCs w:val="21"/>
              </w:rPr>
              <w:t>序号</w:t>
            </w:r>
          </w:p>
        </w:tc>
        <w:tc>
          <w:tcPr>
            <w:tcW w:w="396" w:type="pct"/>
            <w:noWrap w:val="0"/>
            <w:vAlign w:val="center"/>
          </w:tcPr>
          <w:p>
            <w:pPr>
              <w:jc w:val="center"/>
              <w:rPr>
                <w:szCs w:val="21"/>
              </w:rPr>
            </w:pPr>
            <w:r>
              <w:rPr>
                <w:szCs w:val="21"/>
              </w:rPr>
              <w:t>标准章条编号</w:t>
            </w:r>
          </w:p>
        </w:tc>
        <w:tc>
          <w:tcPr>
            <w:tcW w:w="2271" w:type="pct"/>
            <w:noWrap w:val="0"/>
            <w:vAlign w:val="center"/>
          </w:tcPr>
          <w:p>
            <w:pPr>
              <w:jc w:val="center"/>
              <w:rPr>
                <w:szCs w:val="21"/>
              </w:rPr>
            </w:pPr>
            <w:r>
              <w:rPr>
                <w:szCs w:val="21"/>
              </w:rPr>
              <w:t>意见内容</w:t>
            </w:r>
          </w:p>
        </w:tc>
        <w:tc>
          <w:tcPr>
            <w:tcW w:w="1175" w:type="pct"/>
            <w:noWrap w:val="0"/>
            <w:vAlign w:val="center"/>
          </w:tcPr>
          <w:p>
            <w:pPr>
              <w:jc w:val="center"/>
              <w:rPr>
                <w:szCs w:val="21"/>
              </w:rPr>
            </w:pPr>
            <w:r>
              <w:rPr>
                <w:szCs w:val="21"/>
              </w:rPr>
              <w:t>提出单位</w:t>
            </w:r>
          </w:p>
        </w:tc>
        <w:tc>
          <w:tcPr>
            <w:tcW w:w="467" w:type="pct"/>
            <w:noWrap w:val="0"/>
            <w:vAlign w:val="center"/>
          </w:tcPr>
          <w:p>
            <w:pPr>
              <w:jc w:val="center"/>
              <w:rPr>
                <w:rFonts w:hint="eastAsia"/>
                <w:szCs w:val="21"/>
              </w:rPr>
            </w:pPr>
            <w:r>
              <w:rPr>
                <w:szCs w:val="21"/>
              </w:rPr>
              <w:t>处理</w:t>
            </w:r>
          </w:p>
          <w:p>
            <w:pPr>
              <w:jc w:val="center"/>
              <w:rPr>
                <w:szCs w:val="21"/>
              </w:rPr>
            </w:pPr>
            <w:r>
              <w:rPr>
                <w:szCs w:val="21"/>
              </w:rPr>
              <w:t>意见</w:t>
            </w:r>
          </w:p>
        </w:tc>
        <w:tc>
          <w:tcPr>
            <w:tcW w:w="440" w:type="pct"/>
            <w:noWrap w:val="0"/>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 w:type="pct"/>
            <w:noWrap w:val="0"/>
            <w:vAlign w:val="center"/>
          </w:tcPr>
          <w:p>
            <w:pPr>
              <w:jc w:val="center"/>
              <w:rPr>
                <w:rFonts w:hint="eastAsia"/>
                <w:szCs w:val="21"/>
              </w:rPr>
            </w:pPr>
            <w:r>
              <w:rPr>
                <w:rFonts w:hint="eastAsia"/>
                <w:szCs w:val="21"/>
              </w:rPr>
              <w:t>1</w:t>
            </w:r>
          </w:p>
        </w:tc>
        <w:tc>
          <w:tcPr>
            <w:tcW w:w="396" w:type="pct"/>
            <w:noWrap w:val="0"/>
            <w:vAlign w:val="center"/>
          </w:tcPr>
          <w:p>
            <w:pPr>
              <w:jc w:val="center"/>
              <w:rPr>
                <w:rFonts w:hint="default" w:eastAsia="宋体"/>
                <w:szCs w:val="21"/>
                <w:lang w:val="en-US" w:eastAsia="zh-CN"/>
              </w:rPr>
            </w:pPr>
            <w:r>
              <w:rPr>
                <w:rFonts w:hint="eastAsia"/>
                <w:szCs w:val="21"/>
                <w:lang w:val="en-US" w:eastAsia="zh-CN"/>
              </w:rPr>
              <w:t>5.1</w:t>
            </w:r>
          </w:p>
        </w:tc>
        <w:tc>
          <w:tcPr>
            <w:tcW w:w="2271" w:type="pct"/>
            <w:noWrap w:val="0"/>
            <w:vAlign w:val="center"/>
          </w:tcPr>
          <w:p>
            <w:pPr>
              <w:jc w:val="left"/>
              <w:rPr>
                <w:rFonts w:hint="default" w:eastAsia="宋体"/>
                <w:bCs/>
                <w:szCs w:val="21"/>
                <w:lang w:val="en-US" w:eastAsia="zh-CN"/>
              </w:rPr>
            </w:pPr>
            <w:r>
              <w:rPr>
                <w:rFonts w:hint="eastAsia"/>
                <w:bCs/>
                <w:szCs w:val="21"/>
                <w:lang w:val="en-US" w:eastAsia="zh-CN"/>
              </w:rPr>
              <w:t>建议将“镍囊”改为“镍囊或镍篮”</w:t>
            </w:r>
          </w:p>
        </w:tc>
        <w:tc>
          <w:tcPr>
            <w:tcW w:w="1175" w:type="pct"/>
            <w:noWrap w:val="0"/>
            <w:vAlign w:val="center"/>
          </w:tcPr>
          <w:p>
            <w:pPr>
              <w:jc w:val="center"/>
              <w:rPr>
                <w:rFonts w:hint="default" w:eastAsia="宋体"/>
                <w:lang w:val="en-US" w:eastAsia="zh-CN"/>
              </w:rPr>
            </w:pPr>
            <w:r>
              <w:rPr>
                <w:rFonts w:hint="eastAsia"/>
                <w:lang w:val="en-US" w:eastAsia="zh-CN"/>
              </w:rPr>
              <w:t>国标（北京）检验认证有限公司</w:t>
            </w:r>
          </w:p>
        </w:tc>
        <w:tc>
          <w:tcPr>
            <w:tcW w:w="467" w:type="pct"/>
            <w:noWrap w:val="0"/>
            <w:vAlign w:val="center"/>
          </w:tcPr>
          <w:p>
            <w:pPr>
              <w:jc w:val="center"/>
              <w:rPr>
                <w:rFonts w:hint="eastAsia" w:eastAsia="宋体"/>
                <w:lang w:val="en-US" w:eastAsia="zh-CN"/>
              </w:rPr>
            </w:pPr>
            <w:r>
              <w:rPr>
                <w:rFonts w:hint="eastAsia"/>
                <w:lang w:val="en-US" w:eastAsia="zh-CN"/>
              </w:rPr>
              <w:t>采纳</w:t>
            </w:r>
          </w:p>
        </w:tc>
        <w:tc>
          <w:tcPr>
            <w:tcW w:w="440" w:type="pct"/>
            <w:noWrap w:val="0"/>
            <w:vAlign w:val="center"/>
          </w:tcPr>
          <w:p>
            <w:pPr>
              <w:jc w:val="center"/>
              <w:rPr>
                <w:rFonts w:hint="eastAsia"/>
                <w:color w:val="FF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 w:type="pct"/>
            <w:noWrap w:val="0"/>
            <w:vAlign w:val="center"/>
          </w:tcPr>
          <w:p>
            <w:pPr>
              <w:jc w:val="center"/>
              <w:rPr>
                <w:rFonts w:hint="eastAsia"/>
                <w:szCs w:val="21"/>
              </w:rPr>
            </w:pPr>
            <w:r>
              <w:rPr>
                <w:rFonts w:hint="eastAsia"/>
                <w:szCs w:val="21"/>
              </w:rPr>
              <w:t>2</w:t>
            </w:r>
          </w:p>
        </w:tc>
        <w:tc>
          <w:tcPr>
            <w:tcW w:w="396" w:type="pct"/>
            <w:noWrap w:val="0"/>
            <w:vAlign w:val="center"/>
          </w:tcPr>
          <w:p>
            <w:pPr>
              <w:jc w:val="center"/>
              <w:rPr>
                <w:rFonts w:hint="default" w:eastAsia="宋体"/>
                <w:szCs w:val="21"/>
                <w:lang w:val="en-US" w:eastAsia="zh-CN"/>
              </w:rPr>
            </w:pPr>
            <w:r>
              <w:rPr>
                <w:rFonts w:hint="eastAsia"/>
                <w:szCs w:val="21"/>
                <w:lang w:val="en-US" w:eastAsia="zh-CN"/>
              </w:rPr>
              <w:t>5.2</w:t>
            </w:r>
          </w:p>
        </w:tc>
        <w:tc>
          <w:tcPr>
            <w:tcW w:w="2271" w:type="pct"/>
            <w:noWrap w:val="0"/>
            <w:vAlign w:val="center"/>
          </w:tcPr>
          <w:p>
            <w:pPr>
              <w:jc w:val="left"/>
              <w:rPr>
                <w:rFonts w:hint="default" w:eastAsia="宋体"/>
                <w:bCs/>
                <w:szCs w:val="21"/>
                <w:lang w:val="en-US" w:eastAsia="zh-CN"/>
              </w:rPr>
            </w:pPr>
            <w:r>
              <w:rPr>
                <w:rFonts w:hint="eastAsia"/>
                <w:bCs/>
                <w:szCs w:val="21"/>
                <w:lang w:val="en-US" w:eastAsia="zh-CN"/>
              </w:rPr>
              <w:t>建议将“四氯化碳”改为“丙酮或四氯化碳”</w:t>
            </w:r>
          </w:p>
        </w:tc>
        <w:tc>
          <w:tcPr>
            <w:tcW w:w="1175" w:type="pct"/>
            <w:noWrap w:val="0"/>
            <w:vAlign w:val="center"/>
          </w:tcPr>
          <w:p>
            <w:pPr>
              <w:jc w:val="center"/>
              <w:rPr>
                <w:szCs w:val="21"/>
              </w:rPr>
            </w:pPr>
            <w:r>
              <w:rPr>
                <w:rFonts w:hint="eastAsia"/>
                <w:lang w:val="en-US" w:eastAsia="zh-CN"/>
              </w:rPr>
              <w:t>国标（北京）检验认证有限公司</w:t>
            </w:r>
          </w:p>
        </w:tc>
        <w:tc>
          <w:tcPr>
            <w:tcW w:w="467" w:type="pct"/>
            <w:noWrap w:val="0"/>
            <w:vAlign w:val="center"/>
          </w:tcPr>
          <w:p>
            <w:pPr>
              <w:pStyle w:val="32"/>
              <w:jc w:val="center"/>
              <w:rPr>
                <w:rFonts w:hint="eastAsia" w:eastAsia="宋体"/>
                <w:lang w:val="en-US" w:eastAsia="zh-CN"/>
              </w:rPr>
            </w:pPr>
            <w:r>
              <w:rPr>
                <w:rFonts w:hint="eastAsia"/>
                <w:lang w:val="en-US" w:eastAsia="zh-CN"/>
              </w:rPr>
              <w:t>采纳</w:t>
            </w:r>
          </w:p>
        </w:tc>
        <w:tc>
          <w:tcPr>
            <w:tcW w:w="440" w:type="pct"/>
            <w:noWrap w:val="0"/>
            <w:vAlign w:val="center"/>
          </w:tcPr>
          <w:p>
            <w:pPr>
              <w:pStyle w:val="3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 w:type="pct"/>
            <w:noWrap w:val="0"/>
            <w:vAlign w:val="center"/>
          </w:tcPr>
          <w:p>
            <w:pPr>
              <w:jc w:val="center"/>
              <w:rPr>
                <w:rFonts w:hint="eastAsia"/>
                <w:szCs w:val="21"/>
              </w:rPr>
            </w:pPr>
            <w:r>
              <w:rPr>
                <w:rFonts w:hint="eastAsia"/>
                <w:szCs w:val="21"/>
              </w:rPr>
              <w:t>3</w:t>
            </w:r>
          </w:p>
        </w:tc>
        <w:tc>
          <w:tcPr>
            <w:tcW w:w="396" w:type="pct"/>
            <w:noWrap w:val="0"/>
            <w:vAlign w:val="center"/>
          </w:tcPr>
          <w:p>
            <w:pPr>
              <w:pStyle w:val="32"/>
              <w:jc w:val="center"/>
              <w:rPr>
                <w:rFonts w:hint="default" w:eastAsia="宋体"/>
                <w:sz w:val="21"/>
                <w:szCs w:val="21"/>
                <w:lang w:val="en-US" w:eastAsia="zh-CN"/>
              </w:rPr>
            </w:pPr>
            <w:r>
              <w:rPr>
                <w:rFonts w:hint="eastAsia"/>
                <w:sz w:val="21"/>
                <w:szCs w:val="21"/>
                <w:lang w:val="en-US" w:eastAsia="zh-CN"/>
              </w:rPr>
              <w:t>8.1</w:t>
            </w:r>
          </w:p>
        </w:tc>
        <w:tc>
          <w:tcPr>
            <w:tcW w:w="2271" w:type="pct"/>
            <w:noWrap w:val="0"/>
            <w:vAlign w:val="center"/>
          </w:tcPr>
          <w:p>
            <w:pPr>
              <w:jc w:val="left"/>
              <w:rPr>
                <w:sz w:val="21"/>
                <w:szCs w:val="21"/>
              </w:rPr>
            </w:pPr>
            <w:r>
              <w:rPr>
                <w:rFonts w:hint="eastAsia" w:hAnsi="宋体"/>
                <w:sz w:val="21"/>
                <w:szCs w:val="21"/>
              </w:rPr>
              <w:t>“</w:t>
            </w:r>
            <w:r>
              <w:rPr>
                <w:rFonts w:hAnsi="宋体"/>
                <w:sz w:val="21"/>
                <w:szCs w:val="21"/>
              </w:rPr>
              <w:t>称取</w:t>
            </w:r>
            <w:r>
              <w:rPr>
                <w:sz w:val="21"/>
                <w:szCs w:val="21"/>
              </w:rPr>
              <w:t>0.</w:t>
            </w:r>
            <w:r>
              <w:rPr>
                <w:rFonts w:hint="eastAsia"/>
                <w:sz w:val="21"/>
                <w:szCs w:val="21"/>
              </w:rPr>
              <w:t>1</w:t>
            </w:r>
            <w:r>
              <w:rPr>
                <w:sz w:val="21"/>
                <w:szCs w:val="21"/>
              </w:rPr>
              <w:t>0</w:t>
            </w:r>
            <w:r>
              <w:rPr>
                <w:rFonts w:hint="eastAsia"/>
                <w:sz w:val="21"/>
                <w:szCs w:val="21"/>
              </w:rPr>
              <w:t>g</w:t>
            </w:r>
            <w:r>
              <w:rPr>
                <w:rFonts w:hAnsi="宋体"/>
                <w:sz w:val="21"/>
                <w:szCs w:val="21"/>
              </w:rPr>
              <w:t>至</w:t>
            </w:r>
            <w:r>
              <w:rPr>
                <w:sz w:val="21"/>
                <w:szCs w:val="21"/>
              </w:rPr>
              <w:t>0.1</w:t>
            </w:r>
            <w:r>
              <w:rPr>
                <w:rFonts w:hint="eastAsia"/>
                <w:sz w:val="21"/>
                <w:szCs w:val="21"/>
              </w:rPr>
              <w:t>6</w:t>
            </w:r>
            <w:r>
              <w:rPr>
                <w:sz w:val="21"/>
                <w:szCs w:val="21"/>
              </w:rPr>
              <w:t>g试样（</w:t>
            </w:r>
            <w:r>
              <w:rPr>
                <w:rFonts w:hint="eastAsia"/>
                <w:sz w:val="21"/>
                <w:szCs w:val="21"/>
              </w:rPr>
              <w:t>7</w:t>
            </w:r>
            <w:r>
              <w:rPr>
                <w:sz w:val="21"/>
                <w:szCs w:val="21"/>
              </w:rPr>
              <w:t>），精确至0.0001g。</w:t>
            </w:r>
            <w:r>
              <w:rPr>
                <w:rFonts w:hint="eastAsia" w:hAnsi="宋体"/>
                <w:sz w:val="21"/>
                <w:szCs w:val="21"/>
              </w:rPr>
              <w:t>”应修改为：“</w:t>
            </w:r>
            <w:r>
              <w:rPr>
                <w:rFonts w:hAnsi="宋体"/>
                <w:sz w:val="21"/>
                <w:szCs w:val="21"/>
              </w:rPr>
              <w:t>称取</w:t>
            </w:r>
            <w:r>
              <w:rPr>
                <w:sz w:val="21"/>
                <w:szCs w:val="21"/>
              </w:rPr>
              <w:t>0.</w:t>
            </w:r>
            <w:r>
              <w:rPr>
                <w:rFonts w:hint="eastAsia"/>
                <w:sz w:val="21"/>
                <w:szCs w:val="21"/>
              </w:rPr>
              <w:t>1</w:t>
            </w:r>
            <w:r>
              <w:rPr>
                <w:sz w:val="21"/>
                <w:szCs w:val="21"/>
              </w:rPr>
              <w:t>0</w:t>
            </w:r>
            <w:r>
              <w:rPr>
                <w:rFonts w:hint="eastAsia"/>
                <w:sz w:val="21"/>
                <w:szCs w:val="21"/>
              </w:rPr>
              <w:t>g</w:t>
            </w:r>
            <w:r>
              <w:rPr>
                <w:rFonts w:hAnsi="宋体"/>
                <w:sz w:val="21"/>
                <w:szCs w:val="21"/>
              </w:rPr>
              <w:t>至</w:t>
            </w:r>
            <w:r>
              <w:rPr>
                <w:sz w:val="21"/>
                <w:szCs w:val="21"/>
              </w:rPr>
              <w:t>0.1</w:t>
            </w:r>
            <w:r>
              <w:rPr>
                <w:rFonts w:hint="eastAsia"/>
                <w:sz w:val="21"/>
                <w:szCs w:val="21"/>
              </w:rPr>
              <w:t>6</w:t>
            </w:r>
            <w:r>
              <w:rPr>
                <w:sz w:val="21"/>
                <w:szCs w:val="21"/>
              </w:rPr>
              <w:t>g试样（</w:t>
            </w:r>
            <w:r>
              <w:rPr>
                <w:rFonts w:hint="eastAsia"/>
                <w:sz w:val="21"/>
                <w:szCs w:val="21"/>
              </w:rPr>
              <w:t>7</w:t>
            </w:r>
            <w:r>
              <w:rPr>
                <w:sz w:val="21"/>
                <w:szCs w:val="21"/>
              </w:rPr>
              <w:t>），精确至0.0001g</w:t>
            </w:r>
            <w:r>
              <w:rPr>
                <w:rFonts w:hint="eastAsia"/>
                <w:sz w:val="21"/>
                <w:szCs w:val="21"/>
              </w:rPr>
              <w:t>，</w:t>
            </w:r>
            <w:r>
              <w:rPr>
                <w:sz w:val="21"/>
                <w:szCs w:val="21"/>
              </w:rPr>
              <w:t>后置于</w:t>
            </w:r>
            <w:r>
              <w:rPr>
                <w:rFonts w:hint="eastAsia"/>
                <w:sz w:val="21"/>
                <w:szCs w:val="21"/>
                <w:lang w:val="en-US" w:eastAsia="zh-CN"/>
              </w:rPr>
              <w:t>带</w:t>
            </w:r>
            <w:r>
              <w:rPr>
                <w:sz w:val="21"/>
                <w:szCs w:val="21"/>
              </w:rPr>
              <w:t>盖镍囊中</w:t>
            </w:r>
            <w:r>
              <w:rPr>
                <w:rFonts w:hint="eastAsia"/>
                <w:sz w:val="21"/>
                <w:szCs w:val="21"/>
              </w:rPr>
              <w:t>，</w:t>
            </w:r>
            <w:r>
              <w:rPr>
                <w:sz w:val="21"/>
                <w:szCs w:val="21"/>
              </w:rPr>
              <w:t>并排出空气</w:t>
            </w:r>
            <w:r>
              <w:rPr>
                <w:rFonts w:hint="eastAsia"/>
                <w:sz w:val="21"/>
                <w:szCs w:val="21"/>
              </w:rPr>
              <w:t>。</w:t>
            </w:r>
            <w:r>
              <w:rPr>
                <w:rFonts w:hint="eastAsia" w:hAnsi="宋体"/>
                <w:sz w:val="21"/>
                <w:szCs w:val="21"/>
              </w:rPr>
              <w:t>”</w:t>
            </w:r>
          </w:p>
        </w:tc>
        <w:tc>
          <w:tcPr>
            <w:tcW w:w="1175" w:type="pct"/>
            <w:noWrap w:val="0"/>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天津包钢稀土研究院有限责任公司</w:t>
            </w:r>
          </w:p>
        </w:tc>
        <w:tc>
          <w:tcPr>
            <w:tcW w:w="467" w:type="pct"/>
            <w:noWrap w:val="0"/>
            <w:vAlign w:val="center"/>
          </w:tcPr>
          <w:p>
            <w:pPr>
              <w:pStyle w:val="32"/>
              <w:jc w:val="center"/>
              <w:rPr>
                <w:rFonts w:hint="eastAsia" w:eastAsia="宋体"/>
                <w:szCs w:val="21"/>
                <w:lang w:val="en-US" w:eastAsia="zh-CN"/>
              </w:rPr>
            </w:pPr>
            <w:r>
              <w:rPr>
                <w:rFonts w:hint="eastAsia"/>
                <w:szCs w:val="21"/>
                <w:lang w:val="en-US" w:eastAsia="zh-CN"/>
              </w:rPr>
              <w:t>采纳</w:t>
            </w:r>
          </w:p>
        </w:tc>
        <w:tc>
          <w:tcPr>
            <w:tcW w:w="440" w:type="pct"/>
            <w:noWrap w:val="0"/>
            <w:vAlign w:val="center"/>
          </w:tcPr>
          <w:p>
            <w:pPr>
              <w:pStyle w:val="3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 w:type="pct"/>
            <w:noWrap w:val="0"/>
            <w:vAlign w:val="center"/>
          </w:tcPr>
          <w:p>
            <w:pPr>
              <w:jc w:val="center"/>
              <w:rPr>
                <w:rFonts w:hint="eastAsia"/>
                <w:szCs w:val="21"/>
              </w:rPr>
            </w:pPr>
            <w:r>
              <w:rPr>
                <w:rFonts w:hint="eastAsia"/>
                <w:szCs w:val="21"/>
              </w:rPr>
              <w:t>4</w:t>
            </w:r>
          </w:p>
        </w:tc>
        <w:tc>
          <w:tcPr>
            <w:tcW w:w="396" w:type="pct"/>
            <w:noWrap w:val="0"/>
            <w:vAlign w:val="center"/>
          </w:tcPr>
          <w:p>
            <w:pPr>
              <w:pStyle w:val="32"/>
              <w:jc w:val="center"/>
              <w:rPr>
                <w:rFonts w:hint="eastAsia"/>
                <w:szCs w:val="21"/>
              </w:rPr>
            </w:pPr>
          </w:p>
        </w:tc>
        <w:tc>
          <w:tcPr>
            <w:tcW w:w="2271" w:type="pct"/>
            <w:noWrap w:val="0"/>
            <w:vAlign w:val="center"/>
          </w:tcPr>
          <w:p>
            <w:pPr>
              <w:jc w:val="left"/>
              <w:rPr>
                <w:rFonts w:hint="eastAsia"/>
                <w:color w:val="000000"/>
                <w:szCs w:val="21"/>
              </w:rPr>
            </w:pPr>
            <w:r>
              <w:rPr>
                <w:rFonts w:hint="eastAsia"/>
                <w:color w:val="000000"/>
                <w:szCs w:val="21"/>
              </w:rPr>
              <w:t>全文未按照GB/T 1.1-2020要求修订，如：</w:t>
            </w:r>
          </w:p>
          <w:p>
            <w:pPr>
              <w:jc w:val="left"/>
              <w:rPr>
                <w:rFonts w:hint="eastAsia"/>
                <w:color w:val="000000"/>
                <w:szCs w:val="21"/>
              </w:rPr>
            </w:pPr>
            <w:r>
              <w:rPr>
                <w:rFonts w:hint="eastAsia"/>
                <w:color w:val="000000"/>
                <w:szCs w:val="21"/>
              </w:rPr>
              <w:t>1.封面左上角第二行应为“CCS H 14”</w:t>
            </w:r>
          </w:p>
          <w:p>
            <w:pPr>
              <w:jc w:val="left"/>
              <w:rPr>
                <w:rFonts w:hint="eastAsia"/>
                <w:color w:val="000000"/>
                <w:szCs w:val="21"/>
              </w:rPr>
            </w:pPr>
            <w:r>
              <w:rPr>
                <w:rFonts w:hint="eastAsia"/>
                <w:color w:val="000000"/>
                <w:szCs w:val="21"/>
              </w:rPr>
              <w:t>2.封面下部应为“国家市场监督管理总局、国家标准化管理委员会”</w:t>
            </w:r>
          </w:p>
          <w:p>
            <w:pPr>
              <w:jc w:val="left"/>
              <w:rPr>
                <w:rFonts w:hint="eastAsia"/>
                <w:color w:val="000000"/>
                <w:szCs w:val="21"/>
              </w:rPr>
            </w:pPr>
            <w:r>
              <w:rPr>
                <w:rFonts w:hint="eastAsia"/>
                <w:color w:val="000000"/>
                <w:szCs w:val="21"/>
              </w:rPr>
              <w:t>3.通篇“本标准”、“本部分”应改为“本文件”</w:t>
            </w:r>
          </w:p>
          <w:p>
            <w:pPr>
              <w:jc w:val="left"/>
              <w:rPr>
                <w:rFonts w:hint="eastAsia"/>
                <w:color w:val="000000"/>
                <w:szCs w:val="21"/>
              </w:rPr>
            </w:pPr>
            <w:r>
              <w:rPr>
                <w:rFonts w:hint="eastAsia"/>
                <w:color w:val="000000"/>
                <w:szCs w:val="21"/>
              </w:rPr>
              <w:t>4.前言“修改了……”部分应添加原标准和现标准章节</w:t>
            </w:r>
          </w:p>
          <w:p>
            <w:pPr>
              <w:jc w:val="left"/>
              <w:rPr>
                <w:rFonts w:hint="eastAsia"/>
                <w:color w:val="000000"/>
                <w:szCs w:val="21"/>
              </w:rPr>
            </w:pPr>
            <w:r>
              <w:rPr>
                <w:rFonts w:hint="eastAsia"/>
                <w:color w:val="000000"/>
                <w:szCs w:val="21"/>
              </w:rPr>
              <w:t>5.前言本部分主要起草人和本部分主要验证人应合并</w:t>
            </w:r>
          </w:p>
          <w:p>
            <w:pPr>
              <w:jc w:val="left"/>
              <w:rPr>
                <w:rFonts w:hint="eastAsia"/>
                <w:color w:val="000000"/>
                <w:szCs w:val="21"/>
              </w:rPr>
            </w:pPr>
            <w:r>
              <w:rPr>
                <w:rFonts w:hint="eastAsia"/>
                <w:color w:val="000000"/>
                <w:szCs w:val="21"/>
              </w:rPr>
              <w:t>6.前言应增加专利方面的声明</w:t>
            </w:r>
          </w:p>
          <w:p>
            <w:pPr>
              <w:jc w:val="left"/>
              <w:rPr>
                <w:color w:val="000000"/>
                <w:szCs w:val="21"/>
              </w:rPr>
            </w:pPr>
            <w:r>
              <w:rPr>
                <w:rFonts w:hint="eastAsia"/>
                <w:color w:val="000000"/>
                <w:szCs w:val="21"/>
              </w:rPr>
              <w:t>7.前言金龙稀土全称错误，应为“福建省长汀金龙稀土有限公司”</w:t>
            </w:r>
          </w:p>
        </w:tc>
        <w:tc>
          <w:tcPr>
            <w:tcW w:w="1175" w:type="pct"/>
            <w:noWrap w:val="0"/>
            <w:vAlign w:val="center"/>
          </w:tcPr>
          <w:p>
            <w:pPr>
              <w:jc w:val="center"/>
              <w:rPr>
                <w:rFonts w:hint="default" w:eastAsia="宋体"/>
                <w:szCs w:val="21"/>
                <w:lang w:val="en-US" w:eastAsia="zh-CN"/>
              </w:rPr>
            </w:pPr>
            <w:r>
              <w:rPr>
                <w:rFonts w:hint="eastAsia"/>
                <w:szCs w:val="21"/>
                <w:lang w:val="en-US" w:eastAsia="zh-CN"/>
              </w:rPr>
              <w:t>福建省长汀金龙稀土有限公司</w:t>
            </w:r>
          </w:p>
        </w:tc>
        <w:tc>
          <w:tcPr>
            <w:tcW w:w="467" w:type="pct"/>
            <w:noWrap w:val="0"/>
            <w:vAlign w:val="center"/>
          </w:tcPr>
          <w:p>
            <w:pPr>
              <w:pStyle w:val="32"/>
              <w:jc w:val="center"/>
              <w:rPr>
                <w:rFonts w:hint="eastAsia" w:eastAsia="宋体"/>
                <w:szCs w:val="21"/>
                <w:lang w:val="en-US" w:eastAsia="zh-CN"/>
              </w:rPr>
            </w:pPr>
            <w:r>
              <w:rPr>
                <w:rFonts w:hint="eastAsia"/>
                <w:szCs w:val="21"/>
                <w:lang w:val="en-US" w:eastAsia="zh-CN"/>
              </w:rPr>
              <w:t>采纳</w:t>
            </w:r>
          </w:p>
        </w:tc>
        <w:tc>
          <w:tcPr>
            <w:tcW w:w="440" w:type="pct"/>
            <w:noWrap w:val="0"/>
            <w:vAlign w:val="center"/>
          </w:tcPr>
          <w:p>
            <w:pPr>
              <w:pStyle w:val="3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 w:type="pct"/>
            <w:noWrap w:val="0"/>
            <w:vAlign w:val="center"/>
          </w:tcPr>
          <w:p>
            <w:pPr>
              <w:jc w:val="center"/>
              <w:rPr>
                <w:rFonts w:hint="eastAsia"/>
                <w:szCs w:val="21"/>
              </w:rPr>
            </w:pPr>
            <w:r>
              <w:rPr>
                <w:rFonts w:hint="eastAsia"/>
                <w:szCs w:val="21"/>
              </w:rPr>
              <w:t>5</w:t>
            </w:r>
          </w:p>
        </w:tc>
        <w:tc>
          <w:tcPr>
            <w:tcW w:w="396" w:type="pct"/>
            <w:noWrap w:val="0"/>
            <w:vAlign w:val="center"/>
          </w:tcPr>
          <w:p>
            <w:pPr>
              <w:pStyle w:val="32"/>
              <w:jc w:val="center"/>
              <w:rPr>
                <w:rFonts w:hint="eastAsia" w:eastAsia="宋体"/>
                <w:szCs w:val="21"/>
                <w:lang w:val="en-US" w:eastAsia="zh-CN"/>
              </w:rPr>
            </w:pPr>
            <w:r>
              <w:rPr>
                <w:rFonts w:hint="eastAsia"/>
                <w:szCs w:val="21"/>
                <w:lang w:val="en-US" w:eastAsia="zh-CN"/>
              </w:rPr>
              <w:t>附录</w:t>
            </w:r>
          </w:p>
        </w:tc>
        <w:tc>
          <w:tcPr>
            <w:tcW w:w="2271" w:type="pct"/>
            <w:noWrap w:val="0"/>
            <w:vAlign w:val="center"/>
          </w:tcPr>
          <w:p>
            <w:pPr>
              <w:jc w:val="left"/>
              <w:rPr>
                <w:szCs w:val="21"/>
              </w:rPr>
            </w:pPr>
            <w:r>
              <w:rPr>
                <w:rFonts w:hint="eastAsia"/>
                <w:szCs w:val="21"/>
              </w:rPr>
              <w:t>应增加精密度数据附录</w:t>
            </w:r>
          </w:p>
        </w:tc>
        <w:tc>
          <w:tcPr>
            <w:tcW w:w="1175" w:type="pct"/>
            <w:noWrap w:val="0"/>
            <w:vAlign w:val="center"/>
          </w:tcPr>
          <w:p>
            <w:pPr>
              <w:jc w:val="center"/>
              <w:rPr>
                <w:rFonts w:hint="eastAsia"/>
                <w:szCs w:val="21"/>
              </w:rPr>
            </w:pPr>
            <w:r>
              <w:rPr>
                <w:rFonts w:hint="eastAsia"/>
                <w:szCs w:val="21"/>
                <w:lang w:val="en-US" w:eastAsia="zh-CN"/>
              </w:rPr>
              <w:t>福建省长汀金龙稀土有限公司</w:t>
            </w:r>
          </w:p>
        </w:tc>
        <w:tc>
          <w:tcPr>
            <w:tcW w:w="467" w:type="pct"/>
            <w:noWrap w:val="0"/>
            <w:vAlign w:val="center"/>
          </w:tcPr>
          <w:p>
            <w:pPr>
              <w:pStyle w:val="32"/>
              <w:jc w:val="center"/>
              <w:rPr>
                <w:rFonts w:hint="eastAsia" w:eastAsia="宋体"/>
                <w:szCs w:val="21"/>
                <w:lang w:val="en-US" w:eastAsia="zh-CN"/>
              </w:rPr>
            </w:pPr>
            <w:r>
              <w:rPr>
                <w:rFonts w:hint="eastAsia"/>
                <w:szCs w:val="21"/>
                <w:lang w:val="en-US" w:eastAsia="zh-CN"/>
              </w:rPr>
              <w:t>采纳</w:t>
            </w:r>
          </w:p>
        </w:tc>
        <w:tc>
          <w:tcPr>
            <w:tcW w:w="440" w:type="pct"/>
            <w:noWrap w:val="0"/>
            <w:vAlign w:val="center"/>
          </w:tcPr>
          <w:p>
            <w:pPr>
              <w:pStyle w:val="3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 w:type="pct"/>
            <w:noWrap w:val="0"/>
            <w:vAlign w:val="center"/>
          </w:tcPr>
          <w:p>
            <w:pPr>
              <w:jc w:val="center"/>
              <w:rPr>
                <w:rFonts w:hint="eastAsia"/>
                <w:szCs w:val="21"/>
              </w:rPr>
            </w:pPr>
            <w:r>
              <w:rPr>
                <w:rFonts w:hint="eastAsia"/>
                <w:szCs w:val="21"/>
              </w:rPr>
              <w:t>6</w:t>
            </w:r>
          </w:p>
        </w:tc>
        <w:tc>
          <w:tcPr>
            <w:tcW w:w="396" w:type="pct"/>
            <w:noWrap w:val="0"/>
            <w:vAlign w:val="center"/>
          </w:tcPr>
          <w:p>
            <w:pPr>
              <w:pStyle w:val="32"/>
              <w:jc w:val="center"/>
              <w:rPr>
                <w:rFonts w:ascii="宋体" w:cs="宋体"/>
                <w:color w:val="000000"/>
                <w:sz w:val="24"/>
                <w:szCs w:val="21"/>
                <w:lang w:val="en-US" w:eastAsia="zh-CN" w:bidi="ar-SA"/>
              </w:rPr>
            </w:pPr>
            <w:r>
              <w:rPr>
                <w:rFonts w:hint="eastAsia"/>
                <w:szCs w:val="21"/>
              </w:rPr>
              <w:t>附录A</w:t>
            </w:r>
          </w:p>
        </w:tc>
        <w:tc>
          <w:tcPr>
            <w:tcW w:w="2271" w:type="pct"/>
            <w:noWrap w:val="0"/>
            <w:vAlign w:val="center"/>
          </w:tcPr>
          <w:p>
            <w:pPr>
              <w:jc w:val="center"/>
              <w:rPr>
                <w:kern w:val="2"/>
                <w:sz w:val="21"/>
                <w:szCs w:val="21"/>
                <w:lang w:val="en-US" w:eastAsia="zh-CN" w:bidi="ar-SA"/>
              </w:rPr>
            </w:pPr>
            <w:r>
              <w:rPr>
                <w:rFonts w:hint="eastAsia"/>
                <w:szCs w:val="21"/>
              </w:rPr>
              <w:t>R</w:t>
            </w:r>
            <w:r>
              <w:rPr>
                <w:rFonts w:hint="eastAsia"/>
                <w:szCs w:val="21"/>
                <w:vertAlign w:val="subscript"/>
              </w:rPr>
              <w:t>d</w:t>
            </w:r>
            <w:r>
              <w:rPr>
                <w:rFonts w:hint="eastAsia"/>
                <w:szCs w:val="21"/>
              </w:rPr>
              <w:t>应为r</w:t>
            </w:r>
          </w:p>
        </w:tc>
        <w:tc>
          <w:tcPr>
            <w:tcW w:w="1175" w:type="pct"/>
            <w:noWrap w:val="0"/>
            <w:vAlign w:val="center"/>
          </w:tcPr>
          <w:p>
            <w:pPr>
              <w:jc w:val="center"/>
              <w:rPr>
                <w:rFonts w:hint="eastAsia"/>
                <w:kern w:val="2"/>
                <w:sz w:val="21"/>
                <w:szCs w:val="21"/>
                <w:lang w:val="en-US" w:eastAsia="zh-CN" w:bidi="ar-SA"/>
              </w:rPr>
            </w:pPr>
            <w:r>
              <w:rPr>
                <w:rFonts w:hint="eastAsia"/>
                <w:szCs w:val="21"/>
                <w:lang w:val="en-US" w:eastAsia="zh-CN"/>
              </w:rPr>
              <w:t>福建省长汀金龙稀土有限公司</w:t>
            </w:r>
          </w:p>
        </w:tc>
        <w:tc>
          <w:tcPr>
            <w:tcW w:w="467" w:type="pct"/>
            <w:noWrap w:val="0"/>
            <w:vAlign w:val="center"/>
          </w:tcPr>
          <w:p>
            <w:pPr>
              <w:pStyle w:val="32"/>
              <w:jc w:val="center"/>
              <w:rPr>
                <w:rFonts w:hint="eastAsia" w:ascii="宋体" w:eastAsia="宋体" w:cs="宋体"/>
                <w:color w:val="000000"/>
                <w:sz w:val="24"/>
                <w:szCs w:val="21"/>
                <w:lang w:val="en-US" w:eastAsia="zh-CN" w:bidi="ar-SA"/>
              </w:rPr>
            </w:pPr>
            <w:r>
              <w:rPr>
                <w:rFonts w:hint="eastAsia"/>
                <w:szCs w:val="21"/>
                <w:lang w:val="en-US" w:eastAsia="zh-CN"/>
              </w:rPr>
              <w:t>采纳</w:t>
            </w:r>
          </w:p>
        </w:tc>
        <w:tc>
          <w:tcPr>
            <w:tcW w:w="440" w:type="pct"/>
            <w:noWrap w:val="0"/>
            <w:vAlign w:val="center"/>
          </w:tcPr>
          <w:p>
            <w:pPr>
              <w:pStyle w:val="32"/>
              <w:jc w:val="center"/>
              <w:rPr>
                <w:szCs w:val="21"/>
              </w:rPr>
            </w:pPr>
          </w:p>
        </w:tc>
      </w:tr>
    </w:tbl>
    <w:p>
      <w:pPr>
        <w:adjustRightInd w:val="0"/>
        <w:snapToGrid w:val="0"/>
        <w:spacing w:line="360" w:lineRule="auto"/>
        <w:rPr>
          <w:rFonts w:hint="default" w:ascii="Arial" w:hAnsi="Arial" w:cs="Arial" w:eastAsiaTheme="minorEastAsia"/>
          <w:szCs w:val="21"/>
          <w:lang w:val="en-US" w:eastAsia="zh-CN"/>
        </w:rPr>
      </w:pPr>
      <w:bookmarkStart w:id="1" w:name="_GoBack"/>
      <w:bookmarkEnd w:id="1"/>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1.</w:t>
      </w:r>
      <w:r>
        <w:rPr>
          <w:rFonts w:ascii="Arial" w:hAnsi="Arial" w:cs="Arial" w:eastAsiaTheme="minorEastAsia"/>
          <w:szCs w:val="21"/>
        </w:rPr>
        <w:t>4.</w:t>
      </w:r>
      <w:r>
        <w:rPr>
          <w:rFonts w:hint="eastAsia" w:ascii="Arial" w:hAnsi="Arial" w:cs="Arial" w:eastAsiaTheme="minorEastAsia"/>
          <w:szCs w:val="21"/>
        </w:rPr>
        <w:t>3</w:t>
      </w:r>
      <w:r>
        <w:rPr>
          <w:rFonts w:ascii="Arial" w:hAnsi="Arial" w:cs="Arial" w:eastAsiaTheme="minorEastAsia"/>
          <w:szCs w:val="21"/>
        </w:rPr>
        <w:t>参加稀土标委会工作会议情况</w:t>
      </w:r>
    </w:p>
    <w:p>
      <w:pPr>
        <w:adjustRightInd w:val="0"/>
        <w:snapToGrid w:val="0"/>
        <w:spacing w:line="360" w:lineRule="auto"/>
        <w:rPr>
          <w:rFonts w:hint="eastAsia" w:ascii="Arial" w:hAnsi="Arial" w:cs="Arial" w:eastAsiaTheme="minorEastAsia"/>
          <w:szCs w:val="21"/>
          <w:lang w:val="en-US" w:eastAsia="zh-CN"/>
        </w:rPr>
      </w:pPr>
      <w:r>
        <w:rPr>
          <w:rFonts w:hint="eastAsia" w:ascii="Arial" w:hAnsi="Arial" w:cs="Arial" w:eastAsiaTheme="minorEastAsia"/>
          <w:szCs w:val="21"/>
          <w:lang w:val="en-US" w:eastAsia="zh-CN"/>
        </w:rPr>
        <w:t>1.4.3.1 标准预审会</w:t>
      </w:r>
    </w:p>
    <w:p>
      <w:pPr>
        <w:adjustRightInd w:val="0"/>
        <w:snapToGrid w:val="0"/>
        <w:spacing w:line="360" w:lineRule="auto"/>
        <w:ind w:firstLine="420"/>
        <w:rPr>
          <w:rFonts w:hint="eastAsia" w:eastAsiaTheme="minorEastAsia"/>
          <w:szCs w:val="21"/>
          <w:lang w:val="en-US" w:eastAsia="zh-CN"/>
        </w:rPr>
      </w:pPr>
      <w:r>
        <w:rPr>
          <w:rFonts w:hint="eastAsia" w:ascii="Arial" w:hAnsi="Arial" w:cs="Arial" w:eastAsiaTheme="minorEastAsia"/>
          <w:szCs w:val="21"/>
          <w:lang w:val="en-US" w:eastAsia="zh-CN"/>
        </w:rPr>
        <w:t>2020年6月16-17日在浙江省杭州市召开第二次稀土标准工作会议，会议上对稀土金属及其氧化物中非稀土杂质化学分析方法中氧、氮含量的测定标准进行了预审。</w:t>
      </w:r>
      <w:r>
        <w:rPr>
          <w:rFonts w:eastAsiaTheme="minorEastAsia"/>
          <w:szCs w:val="21"/>
        </w:rPr>
        <w:t>与会专家给予意见</w:t>
      </w:r>
      <w:r>
        <w:rPr>
          <w:rFonts w:hint="eastAsia" w:eastAsiaTheme="minorEastAsia"/>
          <w:szCs w:val="21"/>
        </w:rPr>
        <w:t>见表</w:t>
      </w:r>
      <w:r>
        <w:rPr>
          <w:rFonts w:hint="eastAsia" w:eastAsiaTheme="minorEastAsia"/>
          <w:szCs w:val="21"/>
          <w:lang w:val="en-US" w:eastAsia="zh-CN"/>
        </w:rPr>
        <w:t>2。</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27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Theme="minorEastAsia"/>
                <w:szCs w:val="21"/>
                <w:vertAlign w:val="baseline"/>
                <w:lang w:val="en-US" w:eastAsia="zh-CN"/>
              </w:rPr>
            </w:pPr>
            <w:r>
              <w:rPr>
                <w:rFonts w:hint="eastAsia" w:eastAsiaTheme="minorEastAsia"/>
                <w:szCs w:val="21"/>
                <w:vertAlign w:val="baseline"/>
                <w:lang w:val="en-US" w:eastAsia="zh-CN"/>
              </w:rPr>
              <w:t>序号</w:t>
            </w:r>
          </w:p>
        </w:tc>
        <w:tc>
          <w:tcPr>
            <w:tcW w:w="3272" w:type="dxa"/>
            <w:vAlign w:val="center"/>
          </w:tcPr>
          <w:p>
            <w:pPr>
              <w:adjustRightInd w:val="0"/>
              <w:snapToGrid w:val="0"/>
              <w:spacing w:line="240" w:lineRule="auto"/>
              <w:jc w:val="center"/>
              <w:rPr>
                <w:rFonts w:hint="eastAsia" w:eastAsiaTheme="minorEastAsia"/>
                <w:szCs w:val="21"/>
                <w:vertAlign w:val="baseline"/>
                <w:lang w:val="en-US" w:eastAsia="zh-CN"/>
              </w:rPr>
            </w:pPr>
            <w:r>
              <w:rPr>
                <w:rFonts w:hint="eastAsia" w:eastAsiaTheme="minorEastAsia"/>
                <w:szCs w:val="21"/>
                <w:vertAlign w:val="baseline"/>
                <w:lang w:val="en-US" w:eastAsia="zh-CN"/>
              </w:rPr>
              <w:t>意见内容</w:t>
            </w:r>
          </w:p>
        </w:tc>
        <w:tc>
          <w:tcPr>
            <w:tcW w:w="2131" w:type="dxa"/>
            <w:vAlign w:val="center"/>
          </w:tcPr>
          <w:p>
            <w:pPr>
              <w:adjustRightInd w:val="0"/>
              <w:snapToGrid w:val="0"/>
              <w:spacing w:line="240" w:lineRule="auto"/>
              <w:jc w:val="center"/>
              <w:rPr>
                <w:rFonts w:hint="eastAsia" w:eastAsiaTheme="minorEastAsia"/>
                <w:szCs w:val="21"/>
                <w:vertAlign w:val="baseline"/>
                <w:lang w:val="en-US" w:eastAsia="zh-CN"/>
              </w:rPr>
            </w:pPr>
            <w:r>
              <w:rPr>
                <w:rFonts w:hint="eastAsia" w:eastAsiaTheme="minorEastAsia"/>
                <w:szCs w:val="21"/>
                <w:vertAlign w:val="baseline"/>
                <w:lang w:val="en-US" w:eastAsia="zh-CN"/>
              </w:rPr>
              <w:t>处理意见</w:t>
            </w:r>
          </w:p>
        </w:tc>
        <w:tc>
          <w:tcPr>
            <w:tcW w:w="2131" w:type="dxa"/>
            <w:vAlign w:val="center"/>
          </w:tcPr>
          <w:p>
            <w:pPr>
              <w:adjustRightInd w:val="0"/>
              <w:snapToGrid w:val="0"/>
              <w:spacing w:line="240" w:lineRule="auto"/>
              <w:jc w:val="center"/>
              <w:rPr>
                <w:rFonts w:hint="eastAsia" w:eastAsiaTheme="minorEastAsia"/>
                <w:szCs w:val="21"/>
                <w:vertAlign w:val="baseline"/>
                <w:lang w:val="en-US" w:eastAsia="zh-CN"/>
              </w:rPr>
            </w:pPr>
            <w:r>
              <w:rPr>
                <w:rFonts w:hint="eastAsia" w:eastAsiaTheme="minorEastAsia"/>
                <w:szCs w:val="21"/>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adjustRightInd w:val="0"/>
              <w:snapToGrid w:val="0"/>
              <w:spacing w:line="240" w:lineRule="auto"/>
              <w:jc w:val="center"/>
              <w:rPr>
                <w:rFonts w:hint="default" w:eastAsiaTheme="minorEastAsia"/>
                <w:szCs w:val="21"/>
                <w:vertAlign w:val="baseline"/>
                <w:lang w:val="en-US" w:eastAsia="zh-CN"/>
              </w:rPr>
            </w:pPr>
            <w:r>
              <w:rPr>
                <w:rFonts w:hint="eastAsia" w:eastAsiaTheme="minorEastAsia"/>
                <w:szCs w:val="21"/>
                <w:vertAlign w:val="baseline"/>
                <w:lang w:val="en-US" w:eastAsia="zh-CN"/>
              </w:rPr>
              <w:t>1</w:t>
            </w:r>
          </w:p>
        </w:tc>
        <w:tc>
          <w:tcPr>
            <w:tcW w:w="3272" w:type="dxa"/>
            <w:vAlign w:val="center"/>
          </w:tcPr>
          <w:p>
            <w:pPr>
              <w:adjustRightInd w:val="0"/>
              <w:snapToGrid w:val="0"/>
              <w:spacing w:line="240" w:lineRule="auto"/>
              <w:jc w:val="left"/>
              <w:rPr>
                <w:rFonts w:hint="eastAsia" w:eastAsiaTheme="minorEastAsia"/>
                <w:szCs w:val="21"/>
                <w:vertAlign w:val="baseline"/>
                <w:lang w:val="en-US" w:eastAsia="zh-CN"/>
              </w:rPr>
            </w:pPr>
            <w:r>
              <w:rPr>
                <w:rFonts w:hint="eastAsia" w:eastAsiaTheme="minorEastAsia"/>
                <w:szCs w:val="21"/>
                <w:vertAlign w:val="baseline"/>
                <w:lang w:val="en-US" w:eastAsia="zh-CN"/>
              </w:rPr>
              <w:t>标准稿中前言中主要技术变化部分添加原标准标准描述与修订内容对比描述；</w:t>
            </w:r>
          </w:p>
        </w:tc>
        <w:tc>
          <w:tcPr>
            <w:tcW w:w="2131" w:type="dxa"/>
            <w:vAlign w:val="center"/>
          </w:tcPr>
          <w:p>
            <w:pPr>
              <w:adjustRightInd w:val="0"/>
              <w:snapToGrid w:val="0"/>
              <w:spacing w:line="240" w:lineRule="auto"/>
              <w:jc w:val="center"/>
              <w:rPr>
                <w:rFonts w:hint="eastAsia" w:eastAsiaTheme="minorEastAsia"/>
                <w:szCs w:val="21"/>
                <w:vertAlign w:val="baseline"/>
                <w:lang w:val="en-US" w:eastAsia="zh-CN"/>
              </w:rPr>
            </w:pPr>
            <w:r>
              <w:rPr>
                <w:rFonts w:hint="eastAsia" w:eastAsiaTheme="minorEastAsia"/>
                <w:szCs w:val="21"/>
                <w:vertAlign w:val="baseline"/>
                <w:lang w:val="en-US" w:eastAsia="zh-CN"/>
              </w:rPr>
              <w:t>采纳</w:t>
            </w:r>
          </w:p>
        </w:tc>
        <w:tc>
          <w:tcPr>
            <w:tcW w:w="2131" w:type="dxa"/>
            <w:vAlign w:val="center"/>
          </w:tcPr>
          <w:p>
            <w:pPr>
              <w:adjustRightInd w:val="0"/>
              <w:snapToGrid w:val="0"/>
              <w:spacing w:line="240" w:lineRule="auto"/>
              <w:jc w:val="left"/>
              <w:rPr>
                <w:rFonts w:hint="eastAsia" w:eastAsiaTheme="minor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adjustRightInd w:val="0"/>
              <w:snapToGrid w:val="0"/>
              <w:spacing w:line="240" w:lineRule="auto"/>
              <w:jc w:val="center"/>
              <w:rPr>
                <w:rFonts w:hint="default" w:eastAsiaTheme="minorEastAsia"/>
                <w:szCs w:val="21"/>
                <w:vertAlign w:val="baseline"/>
                <w:lang w:val="en-US" w:eastAsia="zh-CN"/>
              </w:rPr>
            </w:pPr>
            <w:r>
              <w:rPr>
                <w:rFonts w:hint="eastAsia" w:eastAsiaTheme="minorEastAsia"/>
                <w:szCs w:val="21"/>
                <w:vertAlign w:val="baseline"/>
                <w:lang w:val="en-US" w:eastAsia="zh-CN"/>
              </w:rPr>
              <w:t>2</w:t>
            </w:r>
          </w:p>
        </w:tc>
        <w:tc>
          <w:tcPr>
            <w:tcW w:w="3272" w:type="dxa"/>
            <w:vAlign w:val="center"/>
          </w:tcPr>
          <w:p>
            <w:pPr>
              <w:adjustRightInd w:val="0"/>
              <w:snapToGrid w:val="0"/>
              <w:spacing w:line="240" w:lineRule="auto"/>
              <w:jc w:val="left"/>
              <w:rPr>
                <w:rFonts w:hint="eastAsia" w:eastAsiaTheme="minorEastAsia"/>
                <w:szCs w:val="21"/>
                <w:vertAlign w:val="baseline"/>
                <w:lang w:val="en-US" w:eastAsia="zh-CN"/>
              </w:rPr>
            </w:pPr>
            <w:r>
              <w:rPr>
                <w:rFonts w:hint="eastAsia" w:eastAsiaTheme="minorEastAsia"/>
                <w:szCs w:val="21"/>
                <w:vertAlign w:val="baseline"/>
                <w:lang w:val="en-US" w:eastAsia="zh-CN"/>
              </w:rPr>
              <w:t>增加规范性引用文件或术语定义</w:t>
            </w:r>
          </w:p>
        </w:tc>
        <w:tc>
          <w:tcPr>
            <w:tcW w:w="2131" w:type="dxa"/>
            <w:vAlign w:val="center"/>
          </w:tcPr>
          <w:p>
            <w:pPr>
              <w:adjustRightInd w:val="0"/>
              <w:snapToGrid w:val="0"/>
              <w:spacing w:line="240" w:lineRule="auto"/>
              <w:jc w:val="center"/>
              <w:rPr>
                <w:rFonts w:hint="eastAsia" w:eastAsiaTheme="minorEastAsia"/>
                <w:szCs w:val="21"/>
                <w:vertAlign w:val="baseline"/>
                <w:lang w:val="en-US" w:eastAsia="zh-CN"/>
              </w:rPr>
            </w:pPr>
            <w:r>
              <w:rPr>
                <w:rFonts w:hint="eastAsia" w:eastAsiaTheme="minorEastAsia"/>
                <w:szCs w:val="21"/>
                <w:vertAlign w:val="baseline"/>
                <w:lang w:val="en-US" w:eastAsia="zh-CN"/>
              </w:rPr>
              <w:t>采纳</w:t>
            </w:r>
          </w:p>
        </w:tc>
        <w:tc>
          <w:tcPr>
            <w:tcW w:w="2131" w:type="dxa"/>
            <w:vAlign w:val="center"/>
          </w:tcPr>
          <w:p>
            <w:pPr>
              <w:adjustRightInd w:val="0"/>
              <w:snapToGrid w:val="0"/>
              <w:spacing w:line="240" w:lineRule="auto"/>
              <w:jc w:val="left"/>
              <w:rPr>
                <w:rFonts w:hint="eastAsia" w:eastAsiaTheme="minor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adjustRightInd w:val="0"/>
              <w:snapToGrid w:val="0"/>
              <w:spacing w:line="240" w:lineRule="auto"/>
              <w:jc w:val="center"/>
              <w:rPr>
                <w:rFonts w:hint="default" w:eastAsiaTheme="minorEastAsia"/>
                <w:szCs w:val="21"/>
                <w:vertAlign w:val="baseline"/>
                <w:lang w:val="en-US" w:eastAsia="zh-CN"/>
              </w:rPr>
            </w:pPr>
            <w:r>
              <w:rPr>
                <w:rFonts w:hint="eastAsia" w:eastAsiaTheme="minorEastAsia"/>
                <w:szCs w:val="21"/>
                <w:vertAlign w:val="baseline"/>
                <w:lang w:val="en-US" w:eastAsia="zh-CN"/>
              </w:rPr>
              <w:t>3</w:t>
            </w:r>
          </w:p>
        </w:tc>
        <w:tc>
          <w:tcPr>
            <w:tcW w:w="3272" w:type="dxa"/>
            <w:vAlign w:val="center"/>
          </w:tcPr>
          <w:p>
            <w:pPr>
              <w:adjustRightInd w:val="0"/>
              <w:snapToGrid w:val="0"/>
              <w:spacing w:line="240" w:lineRule="auto"/>
              <w:jc w:val="left"/>
              <w:rPr>
                <w:rFonts w:hint="eastAsia" w:eastAsiaTheme="minorEastAsia"/>
                <w:szCs w:val="21"/>
                <w:vertAlign w:val="baseline"/>
                <w:lang w:val="en-US" w:eastAsia="zh-CN"/>
              </w:rPr>
            </w:pPr>
            <w:r>
              <w:rPr>
                <w:rFonts w:hint="eastAsia" w:eastAsiaTheme="minorEastAsia"/>
                <w:szCs w:val="21"/>
                <w:vertAlign w:val="baseline"/>
                <w:lang w:val="en-US" w:eastAsia="zh-CN"/>
              </w:rPr>
              <w:t>准备电解法制备的稀土金属，验证氧含量下限，若没有含量特别低的金属，则考虑重新确定标准方法中氧含量下限</w:t>
            </w:r>
          </w:p>
        </w:tc>
        <w:tc>
          <w:tcPr>
            <w:tcW w:w="2131" w:type="dxa"/>
            <w:vAlign w:val="center"/>
          </w:tcPr>
          <w:p>
            <w:pPr>
              <w:adjustRightInd w:val="0"/>
              <w:snapToGrid w:val="0"/>
              <w:spacing w:line="240" w:lineRule="auto"/>
              <w:jc w:val="center"/>
              <w:rPr>
                <w:rFonts w:hint="eastAsia" w:eastAsiaTheme="minorEastAsia"/>
                <w:szCs w:val="21"/>
                <w:vertAlign w:val="baseline"/>
                <w:lang w:val="en-US" w:eastAsia="zh-CN"/>
              </w:rPr>
            </w:pPr>
            <w:r>
              <w:rPr>
                <w:rFonts w:hint="eastAsia" w:eastAsiaTheme="minorEastAsia"/>
                <w:szCs w:val="21"/>
                <w:vertAlign w:val="baseline"/>
                <w:lang w:val="en-US" w:eastAsia="zh-CN"/>
              </w:rPr>
              <w:t>采纳</w:t>
            </w:r>
          </w:p>
        </w:tc>
        <w:tc>
          <w:tcPr>
            <w:tcW w:w="2131" w:type="dxa"/>
            <w:vAlign w:val="center"/>
          </w:tcPr>
          <w:p>
            <w:pPr>
              <w:adjustRightInd w:val="0"/>
              <w:snapToGrid w:val="0"/>
              <w:spacing w:line="240" w:lineRule="auto"/>
              <w:jc w:val="left"/>
              <w:rPr>
                <w:rFonts w:hint="eastAsia" w:eastAsiaTheme="minorEastAsia"/>
                <w:szCs w:val="21"/>
                <w:vertAlign w:val="baseline"/>
                <w:lang w:val="en-US" w:eastAsia="zh-CN"/>
              </w:rPr>
            </w:pPr>
            <w:r>
              <w:rPr>
                <w:rFonts w:hint="eastAsia" w:eastAsiaTheme="minorEastAsia"/>
                <w:szCs w:val="21"/>
                <w:vertAlign w:val="baseline"/>
                <w:lang w:val="en-US" w:eastAsia="zh-CN"/>
              </w:rPr>
              <w:t>已准备相关氧含量下限附近样品进行验证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adjustRightInd w:val="0"/>
              <w:snapToGrid w:val="0"/>
              <w:spacing w:line="240" w:lineRule="auto"/>
              <w:jc w:val="center"/>
              <w:rPr>
                <w:rFonts w:hint="default" w:eastAsiaTheme="minorEastAsia"/>
                <w:szCs w:val="21"/>
                <w:vertAlign w:val="baseline"/>
                <w:lang w:val="en-US" w:eastAsia="zh-CN"/>
              </w:rPr>
            </w:pPr>
            <w:r>
              <w:rPr>
                <w:rFonts w:hint="eastAsia" w:eastAsiaTheme="minorEastAsia"/>
                <w:szCs w:val="21"/>
                <w:vertAlign w:val="baseline"/>
                <w:lang w:val="en-US" w:eastAsia="zh-CN"/>
              </w:rPr>
              <w:t>4</w:t>
            </w:r>
          </w:p>
        </w:tc>
        <w:tc>
          <w:tcPr>
            <w:tcW w:w="3272" w:type="dxa"/>
            <w:vAlign w:val="center"/>
          </w:tcPr>
          <w:p>
            <w:pPr>
              <w:adjustRightInd w:val="0"/>
              <w:snapToGrid w:val="0"/>
              <w:spacing w:line="240" w:lineRule="auto"/>
              <w:jc w:val="left"/>
              <w:rPr>
                <w:rFonts w:hint="eastAsia" w:eastAsiaTheme="minorEastAsia"/>
                <w:szCs w:val="21"/>
                <w:vertAlign w:val="baseline"/>
                <w:lang w:val="en-US" w:eastAsia="zh-CN"/>
              </w:rPr>
            </w:pPr>
            <w:r>
              <w:rPr>
                <w:rFonts w:hint="eastAsia" w:eastAsiaTheme="minorEastAsia"/>
                <w:szCs w:val="21"/>
                <w:vertAlign w:val="baseline"/>
                <w:lang w:val="en-US" w:eastAsia="zh-CN"/>
              </w:rPr>
              <w:t>从理论和实际的角度重新论述验证助溶剂的选择依据</w:t>
            </w:r>
          </w:p>
        </w:tc>
        <w:tc>
          <w:tcPr>
            <w:tcW w:w="2131" w:type="dxa"/>
            <w:vAlign w:val="center"/>
          </w:tcPr>
          <w:p>
            <w:pPr>
              <w:adjustRightInd w:val="0"/>
              <w:snapToGrid w:val="0"/>
              <w:spacing w:line="240" w:lineRule="auto"/>
              <w:jc w:val="center"/>
              <w:rPr>
                <w:rFonts w:hint="eastAsia" w:eastAsiaTheme="minorEastAsia"/>
                <w:szCs w:val="21"/>
                <w:vertAlign w:val="baseline"/>
                <w:lang w:val="en-US" w:eastAsia="zh-CN"/>
              </w:rPr>
            </w:pPr>
            <w:r>
              <w:rPr>
                <w:rFonts w:hint="eastAsia" w:eastAsiaTheme="minorEastAsia"/>
                <w:szCs w:val="21"/>
                <w:vertAlign w:val="baseline"/>
                <w:lang w:val="en-US" w:eastAsia="zh-CN"/>
              </w:rPr>
              <w:t>采纳</w:t>
            </w:r>
          </w:p>
        </w:tc>
        <w:tc>
          <w:tcPr>
            <w:tcW w:w="2131" w:type="dxa"/>
            <w:vAlign w:val="center"/>
          </w:tcPr>
          <w:p>
            <w:pPr>
              <w:adjustRightInd w:val="0"/>
              <w:snapToGrid w:val="0"/>
              <w:spacing w:line="240" w:lineRule="auto"/>
              <w:jc w:val="left"/>
              <w:rPr>
                <w:rFonts w:hint="eastAsia" w:eastAsiaTheme="minorEastAsia"/>
                <w:szCs w:val="21"/>
                <w:vertAlign w:val="baseline"/>
                <w:lang w:val="en-US" w:eastAsia="zh-CN"/>
              </w:rPr>
            </w:pPr>
            <w:r>
              <w:rPr>
                <w:rFonts w:hint="eastAsia" w:eastAsiaTheme="minorEastAsia"/>
                <w:szCs w:val="21"/>
                <w:vertAlign w:val="baseline"/>
                <w:lang w:val="en-US" w:eastAsia="zh-CN"/>
              </w:rPr>
              <w:t>已对助溶剂的的助溶效果及氧、氮释放效果进行试验验证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adjustRightInd w:val="0"/>
              <w:snapToGrid w:val="0"/>
              <w:spacing w:line="240" w:lineRule="auto"/>
              <w:jc w:val="center"/>
              <w:rPr>
                <w:rFonts w:hint="default" w:eastAsiaTheme="minorEastAsia"/>
                <w:szCs w:val="21"/>
                <w:vertAlign w:val="baseline"/>
                <w:lang w:val="en-US" w:eastAsia="zh-CN"/>
              </w:rPr>
            </w:pPr>
            <w:r>
              <w:rPr>
                <w:rFonts w:hint="eastAsia" w:eastAsiaTheme="minorEastAsia"/>
                <w:szCs w:val="21"/>
                <w:vertAlign w:val="baseline"/>
                <w:lang w:val="en-US" w:eastAsia="zh-CN"/>
              </w:rPr>
              <w:t>5</w:t>
            </w:r>
          </w:p>
        </w:tc>
        <w:tc>
          <w:tcPr>
            <w:tcW w:w="3272" w:type="dxa"/>
            <w:vAlign w:val="center"/>
          </w:tcPr>
          <w:p>
            <w:pPr>
              <w:adjustRightInd w:val="0"/>
              <w:snapToGrid w:val="0"/>
              <w:spacing w:line="240" w:lineRule="auto"/>
              <w:jc w:val="left"/>
              <w:rPr>
                <w:rFonts w:hint="eastAsia" w:eastAsiaTheme="minorEastAsia"/>
                <w:szCs w:val="21"/>
                <w:vertAlign w:val="baseline"/>
                <w:lang w:val="en-US" w:eastAsia="zh-CN"/>
              </w:rPr>
            </w:pPr>
            <w:r>
              <w:rPr>
                <w:rFonts w:hint="eastAsia" w:eastAsiaTheme="minorEastAsia"/>
                <w:szCs w:val="21"/>
                <w:vertAlign w:val="baseline"/>
                <w:lang w:val="en-US" w:eastAsia="zh-CN"/>
              </w:rPr>
              <w:t>参考最新版涉及氧氮含量测定的标准方法，给出仪器构造图</w:t>
            </w:r>
          </w:p>
        </w:tc>
        <w:tc>
          <w:tcPr>
            <w:tcW w:w="2131" w:type="dxa"/>
            <w:vAlign w:val="center"/>
          </w:tcPr>
          <w:p>
            <w:pPr>
              <w:adjustRightInd w:val="0"/>
              <w:snapToGrid w:val="0"/>
              <w:spacing w:line="240" w:lineRule="auto"/>
              <w:jc w:val="center"/>
              <w:rPr>
                <w:rFonts w:hint="eastAsia" w:eastAsiaTheme="minorEastAsia"/>
                <w:szCs w:val="21"/>
                <w:vertAlign w:val="baseline"/>
                <w:lang w:val="en-US" w:eastAsia="zh-CN"/>
              </w:rPr>
            </w:pPr>
            <w:r>
              <w:rPr>
                <w:rFonts w:hint="eastAsia" w:eastAsiaTheme="minorEastAsia"/>
                <w:szCs w:val="21"/>
                <w:vertAlign w:val="baseline"/>
                <w:lang w:val="en-US" w:eastAsia="zh-CN"/>
              </w:rPr>
              <w:t>采纳</w:t>
            </w:r>
          </w:p>
        </w:tc>
        <w:tc>
          <w:tcPr>
            <w:tcW w:w="2131" w:type="dxa"/>
            <w:vAlign w:val="center"/>
          </w:tcPr>
          <w:p>
            <w:pPr>
              <w:adjustRightInd w:val="0"/>
              <w:snapToGrid w:val="0"/>
              <w:spacing w:line="240" w:lineRule="auto"/>
              <w:jc w:val="left"/>
              <w:rPr>
                <w:rFonts w:hint="eastAsia" w:eastAsiaTheme="minor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adjustRightInd w:val="0"/>
              <w:snapToGrid w:val="0"/>
              <w:spacing w:line="240" w:lineRule="auto"/>
              <w:jc w:val="center"/>
              <w:rPr>
                <w:rFonts w:hint="default" w:eastAsiaTheme="minorEastAsia"/>
                <w:szCs w:val="21"/>
                <w:vertAlign w:val="baseline"/>
                <w:lang w:val="en-US" w:eastAsia="zh-CN"/>
              </w:rPr>
            </w:pPr>
            <w:r>
              <w:rPr>
                <w:rFonts w:hint="eastAsia" w:eastAsiaTheme="minorEastAsia"/>
                <w:szCs w:val="21"/>
                <w:vertAlign w:val="baseline"/>
                <w:lang w:val="en-US" w:eastAsia="zh-CN"/>
              </w:rPr>
              <w:t>6</w:t>
            </w:r>
          </w:p>
        </w:tc>
        <w:tc>
          <w:tcPr>
            <w:tcW w:w="3272" w:type="dxa"/>
            <w:vAlign w:val="center"/>
          </w:tcPr>
          <w:p>
            <w:pPr>
              <w:adjustRightInd w:val="0"/>
              <w:snapToGrid w:val="0"/>
              <w:spacing w:line="240" w:lineRule="auto"/>
              <w:jc w:val="left"/>
              <w:rPr>
                <w:rFonts w:hint="eastAsia" w:eastAsiaTheme="minorEastAsia"/>
                <w:szCs w:val="21"/>
                <w:vertAlign w:val="baseline"/>
                <w:lang w:val="en-US" w:eastAsia="zh-CN"/>
              </w:rPr>
            </w:pPr>
            <w:r>
              <w:rPr>
                <w:rFonts w:hint="eastAsia" w:eastAsiaTheme="minorEastAsia"/>
                <w:szCs w:val="21"/>
                <w:vertAlign w:val="baseline"/>
                <w:lang w:val="en-US" w:eastAsia="zh-CN"/>
              </w:rPr>
              <w:t>方法中所使用的标准样品信息规范描述，如样品名称、含量等</w:t>
            </w:r>
          </w:p>
        </w:tc>
        <w:tc>
          <w:tcPr>
            <w:tcW w:w="2131" w:type="dxa"/>
            <w:vAlign w:val="center"/>
          </w:tcPr>
          <w:p>
            <w:pPr>
              <w:adjustRightInd w:val="0"/>
              <w:snapToGrid w:val="0"/>
              <w:spacing w:line="240" w:lineRule="auto"/>
              <w:jc w:val="center"/>
              <w:rPr>
                <w:rFonts w:hint="eastAsia" w:eastAsiaTheme="minorEastAsia"/>
                <w:szCs w:val="21"/>
                <w:vertAlign w:val="baseline"/>
                <w:lang w:val="en-US" w:eastAsia="zh-CN"/>
              </w:rPr>
            </w:pPr>
            <w:r>
              <w:rPr>
                <w:rFonts w:hint="eastAsia" w:eastAsiaTheme="minorEastAsia"/>
                <w:szCs w:val="21"/>
                <w:vertAlign w:val="baseline"/>
                <w:lang w:val="en-US" w:eastAsia="zh-CN"/>
              </w:rPr>
              <w:t>不采纳</w:t>
            </w:r>
          </w:p>
        </w:tc>
        <w:tc>
          <w:tcPr>
            <w:tcW w:w="2131" w:type="dxa"/>
            <w:vAlign w:val="center"/>
          </w:tcPr>
          <w:p>
            <w:pPr>
              <w:adjustRightInd w:val="0"/>
              <w:snapToGrid w:val="0"/>
              <w:spacing w:line="240" w:lineRule="auto"/>
              <w:jc w:val="left"/>
              <w:rPr>
                <w:rFonts w:hint="eastAsia" w:eastAsiaTheme="minorEastAsia"/>
                <w:szCs w:val="21"/>
                <w:vertAlign w:val="baseline"/>
                <w:lang w:val="en-US" w:eastAsia="zh-CN"/>
              </w:rPr>
            </w:pPr>
            <w:r>
              <w:rPr>
                <w:rFonts w:hint="eastAsia" w:eastAsiaTheme="minorEastAsia"/>
                <w:szCs w:val="21"/>
                <w:vertAlign w:val="baseline"/>
                <w:lang w:val="en-US" w:eastAsia="zh-CN"/>
              </w:rPr>
              <w:t>标准中不宜出现限定性的试验材料，已在标准中说明标准样品的选取原则即可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adjustRightInd w:val="0"/>
              <w:snapToGrid w:val="0"/>
              <w:spacing w:line="240" w:lineRule="auto"/>
              <w:jc w:val="center"/>
              <w:rPr>
                <w:rFonts w:hint="default" w:eastAsiaTheme="minorEastAsia"/>
                <w:szCs w:val="21"/>
                <w:vertAlign w:val="baseline"/>
                <w:lang w:val="en-US" w:eastAsia="zh-CN"/>
              </w:rPr>
            </w:pPr>
            <w:r>
              <w:rPr>
                <w:rFonts w:hint="eastAsia" w:eastAsiaTheme="minorEastAsia"/>
                <w:szCs w:val="21"/>
                <w:vertAlign w:val="baseline"/>
                <w:lang w:val="en-US" w:eastAsia="zh-CN"/>
              </w:rPr>
              <w:t>7</w:t>
            </w:r>
          </w:p>
        </w:tc>
        <w:tc>
          <w:tcPr>
            <w:tcW w:w="3272" w:type="dxa"/>
            <w:vAlign w:val="center"/>
          </w:tcPr>
          <w:p>
            <w:pPr>
              <w:adjustRightInd w:val="0"/>
              <w:snapToGrid w:val="0"/>
              <w:spacing w:line="240" w:lineRule="auto"/>
              <w:jc w:val="left"/>
              <w:rPr>
                <w:rFonts w:hint="eastAsia" w:eastAsiaTheme="minorEastAsia"/>
                <w:szCs w:val="21"/>
                <w:vertAlign w:val="baseline"/>
                <w:lang w:val="en-US" w:eastAsia="zh-CN"/>
              </w:rPr>
            </w:pPr>
            <w:r>
              <w:rPr>
                <w:rFonts w:hint="eastAsia" w:eastAsiaTheme="minorEastAsia"/>
                <w:szCs w:val="21"/>
                <w:vertAlign w:val="baseline"/>
                <w:lang w:val="en-US" w:eastAsia="zh-CN"/>
              </w:rPr>
              <w:t>方法名称的副标题直接描述为“稀土金属中……”</w:t>
            </w:r>
          </w:p>
        </w:tc>
        <w:tc>
          <w:tcPr>
            <w:tcW w:w="2131" w:type="dxa"/>
            <w:vAlign w:val="center"/>
          </w:tcPr>
          <w:p>
            <w:pPr>
              <w:adjustRightInd w:val="0"/>
              <w:snapToGrid w:val="0"/>
              <w:spacing w:line="240" w:lineRule="auto"/>
              <w:jc w:val="center"/>
              <w:rPr>
                <w:rFonts w:hint="eastAsia" w:eastAsiaTheme="minorEastAsia"/>
                <w:szCs w:val="21"/>
                <w:vertAlign w:val="baseline"/>
                <w:lang w:val="en-US" w:eastAsia="zh-CN"/>
              </w:rPr>
            </w:pPr>
            <w:r>
              <w:rPr>
                <w:rFonts w:hint="eastAsia" w:eastAsiaTheme="minorEastAsia"/>
                <w:szCs w:val="21"/>
                <w:vertAlign w:val="baseline"/>
                <w:lang w:val="en-US" w:eastAsia="zh-CN"/>
              </w:rPr>
              <w:t>采纳</w:t>
            </w:r>
          </w:p>
        </w:tc>
        <w:tc>
          <w:tcPr>
            <w:tcW w:w="2131" w:type="dxa"/>
            <w:vAlign w:val="center"/>
          </w:tcPr>
          <w:p>
            <w:pPr>
              <w:adjustRightInd w:val="0"/>
              <w:snapToGrid w:val="0"/>
              <w:spacing w:line="240" w:lineRule="auto"/>
              <w:jc w:val="left"/>
              <w:rPr>
                <w:rFonts w:hint="eastAsia" w:eastAsiaTheme="minor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adjustRightInd w:val="0"/>
              <w:snapToGrid w:val="0"/>
              <w:spacing w:line="240" w:lineRule="auto"/>
              <w:jc w:val="center"/>
              <w:rPr>
                <w:rFonts w:hint="default" w:eastAsiaTheme="minorEastAsia"/>
                <w:szCs w:val="21"/>
                <w:vertAlign w:val="baseline"/>
                <w:lang w:val="en-US" w:eastAsia="zh-CN"/>
              </w:rPr>
            </w:pPr>
            <w:r>
              <w:rPr>
                <w:rFonts w:hint="eastAsia" w:eastAsiaTheme="minorEastAsia"/>
                <w:szCs w:val="21"/>
                <w:vertAlign w:val="baseline"/>
                <w:lang w:val="en-US" w:eastAsia="zh-CN"/>
              </w:rPr>
              <w:t>8</w:t>
            </w:r>
          </w:p>
        </w:tc>
        <w:tc>
          <w:tcPr>
            <w:tcW w:w="3272" w:type="dxa"/>
            <w:vAlign w:val="center"/>
          </w:tcPr>
          <w:p>
            <w:pPr>
              <w:adjustRightInd w:val="0"/>
              <w:snapToGrid w:val="0"/>
              <w:spacing w:line="240" w:lineRule="auto"/>
              <w:jc w:val="left"/>
              <w:rPr>
                <w:rFonts w:hint="eastAsia" w:eastAsiaTheme="minorEastAsia"/>
                <w:szCs w:val="21"/>
                <w:vertAlign w:val="baseline"/>
                <w:lang w:val="en-US" w:eastAsia="zh-CN"/>
              </w:rPr>
            </w:pPr>
            <w:r>
              <w:rPr>
                <w:rFonts w:hint="eastAsia" w:eastAsiaTheme="minorEastAsia"/>
                <w:szCs w:val="21"/>
                <w:vertAlign w:val="baseline"/>
                <w:lang w:val="en-US" w:eastAsia="zh-CN"/>
              </w:rPr>
              <w:t>将不适用于本方法的单一或多元稀土金属列出并说明</w:t>
            </w:r>
          </w:p>
        </w:tc>
        <w:tc>
          <w:tcPr>
            <w:tcW w:w="2131" w:type="dxa"/>
            <w:vAlign w:val="center"/>
          </w:tcPr>
          <w:p>
            <w:pPr>
              <w:adjustRightInd w:val="0"/>
              <w:snapToGrid w:val="0"/>
              <w:spacing w:line="240" w:lineRule="auto"/>
              <w:jc w:val="center"/>
              <w:rPr>
                <w:rFonts w:hint="eastAsia" w:eastAsiaTheme="minorEastAsia"/>
                <w:szCs w:val="21"/>
                <w:vertAlign w:val="baseline"/>
                <w:lang w:val="en-US" w:eastAsia="zh-CN"/>
              </w:rPr>
            </w:pPr>
            <w:r>
              <w:rPr>
                <w:rFonts w:hint="eastAsia" w:eastAsiaTheme="minorEastAsia"/>
                <w:szCs w:val="21"/>
                <w:vertAlign w:val="baseline"/>
                <w:lang w:val="en-US" w:eastAsia="zh-CN"/>
              </w:rPr>
              <w:t>采纳</w:t>
            </w:r>
          </w:p>
        </w:tc>
        <w:tc>
          <w:tcPr>
            <w:tcW w:w="2131" w:type="dxa"/>
            <w:vAlign w:val="center"/>
          </w:tcPr>
          <w:p>
            <w:pPr>
              <w:adjustRightInd w:val="0"/>
              <w:snapToGrid w:val="0"/>
              <w:spacing w:line="240" w:lineRule="auto"/>
              <w:jc w:val="left"/>
              <w:rPr>
                <w:rFonts w:hint="eastAsia" w:eastAsiaTheme="minorEastAsia"/>
                <w:szCs w:val="21"/>
                <w:vertAlign w:val="baseline"/>
                <w:lang w:val="en-US" w:eastAsia="zh-CN"/>
              </w:rPr>
            </w:pPr>
          </w:p>
        </w:tc>
      </w:tr>
    </w:tbl>
    <w:p>
      <w:pPr>
        <w:adjustRightInd w:val="0"/>
        <w:snapToGrid w:val="0"/>
        <w:spacing w:line="360" w:lineRule="auto"/>
        <w:rPr>
          <w:rFonts w:hint="eastAsia" w:eastAsiaTheme="minorEastAsia"/>
          <w:szCs w:val="21"/>
          <w:lang w:val="en-US" w:eastAsia="zh-CN"/>
        </w:rPr>
      </w:pPr>
    </w:p>
    <w:p>
      <w:pPr>
        <w:adjustRightInd w:val="0"/>
        <w:snapToGrid w:val="0"/>
        <w:spacing w:line="360" w:lineRule="auto"/>
        <w:rPr>
          <w:rFonts w:ascii="Arial" w:hAnsi="Arial" w:cs="Arial" w:eastAsiaTheme="minorEastAsia"/>
          <w:szCs w:val="21"/>
        </w:rPr>
      </w:pPr>
      <w:r>
        <w:rPr>
          <w:rFonts w:ascii="Arial" w:hAnsi="Arial" w:cs="Arial" w:eastAsiaTheme="minorEastAsia"/>
          <w:szCs w:val="21"/>
        </w:rPr>
        <w:t>二、标准编制原则和主要内容</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2.1 编制原则</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2.1.1</w:t>
      </w:r>
      <w:r>
        <w:rPr>
          <w:rFonts w:ascii="Arial" w:hAnsi="Arial" w:cs="Arial" w:eastAsiaTheme="minorEastAsia"/>
          <w:szCs w:val="21"/>
        </w:rPr>
        <w:t>标准的格式严格按照GB/T 1.1-2009《标准化工作导则第1部分：标准的结构和编写》的规定进行。</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2.1.2</w:t>
      </w:r>
      <w:r>
        <w:rPr>
          <w:rFonts w:ascii="Arial" w:hAnsi="Arial" w:cs="Arial" w:eastAsiaTheme="minorEastAsia"/>
          <w:szCs w:val="21"/>
        </w:rPr>
        <w:t>根据测定元素的不同，最终确定各元素测定方法的允许差。</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2.1.3</w:t>
      </w:r>
      <w:r>
        <w:rPr>
          <w:rFonts w:ascii="Arial" w:hAnsi="Arial" w:cs="Arial" w:eastAsiaTheme="minorEastAsia"/>
          <w:szCs w:val="21"/>
        </w:rPr>
        <w:t>根据目前稀土金属及其氧化物的生产、应用和贸易要求确定分析方法及测定范围。</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本系列标准选择方法的原则主要考虑方法的适用性、准确性和一定的先进性。</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2.2标准技术内容说明</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试料经过前处理后，在惰性气体气氛下，通过高温熔融石墨坩埚中的试料，把试料中各种形态氧经过氧化提取出来。经吸收、分离等不同流程去除其他杂质干扰后，氧提取物通过红外吸收方法获得检测。</w:t>
      </w:r>
    </w:p>
    <w:p>
      <w:pPr>
        <w:adjustRightInd w:val="0"/>
        <w:snapToGrid w:val="0"/>
        <w:spacing w:line="360" w:lineRule="auto"/>
        <w:ind w:firstLine="420" w:firstLineChars="200"/>
        <w:rPr>
          <w:rFonts w:hint="eastAsia" w:ascii="Arial" w:hAnsi="Arial" w:cs="Arial" w:eastAsiaTheme="minorEastAsia"/>
          <w:szCs w:val="21"/>
          <w:lang w:eastAsia="zh-CN"/>
        </w:rPr>
      </w:pPr>
      <w:r>
        <w:rPr>
          <w:rFonts w:hint="eastAsia" w:ascii="Arial" w:hAnsi="Arial" w:cs="Arial" w:eastAsiaTheme="minorEastAsia"/>
          <w:szCs w:val="21"/>
        </w:rPr>
        <w:t>通过本次修订，扩展了方法的检测范围：氧 0.0050%～0.30%，氮 0.0020%～0.20%。现行标准测氧时使用锡粒助熔，测氮时使用镍片助熔，不方便，本次修订统一修改为使用镍囊包裹和助熔样品。</w:t>
      </w:r>
      <w:r>
        <w:rPr>
          <w:rFonts w:hint="eastAsia" w:ascii="Arial" w:hAnsi="Arial" w:cs="Arial" w:eastAsiaTheme="minorEastAsia"/>
          <w:szCs w:val="21"/>
          <w:lang w:eastAsia="zh-CN"/>
        </w:rPr>
        <w:t>同时修改了试料的质量，由原标准的“氧0.050g-0.150g、氮0.060g-0.070g”修改为“氧、氮0.10-0.16g”。</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三、主要试验的分析、综述报告</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3.1</w:t>
      </w:r>
      <w:r>
        <w:rPr>
          <w:rFonts w:hint="eastAsia" w:ascii="Arial" w:hAnsi="Arial" w:cs="Arial" w:eastAsiaTheme="minorEastAsia"/>
          <w:szCs w:val="21"/>
        </w:rPr>
        <w:t>测定原理</w:t>
      </w:r>
    </w:p>
    <w:p>
      <w:pPr>
        <w:pStyle w:val="49"/>
        <w:adjustRightInd w:val="0"/>
        <w:snapToGrid w:val="0"/>
        <w:spacing w:line="360" w:lineRule="auto"/>
        <w:jc w:val="left"/>
        <w:rPr>
          <w:rFonts w:hAnsi="宋体"/>
          <w:szCs w:val="21"/>
        </w:rPr>
      </w:pPr>
      <w:r>
        <w:rPr>
          <w:rFonts w:hint="eastAsia" w:hAnsi="宋体"/>
          <w:szCs w:val="21"/>
        </w:rPr>
        <w:t>在惰性气氛下，加热熔融石墨坩埚中的试料，试料中的氧呈一氧化碳析出，进入红外检测器中进行测定。氮呈氮气析出，进入热导检测器中进行测定。</w:t>
      </w:r>
    </w:p>
    <w:p>
      <w:pPr>
        <w:pStyle w:val="49"/>
        <w:adjustRightInd w:val="0"/>
        <w:snapToGrid w:val="0"/>
        <w:spacing w:line="360" w:lineRule="auto"/>
        <w:ind w:firstLine="0" w:firstLineChars="0"/>
        <w:jc w:val="left"/>
        <w:rPr>
          <w:rFonts w:ascii="Arial" w:hAnsi="Arial" w:cs="Arial" w:eastAsiaTheme="minorEastAsia"/>
          <w:szCs w:val="21"/>
        </w:rPr>
      </w:pPr>
      <w:r>
        <w:rPr>
          <w:rFonts w:hint="eastAsia" w:ascii="Arial" w:hAnsi="Arial" w:cs="Arial" w:eastAsiaTheme="minorEastAsia"/>
          <w:szCs w:val="21"/>
        </w:rPr>
        <w:t>3.2条件实验</w:t>
      </w:r>
    </w:p>
    <w:p>
      <w:pPr>
        <w:pStyle w:val="49"/>
        <w:adjustRightInd w:val="0"/>
        <w:snapToGrid w:val="0"/>
        <w:spacing w:line="360" w:lineRule="auto"/>
        <w:ind w:firstLine="0" w:firstLineChars="0"/>
        <w:jc w:val="left"/>
        <w:rPr>
          <w:rFonts w:ascii="Arial" w:hAnsi="Arial" w:cs="Arial" w:eastAsiaTheme="minorEastAsia"/>
          <w:szCs w:val="21"/>
        </w:rPr>
      </w:pPr>
      <w:r>
        <w:rPr>
          <w:rFonts w:hint="eastAsia" w:ascii="Arial" w:hAnsi="Arial" w:cs="Arial" w:eastAsiaTheme="minorEastAsia"/>
          <w:szCs w:val="21"/>
        </w:rPr>
        <w:t>3.2.1空白试验和助溶剂对比试验</w:t>
      </w:r>
    </w:p>
    <w:p>
      <w:pPr>
        <w:spacing w:line="360" w:lineRule="auto"/>
        <w:rPr>
          <w:rFonts w:ascii="Arial" w:hAnsi="Arial" w:cs="Arial" w:eastAsiaTheme="minorEastAsia"/>
          <w:szCs w:val="21"/>
        </w:rPr>
      </w:pPr>
      <w:r>
        <w:rPr>
          <w:rFonts w:hint="eastAsia" w:ascii="Arial" w:hAnsi="Arial" w:cs="Arial" w:eastAsiaTheme="minorEastAsia"/>
          <w:szCs w:val="21"/>
        </w:rPr>
        <w:t xml:space="preserve">    现行标准中采用锡粒作为助溶剂测定氧量、镍片作为助溶剂测定氮量，本方法采用带盖镍囊包裹样品同时测定氧、氮含量。因此需比较镍囊、锡粒、镍片三种助溶剂引入的空白值。使用0.3g助熔剂，测定镍囊、锡粒、镍片的空白数据。通过空白试验和助溶剂对比试验，镍囊比锡粒和镍片的空白值稳定且氧、氮含量较低；镍囊在熔融样品释放氧、氮方面比锡粒和镍片效果好，所以本方法选用镍囊做为助熔剂。</w:t>
      </w:r>
    </w:p>
    <w:p>
      <w:pPr>
        <w:pStyle w:val="49"/>
        <w:adjustRightInd w:val="0"/>
        <w:snapToGrid w:val="0"/>
        <w:spacing w:line="360" w:lineRule="auto"/>
        <w:ind w:firstLine="0" w:firstLineChars="0"/>
        <w:jc w:val="left"/>
        <w:rPr>
          <w:rFonts w:ascii="Arial" w:hAnsi="Arial" w:cs="Arial" w:eastAsiaTheme="minorEastAsia"/>
          <w:szCs w:val="21"/>
        </w:rPr>
      </w:pPr>
      <w:r>
        <w:rPr>
          <w:rFonts w:hint="eastAsia" w:ascii="Arial" w:hAnsi="Arial" w:cs="Arial" w:eastAsiaTheme="minorEastAsia"/>
          <w:szCs w:val="21"/>
        </w:rPr>
        <w:t>3.2.2 称样量试验</w:t>
      </w:r>
    </w:p>
    <w:p>
      <w:pPr>
        <w:adjustRightInd w:val="0"/>
        <w:snapToGrid w:val="0"/>
        <w:spacing w:line="360" w:lineRule="auto"/>
        <w:ind w:firstLine="420" w:firstLineChars="200"/>
        <w:rPr>
          <w:szCs w:val="21"/>
        </w:rPr>
      </w:pPr>
      <w:r>
        <w:rPr>
          <w:rFonts w:hint="eastAsia"/>
          <w:szCs w:val="21"/>
        </w:rPr>
        <w:t>称样量的不同对测定结果的影响较大。称样量过高，则样品在有限的助熔剂中熔融效果不好；称样量过低，则样品代表性不够，测定结果不稳定；所以采用0.10-0.16g作为本实验的最佳称样量。</w:t>
      </w:r>
    </w:p>
    <w:p>
      <w:pPr>
        <w:adjustRightInd w:val="0"/>
        <w:snapToGrid w:val="0"/>
        <w:spacing w:line="360" w:lineRule="auto"/>
        <w:rPr>
          <w:rFonts w:ascii="Times New Roman" w:hAnsi="Times New Roman"/>
          <w:szCs w:val="21"/>
          <w:lang w:bidi="hi-IN"/>
        </w:rPr>
      </w:pPr>
      <w:r>
        <w:rPr>
          <w:rFonts w:hint="eastAsia" w:ascii="Arial" w:hAnsi="Arial" w:cs="Arial" w:eastAsiaTheme="minorEastAsia"/>
          <w:szCs w:val="21"/>
        </w:rPr>
        <w:t>3.2.3 精密度试验</w:t>
      </w:r>
    </w:p>
    <w:p>
      <w:pPr>
        <w:spacing w:line="360" w:lineRule="auto"/>
        <w:ind w:firstLine="420"/>
        <w:rPr>
          <w:szCs w:val="21"/>
        </w:rPr>
      </w:pPr>
      <w:r>
        <w:rPr>
          <w:rFonts w:hint="eastAsia"/>
          <w:szCs w:val="21"/>
        </w:rPr>
        <w:t>因为稀土金属及其氧化物涉及的试样种类较多，试验选取金属铈、金属钆、金属镝</w:t>
      </w:r>
      <w:r>
        <w:rPr>
          <w:rFonts w:hint="eastAsia"/>
          <w:szCs w:val="21"/>
          <w:lang w:eastAsia="zh-CN"/>
        </w:rPr>
        <w:t>、金属钐</w:t>
      </w:r>
      <w:r>
        <w:rPr>
          <w:rFonts w:hint="eastAsia"/>
          <w:szCs w:val="21"/>
        </w:rPr>
        <w:t>作为统一样，包含了轻、中、重稀土金属，具有一定的代表性。</w:t>
      </w:r>
    </w:p>
    <w:p>
      <w:pPr>
        <w:spacing w:line="360" w:lineRule="auto"/>
        <w:ind w:firstLine="420" w:firstLineChars="200"/>
      </w:pPr>
      <w:r>
        <w:rPr>
          <w:rFonts w:hint="eastAsia"/>
        </w:rPr>
        <w:t>由于统一样中没有高氮含量的样品，故选择金属镝统一样加标的方法进行精密度试验。</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由精密度试验数据汇总最终给出方法的重复性限及再现性限。</w:t>
      </w:r>
    </w:p>
    <w:p>
      <w:pPr>
        <w:spacing w:line="360" w:lineRule="auto"/>
        <w:ind w:firstLine="420" w:firstLineChars="20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在统计重复性限和再现性限时，采用拉依达准则，将组内超过两倍标准偏差的数据作为异常值舍去后，计算得出。</w:t>
      </w:r>
    </w:p>
    <w:p>
      <w:pPr>
        <w:spacing w:line="360" w:lineRule="auto"/>
        <w:rPr>
          <w:rFonts w:eastAsia="黑体"/>
          <w:szCs w:val="21"/>
        </w:rPr>
      </w:pPr>
      <w:r>
        <w:rPr>
          <w:rFonts w:hint="eastAsia" w:ascii="Arial" w:hAnsi="Arial" w:cs="Arial" w:eastAsiaTheme="minorEastAsia"/>
          <w:szCs w:val="21"/>
        </w:rPr>
        <w:t>3.2.4 回收率试验</w:t>
      </w:r>
    </w:p>
    <w:p>
      <w:pPr>
        <w:pStyle w:val="49"/>
        <w:adjustRightInd w:val="0"/>
        <w:snapToGrid w:val="0"/>
        <w:spacing w:line="360" w:lineRule="auto"/>
        <w:jc w:val="left"/>
        <w:rPr>
          <w:szCs w:val="21"/>
        </w:rPr>
      </w:pPr>
      <w:r>
        <w:rPr>
          <w:rFonts w:hint="eastAsia"/>
          <w:szCs w:val="21"/>
        </w:rPr>
        <w:t>在选定的测定条件下，在金属钆样品中加入氧、氮标准样品，进行标准加入回收实验。回收率结果在95 %~105 %之间，满足分析检测的要求。</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四、标准水平分析</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本标准修订过程中，由起草单位对国际、国内标准进行了查阅和调研，修订后的方法更能紧密联系实际，充分考虑了检测仪器设备的性能更新，进一步扩展了方法的检测范围，</w:t>
      </w:r>
      <w:r>
        <w:rPr>
          <w:rFonts w:hint="eastAsia" w:ascii="Arial" w:hAnsi="Arial" w:cs="Arial" w:eastAsiaTheme="minorEastAsia"/>
          <w:szCs w:val="21"/>
        </w:rPr>
        <w:t>更新了助溶剂的种类</w:t>
      </w:r>
      <w:r>
        <w:rPr>
          <w:rFonts w:ascii="Arial" w:hAnsi="Arial" w:cs="Arial" w:eastAsiaTheme="minorEastAsia"/>
          <w:szCs w:val="21"/>
        </w:rPr>
        <w:t>，提升了检测结果的可靠性。本标准达到国内领先，国际先进水平。</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五、与现行相关法律、法规、规章及相关标准，特别是强制性标准的协调性</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本部分标准完全满足现行国家法规的要求，适用于稀土金属中</w:t>
      </w:r>
      <w:r>
        <w:rPr>
          <w:rFonts w:hint="eastAsia" w:ascii="Arial" w:hAnsi="Arial" w:cs="Arial" w:eastAsiaTheme="minorEastAsia"/>
          <w:szCs w:val="21"/>
        </w:rPr>
        <w:t>氧、氮</w:t>
      </w:r>
      <w:r>
        <w:rPr>
          <w:rFonts w:ascii="Arial" w:hAnsi="Arial" w:cs="Arial" w:eastAsiaTheme="minorEastAsia"/>
          <w:szCs w:val="21"/>
        </w:rPr>
        <w:t>元素的测定；测定范围合理，准确度和精密度完全满足各类稀土金属产品标准技术要求，具有快速、准确的特点。标准文本内容表述合理，格式规范。</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六、标准中如涉及专利，应有明确的知识产权说明</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本标准不涉及专利。</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七、重大分歧意见的处理经过和依据</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八、标准作为强制性或推荐性国家（或行业）标准的建议</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本标准建议作为推荐性国家标准来制定。</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九、贯彻标准的要求和措施建议，包括：</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——组织措施</w:t>
      </w:r>
    </w:p>
    <w:p>
      <w:pPr>
        <w:adjustRightInd w:val="0"/>
        <w:snapToGrid w:val="0"/>
        <w:spacing w:line="360" w:lineRule="auto"/>
        <w:ind w:firstLine="420" w:firstLineChars="200"/>
        <w:rPr>
          <w:rFonts w:ascii="Times New Roman" w:hAnsi="Times New Roman" w:cs="Times New Roman" w:eastAsiaTheme="minorEastAsia"/>
          <w:szCs w:val="21"/>
        </w:rPr>
      </w:pPr>
      <w:r>
        <w:rPr>
          <w:rFonts w:ascii="Arial" w:hAnsi="Arial" w:cs="Arial" w:eastAsiaTheme="minorEastAsia"/>
          <w:szCs w:val="21"/>
        </w:rPr>
        <w:t>标准颁布实施后，需要国家有关部门组织大力宣传和贯彻，主办各种形式的培训班，使相关企业及相关贸易单位能够积极主动地解读标准内容，充分认识和理解制订的标准条款，进而</w:t>
      </w:r>
      <w:r>
        <w:rPr>
          <w:rFonts w:ascii="Times New Roman" w:hAnsi="Times New Roman" w:cs="Times New Roman" w:eastAsiaTheme="minorEastAsia"/>
          <w:szCs w:val="21"/>
        </w:rPr>
        <w:t>加以应用。</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——技术措施</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标准颁布实施后</w:t>
      </w:r>
      <w:r>
        <w:rPr>
          <w:rFonts w:hint="eastAsia" w:ascii="Arial" w:hAnsi="Arial" w:cs="Arial" w:eastAsiaTheme="minorEastAsia"/>
          <w:szCs w:val="21"/>
        </w:rPr>
        <w:t>，首先保证氧氮分析仪的各项参数能保证检测要求，加强操作人员对仪器使用及维护保养的培训，学习掌握样品前处理技术，加强对仪器设备的使用管理，定期对仪器进行维护保养并记录。</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——过渡办法</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自本标准发布日起至实施日止，为标准的过渡期，在此期间，新旧版标准都被视为有效。</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十、废止现行有关标准的建议</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本标准发布实施之日起，旧版本自然废止。</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十一、其他应予说明的事项</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新版标准更新了检测范围和助溶剂的种类，适用范围更广，方法更加快捷、高效，满足检测市场上更多客户的需求，便于数据检测向产业化发展，预计未来可产生可观的经济效益。</w:t>
      </w:r>
      <w:r>
        <w:rPr>
          <w:rFonts w:ascii="Arial" w:hAnsi="Arial" w:cs="Arial" w:eastAsiaTheme="minorEastAsia"/>
          <w:szCs w:val="21"/>
        </w:rPr>
        <w:t xml:space="preserve">    </w:t>
      </w:r>
    </w:p>
    <w:p>
      <w:pPr>
        <w:adjustRightInd w:val="0"/>
        <w:snapToGrid w:val="0"/>
        <w:spacing w:line="360" w:lineRule="auto"/>
        <w:rPr>
          <w:rFonts w:ascii="Arial" w:hAnsi="Arial" w:cs="Arial" w:eastAsiaTheme="minorEastAsia"/>
          <w:szCs w:val="21"/>
        </w:rPr>
      </w:pPr>
    </w:p>
    <w:p>
      <w:pPr>
        <w:adjustRightInd w:val="0"/>
        <w:snapToGrid w:val="0"/>
        <w:spacing w:line="360" w:lineRule="auto"/>
        <w:rPr>
          <w:rFonts w:ascii="Arial" w:hAnsi="Arial" w:cs="Arial" w:eastAsiaTheme="minorEastAsia"/>
          <w:szCs w:val="21"/>
        </w:rPr>
      </w:pPr>
    </w:p>
    <w:p>
      <w:pPr>
        <w:adjustRightInd w:val="0"/>
        <w:snapToGrid w:val="0"/>
        <w:spacing w:line="360" w:lineRule="auto"/>
        <w:jc w:val="center"/>
        <w:rPr>
          <w:rFonts w:ascii="Arial" w:hAnsi="Arial" w:cs="Arial" w:eastAsiaTheme="minorEastAsia"/>
          <w:szCs w:val="21"/>
        </w:rPr>
      </w:pPr>
      <w:r>
        <w:rPr>
          <w:rFonts w:hint="eastAsia" w:ascii="Arial" w:hAnsi="Arial" w:cs="Arial" w:eastAsiaTheme="minorEastAsia"/>
          <w:szCs w:val="21"/>
        </w:rPr>
        <w:t xml:space="preserve">                                                         包头稀土研究院</w:t>
      </w:r>
    </w:p>
    <w:p>
      <w:pPr>
        <w:adjustRightInd w:val="0"/>
        <w:snapToGrid w:val="0"/>
        <w:spacing w:line="360" w:lineRule="auto"/>
        <w:ind w:left="2310" w:leftChars="1100"/>
        <w:jc w:val="center"/>
        <w:rPr>
          <w:rFonts w:hint="default" w:ascii="Arial" w:hAnsi="Arial" w:cs="Arial" w:eastAsiaTheme="minorEastAsia"/>
          <w:szCs w:val="21"/>
          <w:lang w:val="en-US" w:eastAsia="zh-CN"/>
        </w:rPr>
      </w:pPr>
      <w:r>
        <w:rPr>
          <w:rFonts w:hint="eastAsia" w:ascii="Arial" w:hAnsi="Arial" w:cs="Arial" w:eastAsiaTheme="minorEastAsia"/>
          <w:szCs w:val="21"/>
        </w:rPr>
        <w:t xml:space="preserve">                                  </w:t>
      </w:r>
      <w:r>
        <w:rPr>
          <w:rFonts w:hint="eastAsia" w:ascii="Arial" w:hAnsi="Arial" w:cs="Arial" w:eastAsiaTheme="minorEastAsia"/>
          <w:szCs w:val="21"/>
          <w:lang w:val="en-US" w:eastAsia="zh-CN"/>
        </w:rPr>
        <w:t>2020.11.05</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4097" o:spid="_x0000_s4097"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宋体" w:hAnsi="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A51"/>
    <w:multiLevelType w:val="multilevel"/>
    <w:tmpl w:val="13EF5A51"/>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b w:val="0"/>
        <w:bCs w:val="0"/>
        <w:i w:val="0"/>
        <w:iCs w:val="0"/>
        <w:caps w:val="0"/>
        <w:smallCaps w:val="0"/>
        <w:strike w:val="0"/>
        <w:dstrike w:val="0"/>
        <w:vanish w:val="0"/>
        <w:color w:val="000000"/>
        <w:spacing w:val="0"/>
        <w:position w:val="0"/>
        <w:u w:val="none"/>
        <w:vertAlign w:val="baseline"/>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1">
    <w:nsid w:val="3F834055"/>
    <w:multiLevelType w:val="multilevel"/>
    <w:tmpl w:val="3F834055"/>
    <w:lvl w:ilvl="0" w:tentative="0">
      <w:start w:val="1"/>
      <w:numFmt w:val="decimal"/>
      <w:pStyle w:val="1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51FB"/>
    <w:rsid w:val="00031540"/>
    <w:rsid w:val="0003620D"/>
    <w:rsid w:val="0003752B"/>
    <w:rsid w:val="00055E11"/>
    <w:rsid w:val="00084F6C"/>
    <w:rsid w:val="00090371"/>
    <w:rsid w:val="00093B2B"/>
    <w:rsid w:val="000C5D93"/>
    <w:rsid w:val="000D34C6"/>
    <w:rsid w:val="000E3E67"/>
    <w:rsid w:val="000E652D"/>
    <w:rsid w:val="00105A46"/>
    <w:rsid w:val="001126DC"/>
    <w:rsid w:val="00115644"/>
    <w:rsid w:val="00123CC8"/>
    <w:rsid w:val="0014145D"/>
    <w:rsid w:val="0014333F"/>
    <w:rsid w:val="001613DF"/>
    <w:rsid w:val="00172A27"/>
    <w:rsid w:val="001840AE"/>
    <w:rsid w:val="00187251"/>
    <w:rsid w:val="00194092"/>
    <w:rsid w:val="00194C0B"/>
    <w:rsid w:val="001B34A2"/>
    <w:rsid w:val="001C139A"/>
    <w:rsid w:val="001D3658"/>
    <w:rsid w:val="001D7B82"/>
    <w:rsid w:val="001F0052"/>
    <w:rsid w:val="001F4B87"/>
    <w:rsid w:val="002363FB"/>
    <w:rsid w:val="0024004C"/>
    <w:rsid w:val="00241605"/>
    <w:rsid w:val="00246000"/>
    <w:rsid w:val="002475F3"/>
    <w:rsid w:val="002567BF"/>
    <w:rsid w:val="00257C88"/>
    <w:rsid w:val="002653F7"/>
    <w:rsid w:val="00270CA7"/>
    <w:rsid w:val="002719A3"/>
    <w:rsid w:val="002750FE"/>
    <w:rsid w:val="00294C5A"/>
    <w:rsid w:val="002A076D"/>
    <w:rsid w:val="002A658F"/>
    <w:rsid w:val="002A7676"/>
    <w:rsid w:val="002B219D"/>
    <w:rsid w:val="002E33CC"/>
    <w:rsid w:val="00307343"/>
    <w:rsid w:val="0031156B"/>
    <w:rsid w:val="00313DC5"/>
    <w:rsid w:val="00316940"/>
    <w:rsid w:val="003327CC"/>
    <w:rsid w:val="00333239"/>
    <w:rsid w:val="00337709"/>
    <w:rsid w:val="003440F6"/>
    <w:rsid w:val="003564C5"/>
    <w:rsid w:val="00365717"/>
    <w:rsid w:val="00366D8B"/>
    <w:rsid w:val="00380586"/>
    <w:rsid w:val="0038102B"/>
    <w:rsid w:val="003B7591"/>
    <w:rsid w:val="003C39AD"/>
    <w:rsid w:val="003C53AD"/>
    <w:rsid w:val="003D276D"/>
    <w:rsid w:val="003D62B3"/>
    <w:rsid w:val="003E5FFA"/>
    <w:rsid w:val="003E777C"/>
    <w:rsid w:val="003F3093"/>
    <w:rsid w:val="003F7982"/>
    <w:rsid w:val="00406CCD"/>
    <w:rsid w:val="00407F2C"/>
    <w:rsid w:val="00423F52"/>
    <w:rsid w:val="00426158"/>
    <w:rsid w:val="004312A3"/>
    <w:rsid w:val="00431C8B"/>
    <w:rsid w:val="00431F35"/>
    <w:rsid w:val="004441B4"/>
    <w:rsid w:val="0049266B"/>
    <w:rsid w:val="004A3975"/>
    <w:rsid w:val="004B6BF3"/>
    <w:rsid w:val="004C108A"/>
    <w:rsid w:val="004C2BDF"/>
    <w:rsid w:val="004D6F24"/>
    <w:rsid w:val="004E2845"/>
    <w:rsid w:val="004E4B84"/>
    <w:rsid w:val="004E665F"/>
    <w:rsid w:val="004F3A42"/>
    <w:rsid w:val="004F60D5"/>
    <w:rsid w:val="004F6DE0"/>
    <w:rsid w:val="004F78CF"/>
    <w:rsid w:val="004F7F2A"/>
    <w:rsid w:val="00504940"/>
    <w:rsid w:val="00515C52"/>
    <w:rsid w:val="00520632"/>
    <w:rsid w:val="00523422"/>
    <w:rsid w:val="005262A2"/>
    <w:rsid w:val="00535035"/>
    <w:rsid w:val="005373FC"/>
    <w:rsid w:val="005424C8"/>
    <w:rsid w:val="005452F1"/>
    <w:rsid w:val="00545B49"/>
    <w:rsid w:val="00545D27"/>
    <w:rsid w:val="00553B5F"/>
    <w:rsid w:val="00557E92"/>
    <w:rsid w:val="00560356"/>
    <w:rsid w:val="00577FE0"/>
    <w:rsid w:val="00581286"/>
    <w:rsid w:val="00584DFB"/>
    <w:rsid w:val="005953A8"/>
    <w:rsid w:val="005D3950"/>
    <w:rsid w:val="005D43BB"/>
    <w:rsid w:val="005D4861"/>
    <w:rsid w:val="005E0567"/>
    <w:rsid w:val="005E27CA"/>
    <w:rsid w:val="005F565A"/>
    <w:rsid w:val="006002CA"/>
    <w:rsid w:val="006045D2"/>
    <w:rsid w:val="00620304"/>
    <w:rsid w:val="00632275"/>
    <w:rsid w:val="006574B4"/>
    <w:rsid w:val="00663834"/>
    <w:rsid w:val="00665B8E"/>
    <w:rsid w:val="0066628B"/>
    <w:rsid w:val="006722B1"/>
    <w:rsid w:val="00684F16"/>
    <w:rsid w:val="00686528"/>
    <w:rsid w:val="006929FE"/>
    <w:rsid w:val="00696347"/>
    <w:rsid w:val="006A0152"/>
    <w:rsid w:val="006A1BF5"/>
    <w:rsid w:val="006B230B"/>
    <w:rsid w:val="006B2D6C"/>
    <w:rsid w:val="006C3393"/>
    <w:rsid w:val="006D075D"/>
    <w:rsid w:val="006D12C8"/>
    <w:rsid w:val="006E00E9"/>
    <w:rsid w:val="006E620B"/>
    <w:rsid w:val="006F1240"/>
    <w:rsid w:val="006F27E1"/>
    <w:rsid w:val="00713C7D"/>
    <w:rsid w:val="00725379"/>
    <w:rsid w:val="00730B5F"/>
    <w:rsid w:val="00732F2F"/>
    <w:rsid w:val="00734853"/>
    <w:rsid w:val="00742BF6"/>
    <w:rsid w:val="007730CB"/>
    <w:rsid w:val="00776BAC"/>
    <w:rsid w:val="007803ED"/>
    <w:rsid w:val="00780A76"/>
    <w:rsid w:val="00782AE5"/>
    <w:rsid w:val="00786ED1"/>
    <w:rsid w:val="00792513"/>
    <w:rsid w:val="00794176"/>
    <w:rsid w:val="00794342"/>
    <w:rsid w:val="00797231"/>
    <w:rsid w:val="007975D9"/>
    <w:rsid w:val="007A3483"/>
    <w:rsid w:val="007C0F87"/>
    <w:rsid w:val="007D14BE"/>
    <w:rsid w:val="007D4FF1"/>
    <w:rsid w:val="007E2B27"/>
    <w:rsid w:val="007E5907"/>
    <w:rsid w:val="007F1BBC"/>
    <w:rsid w:val="00801CB0"/>
    <w:rsid w:val="008027E6"/>
    <w:rsid w:val="008339BC"/>
    <w:rsid w:val="00834746"/>
    <w:rsid w:val="0084092D"/>
    <w:rsid w:val="00880C56"/>
    <w:rsid w:val="00894C5A"/>
    <w:rsid w:val="008A089D"/>
    <w:rsid w:val="008B0905"/>
    <w:rsid w:val="008B193B"/>
    <w:rsid w:val="008B4E8D"/>
    <w:rsid w:val="008C2D86"/>
    <w:rsid w:val="008F24D2"/>
    <w:rsid w:val="00902B5E"/>
    <w:rsid w:val="0091382C"/>
    <w:rsid w:val="00913845"/>
    <w:rsid w:val="00913ACD"/>
    <w:rsid w:val="0091492A"/>
    <w:rsid w:val="00916360"/>
    <w:rsid w:val="0092417E"/>
    <w:rsid w:val="00937FFE"/>
    <w:rsid w:val="009460E5"/>
    <w:rsid w:val="009557C0"/>
    <w:rsid w:val="00967AEA"/>
    <w:rsid w:val="0099649E"/>
    <w:rsid w:val="009A6391"/>
    <w:rsid w:val="009C2CA1"/>
    <w:rsid w:val="009D0198"/>
    <w:rsid w:val="009E159E"/>
    <w:rsid w:val="009E348B"/>
    <w:rsid w:val="009E6132"/>
    <w:rsid w:val="009F5E0E"/>
    <w:rsid w:val="00A06995"/>
    <w:rsid w:val="00A0703E"/>
    <w:rsid w:val="00A32562"/>
    <w:rsid w:val="00A6020C"/>
    <w:rsid w:val="00A9151E"/>
    <w:rsid w:val="00A97CF7"/>
    <w:rsid w:val="00AB58C3"/>
    <w:rsid w:val="00AB5F2F"/>
    <w:rsid w:val="00AC2A44"/>
    <w:rsid w:val="00AD636E"/>
    <w:rsid w:val="00AE4AF9"/>
    <w:rsid w:val="00AF6071"/>
    <w:rsid w:val="00B02B3A"/>
    <w:rsid w:val="00B05BF4"/>
    <w:rsid w:val="00B07BB1"/>
    <w:rsid w:val="00B158FF"/>
    <w:rsid w:val="00B17F9F"/>
    <w:rsid w:val="00B21A9C"/>
    <w:rsid w:val="00B21AB0"/>
    <w:rsid w:val="00B26F3B"/>
    <w:rsid w:val="00B30A9C"/>
    <w:rsid w:val="00B317E3"/>
    <w:rsid w:val="00B35ACF"/>
    <w:rsid w:val="00B3784B"/>
    <w:rsid w:val="00B47471"/>
    <w:rsid w:val="00B575D6"/>
    <w:rsid w:val="00B62372"/>
    <w:rsid w:val="00B63AFF"/>
    <w:rsid w:val="00B66D45"/>
    <w:rsid w:val="00B7175D"/>
    <w:rsid w:val="00B74A46"/>
    <w:rsid w:val="00B76180"/>
    <w:rsid w:val="00B83585"/>
    <w:rsid w:val="00B872C3"/>
    <w:rsid w:val="00BB6D5A"/>
    <w:rsid w:val="00BB71D8"/>
    <w:rsid w:val="00BD52B2"/>
    <w:rsid w:val="00BD5A15"/>
    <w:rsid w:val="00BF2862"/>
    <w:rsid w:val="00BF687D"/>
    <w:rsid w:val="00C03180"/>
    <w:rsid w:val="00C50DC8"/>
    <w:rsid w:val="00C5557B"/>
    <w:rsid w:val="00C62B4A"/>
    <w:rsid w:val="00C62EDD"/>
    <w:rsid w:val="00C67C5A"/>
    <w:rsid w:val="00C7291D"/>
    <w:rsid w:val="00C72CCA"/>
    <w:rsid w:val="00C770A5"/>
    <w:rsid w:val="00C80E76"/>
    <w:rsid w:val="00C87D9D"/>
    <w:rsid w:val="00CB6C93"/>
    <w:rsid w:val="00CC0BDD"/>
    <w:rsid w:val="00CF7316"/>
    <w:rsid w:val="00D04AA9"/>
    <w:rsid w:val="00D24E83"/>
    <w:rsid w:val="00D3145E"/>
    <w:rsid w:val="00D35793"/>
    <w:rsid w:val="00D574A7"/>
    <w:rsid w:val="00D70D72"/>
    <w:rsid w:val="00D92927"/>
    <w:rsid w:val="00D955C2"/>
    <w:rsid w:val="00DA1FEA"/>
    <w:rsid w:val="00DA451D"/>
    <w:rsid w:val="00DB2885"/>
    <w:rsid w:val="00DF0E0D"/>
    <w:rsid w:val="00DF5878"/>
    <w:rsid w:val="00DF74D3"/>
    <w:rsid w:val="00DF7D99"/>
    <w:rsid w:val="00E225D5"/>
    <w:rsid w:val="00E315CB"/>
    <w:rsid w:val="00E41F9B"/>
    <w:rsid w:val="00E449AE"/>
    <w:rsid w:val="00E56EF9"/>
    <w:rsid w:val="00E67182"/>
    <w:rsid w:val="00E70191"/>
    <w:rsid w:val="00E74D19"/>
    <w:rsid w:val="00E81238"/>
    <w:rsid w:val="00E90480"/>
    <w:rsid w:val="00EB3281"/>
    <w:rsid w:val="00EB778F"/>
    <w:rsid w:val="00ED1E6D"/>
    <w:rsid w:val="00ED504F"/>
    <w:rsid w:val="00EE7204"/>
    <w:rsid w:val="00F02435"/>
    <w:rsid w:val="00F035D7"/>
    <w:rsid w:val="00F12DF2"/>
    <w:rsid w:val="00F15B3E"/>
    <w:rsid w:val="00F212D7"/>
    <w:rsid w:val="00F22989"/>
    <w:rsid w:val="00F248C2"/>
    <w:rsid w:val="00F33D3C"/>
    <w:rsid w:val="00F37C4E"/>
    <w:rsid w:val="00F40E11"/>
    <w:rsid w:val="00F41098"/>
    <w:rsid w:val="00F43409"/>
    <w:rsid w:val="00F464AA"/>
    <w:rsid w:val="00F519CA"/>
    <w:rsid w:val="00F52343"/>
    <w:rsid w:val="00F533E2"/>
    <w:rsid w:val="00F7117D"/>
    <w:rsid w:val="00F773A4"/>
    <w:rsid w:val="00F85194"/>
    <w:rsid w:val="00FA2CC6"/>
    <w:rsid w:val="00FB19F7"/>
    <w:rsid w:val="00FB46FE"/>
    <w:rsid w:val="00FC53F8"/>
    <w:rsid w:val="00FC5F78"/>
    <w:rsid w:val="00FC6F28"/>
    <w:rsid w:val="00FE6662"/>
    <w:rsid w:val="00FF74FD"/>
    <w:rsid w:val="01C42F4C"/>
    <w:rsid w:val="075E2445"/>
    <w:rsid w:val="0F504095"/>
    <w:rsid w:val="10C443E9"/>
    <w:rsid w:val="110E3EF9"/>
    <w:rsid w:val="119A2456"/>
    <w:rsid w:val="11F77C06"/>
    <w:rsid w:val="18263340"/>
    <w:rsid w:val="183360B3"/>
    <w:rsid w:val="22C719ED"/>
    <w:rsid w:val="25765DEE"/>
    <w:rsid w:val="272C746C"/>
    <w:rsid w:val="29FD79D6"/>
    <w:rsid w:val="2DE52949"/>
    <w:rsid w:val="3194427E"/>
    <w:rsid w:val="390E5F29"/>
    <w:rsid w:val="39336F1E"/>
    <w:rsid w:val="394E07F0"/>
    <w:rsid w:val="419C74B1"/>
    <w:rsid w:val="41B24608"/>
    <w:rsid w:val="44CC63EF"/>
    <w:rsid w:val="45116DF1"/>
    <w:rsid w:val="498526D7"/>
    <w:rsid w:val="4D4437BF"/>
    <w:rsid w:val="4E8D0FEE"/>
    <w:rsid w:val="4EBB5F1D"/>
    <w:rsid w:val="530670C6"/>
    <w:rsid w:val="56C87531"/>
    <w:rsid w:val="5A4B1142"/>
    <w:rsid w:val="5F707B34"/>
    <w:rsid w:val="5F871D66"/>
    <w:rsid w:val="6241180E"/>
    <w:rsid w:val="6C6726A8"/>
    <w:rsid w:val="6F1F72A8"/>
    <w:rsid w:val="76F77DB4"/>
    <w:rsid w:val="776158EB"/>
    <w:rsid w:val="78EB7D30"/>
    <w:rsid w:val="79DD14A3"/>
    <w:rsid w:val="7C5F21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8"/>
    <w:qFormat/>
    <w:uiPriority w:val="9"/>
    <w:pPr>
      <w:keepNext/>
      <w:keepLines/>
      <w:numPr>
        <w:ilvl w:val="0"/>
        <w:numId w:val="1"/>
      </w:numPr>
      <w:spacing w:before="340" w:after="330" w:line="578" w:lineRule="auto"/>
      <w:outlineLvl w:val="0"/>
    </w:pPr>
    <w:rPr>
      <w:rFonts w:eastAsia="黑体"/>
      <w:bCs/>
      <w:kern w:val="44"/>
      <w:sz w:val="24"/>
      <w:szCs w:val="44"/>
    </w:rPr>
  </w:style>
  <w:style w:type="paragraph" w:styleId="3">
    <w:name w:val="heading 2"/>
    <w:basedOn w:val="1"/>
    <w:next w:val="1"/>
    <w:link w:val="39"/>
    <w:unhideWhenUsed/>
    <w:qFormat/>
    <w:uiPriority w:val="9"/>
    <w:pPr>
      <w:keepNext/>
      <w:keepLines/>
      <w:numPr>
        <w:ilvl w:val="1"/>
        <w:numId w:val="1"/>
      </w:numPr>
      <w:spacing w:before="260" w:after="260" w:line="416" w:lineRule="auto"/>
      <w:outlineLvl w:val="1"/>
    </w:pPr>
    <w:rPr>
      <w:rFonts w:eastAsia="黑体" w:asciiTheme="majorHAnsi" w:hAnsiTheme="majorHAnsi" w:cstheme="majorBidi"/>
      <w:bCs/>
      <w:sz w:val="24"/>
      <w:szCs w:val="32"/>
    </w:rPr>
  </w:style>
  <w:style w:type="paragraph" w:styleId="4">
    <w:name w:val="heading 3"/>
    <w:basedOn w:val="1"/>
    <w:next w:val="1"/>
    <w:link w:val="40"/>
    <w:unhideWhenUsed/>
    <w:qFormat/>
    <w:uiPriority w:val="9"/>
    <w:pPr>
      <w:keepNext/>
      <w:keepLines/>
      <w:numPr>
        <w:ilvl w:val="2"/>
        <w:numId w:val="1"/>
      </w:numPr>
      <w:spacing w:before="260" w:after="260" w:line="416" w:lineRule="auto"/>
      <w:outlineLvl w:val="2"/>
    </w:pPr>
    <w:rPr>
      <w:rFonts w:eastAsia="黑体"/>
      <w:bCs/>
      <w:sz w:val="24"/>
      <w:szCs w:val="32"/>
    </w:rPr>
  </w:style>
  <w:style w:type="paragraph" w:styleId="5">
    <w:name w:val="heading 4"/>
    <w:basedOn w:val="1"/>
    <w:next w:val="1"/>
    <w:link w:val="41"/>
    <w:unhideWhenUsed/>
    <w:qFormat/>
    <w:uiPriority w:val="9"/>
    <w:pPr>
      <w:keepNext/>
      <w:keepLines/>
      <w:numPr>
        <w:ilvl w:val="3"/>
        <w:numId w:val="1"/>
      </w:numPr>
      <w:spacing w:before="280" w:after="290" w:line="376" w:lineRule="auto"/>
      <w:outlineLvl w:val="3"/>
    </w:pPr>
    <w:rPr>
      <w:rFonts w:eastAsia="黑体" w:asciiTheme="majorHAnsi" w:hAnsiTheme="majorHAnsi" w:cstheme="majorBidi"/>
      <w:bCs/>
      <w:szCs w:val="28"/>
    </w:rPr>
  </w:style>
  <w:style w:type="paragraph" w:styleId="6">
    <w:name w:val="heading 5"/>
    <w:basedOn w:val="1"/>
    <w:next w:val="1"/>
    <w:link w:val="42"/>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3"/>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4"/>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45"/>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46"/>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rPr>
      <w:rFonts w:eastAsia="黑体" w:asciiTheme="majorHAnsi" w:hAnsiTheme="majorHAnsi" w:cstheme="majorBidi"/>
      <w:sz w:val="20"/>
      <w:szCs w:val="20"/>
    </w:rPr>
  </w:style>
  <w:style w:type="paragraph" w:styleId="12">
    <w:name w:val="Body Text Indent"/>
    <w:basedOn w:val="1"/>
    <w:link w:val="47"/>
    <w:unhideWhenUsed/>
    <w:qFormat/>
    <w:uiPriority w:val="99"/>
    <w:pPr>
      <w:ind w:firstLine="420"/>
    </w:pPr>
    <w:rPr>
      <w:rFonts w:ascii="Times New Roman" w:hAnsi="Times New Roman" w:cs="Times New Roman"/>
      <w:szCs w:val="21"/>
    </w:rPr>
  </w:style>
  <w:style w:type="paragraph" w:styleId="13">
    <w:name w:val="Plain Text"/>
    <w:basedOn w:val="1"/>
    <w:unhideWhenUsed/>
    <w:qFormat/>
    <w:uiPriority w:val="0"/>
    <w:rPr>
      <w:rFonts w:ascii="宋体" w:hAnsi="Courier New"/>
      <w:szCs w:val="20"/>
    </w:rPr>
  </w:style>
  <w:style w:type="paragraph" w:styleId="14">
    <w:name w:val="Balloon Text"/>
    <w:basedOn w:val="1"/>
    <w:link w:val="37"/>
    <w:unhideWhenUsed/>
    <w:qFormat/>
    <w:uiPriority w:val="0"/>
    <w:rPr>
      <w:sz w:val="18"/>
      <w:szCs w:val="18"/>
    </w:rPr>
  </w:style>
  <w:style w:type="paragraph" w:styleId="15">
    <w:name w:val="footer"/>
    <w:basedOn w:val="1"/>
    <w:link w:val="34"/>
    <w:qFormat/>
    <w:uiPriority w:val="0"/>
    <w:pPr>
      <w:tabs>
        <w:tab w:val="center" w:pos="4153"/>
        <w:tab w:val="right" w:pos="8306"/>
      </w:tabs>
      <w:snapToGrid w:val="0"/>
      <w:jc w:val="left"/>
    </w:pPr>
    <w:rPr>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7">
    <w:name w:val="Title"/>
    <w:basedOn w:val="1"/>
    <w:next w:val="1"/>
    <w:qFormat/>
    <w:uiPriority w:val="10"/>
    <w:pPr>
      <w:numPr>
        <w:ilvl w:val="0"/>
        <w:numId w:val="2"/>
      </w:numPr>
      <w:spacing w:before="240" w:after="60" w:line="360" w:lineRule="auto"/>
      <w:jc w:val="left"/>
      <w:outlineLvl w:val="0"/>
    </w:pPr>
    <w:rPr>
      <w:rFonts w:ascii="Cambria" w:hAnsi="Cambria"/>
      <w:b/>
      <w:bCs/>
      <w:sz w:val="24"/>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unhideWhenUsed/>
    <w:qFormat/>
    <w:uiPriority w:val="0"/>
  </w:style>
  <w:style w:type="paragraph" w:customStyle="1" w:styleId="22">
    <w:name w:val="日期1"/>
    <w:basedOn w:val="1"/>
    <w:next w:val="1"/>
    <w:link w:val="33"/>
    <w:qFormat/>
    <w:uiPriority w:val="0"/>
    <w:pPr>
      <w:ind w:left="100" w:leftChars="2500"/>
    </w:pPr>
  </w:style>
  <w:style w:type="paragraph" w:customStyle="1" w:styleId="23">
    <w:name w:val="p0"/>
    <w:basedOn w:val="1"/>
    <w:qFormat/>
    <w:uiPriority w:val="0"/>
    <w:pPr>
      <w:widowControl/>
    </w:pPr>
    <w:rPr>
      <w:rFonts w:cs="宋体"/>
      <w:kern w:val="0"/>
      <w:szCs w:val="21"/>
    </w:rPr>
  </w:style>
  <w:style w:type="paragraph" w:customStyle="1" w:styleId="24">
    <w:name w:val="p15"/>
    <w:basedOn w:val="1"/>
    <w:qFormat/>
    <w:uiPriority w:val="0"/>
    <w:pPr>
      <w:widowControl/>
      <w:ind w:firstLine="420"/>
    </w:pPr>
    <w:rPr>
      <w:rFonts w:cs="宋体"/>
      <w:kern w:val="0"/>
      <w:szCs w:val="21"/>
    </w:rPr>
  </w:style>
  <w:style w:type="paragraph" w:customStyle="1" w:styleId="25">
    <w:name w:val="p16"/>
    <w:basedOn w:val="1"/>
    <w:qFormat/>
    <w:uiPriority w:val="0"/>
    <w:pPr>
      <w:widowControl/>
    </w:pPr>
    <w:rPr>
      <w:rFonts w:cs="宋体"/>
      <w:kern w:val="0"/>
      <w:szCs w:val="21"/>
    </w:rPr>
  </w:style>
  <w:style w:type="paragraph" w:customStyle="1" w:styleId="26">
    <w:name w:val="p17"/>
    <w:basedOn w:val="1"/>
    <w:qFormat/>
    <w:uiPriority w:val="0"/>
    <w:pPr>
      <w:widowControl/>
      <w:ind w:firstLine="420"/>
    </w:pPr>
    <w:rPr>
      <w:rFonts w:cs="宋体"/>
      <w:kern w:val="0"/>
      <w:szCs w:val="21"/>
    </w:rPr>
  </w:style>
  <w:style w:type="paragraph" w:customStyle="1" w:styleId="27">
    <w:name w:val="列出段落1"/>
    <w:basedOn w:val="1"/>
    <w:qFormat/>
    <w:uiPriority w:val="0"/>
    <w:pPr>
      <w:ind w:firstLine="420" w:firstLineChars="200"/>
    </w:pPr>
  </w:style>
  <w:style w:type="paragraph" w:customStyle="1" w:styleId="28">
    <w:name w:val="列出段落2"/>
    <w:basedOn w:val="1"/>
    <w:qFormat/>
    <w:uiPriority w:val="0"/>
    <w:pPr>
      <w:ind w:firstLine="420" w:firstLineChars="200"/>
    </w:pPr>
    <w:rPr>
      <w:rFonts w:cs="Times New Roman"/>
    </w:rPr>
  </w:style>
  <w:style w:type="paragraph" w:customStyle="1" w:styleId="29">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0">
    <w:name w:val="标准"/>
    <w:basedOn w:val="1"/>
    <w:qFormat/>
    <w:uiPriority w:val="0"/>
    <w:pPr>
      <w:adjustRightInd w:val="0"/>
      <w:spacing w:line="312" w:lineRule="atLeast"/>
      <w:jc w:val="center"/>
      <w:textAlignment w:val="baseline"/>
    </w:pPr>
    <w:rPr>
      <w:kern w:val="0"/>
      <w:szCs w:val="20"/>
    </w:rPr>
  </w:style>
  <w:style w:type="paragraph" w:customStyle="1" w:styleId="3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2">
    <w:name w:val="Default"/>
    <w:unhideWhenUsed/>
    <w:qFormat/>
    <w:uiPriority w:val="99"/>
    <w:pPr>
      <w:widowControl w:val="0"/>
      <w:autoSpaceDE w:val="0"/>
      <w:autoSpaceDN w:val="0"/>
    </w:pPr>
    <w:rPr>
      <w:rFonts w:hint="eastAsia" w:ascii="仿宋_GB2312" w:hAnsi="仿宋_GB2312" w:eastAsia="仿宋_GB2312" w:cs="Times New Roman"/>
      <w:color w:val="000000"/>
      <w:sz w:val="24"/>
      <w:lang w:val="en-US" w:eastAsia="zh-CN" w:bidi="ar-SA"/>
    </w:rPr>
  </w:style>
  <w:style w:type="character" w:customStyle="1" w:styleId="33">
    <w:name w:val="日期 Char"/>
    <w:basedOn w:val="20"/>
    <w:link w:val="22"/>
    <w:semiHidden/>
    <w:qFormat/>
    <w:uiPriority w:val="0"/>
  </w:style>
  <w:style w:type="character" w:customStyle="1" w:styleId="34">
    <w:name w:val="页脚 Char"/>
    <w:basedOn w:val="20"/>
    <w:link w:val="15"/>
    <w:semiHidden/>
    <w:qFormat/>
    <w:uiPriority w:val="0"/>
    <w:rPr>
      <w:rFonts w:ascii="Calibri" w:hAnsi="Calibri" w:cs="黑体"/>
      <w:kern w:val="2"/>
      <w:sz w:val="18"/>
      <w:szCs w:val="18"/>
    </w:rPr>
  </w:style>
  <w:style w:type="character" w:customStyle="1" w:styleId="35">
    <w:name w:val="页眉 Char"/>
    <w:basedOn w:val="20"/>
    <w:link w:val="16"/>
    <w:semiHidden/>
    <w:qFormat/>
    <w:uiPriority w:val="0"/>
    <w:rPr>
      <w:rFonts w:ascii="Calibri" w:hAnsi="Calibri" w:cs="黑体"/>
      <w:kern w:val="2"/>
      <w:sz w:val="18"/>
      <w:szCs w:val="18"/>
    </w:rPr>
  </w:style>
  <w:style w:type="character" w:customStyle="1" w:styleId="36">
    <w:name w:val="段 Char"/>
    <w:basedOn w:val="20"/>
    <w:link w:val="29"/>
    <w:qFormat/>
    <w:uiPriority w:val="0"/>
    <w:rPr>
      <w:rFonts w:ascii="宋体"/>
      <w:sz w:val="21"/>
      <w:lang w:val="en-US" w:eastAsia="zh-CN" w:bidi="ar-SA"/>
    </w:rPr>
  </w:style>
  <w:style w:type="character" w:customStyle="1" w:styleId="37">
    <w:name w:val="批注框文本 Char"/>
    <w:basedOn w:val="20"/>
    <w:link w:val="14"/>
    <w:semiHidden/>
    <w:qFormat/>
    <w:uiPriority w:val="0"/>
    <w:rPr>
      <w:rFonts w:ascii="Calibri" w:hAnsi="Calibri" w:cs="黑体"/>
      <w:kern w:val="2"/>
      <w:sz w:val="18"/>
      <w:szCs w:val="18"/>
    </w:rPr>
  </w:style>
  <w:style w:type="character" w:customStyle="1" w:styleId="38">
    <w:name w:val="标题 1 Char"/>
    <w:basedOn w:val="20"/>
    <w:link w:val="2"/>
    <w:qFormat/>
    <w:uiPriority w:val="9"/>
    <w:rPr>
      <w:rFonts w:ascii="Calibri" w:hAnsi="Calibri" w:eastAsia="黑体" w:cs="黑体"/>
      <w:bCs/>
      <w:kern w:val="44"/>
      <w:sz w:val="24"/>
      <w:szCs w:val="44"/>
    </w:rPr>
  </w:style>
  <w:style w:type="character" w:customStyle="1" w:styleId="39">
    <w:name w:val="标题 2 Char"/>
    <w:basedOn w:val="20"/>
    <w:link w:val="3"/>
    <w:qFormat/>
    <w:uiPriority w:val="9"/>
    <w:rPr>
      <w:rFonts w:eastAsia="黑体" w:asciiTheme="majorHAnsi" w:hAnsiTheme="majorHAnsi" w:cstheme="majorBidi"/>
      <w:bCs/>
      <w:kern w:val="2"/>
      <w:sz w:val="24"/>
      <w:szCs w:val="32"/>
    </w:rPr>
  </w:style>
  <w:style w:type="character" w:customStyle="1" w:styleId="40">
    <w:name w:val="标题 3 Char"/>
    <w:basedOn w:val="20"/>
    <w:link w:val="4"/>
    <w:qFormat/>
    <w:uiPriority w:val="9"/>
    <w:rPr>
      <w:rFonts w:ascii="Calibri" w:hAnsi="Calibri" w:eastAsia="黑体" w:cs="黑体"/>
      <w:bCs/>
      <w:kern w:val="2"/>
      <w:sz w:val="24"/>
      <w:szCs w:val="32"/>
    </w:rPr>
  </w:style>
  <w:style w:type="character" w:customStyle="1" w:styleId="41">
    <w:name w:val="标题 4 Char"/>
    <w:basedOn w:val="20"/>
    <w:link w:val="5"/>
    <w:qFormat/>
    <w:uiPriority w:val="9"/>
    <w:rPr>
      <w:rFonts w:eastAsia="黑体" w:asciiTheme="majorHAnsi" w:hAnsiTheme="majorHAnsi" w:cstheme="majorBidi"/>
      <w:bCs/>
      <w:kern w:val="2"/>
      <w:sz w:val="21"/>
      <w:szCs w:val="28"/>
    </w:rPr>
  </w:style>
  <w:style w:type="character" w:customStyle="1" w:styleId="42">
    <w:name w:val="标题 5 Char"/>
    <w:basedOn w:val="20"/>
    <w:link w:val="6"/>
    <w:qFormat/>
    <w:uiPriority w:val="9"/>
    <w:rPr>
      <w:rFonts w:ascii="Calibri" w:hAnsi="Calibri" w:cs="黑体"/>
      <w:b/>
      <w:bCs/>
      <w:kern w:val="2"/>
      <w:sz w:val="28"/>
      <w:szCs w:val="28"/>
    </w:rPr>
  </w:style>
  <w:style w:type="character" w:customStyle="1" w:styleId="43">
    <w:name w:val="标题 6 Char"/>
    <w:basedOn w:val="20"/>
    <w:link w:val="7"/>
    <w:semiHidden/>
    <w:qFormat/>
    <w:uiPriority w:val="9"/>
    <w:rPr>
      <w:rFonts w:asciiTheme="majorHAnsi" w:hAnsiTheme="majorHAnsi" w:eastAsiaTheme="majorEastAsia" w:cstheme="majorBidi"/>
      <w:b/>
      <w:bCs/>
      <w:kern w:val="2"/>
      <w:sz w:val="24"/>
      <w:szCs w:val="24"/>
    </w:rPr>
  </w:style>
  <w:style w:type="character" w:customStyle="1" w:styleId="44">
    <w:name w:val="标题 7 Char"/>
    <w:basedOn w:val="20"/>
    <w:link w:val="8"/>
    <w:semiHidden/>
    <w:qFormat/>
    <w:uiPriority w:val="9"/>
    <w:rPr>
      <w:rFonts w:ascii="Calibri" w:hAnsi="Calibri" w:cs="黑体"/>
      <w:b/>
      <w:bCs/>
      <w:kern w:val="2"/>
      <w:sz w:val="24"/>
      <w:szCs w:val="24"/>
    </w:rPr>
  </w:style>
  <w:style w:type="character" w:customStyle="1" w:styleId="45">
    <w:name w:val="标题 8 Char"/>
    <w:basedOn w:val="20"/>
    <w:link w:val="9"/>
    <w:semiHidden/>
    <w:qFormat/>
    <w:uiPriority w:val="9"/>
    <w:rPr>
      <w:rFonts w:asciiTheme="majorHAnsi" w:hAnsiTheme="majorHAnsi" w:eastAsiaTheme="majorEastAsia" w:cstheme="majorBidi"/>
      <w:kern w:val="2"/>
      <w:sz w:val="24"/>
      <w:szCs w:val="24"/>
    </w:rPr>
  </w:style>
  <w:style w:type="character" w:customStyle="1" w:styleId="46">
    <w:name w:val="标题 9 Char"/>
    <w:basedOn w:val="20"/>
    <w:link w:val="10"/>
    <w:semiHidden/>
    <w:qFormat/>
    <w:uiPriority w:val="9"/>
    <w:rPr>
      <w:rFonts w:asciiTheme="majorHAnsi" w:hAnsiTheme="majorHAnsi" w:eastAsiaTheme="majorEastAsia" w:cstheme="majorBidi"/>
      <w:kern w:val="2"/>
      <w:sz w:val="21"/>
      <w:szCs w:val="21"/>
    </w:rPr>
  </w:style>
  <w:style w:type="character" w:customStyle="1" w:styleId="47">
    <w:name w:val="正文文本缩进 Char"/>
    <w:basedOn w:val="20"/>
    <w:link w:val="12"/>
    <w:qFormat/>
    <w:uiPriority w:val="99"/>
    <w:rPr>
      <w:kern w:val="2"/>
      <w:sz w:val="21"/>
      <w:szCs w:val="21"/>
    </w:rPr>
  </w:style>
  <w:style w:type="paragraph" w:customStyle="1" w:styleId="48">
    <w:name w:val="章标题"/>
    <w:next w:val="1"/>
    <w:qFormat/>
    <w:uiPriority w:val="0"/>
    <w:pPr>
      <w:spacing w:beforeLines="50" w:afterLines="50"/>
      <w:jc w:val="both"/>
      <w:outlineLvl w:val="1"/>
    </w:pPr>
    <w:rPr>
      <w:rFonts w:ascii="黑体" w:eastAsia="黑体" w:hAnsiTheme="minorHAnsi" w:cstheme="minorBidi"/>
      <w:sz w:val="21"/>
      <w:szCs w:val="22"/>
      <w:lang w:val="en-US" w:eastAsia="zh-CN" w:bidi="ar-SA"/>
    </w:rPr>
  </w:style>
  <w:style w:type="paragraph" w:styleId="4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642</Words>
  <Characters>3664</Characters>
  <Lines>30</Lines>
  <Paragraphs>8</Paragraphs>
  <TotalTime>1</TotalTime>
  <ScaleCrop>false</ScaleCrop>
  <LinksUpToDate>false</LinksUpToDate>
  <CharactersWithSpaces>4298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2017-12-21T09:10:00Z</dcterms:created>
  <dc:creator>微软用户</dc:creator>
  <cp:lastModifiedBy> </cp:lastModifiedBy>
  <cp:lastPrinted>2018-02-09T03:38:00Z</cp:lastPrinted>
  <dcterms:modified xsi:type="dcterms:W3CDTF">2020-11-13T07:16:27Z</dcterms:modified>
  <dc:title>稀土国家标准《稀土金属及其氧化物中非稀土杂质化学分析方法  第五部分》（预审稿）编制说明</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