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rFonts w:ascii="Times New Roman" w:hAnsi="Times New Roman" w:eastAsia="MingLiU"/>
          <w:sz w:val="144"/>
          <w:szCs w:val="144"/>
        </w:rPr>
      </w:pPr>
      <w:r>
        <w:rPr>
          <w:b/>
          <w:sz w:val="36"/>
          <w:szCs w:val="36"/>
        </w:rPr>
        <mc:AlternateContent>
          <mc:Choice Requires="wps">
            <w:drawing>
              <wp:anchor distT="0" distB="0" distL="114300" distR="114300" simplePos="0" relativeHeight="251658240" behindDoc="0" locked="1" layoutInCell="1" allowOverlap="1">
                <wp:simplePos x="0" y="0"/>
                <wp:positionH relativeFrom="margin">
                  <wp:posOffset>106045</wp:posOffset>
                </wp:positionH>
                <wp:positionV relativeFrom="margin">
                  <wp:posOffset>247650</wp:posOffset>
                </wp:positionV>
                <wp:extent cx="1894205" cy="657860"/>
                <wp:effectExtent l="0" t="0" r="10795" b="8890"/>
                <wp:wrapNone/>
                <wp:docPr id="1" name="fmFrame1"/>
                <wp:cNvGraphicFramePr/>
                <a:graphic xmlns:a="http://schemas.openxmlformats.org/drawingml/2006/main">
                  <a:graphicData uri="http://schemas.microsoft.com/office/word/2010/wordprocessingShape">
                    <wps:wsp>
                      <wps:cNvSpPr txBox="1"/>
                      <wps:spPr>
                        <a:xfrm>
                          <a:off x="0" y="0"/>
                          <a:ext cx="1894205" cy="657860"/>
                        </a:xfrm>
                        <a:prstGeom prst="rect">
                          <a:avLst/>
                        </a:prstGeom>
                        <a:solidFill>
                          <a:srgbClr val="FFFFFF"/>
                        </a:solidFill>
                        <a:ln w="9525">
                          <a:noFill/>
                        </a:ln>
                      </wps:spPr>
                      <wps:txbx>
                        <w:txbxContent>
                          <w:p>
                            <w:pPr>
                              <w:pStyle w:val="12"/>
                              <w:rPr>
                                <w:rFonts w:hint="eastAsia" w:ascii="黑体"/>
                                <w:szCs w:val="21"/>
                              </w:rPr>
                            </w:pPr>
                            <w:r>
                              <w:rPr>
                                <w:rFonts w:hint="eastAsia" w:ascii="黑体"/>
                                <w:szCs w:val="21"/>
                              </w:rPr>
                              <w:t>ICS 77.150.99</w:t>
                            </w:r>
                          </w:p>
                          <w:p>
                            <w:pPr>
                              <w:pStyle w:val="12"/>
                              <w:rPr>
                                <w:rFonts w:hint="eastAsia" w:ascii="黑体"/>
                              </w:rPr>
                            </w:pPr>
                          </w:p>
                          <w:p>
                            <w:pPr>
                              <w:pStyle w:val="12"/>
                            </w:pPr>
                            <w:r>
                              <w:rPr>
                                <w:rFonts w:hint="eastAsia" w:ascii="黑体"/>
                                <w:szCs w:val="22"/>
                                <w:lang w:val="en-US" w:eastAsia="zh-CN"/>
                              </w:rPr>
                              <w:t>CCS</w:t>
                            </w:r>
                          </w:p>
                        </w:txbxContent>
                      </wps:txbx>
                      <wps:bodyPr wrap="square" lIns="0" tIns="0" rIns="0" bIns="0" upright="1"/>
                    </wps:wsp>
                  </a:graphicData>
                </a:graphic>
              </wp:anchor>
            </w:drawing>
          </mc:Choice>
          <mc:Fallback>
            <w:pict>
              <v:shape id="fmFrame1" o:spid="_x0000_s1026" o:spt="202" type="#_x0000_t202" style="position:absolute;left:0pt;margin-left:8.35pt;margin-top:19.5pt;height:51.8pt;width:149.15pt;mso-position-horizontal-relative:margin;mso-position-vertical-relative:margin;z-index:251658240;mso-width-relative:page;mso-height-relative:page;" fillcolor="#FFFFFF" filled="t" stroked="f" coordsize="21600,21600" o:gfxdata="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1U9pDXAAAACQEAAA8AAAAAAAAAAQAgAAAAIgAAAGRycy9kb3ducmV2LnhtbFBLAQIUABQAAAAI&#10;AIdO4kC8iVnJtQEAAGEDAAAOAAAAAAAAAAEAIAAAACYBAABkcnMvZTJvRG9jLnhtbFBLBQYAAAAA&#10;BgAGAFkBAABNBQAAAAA=&#10;">
                <v:fill on="t" focussize="0,0"/>
                <v:stroke on="f"/>
                <v:imagedata o:title=""/>
                <o:lock v:ext="edit" aspectratio="f"/>
                <v:textbox inset="0mm,0mm,0mm,0mm">
                  <w:txbxContent>
                    <w:p>
                      <w:pPr>
                        <w:pStyle w:val="12"/>
                        <w:rPr>
                          <w:rFonts w:hint="eastAsia" w:ascii="黑体"/>
                          <w:szCs w:val="21"/>
                        </w:rPr>
                      </w:pPr>
                      <w:r>
                        <w:rPr>
                          <w:rFonts w:hint="eastAsia" w:ascii="黑体"/>
                          <w:szCs w:val="21"/>
                        </w:rPr>
                        <w:t>ICS 77.150.99</w:t>
                      </w:r>
                    </w:p>
                    <w:p>
                      <w:pPr>
                        <w:pStyle w:val="12"/>
                        <w:rPr>
                          <w:rFonts w:hint="eastAsia" w:ascii="黑体"/>
                        </w:rPr>
                      </w:pPr>
                    </w:p>
                    <w:p>
                      <w:pPr>
                        <w:pStyle w:val="12"/>
                      </w:pPr>
                      <w:r>
                        <w:rPr>
                          <w:rFonts w:hint="eastAsia" w:ascii="黑体"/>
                          <w:szCs w:val="22"/>
                          <w:lang w:val="en-US" w:eastAsia="zh-CN"/>
                        </w:rPr>
                        <w:t>CCS</w:t>
                      </w:r>
                    </w:p>
                  </w:txbxContent>
                </v:textbox>
                <w10:anchorlock/>
              </v:shape>
            </w:pict>
          </mc:Fallback>
        </mc:AlternateContent>
      </w:r>
      <w:r>
        <w:rPr>
          <w:b/>
          <w:sz w:val="36"/>
          <w:szCs w:val="36"/>
        </w:rPr>
        <w:t xml:space="preserve">                                   </w:t>
      </w:r>
      <w:r>
        <w:rPr>
          <w:rFonts w:ascii="Times New Roman" w:hAnsi="Times New Roman"/>
          <w:sz w:val="144"/>
          <w:szCs w:val="144"/>
        </w:rPr>
        <w:t>YS</w:t>
      </w:r>
    </w:p>
    <w:p>
      <w:pPr>
        <w:ind w:firstLine="520" w:firstLineChars="100"/>
        <w:rPr>
          <w:rFonts w:ascii="黑体" w:hAnsi="黑体" w:eastAsia="黑体"/>
          <w:sz w:val="52"/>
          <w:szCs w:val="52"/>
        </w:rPr>
      </w:pPr>
      <w:r>
        <w:rPr>
          <w:rFonts w:hint="eastAsia" w:ascii="黑体" w:hAnsi="黑体" w:eastAsia="黑体"/>
          <w:sz w:val="52"/>
          <w:szCs w:val="52"/>
        </w:rPr>
        <w:t>中华人民共和国有色</w:t>
      </w:r>
      <w:r>
        <w:rPr>
          <w:rFonts w:hint="eastAsia" w:ascii="黑体" w:hAnsi="黑体" w:eastAsia="黑体"/>
          <w:sz w:val="52"/>
          <w:szCs w:val="52"/>
          <w:lang w:val="en-US" w:eastAsia="zh-CN"/>
        </w:rPr>
        <w:t>金</w:t>
      </w:r>
      <w:r>
        <w:rPr>
          <w:rFonts w:hint="eastAsia" w:ascii="黑体" w:hAnsi="黑体" w:eastAsia="黑体"/>
          <w:sz w:val="52"/>
          <w:szCs w:val="52"/>
        </w:rPr>
        <w:t>属行业标准</w:t>
      </w:r>
    </w:p>
    <w:p>
      <w:pPr>
        <w:rPr>
          <w:rFonts w:hint="eastAsia" w:ascii="黑体" w:eastAsia="黑体"/>
          <w:sz w:val="28"/>
          <w:szCs w:val="28"/>
          <w:u w:val="thick"/>
        </w:rPr>
      </w:pPr>
      <w:r>
        <w:rPr>
          <w:rFonts w:hint="eastAsia" w:ascii="黑体" w:eastAsia="黑体"/>
        </w:rPr>
        <w:t xml:space="preserve"> </w:t>
      </w:r>
      <w:r>
        <w:rPr>
          <w:rFonts w:hint="eastAsia" w:ascii="黑体" w:eastAsia="黑体"/>
          <w:u w:val="thick"/>
        </w:rPr>
        <w:t xml:space="preserve">                                                             </w:t>
      </w:r>
      <w:r>
        <w:rPr>
          <w:rFonts w:hint="eastAsia" w:ascii="黑体" w:eastAsia="黑体"/>
          <w:sz w:val="28"/>
          <w:szCs w:val="28"/>
          <w:u w:val="thick"/>
        </w:rPr>
        <w:t xml:space="preserve">YS/T </w:t>
      </w:r>
      <w:r>
        <w:rPr>
          <w:rFonts w:hint="eastAsia" w:ascii="黑体" w:eastAsia="黑体"/>
          <w:sz w:val="28"/>
          <w:szCs w:val="28"/>
          <w:u w:val="thick"/>
          <w:lang w:val="en-US" w:eastAsia="zh-CN"/>
        </w:rPr>
        <w:t>XXX</w:t>
      </w:r>
      <w:r>
        <w:rPr>
          <w:rFonts w:hint="eastAsia" w:ascii="黑体" w:eastAsia="黑体"/>
          <w:sz w:val="28"/>
          <w:szCs w:val="28"/>
          <w:u w:val="thick"/>
        </w:rPr>
        <w:t>-20</w:t>
      </w:r>
      <w:r>
        <w:rPr>
          <w:rFonts w:hint="eastAsia" w:ascii="黑体" w:eastAsia="黑体"/>
          <w:sz w:val="28"/>
          <w:szCs w:val="28"/>
          <w:u w:val="thick"/>
          <w:lang w:val="en-US" w:eastAsia="zh-CN"/>
        </w:rPr>
        <w:t>2</w:t>
      </w:r>
      <w:r>
        <w:rPr>
          <w:rFonts w:hint="eastAsia" w:ascii="黑体" w:eastAsia="黑体"/>
          <w:sz w:val="28"/>
          <w:szCs w:val="28"/>
          <w:u w:val="thick"/>
        </w:rPr>
        <w:t>X</w:t>
      </w:r>
    </w:p>
    <w:p>
      <w:pPr/>
    </w:p>
    <w:p>
      <w:pPr/>
    </w:p>
    <w:p>
      <w:pPr>
        <w:rPr>
          <w:rFonts w:ascii="华文隶书" w:eastAsia="华文隶书"/>
        </w:rPr>
      </w:pPr>
    </w:p>
    <w:p>
      <w:pPr/>
    </w:p>
    <w:p>
      <w:pPr>
        <w:tabs>
          <w:tab w:val="left" w:pos="6921"/>
        </w:tabs>
      </w:pPr>
    </w:p>
    <w:p>
      <w:pPr/>
    </w:p>
    <w:p>
      <w:pPr>
        <w:jc w:val="center"/>
        <w:rPr>
          <w:b/>
          <w:sz w:val="44"/>
          <w:szCs w:val="44"/>
        </w:rPr>
      </w:pPr>
      <w:r>
        <w:rPr>
          <w:rFonts w:hint="eastAsia"/>
          <w:b/>
          <w:sz w:val="44"/>
          <w:szCs w:val="44"/>
        </w:rPr>
        <w:t>电池级无水氢氧化锂</w:t>
      </w:r>
    </w:p>
    <w:p>
      <w:pPr>
        <w:pStyle w:val="5"/>
        <w:spacing w:line="680" w:lineRule="exact"/>
        <w:jc w:val="center"/>
      </w:pPr>
    </w:p>
    <w:p>
      <w:pPr>
        <w:jc w:val="center"/>
        <w:rPr>
          <w:b/>
          <w:sz w:val="36"/>
          <w:szCs w:val="36"/>
        </w:rPr>
      </w:pPr>
      <w:r>
        <w:rPr>
          <w:rFonts w:hint="eastAsia" w:eastAsia="黑体"/>
          <w:kern w:val="0"/>
          <w:sz w:val="28"/>
          <w:szCs w:val="28"/>
          <w:lang w:val="en-US" w:eastAsia="zh-CN"/>
        </w:rPr>
        <w:t xml:space="preserve"> </w:t>
      </w:r>
      <w:r>
        <w:rPr>
          <w:rFonts w:hint="eastAsia" w:ascii="Calibri" w:hAnsi="Calibri" w:eastAsia="宋体" w:cs="Times New Roman"/>
          <w:sz w:val="36"/>
          <w:szCs w:val="36"/>
        </w:rPr>
        <w:t xml:space="preserve">Battery grade </w:t>
      </w:r>
      <w:r>
        <w:rPr>
          <w:rFonts w:hint="eastAsia" w:ascii="Calibri" w:hAnsi="Calibri" w:cs="Times New Roman"/>
          <w:sz w:val="36"/>
          <w:szCs w:val="36"/>
          <w:lang w:val="en-US" w:eastAsia="zh-CN"/>
        </w:rPr>
        <w:t>a</w:t>
      </w:r>
      <w:r>
        <w:rPr>
          <w:rFonts w:ascii="Calibri" w:hAnsi="Calibri" w:eastAsia="宋体" w:cs="Times New Roman"/>
          <w:sz w:val="36"/>
          <w:szCs w:val="36"/>
        </w:rPr>
        <w:t xml:space="preserve">nhydrous </w:t>
      </w:r>
      <w:r>
        <w:rPr>
          <w:rFonts w:hint="eastAsia" w:ascii="Calibri" w:hAnsi="Calibri" w:cs="Times New Roman"/>
          <w:sz w:val="36"/>
          <w:szCs w:val="36"/>
          <w:lang w:val="en-US" w:eastAsia="zh-CN"/>
        </w:rPr>
        <w:t>l</w:t>
      </w:r>
      <w:r>
        <w:rPr>
          <w:rFonts w:ascii="Calibri" w:hAnsi="Calibri" w:eastAsia="宋体" w:cs="Times New Roman"/>
          <w:sz w:val="36"/>
          <w:szCs w:val="36"/>
        </w:rPr>
        <w:t>ithium</w:t>
      </w:r>
      <w:r>
        <w:rPr>
          <w:rFonts w:hint="eastAsia" w:ascii="Calibri" w:hAnsi="Calibri" w:eastAsia="宋体" w:cs="Times New Roman"/>
          <w:sz w:val="36"/>
          <w:szCs w:val="36"/>
        </w:rPr>
        <w:t xml:space="preserve"> </w:t>
      </w:r>
      <w:r>
        <w:rPr>
          <w:rFonts w:hint="eastAsia" w:ascii="Calibri" w:hAnsi="Calibri" w:cs="Times New Roman"/>
          <w:sz w:val="36"/>
          <w:szCs w:val="36"/>
          <w:lang w:val="en-US" w:eastAsia="zh-CN"/>
        </w:rPr>
        <w:t>h</w:t>
      </w:r>
      <w:r>
        <w:rPr>
          <w:rFonts w:ascii="Calibri" w:hAnsi="Calibri" w:eastAsia="宋体" w:cs="Times New Roman"/>
          <w:sz w:val="36"/>
          <w:szCs w:val="36"/>
        </w:rPr>
        <w:t>ydroxide</w:t>
      </w:r>
    </w:p>
    <w:p>
      <w:pPr>
        <w:rPr>
          <w:rFonts w:hint="eastAsia" w:eastAsia="宋体"/>
          <w:lang w:eastAsia="zh-CN"/>
        </w:rPr>
      </w:pPr>
    </w:p>
    <w:p>
      <w:pPr>
        <w:rPr>
          <w:rFonts w:hint="eastAsia"/>
        </w:rPr>
      </w:pPr>
    </w:p>
    <w:p>
      <w:pPr>
        <w:rPr>
          <w:rFonts w:hint="eastAsia"/>
        </w:rPr>
      </w:pPr>
    </w:p>
    <w:p>
      <w:pPr/>
    </w:p>
    <w:p>
      <w:pPr>
        <w:jc w:val="center"/>
        <w:rPr>
          <w:rFonts w:hint="eastAsia" w:eastAsia="宋体"/>
          <w:b/>
          <w:color w:val="000000" w:themeColor="text1"/>
          <w:sz w:val="24"/>
          <w:szCs w:val="24"/>
          <w:lang w:eastAsia="zh-CN"/>
          <w14:textFill>
            <w14:solidFill>
              <w14:schemeClr w14:val="tx1"/>
            </w14:solidFill>
          </w14:textFill>
        </w:rPr>
      </w:pPr>
      <w:r>
        <w:rPr>
          <w:rFonts w:hint="eastAsia" w:ascii="Calibri" w:hAnsi="Calibri" w:cs="Times New Roman"/>
          <w:sz w:val="36"/>
          <w:szCs w:val="36"/>
          <w:lang w:val="en-US" w:eastAsia="zh-CN"/>
        </w:rPr>
        <w:t xml:space="preserve"> </w:t>
      </w:r>
    </w:p>
    <w:p>
      <w:pPr>
        <w:jc w:val="center"/>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讨论稿</w:t>
      </w:r>
      <w:r>
        <w:rPr>
          <w:rFonts w:hint="eastAsia"/>
          <w:color w:val="000000" w:themeColor="text1"/>
          <w:sz w:val="28"/>
          <w:szCs w:val="28"/>
          <w14:textFill>
            <w14:solidFill>
              <w14:schemeClr w14:val="tx1"/>
            </w14:solidFill>
          </w14:textFill>
        </w:rPr>
        <w:t>）</w:t>
      </w: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在提交反馈意见时，请将您知道的相关专利连同支持性文件一并附上</w:t>
      </w:r>
      <w:r>
        <w:rPr>
          <w:rFonts w:hint="eastAsia"/>
          <w:color w:val="000000" w:themeColor="text1"/>
          <w:sz w:val="24"/>
          <w:szCs w:val="24"/>
          <w:lang w:eastAsia="zh-CN"/>
          <w14:textFill>
            <w14:solidFill>
              <w14:schemeClr w14:val="tx1"/>
            </w14:solidFill>
          </w14:textFill>
        </w:rPr>
        <w:t>）</w:t>
      </w:r>
    </w:p>
    <w:p>
      <w:pPr>
        <w:rPr>
          <w:rFonts w:hint="eastAsia"/>
          <w:color w:val="000000" w:themeColor="text1"/>
          <w14:textFill>
            <w14:solidFill>
              <w14:schemeClr w14:val="tx1"/>
            </w14:solidFill>
          </w14:textFill>
        </w:rPr>
      </w:pPr>
    </w:p>
    <w:p>
      <w:pPr>
        <w:rPr>
          <w:rFonts w:hint="eastAsia"/>
        </w:rPr>
      </w:pPr>
    </w:p>
    <w:p>
      <w:pPr>
        <w:rPr>
          <w:rFonts w:hint="eastAsia"/>
        </w:rPr>
      </w:pPr>
    </w:p>
    <w:p>
      <w:pPr/>
    </w:p>
    <w:p>
      <w:pPr>
        <w:rPr>
          <w:sz w:val="28"/>
          <w:szCs w:val="28"/>
          <w:u w:val="single"/>
        </w:rPr>
      </w:pPr>
      <w:r>
        <w:rPr>
          <w:rFonts w:hint="eastAsia" w:ascii="黑体" w:eastAsia="黑体"/>
          <w:sz w:val="28"/>
          <w:szCs w:val="28"/>
          <w:u w:val="single"/>
        </w:rPr>
        <w:t>20</w:t>
      </w:r>
      <w:r>
        <w:rPr>
          <w:rFonts w:hint="eastAsia" w:ascii="黑体" w:eastAsia="黑体"/>
          <w:sz w:val="28"/>
          <w:szCs w:val="28"/>
          <w:u w:val="single"/>
          <w:lang w:val="en-US" w:eastAsia="zh-CN"/>
        </w:rPr>
        <w:t>2</w:t>
      </w:r>
      <w:r>
        <w:rPr>
          <w:rFonts w:hint="eastAsia" w:ascii="黑体" w:eastAsia="黑体"/>
          <w:sz w:val="28"/>
          <w:szCs w:val="28"/>
          <w:u w:val="single"/>
        </w:rPr>
        <w:t xml:space="preserve">X-XX-XX发布  </w:t>
      </w:r>
      <w:r>
        <w:rPr>
          <w:sz w:val="28"/>
          <w:szCs w:val="28"/>
          <w:u w:val="single"/>
        </w:rPr>
        <w:t xml:space="preserve">                           </w:t>
      </w:r>
      <w:r>
        <w:rPr>
          <w:rFonts w:hint="eastAsia" w:ascii="黑体" w:eastAsia="黑体"/>
          <w:sz w:val="28"/>
          <w:szCs w:val="28"/>
          <w:u w:val="single"/>
        </w:rPr>
        <w:t xml:space="preserve"> 20</w:t>
      </w:r>
      <w:r>
        <w:rPr>
          <w:rFonts w:hint="eastAsia" w:ascii="黑体" w:eastAsia="黑体"/>
          <w:sz w:val="28"/>
          <w:szCs w:val="28"/>
          <w:u w:val="single"/>
          <w:lang w:val="en-US" w:eastAsia="zh-CN"/>
        </w:rPr>
        <w:t>2</w:t>
      </w:r>
      <w:r>
        <w:rPr>
          <w:rFonts w:hint="eastAsia" w:ascii="黑体" w:eastAsia="黑体"/>
          <w:sz w:val="28"/>
          <w:szCs w:val="28"/>
          <w:u w:val="single"/>
        </w:rPr>
        <w:t>X-XX-XX实施</w:t>
      </w:r>
    </w:p>
    <w:p>
      <w:pPr>
        <w:ind w:firstLine="1062" w:firstLineChars="295"/>
        <w:rPr>
          <w:rFonts w:hint="eastAsia" w:ascii="黑体" w:eastAsia="黑体"/>
          <w:sz w:val="28"/>
          <w:szCs w:val="28"/>
        </w:rPr>
      </w:pPr>
      <w:r>
        <w:rPr>
          <w:rFonts w:hint="eastAsia" w:ascii="黑体" w:eastAsia="黑体"/>
          <w:sz w:val="36"/>
          <w:szCs w:val="36"/>
        </w:rPr>
        <w:t>中华人民共和国工业和信息化部</w:t>
      </w:r>
      <w:r>
        <w:rPr>
          <w:sz w:val="28"/>
          <w:szCs w:val="28"/>
        </w:rPr>
        <w:t xml:space="preserve">   </w:t>
      </w:r>
      <w:r>
        <w:rPr>
          <w:rFonts w:hint="eastAsia" w:ascii="黑体" w:eastAsia="黑体"/>
          <w:sz w:val="28"/>
          <w:szCs w:val="28"/>
        </w:rPr>
        <w:t>发布</w:t>
      </w:r>
    </w:p>
    <w:p>
      <w:pPr>
        <w:pStyle w:val="6"/>
        <w:rPr>
          <w:rFonts w:hint="eastAsia" w:ascii="黑体" w:eastAsia="黑体"/>
          <w:b w:val="0"/>
        </w:rPr>
      </w:pPr>
    </w:p>
    <w:p>
      <w:pPr>
        <w:pStyle w:val="6"/>
        <w:rPr>
          <w:rFonts w:hint="eastAsia" w:ascii="黑体" w:eastAsia="黑体"/>
          <w:b w:val="0"/>
        </w:rPr>
      </w:pPr>
      <w:r>
        <w:rPr>
          <w:rFonts w:hint="eastAsia" w:ascii="黑体" w:eastAsia="黑体"/>
          <w:b w:val="0"/>
        </w:rPr>
        <w:t>前言</w:t>
      </w:r>
    </w:p>
    <w:p>
      <w:pPr>
        <w:pStyle w:val="11"/>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按照GB/T 1.1-20</w:t>
      </w:r>
      <w:r>
        <w:rPr>
          <w:rFonts w:hint="eastAsia" w:hAnsi="宋体"/>
          <w:color w:val="000000" w:themeColor="text1"/>
          <w:lang w:val="en-US" w:eastAsia="zh-CN"/>
          <w14:textFill>
            <w14:solidFill>
              <w14:schemeClr w14:val="tx1"/>
            </w14:solidFill>
          </w14:textFill>
        </w:rPr>
        <w:t>20《标准化工作导则  第1部分：标准化文件的结构和起草规则》</w:t>
      </w:r>
      <w:r>
        <w:rPr>
          <w:rFonts w:hint="eastAsia" w:hAnsi="宋体"/>
          <w:color w:val="000000" w:themeColor="text1"/>
          <w14:textFill>
            <w14:solidFill>
              <w14:schemeClr w14:val="tx1"/>
            </w14:solidFill>
          </w14:textFill>
        </w:rPr>
        <w:t>的</w:t>
      </w:r>
      <w:r>
        <w:rPr>
          <w:rFonts w:hint="eastAsia" w:hAnsi="宋体"/>
          <w:color w:val="000000" w:themeColor="text1"/>
          <w:lang w:eastAsia="zh-CN"/>
          <w14:textFill>
            <w14:solidFill>
              <w14:schemeClr w14:val="tx1"/>
            </w14:solidFill>
          </w14:textFill>
        </w:rPr>
        <w:t>规定</w:t>
      </w:r>
      <w:r>
        <w:rPr>
          <w:rFonts w:hint="eastAsia" w:hAnsi="宋体"/>
          <w:color w:val="000000" w:themeColor="text1"/>
          <w14:textFill>
            <w14:solidFill>
              <w14:schemeClr w14:val="tx1"/>
            </w14:solidFill>
          </w14:textFill>
        </w:rPr>
        <w:t>起草。</w:t>
      </w:r>
    </w:p>
    <w:p>
      <w:pPr>
        <w:pStyle w:val="11"/>
        <w:spacing w:line="240" w:lineRule="atLeast"/>
        <w:ind w:firstLine="420"/>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eastAsia="zh-CN"/>
          <w14:textFill>
            <w14:solidFill>
              <w14:schemeClr w14:val="tx1"/>
            </w14:solidFill>
          </w14:textFill>
        </w:rPr>
        <w:t>请注意本文件的某些内容可能涉及专利。本文件的发布机构不承担识别专利的责任。</w:t>
      </w:r>
    </w:p>
    <w:p>
      <w:pPr>
        <w:pStyle w:val="11"/>
        <w:spacing w:line="240" w:lineRule="atLeas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由全国有色金属标准化技术委员会（SAC/TC243）</w:t>
      </w:r>
      <w:r>
        <w:rPr>
          <w:rFonts w:hint="eastAsia" w:hAnsi="宋体"/>
          <w:color w:val="000000" w:themeColor="text1"/>
          <w:lang w:val="en-US" w:eastAsia="zh-CN"/>
          <w14:textFill>
            <w14:solidFill>
              <w14:schemeClr w14:val="tx1"/>
            </w14:solidFill>
          </w14:textFill>
        </w:rPr>
        <w:t>提出并</w:t>
      </w:r>
      <w:r>
        <w:rPr>
          <w:rFonts w:hint="eastAsia" w:hAnsi="宋体"/>
          <w:color w:val="000000" w:themeColor="text1"/>
          <w14:textFill>
            <w14:solidFill>
              <w14:schemeClr w14:val="tx1"/>
            </w14:solidFill>
          </w14:textFill>
        </w:rPr>
        <w:t>归口。</w:t>
      </w:r>
    </w:p>
    <w:p>
      <w:pPr>
        <w:pStyle w:val="11"/>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起草单位：</w:t>
      </w:r>
      <w:r>
        <w:rPr>
          <w:rFonts w:hint="eastAsia" w:hAnsi="宋体"/>
          <w:color w:val="000000" w:themeColor="text1"/>
          <w:lang w:eastAsia="zh-CN"/>
          <w14:textFill>
            <w14:solidFill>
              <w14:schemeClr w14:val="tx1"/>
            </w14:solidFill>
          </w14:textFill>
        </w:rPr>
        <w:t>江西赣锋锂业股份有限公司</w:t>
      </w:r>
      <w:r>
        <w:rPr>
          <w:rFonts w:hint="eastAsia" w:hAnsi="宋体"/>
          <w:color w:val="000000" w:themeColor="text1"/>
          <w14:textFill>
            <w14:solidFill>
              <w14:schemeClr w14:val="tx1"/>
            </w14:solidFill>
          </w14:textFill>
        </w:rPr>
        <w:t>、</w:t>
      </w:r>
      <w:r>
        <w:rPr>
          <w:rFonts w:hint="eastAsia" w:ascii="Arial" w:hAnsi="Arial" w:cs="Arial"/>
          <w:color w:val="000000" w:themeColor="text1"/>
          <w:lang w:val="en-US" w:eastAsia="zh-CN"/>
          <w14:textFill>
            <w14:solidFill>
              <w14:schemeClr w14:val="tx1"/>
            </w14:solidFill>
          </w14:textFill>
        </w:rPr>
        <w:t xml:space="preserve"> </w:t>
      </w:r>
    </w:p>
    <w:p>
      <w:pPr>
        <w:pStyle w:val="11"/>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主要起草人：</w:t>
      </w:r>
      <w:r>
        <w:rPr>
          <w:rFonts w:hint="eastAsia" w:hAnsi="宋体"/>
          <w:color w:val="000000" w:themeColor="text1"/>
          <w:lang w:val="en-US" w:eastAsia="zh-CN"/>
          <w14:textFill>
            <w14:solidFill>
              <w14:schemeClr w14:val="tx1"/>
            </w14:solidFill>
          </w14:textFill>
        </w:rPr>
        <w:t xml:space="preserve"> </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11"/>
        <w:spacing w:line="240" w:lineRule="atLeast"/>
        <w:ind w:firstLine="420"/>
        <w:rPr>
          <w:rFonts w:hint="eastAsia" w:hAnsi="宋体"/>
        </w:rPr>
      </w:pPr>
    </w:p>
    <w:p>
      <w:pPr>
        <w:pStyle w:val="6"/>
        <w:spacing w:line="360" w:lineRule="auto"/>
        <w:jc w:val="center"/>
        <w:rPr>
          <w:rFonts w:hint="eastAsia" w:ascii="黑体" w:eastAsia="黑体"/>
          <w:b w:val="0"/>
        </w:rPr>
      </w:pPr>
      <w:r>
        <w:rPr>
          <w:rFonts w:hint="eastAsia" w:ascii="Calibri" w:hAnsi="Calibri"/>
          <w:bCs w:val="0"/>
          <w:sz w:val="21"/>
          <w:szCs w:val="22"/>
        </w:rPr>
        <w:br w:type="page"/>
      </w:r>
      <w:r>
        <w:rPr>
          <w:rFonts w:hint="eastAsia" w:ascii="黑体" w:eastAsia="黑体"/>
          <w:b w:val="0"/>
          <w:lang w:val="en-US" w:eastAsia="zh-CN"/>
        </w:rPr>
        <w:t>电池级无水氢氧化锂</w:t>
      </w:r>
    </w:p>
    <w:p>
      <w:pPr>
        <w:spacing w:line="480" w:lineRule="auto"/>
        <w:ind w:left="142"/>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  范围</w:t>
      </w:r>
    </w:p>
    <w:p>
      <w:pPr>
        <w:spacing w:line="28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规定了</w:t>
      </w:r>
      <w:r>
        <w:rPr>
          <w:rFonts w:hint="eastAsia"/>
          <w:color w:val="000000" w:themeColor="text1"/>
          <w:lang w:eastAsia="zh-CN"/>
          <w14:textFill>
            <w14:solidFill>
              <w14:schemeClr w14:val="tx1"/>
            </w14:solidFill>
          </w14:textFill>
        </w:rPr>
        <w:t>电池级无水氢氧化锂</w:t>
      </w:r>
      <w:r>
        <w:rPr>
          <w:rFonts w:hint="eastAsia"/>
          <w:color w:val="000000" w:themeColor="text1"/>
          <w14:textFill>
            <w14:solidFill>
              <w14:schemeClr w14:val="tx1"/>
            </w14:solidFill>
          </w14:textFill>
        </w:rPr>
        <w:t>的</w:t>
      </w:r>
      <w:r>
        <w:rPr>
          <w:rFonts w:hint="eastAsia"/>
          <w:color w:val="000000" w:themeColor="text1"/>
          <w:lang w:val="en-US" w:eastAsia="zh-CN"/>
          <w14:textFill>
            <w14:solidFill>
              <w14:schemeClr w14:val="tx1"/>
            </w14:solidFill>
          </w14:textFill>
        </w:rPr>
        <w:t>分类、技术</w:t>
      </w:r>
      <w:r>
        <w:rPr>
          <w:rFonts w:hint="eastAsia"/>
          <w:color w:val="000000" w:themeColor="text1"/>
          <w14:textFill>
            <w14:solidFill>
              <w14:schemeClr w14:val="tx1"/>
            </w14:solidFill>
          </w14:textFill>
        </w:rPr>
        <w:t>要求</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试验方法</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检验规则</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标志</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包装</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运输</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贮存</w:t>
      </w:r>
      <w:r>
        <w:rPr>
          <w:rFonts w:hint="eastAsia" w:cs="宋体"/>
          <w:color w:val="000000" w:themeColor="text1"/>
          <w:lang w:val="en-US" w:eastAsia="zh-CN"/>
          <w14:textFill>
            <w14:solidFill>
              <w14:schemeClr w14:val="tx1"/>
            </w14:solidFill>
          </w14:textFill>
        </w:rPr>
        <w:t>及随行文件</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订货单内容。</w:t>
      </w:r>
    </w:p>
    <w:p>
      <w:pPr>
        <w:spacing w:line="288" w:lineRule="auto"/>
        <w:ind w:firstLine="407" w:firstLineChars="194"/>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适用于以各种方法生产的</w:t>
      </w:r>
      <w:r>
        <w:rPr>
          <w:rFonts w:hint="eastAsia"/>
          <w:color w:val="000000" w:themeColor="text1"/>
          <w:lang w:eastAsia="zh-CN"/>
          <w14:textFill>
            <w14:solidFill>
              <w14:schemeClr w14:val="tx1"/>
            </w14:solidFill>
          </w14:textFill>
        </w:rPr>
        <w:t>电池级无水氢氧化锂</w:t>
      </w:r>
      <w:r>
        <w:rPr>
          <w:rFonts w:hint="eastAsia"/>
          <w:color w:val="000000" w:themeColor="text1"/>
          <w14:textFill>
            <w14:solidFill>
              <w14:schemeClr w14:val="tx1"/>
            </w14:solidFill>
          </w14:textFill>
        </w:rPr>
        <w:t>。</w:t>
      </w:r>
    </w:p>
    <w:p>
      <w:pPr>
        <w:spacing w:line="360" w:lineRule="auto"/>
        <w:ind w:left="105" w:leftChars="50"/>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2  规范性引用文件</w:t>
      </w:r>
    </w:p>
    <w:p>
      <w:pPr>
        <w:spacing w:line="288" w:lineRule="auto"/>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288" w:lineRule="auto"/>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GB 190   危险货物包装标志</w:t>
      </w:r>
    </w:p>
    <w:p>
      <w:pPr>
        <w:spacing w:line="288" w:lineRule="auto"/>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GB/T 191  包装储运图示标志</w:t>
      </w:r>
    </w:p>
    <w:p>
      <w:pPr>
        <w:spacing w:line="288"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GB/ 6678  化工产品采样总则</w:t>
      </w:r>
    </w:p>
    <w:p>
      <w:pPr>
        <w:spacing w:line="288"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GB/T8170  数值修约规则及极限数值的表示和评定</w:t>
      </w:r>
    </w:p>
    <w:p>
      <w:pPr>
        <w:spacing w:line="288" w:lineRule="auto"/>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GB/T 11064（所有部分） 碳酸锂、单水氢氧化锂、氯化锂化学分析方法</w:t>
      </w:r>
    </w:p>
    <w:p>
      <w:pPr>
        <w:spacing w:line="288" w:lineRule="auto"/>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GB/T 19077 粒度分布 激光衍射法</w:t>
      </w:r>
    </w:p>
    <w:p>
      <w:pPr>
        <w:spacing w:line="288" w:lineRule="auto"/>
        <w:ind w:firstLine="42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GB/T 26008 电池级单水氢氧化锂</w:t>
      </w:r>
    </w:p>
    <w:p>
      <w:pPr>
        <w:spacing w:line="288" w:lineRule="auto"/>
        <w:ind w:firstLine="420" w:firstLineChars="200"/>
        <w:rPr>
          <w:rFonts w:hint="default"/>
          <w:color w:val="000000" w:themeColor="text1"/>
          <w:lang w:val="en-US" w:eastAsia="zh-CN"/>
          <w14:textFill>
            <w14:solidFill>
              <w14:schemeClr w14:val="tx1"/>
            </w14:solidFill>
          </w14:textFill>
        </w:rPr>
      </w:pPr>
    </w:p>
    <w:p>
      <w:pPr>
        <w:spacing w:line="360" w:lineRule="auto"/>
        <w:ind w:left="105" w:leftChars="50"/>
        <w:rPr>
          <w:rFonts w:hint="default"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3  术语和定义</w:t>
      </w:r>
    </w:p>
    <w:p>
      <w:pPr>
        <w:spacing w:line="360" w:lineRule="auto"/>
        <w:ind w:left="105" w:leftChars="5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下列术语和定义适用于本文件。</w:t>
      </w:r>
    </w:p>
    <w:p>
      <w:pPr>
        <w:spacing w:line="360" w:lineRule="auto"/>
        <w:ind w:left="105" w:leftChars="5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3.1 磁性异物 magnetic impurity</w:t>
      </w:r>
    </w:p>
    <w:p>
      <w:pPr>
        <w:spacing w:line="360" w:lineRule="auto"/>
        <w:ind w:left="105" w:leftChars="5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能被铁磁体直接或间接吸附的物质</w:t>
      </w:r>
    </w:p>
    <w:p>
      <w:pPr>
        <w:spacing w:line="360" w:lineRule="auto"/>
        <w:ind w:left="105" w:leftChars="5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注：主要指过渡元素</w:t>
      </w:r>
      <w:bookmarkStart w:id="0" w:name="OLE_LINK1"/>
      <w:r>
        <w:rPr>
          <w:rFonts w:hint="eastAsia"/>
          <w:color w:val="000000" w:themeColor="text1"/>
          <w:lang w:val="en-US" w:eastAsia="zh-CN"/>
          <w14:textFill>
            <w14:solidFill>
              <w14:schemeClr w14:val="tx1"/>
            </w14:solidFill>
          </w14:textFill>
        </w:rPr>
        <w:t>铁、铬、镍、锌</w:t>
      </w:r>
      <w:bookmarkEnd w:id="0"/>
      <w:r>
        <w:rPr>
          <w:rFonts w:hint="eastAsia"/>
          <w:color w:val="000000" w:themeColor="text1"/>
          <w:lang w:val="en-US" w:eastAsia="zh-CN"/>
          <w14:textFill>
            <w14:solidFill>
              <w14:schemeClr w14:val="tx1"/>
            </w14:solidFill>
          </w14:textFill>
        </w:rPr>
        <w:t>及其合金中带有磁性物质。本文件中为铁、铬、镍、锌四种元素的合量。</w:t>
      </w:r>
    </w:p>
    <w:p>
      <w:pPr>
        <w:spacing w:line="360" w:lineRule="auto"/>
        <w:ind w:left="105" w:leftChars="50"/>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 xml:space="preserve">4  </w:t>
      </w:r>
      <w:r>
        <w:rPr>
          <w:rFonts w:hint="eastAsia" w:ascii="黑体" w:eastAsia="黑体"/>
          <w:color w:val="000000" w:themeColor="text1"/>
          <w14:textFill>
            <w14:solidFill>
              <w14:schemeClr w14:val="tx1"/>
            </w14:solidFill>
          </w14:textFill>
        </w:rPr>
        <w:t>产品分类</w:t>
      </w:r>
    </w:p>
    <w:p>
      <w:pPr>
        <w:spacing w:line="288"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电池级无水氢氧化锂分三个牌号：LiOH-D0、LiOH-D1、LiOH-D2。</w:t>
      </w:r>
    </w:p>
    <w:p>
      <w:pPr>
        <w:spacing w:line="288" w:lineRule="auto"/>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 xml:space="preserve"> 5</w:t>
      </w:r>
      <w:r>
        <w:rPr>
          <w:rFonts w:hint="eastAsia" w:ascii="黑体" w:eastAsia="黑体"/>
          <w:color w:val="000000" w:themeColor="text1"/>
          <w14:textFill>
            <w14:solidFill>
              <w14:schemeClr w14:val="tx1"/>
            </w14:solidFill>
          </w14:textFill>
        </w:rPr>
        <w:t xml:space="preserve">  </w:t>
      </w:r>
      <w:r>
        <w:rPr>
          <w:rFonts w:hint="eastAsia" w:ascii="黑体" w:eastAsia="黑体"/>
          <w:color w:val="000000" w:themeColor="text1"/>
          <w:lang w:val="en-US" w:eastAsia="zh-CN"/>
          <w14:textFill>
            <w14:solidFill>
              <w14:schemeClr w14:val="tx1"/>
            </w14:solidFill>
          </w14:textFill>
        </w:rPr>
        <w:t>技术</w:t>
      </w:r>
      <w:r>
        <w:rPr>
          <w:rFonts w:hint="eastAsia" w:ascii="黑体" w:eastAsia="黑体"/>
          <w:color w:val="000000" w:themeColor="text1"/>
          <w14:textFill>
            <w14:solidFill>
              <w14:schemeClr w14:val="tx1"/>
            </w14:solidFill>
          </w14:textFill>
        </w:rPr>
        <w:t>要求</w:t>
      </w:r>
    </w:p>
    <w:p>
      <w:pPr>
        <w:spacing w:line="360" w:lineRule="auto"/>
        <w:ind w:left="105" w:leftChars="50"/>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5</w:t>
      </w:r>
      <w:r>
        <w:rPr>
          <w:rFonts w:hint="eastAsia" w:ascii="黑体" w:eastAsia="黑体"/>
          <w:color w:val="000000" w:themeColor="text1"/>
          <w14:textFill>
            <w14:solidFill>
              <w14:schemeClr w14:val="tx1"/>
            </w14:solidFill>
          </w14:textFill>
        </w:rPr>
        <w:t>.</w:t>
      </w:r>
      <w:r>
        <w:rPr>
          <w:rFonts w:hint="eastAsia" w:ascii="黑体" w:eastAsia="黑体"/>
          <w:color w:val="000000" w:themeColor="text1"/>
          <w:lang w:val="en-US" w:eastAsia="zh-CN"/>
          <w14:textFill>
            <w14:solidFill>
              <w14:schemeClr w14:val="tx1"/>
            </w14:solidFill>
          </w14:textFill>
        </w:rPr>
        <w:t xml:space="preserve">1 </w:t>
      </w:r>
      <w:r>
        <w:rPr>
          <w:rFonts w:hint="eastAsia" w:ascii="黑体" w:eastAsia="黑体"/>
          <w:color w:val="000000" w:themeColor="text1"/>
          <w14:textFill>
            <w14:solidFill>
              <w14:schemeClr w14:val="tx1"/>
            </w14:solidFill>
          </w14:textFill>
        </w:rPr>
        <w:t>化学成分</w:t>
      </w:r>
    </w:p>
    <w:p>
      <w:pPr>
        <w:spacing w:line="288"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电池级无水氢氧化锂的化学成分应符合表1的规定；</w:t>
      </w:r>
    </w:p>
    <w:p>
      <w:pPr>
        <w:spacing w:line="360" w:lineRule="auto"/>
        <w:ind w:firstLine="630" w:firstLineChars="300"/>
        <w:jc w:val="center"/>
        <w:rPr>
          <w:rFonts w:hint="eastAsia" w:ascii="宋体" w:hAnsi="宋体" w:eastAsia="宋体" w:cs="宋体"/>
          <w:lang w:val="en-US" w:eastAsia="zh-CN"/>
        </w:rPr>
      </w:pPr>
      <w:r>
        <w:rPr>
          <w:rFonts w:hint="eastAsia" w:ascii="宋体" w:hAnsi="宋体" w:eastAsia="宋体" w:cs="宋体"/>
        </w:rPr>
        <w:t>表1</w:t>
      </w:r>
      <w:r>
        <w:rPr>
          <w:rFonts w:hint="eastAsia" w:ascii="宋体" w:hAnsi="宋体" w:eastAsia="宋体" w:cs="宋体"/>
          <w:lang w:val="en-US" w:eastAsia="zh-CN"/>
        </w:rPr>
        <w:t xml:space="preserve">  </w:t>
      </w:r>
      <w:r>
        <w:rPr>
          <w:rFonts w:hint="eastAsia" w:ascii="宋体" w:hAnsi="宋体" w:eastAsia="宋体" w:cs="宋体"/>
          <w:color w:val="000000" w:themeColor="text1"/>
          <w:lang w:val="en-US" w:eastAsia="zh-CN"/>
          <w14:textFill>
            <w14:solidFill>
              <w14:schemeClr w14:val="tx1"/>
            </w14:solidFill>
          </w14:textFill>
        </w:rPr>
        <w:t>电池级无水氢氧化锂</w:t>
      </w:r>
      <w:r>
        <w:rPr>
          <w:rFonts w:hint="eastAsia" w:ascii="宋体" w:hAnsi="宋体" w:eastAsia="宋体" w:cs="宋体"/>
          <w:lang w:val="en-US" w:eastAsia="zh-CN"/>
        </w:rPr>
        <w:t>的化学成分</w:t>
      </w:r>
    </w:p>
    <w:tbl>
      <w:tblPr>
        <w:tblStyle w:val="8"/>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pacing w:line="288" w:lineRule="auto"/>
              <w:rPr>
                <w:rFonts w:hint="eastAsia"/>
                <w:color w:val="000000" w:themeColor="text1"/>
                <w:lang w:val="en-US" w:eastAsia="zh-CN"/>
                <w14:textFill>
                  <w14:solidFill>
                    <w14:schemeClr w14:val="tx1"/>
                  </w14:solidFill>
                </w14:textFill>
              </w:rPr>
            </w:pPr>
          </w:p>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牌号</w:t>
            </w:r>
          </w:p>
        </w:tc>
        <w:tc>
          <w:tcPr>
            <w:tcW w:w="9572" w:type="dxa"/>
            <w:gridSpan w:val="13"/>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pacing w:line="288" w:lineRule="auto"/>
              <w:rPr>
                <w:rFonts w:hint="eastAsia"/>
                <w:color w:val="000000" w:themeColor="text1"/>
                <w:lang w:val="en-US" w:eastAsia="zh-CN"/>
                <w14:textFill>
                  <w14:solidFill>
                    <w14:schemeClr w14:val="tx1"/>
                  </w14:solidFill>
                </w14:textFill>
              </w:rPr>
            </w:pPr>
          </w:p>
        </w:tc>
        <w:tc>
          <w:tcPr>
            <w:tcW w:w="850" w:type="dxa"/>
            <w:vMerge w:val="restart"/>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LiOH主含量，不小于</w:t>
            </w:r>
          </w:p>
        </w:tc>
        <w:tc>
          <w:tcPr>
            <w:tcW w:w="8722" w:type="dxa"/>
            <w:gridSpan w:val="12"/>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spacing w:line="288" w:lineRule="auto"/>
              <w:rPr>
                <w:rFonts w:hint="eastAsia"/>
                <w:color w:val="000000" w:themeColor="text1"/>
                <w:lang w:val="en-US" w:eastAsia="zh-CN"/>
                <w14:textFill>
                  <w14:solidFill>
                    <w14:schemeClr w14:val="tx1"/>
                  </w14:solidFill>
                </w14:textFill>
              </w:rPr>
            </w:pPr>
          </w:p>
        </w:tc>
        <w:tc>
          <w:tcPr>
            <w:tcW w:w="850" w:type="dxa"/>
            <w:vMerge w:val="continue"/>
            <w:shd w:val="clear" w:color="auto" w:fill="auto"/>
          </w:tcPr>
          <w:p>
            <w:pPr>
              <w:spacing w:line="288" w:lineRule="auto"/>
              <w:rPr>
                <w:rFonts w:hint="eastAsia"/>
                <w:color w:val="000000" w:themeColor="text1"/>
                <w:lang w:val="en-US" w:eastAsia="zh-CN"/>
                <w14:textFill>
                  <w14:solidFill>
                    <w14:schemeClr w14:val="tx1"/>
                  </w14:solidFill>
                </w14:textFill>
              </w:rPr>
            </w:pP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Na</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K</w:t>
            </w:r>
          </w:p>
        </w:tc>
        <w:tc>
          <w:tcPr>
            <w:tcW w:w="708"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Fe</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Ca</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Mg</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Cu</w:t>
            </w:r>
          </w:p>
        </w:tc>
        <w:tc>
          <w:tcPr>
            <w:tcW w:w="708"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Mn</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Si</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Cl</w:t>
            </w:r>
            <w:r>
              <w:rPr>
                <w:rFonts w:hint="eastAsia"/>
                <w:color w:val="000000" w:themeColor="text1"/>
                <w:vertAlign w:val="superscript"/>
                <w:lang w:val="en-US" w:eastAsia="zh-CN"/>
                <w14:textFill>
                  <w14:solidFill>
                    <w14:schemeClr w14:val="tx1"/>
                  </w14:solidFill>
                </w14:textFill>
              </w:rPr>
              <w:t>-</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SO</w:t>
            </w:r>
            <w:r>
              <w:rPr>
                <w:rFonts w:hint="eastAsia"/>
                <w:color w:val="000000" w:themeColor="text1"/>
                <w:vertAlign w:val="subscript"/>
                <w:lang w:val="en-US" w:eastAsia="zh-CN"/>
                <w14:textFill>
                  <w14:solidFill>
                    <w14:schemeClr w14:val="tx1"/>
                  </w14:solidFill>
                </w14:textFill>
              </w:rPr>
              <w:t>4</w:t>
            </w:r>
            <w:r>
              <w:rPr>
                <w:rFonts w:hint="eastAsia"/>
                <w:color w:val="000000" w:themeColor="text1"/>
                <w:vertAlign w:val="superscript"/>
                <w:lang w:val="en-US" w:eastAsia="zh-CN"/>
                <w14:textFill>
                  <w14:solidFill>
                    <w14:schemeClr w14:val="tx1"/>
                  </w14:solidFill>
                </w14:textFill>
              </w:rPr>
              <w:t>2-</w:t>
            </w:r>
          </w:p>
        </w:tc>
        <w:tc>
          <w:tcPr>
            <w:tcW w:w="850"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CO</w:t>
            </w:r>
            <w:r>
              <w:rPr>
                <w:rFonts w:hint="eastAsia"/>
                <w:color w:val="000000" w:themeColor="text1"/>
                <w:vertAlign w:val="subscript"/>
                <w:lang w:val="en-US" w:eastAsia="zh-CN"/>
                <w14:textFill>
                  <w14:solidFill>
                    <w14:schemeClr w14:val="tx1"/>
                  </w14:solidFill>
                </w14:textFill>
              </w:rPr>
              <w:t>3</w:t>
            </w:r>
            <w:r>
              <w:rPr>
                <w:rFonts w:hint="eastAsia"/>
                <w:color w:val="000000" w:themeColor="text1"/>
                <w:vertAlign w:val="superscript"/>
                <w:lang w:val="en-US" w:eastAsia="zh-CN"/>
                <w14:textFill>
                  <w14:solidFill>
                    <w14:schemeClr w14:val="tx1"/>
                  </w14:solidFill>
                </w14:textFill>
              </w:rPr>
              <w:t>2-</w:t>
            </w:r>
          </w:p>
        </w:tc>
        <w:tc>
          <w:tcPr>
            <w:tcW w:w="784"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LiOH-D0</w:t>
            </w:r>
          </w:p>
        </w:tc>
        <w:tc>
          <w:tcPr>
            <w:tcW w:w="850"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99.0</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0.001</w:t>
            </w:r>
          </w:p>
        </w:tc>
        <w:tc>
          <w:tcPr>
            <w:tcW w:w="708"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0.001</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0.001</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0.001</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0.0001</w:t>
            </w:r>
          </w:p>
        </w:tc>
        <w:tc>
          <w:tcPr>
            <w:tcW w:w="708"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0.0001</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w:t>
            </w:r>
          </w:p>
        </w:tc>
        <w:tc>
          <w:tcPr>
            <w:tcW w:w="709"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w:t>
            </w:r>
          </w:p>
        </w:tc>
        <w:tc>
          <w:tcPr>
            <w:tcW w:w="850"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0.8</w:t>
            </w:r>
          </w:p>
        </w:tc>
        <w:tc>
          <w:tcPr>
            <w:tcW w:w="784" w:type="dxa"/>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98.0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w:t>
            </w:r>
          </w:p>
        </w:tc>
      </w:tr>
    </w:tbl>
    <w:p>
      <w:pPr>
        <w:spacing w:line="360" w:lineRule="auto"/>
        <w:ind w:firstLine="630" w:firstLineChars="300"/>
        <w:jc w:val="center"/>
        <w:rPr>
          <w:rFonts w:hint="default" w:ascii="宋体" w:hAnsi="宋体" w:cs="宋体"/>
          <w:lang w:val="en-US" w:eastAsia="zh-CN"/>
        </w:rPr>
      </w:pPr>
    </w:p>
    <w:p>
      <w:pPr>
        <w:spacing w:line="360" w:lineRule="auto"/>
        <w:ind w:left="105" w:leftChars="50"/>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5.2磁性物质</w:t>
      </w:r>
    </w:p>
    <w:p>
      <w:pPr>
        <w:spacing w:line="288" w:lineRule="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产品中磁性物质含量应符合表2规定</w:t>
      </w:r>
    </w:p>
    <w:p>
      <w:pPr>
        <w:spacing w:line="360" w:lineRule="auto"/>
        <w:ind w:firstLine="630" w:firstLineChars="300"/>
        <w:jc w:val="center"/>
        <w:rPr>
          <w:rFonts w:hint="eastAsia" w:ascii="宋体" w:hAnsi="宋体" w:eastAsia="宋体" w:cs="宋体"/>
          <w:b/>
          <w:sz w:val="21"/>
          <w:szCs w:val="21"/>
        </w:rPr>
      </w:pP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ab/>
      </w:r>
      <w:r>
        <w:rPr>
          <w:rFonts w:hint="eastAsia" w:ascii="宋体" w:hAnsi="宋体" w:eastAsia="宋体" w:cs="宋体"/>
          <w:sz w:val="21"/>
          <w:szCs w:val="21"/>
        </w:rPr>
        <w:t>表</w:t>
      </w:r>
      <w:r>
        <w:rPr>
          <w:rFonts w:hint="eastAsia" w:ascii="宋体" w:hAnsi="宋体" w:eastAsia="宋体" w:cs="宋体"/>
          <w:sz w:val="21"/>
          <w:szCs w:val="21"/>
          <w:lang w:val="en-US" w:eastAsia="zh-CN"/>
        </w:rPr>
        <w:t xml:space="preserve">2  </w:t>
      </w:r>
      <w:r>
        <w:rPr>
          <w:rFonts w:hint="eastAsia" w:ascii="宋体" w:hAnsi="宋体" w:eastAsia="宋体" w:cs="宋体"/>
          <w:color w:val="000000" w:themeColor="text1"/>
          <w:sz w:val="21"/>
          <w:szCs w:val="21"/>
          <w:lang w:val="en-US" w:eastAsia="zh-CN"/>
          <w14:textFill>
            <w14:solidFill>
              <w14:schemeClr w14:val="tx1"/>
            </w14:solidFill>
          </w14:textFill>
        </w:rPr>
        <w:t>电池级无水氢氧化锂</w:t>
      </w:r>
      <w:r>
        <w:rPr>
          <w:rFonts w:hint="eastAsia" w:ascii="宋体" w:hAnsi="宋体" w:eastAsia="宋体" w:cs="宋体"/>
          <w:sz w:val="21"/>
          <w:szCs w:val="21"/>
          <w:lang w:val="en-US" w:eastAsia="zh-CN"/>
        </w:rPr>
        <w:t xml:space="preserve">磁性物质含量               </w:t>
      </w:r>
      <w:r>
        <w:rPr>
          <w:rFonts w:hint="eastAsia" w:ascii="宋体" w:hAnsi="宋体" w:eastAsia="宋体" w:cs="宋体"/>
          <w:color w:val="000000"/>
        </w:rPr>
        <w:t>μ</w:t>
      </w:r>
      <w:r>
        <w:rPr>
          <w:rFonts w:hint="eastAsia" w:ascii="宋体" w:hAnsi="宋体" w:eastAsia="宋体" w:cs="宋体"/>
          <w:sz w:val="21"/>
          <w:szCs w:val="21"/>
          <w:lang w:val="en-US" w:eastAsia="zh-CN"/>
        </w:rPr>
        <w:t>g/kg</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产品牌号</w:t>
            </w:r>
          </w:p>
        </w:tc>
        <w:tc>
          <w:tcPr>
            <w:tcW w:w="1884" w:type="dxa"/>
            <w:vAlign w:val="center"/>
          </w:tcPr>
          <w:p>
            <w:pPr>
              <w:tabs>
                <w:tab w:val="left" w:pos="4948"/>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LiOH-D0</w:t>
            </w:r>
          </w:p>
        </w:tc>
        <w:tc>
          <w:tcPr>
            <w:tcW w:w="2131" w:type="dxa"/>
            <w:vAlign w:val="center"/>
          </w:tcPr>
          <w:p>
            <w:pPr>
              <w:tabs>
                <w:tab w:val="left" w:pos="4948"/>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LiOH- D1</w:t>
            </w:r>
          </w:p>
        </w:tc>
        <w:tc>
          <w:tcPr>
            <w:tcW w:w="2131" w:type="dxa"/>
            <w:vAlign w:val="center"/>
          </w:tcPr>
          <w:p>
            <w:pPr>
              <w:tabs>
                <w:tab w:val="left" w:pos="4948"/>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磁性物质，不大于</w:t>
            </w:r>
          </w:p>
        </w:tc>
        <w:tc>
          <w:tcPr>
            <w:tcW w:w="1884" w:type="dxa"/>
            <w:vAlign w:val="center"/>
          </w:tcPr>
          <w:p>
            <w:pPr>
              <w:tabs>
                <w:tab w:val="left" w:pos="4948"/>
              </w:tabs>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50</w:t>
            </w:r>
          </w:p>
        </w:tc>
        <w:tc>
          <w:tcPr>
            <w:tcW w:w="2131" w:type="dxa"/>
            <w:vAlign w:val="center"/>
          </w:tcPr>
          <w:p>
            <w:pPr>
              <w:tabs>
                <w:tab w:val="left" w:pos="4948"/>
              </w:tabs>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100</w:t>
            </w:r>
          </w:p>
        </w:tc>
        <w:tc>
          <w:tcPr>
            <w:tcW w:w="2131" w:type="dxa"/>
            <w:vAlign w:val="center"/>
          </w:tcPr>
          <w:p>
            <w:pPr>
              <w:tabs>
                <w:tab w:val="left" w:pos="4948"/>
              </w:tabs>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200</w:t>
            </w:r>
          </w:p>
        </w:tc>
      </w:tr>
    </w:tbl>
    <w:p>
      <w:pPr>
        <w:spacing w:line="360" w:lineRule="auto"/>
        <w:jc w:val="both"/>
        <w:rPr>
          <w:rFonts w:hint="default" w:ascii="宋体" w:hAnsi="宋体" w:cs="宋体"/>
          <w:lang w:val="en-US" w:eastAsia="zh-CN"/>
        </w:rPr>
      </w:pPr>
    </w:p>
    <w:p>
      <w:pPr>
        <w:spacing w:line="360" w:lineRule="auto"/>
        <w:rPr>
          <w:rFonts w:hint="eastAsia" w:ascii="黑体" w:eastAsia="黑体"/>
          <w:lang w:val="en-US" w:eastAsia="zh-CN"/>
        </w:rPr>
      </w:pPr>
      <w:r>
        <w:rPr>
          <w:rFonts w:hint="eastAsia" w:ascii="黑体" w:eastAsia="黑体"/>
          <w:lang w:val="en-US" w:eastAsia="zh-CN"/>
        </w:rPr>
        <w:t>5</w:t>
      </w:r>
      <w:r>
        <w:rPr>
          <w:rFonts w:hint="eastAsia" w:ascii="黑体" w:eastAsia="黑体"/>
        </w:rPr>
        <w:t>.</w:t>
      </w:r>
      <w:r>
        <w:rPr>
          <w:rFonts w:hint="eastAsia" w:ascii="黑体" w:eastAsia="黑体"/>
          <w:lang w:val="en-US" w:eastAsia="zh-CN"/>
        </w:rPr>
        <w:t xml:space="preserve">3 </w:t>
      </w:r>
      <w:r>
        <w:rPr>
          <w:rFonts w:hint="eastAsia" w:ascii="黑体" w:eastAsia="黑体"/>
          <w:lang w:val="en-US" w:eastAsia="zh-CN"/>
        </w:rPr>
        <w:t>粒度</w:t>
      </w:r>
    </w:p>
    <w:p>
      <w:pPr>
        <w:spacing w:line="288" w:lineRule="auto"/>
        <w:rPr>
          <w:rFonts w:hint="eastAsia"/>
        </w:rPr>
      </w:pPr>
      <w:r>
        <w:rPr>
          <w:rFonts w:hint="eastAsia"/>
          <w:lang w:val="en-US" w:eastAsia="zh-CN"/>
        </w:rPr>
        <w:t>电池级无水氢氧化锂产品粒度D50应满足3</w:t>
      </w:r>
      <w:r>
        <w:rPr>
          <w:rFonts w:hint="eastAsia" w:cs="宋体" w:asciiTheme="minorEastAsia" w:hAnsiTheme="minorEastAsia" w:eastAsiaTheme="minorEastAsia"/>
          <w:color w:val="000000"/>
        </w:rPr>
        <w:t>μ</w:t>
      </w:r>
      <w:r>
        <w:rPr>
          <w:rFonts w:hint="eastAsia" w:asciiTheme="minorEastAsia" w:hAnsiTheme="minorEastAsia" w:eastAsiaTheme="minorEastAsia"/>
        </w:rPr>
        <w:t>m</w:t>
      </w:r>
      <w:r>
        <w:rPr>
          <w:rFonts w:hint="default"/>
          <w:lang w:val="en-US" w:eastAsia="zh-CN"/>
        </w:rPr>
        <w:t>≤</w:t>
      </w:r>
      <w:r>
        <w:rPr>
          <w:rFonts w:hint="eastAsia"/>
          <w:lang w:val="en-US" w:eastAsia="zh-CN"/>
        </w:rPr>
        <w:t>D50</w:t>
      </w:r>
      <w:r>
        <w:rPr>
          <w:rFonts w:hint="default"/>
          <w:lang w:val="en-US" w:eastAsia="zh-CN"/>
        </w:rPr>
        <w:t>≤</w:t>
      </w:r>
      <w:r>
        <w:rPr>
          <w:rFonts w:hint="eastAsia"/>
          <w:lang w:val="en-US" w:eastAsia="zh-CN"/>
        </w:rPr>
        <w:t>20</w:t>
      </w:r>
      <w:r>
        <w:rPr>
          <w:rFonts w:hint="eastAsia" w:cs="宋体" w:asciiTheme="minorEastAsia" w:hAnsiTheme="minorEastAsia" w:eastAsiaTheme="minorEastAsia"/>
          <w:color w:val="000000"/>
        </w:rPr>
        <w:t>μ</w:t>
      </w:r>
      <w:r>
        <w:rPr>
          <w:rFonts w:hint="eastAsia" w:asciiTheme="minorEastAsia" w:hAnsiTheme="minorEastAsia" w:eastAsiaTheme="minorEastAsia"/>
        </w:rPr>
        <w:t>m</w:t>
      </w:r>
      <w:r>
        <w:rPr>
          <w:rFonts w:hint="eastAsia"/>
          <w:lang w:val="en-US" w:eastAsia="zh-CN"/>
        </w:rPr>
        <w:t>。</w:t>
      </w:r>
    </w:p>
    <w:p>
      <w:pPr>
        <w:spacing w:line="360" w:lineRule="auto"/>
        <w:rPr>
          <w:rFonts w:hint="eastAsia" w:ascii="黑体" w:eastAsia="黑体"/>
        </w:rPr>
      </w:pPr>
      <w:r>
        <w:rPr>
          <w:rFonts w:hint="eastAsia" w:ascii="黑体" w:eastAsia="黑体"/>
          <w:lang w:val="en-US" w:eastAsia="zh-CN"/>
        </w:rPr>
        <w:t xml:space="preserve">5.4 </w:t>
      </w:r>
      <w:r>
        <w:rPr>
          <w:rFonts w:hint="eastAsia" w:ascii="黑体" w:eastAsia="黑体"/>
        </w:rPr>
        <w:t>外观质量</w:t>
      </w:r>
    </w:p>
    <w:p>
      <w:pPr>
        <w:spacing w:line="288" w:lineRule="auto"/>
        <w:rPr>
          <w:rFonts w:hint="eastAsia"/>
        </w:rPr>
      </w:pPr>
      <w:r>
        <w:rPr>
          <w:rFonts w:hint="eastAsia"/>
          <w:color w:val="000000" w:themeColor="text1"/>
          <w14:textFill>
            <w14:solidFill>
              <w14:schemeClr w14:val="tx1"/>
            </w14:solidFill>
          </w14:textFill>
        </w:rPr>
        <w:t>产品为白色粉末状固体，无</w:t>
      </w:r>
      <w:r>
        <w:rPr>
          <w:rFonts w:hint="eastAsia"/>
        </w:rPr>
        <w:t>肉眼可见夹杂物。</w:t>
      </w:r>
    </w:p>
    <w:p>
      <w:pPr>
        <w:spacing w:line="288" w:lineRule="auto"/>
        <w:rPr>
          <w:rFonts w:hint="eastAsia"/>
          <w:lang w:val="en-US" w:eastAsia="zh-CN"/>
        </w:rPr>
      </w:pPr>
    </w:p>
    <w:p>
      <w:pPr>
        <w:spacing w:line="480" w:lineRule="auto"/>
        <w:rPr>
          <w:rFonts w:hint="eastAsia" w:ascii="黑体" w:eastAsia="黑体"/>
        </w:rPr>
      </w:pPr>
      <w:r>
        <w:rPr>
          <w:rFonts w:hint="eastAsia" w:ascii="黑体" w:eastAsia="黑体"/>
          <w:lang w:val="en-US" w:eastAsia="zh-CN"/>
        </w:rPr>
        <w:t>6</w:t>
      </w:r>
      <w:r>
        <w:rPr>
          <w:rFonts w:hint="eastAsia" w:ascii="黑体" w:eastAsia="黑体"/>
        </w:rPr>
        <w:t xml:space="preserve">  试验方法</w:t>
      </w:r>
    </w:p>
    <w:p>
      <w:pPr>
        <w:spacing w:line="288"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.1  产品化学成分分析按照GB/T 11064的规定进行。</w:t>
      </w:r>
    </w:p>
    <w:p>
      <w:pPr>
        <w:spacing w:line="288"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.2  产品磁性物质的测定按</w:t>
      </w:r>
      <w:r>
        <w:rPr>
          <w:rFonts w:hint="eastAsia"/>
          <w:color w:val="000000" w:themeColor="text1"/>
          <w:lang w:val="en-US" w:eastAsia="zh-CN"/>
          <w14:textFill>
            <w14:solidFill>
              <w14:schemeClr w14:val="tx1"/>
            </w14:solidFill>
          </w14:textFill>
        </w:rPr>
        <w:t>GB/T 26008</w:t>
      </w:r>
      <w:r>
        <w:rPr>
          <w:rFonts w:hint="eastAsia"/>
          <w:color w:val="000000" w:themeColor="text1"/>
          <w14:textFill>
            <w14:solidFill>
              <w14:schemeClr w14:val="tx1"/>
            </w14:solidFill>
          </w14:textFill>
        </w:rPr>
        <w:t>的</w:t>
      </w:r>
      <w:r>
        <w:rPr>
          <w:rFonts w:hint="eastAsia"/>
          <w:color w:val="000000" w:themeColor="text1"/>
          <w:lang w:eastAsia="zh-CN"/>
          <w14:textFill>
            <w14:solidFill>
              <w14:schemeClr w14:val="tx1"/>
            </w14:solidFill>
          </w14:textFill>
        </w:rPr>
        <w:t>规定</w:t>
      </w:r>
      <w:r>
        <w:rPr>
          <w:rFonts w:hint="eastAsia"/>
          <w:color w:val="000000" w:themeColor="text1"/>
          <w14:textFill>
            <w14:solidFill>
              <w14:schemeClr w14:val="tx1"/>
            </w14:solidFill>
          </w14:textFill>
        </w:rPr>
        <w:t>进行。</w:t>
      </w:r>
    </w:p>
    <w:p>
      <w:pPr>
        <w:spacing w:line="288"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.3  </w:t>
      </w:r>
      <w:r>
        <w:rPr>
          <w:rFonts w:hint="eastAsia"/>
          <w:color w:val="000000" w:themeColor="text1"/>
          <w:lang w:val="en-US" w:eastAsia="zh-CN"/>
          <w14:textFill>
            <w14:solidFill>
              <w14:schemeClr w14:val="tx1"/>
            </w14:solidFill>
          </w14:textFill>
        </w:rPr>
        <w:t>产品的粒度按照GB/T 19077 的规定进行。</w:t>
      </w:r>
    </w:p>
    <w:p>
      <w:pPr>
        <w:spacing w:line="288" w:lineRule="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6.4  </w:t>
      </w:r>
      <w:r>
        <w:rPr>
          <w:rFonts w:hint="eastAsia"/>
          <w:color w:val="000000" w:themeColor="text1"/>
          <w14:textFill>
            <w14:solidFill>
              <w14:schemeClr w14:val="tx1"/>
            </w14:solidFill>
          </w14:textFill>
        </w:rPr>
        <w:t>产品的外观质量采用目测检验法。</w:t>
      </w:r>
    </w:p>
    <w:p>
      <w:pPr>
        <w:spacing w:line="288" w:lineRule="auto"/>
        <w:rPr>
          <w:rFonts w:hint="eastAsia" w:eastAsia="宋体"/>
          <w:color w:val="000000" w:themeColor="text1"/>
          <w:lang w:val="en-US" w:eastAsia="zh-CN"/>
          <w14:textFill>
            <w14:solidFill>
              <w14:schemeClr w14:val="tx1"/>
            </w14:solidFill>
          </w14:textFill>
        </w:rPr>
      </w:pPr>
    </w:p>
    <w:p>
      <w:pPr>
        <w:spacing w:line="288" w:lineRule="auto"/>
        <w:rPr>
          <w:rFonts w:hint="eastAsia" w:ascii="黑体" w:eastAsia="黑体"/>
          <w:b w:val="0"/>
        </w:rPr>
      </w:pPr>
      <w:r>
        <w:rPr>
          <w:rFonts w:hint="eastAsia" w:ascii="黑体" w:eastAsia="黑体"/>
          <w:b w:val="0"/>
          <w:lang w:val="en-US" w:eastAsia="zh-CN"/>
        </w:rPr>
        <w:t>7</w:t>
      </w:r>
      <w:r>
        <w:rPr>
          <w:rFonts w:hint="eastAsia" w:ascii="黑体" w:eastAsia="黑体"/>
          <w:b w:val="0"/>
        </w:rPr>
        <w:t xml:space="preserve">  检验规则</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.1检查和验收</w:t>
      </w:r>
    </w:p>
    <w:p>
      <w:pPr>
        <w:spacing w:line="288" w:lineRule="auto"/>
        <w:rPr>
          <w:rFonts w:hint="eastAsia" w:ascii="宋体" w:hAnsi="宋体"/>
          <w:color w:val="000000" w:themeColor="text1"/>
          <w14:textFill>
            <w14:solidFill>
              <w14:schemeClr w14:val="tx1"/>
            </w14:solidFill>
          </w14:textFill>
        </w:rPr>
      </w:pPr>
      <w:r>
        <w:rPr>
          <w:rFonts w:hint="eastAsia" w:ascii="黑体" w:hAnsi="黑体" w:eastAsia="黑体"/>
          <w:color w:val="000000"/>
          <w:lang w:val="en-US" w:eastAsia="zh-CN"/>
        </w:rPr>
        <w:t>7</w:t>
      </w:r>
      <w:r>
        <w:rPr>
          <w:rFonts w:hint="eastAsia" w:ascii="黑体" w:hAnsi="黑体" w:eastAsia="黑体"/>
          <w:color w:val="000000"/>
        </w:rPr>
        <w:t xml:space="preserve">.1.1 </w:t>
      </w:r>
      <w:r>
        <w:rPr>
          <w:rFonts w:hint="eastAsia" w:ascii="宋体" w:hAnsi="宋体"/>
          <w:color w:val="000000"/>
        </w:rPr>
        <w:t>产品由</w:t>
      </w:r>
      <w:r>
        <w:rPr>
          <w:rFonts w:hint="eastAsia" w:ascii="宋体" w:hAnsi="宋体"/>
          <w:color w:val="000000" w:themeColor="text1"/>
          <w14:textFill>
            <w14:solidFill>
              <w14:schemeClr w14:val="tx1"/>
            </w14:solidFill>
          </w14:textFill>
        </w:rPr>
        <w:t>供方</w:t>
      </w:r>
      <w:r>
        <w:rPr>
          <w:rFonts w:hint="eastAsia" w:ascii="宋体" w:hAnsi="宋体"/>
          <w:color w:val="000000" w:themeColor="text1"/>
          <w:lang w:val="en-US" w:eastAsia="zh-CN"/>
          <w14:textFill>
            <w14:solidFill>
              <w14:schemeClr w14:val="tx1"/>
            </w14:solidFill>
          </w14:textFill>
        </w:rPr>
        <w:t>或第三方</w:t>
      </w:r>
      <w:r>
        <w:rPr>
          <w:rFonts w:hint="eastAsia" w:ascii="宋体" w:hAnsi="宋体"/>
          <w:color w:val="000000" w:themeColor="text1"/>
          <w14:textFill>
            <w14:solidFill>
              <w14:schemeClr w14:val="tx1"/>
            </w14:solidFill>
          </w14:textFill>
        </w:rPr>
        <w:t>进行检验，保证产品</w:t>
      </w:r>
      <w:r>
        <w:rPr>
          <w:rFonts w:hint="eastAsia" w:ascii="宋体" w:hAnsi="宋体"/>
          <w:color w:val="000000" w:themeColor="text1"/>
          <w:lang w:eastAsia="zh-CN"/>
          <w14:textFill>
            <w14:solidFill>
              <w14:schemeClr w14:val="tx1"/>
            </w14:solidFill>
          </w14:textFill>
        </w:rPr>
        <w:t>质量</w:t>
      </w:r>
      <w:r>
        <w:rPr>
          <w:rFonts w:hint="eastAsia" w:ascii="宋体" w:hAnsi="宋体"/>
          <w:color w:val="000000" w:themeColor="text1"/>
          <w14:textFill>
            <w14:solidFill>
              <w14:schemeClr w14:val="tx1"/>
            </w14:solidFill>
          </w14:textFill>
        </w:rPr>
        <w:t>符合本</w:t>
      </w:r>
      <w:r>
        <w:rPr>
          <w:rFonts w:hint="eastAsia" w:ascii="宋体" w:hAnsi="宋体"/>
          <w:color w:val="000000" w:themeColor="text1"/>
          <w:lang w:val="en-US" w:eastAsia="zh-CN"/>
          <w14:textFill>
            <w14:solidFill>
              <w14:schemeClr w14:val="tx1"/>
            </w14:solidFill>
          </w14:textFill>
        </w:rPr>
        <w:t>文件</w:t>
      </w:r>
      <w:r>
        <w:rPr>
          <w:rFonts w:hint="eastAsia" w:ascii="宋体" w:hAnsi="宋体"/>
          <w:color w:val="000000" w:themeColor="text1"/>
          <w14:textFill>
            <w14:solidFill>
              <w14:schemeClr w14:val="tx1"/>
            </w14:solidFill>
          </w14:textFill>
        </w:rPr>
        <w:t>及订货单</w:t>
      </w:r>
      <w:r>
        <w:rPr>
          <w:rFonts w:hint="eastAsia" w:ascii="宋体" w:hAnsi="宋体"/>
          <w:color w:val="000000" w:themeColor="text1"/>
          <w:lang w:eastAsia="zh-CN"/>
          <w14:textFill>
            <w14:solidFill>
              <w14:schemeClr w14:val="tx1"/>
            </w14:solidFill>
          </w14:textFill>
        </w:rPr>
        <w:t>的</w:t>
      </w:r>
      <w:bookmarkStart w:id="1" w:name="_GoBack"/>
      <w:bookmarkEnd w:id="1"/>
      <w:r>
        <w:rPr>
          <w:rFonts w:hint="eastAsia" w:ascii="宋体" w:hAnsi="宋体"/>
          <w:color w:val="000000" w:themeColor="text1"/>
          <w14:textFill>
            <w14:solidFill>
              <w14:schemeClr w14:val="tx1"/>
            </w14:solidFill>
          </w14:textFill>
        </w:rPr>
        <w:t>规定。</w:t>
      </w:r>
    </w:p>
    <w:p>
      <w:pPr>
        <w:spacing w:line="288" w:lineRule="auto"/>
      </w:pPr>
      <w:r>
        <w:rPr>
          <w:rFonts w:hint="eastAsia" w:ascii="黑体" w:hAnsi="黑体" w:eastAsia="黑体"/>
          <w:color w:val="000000" w:themeColor="text1"/>
          <w:lang w:val="en-US" w:eastAsia="zh-CN"/>
          <w14:textFill>
            <w14:solidFill>
              <w14:schemeClr w14:val="tx1"/>
            </w14:solidFill>
          </w14:textFill>
        </w:rPr>
        <w:t>7.1.2</w:t>
      </w:r>
      <w:r>
        <w:rPr>
          <w:rFonts w:hint="eastAsia" w:ascii="宋体" w:hAnsi="宋体"/>
          <w:color w:val="000000" w:themeColor="text1"/>
          <w:lang w:val="en-US" w:eastAsia="zh-CN"/>
          <w14:textFill>
            <w14:solidFill>
              <w14:schemeClr w14:val="tx1"/>
            </w14:solidFill>
          </w14:textFill>
        </w:rPr>
        <w:t xml:space="preserve"> 需方可对收到的产品按本文件的规定进行检验。如检验结果与本文件</w:t>
      </w:r>
      <w:r>
        <w:rPr>
          <w:rFonts w:hint="eastAsia" w:ascii="宋体" w:hAnsi="宋体"/>
          <w:color w:val="000000" w:themeColor="text1"/>
          <w14:textFill>
            <w14:solidFill>
              <w14:schemeClr w14:val="tx1"/>
            </w14:solidFill>
          </w14:textFill>
        </w:rPr>
        <w:t>及订</w:t>
      </w:r>
      <w:r>
        <w:rPr>
          <w:rFonts w:hint="eastAsia" w:ascii="宋体" w:hAnsi="宋体"/>
          <w:color w:val="000000"/>
        </w:rPr>
        <w:t>货单规定</w:t>
      </w:r>
      <w:r>
        <w:rPr>
          <w:rFonts w:hint="eastAsia" w:ascii="宋体" w:hAnsi="宋体"/>
          <w:color w:val="000000"/>
          <w:lang w:val="en-US" w:eastAsia="zh-CN"/>
        </w:rPr>
        <w:t>不符时，应以书面形式向供方提出，由供需双方协商解决。属于外观质量的异议，应在收到产品之日起7天内向供方提出；属于化学成分的异议，应在收到产品之日起30天内向供方提出由供需双方协商解决。如需仲裁,应由供需双方在需方共同取样或协商确定。</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.2 组批</w:t>
      </w:r>
    </w:p>
    <w:p>
      <w:pPr>
        <w:spacing w:line="288" w:lineRule="auto"/>
      </w:pPr>
      <w:r>
        <w:rPr>
          <w:rFonts w:hint="eastAsia" w:ascii="宋体" w:hAnsi="宋体"/>
          <w:color w:val="000000" w:themeColor="text1"/>
          <w:lang w:val="en-US" w:eastAsia="zh-CN"/>
          <w14:textFill>
            <w14:solidFill>
              <w14:schemeClr w14:val="tx1"/>
            </w14:solidFill>
          </w14:textFill>
        </w:rPr>
        <w:t xml:space="preserve">   产品应成批提交验收，每批应由同一混合料组成，每批产品净重不大于10t。对于大批量供货时，组批方式可由供需双方协商确定。</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.3 检验项目</w:t>
      </w:r>
    </w:p>
    <w:p>
      <w:pPr>
        <w:spacing w:line="288" w:lineRule="auto"/>
        <w:ind w:firstLine="315" w:firstLineChars="150"/>
      </w:pPr>
      <w:r>
        <w:rPr>
          <w:rFonts w:hint="eastAsia"/>
        </w:rPr>
        <w:t xml:space="preserve"> 每批产品应进行化学成分、磁性物质</w:t>
      </w:r>
      <w:r>
        <w:rPr>
          <w:rFonts w:hint="eastAsia"/>
          <w:lang w:eastAsia="zh-CN"/>
        </w:rPr>
        <w:t>、</w:t>
      </w:r>
      <w:r>
        <w:rPr>
          <w:rFonts w:hint="eastAsia"/>
        </w:rPr>
        <w:t>外观质量</w:t>
      </w:r>
      <w:r>
        <w:rPr>
          <w:rFonts w:hint="eastAsia"/>
          <w:lang w:eastAsia="zh-CN"/>
        </w:rPr>
        <w:t>及粒度</w:t>
      </w:r>
      <w:r>
        <w:rPr>
          <w:rFonts w:hint="eastAsia"/>
        </w:rPr>
        <w:t>的检验。</w:t>
      </w:r>
    </w:p>
    <w:p>
      <w:pPr>
        <w:spacing w:line="360" w:lineRule="auto"/>
        <w:rPr>
          <w:rFonts w:hint="eastAsia" w:ascii="黑体" w:eastAsia="黑体"/>
          <w:lang w:eastAsia="zh-CN"/>
        </w:rPr>
      </w:pPr>
      <w:r>
        <w:rPr>
          <w:rFonts w:hint="eastAsia" w:ascii="黑体" w:eastAsia="黑体"/>
          <w:lang w:val="en-US" w:eastAsia="zh-CN"/>
        </w:rPr>
        <w:t>7</w:t>
      </w:r>
      <w:r>
        <w:rPr>
          <w:rFonts w:hint="eastAsia" w:ascii="黑体" w:eastAsia="黑体"/>
        </w:rPr>
        <w:t>.4 取样</w:t>
      </w:r>
      <w:r>
        <w:rPr>
          <w:rFonts w:hint="eastAsia" w:ascii="黑体" w:eastAsia="黑体"/>
          <w:lang w:eastAsia="zh-CN"/>
        </w:rPr>
        <w:t>和制样</w:t>
      </w:r>
    </w:p>
    <w:p>
      <w:pPr>
        <w:spacing w:line="360" w:lineRule="auto"/>
        <w:rPr>
          <w:rFonts w:hint="eastAsia"/>
          <w:lang w:val="en-US" w:eastAsia="zh-CN"/>
        </w:rPr>
      </w:pPr>
      <w:r>
        <w:rPr>
          <w:rFonts w:hint="eastAsia"/>
          <w:lang w:val="en-US" w:eastAsia="zh-CN"/>
        </w:rPr>
        <w:t>7.4.1</w:t>
      </w:r>
      <w:r>
        <w:rPr>
          <w:rFonts w:hint="eastAsia"/>
          <w:lang w:eastAsia="zh-CN"/>
        </w:rPr>
        <w:t>产品的取样和制样应符合表</w:t>
      </w:r>
      <w:r>
        <w:rPr>
          <w:rFonts w:hint="eastAsia"/>
          <w:lang w:val="en-US" w:eastAsia="zh-CN"/>
        </w:rPr>
        <w:t>3规定。</w:t>
      </w:r>
    </w:p>
    <w:p>
      <w:pPr>
        <w:spacing w:line="360" w:lineRule="auto"/>
        <w:rPr>
          <w:rFonts w:hint="eastAsia"/>
          <w:lang w:val="en-US" w:eastAsia="zh-CN"/>
        </w:rPr>
      </w:pPr>
      <w:r>
        <w:rPr>
          <w:rFonts w:hint="eastAsia"/>
          <w:lang w:val="en-US" w:eastAsia="zh-CN"/>
        </w:rPr>
        <w:t xml:space="preserve">                          表3 电池级无水氢氧化锂的取样和制样</w:t>
      </w:r>
    </w:p>
    <w:tbl>
      <w:tblPr>
        <w:tblStyle w:val="8"/>
        <w:tblW w:w="8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869"/>
        <w:gridCol w:w="2133"/>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869" w:type="dxa"/>
            <w:vAlign w:val="center"/>
          </w:tcPr>
          <w:p>
            <w:pPr>
              <w:spacing w:line="360" w:lineRule="auto"/>
              <w:rPr>
                <w:rFonts w:hint="eastAsia"/>
              </w:rPr>
            </w:pPr>
            <w:r>
              <w:rPr>
                <w:rFonts w:hint="eastAsia"/>
              </w:rPr>
              <w:t>检验项目</w:t>
            </w:r>
          </w:p>
        </w:tc>
        <w:tc>
          <w:tcPr>
            <w:tcW w:w="1869" w:type="dxa"/>
            <w:vAlign w:val="center"/>
          </w:tcPr>
          <w:p>
            <w:pPr>
              <w:spacing w:line="360" w:lineRule="auto"/>
              <w:rPr>
                <w:rFonts w:hint="eastAsia"/>
              </w:rPr>
            </w:pPr>
            <w:r>
              <w:rPr>
                <w:rFonts w:hint="eastAsia"/>
              </w:rPr>
              <w:t>取样规定</w:t>
            </w:r>
          </w:p>
        </w:tc>
        <w:tc>
          <w:tcPr>
            <w:tcW w:w="2133" w:type="dxa"/>
            <w:vAlign w:val="center"/>
          </w:tcPr>
          <w:p>
            <w:pPr>
              <w:spacing w:line="360" w:lineRule="auto"/>
              <w:rPr>
                <w:rFonts w:hint="eastAsia"/>
              </w:rPr>
            </w:pPr>
            <w:r>
              <w:rPr>
                <w:rFonts w:hint="eastAsia"/>
                <w:lang w:eastAsia="zh-CN"/>
              </w:rPr>
              <w:t>技术</w:t>
            </w:r>
            <w:r>
              <w:rPr>
                <w:rFonts w:hint="eastAsia"/>
              </w:rPr>
              <w:t>要求的章条号</w:t>
            </w:r>
          </w:p>
        </w:tc>
        <w:tc>
          <w:tcPr>
            <w:tcW w:w="2487" w:type="dxa"/>
            <w:vAlign w:val="center"/>
          </w:tcPr>
          <w:p>
            <w:pPr>
              <w:spacing w:line="360" w:lineRule="auto"/>
              <w:rPr>
                <w:rFonts w:hint="eastAsia"/>
              </w:rPr>
            </w:pPr>
            <w:r>
              <w:rPr>
                <w:rFonts w:hint="eastAsia"/>
              </w:rPr>
              <w:t>试验方法</w:t>
            </w:r>
            <w:r>
              <w:rPr>
                <w:rFonts w:hint="eastAsia"/>
                <w:lang w:eastAsia="zh-CN"/>
              </w:rPr>
              <w:t>的</w:t>
            </w:r>
            <w:r>
              <w:rPr>
                <w:rFonts w:hint="eastAsia"/>
              </w:rPr>
              <w:t>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869" w:type="dxa"/>
            <w:vAlign w:val="center"/>
          </w:tcPr>
          <w:p>
            <w:pPr>
              <w:spacing w:line="360" w:lineRule="auto"/>
              <w:rPr>
                <w:rFonts w:hint="eastAsia"/>
              </w:rPr>
            </w:pPr>
            <w:r>
              <w:rPr>
                <w:rFonts w:hint="eastAsia"/>
              </w:rPr>
              <w:t>化学成分</w:t>
            </w:r>
          </w:p>
        </w:tc>
        <w:tc>
          <w:tcPr>
            <w:tcW w:w="1869" w:type="dxa"/>
            <w:vMerge w:val="restart"/>
            <w:vAlign w:val="center"/>
          </w:tcPr>
          <w:p>
            <w:pPr>
              <w:spacing w:line="360" w:lineRule="auto"/>
              <w:rPr>
                <w:rFonts w:hint="eastAsia" w:eastAsia="宋体"/>
                <w:lang w:val="en-US" w:eastAsia="zh-CN"/>
              </w:rPr>
            </w:pPr>
            <w:r>
              <w:rPr>
                <w:rFonts w:hint="eastAsia"/>
                <w:lang w:val="en-US" w:eastAsia="zh-CN"/>
              </w:rPr>
              <w:t>7.4.2</w:t>
            </w:r>
          </w:p>
        </w:tc>
        <w:tc>
          <w:tcPr>
            <w:tcW w:w="2133" w:type="dxa"/>
            <w:vAlign w:val="center"/>
          </w:tcPr>
          <w:p>
            <w:pPr>
              <w:spacing w:line="360" w:lineRule="auto"/>
              <w:rPr>
                <w:rFonts w:hint="eastAsia" w:eastAsia="宋体"/>
                <w:lang w:eastAsia="zh-CN"/>
              </w:rPr>
            </w:pPr>
            <w:r>
              <w:rPr>
                <w:rFonts w:hint="eastAsia"/>
                <w:lang w:val="en-US" w:eastAsia="zh-CN"/>
              </w:rPr>
              <w:t>5.1</w:t>
            </w:r>
          </w:p>
        </w:tc>
        <w:tc>
          <w:tcPr>
            <w:tcW w:w="2487" w:type="dxa"/>
            <w:vAlign w:val="center"/>
          </w:tcPr>
          <w:p>
            <w:pPr>
              <w:spacing w:line="360" w:lineRule="auto"/>
              <w:rPr>
                <w:rFonts w:hint="eastAsia" w:eastAsia="宋体"/>
                <w:lang w:eastAsia="zh-CN"/>
              </w:rPr>
            </w:pPr>
            <w:r>
              <w:rPr>
                <w:rFonts w:hint="eastAsia"/>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869" w:type="dxa"/>
            <w:vAlign w:val="center"/>
          </w:tcPr>
          <w:p>
            <w:pPr>
              <w:spacing w:line="360" w:lineRule="auto"/>
              <w:rPr>
                <w:rFonts w:hint="eastAsia"/>
              </w:rPr>
            </w:pPr>
            <w:r>
              <w:rPr>
                <w:rFonts w:hint="eastAsia"/>
              </w:rPr>
              <w:t>磁性物质</w:t>
            </w:r>
          </w:p>
        </w:tc>
        <w:tc>
          <w:tcPr>
            <w:tcW w:w="1869" w:type="dxa"/>
            <w:vMerge w:val="continue"/>
            <w:vAlign w:val="center"/>
          </w:tcPr>
          <w:p>
            <w:pPr>
              <w:spacing w:line="360" w:lineRule="auto"/>
              <w:rPr>
                <w:rFonts w:hint="eastAsia"/>
              </w:rPr>
            </w:pPr>
          </w:p>
        </w:tc>
        <w:tc>
          <w:tcPr>
            <w:tcW w:w="2133" w:type="dxa"/>
            <w:vAlign w:val="center"/>
          </w:tcPr>
          <w:p>
            <w:pPr>
              <w:spacing w:line="360" w:lineRule="auto"/>
              <w:rPr>
                <w:rFonts w:hint="eastAsia" w:eastAsia="宋体"/>
                <w:lang w:eastAsia="zh-CN"/>
              </w:rPr>
            </w:pPr>
            <w:r>
              <w:rPr>
                <w:rFonts w:hint="eastAsia"/>
                <w:lang w:val="en-US" w:eastAsia="zh-CN"/>
              </w:rPr>
              <w:t>5.2</w:t>
            </w:r>
          </w:p>
        </w:tc>
        <w:tc>
          <w:tcPr>
            <w:tcW w:w="2487" w:type="dxa"/>
            <w:vAlign w:val="center"/>
          </w:tcPr>
          <w:p>
            <w:pPr>
              <w:spacing w:line="360" w:lineRule="auto"/>
              <w:rPr>
                <w:rFonts w:hint="eastAsia" w:eastAsia="宋体"/>
                <w:lang w:eastAsia="zh-CN"/>
              </w:rPr>
            </w:pPr>
            <w:r>
              <w:rPr>
                <w:rFonts w:hint="eastAsia"/>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869" w:type="dxa"/>
            <w:vAlign w:val="center"/>
          </w:tcPr>
          <w:p>
            <w:pPr>
              <w:spacing w:line="360" w:lineRule="auto"/>
              <w:rPr>
                <w:rFonts w:hint="eastAsia" w:eastAsia="宋体"/>
                <w:lang w:eastAsia="zh-CN"/>
              </w:rPr>
            </w:pPr>
            <w:r>
              <w:rPr>
                <w:rFonts w:hint="eastAsia"/>
                <w:lang w:eastAsia="zh-CN"/>
              </w:rPr>
              <w:t>粒度</w:t>
            </w:r>
          </w:p>
        </w:tc>
        <w:tc>
          <w:tcPr>
            <w:tcW w:w="1869" w:type="dxa"/>
            <w:vMerge w:val="continue"/>
            <w:vAlign w:val="center"/>
          </w:tcPr>
          <w:p>
            <w:pPr>
              <w:spacing w:line="360" w:lineRule="auto"/>
              <w:rPr>
                <w:rFonts w:hint="eastAsia"/>
              </w:rPr>
            </w:pPr>
          </w:p>
        </w:tc>
        <w:tc>
          <w:tcPr>
            <w:tcW w:w="2133" w:type="dxa"/>
            <w:vAlign w:val="center"/>
          </w:tcPr>
          <w:p>
            <w:pPr>
              <w:spacing w:line="360" w:lineRule="auto"/>
              <w:rPr>
                <w:rFonts w:hint="eastAsia"/>
                <w:lang w:val="en-US" w:eastAsia="zh-CN"/>
              </w:rPr>
            </w:pPr>
            <w:r>
              <w:rPr>
                <w:rFonts w:hint="eastAsia"/>
                <w:lang w:val="en-US" w:eastAsia="zh-CN"/>
              </w:rPr>
              <w:t>5.3</w:t>
            </w:r>
          </w:p>
        </w:tc>
        <w:tc>
          <w:tcPr>
            <w:tcW w:w="2487" w:type="dxa"/>
            <w:vAlign w:val="center"/>
          </w:tcPr>
          <w:p>
            <w:pPr>
              <w:spacing w:line="360" w:lineRule="auto"/>
              <w:rPr>
                <w:rFonts w:hint="eastAsia"/>
                <w:lang w:val="en-US" w:eastAsia="zh-CN"/>
              </w:rPr>
            </w:pPr>
            <w:r>
              <w:rPr>
                <w:rFonts w:hint="eastAsia"/>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69" w:type="dxa"/>
            <w:vAlign w:val="center"/>
          </w:tcPr>
          <w:p>
            <w:pPr>
              <w:spacing w:line="360" w:lineRule="auto"/>
              <w:rPr>
                <w:rFonts w:hint="eastAsia"/>
              </w:rPr>
            </w:pPr>
            <w:r>
              <w:rPr>
                <w:rFonts w:hint="eastAsia"/>
              </w:rPr>
              <w:t>外观质量</w:t>
            </w:r>
          </w:p>
        </w:tc>
        <w:tc>
          <w:tcPr>
            <w:tcW w:w="1869" w:type="dxa"/>
            <w:vAlign w:val="center"/>
          </w:tcPr>
          <w:p>
            <w:pPr>
              <w:spacing w:line="360" w:lineRule="auto"/>
              <w:rPr>
                <w:rFonts w:hint="eastAsia" w:eastAsia="宋体"/>
                <w:lang w:eastAsia="zh-CN"/>
              </w:rPr>
            </w:pPr>
            <w:r>
              <w:rPr>
                <w:rFonts w:hint="eastAsia"/>
                <w:lang w:eastAsia="zh-CN"/>
              </w:rPr>
              <w:t>逐件</w:t>
            </w:r>
          </w:p>
        </w:tc>
        <w:tc>
          <w:tcPr>
            <w:tcW w:w="2133" w:type="dxa"/>
            <w:vAlign w:val="center"/>
          </w:tcPr>
          <w:p>
            <w:pPr>
              <w:spacing w:line="360" w:lineRule="auto"/>
              <w:rPr>
                <w:rFonts w:hint="eastAsia" w:eastAsia="宋体"/>
                <w:lang w:eastAsia="zh-CN"/>
              </w:rPr>
            </w:pPr>
            <w:r>
              <w:rPr>
                <w:rFonts w:hint="eastAsia"/>
                <w:lang w:val="en-US" w:eastAsia="zh-CN"/>
              </w:rPr>
              <w:t>5.4</w:t>
            </w:r>
          </w:p>
        </w:tc>
        <w:tc>
          <w:tcPr>
            <w:tcW w:w="2487" w:type="dxa"/>
            <w:vAlign w:val="center"/>
          </w:tcPr>
          <w:p>
            <w:pPr>
              <w:spacing w:line="360" w:lineRule="auto"/>
              <w:rPr>
                <w:rFonts w:hint="eastAsia" w:eastAsia="宋体"/>
                <w:lang w:eastAsia="zh-CN"/>
              </w:rPr>
            </w:pPr>
            <w:r>
              <w:rPr>
                <w:rFonts w:hint="eastAsia"/>
                <w:lang w:val="en-US" w:eastAsia="zh-CN"/>
              </w:rPr>
              <w:t>6.4</w:t>
            </w:r>
          </w:p>
        </w:tc>
      </w:tr>
    </w:tbl>
    <w:p>
      <w:pPr>
        <w:spacing w:line="360" w:lineRule="auto"/>
        <w:rPr>
          <w:rFonts w:hint="eastAsia"/>
          <w:lang w:val="en-US" w:eastAsia="zh-CN"/>
        </w:rPr>
      </w:pPr>
      <w:r>
        <w:rPr>
          <w:rFonts w:hint="eastAsia"/>
          <w:lang w:val="en-US" w:eastAsia="zh-CN"/>
        </w:rPr>
        <w:t>7.4.2 化学成分及磁性物质的仲裁取样、制样应</w:t>
      </w:r>
      <w:r>
        <w:rPr>
          <w:rFonts w:hint="eastAsia"/>
        </w:rPr>
        <w:t>采用硬聚氯乙烯取样器，取样管</w:t>
      </w:r>
      <w:r>
        <w:rPr>
          <w:rFonts w:hint="eastAsia"/>
          <w:lang w:eastAsia="zh-CN"/>
        </w:rPr>
        <w:t>快速</w:t>
      </w:r>
      <w:r>
        <w:rPr>
          <w:rFonts w:hint="eastAsia"/>
        </w:rPr>
        <w:t>沿袋中心插至袋2/3处，所取样品混合均匀后至约500g。</w:t>
      </w:r>
      <w:r>
        <w:rPr>
          <w:rFonts w:hint="eastAsia"/>
          <w:lang w:val="en-US" w:eastAsia="zh-CN"/>
        </w:rPr>
        <w:t>取样数量按GB/ 6678《化工产品采样总则》中7.6条的规定。</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.5 检验结果的判定</w:t>
      </w:r>
    </w:p>
    <w:p>
      <w:pPr>
        <w:spacing w:line="288" w:lineRule="auto"/>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eastAsia="宋体" w:cs="宋体"/>
        </w:rPr>
        <w:t>.5.1</w:t>
      </w:r>
      <w:r>
        <w:rPr>
          <w:rFonts w:hint="eastAsia" w:ascii="宋体" w:hAnsi="宋体" w:eastAsia="宋体" w:cs="宋体"/>
          <w:lang w:val="en-US" w:eastAsia="zh-CN"/>
        </w:rPr>
        <w:t xml:space="preserve"> 检验结果的数值按GB/T8170的规定进行修约，并采用修约值进行判定。</w:t>
      </w:r>
    </w:p>
    <w:p>
      <w:pPr>
        <w:spacing w:line="288" w:lineRule="auto"/>
        <w:rPr>
          <w:rFonts w:hint="eastAsia" w:ascii="宋体" w:hAnsi="宋体" w:cs="宋体"/>
          <w:lang w:val="en-US" w:eastAsia="zh-CN"/>
        </w:rPr>
      </w:pPr>
      <w:r>
        <w:rPr>
          <w:rFonts w:hint="eastAsia" w:ascii="宋体" w:hAnsi="宋体" w:eastAsia="宋体" w:cs="宋体"/>
          <w:lang w:val="en-US" w:eastAsia="zh-CN"/>
        </w:rPr>
        <w:t xml:space="preserve">7.5.2 </w:t>
      </w:r>
      <w:r>
        <w:rPr>
          <w:rFonts w:hint="eastAsia" w:ascii="宋体" w:hAnsi="宋体" w:eastAsia="宋体" w:cs="宋体"/>
        </w:rPr>
        <w:t>产品</w:t>
      </w:r>
      <w:r>
        <w:rPr>
          <w:rFonts w:hint="eastAsia" w:ascii="宋体" w:hAnsi="宋体" w:cs="宋体"/>
          <w:lang w:eastAsia="zh-CN"/>
        </w:rPr>
        <w:t>的化学成分、粒度仲裁分析结果不符合本文件规定时，判该批产品不合格。</w:t>
      </w:r>
      <w:r>
        <w:rPr>
          <w:rFonts w:hint="eastAsia" w:ascii="宋体" w:hAnsi="宋体" w:cs="宋体"/>
          <w:lang w:val="en-US" w:eastAsia="zh-CN"/>
        </w:rPr>
        <w:t xml:space="preserve"> </w:t>
      </w:r>
    </w:p>
    <w:p>
      <w:pPr>
        <w:spacing w:line="288" w:lineRule="auto"/>
        <w:rPr>
          <w:rFonts w:hint="eastAsia" w:ascii="宋体" w:hAnsi="宋体" w:cs="宋体"/>
          <w:lang w:val="en-US" w:eastAsia="zh-CN"/>
        </w:rPr>
      </w:pPr>
      <w:r>
        <w:rPr>
          <w:rFonts w:hint="eastAsia" w:ascii="宋体" w:hAnsi="宋体" w:cs="宋体"/>
          <w:lang w:val="en-US" w:eastAsia="zh-CN"/>
        </w:rPr>
        <w:t>7.5.3 产品的磁性物质检验结果中有试样不合格时，应从该批产品中另取双倍数量的试样进行重复试验。重复检验结果全部合格，则判整批产品合格。若重复检验结果仍有试样不合格，则判该批产品不合格。</w:t>
      </w:r>
    </w:p>
    <w:p>
      <w:pPr>
        <w:spacing w:line="288" w:lineRule="auto"/>
        <w:rPr>
          <w:rFonts w:hint="eastAsia" w:ascii="宋体" w:hAnsi="宋体" w:cs="宋体"/>
          <w:lang w:val="en-US" w:eastAsia="zh-CN"/>
        </w:rPr>
      </w:pPr>
      <w:r>
        <w:rPr>
          <w:rFonts w:hint="eastAsia" w:ascii="宋体" w:hAnsi="宋体" w:cs="宋体"/>
          <w:lang w:val="en-US" w:eastAsia="zh-CN"/>
        </w:rPr>
        <w:t>7.5.4 产品外观质量不符合本文件规定时，判该批不合格。</w:t>
      </w:r>
    </w:p>
    <w:p>
      <w:pPr>
        <w:spacing w:line="480" w:lineRule="auto"/>
        <w:rPr>
          <w:rFonts w:hint="default" w:ascii="黑体" w:eastAsia="黑体"/>
          <w:lang w:val="en-US" w:eastAsia="zh-CN"/>
        </w:rPr>
      </w:pPr>
      <w:r>
        <w:rPr>
          <w:rFonts w:hint="eastAsia" w:ascii="黑体" w:eastAsia="黑体"/>
          <w:lang w:val="en-US" w:eastAsia="zh-CN"/>
        </w:rPr>
        <w:t>8</w:t>
      </w:r>
      <w:r>
        <w:rPr>
          <w:rFonts w:hint="eastAsia" w:ascii="黑体" w:eastAsia="黑体"/>
        </w:rPr>
        <w:t xml:space="preserve">  标志</w:t>
      </w:r>
      <w:r>
        <w:rPr>
          <w:rFonts w:hint="eastAsia" w:ascii="黑体" w:eastAsia="黑体"/>
          <w:lang w:eastAsia="zh-CN"/>
        </w:rPr>
        <w:t>、</w:t>
      </w:r>
      <w:r>
        <w:rPr>
          <w:rFonts w:hint="eastAsia" w:ascii="黑体" w:eastAsia="黑体"/>
        </w:rPr>
        <w:t>包装</w:t>
      </w:r>
      <w:r>
        <w:rPr>
          <w:rFonts w:hint="eastAsia" w:ascii="黑体" w:eastAsia="黑体"/>
          <w:lang w:eastAsia="zh-CN"/>
        </w:rPr>
        <w:t>、</w:t>
      </w:r>
      <w:r>
        <w:rPr>
          <w:rFonts w:hint="eastAsia" w:ascii="黑体" w:eastAsia="黑体"/>
        </w:rPr>
        <w:t>运输</w:t>
      </w:r>
      <w:r>
        <w:rPr>
          <w:rFonts w:hint="eastAsia" w:ascii="黑体" w:eastAsia="黑体"/>
          <w:lang w:eastAsia="zh-CN"/>
        </w:rPr>
        <w:t>、</w:t>
      </w:r>
      <w:r>
        <w:rPr>
          <w:rFonts w:hint="eastAsia" w:ascii="黑体" w:eastAsia="黑体"/>
        </w:rPr>
        <w:t>贮存</w:t>
      </w:r>
      <w:r>
        <w:rPr>
          <w:rFonts w:hint="eastAsia" w:ascii="黑体" w:eastAsia="黑体"/>
          <w:lang w:val="en-US" w:eastAsia="zh-CN"/>
        </w:rPr>
        <w:t>及随行文件</w:t>
      </w:r>
    </w:p>
    <w:p>
      <w:pPr>
        <w:spacing w:line="360" w:lineRule="auto"/>
        <w:rPr>
          <w:rFonts w:hint="eastAsia" w:ascii="黑体" w:eastAsia="黑体"/>
        </w:rPr>
      </w:pPr>
      <w:r>
        <w:rPr>
          <w:rFonts w:hint="eastAsia" w:ascii="黑体" w:eastAsia="黑体"/>
          <w:lang w:val="en-US" w:eastAsia="zh-CN"/>
        </w:rPr>
        <w:t>8</w:t>
      </w:r>
      <w:r>
        <w:rPr>
          <w:rFonts w:hint="eastAsia" w:ascii="黑体" w:eastAsia="黑体"/>
        </w:rPr>
        <w:t>.1 标志</w:t>
      </w:r>
    </w:p>
    <w:p>
      <w:pPr>
        <w:ind w:firstLine="210" w:firstLineChars="100"/>
        <w:jc w:val="left"/>
        <w:rPr>
          <w:rFonts w:hint="eastAsia"/>
          <w:lang w:val="en-GB"/>
        </w:rPr>
      </w:pPr>
      <w:r>
        <w:rPr>
          <w:rFonts w:hint="eastAsia"/>
          <w:lang w:val="en-GB"/>
        </w:rPr>
        <w:t>产品包装袋上应注明：</w:t>
      </w:r>
    </w:p>
    <w:p>
      <w:pPr>
        <w:numPr>
          <w:ilvl w:val="0"/>
          <w:numId w:val="2"/>
        </w:numPr>
        <w:ind w:firstLine="210" w:firstLineChars="100"/>
        <w:jc w:val="left"/>
        <w:rPr>
          <w:rFonts w:hint="eastAsia"/>
          <w:lang w:val="en-GB" w:eastAsia="zh-CN"/>
        </w:rPr>
      </w:pPr>
      <w:r>
        <w:rPr>
          <w:rFonts w:hint="eastAsia"/>
          <w:lang w:val="en-GB" w:eastAsia="zh-CN"/>
        </w:rPr>
        <w:t>产品名称；</w:t>
      </w:r>
    </w:p>
    <w:p>
      <w:pPr>
        <w:numPr>
          <w:ilvl w:val="0"/>
          <w:numId w:val="2"/>
        </w:numPr>
        <w:ind w:firstLine="210" w:firstLineChars="100"/>
        <w:jc w:val="left"/>
        <w:rPr>
          <w:rFonts w:hint="eastAsia"/>
          <w:lang w:val="en-GB" w:eastAsia="zh-CN"/>
        </w:rPr>
      </w:pPr>
      <w:r>
        <w:rPr>
          <w:rFonts w:hint="eastAsia"/>
          <w:lang w:val="en-GB" w:eastAsia="zh-CN"/>
        </w:rPr>
        <w:t>批号；</w:t>
      </w:r>
    </w:p>
    <w:p>
      <w:pPr>
        <w:numPr>
          <w:ilvl w:val="0"/>
          <w:numId w:val="2"/>
        </w:numPr>
        <w:ind w:firstLine="210" w:firstLineChars="100"/>
        <w:jc w:val="left"/>
        <w:rPr>
          <w:rFonts w:hint="eastAsia"/>
          <w:lang w:val="en-GB" w:eastAsia="zh-CN"/>
        </w:rPr>
      </w:pPr>
      <w:r>
        <w:rPr>
          <w:rFonts w:hint="eastAsia"/>
          <w:lang w:val="en-GB" w:eastAsia="zh-CN"/>
        </w:rPr>
        <w:t>净重、毛重；</w:t>
      </w:r>
    </w:p>
    <w:p>
      <w:pPr>
        <w:numPr>
          <w:ilvl w:val="0"/>
          <w:numId w:val="2"/>
        </w:numPr>
        <w:ind w:firstLine="210" w:firstLineChars="100"/>
        <w:jc w:val="left"/>
        <w:rPr>
          <w:rFonts w:hint="eastAsia"/>
          <w:lang w:val="en-GB" w:eastAsia="zh-CN"/>
        </w:rPr>
      </w:pPr>
      <w:r>
        <w:rPr>
          <w:rFonts w:hint="eastAsia"/>
          <w:lang w:val="en-GB" w:eastAsia="zh-CN"/>
        </w:rPr>
        <w:t>主含量；</w:t>
      </w:r>
    </w:p>
    <w:p>
      <w:pPr>
        <w:numPr>
          <w:ilvl w:val="0"/>
          <w:numId w:val="2"/>
        </w:numPr>
        <w:ind w:firstLine="210" w:firstLineChars="100"/>
        <w:jc w:val="left"/>
        <w:rPr>
          <w:rFonts w:hint="eastAsia"/>
          <w:lang w:val="en-GB" w:eastAsia="zh-CN"/>
        </w:rPr>
      </w:pPr>
      <w:r>
        <w:rPr>
          <w:rFonts w:hint="eastAsia"/>
          <w:lang w:val="en-GB" w:eastAsia="zh-CN"/>
        </w:rPr>
        <w:t>供方名称；</w:t>
      </w:r>
    </w:p>
    <w:p>
      <w:pPr>
        <w:numPr>
          <w:ilvl w:val="0"/>
          <w:numId w:val="2"/>
        </w:numPr>
        <w:ind w:firstLine="210" w:firstLineChars="100"/>
        <w:jc w:val="left"/>
        <w:rPr>
          <w:rFonts w:hint="eastAsia"/>
          <w:lang w:val="en-GB" w:eastAsia="zh-CN"/>
        </w:rPr>
      </w:pPr>
      <w:r>
        <w:rPr>
          <w:rFonts w:hint="eastAsia"/>
          <w:lang w:val="en-GB" w:eastAsia="zh-CN"/>
        </w:rPr>
        <w:t>执行的标准；</w:t>
      </w:r>
    </w:p>
    <w:p>
      <w:pPr>
        <w:numPr>
          <w:ilvl w:val="0"/>
          <w:numId w:val="2"/>
        </w:numPr>
        <w:ind w:firstLine="210" w:firstLineChars="100"/>
        <w:jc w:val="left"/>
        <w:rPr>
          <w:rFonts w:hint="eastAsia"/>
          <w:lang w:val="en-GB" w:eastAsia="zh-CN"/>
        </w:rPr>
      </w:pPr>
      <w:r>
        <w:rPr>
          <w:rFonts w:hint="eastAsia"/>
          <w:lang w:val="en-GB" w:eastAsia="zh-CN"/>
        </w:rPr>
        <w:t>产地；</w:t>
      </w:r>
    </w:p>
    <w:p>
      <w:pPr>
        <w:numPr>
          <w:ilvl w:val="0"/>
          <w:numId w:val="2"/>
        </w:numPr>
        <w:ind w:firstLine="210" w:firstLineChars="100"/>
        <w:jc w:val="left"/>
        <w:rPr>
          <w:rFonts w:hint="eastAsia"/>
          <w:lang w:val="en-GB" w:eastAsia="zh-CN"/>
        </w:rPr>
      </w:pPr>
      <w:r>
        <w:rPr>
          <w:rFonts w:hint="eastAsia"/>
          <w:lang w:val="en-GB" w:eastAsia="zh-CN"/>
        </w:rPr>
        <w:t>牌号；</w:t>
      </w:r>
    </w:p>
    <w:p>
      <w:pPr>
        <w:numPr>
          <w:ilvl w:val="0"/>
          <w:numId w:val="2"/>
        </w:numPr>
        <w:ind w:firstLine="210" w:firstLineChars="100"/>
        <w:jc w:val="left"/>
        <w:rPr>
          <w:rFonts w:hint="eastAsia"/>
          <w:lang w:val="en-GB" w:eastAsia="zh-CN"/>
        </w:rPr>
      </w:pPr>
      <w:r>
        <w:rPr>
          <w:rFonts w:hint="eastAsia"/>
          <w:lang w:val="en-GB" w:eastAsia="zh-CN"/>
        </w:rPr>
        <w:t>GB 190中“腐蚀性</w:t>
      </w:r>
      <w:r>
        <w:rPr>
          <w:rFonts w:hint="eastAsia"/>
          <w:color w:val="000000" w:themeColor="text1"/>
          <w:lang w:val="en-US" w:eastAsia="zh-CN"/>
          <w14:textFill>
            <w14:solidFill>
              <w14:schemeClr w14:val="tx1"/>
            </w14:solidFill>
          </w14:textFill>
        </w:rPr>
        <w:t>物品</w:t>
      </w:r>
      <w:r>
        <w:rPr>
          <w:rFonts w:hint="eastAsia"/>
          <w:lang w:val="en-GB" w:eastAsia="zh-CN"/>
        </w:rPr>
        <w:t>”标志；</w:t>
      </w:r>
    </w:p>
    <w:p>
      <w:pPr>
        <w:numPr>
          <w:ilvl w:val="0"/>
          <w:numId w:val="2"/>
        </w:numPr>
        <w:ind w:firstLine="210" w:firstLineChars="100"/>
        <w:jc w:val="left"/>
        <w:rPr>
          <w:rFonts w:hint="eastAsia" w:ascii="宋体" w:hAnsi="宋体" w:eastAsia="宋体"/>
          <w:sz w:val="24"/>
          <w:lang w:val="en-US" w:eastAsia="zh-CN"/>
        </w:rPr>
      </w:pPr>
      <w:r>
        <w:rPr>
          <w:rFonts w:hint="eastAsia"/>
          <w:lang w:val="en-GB" w:eastAsia="zh-CN"/>
        </w:rPr>
        <w:t>GB/T 191中“怕</w:t>
      </w:r>
      <w:r>
        <w:rPr>
          <w:rFonts w:hint="eastAsia"/>
          <w:color w:val="000000" w:themeColor="text1"/>
          <w:lang w:val="en-US" w:eastAsia="zh-CN"/>
          <w14:textFill>
            <w14:solidFill>
              <w14:schemeClr w14:val="tx1"/>
            </w14:solidFill>
          </w14:textFill>
        </w:rPr>
        <w:t>湿</w:t>
      </w:r>
      <w:r>
        <w:rPr>
          <w:rFonts w:hint="eastAsia"/>
          <w:lang w:val="en-GB" w:eastAsia="zh-CN"/>
        </w:rPr>
        <w:t>”标志。</w:t>
      </w:r>
    </w:p>
    <w:p>
      <w:pPr>
        <w:jc w:val="left"/>
        <w:rPr>
          <w:rFonts w:hint="eastAsia" w:ascii="黑体" w:eastAsia="黑体"/>
        </w:rPr>
      </w:pPr>
      <w:r>
        <w:rPr>
          <w:rFonts w:hint="eastAsia" w:ascii="黑体" w:eastAsia="黑体"/>
          <w:lang w:val="en-US" w:eastAsia="zh-CN"/>
        </w:rPr>
        <w:t>8</w:t>
      </w:r>
      <w:r>
        <w:rPr>
          <w:rFonts w:hint="eastAsia" w:ascii="黑体" w:eastAsia="黑体"/>
        </w:rPr>
        <w:t>.2 包装</w:t>
      </w:r>
      <w:r>
        <w:rPr>
          <w:rFonts w:hint="eastAsia" w:ascii="黑体" w:eastAsia="黑体"/>
          <w:lang w:eastAsia="zh-CN"/>
        </w:rPr>
        <w:t>、</w:t>
      </w:r>
      <w:r>
        <w:rPr>
          <w:rFonts w:hint="eastAsia" w:ascii="黑体" w:eastAsia="黑体"/>
        </w:rPr>
        <w:t>运输</w:t>
      </w:r>
      <w:r>
        <w:rPr>
          <w:rFonts w:hint="eastAsia" w:ascii="黑体" w:eastAsia="黑体"/>
          <w:lang w:eastAsia="zh-CN"/>
        </w:rPr>
        <w:t>、</w:t>
      </w:r>
      <w:r>
        <w:rPr>
          <w:rFonts w:hint="eastAsia" w:ascii="黑体" w:eastAsia="黑体"/>
        </w:rPr>
        <w:t>贮存</w:t>
      </w:r>
    </w:p>
    <w:p>
      <w:pPr>
        <w:rPr>
          <w:rFonts w:hint="eastAsia"/>
        </w:rPr>
      </w:pPr>
      <w:r>
        <w:rPr>
          <w:rFonts w:hint="eastAsia" w:ascii="黑体" w:hAnsi="黑体" w:eastAsia="黑体"/>
          <w:lang w:val="en-US" w:eastAsia="zh-CN"/>
        </w:rPr>
        <w:t>8</w:t>
      </w:r>
      <w:r>
        <w:rPr>
          <w:rFonts w:hint="eastAsia" w:ascii="黑体" w:hAnsi="黑体" w:eastAsia="黑体"/>
        </w:rPr>
        <w:t>.</w:t>
      </w:r>
      <w:r>
        <w:rPr>
          <w:rFonts w:hint="eastAsia" w:ascii="黑体" w:hAnsi="黑体" w:eastAsia="黑体"/>
          <w:lang w:val="en-US" w:eastAsia="zh-CN"/>
        </w:rPr>
        <w:t>2</w:t>
      </w:r>
      <w:r>
        <w:rPr>
          <w:rFonts w:hint="eastAsia" w:ascii="黑体" w:hAnsi="黑体" w:eastAsia="黑体"/>
        </w:rPr>
        <w:t>.1</w:t>
      </w:r>
      <w:r>
        <w:rPr>
          <w:rFonts w:hint="eastAsia" w:ascii="黑体" w:hAnsi="黑体" w:eastAsia="黑体"/>
          <w:lang w:val="en-US" w:eastAsia="zh-CN"/>
        </w:rPr>
        <w:t xml:space="preserve"> </w:t>
      </w:r>
      <w:r>
        <w:rPr>
          <w:rFonts w:hint="eastAsia"/>
        </w:rPr>
        <w:t>产品采用内衬塑料薄膜袋或铝塑袋，外套塑料编织袋双层包装。内袋扎口或热合，外袋缝口牢固。对产品的包装方式有其他要求时，可由供需双方协商。每袋净重按客户要求执行。</w:t>
      </w:r>
    </w:p>
    <w:p>
      <w:pPr>
        <w:rPr>
          <w:rFonts w:hint="eastAsia"/>
        </w:rPr>
      </w:pPr>
      <w:r>
        <w:rPr>
          <w:rFonts w:hint="eastAsia"/>
          <w:lang w:val="en-US" w:eastAsia="zh-CN"/>
        </w:rPr>
        <w:t>8</w:t>
      </w:r>
      <w:r>
        <w:rPr>
          <w:rFonts w:hint="eastAsia"/>
        </w:rPr>
        <w:t>.</w:t>
      </w:r>
      <w:r>
        <w:rPr>
          <w:rFonts w:hint="eastAsia"/>
          <w:lang w:val="en-US" w:eastAsia="zh-CN"/>
        </w:rPr>
        <w:t>2</w:t>
      </w:r>
      <w:r>
        <w:rPr>
          <w:rFonts w:hint="eastAsia"/>
        </w:rPr>
        <w:t>.2</w:t>
      </w:r>
      <w:r>
        <w:rPr>
          <w:rFonts w:hint="eastAsia"/>
          <w:lang w:val="en-US" w:eastAsia="zh-CN"/>
        </w:rPr>
        <w:t xml:space="preserve"> </w:t>
      </w:r>
      <w:r>
        <w:rPr>
          <w:rFonts w:hint="eastAsia"/>
        </w:rPr>
        <w:t>产品运输时应避免与酸接触，运输及搬运过程中防止包装袋破损，并注意防潮。</w:t>
      </w:r>
    </w:p>
    <w:p>
      <w:pPr>
        <w:rPr>
          <w:rFonts w:hint="eastAsia"/>
          <w:lang w:val="en-US" w:eastAsia="zh-CN"/>
        </w:rPr>
      </w:pPr>
      <w:r>
        <w:rPr>
          <w:rFonts w:hint="eastAsia"/>
          <w:lang w:val="en-US" w:eastAsia="zh-CN"/>
        </w:rPr>
        <w:t>8.2.3 产品应贮存在干燥、无酸腐蚀气氛处，贮存期不宜超过半年。</w:t>
      </w:r>
    </w:p>
    <w:p>
      <w:pPr>
        <w:spacing w:line="288" w:lineRule="auto"/>
        <w:rPr>
          <w:rFonts w:hint="eastAsia" w:eastAsia="宋体"/>
          <w:lang w:val="en-US" w:eastAsia="zh-CN"/>
        </w:rPr>
      </w:pPr>
    </w:p>
    <w:p>
      <w:pPr>
        <w:spacing w:line="360" w:lineRule="auto"/>
        <w:rPr>
          <w:rFonts w:hint="default" w:ascii="黑体" w:eastAsia="黑体"/>
          <w:lang w:val="en-US" w:eastAsia="zh-CN"/>
        </w:rPr>
      </w:pPr>
      <w:r>
        <w:rPr>
          <w:rFonts w:hint="eastAsia" w:ascii="黑体" w:eastAsia="黑体"/>
          <w:lang w:val="en-US" w:eastAsia="zh-CN"/>
        </w:rPr>
        <w:t>8</w:t>
      </w:r>
      <w:r>
        <w:rPr>
          <w:rFonts w:hint="eastAsia" w:ascii="黑体" w:eastAsia="黑体"/>
        </w:rPr>
        <w:t>.</w:t>
      </w:r>
      <w:r>
        <w:rPr>
          <w:rFonts w:hint="eastAsia" w:ascii="黑体" w:eastAsia="黑体"/>
          <w:lang w:val="en-US" w:eastAsia="zh-CN"/>
        </w:rPr>
        <w:t>3随行文件</w:t>
      </w:r>
    </w:p>
    <w:p>
      <w:pPr>
        <w:spacing w:line="288" w:lineRule="auto"/>
        <w:ind w:left="675"/>
        <w:rPr>
          <w:rFonts w:hint="eastAsia"/>
        </w:rPr>
      </w:pPr>
      <w:r>
        <w:rPr>
          <w:rFonts w:hint="eastAsia"/>
        </w:rPr>
        <w:t>每批产品应附有</w:t>
      </w:r>
      <w:r>
        <w:rPr>
          <w:rFonts w:hint="eastAsia"/>
          <w:lang w:val="en-US" w:eastAsia="zh-CN"/>
        </w:rPr>
        <w:t>随行文件</w:t>
      </w:r>
      <w:r>
        <w:rPr>
          <w:rFonts w:hint="eastAsia"/>
        </w:rPr>
        <w:t>，</w:t>
      </w:r>
      <w:r>
        <w:rPr>
          <w:rFonts w:hint="eastAsia"/>
          <w:lang w:eastAsia="zh-CN"/>
        </w:rPr>
        <w:t>其中除应包括供方信息、产品信息、文件编号、出厂日期或包装日期外，还应</w:t>
      </w:r>
      <w:r>
        <w:rPr>
          <w:rFonts w:hint="eastAsia"/>
        </w:rPr>
        <w:t>注明：</w:t>
      </w:r>
    </w:p>
    <w:p>
      <w:pPr>
        <w:numPr>
          <w:ilvl w:val="0"/>
          <w:numId w:val="3"/>
        </w:numPr>
        <w:spacing w:line="288" w:lineRule="auto"/>
        <w:ind w:left="675"/>
        <w:rPr>
          <w:rFonts w:hint="eastAsia"/>
          <w:lang w:val="en-US" w:eastAsia="zh-CN"/>
        </w:rPr>
      </w:pPr>
      <w:r>
        <w:rPr>
          <w:rFonts w:hint="eastAsia"/>
          <w:lang w:val="en-US" w:eastAsia="zh-CN"/>
        </w:rPr>
        <w:t xml:space="preserve"> 产品质量保证书</w:t>
      </w:r>
    </w:p>
    <w:p>
      <w:pPr>
        <w:numPr>
          <w:ilvl w:val="0"/>
          <w:numId w:val="0"/>
        </w:numPr>
        <w:spacing w:line="288" w:lineRule="auto"/>
        <w:rPr>
          <w:rFonts w:hint="eastAsia"/>
          <w:lang w:val="en-US" w:eastAsia="zh-CN"/>
        </w:rPr>
      </w:pPr>
      <w:r>
        <w:rPr>
          <w:rFonts w:hint="eastAsia"/>
          <w:lang w:val="en-US" w:eastAsia="zh-CN"/>
        </w:rPr>
        <w:t xml:space="preserve">         产品的主要性能及技术参数</w:t>
      </w:r>
    </w:p>
    <w:p>
      <w:pPr>
        <w:numPr>
          <w:ilvl w:val="0"/>
          <w:numId w:val="0"/>
        </w:numPr>
        <w:spacing w:line="288" w:lineRule="auto"/>
        <w:rPr>
          <w:rFonts w:hint="eastAsia"/>
          <w:lang w:val="en-US" w:eastAsia="zh-CN"/>
        </w:rPr>
      </w:pPr>
      <w:r>
        <w:rPr>
          <w:rFonts w:hint="eastAsia"/>
          <w:lang w:val="en-US" w:eastAsia="zh-CN"/>
        </w:rPr>
        <w:t xml:space="preserve">         产品特点（包括制造工艺及原材料特点）</w:t>
      </w:r>
    </w:p>
    <w:p>
      <w:pPr>
        <w:numPr>
          <w:ilvl w:val="0"/>
          <w:numId w:val="0"/>
        </w:numPr>
        <w:spacing w:line="288" w:lineRule="auto"/>
        <w:rPr>
          <w:rFonts w:hint="eastAsia"/>
          <w:lang w:val="en-US" w:eastAsia="zh-CN"/>
        </w:rPr>
      </w:pPr>
      <w:r>
        <w:rPr>
          <w:rFonts w:hint="eastAsia"/>
          <w:lang w:val="en-US" w:eastAsia="zh-CN"/>
        </w:rPr>
        <w:t xml:space="preserve">         对产品质量所负的责任</w:t>
      </w:r>
    </w:p>
    <w:p>
      <w:pPr>
        <w:numPr>
          <w:ilvl w:val="0"/>
          <w:numId w:val="0"/>
        </w:numPr>
        <w:spacing w:line="288" w:lineRule="auto"/>
        <w:rPr>
          <w:rFonts w:hint="eastAsia"/>
          <w:lang w:val="en-US" w:eastAsia="zh-CN"/>
        </w:rPr>
      </w:pPr>
      <w:r>
        <w:rPr>
          <w:rFonts w:hint="eastAsia"/>
          <w:lang w:val="en-US" w:eastAsia="zh-CN"/>
        </w:rPr>
        <w:t xml:space="preserve">         产品获得的质量认证及带供方技术监督部门检印的各项分析检验结果。</w:t>
      </w:r>
    </w:p>
    <w:p>
      <w:pPr>
        <w:numPr>
          <w:ilvl w:val="0"/>
          <w:numId w:val="0"/>
        </w:numPr>
        <w:spacing w:line="288" w:lineRule="auto"/>
        <w:rPr>
          <w:rFonts w:hint="eastAsia"/>
          <w:lang w:val="en-US" w:eastAsia="zh-CN"/>
        </w:rPr>
      </w:pPr>
      <w:r>
        <w:rPr>
          <w:rFonts w:hint="eastAsia"/>
          <w:lang w:val="en-US" w:eastAsia="zh-CN"/>
        </w:rPr>
        <w:t xml:space="preserve">      b） 产品合格证</w:t>
      </w:r>
    </w:p>
    <w:p>
      <w:pPr>
        <w:numPr>
          <w:ilvl w:val="0"/>
          <w:numId w:val="0"/>
        </w:numPr>
        <w:spacing w:line="288" w:lineRule="auto"/>
        <w:rPr>
          <w:rFonts w:hint="eastAsia"/>
          <w:lang w:val="en-US" w:eastAsia="zh-CN"/>
        </w:rPr>
      </w:pPr>
      <w:r>
        <w:rPr>
          <w:rFonts w:hint="eastAsia"/>
          <w:lang w:val="en-US" w:eastAsia="zh-CN"/>
        </w:rPr>
        <w:t xml:space="preserve">         检验项目及其结果或检验结论</w:t>
      </w:r>
    </w:p>
    <w:p>
      <w:pPr>
        <w:numPr>
          <w:ilvl w:val="0"/>
          <w:numId w:val="0"/>
        </w:numPr>
        <w:spacing w:line="288" w:lineRule="auto"/>
        <w:rPr>
          <w:rFonts w:hint="eastAsia"/>
          <w:lang w:val="en-US" w:eastAsia="zh-CN"/>
        </w:rPr>
      </w:pPr>
      <w:r>
        <w:rPr>
          <w:rFonts w:hint="eastAsia"/>
          <w:lang w:val="en-US" w:eastAsia="zh-CN"/>
        </w:rPr>
        <w:t xml:space="preserve">         批量或批号</w:t>
      </w:r>
    </w:p>
    <w:p>
      <w:pPr>
        <w:numPr>
          <w:ilvl w:val="0"/>
          <w:numId w:val="0"/>
        </w:numPr>
        <w:spacing w:line="288" w:lineRule="auto"/>
        <w:rPr>
          <w:rFonts w:hint="eastAsia"/>
          <w:lang w:val="en-US" w:eastAsia="zh-CN"/>
        </w:rPr>
      </w:pPr>
      <w:r>
        <w:rPr>
          <w:rFonts w:hint="eastAsia"/>
          <w:lang w:val="en-US" w:eastAsia="zh-CN"/>
        </w:rPr>
        <w:t xml:space="preserve">         检验日期</w:t>
      </w:r>
    </w:p>
    <w:p>
      <w:pPr>
        <w:numPr>
          <w:ilvl w:val="0"/>
          <w:numId w:val="0"/>
        </w:numPr>
        <w:spacing w:line="288" w:lineRule="auto"/>
        <w:rPr>
          <w:rFonts w:hint="eastAsia"/>
          <w:lang w:val="en-US" w:eastAsia="zh-CN"/>
        </w:rPr>
      </w:pPr>
      <w:r>
        <w:rPr>
          <w:rFonts w:hint="eastAsia"/>
          <w:lang w:val="en-US" w:eastAsia="zh-CN"/>
        </w:rPr>
        <w:t xml:space="preserve">         检验员签名或盖章</w:t>
      </w:r>
    </w:p>
    <w:p>
      <w:pPr>
        <w:numPr>
          <w:ilvl w:val="0"/>
          <w:numId w:val="0"/>
        </w:numPr>
        <w:spacing w:line="288" w:lineRule="auto"/>
        <w:rPr>
          <w:rFonts w:hint="eastAsia"/>
          <w:lang w:val="en-US" w:eastAsia="zh-CN"/>
        </w:rPr>
      </w:pPr>
      <w:r>
        <w:rPr>
          <w:rFonts w:hint="eastAsia"/>
          <w:lang w:val="en-US" w:eastAsia="zh-CN"/>
        </w:rPr>
        <w:t xml:space="preserve">      c)  产品质量控制过程中的检验报告及成品检验报告</w:t>
      </w:r>
    </w:p>
    <w:p>
      <w:pPr>
        <w:numPr>
          <w:ilvl w:val="0"/>
          <w:numId w:val="0"/>
        </w:numPr>
        <w:spacing w:line="288" w:lineRule="auto"/>
        <w:rPr>
          <w:rFonts w:hint="eastAsia"/>
          <w:lang w:val="en-US" w:eastAsia="zh-CN"/>
        </w:rPr>
      </w:pPr>
      <w:r>
        <w:rPr>
          <w:rFonts w:hint="eastAsia"/>
          <w:lang w:val="en-US" w:eastAsia="zh-CN"/>
        </w:rPr>
        <w:t xml:space="preserve">      d)  产品使用说明：正确搬运、使用、贮存方法等</w:t>
      </w:r>
    </w:p>
    <w:p>
      <w:pPr>
        <w:numPr>
          <w:ilvl w:val="0"/>
          <w:numId w:val="0"/>
        </w:numPr>
        <w:spacing w:line="288" w:lineRule="auto"/>
        <w:rPr>
          <w:rFonts w:hint="eastAsia"/>
          <w:lang w:val="en-US" w:eastAsia="zh-CN"/>
        </w:rPr>
      </w:pPr>
      <w:r>
        <w:rPr>
          <w:rFonts w:hint="eastAsia"/>
          <w:lang w:val="en-US" w:eastAsia="zh-CN"/>
        </w:rPr>
        <w:t xml:space="preserve">      e） 其他</w:t>
      </w:r>
    </w:p>
    <w:p>
      <w:pPr>
        <w:numPr>
          <w:ilvl w:val="0"/>
          <w:numId w:val="0"/>
        </w:numPr>
        <w:spacing w:line="288" w:lineRule="auto"/>
        <w:rPr>
          <w:rFonts w:hint="eastAsia"/>
          <w:lang w:val="en-US" w:eastAsia="zh-CN"/>
        </w:rPr>
      </w:pPr>
      <w:r>
        <w:rPr>
          <w:rFonts w:hint="eastAsia"/>
          <w:lang w:val="en-US" w:eastAsia="zh-CN"/>
        </w:rPr>
        <w:t xml:space="preserve">     </w:t>
      </w:r>
    </w:p>
    <w:p>
      <w:pPr>
        <w:spacing w:line="480" w:lineRule="auto"/>
        <w:rPr>
          <w:rFonts w:hint="eastAsia" w:ascii="黑体" w:eastAsia="黑体"/>
        </w:rPr>
      </w:pPr>
      <w:r>
        <w:rPr>
          <w:rFonts w:hint="eastAsia" w:eastAsia="黑体"/>
          <w:b w:val="0"/>
          <w:lang w:val="en-US" w:eastAsia="zh-CN"/>
        </w:rPr>
        <w:t xml:space="preserve"> </w:t>
      </w:r>
      <w:r>
        <w:rPr>
          <w:rFonts w:hint="eastAsia" w:ascii="黑体" w:eastAsia="黑体"/>
          <w:lang w:val="en-US" w:eastAsia="zh-CN"/>
        </w:rPr>
        <w:t>9</w:t>
      </w:r>
      <w:r>
        <w:rPr>
          <w:rFonts w:hint="eastAsia" w:ascii="黑体" w:eastAsia="黑体"/>
        </w:rPr>
        <w:t xml:space="preserve">  订货单内容</w:t>
      </w:r>
    </w:p>
    <w:p>
      <w:pPr>
        <w:spacing w:line="288" w:lineRule="auto"/>
        <w:ind w:left="708" w:leftChars="337"/>
      </w:pPr>
      <w:r>
        <w:rPr>
          <w:rFonts w:hint="eastAsia"/>
          <w:lang w:eastAsia="zh-CN"/>
        </w:rPr>
        <w:t>需方可根据自身的需要，在</w:t>
      </w:r>
      <w:r>
        <w:rPr>
          <w:rFonts w:hint="eastAsia"/>
        </w:rPr>
        <w:t>订购本</w:t>
      </w:r>
      <w:r>
        <w:rPr>
          <w:rFonts w:hint="eastAsia"/>
          <w:color w:val="000000" w:themeColor="text1"/>
          <w:lang w:val="en-US" w:eastAsia="zh-CN"/>
          <w14:textFill>
            <w14:solidFill>
              <w14:schemeClr w14:val="tx1"/>
            </w14:solidFill>
          </w14:textFill>
        </w:rPr>
        <w:t>文件</w:t>
      </w:r>
      <w:r>
        <w:rPr>
          <w:rFonts w:hint="eastAsia"/>
        </w:rPr>
        <w:t>所列产品的订货单内</w:t>
      </w:r>
      <w:r>
        <w:rPr>
          <w:rFonts w:hint="eastAsia"/>
          <w:lang w:eastAsia="zh-CN"/>
        </w:rPr>
        <w:t>，列出如</w:t>
      </w:r>
      <w:r>
        <w:rPr>
          <w:rFonts w:hint="eastAsia"/>
        </w:rPr>
        <w:t>下内容：</w:t>
      </w:r>
    </w:p>
    <w:p>
      <w:pPr>
        <w:pStyle w:val="10"/>
        <w:numPr>
          <w:ilvl w:val="0"/>
          <w:numId w:val="4"/>
        </w:numPr>
        <w:ind w:left="1134" w:hanging="425"/>
        <w:rPr>
          <w:b w:val="0"/>
        </w:rPr>
      </w:pPr>
      <w:r>
        <w:rPr>
          <w:rFonts w:hint="eastAsia"/>
          <w:b w:val="0"/>
        </w:rPr>
        <w:t>产品名称；</w:t>
      </w:r>
    </w:p>
    <w:p>
      <w:pPr>
        <w:pStyle w:val="10"/>
        <w:numPr>
          <w:ilvl w:val="0"/>
          <w:numId w:val="4"/>
        </w:numPr>
        <w:ind w:left="1134" w:hanging="425"/>
        <w:rPr>
          <w:b w:val="0"/>
        </w:rPr>
      </w:pPr>
      <w:r>
        <w:rPr>
          <w:rFonts w:hint="eastAsia"/>
          <w:b w:val="0"/>
        </w:rPr>
        <w:t>产品牌号；</w:t>
      </w:r>
    </w:p>
    <w:p>
      <w:pPr>
        <w:pStyle w:val="10"/>
        <w:numPr>
          <w:ilvl w:val="0"/>
          <w:numId w:val="4"/>
        </w:numPr>
        <w:ind w:left="1134" w:hanging="425"/>
        <w:rPr>
          <w:b w:val="0"/>
        </w:rPr>
      </w:pPr>
      <w:r>
        <w:rPr>
          <w:rFonts w:hint="eastAsia"/>
          <w:b w:val="0"/>
        </w:rPr>
        <w:t>净</w:t>
      </w:r>
      <w:r>
        <w:rPr>
          <w:rFonts w:hint="eastAsia"/>
          <w:b w:val="0"/>
          <w:bCs w:val="0"/>
        </w:rPr>
        <w:t>重和</w:t>
      </w:r>
      <w:r>
        <w:rPr>
          <w:rFonts w:hint="eastAsia"/>
          <w:b w:val="0"/>
          <w:bCs w:val="0"/>
          <w:lang w:val="en-US" w:eastAsia="zh-CN"/>
        </w:rPr>
        <w:t>袋</w:t>
      </w:r>
      <w:r>
        <w:rPr>
          <w:rFonts w:hint="eastAsia"/>
          <w:b w:val="0"/>
          <w:bCs w:val="0"/>
        </w:rPr>
        <w:t>数</w:t>
      </w:r>
      <w:r>
        <w:rPr>
          <w:rFonts w:hint="eastAsia"/>
          <w:b w:val="0"/>
        </w:rPr>
        <w:t>；</w:t>
      </w:r>
    </w:p>
    <w:p>
      <w:pPr>
        <w:pStyle w:val="10"/>
        <w:numPr>
          <w:ilvl w:val="0"/>
          <w:numId w:val="4"/>
        </w:numPr>
        <w:ind w:left="1134" w:hanging="425"/>
        <w:rPr>
          <w:b w:val="0"/>
        </w:rPr>
      </w:pPr>
      <w:r>
        <w:rPr>
          <w:rFonts w:hint="eastAsia"/>
          <w:b w:val="0"/>
        </w:rPr>
        <w:t>包装要求；</w:t>
      </w:r>
    </w:p>
    <w:p>
      <w:pPr>
        <w:pStyle w:val="10"/>
        <w:numPr>
          <w:ilvl w:val="0"/>
          <w:numId w:val="4"/>
        </w:numPr>
        <w:ind w:left="1134" w:hanging="425"/>
        <w:rPr>
          <w:b w:val="0"/>
        </w:rPr>
      </w:pPr>
      <w:r>
        <w:rPr>
          <w:rFonts w:hint="eastAsia"/>
          <w:b w:val="0"/>
        </w:rPr>
        <w:t>交货日期；</w:t>
      </w:r>
    </w:p>
    <w:p>
      <w:pPr>
        <w:pStyle w:val="10"/>
        <w:numPr>
          <w:ilvl w:val="0"/>
          <w:numId w:val="4"/>
        </w:numPr>
        <w:ind w:left="1134" w:hanging="425"/>
        <w:rPr>
          <w:b w:val="0"/>
        </w:rPr>
      </w:pPr>
      <w:r>
        <w:rPr>
          <w:rFonts w:hint="eastAsia"/>
          <w:b w:val="0"/>
        </w:rPr>
        <w:t>本</w:t>
      </w:r>
      <w:r>
        <w:rPr>
          <w:rFonts w:hint="eastAsia"/>
          <w:b w:val="0"/>
          <w:color w:val="000000" w:themeColor="text1"/>
          <w:lang w:val="en-US" w:eastAsia="zh-CN"/>
          <w14:textFill>
            <w14:solidFill>
              <w14:schemeClr w14:val="tx1"/>
            </w14:solidFill>
          </w14:textFill>
        </w:rPr>
        <w:t>文件</w:t>
      </w:r>
      <w:r>
        <w:rPr>
          <w:rFonts w:hint="eastAsia"/>
          <w:b w:val="0"/>
          <w:color w:val="000000" w:themeColor="text1"/>
          <w14:textFill>
            <w14:solidFill>
              <w14:schemeClr w14:val="tx1"/>
            </w14:solidFill>
          </w14:textFill>
        </w:rPr>
        <w:t>编</w:t>
      </w:r>
      <w:r>
        <w:rPr>
          <w:rFonts w:hint="eastAsia"/>
          <w:b w:val="0"/>
        </w:rPr>
        <w:t>号；</w:t>
      </w:r>
    </w:p>
    <w:p>
      <w:pPr>
        <w:pStyle w:val="10"/>
        <w:numPr>
          <w:ilvl w:val="0"/>
          <w:numId w:val="4"/>
        </w:numPr>
        <w:ind w:left="1134" w:hanging="425"/>
        <w:rPr>
          <w:rFonts w:hint="eastAsia"/>
          <w:b w:val="0"/>
        </w:rPr>
      </w:pPr>
      <w:r>
        <w:rPr>
          <w:rFonts w:hint="eastAsia"/>
          <w:b w:val="0"/>
          <w:bCs/>
          <w:sz w:val="21"/>
          <w:szCs w:val="22"/>
          <w:lang w:val="en-US" w:eastAsia="zh-CN"/>
        </w:rPr>
        <w:t>其他</w:t>
      </w:r>
      <w:r>
        <w:rPr>
          <w:rFonts w:hint="eastAsia"/>
          <w:b w:val="0"/>
          <w:bCs/>
          <w:sz w:val="21"/>
          <w:szCs w:val="22"/>
          <w:lang w:val="en-GB"/>
        </w:rPr>
        <w:t>。</w:t>
      </w:r>
    </w:p>
    <w:p>
      <w:pPr>
        <w:pStyle w:val="10"/>
        <w:numPr>
          <w:ilvl w:val="0"/>
          <w:numId w:val="0"/>
        </w:numPr>
        <w:rPr>
          <w:rFonts w:hint="eastAsia"/>
        </w:rPr>
      </w:pPr>
      <w:r>
        <w:rPr>
          <w:rFonts w:hint="eastAsia"/>
          <w:b/>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158750</wp:posOffset>
                </wp:positionV>
                <wp:extent cx="2333625" cy="0"/>
                <wp:effectExtent l="0" t="0" r="0" b="0"/>
                <wp:wrapNone/>
                <wp:docPr id="2" name="直线 3"/>
                <wp:cNvGraphicFramePr/>
                <a:graphic xmlns:a="http://schemas.openxmlformats.org/drawingml/2006/main">
                  <a:graphicData uri="http://schemas.microsoft.com/office/word/2010/wordprocessingShape">
                    <wps:wsp>
                      <wps:cNvCnPr/>
                      <wps:spPr>
                        <a:xfrm>
                          <a:off x="0" y="0"/>
                          <a:ext cx="23336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31.25pt;margin-top:12.5pt;height:0pt;width:183.75pt;z-index:251659264;mso-width-relative:page;mso-height-relative:page;" filled="f" stroked="t" coordsize="21600,21600" o:gfxdata="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aiLT1wAAAAkBAAAPAAAAAAAAAAEAIAAAACIAAABk&#10;cnMvZG93bnJldi54bWxQSwECFAAUAAAACACHTuJA+f7Kuc4BAACOAwAADgAAAAAAAAABACAAAAAm&#10;AQAAZHJzL2Uyb0RvYy54bWxQSwUGAAAAAAYABgBZAQAAZgUAAAAA&#10;">
                <v:fill on="f" focussize="0,0"/>
                <v:stroke weight="1.25pt" color="#000000" joinstyle="round"/>
                <v:imagedata o:title=""/>
                <o:lock v:ext="edit" aspectratio="f"/>
              </v:line>
            </w:pict>
          </mc:Fallback>
        </mc:AlternateContent>
      </w:r>
      <w:r>
        <w:rPr>
          <w:rFonts w:hint="eastAsia"/>
          <w:b w:val="0"/>
        </w:rPr>
        <w:t xml:space="preserve">               </w:t>
      </w:r>
      <w:r>
        <w:rPr>
          <w:rFonts w:hint="eastAsia"/>
        </w:rPr>
        <w:t xml:space="preserve">        </w:t>
      </w:r>
    </w:p>
    <w:p>
      <w:pPr>
        <w:spacing w:line="288" w:lineRule="auto"/>
        <w:jc w:val="center"/>
        <w:rPr>
          <w:rFonts w:hint="eastAsia" w:ascii="黑体" w:hAnsi="黑体" w:eastAsia="黑体"/>
        </w:rPr>
      </w:pPr>
    </w:p>
    <w:sectPr>
      <w:footerReference r:id="rId7" w:type="first"/>
      <w:headerReference r:id="rId3" w:type="default"/>
      <w:footerReference r:id="rId5" w:type="default"/>
      <w:headerReference r:id="rId4" w:type="even"/>
      <w:footerReference r:id="rId6" w:type="even"/>
      <w:pgSz w:w="11906" w:h="16838"/>
      <w:pgMar w:top="1440" w:right="1721" w:bottom="1440" w:left="1785" w:header="851" w:footer="992" w:gutter="0"/>
      <w:pgNumType w:fmt="upperRoman"/>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roman"/>
    <w:pitch w:val="default"/>
    <w:sig w:usb0="A00002FF" w:usb1="28CFFCFA" w:usb2="00000016" w:usb3="00000000" w:csb0="00100001"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Cambria Math">
    <w:panose1 w:val="02040503050406030204"/>
    <w:charset w:val="00"/>
    <w:family w:val="swiss"/>
    <w:pitch w:val="default"/>
    <w:sig w:usb0="E00002FF" w:usb1="420024FF" w:usb2="00000000" w:usb3="00000000" w:csb0="2000019F"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SymbolMT">
    <w:altName w:val="Cambria"/>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b/>
        <w:sz w:val="24"/>
        <w:szCs w:val="24"/>
      </w:rPr>
      <w:t>YS/T XXX-20</w:t>
    </w:r>
    <w:r>
      <w:rPr>
        <w:rFonts w:hint="eastAsia"/>
        <w:b/>
        <w:sz w:val="24"/>
        <w:szCs w:val="24"/>
        <w:lang w:val="en-US" w:eastAsia="zh-CN"/>
      </w:rPr>
      <w:t>2</w:t>
    </w:r>
    <w:r>
      <w:rPr>
        <w:b/>
        <w:sz w:val="24"/>
        <w:szCs w:val="24"/>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5523079">
    <w:nsid w:val="50330D87"/>
    <w:multiLevelType w:val="multilevel"/>
    <w:tmpl w:val="50330D87"/>
    <w:lvl w:ilvl="0" w:tentative="1">
      <w:start w:val="1"/>
      <w:numFmt w:val="decimal"/>
      <w:pStyle w:val="10"/>
      <w:lvlText w:val="%1."/>
      <w:lvlJc w:val="left"/>
      <w:pPr>
        <w:ind w:left="562"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1">
      <w:start w:val="1"/>
      <w:numFmt w:val="decimal"/>
      <w:isLgl/>
      <w:lvlText w:val="%1.%2"/>
      <w:lvlJc w:val="left"/>
      <w:pPr>
        <w:ind w:left="714" w:hanging="465"/>
      </w:pPr>
      <w:rPr>
        <w:rFonts w:hint="default"/>
      </w:rPr>
    </w:lvl>
    <w:lvl w:ilvl="2" w:tentative="1">
      <w:start w:val="1"/>
      <w:numFmt w:val="decimal"/>
      <w:isLgl/>
      <w:lvlText w:val="%1.%2.%3"/>
      <w:lvlJc w:val="left"/>
      <w:pPr>
        <w:ind w:left="1076" w:hanging="720"/>
      </w:pPr>
      <w:rPr>
        <w:rFonts w:hint="default"/>
      </w:rPr>
    </w:lvl>
    <w:lvl w:ilvl="3" w:tentative="1">
      <w:start w:val="1"/>
      <w:numFmt w:val="decimal"/>
      <w:isLgl/>
      <w:lvlText w:val="%1.%2.%3.%4"/>
      <w:lvlJc w:val="left"/>
      <w:pPr>
        <w:ind w:left="1183" w:hanging="720"/>
      </w:pPr>
      <w:rPr>
        <w:rFonts w:hint="default"/>
      </w:rPr>
    </w:lvl>
    <w:lvl w:ilvl="4" w:tentative="1">
      <w:start w:val="1"/>
      <w:numFmt w:val="decimal"/>
      <w:isLgl/>
      <w:lvlText w:val="%1.%2.%3.%4.%5"/>
      <w:lvlJc w:val="left"/>
      <w:pPr>
        <w:ind w:left="1650" w:hanging="1080"/>
      </w:pPr>
      <w:rPr>
        <w:rFonts w:hint="default"/>
      </w:rPr>
    </w:lvl>
    <w:lvl w:ilvl="5" w:tentative="1">
      <w:start w:val="1"/>
      <w:numFmt w:val="decimal"/>
      <w:isLgl/>
      <w:lvlText w:val="%1.%2.%3.%4.%5.%6"/>
      <w:lvlJc w:val="left"/>
      <w:pPr>
        <w:ind w:left="1757" w:hanging="1080"/>
      </w:pPr>
      <w:rPr>
        <w:rFonts w:hint="default"/>
      </w:rPr>
    </w:lvl>
    <w:lvl w:ilvl="6" w:tentative="1">
      <w:start w:val="1"/>
      <w:numFmt w:val="decimal"/>
      <w:isLgl/>
      <w:lvlText w:val="%1.%2.%3.%4.%5.%6.%7"/>
      <w:lvlJc w:val="left"/>
      <w:pPr>
        <w:ind w:left="1864" w:hanging="1080"/>
      </w:pPr>
      <w:rPr>
        <w:rFonts w:hint="default"/>
      </w:rPr>
    </w:lvl>
    <w:lvl w:ilvl="7" w:tentative="1">
      <w:start w:val="1"/>
      <w:numFmt w:val="decimal"/>
      <w:isLgl/>
      <w:lvlText w:val="%1.%2.%3.%4.%5.%6.%7.%8"/>
      <w:lvlJc w:val="left"/>
      <w:pPr>
        <w:ind w:left="2331" w:hanging="1440"/>
      </w:pPr>
      <w:rPr>
        <w:rFonts w:hint="default"/>
      </w:rPr>
    </w:lvl>
    <w:lvl w:ilvl="8" w:tentative="1">
      <w:start w:val="1"/>
      <w:numFmt w:val="decimal"/>
      <w:isLgl/>
      <w:lvlText w:val="%1.%2.%3.%4.%5.%6.%7.%8.%9"/>
      <w:lvlJc w:val="left"/>
      <w:pPr>
        <w:ind w:left="2438" w:hanging="1440"/>
      </w:pPr>
      <w:rPr>
        <w:rFonts w:hint="default"/>
      </w:rPr>
    </w:lvl>
  </w:abstractNum>
  <w:abstractNum w:abstractNumId="3781255784">
    <w:nsid w:val="E1616268"/>
    <w:multiLevelType w:val="singleLevel"/>
    <w:tmpl w:val="E1616268"/>
    <w:lvl w:ilvl="0" w:tentative="1">
      <w:start w:val="1"/>
      <w:numFmt w:val="lowerLetter"/>
      <w:suff w:val="space"/>
      <w:lvlText w:val="%1）"/>
      <w:lvlJc w:val="left"/>
    </w:lvl>
  </w:abstractNum>
  <w:abstractNum w:abstractNumId="1604545775">
    <w:nsid w:val="5FA36CEF"/>
    <w:multiLevelType w:val="singleLevel"/>
    <w:tmpl w:val="5FA36CEF"/>
    <w:lvl w:ilvl="0" w:tentative="1">
      <w:start w:val="1"/>
      <w:numFmt w:val="lowerLetter"/>
      <w:suff w:val="space"/>
      <w:lvlText w:val="%1)"/>
      <w:lvlJc w:val="left"/>
    </w:lvl>
  </w:abstractNum>
  <w:abstractNum w:abstractNumId="818814449">
    <w:nsid w:val="30CE1DF1"/>
    <w:multiLevelType w:val="multilevel"/>
    <w:tmpl w:val="30CE1DF1"/>
    <w:lvl w:ilvl="0" w:tentative="1">
      <w:start w:val="1"/>
      <w:numFmt w:val="lowerLetter"/>
      <w:lvlText w:val="%1)"/>
      <w:lvlJc w:val="left"/>
      <w:pPr>
        <w:ind w:left="1271" w:hanging="420"/>
      </w:pPr>
      <w:rPr>
        <w:b w:val="0"/>
      </w:rPr>
    </w:lvl>
    <w:lvl w:ilvl="1" w:tentative="1">
      <w:start w:val="1"/>
      <w:numFmt w:val="lowerLetter"/>
      <w:lvlText w:val="%2)"/>
      <w:lvlJc w:val="left"/>
      <w:pPr>
        <w:ind w:left="1974" w:hanging="420"/>
      </w:pPr>
    </w:lvl>
    <w:lvl w:ilvl="2" w:tentative="1">
      <w:start w:val="1"/>
      <w:numFmt w:val="lowerRoman"/>
      <w:lvlText w:val="%3."/>
      <w:lvlJc w:val="right"/>
      <w:pPr>
        <w:ind w:left="2394" w:hanging="420"/>
      </w:pPr>
    </w:lvl>
    <w:lvl w:ilvl="3" w:tentative="1">
      <w:start w:val="1"/>
      <w:numFmt w:val="decimal"/>
      <w:lvlText w:val="%4."/>
      <w:lvlJc w:val="left"/>
      <w:pPr>
        <w:ind w:left="2814" w:hanging="420"/>
      </w:pPr>
    </w:lvl>
    <w:lvl w:ilvl="4" w:tentative="1">
      <w:start w:val="1"/>
      <w:numFmt w:val="lowerLetter"/>
      <w:lvlText w:val="%5)"/>
      <w:lvlJc w:val="left"/>
      <w:pPr>
        <w:ind w:left="3234" w:hanging="420"/>
      </w:pPr>
    </w:lvl>
    <w:lvl w:ilvl="5" w:tentative="1">
      <w:start w:val="1"/>
      <w:numFmt w:val="lowerRoman"/>
      <w:lvlText w:val="%6."/>
      <w:lvlJc w:val="right"/>
      <w:pPr>
        <w:ind w:left="3654" w:hanging="420"/>
      </w:pPr>
    </w:lvl>
    <w:lvl w:ilvl="6" w:tentative="1">
      <w:start w:val="1"/>
      <w:numFmt w:val="decimal"/>
      <w:lvlText w:val="%7."/>
      <w:lvlJc w:val="left"/>
      <w:pPr>
        <w:ind w:left="4074" w:hanging="420"/>
      </w:pPr>
    </w:lvl>
    <w:lvl w:ilvl="7" w:tentative="1">
      <w:start w:val="1"/>
      <w:numFmt w:val="lowerLetter"/>
      <w:lvlText w:val="%8)"/>
      <w:lvlJc w:val="left"/>
      <w:pPr>
        <w:ind w:left="4494" w:hanging="420"/>
      </w:pPr>
    </w:lvl>
    <w:lvl w:ilvl="8" w:tentative="1">
      <w:start w:val="1"/>
      <w:numFmt w:val="lowerRoman"/>
      <w:lvlText w:val="%9."/>
      <w:lvlJc w:val="right"/>
      <w:pPr>
        <w:ind w:left="4914" w:hanging="420"/>
      </w:pPr>
    </w:lvl>
  </w:abstractNum>
  <w:num w:numId="1">
    <w:abstractNumId w:val="1345523079"/>
  </w:num>
  <w:num w:numId="2">
    <w:abstractNumId w:val="3781255784"/>
  </w:num>
  <w:num w:numId="3">
    <w:abstractNumId w:val="1604545775"/>
  </w:num>
  <w:num w:numId="4">
    <w:abstractNumId w:val="818814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9E4"/>
    <w:rsid w:val="00076441"/>
    <w:rsid w:val="000D69C6"/>
    <w:rsid w:val="000E7A31"/>
    <w:rsid w:val="00134960"/>
    <w:rsid w:val="0018223C"/>
    <w:rsid w:val="001A2137"/>
    <w:rsid w:val="001B57C9"/>
    <w:rsid w:val="001C09A4"/>
    <w:rsid w:val="001D3077"/>
    <w:rsid w:val="001F26DC"/>
    <w:rsid w:val="00251215"/>
    <w:rsid w:val="00253B89"/>
    <w:rsid w:val="002564B9"/>
    <w:rsid w:val="002E4AFA"/>
    <w:rsid w:val="002F61F9"/>
    <w:rsid w:val="002F63EC"/>
    <w:rsid w:val="002F6F07"/>
    <w:rsid w:val="00311F3D"/>
    <w:rsid w:val="003301A0"/>
    <w:rsid w:val="00375BAD"/>
    <w:rsid w:val="003B0755"/>
    <w:rsid w:val="003D6114"/>
    <w:rsid w:val="00422DDD"/>
    <w:rsid w:val="004239AC"/>
    <w:rsid w:val="00424168"/>
    <w:rsid w:val="004D102F"/>
    <w:rsid w:val="004F3602"/>
    <w:rsid w:val="00524249"/>
    <w:rsid w:val="00526984"/>
    <w:rsid w:val="00561B9B"/>
    <w:rsid w:val="00564E87"/>
    <w:rsid w:val="00574BE1"/>
    <w:rsid w:val="005766D0"/>
    <w:rsid w:val="00584083"/>
    <w:rsid w:val="005C3929"/>
    <w:rsid w:val="006018C5"/>
    <w:rsid w:val="006233D4"/>
    <w:rsid w:val="006711FB"/>
    <w:rsid w:val="006C168A"/>
    <w:rsid w:val="00705448"/>
    <w:rsid w:val="00745164"/>
    <w:rsid w:val="00753ADA"/>
    <w:rsid w:val="00760055"/>
    <w:rsid w:val="00774573"/>
    <w:rsid w:val="007C2762"/>
    <w:rsid w:val="007C3487"/>
    <w:rsid w:val="007D0435"/>
    <w:rsid w:val="007D4257"/>
    <w:rsid w:val="007E37DE"/>
    <w:rsid w:val="008360E1"/>
    <w:rsid w:val="0084635A"/>
    <w:rsid w:val="00856901"/>
    <w:rsid w:val="008C169B"/>
    <w:rsid w:val="008C597E"/>
    <w:rsid w:val="008D150F"/>
    <w:rsid w:val="008D2D45"/>
    <w:rsid w:val="008E3BB6"/>
    <w:rsid w:val="00912542"/>
    <w:rsid w:val="00984EAA"/>
    <w:rsid w:val="009B60B2"/>
    <w:rsid w:val="009D1D19"/>
    <w:rsid w:val="00A60C6E"/>
    <w:rsid w:val="00AB5268"/>
    <w:rsid w:val="00AD3C96"/>
    <w:rsid w:val="00AD5E93"/>
    <w:rsid w:val="00AD773C"/>
    <w:rsid w:val="00B433BC"/>
    <w:rsid w:val="00B7171F"/>
    <w:rsid w:val="00B722E4"/>
    <w:rsid w:val="00B77A88"/>
    <w:rsid w:val="00B822BD"/>
    <w:rsid w:val="00B8791B"/>
    <w:rsid w:val="00B90287"/>
    <w:rsid w:val="00B94647"/>
    <w:rsid w:val="00B961D7"/>
    <w:rsid w:val="00BA3552"/>
    <w:rsid w:val="00BA7356"/>
    <w:rsid w:val="00C135B1"/>
    <w:rsid w:val="00C909CA"/>
    <w:rsid w:val="00CC052F"/>
    <w:rsid w:val="00CE1A1D"/>
    <w:rsid w:val="00CE2E7F"/>
    <w:rsid w:val="00D02A5F"/>
    <w:rsid w:val="00DC4220"/>
    <w:rsid w:val="00DF467F"/>
    <w:rsid w:val="00E02A25"/>
    <w:rsid w:val="00E10F2F"/>
    <w:rsid w:val="00E11ED5"/>
    <w:rsid w:val="00E42FEB"/>
    <w:rsid w:val="00E8243D"/>
    <w:rsid w:val="00EB6480"/>
    <w:rsid w:val="00EC4997"/>
    <w:rsid w:val="00EF086C"/>
    <w:rsid w:val="00EF2B11"/>
    <w:rsid w:val="00F173BD"/>
    <w:rsid w:val="00F40D2A"/>
    <w:rsid w:val="00F53213"/>
    <w:rsid w:val="00F549C6"/>
    <w:rsid w:val="00F75362"/>
    <w:rsid w:val="00F91061"/>
    <w:rsid w:val="00FF3B7B"/>
    <w:rsid w:val="01FA7687"/>
    <w:rsid w:val="057F1BBD"/>
    <w:rsid w:val="05E512AB"/>
    <w:rsid w:val="06B03065"/>
    <w:rsid w:val="079145C2"/>
    <w:rsid w:val="07CC568B"/>
    <w:rsid w:val="07EE26C3"/>
    <w:rsid w:val="09326668"/>
    <w:rsid w:val="0BBD37B6"/>
    <w:rsid w:val="0BC12654"/>
    <w:rsid w:val="0E903B91"/>
    <w:rsid w:val="0E9B23B8"/>
    <w:rsid w:val="104F0275"/>
    <w:rsid w:val="13C71BBD"/>
    <w:rsid w:val="13DD7FC0"/>
    <w:rsid w:val="168A1A3B"/>
    <w:rsid w:val="16C11892"/>
    <w:rsid w:val="1B69013A"/>
    <w:rsid w:val="1C2771A8"/>
    <w:rsid w:val="1DE01F8E"/>
    <w:rsid w:val="1F125ECF"/>
    <w:rsid w:val="201F3792"/>
    <w:rsid w:val="203A408F"/>
    <w:rsid w:val="20B61DFD"/>
    <w:rsid w:val="21FA5DEF"/>
    <w:rsid w:val="24053CAC"/>
    <w:rsid w:val="25BE443D"/>
    <w:rsid w:val="269078D7"/>
    <w:rsid w:val="282F350D"/>
    <w:rsid w:val="2A306C46"/>
    <w:rsid w:val="2D1C1361"/>
    <w:rsid w:val="2EE16B13"/>
    <w:rsid w:val="2FCB0046"/>
    <w:rsid w:val="31DE1E8E"/>
    <w:rsid w:val="31DE30F7"/>
    <w:rsid w:val="332C2B52"/>
    <w:rsid w:val="35697267"/>
    <w:rsid w:val="38532D75"/>
    <w:rsid w:val="3BCF47C1"/>
    <w:rsid w:val="3CDC360E"/>
    <w:rsid w:val="3D4F4906"/>
    <w:rsid w:val="3F583D2F"/>
    <w:rsid w:val="3FB17BDB"/>
    <w:rsid w:val="402602B8"/>
    <w:rsid w:val="423173DF"/>
    <w:rsid w:val="44713EAC"/>
    <w:rsid w:val="469718F5"/>
    <w:rsid w:val="46E207B4"/>
    <w:rsid w:val="46F478EB"/>
    <w:rsid w:val="478245C8"/>
    <w:rsid w:val="48923BD2"/>
    <w:rsid w:val="4BD51959"/>
    <w:rsid w:val="4EC54C18"/>
    <w:rsid w:val="4F560D3B"/>
    <w:rsid w:val="4FDF2AC9"/>
    <w:rsid w:val="50CE6E7E"/>
    <w:rsid w:val="526A7705"/>
    <w:rsid w:val="5ECD47F1"/>
    <w:rsid w:val="607C5308"/>
    <w:rsid w:val="64E83A99"/>
    <w:rsid w:val="66C57B14"/>
    <w:rsid w:val="675815C9"/>
    <w:rsid w:val="6C0E5142"/>
    <w:rsid w:val="6CAB56B1"/>
    <w:rsid w:val="709A57A6"/>
    <w:rsid w:val="71BF043C"/>
    <w:rsid w:val="741D2FAD"/>
    <w:rsid w:val="76DB6E4B"/>
    <w:rsid w:val="7800156A"/>
    <w:rsid w:val="787A24CA"/>
    <w:rsid w:val="7A99187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3"/>
    <w:qFormat/>
    <w:locked/>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paragraph" w:styleId="6">
    <w:name w:val="Title"/>
    <w:basedOn w:val="1"/>
    <w:next w:val="1"/>
    <w:link w:val="15"/>
    <w:qFormat/>
    <w:locked/>
    <w:uiPriority w:val="0"/>
    <w:pPr>
      <w:spacing w:before="240" w:beforeLines="0" w:after="60" w:afterLines="0"/>
      <w:jc w:val="center"/>
      <w:outlineLvl w:val="0"/>
    </w:pPr>
    <w:rPr>
      <w:rFonts w:ascii="Cambria" w:hAnsi="Cambria"/>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link w:val="16"/>
    <w:qFormat/>
    <w:uiPriority w:val="34"/>
    <w:pPr>
      <w:numPr>
        <w:ilvl w:val="0"/>
        <w:numId w:val="1"/>
      </w:numPr>
      <w:spacing w:line="288" w:lineRule="auto"/>
    </w:pPr>
    <w:rPr>
      <w:b/>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13">
    <w:name w:val="标题 1 Char"/>
    <w:basedOn w:val="7"/>
    <w:link w:val="2"/>
    <w:qFormat/>
    <w:uiPriority w:val="0"/>
    <w:rPr>
      <w:b/>
      <w:bCs/>
      <w:kern w:val="44"/>
      <w:sz w:val="44"/>
      <w:szCs w:val="44"/>
    </w:rPr>
  </w:style>
  <w:style w:type="character" w:customStyle="1" w:styleId="14">
    <w:name w:val="页眉 Char"/>
    <w:basedOn w:val="7"/>
    <w:link w:val="4"/>
    <w:qFormat/>
    <w:uiPriority w:val="99"/>
    <w:rPr>
      <w:rFonts w:cs="Times New Roman"/>
      <w:sz w:val="18"/>
      <w:szCs w:val="18"/>
    </w:rPr>
  </w:style>
  <w:style w:type="character" w:customStyle="1" w:styleId="15">
    <w:name w:val="标题 Char"/>
    <w:basedOn w:val="7"/>
    <w:link w:val="6"/>
    <w:qFormat/>
    <w:uiPriority w:val="0"/>
    <w:rPr>
      <w:rFonts w:ascii="Cambria" w:hAnsi="Cambria" w:cs="Times New Roman"/>
      <w:b/>
      <w:bCs/>
      <w:kern w:val="2"/>
      <w:sz w:val="32"/>
      <w:szCs w:val="32"/>
    </w:rPr>
  </w:style>
  <w:style w:type="character" w:customStyle="1" w:styleId="16">
    <w:name w:val="列出段落 Char"/>
    <w:basedOn w:val="7"/>
    <w:link w:val="10"/>
    <w:qFormat/>
    <w:uiPriority w:val="34"/>
    <w:rPr>
      <w:b/>
      <w:kern w:val="2"/>
      <w:sz w:val="21"/>
      <w:szCs w:val="22"/>
    </w:rPr>
  </w:style>
  <w:style w:type="character" w:customStyle="1" w:styleId="17">
    <w:name w:val="_Style 15"/>
    <w:basedOn w:val="7"/>
    <w:qFormat/>
    <w:uiPriority w:val="33"/>
    <w:rPr>
      <w:b/>
      <w:bCs/>
      <w:smallCaps/>
      <w:spacing w:val="5"/>
    </w:rPr>
  </w:style>
  <w:style w:type="character" w:customStyle="1" w:styleId="18">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317</Words>
  <Characters>1808</Characters>
  <Lines>15</Lines>
  <Paragraphs>4</Paragraphs>
  <ScaleCrop>false</ScaleCrop>
  <LinksUpToDate>false</LinksUpToDate>
  <CharactersWithSpaces>2121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2014-08-12T06:05:00Z</dcterms:created>
  <dc:creator>雨林木风</dc:creator>
  <cp:lastModifiedBy>601462</cp:lastModifiedBy>
  <dcterms:modified xsi:type="dcterms:W3CDTF">2020-11-23T01:26:24Z</dcterms:modified>
  <dc:title>                                    YS</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