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6"/>
        <w:rPr>
          <w:color w:val="000000" w:themeColor="text1"/>
          <w14:textFill>
            <w14:solidFill>
              <w14:schemeClr w14:val="tx1"/>
            </w14:solidFill>
          </w14:textFill>
        </w:rPr>
      </w:pPr>
      <w:bookmarkStart w:id="0" w:name="SectionMark0"/>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0"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a:effectLst/>
                      </wps:spPr>
                      <wps:bodyPr/>
                    </wps:wsp>
                  </a:graphicData>
                </a:graphic>
              </wp:anchor>
            </w:drawing>
          </mc:Choice>
          <mc:Fallback>
            <w:pict>
              <v:line id="直线 11" o:spid="_x0000_s1026" o:spt="20" style="position:absolute;left:0pt;margin-left:0pt;margin-top:700pt;height:0pt;width:482pt;z-index:251661312;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hqwO9QAAAAKAQAADwAAAAAAAAABACAAAAAiAAAAZHJzL2Rvd25y&#10;ZXYueG1sUEsBAhQAFAAAAAgAh07iQIckpGTJAQAAkgMAAA4AAAAAAAAAAQAgAAAAIwEAAGRycy9l&#10;Mm9Eb2MueG1sUEsFBgAAAAAGAAYAWQEAAF4FAAAAAA==&#10;">
                <v:fill on="f" focussize="0,0"/>
                <v:stroke weight="1pt" color="#FFFFFF"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9" name="直线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a:effectLst/>
                      </wps:spPr>
                      <wps:bodyPr/>
                    </wps:wsp>
                  </a:graphicData>
                </a:graphic>
              </wp:anchor>
            </w:drawing>
          </mc:Choice>
          <mc:Fallback>
            <w:pict>
              <v:line id="直线 10" o:spid="_x0000_s1026" o:spt="20" style="position:absolute;left:0pt;margin-left:0pt;margin-top:179pt;height:0pt;width:482pt;z-index:251660288;mso-width-relative:page;mso-height-relative:page;" filled="f" stroked="t" coordsize="21600,21600"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si7QF1gAAAAgBAAAPAAAAAAAAAAEAIAAAACIAAABkcnMvZG93&#10;bnJldi54bWxQSwECFAAUAAAACACHTuJA7xSJE8kBAACRAwAADgAAAAAAAAABACAAAAAlAQAAZHJz&#10;L2Uyb0RvYy54bWxQSwUGAAAAAAYABgBZAQAAYAUAAAAA&#10;">
                <v:fill on="f" focussize="0,0"/>
                <v:stroke weight="1pt" color="#FFFFFF"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9108440</wp:posOffset>
                </wp:positionV>
                <wp:extent cx="6120130" cy="363220"/>
                <wp:effectExtent l="0" t="0" r="13970" b="17780"/>
                <wp:wrapNone/>
                <wp:docPr id="8"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w="9525">
                          <a:noFill/>
                          <a:miter/>
                        </a:ln>
                        <a:effectLst/>
                      </wps:spPr>
                      <wps:txbx>
                        <w:txbxContent>
                          <w:p>
                            <w:pPr>
                              <w:pStyle w:val="93"/>
                            </w:pPr>
                            <w:r>
                              <w:rPr>
                                <w:rFonts w:hint="eastAsia"/>
                              </w:rPr>
                              <w:t>中华人民共和国工业和信息化部</w:t>
                            </w:r>
                            <w:r>
                              <w:rPr>
                                <w:rStyle w:val="65"/>
                                <w:rFonts w:hint="eastAsia"/>
                              </w:rPr>
                              <w:t>发布</w:t>
                            </w:r>
                          </w:p>
                        </w:txbxContent>
                      </wps:txbx>
                      <wps:bodyPr lIns="0" tIns="0" rIns="0" bIns="0" upright="1"/>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59264;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JVgbr2AAAAAoBAAAPAAAAAAAAAAEAIAAAACIAAABkcnMvZG93bnJldi54bWxQSwECFAAUAAAA&#10;CACHTuJAerRMjbUBAABrAwAADgAAAAAAAAABACAAAAAnAQAAZHJzL2Uyb0RvYy54bWxQSwUGAAAA&#10;AAYABgBZAQAATgUAAAAA&#10;">
                <v:fill on="t" focussize="0,0"/>
                <v:stroke on="f" joinstyle="miter"/>
                <v:imagedata o:title=""/>
                <o:lock v:ext="edit" aspectratio="f"/>
                <v:textbox inset="0mm,0mm,0mm,0mm">
                  <w:txbxContent>
                    <w:p>
                      <w:pPr>
                        <w:pStyle w:val="93"/>
                      </w:pPr>
                      <w:r>
                        <w:rPr>
                          <w:rFonts w:hint="eastAsia"/>
                        </w:rPr>
                        <w:t>中华人民共和国工业和信息化部</w:t>
                      </w:r>
                      <w:r>
                        <w:rPr>
                          <w:rStyle w:val="65"/>
                          <w:rFonts w:hint="eastAsia"/>
                        </w:rPr>
                        <w:t>发布</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8240"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w="9525">
                          <a:noFill/>
                          <a:miter/>
                        </a:ln>
                        <a:effectLst/>
                      </wps:spPr>
                      <wps:txbx>
                        <w:txbxContent>
                          <w:p>
                            <w:pPr>
                              <w:pStyle w:val="96"/>
                            </w:pPr>
                            <w:r>
                              <w:rPr>
                                <w:rFonts w:hint="eastAsia"/>
                              </w:rPr>
                              <w:t>××××-××-××实施</w:t>
                            </w:r>
                          </w:p>
                        </w:txbxContent>
                      </wps:txbx>
                      <wps:bodyPr lIns="0" tIns="0" rIns="0" bIns="0" upright="1"/>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5824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C/arX2gAAAA0BAAAPAAAAAAAAAAEAIAAAACIAAABkcnMvZG93bnJldi54bWxQSwECFAAU&#10;AAAACACHTuJAgh+RJ7YBAABrAwAADgAAAAAAAAABACAAAAApAQAAZHJzL2Uyb0RvYy54bWxQSwUG&#10;AAAAAAYABgBZAQAAUQUAAAAA&#10;">
                <v:fill on="t" focussize="0,0"/>
                <v:stroke on="f" joinstyle="miter"/>
                <v:imagedata o:title=""/>
                <o:lock v:ext="edit" aspectratio="f"/>
                <v:textbox inset="0mm,0mm,0mm,0mm">
                  <w:txbxContent>
                    <w:p>
                      <w:pPr>
                        <w:pStyle w:val="96"/>
                      </w:pPr>
                      <w:r>
                        <w:rPr>
                          <w:rFonts w:hint="eastAsia"/>
                        </w:rPr>
                        <w:t>××××-××-××实施</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6"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w="9525">
                          <a:noFill/>
                          <a:miter/>
                        </a:ln>
                        <a:effectLst/>
                      </wps:spPr>
                      <wps:txbx>
                        <w:txbxContent>
                          <w:p>
                            <w:pPr>
                              <w:pStyle w:val="67"/>
                            </w:pPr>
                            <w:r>
                              <w:rPr>
                                <w:rFonts w:hint="eastAsia"/>
                              </w:rPr>
                              <w:t>××××-××-××发布</w:t>
                            </w:r>
                          </w:p>
                        </w:txbxContent>
                      </wps:txbx>
                      <wps:bodyPr lIns="0" tIns="0" rIns="0" bIns="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5721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zbKiNgAAAAKAQAADwAAAAAAAAABACAAAAAiAAAAZHJzL2Rvd25yZXYueG1sUEsBAhQAFAAA&#10;AAgAh07iQKSZBiu2AQAAawMAAA4AAAAAAAAAAQAgAAAAJwEAAGRycy9lMm9Eb2MueG1sUEsFBgAA&#10;AAAGAAYAWQEAAE8FAAAAAA==&#10;">
                <v:fill on="t" focussize="0,0"/>
                <v:stroke on="f" joinstyle="miter"/>
                <v:imagedata o:title=""/>
                <o:lock v:ext="edit" aspectratio="f"/>
                <v:textbox inset="0mm,0mm,0mm,0mm">
                  <w:txbxContent>
                    <w:p>
                      <w:pPr>
                        <w:pStyle w:val="67"/>
                      </w:pPr>
                      <w:r>
                        <w:rPr>
                          <w:rFonts w:hint="eastAsia"/>
                        </w:rPr>
                        <w:t>××××-××-××发布</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6192" behindDoc="0" locked="1" layoutInCell="1" allowOverlap="1">
                <wp:simplePos x="0" y="0"/>
                <wp:positionH relativeFrom="margin">
                  <wp:posOffset>66675</wp:posOffset>
                </wp:positionH>
                <wp:positionV relativeFrom="margin">
                  <wp:posOffset>2971800</wp:posOffset>
                </wp:positionV>
                <wp:extent cx="6000750" cy="4853940"/>
                <wp:effectExtent l="0" t="0" r="0" b="3810"/>
                <wp:wrapNone/>
                <wp:docPr id="5" name="fmFrame4"/>
                <wp:cNvGraphicFramePr/>
                <a:graphic xmlns:a="http://schemas.openxmlformats.org/drawingml/2006/main">
                  <a:graphicData uri="http://schemas.microsoft.com/office/word/2010/wordprocessingShape">
                    <wps:wsp>
                      <wps:cNvSpPr txBox="1"/>
                      <wps:spPr>
                        <a:xfrm>
                          <a:off x="0" y="0"/>
                          <a:ext cx="6000750" cy="4853940"/>
                        </a:xfrm>
                        <a:prstGeom prst="rect">
                          <a:avLst/>
                        </a:prstGeom>
                        <a:solidFill>
                          <a:srgbClr val="FFFFFF"/>
                        </a:solidFill>
                        <a:ln w="9525">
                          <a:noFill/>
                          <a:miter/>
                        </a:ln>
                        <a:effectLst/>
                      </wps:spPr>
                      <wps:txbx>
                        <w:txbxContent>
                          <w:p>
                            <w:pPr>
                              <w:pStyle w:val="32"/>
                              <w:spacing w:line="680" w:lineRule="exact"/>
                              <w:jc w:val="center"/>
                            </w:pPr>
                            <w:r>
                              <w:rPr>
                                <w:rFonts w:hint="eastAsia" w:ascii="黑体" w:eastAsia="黑体"/>
                                <w:kern w:val="0"/>
                                <w:sz w:val="52"/>
                                <w:szCs w:val="20"/>
                              </w:rPr>
                              <w:t>磷酸锂</w:t>
                            </w:r>
                          </w:p>
                          <w:p>
                            <w:pPr>
                              <w:pStyle w:val="32"/>
                              <w:spacing w:before="370" w:line="400" w:lineRule="exact"/>
                              <w:jc w:val="center"/>
                            </w:pPr>
                            <w:r>
                              <w:rPr>
                                <w:rFonts w:eastAsia="黑体"/>
                                <w:kern w:val="0"/>
                                <w:sz w:val="28"/>
                                <w:szCs w:val="28"/>
                              </w:rPr>
                              <w:t>Lithium phosphate</w:t>
                            </w:r>
                          </w:p>
                          <w:p>
                            <w:pPr>
                              <w:pStyle w:val="60"/>
                              <w:ind w:firstLine="420"/>
                            </w:pPr>
                          </w:p>
                          <w:p>
                            <w:pPr>
                              <w:pStyle w:val="72"/>
                            </w:pPr>
                            <w:r>
                              <w:rPr>
                                <w:rFonts w:hint="eastAsia"/>
                              </w:rPr>
                              <w:t>（</w:t>
                            </w:r>
                            <w:r>
                              <w:rPr>
                                <w:rFonts w:hint="eastAsia"/>
                                <w:lang w:eastAsia="zh-CN"/>
                              </w:rPr>
                              <w:t>预审</w:t>
                            </w:r>
                            <w:r>
                              <w:rPr>
                                <w:rFonts w:hint="eastAsia"/>
                              </w:rPr>
                              <w:t>稿）</w:t>
                            </w:r>
                          </w:p>
                        </w:txbxContent>
                      </wps:txbx>
                      <wps:bodyPr lIns="0" tIns="0" rIns="0" bIns="0" upright="1"/>
                    </wps:wsp>
                  </a:graphicData>
                </a:graphic>
              </wp:anchor>
            </w:drawing>
          </mc:Choice>
          <mc:Fallback>
            <w:pict>
              <v:shape id="fmFrame4" o:spid="_x0000_s1026" o:spt="202" type="#_x0000_t202" style="position:absolute;left:0pt;margin-left:5.25pt;margin-top:234pt;height:382.2pt;width:472.5pt;mso-position-horizontal-relative:margin;mso-position-vertical-relative:margin;z-index:251656192;mso-width-relative:page;mso-height-relative:page;" fillcolor="#FFFFFF" filled="t" stroked="f" coordsize="21600,21600" o:gfxdata="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F7TKNkAAAALAQAADwAAAAAAAAABACAAAAAiAAAAZHJzL2Rvd25yZXYueG1sUEsBAhQA&#10;FAAAAAgAh07iQM5z9hW4AQAAbAMAAA4AAAAAAAAAAQAgAAAAKAEAAGRycy9lMm9Eb2MueG1sUEsF&#10;BgAAAAAGAAYAWQEAAFIFAAAAAA==&#10;">
                <v:fill on="t" focussize="0,0"/>
                <v:stroke on="f" joinstyle="miter"/>
                <v:imagedata o:title=""/>
                <o:lock v:ext="edit" aspectratio="f"/>
                <v:textbox inset="0mm,0mm,0mm,0mm">
                  <w:txbxContent>
                    <w:p>
                      <w:pPr>
                        <w:pStyle w:val="32"/>
                        <w:spacing w:line="680" w:lineRule="exact"/>
                        <w:jc w:val="center"/>
                      </w:pPr>
                      <w:r>
                        <w:rPr>
                          <w:rFonts w:hint="eastAsia" w:ascii="黑体" w:eastAsia="黑体"/>
                          <w:kern w:val="0"/>
                          <w:sz w:val="52"/>
                          <w:szCs w:val="20"/>
                        </w:rPr>
                        <w:t>磷酸锂</w:t>
                      </w:r>
                    </w:p>
                    <w:p>
                      <w:pPr>
                        <w:pStyle w:val="32"/>
                        <w:spacing w:before="370" w:line="400" w:lineRule="exact"/>
                        <w:jc w:val="center"/>
                      </w:pPr>
                      <w:r>
                        <w:rPr>
                          <w:rFonts w:eastAsia="黑体"/>
                          <w:kern w:val="0"/>
                          <w:sz w:val="28"/>
                          <w:szCs w:val="28"/>
                        </w:rPr>
                        <w:t>Lithium phosphate</w:t>
                      </w:r>
                    </w:p>
                    <w:p>
                      <w:pPr>
                        <w:pStyle w:val="60"/>
                        <w:ind w:firstLine="420"/>
                      </w:pPr>
                    </w:p>
                    <w:p>
                      <w:pPr>
                        <w:pStyle w:val="72"/>
                      </w:pPr>
                      <w:r>
                        <w:rPr>
                          <w:rFonts w:hint="eastAsia"/>
                        </w:rPr>
                        <w:t>（</w:t>
                      </w:r>
                      <w:r>
                        <w:rPr>
                          <w:rFonts w:hint="eastAsia"/>
                          <w:lang w:eastAsia="zh-CN"/>
                        </w:rPr>
                        <w:t>预审</w:t>
                      </w:r>
                      <w:r>
                        <w:rPr>
                          <w:rFonts w:hint="eastAsia"/>
                        </w:rPr>
                        <w:t>稿）</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5168" behindDoc="0" locked="1" layoutInCell="1" allowOverlap="1">
                <wp:simplePos x="0" y="0"/>
                <wp:positionH relativeFrom="margin">
                  <wp:posOffset>0</wp:posOffset>
                </wp:positionH>
                <wp:positionV relativeFrom="margin">
                  <wp:posOffset>1401445</wp:posOffset>
                </wp:positionV>
                <wp:extent cx="6134100" cy="860425"/>
                <wp:effectExtent l="0" t="0" r="0" b="15875"/>
                <wp:wrapNone/>
                <wp:docPr id="4" name="fmFrame3"/>
                <wp:cNvGraphicFramePr/>
                <a:graphic xmlns:a="http://schemas.openxmlformats.org/drawingml/2006/main">
                  <a:graphicData uri="http://schemas.microsoft.com/office/word/2010/wordprocessingShape">
                    <wps:wsp>
                      <wps:cNvSpPr txBox="1"/>
                      <wps:spPr>
                        <a:xfrm>
                          <a:off x="0" y="0"/>
                          <a:ext cx="6134100" cy="860425"/>
                        </a:xfrm>
                        <a:prstGeom prst="rect">
                          <a:avLst/>
                        </a:prstGeom>
                        <a:solidFill>
                          <a:srgbClr val="FFFFFF"/>
                        </a:solidFill>
                        <a:ln w="9525">
                          <a:noFill/>
                          <a:miter/>
                        </a:ln>
                        <a:effectLst/>
                      </wps:spPr>
                      <wps:txbx>
                        <w:txbxContent>
                          <w:p>
                            <w:pPr>
                              <w:pStyle w:val="69"/>
                            </w:pPr>
                            <w:r>
                              <w:rPr>
                                <w:rFonts w:hint="eastAsia"/>
                              </w:rPr>
                              <w:t>YS</w:t>
                            </w:r>
                            <w:r>
                              <w:t xml:space="preserve">/T </w:t>
                            </w:r>
                            <w:r>
                              <w:rPr>
                                <w:rFonts w:hint="eastAsia"/>
                              </w:rPr>
                              <w:t>637</w:t>
                            </w:r>
                            <w:r>
                              <w:t>—</w:t>
                            </w:r>
                            <w:r>
                              <w:rPr>
                                <w:rFonts w:hint="eastAsia"/>
                              </w:rPr>
                              <w:t>202X</w:t>
                            </w:r>
                          </w:p>
                          <w:p>
                            <w:pPr>
                              <w:pStyle w:val="68"/>
                            </w:pPr>
                          </w:p>
                        </w:txbxContent>
                      </wps:txbx>
                      <wps:bodyPr lIns="0" tIns="0" rIns="0" bIns="0" upright="1"/>
                    </wps:wsp>
                  </a:graphicData>
                </a:graphic>
              </wp:anchor>
            </w:drawing>
          </mc:Choice>
          <mc:Fallback>
            <w:pict>
              <v:shape id="fmFrame3" o:spid="_x0000_s1026" o:spt="202" type="#_x0000_t202" style="position:absolute;left:0pt;margin-left:0pt;margin-top:110.35pt;height:67.75pt;width:483pt;mso-position-horizontal-relative:margin;mso-position-vertical-relative:margin;z-index:251655168;mso-width-relative:page;mso-height-relative:page;" fillcolor="#FFFFFF" filled="t" stroked="f" coordsize="21600,21600" o:gfxdata="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D7QHfXAAAACAEAAA8AAAAAAAAAAQAgAAAAIgAAAGRycy9kb3ducmV2LnhtbFBLAQIUABQAAAAI&#10;AIdO4kDIEEzHtQEAAGsDAAAOAAAAAAAAAAEAIAAAACYBAABkcnMvZTJvRG9jLnhtbFBLBQYAAAAA&#10;BgAGAFkBAABNBQAAAAA=&#10;">
                <v:fill on="t" focussize="0,0"/>
                <v:stroke on="f" joinstyle="miter"/>
                <v:imagedata o:title=""/>
                <o:lock v:ext="edit" aspectratio="f"/>
                <v:textbox inset="0mm,0mm,0mm,0mm">
                  <w:txbxContent>
                    <w:p>
                      <w:pPr>
                        <w:pStyle w:val="69"/>
                      </w:pPr>
                      <w:r>
                        <w:rPr>
                          <w:rFonts w:hint="eastAsia"/>
                        </w:rPr>
                        <w:t>YS</w:t>
                      </w:r>
                      <w:r>
                        <w:t xml:space="preserve">/T </w:t>
                      </w:r>
                      <w:r>
                        <w:rPr>
                          <w:rFonts w:hint="eastAsia"/>
                        </w:rPr>
                        <w:t>637</w:t>
                      </w:r>
                      <w:r>
                        <w:t>—</w:t>
                      </w:r>
                      <w:r>
                        <w:rPr>
                          <w:rFonts w:hint="eastAsia"/>
                        </w:rPr>
                        <w:t>202X</w:t>
                      </w:r>
                    </w:p>
                    <w:p>
                      <w:pPr>
                        <w:pStyle w:val="68"/>
                      </w:pP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4144"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3"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w="9525">
                          <a:noFill/>
                          <a:miter/>
                        </a:ln>
                        <a:effectLst/>
                      </wps:spPr>
                      <wps:txbx>
                        <w:txbxContent>
                          <w:p>
                            <w:pPr>
                              <w:pStyle w:val="51"/>
                            </w:pPr>
                            <w:r>
                              <w:t>YS</w:t>
                            </w:r>
                          </w:p>
                        </w:txbxContent>
                      </wps:txbx>
                      <wps:bodyPr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54144;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Vk7PNgAAAAKAQAADwAAAAAAAAABACAAAAAiAAAAZHJzL2Rvd25yZXYueG1sUEsBAhQAFAAA&#10;AAgAh07iQPGC3I+2AQAAawMAAA4AAAAAAAAAAQAgAAAAJwEAAGRycy9lMm9Eb2MueG1sUEsFBgAA&#10;AAAGAAYAWQEAAE8FAAAAAA==&#10;">
                <v:fill on="t" focussize="0,0"/>
                <v:stroke on="f" joinstyle="miter"/>
                <v:imagedata o:title=""/>
                <o:lock v:ext="edit" aspectratio="f"/>
                <v:textbox inset="0mm,0mm,0mm,0mm">
                  <w:txbxContent>
                    <w:p>
                      <w:pPr>
                        <w:pStyle w:val="51"/>
                      </w:pPr>
                      <w:r>
                        <w:t>YS</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w="9525">
                          <a:noFill/>
                          <a:miter/>
                        </a:ln>
                        <a:effectLst/>
                      </wps:spPr>
                      <wps:txbx>
                        <w:txbxContent>
                          <w:p>
                            <w:pPr>
                              <w:pStyle w:val="92"/>
                            </w:pPr>
                            <w:r>
                              <w:rPr>
                                <w:rFonts w:hint="eastAsia"/>
                              </w:rPr>
                              <w:t>中华人民共和国有色金属行业标准</w:t>
                            </w:r>
                          </w:p>
                        </w:txbxContent>
                      </wps:txbx>
                      <wps:bodyPr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3120;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GDkcF1wAAAAgBAAAPAAAAAAAAAAEAIAAAACIAAABkcnMvZG93bnJldi54bWxQSwECFAAUAAAA&#10;CACHTuJAAMzZP7YBAABrAwAADgAAAAAAAAABACAAAAAmAQAAZHJzL2Uyb0RvYy54bWxQSwUGAAAA&#10;AAYABgBZAQAATgUAAAAA&#10;">
                <v:fill on="t" focussize="0,0"/>
                <v:stroke on="f" joinstyle="miter"/>
                <v:imagedata o:title=""/>
                <o:lock v:ext="edit" aspectratio="f"/>
                <v:textbox inset="0mm,0mm,0mm,0mm">
                  <w:txbxContent>
                    <w:p>
                      <w:pPr>
                        <w:pStyle w:val="92"/>
                      </w:pPr>
                      <w:r>
                        <w:rPr>
                          <w:rFonts w:hint="eastAsia"/>
                        </w:rPr>
                        <w:t>中华人民共和国有色金属行业标准</w:t>
                      </w:r>
                    </w:p>
                  </w:txbxContent>
                </v:textbox>
                <w10:anchorlock/>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2096"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w="9525">
                          <a:noFill/>
                          <a:miter/>
                        </a:ln>
                        <a:effectLst/>
                      </wps:spPr>
                      <wps:txbx>
                        <w:txbxContent>
                          <w:p>
                            <w:pPr>
                              <w:rPr>
                                <w:rFonts w:ascii="黑体" w:hAnsi="宋体" w:eastAsia="黑体"/>
                              </w:rPr>
                            </w:pPr>
                            <w:r>
                              <w:rPr>
                                <w:rFonts w:hint="eastAsia" w:ascii="黑体" w:eastAsia="黑体"/>
                              </w:rPr>
                              <w:t xml:space="preserve"> ICS 77.150.99</w:t>
                            </w:r>
                          </w:p>
                          <w:p>
                            <w:pPr>
                              <w:pStyle w:val="103"/>
                              <w:rPr>
                                <w:rFonts w:ascii="黑体"/>
                              </w:rPr>
                            </w:pPr>
                            <w:r>
                              <w:rPr>
                                <w:rFonts w:hint="eastAsia" w:ascii="黑体"/>
                              </w:rPr>
                              <w:t xml:space="preserve"> H 63</w:t>
                            </w:r>
                          </w:p>
                          <w:p>
                            <w:pPr>
                              <w:pStyle w:val="103"/>
                            </w:pPr>
                          </w:p>
                        </w:txbxContent>
                      </wps:txbx>
                      <wps:bodyPr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2096;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ezL&#10;4NMAAAAFAQAADwAAAAAAAAABACAAAAAiAAAAZHJzL2Rvd25yZXYueG1sUEsBAhQAFAAAAAgAh07i&#10;QIbAEg21AQAAawMAAA4AAAAAAAAAAQAgAAAAIgEAAGRycy9lMm9Eb2MueG1sUEsFBgAAAAAGAAYA&#10;WQEAAEkFAAAAAA==&#10;">
                <v:fill on="t" focussize="0,0"/>
                <v:stroke on="f" joinstyle="miter"/>
                <v:imagedata o:title=""/>
                <o:lock v:ext="edit" aspectratio="f"/>
                <v:textbox inset="0mm,0mm,0mm,0mm">
                  <w:txbxContent>
                    <w:p>
                      <w:pPr>
                        <w:rPr>
                          <w:rFonts w:ascii="黑体" w:hAnsi="宋体" w:eastAsia="黑体"/>
                        </w:rPr>
                      </w:pPr>
                      <w:r>
                        <w:rPr>
                          <w:rFonts w:hint="eastAsia" w:ascii="黑体" w:eastAsia="黑体"/>
                        </w:rPr>
                        <w:t xml:space="preserve"> ICS 77.150.99</w:t>
                      </w:r>
                    </w:p>
                    <w:p>
                      <w:pPr>
                        <w:pStyle w:val="103"/>
                        <w:rPr>
                          <w:rFonts w:ascii="黑体"/>
                        </w:rPr>
                      </w:pPr>
                      <w:r>
                        <w:rPr>
                          <w:rFonts w:hint="eastAsia" w:ascii="黑体"/>
                        </w:rPr>
                        <w:t xml:space="preserve"> H 63</w:t>
                      </w:r>
                    </w:p>
                    <w:p>
                      <w:pPr>
                        <w:pStyle w:val="103"/>
                      </w:pPr>
                    </w:p>
                  </w:txbxContent>
                </v:textbox>
                <w10:anchorlock/>
              </v:shape>
            </w:pict>
          </mc:Fallback>
        </mc:AlternateConten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87630</wp:posOffset>
                </wp:positionH>
                <wp:positionV relativeFrom="paragraph">
                  <wp:posOffset>142875</wp:posOffset>
                </wp:positionV>
                <wp:extent cx="6000750" cy="0"/>
                <wp:effectExtent l="0" t="0" r="0" b="0"/>
                <wp:wrapNone/>
                <wp:docPr id="11" name="自选图形 13"/>
                <wp:cNvGraphicFramePr/>
                <a:graphic xmlns:a="http://schemas.openxmlformats.org/drawingml/2006/main">
                  <a:graphicData uri="http://schemas.microsoft.com/office/word/2010/wordprocessingShape">
                    <wps:wsp>
                      <wps:cNvCnPr/>
                      <wps:spPr>
                        <a:xfrm>
                          <a:off x="0" y="0"/>
                          <a:ext cx="6000750" cy="0"/>
                        </a:xfrm>
                        <a:prstGeom prst="straightConnector1">
                          <a:avLst/>
                        </a:prstGeom>
                        <a:ln w="15875" cap="flat" cmpd="sng">
                          <a:solidFill>
                            <a:srgbClr val="000000"/>
                          </a:solidFill>
                          <a:prstDash val="solid"/>
                          <a:headEnd type="none" w="med" len="med"/>
                          <a:tailEnd type="none" w="med" len="med"/>
                        </a:ln>
                        <a:effectLst/>
                      </wps:spPr>
                      <wps:bodyPr/>
                    </wps:wsp>
                  </a:graphicData>
                </a:graphic>
              </wp:anchor>
            </w:drawing>
          </mc:Choice>
          <mc:Fallback>
            <w:pict>
              <v:shape id="自选图形 13" o:spid="_x0000_s1026" o:spt="32" type="#_x0000_t32" style="position:absolute;left:0pt;margin-left:6.9pt;margin-top:11.25pt;height:0pt;width:472.5pt;z-index:251662336;mso-width-relative:page;mso-height-relative:page;" filled="f" stroked="t" coordsize="21600,21600" o:gfxdata="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dnIhfVAAAACAEAAA8A&#10;AAAAAAAAAQAgAAAAIgAAAGRycy9kb3ducmV2LnhtbFBLAQIUABQAAAAIAIdO4kAktEX34QEAAKYD&#10;AAAOAAAAAAAAAAEAIAAAACQBAABkcnMvZTJvRG9jLnhtbFBLBQYAAAAABgAGAFkBAAB3BQAAAAA=&#10;">
                <v:fill on="f" focussize="0,0"/>
                <v:stroke weight="1.25pt" color="#000000" joinstyle="round"/>
                <v:imagedata o:title=""/>
                <o:lock v:ext="edit" aspectratio="f"/>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3945"/>
        </w:tabs>
        <w:rPr>
          <w:color w:val="000000" w:themeColor="text1"/>
          <w14:textFill>
            <w14:solidFill>
              <w14:schemeClr w14:val="tx1"/>
            </w14:solidFill>
          </w14:textFill>
        </w:rPr>
      </w:pPr>
      <w:r>
        <w:rPr>
          <w:color w:val="000000" w:themeColor="text1"/>
          <w14:textFill>
            <w14:solidFill>
              <w14:schemeClr w14:val="tx1"/>
            </w14:solidFill>
          </w14:textFill>
        </w:rPr>
        <w:tab/>
      </w: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5654040</wp:posOffset>
                </wp:positionV>
                <wp:extent cx="6000750" cy="0"/>
                <wp:effectExtent l="0" t="0" r="0" b="0"/>
                <wp:wrapNone/>
                <wp:docPr id="12" name="自选图形 14"/>
                <wp:cNvGraphicFramePr/>
                <a:graphic xmlns:a="http://schemas.openxmlformats.org/drawingml/2006/main">
                  <a:graphicData uri="http://schemas.microsoft.com/office/word/2010/wordprocessingShape">
                    <wps:wsp>
                      <wps:cNvCnPr/>
                      <wps:spPr>
                        <a:xfrm>
                          <a:off x="0" y="0"/>
                          <a:ext cx="6000750" cy="0"/>
                        </a:xfrm>
                        <a:prstGeom prst="straightConnector1">
                          <a:avLst/>
                        </a:prstGeom>
                        <a:ln w="15875" cap="flat" cmpd="sng">
                          <a:solidFill>
                            <a:srgbClr val="000000"/>
                          </a:solidFill>
                          <a:prstDash val="solid"/>
                          <a:headEnd type="none" w="med" len="med"/>
                          <a:tailEnd type="none" w="med" len="med"/>
                        </a:ln>
                        <a:effectLst/>
                      </wps:spPr>
                      <wps:bodyPr/>
                    </wps:wsp>
                  </a:graphicData>
                </a:graphic>
              </wp:anchor>
            </w:drawing>
          </mc:Choice>
          <mc:Fallback>
            <w:pict>
              <v:shape id="自选图形 14" o:spid="_x0000_s1026" o:spt="32" type="#_x0000_t32" style="position:absolute;left:0pt;margin-left:5.4pt;margin-top:445.2pt;height:0pt;width:472.5pt;z-index:251663360;mso-width-relative:page;mso-height-relative:page;" filled="f" stroked="t" coordsize="21600,21600" o:gfxdata="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0fHzt1gAAAAoBAAAP&#10;AAAAAAAAAAEAIAAAACIAAABkcnMvZG93bnJldi54bWxQSwECFAAUAAAACACHTuJAuPiOVeEBAACm&#10;AwAADgAAAAAAAAABACAAAAAlAQAAZHJzL2Uyb0RvYy54bWxQSwUGAAAAAAYABgBZAQAAeAUAAAAA&#10;">
                <v:fill on="f" focussize="0,0"/>
                <v:stroke weight="1.25pt" color="#000000" joinstyle="round"/>
                <v:imagedata o:title=""/>
                <o:lock v:ext="edit" aspectratio="f"/>
              </v:shape>
            </w:pict>
          </mc:Fallback>
        </mc:AlternateContent>
      </w:r>
    </w:p>
    <w:p>
      <w:pPr>
        <w:rPr>
          <w:color w:val="000000" w:themeColor="text1"/>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p>
    <w:bookmarkEnd w:id="0"/>
    <w:p>
      <w:pPr>
        <w:pStyle w:val="58"/>
        <w:rPr>
          <w:color w:val="000000" w:themeColor="text1"/>
          <w14:textFill>
            <w14:solidFill>
              <w14:schemeClr w14:val="tx1"/>
            </w14:solidFill>
          </w14:textFill>
        </w:rPr>
      </w:pPr>
      <w:bookmarkStart w:id="1" w:name="SectionMark2"/>
      <w:r>
        <w:rPr>
          <w:rFonts w:hint="eastAsia"/>
          <w:color w:val="000000" w:themeColor="text1"/>
          <w14:textFill>
            <w14:solidFill>
              <w14:schemeClr w14:val="tx1"/>
            </w14:solidFill>
          </w14:textFill>
        </w:rPr>
        <w:t>前    言</w:t>
      </w:r>
    </w:p>
    <w:p>
      <w:pPr>
        <w:pStyle w:val="60"/>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本文件按照GB/T 1.1-2020《标准化工导则 第一部分：标准化文件的结构和起草规则》的规定起草。</w:t>
      </w:r>
    </w:p>
    <w:p>
      <w:pPr>
        <w:spacing w:line="360" w:lineRule="auto"/>
        <w:ind w:firstLine="420"/>
        <w:rPr>
          <w:rFonts w:ascii="宋体" w:hAnsi="宋体"/>
          <w:color w:val="000000" w:themeColor="text1"/>
          <w:spacing w:val="-2"/>
          <w14:textFill>
            <w14:solidFill>
              <w14:schemeClr w14:val="tx1"/>
            </w14:solidFill>
          </w14:textFill>
        </w:rPr>
      </w:pPr>
      <w:r>
        <w:rPr>
          <w:rFonts w:hint="eastAsia" w:ascii="宋体" w:hAnsi="宋体"/>
          <w:color w:val="000000" w:themeColor="text1"/>
          <w:spacing w:val="-2"/>
          <w14:textFill>
            <w14:solidFill>
              <w14:schemeClr w14:val="tx1"/>
            </w14:solidFill>
          </w14:textFill>
        </w:rPr>
        <w:t>本标准代替YS/T637-2007《彩色荧光粉用磷酸锂》。与</w:t>
      </w:r>
      <w:r>
        <w:rPr>
          <w:rFonts w:ascii="宋体" w:hAnsi="宋体"/>
          <w:color w:val="000000" w:themeColor="text1"/>
          <w:spacing w:val="-2"/>
          <w14:textFill>
            <w14:solidFill>
              <w14:schemeClr w14:val="tx1"/>
            </w14:solidFill>
          </w14:textFill>
        </w:rPr>
        <w:t>YS/T637-2007</w:t>
      </w:r>
      <w:r>
        <w:rPr>
          <w:rFonts w:hint="eastAsia" w:ascii="宋体" w:hAnsi="宋体"/>
          <w:color w:val="000000" w:themeColor="text1"/>
          <w:spacing w:val="-2"/>
          <w14:textFill>
            <w14:solidFill>
              <w14:schemeClr w14:val="tx1"/>
            </w14:solidFill>
          </w14:textFill>
        </w:rPr>
        <w:t>相比，除结构调整和编辑性改动外，主要技术变化如下：</w:t>
      </w:r>
    </w:p>
    <w:p>
      <w:pPr>
        <w:spacing w:line="360" w:lineRule="auto"/>
        <w:ind w:firstLine="420"/>
        <w:rPr>
          <w:rFonts w:ascii="宋体" w:hAnsi="宋体"/>
          <w:color w:val="000000" w:themeColor="text1"/>
          <w:spacing w:val="-2"/>
          <w14:textFill>
            <w14:solidFill>
              <w14:schemeClr w14:val="tx1"/>
            </w14:solidFill>
          </w14:textFill>
        </w:rPr>
      </w:pPr>
      <w:r>
        <w:rPr>
          <w:rFonts w:ascii="宋体" w:hAnsi="宋体"/>
          <w:color w:val="000000" w:themeColor="text1"/>
          <w:spacing w:val="-2"/>
          <w14:textFill>
            <w14:solidFill>
              <w14:schemeClr w14:val="tx1"/>
            </w14:solidFill>
          </w14:textFill>
        </w:rPr>
        <w:t>a)</w:t>
      </w:r>
      <w:r>
        <w:rPr>
          <w:rFonts w:hint="eastAsia" w:ascii="宋体" w:hAnsi="宋体"/>
          <w:color w:val="000000" w:themeColor="text1"/>
          <w:spacing w:val="-2"/>
          <w14:textFill>
            <w14:solidFill>
              <w14:schemeClr w14:val="tx1"/>
            </w14:solidFill>
          </w14:textFill>
        </w:rPr>
        <w:t>修改了标准名称，将彩色荧光粉用磷酸锂修改成磷酸锂(见标准名称，2007版标准名称</w:t>
      </w:r>
      <w:r>
        <w:rPr>
          <w:rFonts w:ascii="宋体" w:hAnsi="宋体"/>
          <w:color w:val="000000" w:themeColor="text1"/>
          <w:spacing w:val="-2"/>
          <w14:textFill>
            <w14:solidFill>
              <w14:schemeClr w14:val="tx1"/>
            </w14:solidFill>
          </w14:textFill>
        </w:rPr>
        <w:t>)</w:t>
      </w:r>
      <w:r>
        <w:rPr>
          <w:rFonts w:hint="eastAsia" w:ascii="宋体" w:hAnsi="宋体"/>
          <w:color w:val="000000" w:themeColor="text1"/>
          <w:spacing w:val="-2"/>
          <w14:textFill>
            <w14:solidFill>
              <w14:schemeClr w14:val="tx1"/>
            </w14:solidFill>
          </w14:textFill>
        </w:rPr>
        <w:t>；</w:t>
      </w:r>
    </w:p>
    <w:p>
      <w:pPr>
        <w:spacing w:line="360" w:lineRule="auto"/>
        <w:ind w:firstLine="420"/>
        <w:rPr>
          <w:rFonts w:ascii="宋体" w:hAnsi="宋体"/>
          <w:color w:val="000000" w:themeColor="text1"/>
          <w:spacing w:val="-2"/>
          <w14:textFill>
            <w14:solidFill>
              <w14:schemeClr w14:val="tx1"/>
            </w14:solidFill>
          </w14:textFill>
        </w:rPr>
      </w:pPr>
      <w:r>
        <w:rPr>
          <w:rFonts w:ascii="宋体" w:hAnsi="宋体"/>
          <w:color w:val="000000" w:themeColor="text1"/>
          <w:spacing w:val="-2"/>
          <w14:textFill>
            <w14:solidFill>
              <w14:schemeClr w14:val="tx1"/>
            </w14:solidFill>
          </w14:textFill>
        </w:rPr>
        <w:t>b)</w:t>
      </w:r>
      <w:r>
        <w:rPr>
          <w:rFonts w:hint="eastAsia" w:ascii="宋体" w:hAnsi="宋体"/>
          <w:color w:val="000000" w:themeColor="text1"/>
          <w:spacing w:val="-2"/>
          <w14:textFill>
            <w14:solidFill>
              <w14:schemeClr w14:val="tx1"/>
            </w14:solidFill>
          </w14:textFill>
        </w:rPr>
        <w:t>增加了原料范围，增加了以废旧锂离子电池及含锂废料、废液等为原料生产的磷酸锂产品（见1，2007版1）；</w:t>
      </w:r>
    </w:p>
    <w:p>
      <w:pPr>
        <w:spacing w:line="360" w:lineRule="auto"/>
        <w:ind w:firstLine="420"/>
        <w:rPr>
          <w:rFonts w:ascii="宋体" w:hAnsi="宋体"/>
          <w:color w:val="000000" w:themeColor="text1"/>
          <w:spacing w:val="-2"/>
          <w14:textFill>
            <w14:solidFill>
              <w14:schemeClr w14:val="tx1"/>
            </w14:solidFill>
          </w14:textFill>
        </w:rPr>
      </w:pPr>
      <w:r>
        <w:rPr>
          <w:rFonts w:hint="eastAsia" w:ascii="宋体" w:hAnsi="宋体"/>
          <w:color w:val="000000" w:themeColor="text1"/>
          <w:spacing w:val="-2"/>
          <w14:textFill>
            <w14:solidFill>
              <w14:schemeClr w14:val="tx1"/>
            </w14:solidFill>
          </w14:textFill>
        </w:rPr>
        <w:t>c</w:t>
      </w:r>
      <w:r>
        <w:rPr>
          <w:rFonts w:ascii="宋体" w:hAnsi="宋体"/>
          <w:color w:val="000000" w:themeColor="text1"/>
          <w:spacing w:val="-2"/>
          <w14:textFill>
            <w14:solidFill>
              <w14:schemeClr w14:val="tx1"/>
            </w14:solidFill>
          </w14:textFill>
        </w:rPr>
        <w:t>)</w:t>
      </w:r>
      <w:r>
        <w:rPr>
          <w:rFonts w:hint="eastAsia" w:ascii="宋体" w:hAnsi="宋体"/>
          <w:color w:val="000000" w:themeColor="text1"/>
          <w:spacing w:val="-2"/>
          <w14:textFill>
            <w14:solidFill>
              <w14:schemeClr w14:val="tx1"/>
            </w14:solidFill>
          </w14:textFill>
        </w:rPr>
        <w:t>删除了该产品供生产彩色荧光粉用，增加了该产品广泛用于生产锂的各种化工产品（见1，2007版1）；</w:t>
      </w:r>
    </w:p>
    <w:p>
      <w:pPr>
        <w:spacing w:line="360" w:lineRule="auto"/>
        <w:ind w:firstLine="420"/>
        <w:rPr>
          <w:rFonts w:ascii="宋体" w:hAnsi="宋体"/>
          <w:color w:val="000000" w:themeColor="text1"/>
          <w:spacing w:val="-2"/>
          <w14:textFill>
            <w14:solidFill>
              <w14:schemeClr w14:val="tx1"/>
            </w14:solidFill>
          </w14:textFill>
        </w:rPr>
      </w:pPr>
      <w:r>
        <w:rPr>
          <w:rFonts w:hint="eastAsia" w:ascii="宋体" w:hAnsi="宋体"/>
          <w:color w:val="000000" w:themeColor="text1"/>
          <w:spacing w:val="-2"/>
          <w14:textFill>
            <w14:solidFill>
              <w14:schemeClr w14:val="tx1"/>
            </w14:solidFill>
          </w14:textFill>
        </w:rPr>
        <w:t>d</w:t>
      </w:r>
      <w:r>
        <w:rPr>
          <w:rFonts w:ascii="宋体" w:hAnsi="宋体"/>
          <w:color w:val="000000" w:themeColor="text1"/>
          <w:spacing w:val="-2"/>
          <w14:textFill>
            <w14:solidFill>
              <w14:schemeClr w14:val="tx1"/>
            </w14:solidFill>
          </w14:textFill>
        </w:rPr>
        <w:t>)</w:t>
      </w:r>
      <w:r>
        <w:rPr>
          <w:rFonts w:hint="eastAsia" w:ascii="宋体" w:hAnsi="宋体"/>
          <w:color w:val="000000" w:themeColor="text1"/>
          <w:spacing w:val="-2"/>
          <w14:textFill>
            <w14:solidFill>
              <w14:schemeClr w14:val="tx1"/>
            </w14:solidFill>
          </w14:textFill>
        </w:rPr>
        <w:t>更换了部分引用文件（见2，2007版2）</w:t>
      </w:r>
    </w:p>
    <w:p>
      <w:pPr>
        <w:spacing w:line="360" w:lineRule="auto"/>
        <w:ind w:firstLine="420"/>
        <w:rPr>
          <w:rFonts w:hint="eastAsia" w:ascii="宋体" w:hAnsi="宋体"/>
          <w:color w:val="000000" w:themeColor="text1"/>
          <w:spacing w:val="-2"/>
          <w14:textFill>
            <w14:solidFill>
              <w14:schemeClr w14:val="tx1"/>
            </w14:solidFill>
          </w14:textFill>
        </w:rPr>
      </w:pPr>
      <w:r>
        <w:rPr>
          <w:rFonts w:hint="eastAsia" w:ascii="宋体" w:hAnsi="宋体"/>
          <w:color w:val="000000" w:themeColor="text1"/>
          <w:spacing w:val="-2"/>
          <w14:textFill>
            <w14:solidFill>
              <w14:schemeClr w14:val="tx1"/>
            </w14:solidFill>
          </w14:textFill>
        </w:rPr>
        <w:t>e)增加了属于和定义（见3）</w:t>
      </w:r>
    </w:p>
    <w:p>
      <w:pPr>
        <w:spacing w:line="360" w:lineRule="auto"/>
        <w:ind w:firstLine="420"/>
        <w:rPr>
          <w:rFonts w:ascii="宋体" w:hAnsi="宋体"/>
          <w:color w:val="000000" w:themeColor="text1"/>
          <w:spacing w:val="-2"/>
          <w14:textFill>
            <w14:solidFill>
              <w14:schemeClr w14:val="tx1"/>
            </w14:solidFill>
          </w14:textFill>
        </w:rPr>
      </w:pPr>
      <w:r>
        <w:rPr>
          <w:rFonts w:ascii="宋体" w:hAnsi="宋体"/>
          <w:color w:val="000000" w:themeColor="text1"/>
          <w:spacing w:val="-2"/>
          <w14:textFill>
            <w14:solidFill>
              <w14:schemeClr w14:val="tx1"/>
            </w14:solidFill>
          </w14:textFill>
        </w:rPr>
        <w:t>f)</w:t>
      </w:r>
      <w:r>
        <w:rPr>
          <w:rFonts w:hint="eastAsia" w:ascii="宋体" w:hAnsi="宋体"/>
          <w:color w:val="000000" w:themeColor="text1"/>
          <w:spacing w:val="-2"/>
          <w14:textFill>
            <w14:solidFill>
              <w14:schemeClr w14:val="tx1"/>
            </w14:solidFill>
          </w14:textFill>
        </w:rPr>
        <w:t>增加了</w:t>
      </w:r>
      <w:r>
        <w:rPr>
          <w:rFonts w:ascii="宋体" w:hAnsi="宋体"/>
          <w:color w:val="000000" w:themeColor="text1"/>
          <w:spacing w:val="-2"/>
          <w14:textFill>
            <w14:solidFill>
              <w14:schemeClr w14:val="tx1"/>
            </w14:solidFill>
          </w14:textFill>
        </w:rPr>
        <w:t>FCLi</w:t>
      </w:r>
      <w:r>
        <w:rPr>
          <w:rFonts w:ascii="宋体" w:hAnsi="宋体"/>
          <w:color w:val="000000" w:themeColor="text1"/>
          <w:spacing w:val="-2"/>
          <w:vertAlign w:val="subscript"/>
          <w14:textFill>
            <w14:solidFill>
              <w14:schemeClr w14:val="tx1"/>
            </w14:solidFill>
          </w14:textFill>
        </w:rPr>
        <w:t>3</w:t>
      </w:r>
      <w:r>
        <w:rPr>
          <w:rFonts w:ascii="宋体" w:hAnsi="宋体"/>
          <w:color w:val="000000" w:themeColor="text1"/>
          <w:spacing w:val="-2"/>
          <w14:textFill>
            <w14:solidFill>
              <w14:schemeClr w14:val="tx1"/>
            </w14:solidFill>
          </w14:textFill>
        </w:rPr>
        <w:t>PO</w:t>
      </w:r>
      <w:r>
        <w:rPr>
          <w:rFonts w:ascii="宋体" w:hAnsi="宋体"/>
          <w:color w:val="000000" w:themeColor="text1"/>
          <w:spacing w:val="-2"/>
          <w:vertAlign w:val="subscript"/>
          <w14:textFill>
            <w14:solidFill>
              <w14:schemeClr w14:val="tx1"/>
            </w14:solidFill>
          </w14:textFill>
        </w:rPr>
        <w:t>4</w:t>
      </w:r>
      <w:r>
        <w:rPr>
          <w:rFonts w:ascii="宋体" w:hAnsi="宋体"/>
          <w:color w:val="000000" w:themeColor="text1"/>
          <w:spacing w:val="-2"/>
          <w14:textFill>
            <w14:solidFill>
              <w14:schemeClr w14:val="tx1"/>
            </w14:solidFill>
          </w14:textFill>
        </w:rPr>
        <w:t>-4</w:t>
      </w:r>
      <w:r>
        <w:rPr>
          <w:rFonts w:hint="eastAsia" w:ascii="宋体" w:hAnsi="宋体"/>
          <w:color w:val="000000" w:themeColor="text1"/>
          <w:spacing w:val="-2"/>
          <w14:textFill>
            <w14:solidFill>
              <w14:schemeClr w14:val="tx1"/>
            </w14:solidFill>
          </w14:textFill>
        </w:rPr>
        <w:t>牌号（见</w:t>
      </w:r>
      <w:r>
        <w:rPr>
          <w:rFonts w:ascii="宋体" w:hAnsi="宋体"/>
          <w:color w:val="000000" w:themeColor="text1"/>
          <w:spacing w:val="-2"/>
          <w14:textFill>
            <w14:solidFill>
              <w14:schemeClr w14:val="tx1"/>
            </w14:solidFill>
          </w14:textFill>
        </w:rPr>
        <w:t>4</w:t>
      </w:r>
      <w:r>
        <w:rPr>
          <w:rFonts w:hint="eastAsia" w:ascii="宋体" w:hAnsi="宋体"/>
          <w:color w:val="000000" w:themeColor="text1"/>
          <w:spacing w:val="-2"/>
          <w14:textFill>
            <w14:solidFill>
              <w14:schemeClr w14:val="tx1"/>
            </w14:solidFill>
          </w14:textFill>
        </w:rPr>
        <w:t>，2007版3.1）</w:t>
      </w:r>
    </w:p>
    <w:p>
      <w:pPr>
        <w:spacing w:line="360" w:lineRule="auto"/>
        <w:ind w:firstLine="420"/>
        <w:rPr>
          <w:rFonts w:ascii="宋体" w:hAnsi="宋体"/>
          <w:color w:val="000000" w:themeColor="text1"/>
          <w:spacing w:val="-2"/>
          <w14:textFill>
            <w14:solidFill>
              <w14:schemeClr w14:val="tx1"/>
            </w14:solidFill>
          </w14:textFill>
        </w:rPr>
      </w:pPr>
      <w:r>
        <w:rPr>
          <w:rFonts w:ascii="宋体" w:hAnsi="宋体"/>
          <w:color w:val="000000" w:themeColor="text1"/>
          <w:spacing w:val="-2"/>
          <w14:textFill>
            <w14:solidFill>
              <w14:schemeClr w14:val="tx1"/>
            </w14:solidFill>
          </w14:textFill>
        </w:rPr>
        <w:t>g)</w:t>
      </w:r>
      <w:r>
        <w:rPr>
          <w:rFonts w:hint="eastAsia" w:ascii="宋体" w:hAnsi="宋体"/>
          <w:color w:val="000000" w:themeColor="text1"/>
          <w:spacing w:val="-2"/>
          <w14:textFill>
            <w14:solidFill>
              <w14:schemeClr w14:val="tx1"/>
            </w14:solidFill>
          </w14:textFill>
        </w:rPr>
        <w:t>增加了磷酸锂中的C</w:t>
      </w:r>
      <w:r>
        <w:rPr>
          <w:rFonts w:ascii="宋体" w:hAnsi="宋体"/>
          <w:color w:val="000000" w:themeColor="text1"/>
          <w:spacing w:val="-2"/>
          <w14:textFill>
            <w14:solidFill>
              <w14:schemeClr w14:val="tx1"/>
            </w14:solidFill>
          </w14:textFill>
        </w:rPr>
        <w:t>o</w:t>
      </w:r>
      <w:r>
        <w:rPr>
          <w:rFonts w:hint="eastAsia" w:ascii="宋体" w:hAnsi="宋体"/>
          <w:color w:val="000000" w:themeColor="text1"/>
          <w:spacing w:val="-2"/>
          <w14:textFill>
            <w14:solidFill>
              <w14:schemeClr w14:val="tx1"/>
            </w14:solidFill>
          </w14:textFill>
        </w:rPr>
        <w:t>、M</w:t>
      </w:r>
      <w:r>
        <w:rPr>
          <w:rFonts w:ascii="宋体" w:hAnsi="宋体"/>
          <w:color w:val="000000" w:themeColor="text1"/>
          <w:spacing w:val="-2"/>
          <w14:textFill>
            <w14:solidFill>
              <w14:schemeClr w14:val="tx1"/>
            </w14:solidFill>
          </w14:textFill>
        </w:rPr>
        <w:t>n</w:t>
      </w:r>
      <w:r>
        <w:rPr>
          <w:rFonts w:hint="eastAsia" w:ascii="宋体" w:hAnsi="宋体"/>
          <w:color w:val="000000" w:themeColor="text1"/>
          <w:spacing w:val="-2"/>
          <w14:textFill>
            <w14:solidFill>
              <w14:schemeClr w14:val="tx1"/>
            </w14:solidFill>
          </w14:textFill>
        </w:rPr>
        <w:t>、A</w:t>
      </w:r>
      <w:r>
        <w:rPr>
          <w:rFonts w:ascii="宋体" w:hAnsi="宋体"/>
          <w:color w:val="000000" w:themeColor="text1"/>
          <w:spacing w:val="-2"/>
          <w14:textFill>
            <w14:solidFill>
              <w14:schemeClr w14:val="tx1"/>
            </w14:solidFill>
          </w14:textFill>
        </w:rPr>
        <w:t>l</w:t>
      </w:r>
      <w:r>
        <w:rPr>
          <w:rFonts w:hint="eastAsia" w:ascii="宋体" w:hAnsi="宋体"/>
          <w:color w:val="000000" w:themeColor="text1"/>
          <w:spacing w:val="-2"/>
          <w14:textFill>
            <w14:solidFill>
              <w14:schemeClr w14:val="tx1"/>
            </w14:solidFill>
          </w14:textFill>
        </w:rPr>
        <w:t>、Na、S</w:t>
      </w:r>
      <w:r>
        <w:rPr>
          <w:rFonts w:ascii="宋体" w:hAnsi="宋体"/>
          <w:color w:val="000000" w:themeColor="text1"/>
          <w:spacing w:val="-2"/>
          <w14:textFill>
            <w14:solidFill>
              <w14:schemeClr w14:val="tx1"/>
            </w14:solidFill>
          </w14:textFill>
        </w:rPr>
        <w:t>i</w:t>
      </w:r>
      <w:r>
        <w:rPr>
          <w:rFonts w:hint="eastAsia" w:ascii="宋体" w:hAnsi="宋体"/>
          <w:color w:val="000000" w:themeColor="text1"/>
          <w:spacing w:val="-2"/>
          <w14:textFill>
            <w14:solidFill>
              <w14:schemeClr w14:val="tx1"/>
            </w14:solidFill>
          </w14:textFill>
        </w:rPr>
        <w:t>、Zn、S</w:t>
      </w:r>
      <w:r>
        <w:rPr>
          <w:rFonts w:ascii="宋体" w:hAnsi="宋体"/>
          <w:color w:val="000000" w:themeColor="text1"/>
          <w:spacing w:val="-2"/>
          <w14:textFill>
            <w14:solidFill>
              <w14:schemeClr w14:val="tx1"/>
            </w14:solidFill>
          </w14:textFill>
        </w:rPr>
        <w:t>O42-</w:t>
      </w:r>
      <w:r>
        <w:rPr>
          <w:rFonts w:hint="eastAsia" w:ascii="宋体" w:hAnsi="宋体"/>
          <w:color w:val="000000" w:themeColor="text1"/>
          <w:spacing w:val="-2"/>
          <w14:textFill>
            <w14:solidFill>
              <w14:schemeClr w14:val="tx1"/>
            </w14:solidFill>
          </w14:textFill>
        </w:rPr>
        <w:t>、Cr、C</w:t>
      </w:r>
      <w:r>
        <w:rPr>
          <w:rFonts w:ascii="宋体" w:hAnsi="宋体"/>
          <w:color w:val="000000" w:themeColor="text1"/>
          <w:spacing w:val="-2"/>
          <w14:textFill>
            <w14:solidFill>
              <w14:schemeClr w14:val="tx1"/>
            </w14:solidFill>
          </w14:textFill>
        </w:rPr>
        <w:t>d</w:t>
      </w:r>
      <w:r>
        <w:rPr>
          <w:rFonts w:hint="eastAsia" w:ascii="宋体" w:hAnsi="宋体"/>
          <w:color w:val="000000" w:themeColor="text1"/>
          <w:spacing w:val="-2"/>
          <w14:textFill>
            <w14:solidFill>
              <w14:schemeClr w14:val="tx1"/>
            </w14:solidFill>
          </w14:textFill>
        </w:rPr>
        <w:t>化学成分指标（见3.1，2007版3.2）</w:t>
      </w:r>
    </w:p>
    <w:p>
      <w:pPr>
        <w:spacing w:line="360" w:lineRule="auto"/>
        <w:ind w:firstLine="420"/>
        <w:rPr>
          <w:rFonts w:ascii="宋体" w:hAnsi="宋体"/>
          <w:color w:val="000000" w:themeColor="text1"/>
          <w:spacing w:val="-2"/>
          <w14:textFill>
            <w14:solidFill>
              <w14:schemeClr w14:val="tx1"/>
            </w14:solidFill>
          </w14:textFill>
        </w:rPr>
      </w:pPr>
      <w:r>
        <w:rPr>
          <w:rFonts w:ascii="宋体" w:hAnsi="宋体"/>
          <w:color w:val="000000" w:themeColor="text1"/>
          <w:spacing w:val="-2"/>
          <w14:textFill>
            <w14:solidFill>
              <w14:schemeClr w14:val="tx1"/>
            </w14:solidFill>
          </w14:textFill>
        </w:rPr>
        <w:t>h)</w:t>
      </w:r>
      <w:r>
        <w:rPr>
          <w:rFonts w:hint="eastAsia" w:ascii="宋体" w:hAnsi="宋体"/>
          <w:color w:val="000000" w:themeColor="text1"/>
          <w:spacing w:val="-2"/>
          <w14:textFill>
            <w14:solidFill>
              <w14:schemeClr w14:val="tx1"/>
            </w14:solidFill>
          </w14:textFill>
        </w:rPr>
        <w:t>增加了产品的水分含量要求（见3.2，2007版3.2）</w:t>
      </w:r>
    </w:p>
    <w:p>
      <w:pPr>
        <w:spacing w:line="360" w:lineRule="auto"/>
        <w:ind w:firstLine="420"/>
        <w:rPr>
          <w:rFonts w:ascii="宋体" w:hAnsi="宋体"/>
          <w:color w:val="000000" w:themeColor="text1"/>
          <w:spacing w:val="-2"/>
          <w14:textFill>
            <w14:solidFill>
              <w14:schemeClr w14:val="tx1"/>
            </w14:solidFill>
          </w14:textFill>
        </w:rPr>
      </w:pPr>
      <w:r>
        <w:rPr>
          <w:rFonts w:ascii="宋体" w:hAnsi="宋体"/>
          <w:color w:val="000000" w:themeColor="text1"/>
          <w:spacing w:val="-2"/>
          <w14:textFill>
            <w14:solidFill>
              <w14:schemeClr w14:val="tx1"/>
            </w14:solidFill>
          </w14:textFill>
        </w:rPr>
        <w:t>i)</w:t>
      </w:r>
      <w:r>
        <w:rPr>
          <w:rFonts w:hint="eastAsia" w:ascii="宋体" w:hAnsi="宋体"/>
          <w:color w:val="000000" w:themeColor="text1"/>
          <w:spacing w:val="-2"/>
          <w14:textFill>
            <w14:solidFill>
              <w14:schemeClr w14:val="tx1"/>
            </w14:solidFill>
          </w14:textFill>
        </w:rPr>
        <w:t>删除了粒度要求及粒度检测方法（见2007版3.3、4.2）</w:t>
      </w:r>
    </w:p>
    <w:p>
      <w:pPr>
        <w:spacing w:line="360" w:lineRule="auto"/>
        <w:ind w:firstLine="420"/>
        <w:rPr>
          <w:rFonts w:hint="eastAsia" w:ascii="宋体" w:hAnsi="宋体"/>
          <w:color w:val="000000" w:themeColor="text1"/>
          <w:spacing w:val="-2"/>
          <w14:textFill>
            <w14:solidFill>
              <w14:schemeClr w14:val="tx1"/>
            </w14:solidFill>
          </w14:textFill>
        </w:rPr>
      </w:pPr>
      <w:r>
        <w:rPr>
          <w:rFonts w:hint="eastAsia" w:ascii="宋体" w:hAnsi="宋体"/>
          <w:color w:val="000000" w:themeColor="text1"/>
          <w:spacing w:val="-2"/>
          <w14:textFill>
            <w14:solidFill>
              <w14:schemeClr w14:val="tx1"/>
            </w14:solidFill>
          </w14:textFill>
        </w:rPr>
        <w:t>j</w:t>
      </w:r>
      <w:r>
        <w:rPr>
          <w:rFonts w:ascii="宋体" w:hAnsi="宋体"/>
          <w:color w:val="000000" w:themeColor="text1"/>
          <w:spacing w:val="-2"/>
          <w14:textFill>
            <w14:solidFill>
              <w14:schemeClr w14:val="tx1"/>
            </w14:solidFill>
          </w14:textFill>
        </w:rPr>
        <w:t>)</w:t>
      </w:r>
      <w:r>
        <w:rPr>
          <w:rFonts w:hint="eastAsia" w:ascii="宋体" w:hAnsi="宋体"/>
          <w:color w:val="000000" w:themeColor="text1"/>
          <w:spacing w:val="-2"/>
          <w14:textFill>
            <w14:solidFill>
              <w14:schemeClr w14:val="tx1"/>
            </w14:solidFill>
          </w14:textFill>
        </w:rPr>
        <w:t>增加了化学成分分析按供方现行方法进行（见6.1，见2007版4.1）</w:t>
      </w:r>
    </w:p>
    <w:p>
      <w:pPr>
        <w:spacing w:line="360" w:lineRule="auto"/>
        <w:ind w:firstLine="420"/>
        <w:rPr>
          <w:color w:val="000000" w:themeColor="text1"/>
          <w14:textFill>
            <w14:solidFill>
              <w14:schemeClr w14:val="tx1"/>
            </w14:solidFill>
          </w14:textFill>
        </w:rPr>
      </w:pPr>
      <w:r>
        <w:rPr>
          <w:rFonts w:ascii="宋体" w:hAnsi="宋体"/>
          <w:color w:val="000000" w:themeColor="text1"/>
          <w:spacing w:val="-2"/>
          <w14:textFill>
            <w14:solidFill>
              <w14:schemeClr w14:val="tx1"/>
            </w14:solidFill>
          </w14:textFill>
        </w:rPr>
        <w:t>k</w:t>
      </w:r>
      <w:r>
        <w:rPr>
          <w:rFonts w:hint="eastAsia" w:ascii="宋体" w:hAnsi="宋体"/>
          <w:color w:val="000000" w:themeColor="text1"/>
          <w:spacing w:val="-2"/>
          <w14:textFill>
            <w14:solidFill>
              <w14:schemeClr w14:val="tx1"/>
            </w14:solidFill>
          </w14:textFill>
        </w:rPr>
        <w:t>)</w:t>
      </w:r>
      <w:r>
        <w:rPr>
          <w:rFonts w:hint="eastAsia"/>
          <w:color w:val="000000" w:themeColor="text1"/>
          <w14:textFill>
            <w14:solidFill>
              <w14:schemeClr w14:val="tx1"/>
            </w14:solidFill>
          </w14:textFill>
        </w:rPr>
        <w:t>增加了属于外观质量的异议，应在收到产品之日起10日内提出；属于化学成分的异议，应在收到产品之日起30内提出。如需仲裁，应由供需双方在需方共同取样或协商确定。</w:t>
      </w:r>
      <w:r>
        <w:rPr>
          <w:rFonts w:hint="eastAsia" w:ascii="宋体" w:hAnsi="宋体"/>
          <w:color w:val="000000" w:themeColor="text1"/>
          <w:spacing w:val="-2"/>
          <w14:textFill>
            <w14:solidFill>
              <w14:schemeClr w14:val="tx1"/>
            </w14:solidFill>
          </w14:textFill>
        </w:rPr>
        <w:t>（见7.1.2，2007版5.1.2）</w:t>
      </w:r>
    </w:p>
    <w:p>
      <w:pPr>
        <w:spacing w:line="360" w:lineRule="auto"/>
        <w:ind w:firstLine="420"/>
        <w:rPr>
          <w:rFonts w:ascii="宋体" w:hAnsi="宋体"/>
          <w:color w:val="000000" w:themeColor="text1"/>
          <w:spacing w:val="-2"/>
          <w14:textFill>
            <w14:solidFill>
              <w14:schemeClr w14:val="tx1"/>
            </w14:solidFill>
          </w14:textFill>
        </w:rPr>
      </w:pPr>
      <w:r>
        <w:rPr>
          <w:rFonts w:ascii="宋体" w:hAnsi="宋体"/>
          <w:color w:val="000000" w:themeColor="text1"/>
          <w:spacing w:val="-2"/>
          <w14:textFill>
            <w14:solidFill>
              <w14:schemeClr w14:val="tx1"/>
            </w14:solidFill>
          </w14:textFill>
        </w:rPr>
        <w:t>l)</w:t>
      </w:r>
      <w:r>
        <w:rPr>
          <w:rFonts w:hint="eastAsia" w:ascii="宋体" w:hAnsi="宋体"/>
          <w:color w:val="000000" w:themeColor="text1"/>
          <w:spacing w:val="-2"/>
          <w14:textFill>
            <w14:solidFill>
              <w14:schemeClr w14:val="tx1"/>
            </w14:solidFill>
          </w14:textFill>
        </w:rPr>
        <w:t>删除了产品以720</w:t>
      </w:r>
      <w:r>
        <w:rPr>
          <w:rFonts w:ascii="宋体" w:hAnsi="宋体"/>
          <w:color w:val="000000" w:themeColor="text1"/>
          <w:spacing w:val="-2"/>
          <w14:textFill>
            <w14:solidFill>
              <w14:schemeClr w14:val="tx1"/>
            </w14:solidFill>
          </w14:textFill>
        </w:rPr>
        <w:t>kg</w:t>
      </w:r>
      <w:r>
        <w:rPr>
          <w:rFonts w:hint="eastAsia" w:ascii="宋体" w:hAnsi="宋体"/>
          <w:color w:val="000000" w:themeColor="text1"/>
          <w:spacing w:val="-2"/>
          <w14:textFill>
            <w14:solidFill>
              <w14:schemeClr w14:val="tx1"/>
            </w14:solidFill>
          </w14:textFill>
        </w:rPr>
        <w:t>作为一个批组，以5</w:t>
      </w:r>
      <w:r>
        <w:rPr>
          <w:rFonts w:ascii="宋体" w:hAnsi="宋体"/>
          <w:color w:val="000000" w:themeColor="text1"/>
          <w:spacing w:val="-2"/>
          <w14:textFill>
            <w14:solidFill>
              <w14:schemeClr w14:val="tx1"/>
            </w14:solidFill>
          </w14:textFill>
        </w:rPr>
        <w:t>kg</w:t>
      </w:r>
      <w:r>
        <w:rPr>
          <w:rFonts w:hint="eastAsia" w:ascii="宋体" w:hAnsi="宋体"/>
          <w:color w:val="000000" w:themeColor="text1"/>
          <w:spacing w:val="-2"/>
          <w14:textFill>
            <w14:solidFill>
              <w14:schemeClr w14:val="tx1"/>
            </w14:solidFill>
          </w14:textFill>
        </w:rPr>
        <w:t>为一包，20k</w:t>
      </w:r>
      <w:r>
        <w:rPr>
          <w:rFonts w:ascii="宋体" w:hAnsi="宋体"/>
          <w:color w:val="000000" w:themeColor="text1"/>
          <w:spacing w:val="-2"/>
          <w14:textFill>
            <w14:solidFill>
              <w14:schemeClr w14:val="tx1"/>
            </w14:solidFill>
          </w14:textFill>
        </w:rPr>
        <w:t>g</w:t>
      </w:r>
      <w:r>
        <w:rPr>
          <w:rFonts w:hint="eastAsia" w:ascii="宋体" w:hAnsi="宋体"/>
          <w:color w:val="000000" w:themeColor="text1"/>
          <w:spacing w:val="-2"/>
          <w14:textFill>
            <w14:solidFill>
              <w14:schemeClr w14:val="tx1"/>
            </w14:solidFill>
          </w14:textFill>
        </w:rPr>
        <w:t>为一件；增加了每批净重不少于1000</w:t>
      </w:r>
      <w:r>
        <w:rPr>
          <w:rFonts w:ascii="宋体" w:hAnsi="宋体"/>
          <w:color w:val="000000" w:themeColor="text1"/>
          <w:spacing w:val="-2"/>
          <w14:textFill>
            <w14:solidFill>
              <w14:schemeClr w14:val="tx1"/>
            </w14:solidFill>
          </w14:textFill>
        </w:rPr>
        <w:t>kg.(</w:t>
      </w:r>
      <w:r>
        <w:rPr>
          <w:rFonts w:hint="eastAsia" w:ascii="宋体" w:hAnsi="宋体"/>
          <w:color w:val="000000" w:themeColor="text1"/>
          <w:spacing w:val="-2"/>
          <w14:textFill>
            <w14:solidFill>
              <w14:schemeClr w14:val="tx1"/>
            </w14:solidFill>
          </w14:textFill>
        </w:rPr>
        <w:t>见7.2，2007版5.2</w:t>
      </w:r>
      <w:r>
        <w:rPr>
          <w:rFonts w:ascii="宋体" w:hAnsi="宋体"/>
          <w:color w:val="000000" w:themeColor="text1"/>
          <w:spacing w:val="-2"/>
          <w14:textFill>
            <w14:solidFill>
              <w14:schemeClr w14:val="tx1"/>
            </w14:solidFill>
          </w14:textFill>
        </w:rPr>
        <w:t>)</w:t>
      </w:r>
    </w:p>
    <w:p>
      <w:pPr>
        <w:spacing w:line="360" w:lineRule="auto"/>
        <w:ind w:firstLine="420"/>
        <w:rPr>
          <w:rFonts w:ascii="宋体" w:hAnsi="宋体"/>
          <w:color w:val="000000" w:themeColor="text1"/>
          <w:spacing w:val="-2"/>
          <w14:textFill>
            <w14:solidFill>
              <w14:schemeClr w14:val="tx1"/>
            </w14:solidFill>
          </w14:textFill>
        </w:rPr>
      </w:pPr>
      <w:r>
        <w:rPr>
          <w:rFonts w:ascii="宋体" w:hAnsi="宋体"/>
          <w:color w:val="000000" w:themeColor="text1"/>
          <w:spacing w:val="-2"/>
          <w14:textFill>
            <w14:solidFill>
              <w14:schemeClr w14:val="tx1"/>
            </w14:solidFill>
          </w14:textFill>
        </w:rPr>
        <w:t>m)</w:t>
      </w:r>
      <w:r>
        <w:rPr>
          <w:rFonts w:hint="eastAsia" w:ascii="宋体" w:hAnsi="宋体"/>
          <w:color w:val="000000" w:themeColor="text1"/>
          <w:spacing w:val="-2"/>
          <w14:textFill>
            <w14:solidFill>
              <w14:schemeClr w14:val="tx1"/>
            </w14:solidFill>
          </w14:textFill>
        </w:rPr>
        <w:t>删除了10件以内任取1件，10件~20件以内任取2件，20件以上任取4件；增加了取样数量按G</w:t>
      </w:r>
      <w:r>
        <w:rPr>
          <w:rFonts w:ascii="宋体" w:hAnsi="宋体"/>
          <w:color w:val="000000" w:themeColor="text1"/>
          <w:spacing w:val="-2"/>
          <w14:textFill>
            <w14:solidFill>
              <w14:schemeClr w14:val="tx1"/>
            </w14:solidFill>
          </w14:textFill>
        </w:rPr>
        <w:t>B/T6678-2003</w:t>
      </w:r>
      <w:r>
        <w:rPr>
          <w:rFonts w:hint="eastAsia" w:ascii="宋体" w:hAnsi="宋体"/>
          <w:color w:val="000000" w:themeColor="text1"/>
          <w:spacing w:val="-2"/>
          <w14:textFill>
            <w14:solidFill>
              <w14:schemeClr w14:val="tx1"/>
            </w14:solidFill>
          </w14:textFill>
        </w:rPr>
        <w:t>中7.6条的规定执行（见</w:t>
      </w:r>
      <w:r>
        <w:rPr>
          <w:rFonts w:ascii="宋体" w:hAnsi="宋体"/>
          <w:color w:val="000000" w:themeColor="text1"/>
          <w:spacing w:val="-2"/>
          <w14:textFill>
            <w14:solidFill>
              <w14:schemeClr w14:val="tx1"/>
            </w14:solidFill>
          </w14:textFill>
        </w:rPr>
        <w:t>7</w:t>
      </w:r>
      <w:r>
        <w:rPr>
          <w:rFonts w:hint="eastAsia" w:ascii="宋体" w:hAnsi="宋体"/>
          <w:color w:val="000000" w:themeColor="text1"/>
          <w:spacing w:val="-2"/>
          <w14:textFill>
            <w14:solidFill>
              <w14:schemeClr w14:val="tx1"/>
            </w14:solidFill>
          </w14:textFill>
        </w:rPr>
        <w:t>.3.1，2007版5.3.1）</w:t>
      </w:r>
    </w:p>
    <w:p>
      <w:pPr>
        <w:spacing w:line="360" w:lineRule="auto"/>
        <w:ind w:firstLine="420"/>
        <w:rPr>
          <w:rFonts w:ascii="宋体" w:hAnsi="宋体"/>
          <w:color w:val="000000" w:themeColor="text1"/>
          <w:spacing w:val="-2"/>
          <w14:textFill>
            <w14:solidFill>
              <w14:schemeClr w14:val="tx1"/>
            </w14:solidFill>
          </w14:textFill>
        </w:rPr>
      </w:pPr>
      <w:r>
        <w:rPr>
          <w:rFonts w:ascii="宋体" w:hAnsi="宋体"/>
          <w:color w:val="000000" w:themeColor="text1"/>
          <w:spacing w:val="-2"/>
          <w14:textFill>
            <w14:solidFill>
              <w14:schemeClr w14:val="tx1"/>
            </w14:solidFill>
          </w14:textFill>
        </w:rPr>
        <w:t>n)</w:t>
      </w:r>
      <w:r>
        <w:rPr>
          <w:rFonts w:hint="eastAsia" w:ascii="宋体" w:hAnsi="宋体"/>
          <w:color w:val="000000" w:themeColor="text1"/>
          <w:spacing w:val="-2"/>
          <w14:textFill>
            <w14:solidFill>
              <w14:schemeClr w14:val="tx1"/>
            </w14:solidFill>
          </w14:textFill>
        </w:rPr>
        <w:t>删除了化学成分不合格时，判该产品不合格；粒度不合格时，判该产品不合格；增加了产品的化学成分指标检测结果如有一项不合格的，则在该批产品中加倍取样对该不合格项进行重复试验，若重复试验结果有一项不合格的，判定该批不合格。（见7.4，2007版5.4）</w:t>
      </w:r>
    </w:p>
    <w:p>
      <w:pPr>
        <w:spacing w:line="360" w:lineRule="auto"/>
        <w:ind w:firstLine="420"/>
        <w:rPr>
          <w:rFonts w:hint="eastAsia" w:ascii="宋体" w:hAnsi="宋体"/>
          <w:color w:val="000000" w:themeColor="text1"/>
          <w:spacing w:val="-2"/>
          <w14:textFill>
            <w14:solidFill>
              <w14:schemeClr w14:val="tx1"/>
            </w14:solidFill>
          </w14:textFill>
        </w:rPr>
      </w:pPr>
      <w:r>
        <w:rPr>
          <w:rFonts w:ascii="宋体" w:hAnsi="宋体"/>
          <w:color w:val="000000" w:themeColor="text1"/>
          <w:spacing w:val="-2"/>
          <w14:textFill>
            <w14:solidFill>
              <w14:schemeClr w14:val="tx1"/>
            </w14:solidFill>
          </w14:textFill>
        </w:rPr>
        <w:t>o)</w:t>
      </w:r>
      <w:r>
        <w:rPr>
          <w:rFonts w:hint="eastAsia" w:ascii="宋体" w:hAnsi="宋体"/>
          <w:color w:val="000000" w:themeColor="text1"/>
          <w:spacing w:val="-2"/>
          <w14:textFill>
            <w14:solidFill>
              <w14:schemeClr w14:val="tx1"/>
            </w14:solidFill>
          </w14:textFill>
        </w:rPr>
        <w:t>删除了每袋净重5</w:t>
      </w:r>
      <w:r>
        <w:rPr>
          <w:rFonts w:ascii="宋体" w:hAnsi="宋体"/>
          <w:color w:val="000000" w:themeColor="text1"/>
          <w:spacing w:val="-2"/>
          <w14:textFill>
            <w14:solidFill>
              <w14:schemeClr w14:val="tx1"/>
            </w14:solidFill>
          </w14:textFill>
        </w:rPr>
        <w:t>kg</w:t>
      </w:r>
      <w:r>
        <w:rPr>
          <w:rFonts w:hint="eastAsia" w:ascii="宋体" w:hAnsi="宋体"/>
          <w:color w:val="000000" w:themeColor="text1"/>
          <w:spacing w:val="-2"/>
          <w14:textFill>
            <w14:solidFill>
              <w14:schemeClr w14:val="tx1"/>
            </w14:solidFill>
          </w14:textFill>
        </w:rPr>
        <w:t>±0.05</w:t>
      </w:r>
      <w:r>
        <w:rPr>
          <w:rFonts w:ascii="宋体" w:hAnsi="宋体"/>
          <w:color w:val="000000" w:themeColor="text1"/>
          <w:spacing w:val="-2"/>
          <w14:textFill>
            <w14:solidFill>
              <w14:schemeClr w14:val="tx1"/>
            </w14:solidFill>
          </w14:textFill>
        </w:rPr>
        <w:t>kg</w:t>
      </w:r>
      <w:r>
        <w:rPr>
          <w:rFonts w:hint="eastAsia" w:ascii="宋体" w:hAnsi="宋体"/>
          <w:color w:val="000000" w:themeColor="text1"/>
          <w:spacing w:val="-2"/>
          <w14:textFill>
            <w14:solidFill>
              <w14:schemeClr w14:val="tx1"/>
            </w14:solidFill>
          </w14:textFill>
        </w:rPr>
        <w:t>，外包装采用硬纸板桶包装作为一件，每件净重20</w:t>
      </w:r>
      <w:r>
        <w:rPr>
          <w:rFonts w:ascii="宋体" w:hAnsi="宋体"/>
          <w:color w:val="000000" w:themeColor="text1"/>
          <w:spacing w:val="-2"/>
          <w14:textFill>
            <w14:solidFill>
              <w14:schemeClr w14:val="tx1"/>
            </w14:solidFill>
          </w14:textFill>
        </w:rPr>
        <w:t>kg±0.</w:t>
      </w:r>
      <w:r>
        <w:rPr>
          <w:rFonts w:hint="eastAsia" w:ascii="宋体" w:hAnsi="宋体"/>
          <w:color w:val="000000" w:themeColor="text1"/>
          <w:spacing w:val="-2"/>
          <w14:textFill>
            <w14:solidFill>
              <w14:schemeClr w14:val="tx1"/>
            </w14:solidFill>
          </w14:textFill>
        </w:rPr>
        <w:t>2</w:t>
      </w:r>
      <w:r>
        <w:rPr>
          <w:rFonts w:ascii="宋体" w:hAnsi="宋体"/>
          <w:color w:val="000000" w:themeColor="text1"/>
          <w:spacing w:val="-2"/>
          <w14:textFill>
            <w14:solidFill>
              <w14:schemeClr w14:val="tx1"/>
            </w14:solidFill>
          </w14:textFill>
        </w:rPr>
        <w:t>kg</w:t>
      </w:r>
      <w:r>
        <w:rPr>
          <w:rFonts w:hint="eastAsia" w:ascii="宋体" w:hAnsi="宋体"/>
          <w:color w:val="000000" w:themeColor="text1"/>
          <w:spacing w:val="-2"/>
          <w14:textFill>
            <w14:solidFill>
              <w14:schemeClr w14:val="tx1"/>
            </w14:solidFill>
          </w14:textFill>
        </w:rPr>
        <w:t>。增加了每袋净重25</w:t>
      </w:r>
      <w:r>
        <w:rPr>
          <w:rFonts w:ascii="宋体" w:hAnsi="宋体"/>
          <w:color w:val="000000" w:themeColor="text1"/>
          <w:spacing w:val="-2"/>
          <w14:textFill>
            <w14:solidFill>
              <w14:schemeClr w14:val="tx1"/>
            </w14:solidFill>
          </w14:textFill>
        </w:rPr>
        <w:t>kg</w:t>
      </w:r>
      <w:r>
        <w:rPr>
          <w:rFonts w:hint="eastAsia" w:ascii="宋体" w:hAnsi="宋体"/>
          <w:color w:val="000000" w:themeColor="text1"/>
          <w:spacing w:val="-2"/>
          <w14:textFill>
            <w14:solidFill>
              <w14:schemeClr w14:val="tx1"/>
            </w14:solidFill>
          </w14:textFill>
        </w:rPr>
        <w:t>±0.025</w:t>
      </w:r>
      <w:r>
        <w:rPr>
          <w:rFonts w:ascii="宋体" w:hAnsi="宋体"/>
          <w:color w:val="000000" w:themeColor="text1"/>
          <w:spacing w:val="-2"/>
          <w14:textFill>
            <w14:solidFill>
              <w14:schemeClr w14:val="tx1"/>
            </w14:solidFill>
          </w14:textFill>
        </w:rPr>
        <w:t>kg</w:t>
      </w:r>
      <w:r>
        <w:rPr>
          <w:rFonts w:hint="eastAsia" w:ascii="宋体" w:hAnsi="宋体"/>
          <w:color w:val="000000" w:themeColor="text1"/>
          <w:spacing w:val="-2"/>
          <w14:textFill>
            <w14:solidFill>
              <w14:schemeClr w14:val="tx1"/>
            </w14:solidFill>
          </w14:textFill>
        </w:rPr>
        <w:t>（见8.2，2007版6.2</w:t>
      </w:r>
    </w:p>
    <w:p>
      <w:pPr>
        <w:spacing w:line="360" w:lineRule="auto"/>
        <w:ind w:firstLine="420"/>
        <w:rPr>
          <w:rFonts w:ascii="宋体" w:hAnsi="宋体"/>
          <w:color w:val="000000" w:themeColor="text1"/>
          <w:spacing w:val="-2"/>
          <w14:textFill>
            <w14:solidFill>
              <w14:schemeClr w14:val="tx1"/>
            </w14:solidFill>
          </w14:textFill>
        </w:rPr>
      </w:pPr>
      <w:r>
        <w:rPr>
          <w:rFonts w:ascii="宋体" w:hAnsi="宋体"/>
          <w:color w:val="000000" w:themeColor="text1"/>
          <w:spacing w:val="-2"/>
          <w14:textFill>
            <w14:solidFill>
              <w14:schemeClr w14:val="tx1"/>
            </w14:solidFill>
          </w14:textFill>
        </w:rPr>
        <w:t>p)</w:t>
      </w:r>
      <w:r>
        <w:rPr>
          <w:rFonts w:hint="eastAsia" w:ascii="宋体" w:hAnsi="宋体"/>
          <w:color w:val="000000" w:themeColor="text1"/>
          <w:spacing w:val="-2"/>
          <w14:textFill>
            <w14:solidFill>
              <w14:schemeClr w14:val="tx1"/>
            </w14:solidFill>
          </w14:textFill>
        </w:rPr>
        <w:t>删除了粒度（见9，2007版6.4）</w:t>
      </w:r>
    </w:p>
    <w:p>
      <w:pPr>
        <w:spacing w:line="360" w:lineRule="auto"/>
        <w:ind w:firstLine="420"/>
        <w:rPr>
          <w:rFonts w:ascii="宋体" w:hAnsi="宋体"/>
          <w:color w:val="000000" w:themeColor="text1"/>
          <w:spacing w:val="-2"/>
          <w14:textFill>
            <w14:solidFill>
              <w14:schemeClr w14:val="tx1"/>
            </w14:solidFill>
          </w14:textFill>
        </w:rPr>
      </w:pPr>
      <w:r>
        <w:rPr>
          <w:rFonts w:hint="eastAsia" w:ascii="宋体" w:hAnsi="宋体"/>
          <w:color w:val="000000" w:themeColor="text1"/>
          <w:spacing w:val="-2"/>
          <w14:textFill>
            <w14:solidFill>
              <w14:schemeClr w14:val="tx1"/>
            </w14:solidFill>
          </w14:textFill>
        </w:rPr>
        <w:t>请注意本文件的有些内容可能涉及专利。本文件的发布机构不承担识别专利的责任。</w:t>
      </w:r>
    </w:p>
    <w:p>
      <w:pPr>
        <w:spacing w:line="360" w:lineRule="auto"/>
        <w:ind w:firstLine="420"/>
        <w:rPr>
          <w:rFonts w:ascii="宋体" w:hAnsi="宋体"/>
          <w:color w:val="000000" w:themeColor="text1"/>
          <w:spacing w:val="-2"/>
          <w14:textFill>
            <w14:solidFill>
              <w14:schemeClr w14:val="tx1"/>
            </w14:solidFill>
          </w14:textFill>
        </w:rPr>
      </w:pPr>
      <w:r>
        <w:rPr>
          <w:rFonts w:hint="eastAsia" w:ascii="宋体" w:hAnsi="宋体"/>
          <w:color w:val="000000" w:themeColor="text1"/>
          <w:spacing w:val="-2"/>
          <w14:textFill>
            <w14:solidFill>
              <w14:schemeClr w14:val="tx1"/>
            </w14:solidFill>
          </w14:textFill>
        </w:rPr>
        <w:t>本文件由全国有色金属标准化技术委员会（SAC/TC243）提出并归口。</w:t>
      </w:r>
    </w:p>
    <w:p>
      <w:pPr>
        <w:spacing w:line="360" w:lineRule="auto"/>
        <w:ind w:firstLine="42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本</w:t>
      </w:r>
      <w:r>
        <w:rPr>
          <w:rFonts w:hint="eastAsia" w:ascii="宋体"/>
          <w:color w:val="000000" w:themeColor="text1"/>
          <w:lang w:eastAsia="zh-CN"/>
          <w14:textFill>
            <w14:solidFill>
              <w14:schemeClr w14:val="tx1"/>
            </w14:solidFill>
          </w14:textFill>
        </w:rPr>
        <w:t>文件</w:t>
      </w:r>
      <w:r>
        <w:rPr>
          <w:rFonts w:hint="eastAsia" w:ascii="宋体"/>
          <w:color w:val="000000" w:themeColor="text1"/>
          <w14:textFill>
            <w14:solidFill>
              <w14:schemeClr w14:val="tx1"/>
            </w14:solidFill>
          </w14:textFill>
        </w:rPr>
        <w:t>起草单位:江西赣锋锂业股份有限公司、新疆有色金属研究院、江西赣锋循环科技有限公司</w:t>
      </w:r>
    </w:p>
    <w:p>
      <w:pPr>
        <w:pStyle w:val="60"/>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color w:val="000000" w:themeColor="text1"/>
          <w:lang w:eastAsia="zh-CN"/>
          <w14:textFill>
            <w14:solidFill>
              <w14:schemeClr w14:val="tx1"/>
            </w14:solidFill>
          </w14:textFill>
        </w:rPr>
        <w:t>文件</w:t>
      </w:r>
      <w:r>
        <w:rPr>
          <w:rFonts w:hint="eastAsia"/>
          <w:color w:val="000000" w:themeColor="text1"/>
          <w14:textFill>
            <w14:solidFill>
              <w14:schemeClr w14:val="tx1"/>
            </w14:solidFill>
          </w14:textFill>
        </w:rPr>
        <w:t xml:space="preserve">主要起草人：  </w:t>
      </w:r>
    </w:p>
    <w:p>
      <w:pPr>
        <w:pStyle w:val="60"/>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color w:val="000000" w:themeColor="text1"/>
          <w:lang w:eastAsia="zh-CN"/>
          <w14:textFill>
            <w14:solidFill>
              <w14:schemeClr w14:val="tx1"/>
            </w14:solidFill>
          </w14:textFill>
        </w:rPr>
        <w:t>文件</w:t>
      </w:r>
      <w:r>
        <w:rPr>
          <w:rFonts w:hint="eastAsia"/>
          <w:color w:val="000000" w:themeColor="text1"/>
          <w14:textFill>
            <w14:solidFill>
              <w14:schemeClr w14:val="tx1"/>
            </w14:solidFill>
          </w14:textFill>
        </w:rPr>
        <w:t>所代替标准的历次版本发布情况为：</w:t>
      </w:r>
    </w:p>
    <w:p>
      <w:pPr>
        <w:pStyle w:val="60"/>
        <w:spacing w:line="360" w:lineRule="auto"/>
        <w:ind w:firstLine="0" w:firstLineChars="0"/>
        <w:rPr>
          <w:color w:val="000000" w:themeColor="text1"/>
          <w14:textFill>
            <w14:solidFill>
              <w14:schemeClr w14:val="tx1"/>
            </w14:solidFill>
          </w14:textFill>
        </w:rPr>
        <w:sectPr>
          <w:headerReference r:id="rId9" w:type="default"/>
          <w:footerReference r:id="rId11" w:type="default"/>
          <w:headerReference r:id="rId10" w:type="even"/>
          <w:footerReference r:id="rId12" w:type="even"/>
          <w:pgSz w:w="11907" w:h="16839"/>
          <w:pgMar w:top="1418" w:right="1134" w:bottom="1134" w:left="1418" w:header="1418" w:footer="851" w:gutter="0"/>
          <w:pgNumType w:fmt="upperRoman" w:start="1"/>
          <w:cols w:space="425" w:num="1"/>
          <w:docGrid w:type="lines" w:linePitch="312" w:charSpace="0"/>
        </w:sectPr>
      </w:pPr>
      <w:r>
        <w:rPr>
          <w:rFonts w:hint="eastAsia"/>
          <w:color w:val="000000" w:themeColor="text1"/>
          <w14:textFill>
            <w14:solidFill>
              <w14:schemeClr w14:val="tx1"/>
            </w14:solidFill>
          </w14:textFill>
        </w:rPr>
        <w:t xml:space="preserve">     --</w:t>
      </w:r>
      <w:r>
        <w:rPr>
          <w:rFonts w:hint="eastAsia" w:hAnsi="宋体"/>
          <w:color w:val="000000" w:themeColor="text1"/>
          <w:spacing w:val="-2"/>
          <w14:textFill>
            <w14:solidFill>
              <w14:schemeClr w14:val="tx1"/>
            </w14:solidFill>
          </w14:textFill>
        </w:rPr>
        <w:t>YS/T637-2007</w:t>
      </w:r>
    </w:p>
    <w:bookmarkEnd w:id="1"/>
    <w:p>
      <w:pPr>
        <w:pStyle w:val="32"/>
        <w:keepNext/>
        <w:pageBreakBefore/>
        <w:widowControl/>
        <w:shd w:val="clear" w:color="auto" w:fill="FFFFFF"/>
        <w:spacing w:line="720" w:lineRule="auto"/>
        <w:jc w:val="center"/>
        <w:outlineLvl w:val="0"/>
        <w:rPr>
          <w:color w:val="000000" w:themeColor="text1"/>
          <w14:textFill>
            <w14:solidFill>
              <w14:schemeClr w14:val="tx1"/>
            </w14:solidFill>
          </w14:textFill>
        </w:rPr>
      </w:pPr>
      <w:bookmarkStart w:id="2" w:name="SectionMark4"/>
      <w:r>
        <w:rPr>
          <w:rFonts w:hint="eastAsia" w:ascii="黑体" w:eastAsia="黑体"/>
          <w:color w:val="000000" w:themeColor="text1"/>
          <w:kern w:val="0"/>
          <w:sz w:val="32"/>
          <w:szCs w:val="20"/>
          <w14:textFill>
            <w14:solidFill>
              <w14:schemeClr w14:val="tx1"/>
            </w14:solidFill>
          </w14:textFill>
        </w:rPr>
        <w:t xml:space="preserve"> </w:t>
      </w:r>
      <w:bookmarkStart w:id="3" w:name="_Toc519936999"/>
      <w:r>
        <w:rPr>
          <w:rFonts w:hint="eastAsia" w:ascii="黑体" w:eastAsia="黑体"/>
          <w:color w:val="000000" w:themeColor="text1"/>
          <w:kern w:val="0"/>
          <w:sz w:val="32"/>
          <w:szCs w:val="20"/>
          <w14:textFill>
            <w14:solidFill>
              <w14:schemeClr w14:val="tx1"/>
            </w14:solidFill>
          </w14:textFill>
        </w:rPr>
        <w:t>磷酸锂</w:t>
      </w:r>
      <w:bookmarkEnd w:id="3"/>
    </w:p>
    <w:p>
      <w:pPr>
        <w:pStyle w:val="61"/>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范围</w:t>
      </w:r>
    </w:p>
    <w:p>
      <w:pPr>
        <w:pStyle w:val="60"/>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本标准规定了磷酸锂的要求、试验方法、检验规则及标志、包装、贮存、运输及</w:t>
      </w:r>
      <w:r>
        <w:rPr>
          <w:rFonts w:hint="eastAsia"/>
          <w:color w:val="000000" w:themeColor="text1"/>
          <w:lang w:eastAsia="zh-CN"/>
          <w14:textFill>
            <w14:solidFill>
              <w14:schemeClr w14:val="tx1"/>
            </w14:solidFill>
          </w14:textFill>
        </w:rPr>
        <w:t>随行文件</w:t>
      </w:r>
      <w:r>
        <w:rPr>
          <w:rFonts w:hint="eastAsia"/>
          <w:color w:val="000000" w:themeColor="text1"/>
          <w14:textFill>
            <w14:solidFill>
              <w14:schemeClr w14:val="tx1"/>
            </w14:solidFill>
          </w14:textFill>
        </w:rPr>
        <w:t>和订货单（或合同）的内容。</w:t>
      </w:r>
    </w:p>
    <w:p>
      <w:pPr>
        <w:spacing w:line="360" w:lineRule="auto"/>
        <w:ind w:firstLine="315" w:firstLineChars="150"/>
        <w:jc w:val="left"/>
        <w:rPr>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 xml:space="preserve"> 本标准适用于</w:t>
      </w:r>
      <w:r>
        <w:rPr>
          <w:color w:val="000000" w:themeColor="text1"/>
          <w:szCs w:val="21"/>
          <w14:textFill>
            <w14:solidFill>
              <w14:schemeClr w14:val="tx1"/>
            </w14:solidFill>
          </w14:textFill>
        </w:rPr>
        <w:t>1</w:t>
      </w:r>
      <w:r>
        <w:rPr>
          <w:rFonts w:hint="eastAsia" w:cs="宋体"/>
          <w:color w:val="000000" w:themeColor="text1"/>
          <w:szCs w:val="21"/>
          <w14:textFill>
            <w14:solidFill>
              <w14:schemeClr w14:val="tx1"/>
            </w14:solidFill>
          </w14:textFill>
        </w:rPr>
        <w:t>）以工业单水氢氧化锂或工业碳酸锂为原料，采用磷酸盐沉淀法制得的磷酸锂，该产品供生产彩色荧光粉用；</w:t>
      </w:r>
      <w:r>
        <w:rPr>
          <w:color w:val="000000" w:themeColor="text1"/>
          <w:szCs w:val="21"/>
          <w14:textFill>
            <w14:solidFill>
              <w14:schemeClr w14:val="tx1"/>
            </w14:solidFill>
          </w14:textFill>
        </w:rPr>
        <w:t>2</w:t>
      </w:r>
      <w:r>
        <w:rPr>
          <w:rFonts w:hint="eastAsia" w:cs="宋体"/>
          <w:color w:val="000000" w:themeColor="text1"/>
          <w:szCs w:val="21"/>
          <w14:textFill>
            <w14:solidFill>
              <w14:schemeClr w14:val="tx1"/>
            </w14:solidFill>
          </w14:textFill>
        </w:rPr>
        <w:t>）</w:t>
      </w:r>
      <w:bookmarkStart w:id="4" w:name="_Hlk56493954"/>
      <w:r>
        <w:rPr>
          <w:rFonts w:hint="eastAsia" w:cs="宋体"/>
          <w:color w:val="000000" w:themeColor="text1"/>
          <w:szCs w:val="21"/>
          <w14:textFill>
            <w14:solidFill>
              <w14:schemeClr w14:val="tx1"/>
            </w14:solidFill>
          </w14:textFill>
        </w:rPr>
        <w:t>以废旧锂离子电池及含锂废料、废液等为原料生产的磷酸锂产品</w:t>
      </w:r>
      <w:bookmarkEnd w:id="4"/>
      <w:r>
        <w:rPr>
          <w:rFonts w:hint="eastAsia" w:cs="宋体"/>
          <w:color w:val="000000" w:themeColor="text1"/>
          <w:szCs w:val="21"/>
          <w14:textFill>
            <w14:solidFill>
              <w14:schemeClr w14:val="tx1"/>
            </w14:solidFill>
          </w14:textFill>
        </w:rPr>
        <w:t>（以下简称产品），该产品广泛用于生产锂的各种化工产品。</w:t>
      </w:r>
    </w:p>
    <w:p>
      <w:pPr>
        <w:ind w:firstLine="315" w:firstLineChars="150"/>
        <w:jc w:val="left"/>
        <w:rPr>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 xml:space="preserve"> </w:t>
      </w:r>
    </w:p>
    <w:p>
      <w:pPr>
        <w:pStyle w:val="61"/>
        <w:spacing w:before="156" w:after="156"/>
        <w:ind w:left="0"/>
        <w:rPr>
          <w:color w:val="000000" w:themeColor="text1"/>
          <w14:textFill>
            <w14:solidFill>
              <w14:schemeClr w14:val="tx1"/>
            </w14:solidFill>
          </w14:textFill>
        </w:rPr>
      </w:pPr>
      <w:bookmarkStart w:id="5" w:name="_Hlk56600015"/>
      <w:r>
        <w:rPr>
          <w:rFonts w:hint="eastAsia"/>
          <w:color w:val="000000" w:themeColor="text1"/>
          <w14:textFill>
            <w14:solidFill>
              <w14:schemeClr w14:val="tx1"/>
            </w14:solidFill>
          </w14:textFill>
        </w:rPr>
        <w:t xml:space="preserve"> 规范性引用文件</w:t>
      </w:r>
    </w:p>
    <w:bookmarkEnd w:id="5"/>
    <w:p>
      <w:pPr>
        <w:adjustRightInd w:val="0"/>
        <w:snapToGrid w:val="0"/>
        <w:spacing w:line="360" w:lineRule="auto"/>
        <w:ind w:firstLine="420"/>
        <w:rPr>
          <w:color w:val="000000" w:themeColor="text1"/>
          <w:szCs w:val="21"/>
          <w14:textFill>
            <w14:solidFill>
              <w14:schemeClr w14:val="tx1"/>
            </w14:solidFill>
          </w14:textFill>
        </w:rPr>
      </w:pPr>
      <w:bookmarkStart w:id="6" w:name="OLE_LINK1"/>
      <w:r>
        <w:rPr>
          <w:rFonts w:ascii="宋体" w:hAnsi="宋体"/>
          <w:color w:val="000000" w:themeColor="text1"/>
          <w:szCs w:val="21"/>
          <w14:textFill>
            <w14:solidFill>
              <w14:schemeClr w14:val="tx1"/>
            </w14:solidFill>
          </w14:textFill>
        </w:rPr>
        <w:t>下列文件</w:t>
      </w:r>
      <w:r>
        <w:rPr>
          <w:rFonts w:hint="eastAsia" w:ascii="宋体" w:hAnsi="宋体"/>
          <w:color w:val="000000" w:themeColor="text1"/>
          <w:szCs w:val="21"/>
          <w14:textFill>
            <w14:solidFill>
              <w14:schemeClr w14:val="tx1"/>
            </w14:solidFill>
          </w14:textFill>
        </w:rPr>
        <w:t>中的内容通过文中的规范性引用而构成</w:t>
      </w:r>
      <w:r>
        <w:rPr>
          <w:rFonts w:ascii="宋体" w:hAnsi="宋体"/>
          <w:color w:val="000000" w:themeColor="text1"/>
          <w:szCs w:val="21"/>
          <w14:textFill>
            <w14:solidFill>
              <w14:schemeClr w14:val="tx1"/>
            </w14:solidFill>
          </w14:textFill>
        </w:rPr>
        <w:t>本文件的必不可少的</w:t>
      </w:r>
      <w:r>
        <w:rPr>
          <w:rFonts w:hint="eastAsia" w:ascii="宋体" w:hAnsi="宋体"/>
          <w:color w:val="000000" w:themeColor="text1"/>
          <w:szCs w:val="21"/>
          <w14:textFill>
            <w14:solidFill>
              <w14:schemeClr w14:val="tx1"/>
            </w14:solidFill>
          </w14:textFill>
        </w:rPr>
        <w:t>条款</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其中，</w:t>
      </w:r>
      <w:r>
        <w:rPr>
          <w:rFonts w:ascii="宋体" w:hAnsi="宋体"/>
          <w:color w:val="000000" w:themeColor="text1"/>
          <w:szCs w:val="21"/>
          <w14:textFill>
            <w14:solidFill>
              <w14:schemeClr w14:val="tx1"/>
            </w14:solidFill>
          </w14:textFill>
        </w:rPr>
        <w:t>注日期的引用文件，仅</w:t>
      </w:r>
      <w:r>
        <w:rPr>
          <w:rFonts w:hint="eastAsia" w:ascii="宋体" w:hAnsi="宋体"/>
          <w:color w:val="000000" w:themeColor="text1"/>
          <w:szCs w:val="21"/>
          <w14:textFill>
            <w14:solidFill>
              <w14:schemeClr w14:val="tx1"/>
            </w14:solidFill>
          </w14:textFill>
        </w:rPr>
        <w:t>该</w:t>
      </w:r>
      <w:r>
        <w:rPr>
          <w:rFonts w:ascii="宋体" w:hAnsi="宋体"/>
          <w:color w:val="000000" w:themeColor="text1"/>
          <w:szCs w:val="21"/>
          <w14:textFill>
            <w14:solidFill>
              <w14:schemeClr w14:val="tx1"/>
            </w14:solidFill>
          </w14:textFill>
        </w:rPr>
        <w:t>日期</w:t>
      </w:r>
      <w:r>
        <w:rPr>
          <w:rFonts w:hint="eastAsia" w:ascii="宋体" w:hAnsi="宋体"/>
          <w:color w:val="000000" w:themeColor="text1"/>
          <w:szCs w:val="21"/>
          <w14:textFill>
            <w14:solidFill>
              <w14:schemeClr w14:val="tx1"/>
            </w14:solidFill>
          </w14:textFill>
        </w:rPr>
        <w:t>对应的版本</w:t>
      </w:r>
      <w:r>
        <w:rPr>
          <w:rFonts w:ascii="宋体" w:hAnsi="宋体"/>
          <w:color w:val="000000" w:themeColor="text1"/>
          <w:szCs w:val="21"/>
          <w14:textFill>
            <w14:solidFill>
              <w14:schemeClr w14:val="tx1"/>
            </w14:solidFill>
          </w14:textFill>
        </w:rPr>
        <w:t>适用于本文件</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不注日期的引用文件，其最新版本（包括所有的修改单）适用于本文件。</w:t>
      </w:r>
    </w:p>
    <w:bookmarkEnd w:id="6"/>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GB/T 191</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包装储运图示标志</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GB/T 6678  化工产品采样总则</w:t>
      </w:r>
    </w:p>
    <w:p>
      <w:pPr>
        <w:pStyle w:val="61"/>
        <w:spacing w:before="156" w:after="156"/>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术语和定义</w:t>
      </w:r>
    </w:p>
    <w:p>
      <w:pPr>
        <w:pStyle w:val="60"/>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本文件没有需要界定的术语和定义</w:t>
      </w:r>
    </w:p>
    <w:p>
      <w:pPr>
        <w:pStyle w:val="6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产品分类</w:t>
      </w:r>
    </w:p>
    <w:p>
      <w:pPr>
        <w:spacing w:line="360" w:lineRule="auto"/>
        <w:jc w:val="lef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r>
        <w:rPr>
          <w:rFonts w:ascii="宋体" w:hAnsi="宋体" w:cs="宋体"/>
          <w:color w:val="000000" w:themeColor="text1"/>
          <w14:textFill>
            <w14:solidFill>
              <w14:schemeClr w14:val="tx1"/>
            </w14:solidFill>
          </w14:textFill>
        </w:rPr>
        <w:t xml:space="preserve">   </w:t>
      </w:r>
      <w:bookmarkStart w:id="7" w:name="_Hlk56600543"/>
      <w:r>
        <w:rPr>
          <w:rFonts w:hint="eastAsia" w:ascii="宋体" w:hAnsi="宋体" w:cs="宋体"/>
          <w:color w:val="000000" w:themeColor="text1"/>
          <w14:textFill>
            <w14:solidFill>
              <w14:schemeClr w14:val="tx1"/>
            </w14:solidFill>
          </w14:textFill>
        </w:rPr>
        <w:t>磷酸锂</w:t>
      </w:r>
      <w:bookmarkEnd w:id="7"/>
      <w:r>
        <w:rPr>
          <w:rFonts w:hint="eastAsia" w:ascii="宋体" w:hAnsi="宋体" w:cs="宋体"/>
          <w:color w:val="000000" w:themeColor="text1"/>
          <w14:textFill>
            <w14:solidFill>
              <w14:schemeClr w14:val="tx1"/>
            </w14:solidFill>
          </w14:textFill>
        </w:rPr>
        <w:t xml:space="preserve">按化学成分分为三个牌号： </w:t>
      </w:r>
      <w:r>
        <w:rPr>
          <w:rFonts w:ascii="宋体" w:hAnsi="宋体" w:cs="宋体"/>
          <w:color w:val="000000" w:themeColor="text1"/>
          <w14:textFill>
            <w14:solidFill>
              <w14:schemeClr w14:val="tx1"/>
            </w14:solidFill>
          </w14:textFill>
        </w:rPr>
        <w:t>FCLi</w:t>
      </w:r>
      <w:r>
        <w:rPr>
          <w:rFonts w:ascii="宋体" w:hAnsi="宋体" w:cs="宋体"/>
          <w:color w:val="000000" w:themeColor="text1"/>
          <w:vertAlign w:val="subscript"/>
          <w14:textFill>
            <w14:solidFill>
              <w14:schemeClr w14:val="tx1"/>
            </w14:solidFill>
          </w14:textFill>
        </w:rPr>
        <w:t>3</w:t>
      </w:r>
      <w:r>
        <w:rPr>
          <w:rFonts w:ascii="宋体" w:hAnsi="宋体" w:cs="宋体"/>
          <w:color w:val="000000" w:themeColor="text1"/>
          <w14:textFill>
            <w14:solidFill>
              <w14:schemeClr w14:val="tx1"/>
            </w14:solidFill>
          </w14:textFill>
        </w:rPr>
        <w:t>PO</w:t>
      </w:r>
      <w:r>
        <w:rPr>
          <w:rFonts w:ascii="宋体" w:hAnsi="宋体" w:cs="宋体"/>
          <w:color w:val="000000" w:themeColor="text1"/>
          <w:vertAlign w:val="subscript"/>
          <w14:textFill>
            <w14:solidFill>
              <w14:schemeClr w14:val="tx1"/>
            </w14:solidFill>
          </w14:textFill>
        </w:rPr>
        <w:t>4</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FCLi</w:t>
      </w:r>
      <w:r>
        <w:rPr>
          <w:rFonts w:ascii="宋体" w:hAnsi="宋体" w:cs="宋体"/>
          <w:color w:val="000000" w:themeColor="text1"/>
          <w:vertAlign w:val="subscript"/>
          <w14:textFill>
            <w14:solidFill>
              <w14:schemeClr w14:val="tx1"/>
            </w14:solidFill>
          </w14:textFill>
        </w:rPr>
        <w:t>3</w:t>
      </w:r>
      <w:r>
        <w:rPr>
          <w:rFonts w:ascii="宋体" w:hAnsi="宋体" w:cs="宋体"/>
          <w:color w:val="000000" w:themeColor="text1"/>
          <w14:textFill>
            <w14:solidFill>
              <w14:schemeClr w14:val="tx1"/>
            </w14:solidFill>
          </w14:textFill>
        </w:rPr>
        <w:t>PO</w:t>
      </w:r>
      <w:r>
        <w:rPr>
          <w:rFonts w:ascii="宋体" w:hAnsi="宋体" w:cs="宋体"/>
          <w:color w:val="000000" w:themeColor="text1"/>
          <w:vertAlign w:val="subscript"/>
          <w14:textFill>
            <w14:solidFill>
              <w14:schemeClr w14:val="tx1"/>
            </w14:solidFill>
          </w14:textFill>
        </w:rPr>
        <w:t>4</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FCLi</w:t>
      </w:r>
      <w:r>
        <w:rPr>
          <w:rFonts w:ascii="宋体" w:hAnsi="宋体" w:cs="宋体"/>
          <w:color w:val="000000" w:themeColor="text1"/>
          <w:vertAlign w:val="subscript"/>
          <w14:textFill>
            <w14:solidFill>
              <w14:schemeClr w14:val="tx1"/>
            </w14:solidFill>
          </w14:textFill>
        </w:rPr>
        <w:t>3</w:t>
      </w:r>
      <w:r>
        <w:rPr>
          <w:rFonts w:ascii="宋体" w:hAnsi="宋体" w:cs="宋体"/>
          <w:color w:val="000000" w:themeColor="text1"/>
          <w14:textFill>
            <w14:solidFill>
              <w14:schemeClr w14:val="tx1"/>
            </w14:solidFill>
          </w14:textFill>
        </w:rPr>
        <w:t>PO</w:t>
      </w:r>
      <w:r>
        <w:rPr>
          <w:rFonts w:ascii="宋体" w:hAnsi="宋体" w:cs="宋体"/>
          <w:color w:val="000000" w:themeColor="text1"/>
          <w:vertAlign w:val="subscript"/>
          <w14:textFill>
            <w14:solidFill>
              <w14:schemeClr w14:val="tx1"/>
            </w14:solidFill>
          </w14:textFill>
        </w:rPr>
        <w:t>4</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FCLi</w:t>
      </w:r>
      <w:r>
        <w:rPr>
          <w:rFonts w:ascii="宋体" w:hAnsi="宋体" w:cs="宋体"/>
          <w:color w:val="000000" w:themeColor="text1"/>
          <w:vertAlign w:val="subscript"/>
          <w14:textFill>
            <w14:solidFill>
              <w14:schemeClr w14:val="tx1"/>
            </w14:solidFill>
          </w14:textFill>
        </w:rPr>
        <w:t>3</w:t>
      </w:r>
      <w:r>
        <w:rPr>
          <w:rFonts w:ascii="宋体" w:hAnsi="宋体" w:cs="宋体"/>
          <w:color w:val="000000" w:themeColor="text1"/>
          <w14:textFill>
            <w14:solidFill>
              <w14:schemeClr w14:val="tx1"/>
            </w14:solidFill>
          </w14:textFill>
        </w:rPr>
        <w:t>PO</w:t>
      </w:r>
      <w:r>
        <w:rPr>
          <w:rFonts w:ascii="宋体" w:hAnsi="宋体" w:cs="宋体"/>
          <w:color w:val="000000" w:themeColor="text1"/>
          <w:vertAlign w:val="subscript"/>
          <w14:textFill>
            <w14:solidFill>
              <w14:schemeClr w14:val="tx1"/>
            </w14:solidFill>
          </w14:textFill>
        </w:rPr>
        <w:t>4</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4。</w:t>
      </w:r>
    </w:p>
    <w:p>
      <w:pPr>
        <w:pStyle w:val="61"/>
        <w:spacing w:before="156" w:after="156"/>
        <w:ind w:left="0"/>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技术要求</w:t>
      </w:r>
      <w:bookmarkStart w:id="8" w:name="SectionMark5"/>
    </w:p>
    <w:p>
      <w:pPr>
        <w:pStyle w:val="62"/>
        <w:rPr>
          <w:color w:val="000000" w:themeColor="text1"/>
          <w14:textFill>
            <w14:solidFill>
              <w14:schemeClr w14:val="tx1"/>
            </w14:solidFill>
          </w14:textFill>
        </w:rPr>
      </w:pPr>
      <w:bookmarkStart w:id="9" w:name="_Hlk56600679"/>
      <w:r>
        <w:rPr>
          <w:rFonts w:hint="eastAsia"/>
          <w:color w:val="000000" w:themeColor="text1"/>
          <w14:textFill>
            <w14:solidFill>
              <w14:schemeClr w14:val="tx1"/>
            </w14:solidFill>
          </w14:textFill>
        </w:rPr>
        <w:t>化学成分</w:t>
      </w:r>
    </w:p>
    <w:bookmarkEnd w:id="9"/>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磷酸锂产品的化学成分应符合表1的规定。</w:t>
      </w:r>
    </w:p>
    <w:p>
      <w:pPr>
        <w:pStyle w:val="60"/>
        <w:ind w:firstLine="0" w:firstLineChars="0"/>
        <w:jc w:val="center"/>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表1</w:t>
      </w:r>
      <w:r>
        <w:rPr>
          <w:rFonts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磷酸锂的化学成分</w:t>
      </w:r>
    </w:p>
    <w:tbl>
      <w:tblPr>
        <w:tblStyle w:val="48"/>
        <w:tblW w:w="11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645"/>
        <w:gridCol w:w="608"/>
        <w:gridCol w:w="556"/>
        <w:gridCol w:w="696"/>
        <w:gridCol w:w="695"/>
        <w:gridCol w:w="696"/>
        <w:gridCol w:w="696"/>
        <w:gridCol w:w="560"/>
        <w:gridCol w:w="696"/>
        <w:gridCol w:w="640"/>
        <w:gridCol w:w="683"/>
        <w:gridCol w:w="547"/>
        <w:gridCol w:w="501"/>
        <w:gridCol w:w="689"/>
        <w:gridCol w:w="547"/>
        <w:gridCol w:w="684"/>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34" w:type="dxa"/>
            <w:vMerge w:val="restart"/>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p>
          <w:p>
            <w:pPr>
              <w:snapToGrid w:val="0"/>
              <w:spacing w:line="360" w:lineRule="auto"/>
              <w:jc w:val="center"/>
              <w:rPr>
                <w:rFonts w:eastAsia="仿宋_GB2312"/>
                <w:color w:val="000000" w:themeColor="text1"/>
                <w:sz w:val="13"/>
                <w:szCs w:val="13"/>
                <w14:textFill>
                  <w14:solidFill>
                    <w14:schemeClr w14:val="tx1"/>
                  </w14:solidFill>
                </w14:textFill>
              </w:rPr>
            </w:pPr>
            <w:r>
              <w:rPr>
                <w:rFonts w:eastAsia="仿宋_GB2312"/>
                <w:color w:val="000000" w:themeColor="text1"/>
                <w:sz w:val="13"/>
                <w:szCs w:val="13"/>
                <w14:textFill>
                  <w14:solidFill>
                    <w14:schemeClr w14:val="tx1"/>
                  </w14:solidFill>
                </w14:textFill>
              </w:rPr>
              <w:t>牌号</w:t>
            </w:r>
          </w:p>
        </w:tc>
        <w:tc>
          <w:tcPr>
            <w:tcW w:w="10749" w:type="dxa"/>
            <w:gridSpan w:val="17"/>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834" w:type="dxa"/>
            <w:vMerge w:val="continue"/>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p>
        </w:tc>
        <w:tc>
          <w:tcPr>
            <w:tcW w:w="645" w:type="dxa"/>
            <w:vMerge w:val="restart"/>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Li</w:t>
            </w:r>
            <w:r>
              <w:rPr>
                <w:rFonts w:hint="eastAsia" w:eastAsia="仿宋_GB2312"/>
                <w:color w:val="000000" w:themeColor="text1"/>
                <w:sz w:val="13"/>
                <w:szCs w:val="13"/>
                <w:vertAlign w:val="subscript"/>
                <w14:textFill>
                  <w14:solidFill>
                    <w14:schemeClr w14:val="tx1"/>
                  </w14:solidFill>
                </w14:textFill>
              </w:rPr>
              <w:t>3</w:t>
            </w:r>
            <w:r>
              <w:rPr>
                <w:rFonts w:hint="eastAsia" w:eastAsia="仿宋_GB2312"/>
                <w:color w:val="000000" w:themeColor="text1"/>
                <w:sz w:val="13"/>
                <w:szCs w:val="13"/>
                <w14:textFill>
                  <w14:solidFill>
                    <w14:schemeClr w14:val="tx1"/>
                  </w14:solidFill>
                </w14:textFill>
              </w:rPr>
              <w:t>PO</w:t>
            </w:r>
            <w:r>
              <w:rPr>
                <w:rFonts w:hint="eastAsia" w:eastAsia="仿宋_GB2312"/>
                <w:color w:val="000000" w:themeColor="text1"/>
                <w:sz w:val="13"/>
                <w:szCs w:val="13"/>
                <w:vertAlign w:val="subscript"/>
                <w14:textFill>
                  <w14:solidFill>
                    <w14:schemeClr w14:val="tx1"/>
                  </w14:solidFill>
                </w14:textFill>
              </w:rPr>
              <w:t>4</w:t>
            </w:r>
            <w:r>
              <w:rPr>
                <w:rFonts w:hint="eastAsia" w:eastAsia="仿宋_GB2312"/>
                <w:color w:val="000000" w:themeColor="text1"/>
                <w:sz w:val="13"/>
                <w:szCs w:val="13"/>
                <w14:textFill>
                  <w14:solidFill>
                    <w14:schemeClr w14:val="tx1"/>
                  </w14:solidFill>
                </w14:textFill>
              </w:rPr>
              <w:t>主含量，不小于</w:t>
            </w:r>
          </w:p>
        </w:tc>
        <w:tc>
          <w:tcPr>
            <w:tcW w:w="10104" w:type="dxa"/>
            <w:gridSpan w:val="16"/>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eastAsia="仿宋_GB2312"/>
                <w:color w:val="000000" w:themeColor="text1"/>
                <w:sz w:val="13"/>
                <w:szCs w:val="13"/>
                <w14:textFill>
                  <w14:solidFill>
                    <w14:schemeClr w14:val="tx1"/>
                  </w14:solidFill>
                </w14:textFill>
              </w:rPr>
              <w:t>杂质含量</w:t>
            </w:r>
            <w:r>
              <w:rPr>
                <w:rFonts w:hint="eastAsia" w:eastAsia="仿宋_GB2312"/>
                <w:color w:val="000000" w:themeColor="text1"/>
                <w:sz w:val="13"/>
                <w:szCs w:val="13"/>
                <w14:textFill>
                  <w14:solidFill>
                    <w14:schemeClr w14:val="tx1"/>
                  </w14:solidFill>
                </w14:textFill>
              </w:rPr>
              <w:t>，</w:t>
            </w:r>
            <w:r>
              <w:rPr>
                <w:rFonts w:eastAsia="仿宋_GB2312"/>
                <w:color w:val="000000" w:themeColor="text1"/>
                <w:sz w:val="13"/>
                <w:szCs w:val="13"/>
                <w14:textFill>
                  <w14:solidFill>
                    <w14:schemeClr w14:val="tx1"/>
                  </w14:solidFill>
                </w14:textFill>
              </w:rPr>
              <w:t>不</w:t>
            </w:r>
            <w:r>
              <w:rPr>
                <w:rFonts w:hint="eastAsia" w:eastAsia="仿宋_GB2312"/>
                <w:color w:val="000000" w:themeColor="text1"/>
                <w:sz w:val="13"/>
                <w:szCs w:val="13"/>
                <w14:textFill>
                  <w14:solidFill>
                    <w14:schemeClr w14:val="tx1"/>
                  </w14:solidFill>
                </w14:textFill>
              </w:rPr>
              <w:t>大</w:t>
            </w:r>
            <w:r>
              <w:rPr>
                <w:rFonts w:eastAsia="仿宋_GB2312"/>
                <w:color w:val="000000" w:themeColor="text1"/>
                <w:sz w:val="13"/>
                <w:szCs w:val="13"/>
                <w14:textFill>
                  <w14:solidFill>
                    <w14:schemeClr w14:val="tx1"/>
                  </w14:solidFill>
                </w14:textFill>
              </w:rPr>
              <w:t>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834" w:type="dxa"/>
            <w:vMerge w:val="continue"/>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p>
        </w:tc>
        <w:tc>
          <w:tcPr>
            <w:tcW w:w="645" w:type="dxa"/>
            <w:vMerge w:val="continue"/>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p>
        </w:tc>
        <w:tc>
          <w:tcPr>
            <w:tcW w:w="608"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Ca</w:t>
            </w:r>
          </w:p>
        </w:tc>
        <w:tc>
          <w:tcPr>
            <w:tcW w:w="55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Mg</w:t>
            </w:r>
          </w:p>
        </w:tc>
        <w:tc>
          <w:tcPr>
            <w:tcW w:w="69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Fe</w:t>
            </w:r>
          </w:p>
        </w:tc>
        <w:tc>
          <w:tcPr>
            <w:tcW w:w="695"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Cu</w:t>
            </w:r>
          </w:p>
        </w:tc>
        <w:tc>
          <w:tcPr>
            <w:tcW w:w="69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Pb</w:t>
            </w:r>
          </w:p>
        </w:tc>
        <w:tc>
          <w:tcPr>
            <w:tcW w:w="69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Ni</w:t>
            </w:r>
          </w:p>
        </w:tc>
        <w:tc>
          <w:tcPr>
            <w:tcW w:w="560"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Cl</w:t>
            </w:r>
          </w:p>
        </w:tc>
        <w:tc>
          <w:tcPr>
            <w:tcW w:w="696"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Co</w:t>
            </w:r>
          </w:p>
        </w:tc>
        <w:tc>
          <w:tcPr>
            <w:tcW w:w="640"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M</w:t>
            </w:r>
            <w:r>
              <w:rPr>
                <w:rFonts w:eastAsia="仿宋_GB2312"/>
                <w:color w:val="000000" w:themeColor="text1"/>
                <w:sz w:val="13"/>
                <w:szCs w:val="13"/>
                <w14:textFill>
                  <w14:solidFill>
                    <w14:schemeClr w14:val="tx1"/>
                  </w14:solidFill>
                </w14:textFill>
              </w:rPr>
              <w:t>n</w:t>
            </w:r>
          </w:p>
        </w:tc>
        <w:tc>
          <w:tcPr>
            <w:tcW w:w="683"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A</w:t>
            </w:r>
            <w:r>
              <w:rPr>
                <w:rFonts w:eastAsia="仿宋_GB2312"/>
                <w:color w:val="000000" w:themeColor="text1"/>
                <w:sz w:val="13"/>
                <w:szCs w:val="13"/>
                <w14:textFill>
                  <w14:solidFill>
                    <w14:schemeClr w14:val="tx1"/>
                  </w14:solidFill>
                </w14:textFill>
              </w:rPr>
              <w:t>l</w:t>
            </w:r>
          </w:p>
        </w:tc>
        <w:tc>
          <w:tcPr>
            <w:tcW w:w="547"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N</w:t>
            </w:r>
            <w:r>
              <w:rPr>
                <w:rFonts w:eastAsia="仿宋_GB2312"/>
                <w:color w:val="000000" w:themeColor="text1"/>
                <w:sz w:val="13"/>
                <w:szCs w:val="13"/>
                <w14:textFill>
                  <w14:solidFill>
                    <w14:schemeClr w14:val="tx1"/>
                  </w14:solidFill>
                </w14:textFill>
              </w:rPr>
              <w:t>a</w:t>
            </w:r>
          </w:p>
        </w:tc>
        <w:tc>
          <w:tcPr>
            <w:tcW w:w="501"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S</w:t>
            </w:r>
            <w:r>
              <w:rPr>
                <w:rFonts w:eastAsia="仿宋_GB2312"/>
                <w:color w:val="000000" w:themeColor="text1"/>
                <w:sz w:val="13"/>
                <w:szCs w:val="13"/>
                <w14:textFill>
                  <w14:solidFill>
                    <w14:schemeClr w14:val="tx1"/>
                  </w14:solidFill>
                </w14:textFill>
              </w:rPr>
              <w:t>i</w:t>
            </w:r>
          </w:p>
        </w:tc>
        <w:tc>
          <w:tcPr>
            <w:tcW w:w="689"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Z</w:t>
            </w:r>
            <w:r>
              <w:rPr>
                <w:rFonts w:eastAsia="仿宋_GB2312"/>
                <w:color w:val="000000" w:themeColor="text1"/>
                <w:sz w:val="13"/>
                <w:szCs w:val="13"/>
                <w14:textFill>
                  <w14:solidFill>
                    <w14:schemeClr w14:val="tx1"/>
                  </w14:solidFill>
                </w14:textFill>
              </w:rPr>
              <w:t>n</w:t>
            </w:r>
          </w:p>
        </w:tc>
        <w:tc>
          <w:tcPr>
            <w:tcW w:w="547"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S</w:t>
            </w:r>
            <w:r>
              <w:rPr>
                <w:rFonts w:eastAsia="仿宋_GB2312"/>
                <w:color w:val="000000" w:themeColor="text1"/>
                <w:sz w:val="13"/>
                <w:szCs w:val="13"/>
                <w14:textFill>
                  <w14:solidFill>
                    <w14:schemeClr w14:val="tx1"/>
                  </w14:solidFill>
                </w14:textFill>
              </w:rPr>
              <w:t>O</w:t>
            </w:r>
            <w:r>
              <w:rPr>
                <w:rFonts w:eastAsia="仿宋_GB2312"/>
                <w:color w:val="000000" w:themeColor="text1"/>
                <w:sz w:val="13"/>
                <w:szCs w:val="13"/>
                <w:vertAlign w:val="subscript"/>
                <w14:textFill>
                  <w14:solidFill>
                    <w14:schemeClr w14:val="tx1"/>
                  </w14:solidFill>
                </w14:textFill>
              </w:rPr>
              <w:t>4</w:t>
            </w:r>
            <w:r>
              <w:rPr>
                <w:rFonts w:eastAsia="仿宋_GB2312"/>
                <w:color w:val="000000" w:themeColor="text1"/>
                <w:sz w:val="13"/>
                <w:szCs w:val="13"/>
                <w:vertAlign w:val="superscript"/>
                <w14:textFill>
                  <w14:solidFill>
                    <w14:schemeClr w14:val="tx1"/>
                  </w14:solidFill>
                </w14:textFill>
              </w:rPr>
              <w:t>2-</w:t>
            </w:r>
          </w:p>
        </w:tc>
        <w:tc>
          <w:tcPr>
            <w:tcW w:w="684"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C</w:t>
            </w:r>
            <w:r>
              <w:rPr>
                <w:rFonts w:eastAsia="仿宋_GB2312"/>
                <w:color w:val="000000" w:themeColor="text1"/>
                <w:sz w:val="13"/>
                <w:szCs w:val="13"/>
                <w14:textFill>
                  <w14:solidFill>
                    <w14:schemeClr w14:val="tx1"/>
                  </w14:solidFill>
                </w14:textFill>
              </w:rPr>
              <w:t>r</w:t>
            </w:r>
          </w:p>
        </w:tc>
        <w:tc>
          <w:tcPr>
            <w:tcW w:w="610"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C</w:t>
            </w:r>
            <w:r>
              <w:rPr>
                <w:rFonts w:eastAsia="仿宋_GB2312"/>
                <w:color w:val="000000" w:themeColor="text1"/>
                <w:sz w:val="13"/>
                <w:szCs w:val="13"/>
                <w14:textFill>
                  <w14:solidFill>
                    <w14:schemeClr w14:val="tx1"/>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34"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FCLi</w:t>
            </w:r>
            <w:r>
              <w:rPr>
                <w:rFonts w:hint="eastAsia" w:eastAsia="仿宋_GB2312"/>
                <w:color w:val="000000" w:themeColor="text1"/>
                <w:sz w:val="13"/>
                <w:szCs w:val="13"/>
                <w:vertAlign w:val="subscript"/>
                <w14:textFill>
                  <w14:solidFill>
                    <w14:schemeClr w14:val="tx1"/>
                  </w14:solidFill>
                </w14:textFill>
              </w:rPr>
              <w:t>3</w:t>
            </w:r>
            <w:r>
              <w:rPr>
                <w:rFonts w:hint="eastAsia" w:eastAsia="仿宋_GB2312"/>
                <w:color w:val="000000" w:themeColor="text1"/>
                <w:sz w:val="13"/>
                <w:szCs w:val="13"/>
                <w14:textFill>
                  <w14:solidFill>
                    <w14:schemeClr w14:val="tx1"/>
                  </w14:solidFill>
                </w14:textFill>
              </w:rPr>
              <w:t>PO</w:t>
            </w:r>
            <w:r>
              <w:rPr>
                <w:rFonts w:hint="eastAsia" w:eastAsia="仿宋_GB2312"/>
                <w:color w:val="000000" w:themeColor="text1"/>
                <w:sz w:val="13"/>
                <w:szCs w:val="13"/>
                <w:vertAlign w:val="subscript"/>
                <w14:textFill>
                  <w14:solidFill>
                    <w14:schemeClr w14:val="tx1"/>
                  </w14:solidFill>
                </w14:textFill>
              </w:rPr>
              <w:t>4</w:t>
            </w:r>
            <w:r>
              <w:rPr>
                <w:rFonts w:hint="eastAsia" w:eastAsia="仿宋_GB2312"/>
                <w:color w:val="000000" w:themeColor="text1"/>
                <w:sz w:val="13"/>
                <w:szCs w:val="13"/>
                <w14:textFill>
                  <w14:solidFill>
                    <w14:schemeClr w14:val="tx1"/>
                  </w14:solidFill>
                </w14:textFill>
              </w:rPr>
              <w:t>-1</w:t>
            </w:r>
          </w:p>
        </w:tc>
        <w:tc>
          <w:tcPr>
            <w:tcW w:w="645"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99.9</w:t>
            </w:r>
          </w:p>
        </w:tc>
        <w:tc>
          <w:tcPr>
            <w:tcW w:w="608"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0.002</w:t>
            </w:r>
          </w:p>
        </w:tc>
        <w:tc>
          <w:tcPr>
            <w:tcW w:w="55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0.001</w:t>
            </w:r>
          </w:p>
        </w:tc>
        <w:tc>
          <w:tcPr>
            <w:tcW w:w="69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0.0005</w:t>
            </w:r>
          </w:p>
        </w:tc>
        <w:tc>
          <w:tcPr>
            <w:tcW w:w="695"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69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69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560"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0.08</w:t>
            </w:r>
          </w:p>
        </w:tc>
        <w:tc>
          <w:tcPr>
            <w:tcW w:w="696"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.0001</w:t>
            </w:r>
          </w:p>
        </w:tc>
        <w:tc>
          <w:tcPr>
            <w:tcW w:w="640"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683"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.0005</w:t>
            </w:r>
          </w:p>
        </w:tc>
        <w:tc>
          <w:tcPr>
            <w:tcW w:w="547"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.001</w:t>
            </w:r>
          </w:p>
        </w:tc>
        <w:tc>
          <w:tcPr>
            <w:tcW w:w="501"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.005</w:t>
            </w:r>
          </w:p>
        </w:tc>
        <w:tc>
          <w:tcPr>
            <w:tcW w:w="689"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.0001</w:t>
            </w:r>
          </w:p>
        </w:tc>
        <w:tc>
          <w:tcPr>
            <w:tcW w:w="547"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.02</w:t>
            </w:r>
          </w:p>
        </w:tc>
        <w:tc>
          <w:tcPr>
            <w:tcW w:w="684"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.0001</w:t>
            </w:r>
          </w:p>
        </w:tc>
        <w:tc>
          <w:tcPr>
            <w:tcW w:w="610"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34"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FCLi</w:t>
            </w:r>
            <w:r>
              <w:rPr>
                <w:rFonts w:hint="eastAsia" w:eastAsia="仿宋_GB2312"/>
                <w:color w:val="000000" w:themeColor="text1"/>
                <w:sz w:val="13"/>
                <w:szCs w:val="13"/>
                <w:vertAlign w:val="subscript"/>
                <w14:textFill>
                  <w14:solidFill>
                    <w14:schemeClr w14:val="tx1"/>
                  </w14:solidFill>
                </w14:textFill>
              </w:rPr>
              <w:t>3</w:t>
            </w:r>
            <w:r>
              <w:rPr>
                <w:rFonts w:hint="eastAsia" w:eastAsia="仿宋_GB2312"/>
                <w:color w:val="000000" w:themeColor="text1"/>
                <w:sz w:val="13"/>
                <w:szCs w:val="13"/>
                <w14:textFill>
                  <w14:solidFill>
                    <w14:schemeClr w14:val="tx1"/>
                  </w14:solidFill>
                </w14:textFill>
              </w:rPr>
              <w:t>PO</w:t>
            </w:r>
            <w:r>
              <w:rPr>
                <w:rFonts w:hint="eastAsia" w:eastAsia="仿宋_GB2312"/>
                <w:color w:val="000000" w:themeColor="text1"/>
                <w:sz w:val="13"/>
                <w:szCs w:val="13"/>
                <w:vertAlign w:val="subscript"/>
                <w14:textFill>
                  <w14:solidFill>
                    <w14:schemeClr w14:val="tx1"/>
                  </w14:solidFill>
                </w14:textFill>
              </w:rPr>
              <w:t>4</w:t>
            </w:r>
            <w:r>
              <w:rPr>
                <w:rFonts w:hint="eastAsia" w:eastAsia="仿宋_GB2312"/>
                <w:color w:val="000000" w:themeColor="text1"/>
                <w:sz w:val="13"/>
                <w:szCs w:val="13"/>
                <w14:textFill>
                  <w14:solidFill>
                    <w14:schemeClr w14:val="tx1"/>
                  </w14:solidFill>
                </w14:textFill>
              </w:rPr>
              <w:t>-2</w:t>
            </w:r>
          </w:p>
        </w:tc>
        <w:tc>
          <w:tcPr>
            <w:tcW w:w="645"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98.0</w:t>
            </w:r>
          </w:p>
        </w:tc>
        <w:tc>
          <w:tcPr>
            <w:tcW w:w="608"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0.002</w:t>
            </w:r>
          </w:p>
        </w:tc>
        <w:tc>
          <w:tcPr>
            <w:tcW w:w="55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0.001</w:t>
            </w:r>
          </w:p>
        </w:tc>
        <w:tc>
          <w:tcPr>
            <w:tcW w:w="69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0.0005</w:t>
            </w:r>
          </w:p>
        </w:tc>
        <w:tc>
          <w:tcPr>
            <w:tcW w:w="695"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69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69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560"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0.1</w:t>
            </w:r>
          </w:p>
        </w:tc>
        <w:tc>
          <w:tcPr>
            <w:tcW w:w="696"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640"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683"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.0005</w:t>
            </w:r>
          </w:p>
        </w:tc>
        <w:tc>
          <w:tcPr>
            <w:tcW w:w="547"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.001</w:t>
            </w:r>
          </w:p>
        </w:tc>
        <w:tc>
          <w:tcPr>
            <w:tcW w:w="501"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.005</w:t>
            </w:r>
          </w:p>
        </w:tc>
        <w:tc>
          <w:tcPr>
            <w:tcW w:w="689"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.0001</w:t>
            </w:r>
          </w:p>
        </w:tc>
        <w:tc>
          <w:tcPr>
            <w:tcW w:w="547"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.02</w:t>
            </w:r>
          </w:p>
        </w:tc>
        <w:tc>
          <w:tcPr>
            <w:tcW w:w="684"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.0001</w:t>
            </w:r>
          </w:p>
        </w:tc>
        <w:tc>
          <w:tcPr>
            <w:tcW w:w="610"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34"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FCLi</w:t>
            </w:r>
            <w:r>
              <w:rPr>
                <w:rFonts w:hint="eastAsia" w:eastAsia="仿宋_GB2312"/>
                <w:color w:val="000000" w:themeColor="text1"/>
                <w:sz w:val="13"/>
                <w:szCs w:val="13"/>
                <w:vertAlign w:val="subscript"/>
                <w14:textFill>
                  <w14:solidFill>
                    <w14:schemeClr w14:val="tx1"/>
                  </w14:solidFill>
                </w14:textFill>
              </w:rPr>
              <w:t>3</w:t>
            </w:r>
            <w:r>
              <w:rPr>
                <w:rFonts w:hint="eastAsia" w:eastAsia="仿宋_GB2312"/>
                <w:color w:val="000000" w:themeColor="text1"/>
                <w:sz w:val="13"/>
                <w:szCs w:val="13"/>
                <w14:textFill>
                  <w14:solidFill>
                    <w14:schemeClr w14:val="tx1"/>
                  </w14:solidFill>
                </w14:textFill>
              </w:rPr>
              <w:t>PO</w:t>
            </w:r>
            <w:r>
              <w:rPr>
                <w:rFonts w:hint="eastAsia" w:eastAsia="仿宋_GB2312"/>
                <w:color w:val="000000" w:themeColor="text1"/>
                <w:sz w:val="13"/>
                <w:szCs w:val="13"/>
                <w:vertAlign w:val="subscript"/>
                <w14:textFill>
                  <w14:solidFill>
                    <w14:schemeClr w14:val="tx1"/>
                  </w14:solidFill>
                </w14:textFill>
              </w:rPr>
              <w:t>4</w:t>
            </w:r>
            <w:r>
              <w:rPr>
                <w:rFonts w:hint="eastAsia" w:eastAsia="仿宋_GB2312"/>
                <w:color w:val="000000" w:themeColor="text1"/>
                <w:sz w:val="13"/>
                <w:szCs w:val="13"/>
                <w14:textFill>
                  <w14:solidFill>
                    <w14:schemeClr w14:val="tx1"/>
                  </w14:solidFill>
                </w14:textFill>
              </w:rPr>
              <w:t>-3</w:t>
            </w:r>
          </w:p>
        </w:tc>
        <w:tc>
          <w:tcPr>
            <w:tcW w:w="645"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95.0</w:t>
            </w:r>
          </w:p>
        </w:tc>
        <w:tc>
          <w:tcPr>
            <w:tcW w:w="608"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0.0035</w:t>
            </w:r>
          </w:p>
        </w:tc>
        <w:tc>
          <w:tcPr>
            <w:tcW w:w="55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0.002</w:t>
            </w:r>
          </w:p>
        </w:tc>
        <w:tc>
          <w:tcPr>
            <w:tcW w:w="69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0.001</w:t>
            </w:r>
          </w:p>
        </w:tc>
        <w:tc>
          <w:tcPr>
            <w:tcW w:w="695"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69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696"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560"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0.5</w:t>
            </w:r>
          </w:p>
        </w:tc>
        <w:tc>
          <w:tcPr>
            <w:tcW w:w="696"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640"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0.0001</w:t>
            </w:r>
          </w:p>
        </w:tc>
        <w:tc>
          <w:tcPr>
            <w:tcW w:w="683"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.0005</w:t>
            </w:r>
          </w:p>
        </w:tc>
        <w:tc>
          <w:tcPr>
            <w:tcW w:w="547"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.001</w:t>
            </w:r>
          </w:p>
        </w:tc>
        <w:tc>
          <w:tcPr>
            <w:tcW w:w="501"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.005</w:t>
            </w:r>
          </w:p>
        </w:tc>
        <w:tc>
          <w:tcPr>
            <w:tcW w:w="689"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.0001</w:t>
            </w:r>
          </w:p>
        </w:tc>
        <w:tc>
          <w:tcPr>
            <w:tcW w:w="547"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eastAsia="仿宋_GB2312"/>
                <w:color w:val="000000" w:themeColor="text1"/>
                <w:sz w:val="13"/>
                <w:szCs w:val="13"/>
                <w14:textFill>
                  <w14:solidFill>
                    <w14:schemeClr w14:val="tx1"/>
                  </w14:solidFill>
                </w14:textFill>
              </w:rPr>
              <w:t>0.02</w:t>
            </w:r>
          </w:p>
        </w:tc>
        <w:tc>
          <w:tcPr>
            <w:tcW w:w="684"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.0001</w:t>
            </w:r>
          </w:p>
        </w:tc>
        <w:tc>
          <w:tcPr>
            <w:tcW w:w="610" w:type="dxa"/>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w:t>
            </w:r>
            <w:r>
              <w:rPr>
                <w:rFonts w:eastAsia="仿宋_GB2312"/>
                <w:color w:val="000000" w:themeColor="text1"/>
                <w:sz w:val="13"/>
                <w:szCs w:val="13"/>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34" w:type="dxa"/>
            <w:shd w:val="clear" w:color="auto" w:fill="auto"/>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FCLi</w:t>
            </w:r>
            <w:r>
              <w:rPr>
                <w:rFonts w:hint="eastAsia" w:eastAsia="仿宋_GB2312"/>
                <w:color w:val="000000" w:themeColor="text1"/>
                <w:sz w:val="13"/>
                <w:szCs w:val="13"/>
                <w:vertAlign w:val="subscript"/>
                <w14:textFill>
                  <w14:solidFill>
                    <w14:schemeClr w14:val="tx1"/>
                  </w14:solidFill>
                </w14:textFill>
              </w:rPr>
              <w:t>3</w:t>
            </w:r>
            <w:r>
              <w:rPr>
                <w:rFonts w:hint="eastAsia" w:eastAsia="仿宋_GB2312"/>
                <w:color w:val="000000" w:themeColor="text1"/>
                <w:sz w:val="13"/>
                <w:szCs w:val="13"/>
                <w14:textFill>
                  <w14:solidFill>
                    <w14:schemeClr w14:val="tx1"/>
                  </w14:solidFill>
                </w14:textFill>
              </w:rPr>
              <w:t>PO</w:t>
            </w:r>
            <w:r>
              <w:rPr>
                <w:rFonts w:hint="eastAsia" w:eastAsia="仿宋_GB2312"/>
                <w:color w:val="000000" w:themeColor="text1"/>
                <w:sz w:val="13"/>
                <w:szCs w:val="13"/>
                <w:vertAlign w:val="subscript"/>
                <w14:textFill>
                  <w14:solidFill>
                    <w14:schemeClr w14:val="tx1"/>
                  </w14:solidFill>
                </w14:textFill>
              </w:rPr>
              <w:t>4</w:t>
            </w:r>
            <w:r>
              <w:rPr>
                <w:rFonts w:hint="eastAsia" w:eastAsia="仿宋_GB2312"/>
                <w:color w:val="000000" w:themeColor="text1"/>
                <w:sz w:val="13"/>
                <w:szCs w:val="13"/>
                <w14:textFill>
                  <w14:solidFill>
                    <w14:schemeClr w14:val="tx1"/>
                  </w14:solidFill>
                </w14:textFill>
              </w:rPr>
              <w:t>-4</w:t>
            </w:r>
          </w:p>
        </w:tc>
        <w:tc>
          <w:tcPr>
            <w:tcW w:w="645" w:type="dxa"/>
            <w:shd w:val="clear" w:color="auto" w:fill="auto"/>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 xml:space="preserve"> 85.0</w:t>
            </w:r>
          </w:p>
        </w:tc>
        <w:tc>
          <w:tcPr>
            <w:tcW w:w="608" w:type="dxa"/>
            <w:shd w:val="clear" w:color="auto" w:fill="auto"/>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0.035</w:t>
            </w:r>
          </w:p>
        </w:tc>
        <w:tc>
          <w:tcPr>
            <w:tcW w:w="556" w:type="dxa"/>
            <w:shd w:val="clear" w:color="auto" w:fill="auto"/>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0.01</w:t>
            </w:r>
          </w:p>
        </w:tc>
        <w:tc>
          <w:tcPr>
            <w:tcW w:w="696" w:type="dxa"/>
            <w:shd w:val="clear" w:color="auto" w:fill="auto"/>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0.01</w:t>
            </w:r>
          </w:p>
        </w:tc>
        <w:tc>
          <w:tcPr>
            <w:tcW w:w="695" w:type="dxa"/>
            <w:shd w:val="clear" w:color="auto" w:fill="auto"/>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0.001</w:t>
            </w:r>
          </w:p>
        </w:tc>
        <w:tc>
          <w:tcPr>
            <w:tcW w:w="696" w:type="dxa"/>
            <w:shd w:val="clear" w:color="auto" w:fill="auto"/>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0.001</w:t>
            </w:r>
          </w:p>
        </w:tc>
        <w:tc>
          <w:tcPr>
            <w:tcW w:w="696" w:type="dxa"/>
            <w:shd w:val="clear" w:color="auto" w:fill="auto"/>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0.005</w:t>
            </w:r>
          </w:p>
        </w:tc>
        <w:tc>
          <w:tcPr>
            <w:tcW w:w="560" w:type="dxa"/>
            <w:shd w:val="clear" w:color="auto" w:fill="auto"/>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0.5</w:t>
            </w:r>
          </w:p>
        </w:tc>
        <w:tc>
          <w:tcPr>
            <w:tcW w:w="696" w:type="dxa"/>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0.001</w:t>
            </w:r>
          </w:p>
        </w:tc>
        <w:tc>
          <w:tcPr>
            <w:tcW w:w="640" w:type="dxa"/>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0.01</w:t>
            </w:r>
          </w:p>
        </w:tc>
        <w:tc>
          <w:tcPr>
            <w:tcW w:w="683" w:type="dxa"/>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0.01</w:t>
            </w:r>
          </w:p>
        </w:tc>
        <w:tc>
          <w:tcPr>
            <w:tcW w:w="547" w:type="dxa"/>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1.0</w:t>
            </w:r>
          </w:p>
        </w:tc>
        <w:tc>
          <w:tcPr>
            <w:tcW w:w="501" w:type="dxa"/>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0.01</w:t>
            </w:r>
          </w:p>
        </w:tc>
        <w:tc>
          <w:tcPr>
            <w:tcW w:w="689" w:type="dxa"/>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0.01</w:t>
            </w:r>
          </w:p>
        </w:tc>
        <w:tc>
          <w:tcPr>
            <w:tcW w:w="547" w:type="dxa"/>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1.5</w:t>
            </w:r>
          </w:p>
        </w:tc>
        <w:tc>
          <w:tcPr>
            <w:tcW w:w="684" w:type="dxa"/>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0.001</w:t>
            </w:r>
          </w:p>
        </w:tc>
        <w:tc>
          <w:tcPr>
            <w:tcW w:w="610" w:type="dxa"/>
            <w:vAlign w:val="center"/>
          </w:tcPr>
          <w:p>
            <w:pPr>
              <w:snapToGrid w:val="0"/>
              <w:spacing w:line="360" w:lineRule="auto"/>
              <w:jc w:val="center"/>
              <w:rPr>
                <w:rFonts w:eastAsia="仿宋_GB2312"/>
                <w:color w:val="000000" w:themeColor="text1"/>
                <w:sz w:val="13"/>
                <w:szCs w:val="13"/>
                <w14:textFill>
                  <w14:solidFill>
                    <w14:schemeClr w14:val="tx1"/>
                  </w14:solidFill>
                </w14:textFill>
              </w:rPr>
            </w:pPr>
            <w:r>
              <w:rPr>
                <w:rFonts w:hint="eastAsia" w:eastAsia="仿宋_GB2312"/>
                <w:color w:val="000000" w:themeColor="text1"/>
                <w:sz w:val="13"/>
                <w:szCs w:val="13"/>
                <w14:textFill>
                  <w14:solidFill>
                    <w14:schemeClr w14:val="tx1"/>
                  </w14:solidFill>
                </w14:textFill>
              </w:rPr>
              <w:t>0.001</w:t>
            </w:r>
          </w:p>
        </w:tc>
      </w:tr>
    </w:tbl>
    <w:p>
      <w:pPr>
        <w:pStyle w:val="62"/>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水分</w:t>
      </w:r>
    </w:p>
    <w:tbl>
      <w:tblPr>
        <w:tblStyle w:val="49"/>
        <w:tblW w:w="9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1911"/>
        <w:gridCol w:w="1912"/>
        <w:gridCol w:w="1906"/>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1" w:type="dxa"/>
          </w:tcPr>
          <w:p>
            <w:pPr>
              <w:pStyle w:val="60"/>
              <w:widowControl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牌号</w:t>
            </w:r>
          </w:p>
        </w:tc>
        <w:tc>
          <w:tcPr>
            <w:tcW w:w="1911" w:type="dxa"/>
          </w:tcPr>
          <w:p>
            <w:pPr>
              <w:pStyle w:val="60"/>
              <w:widowControl w:val="0"/>
              <w:spacing w:line="300" w:lineRule="auto"/>
              <w:ind w:firstLine="260"/>
              <w:rPr>
                <w:color w:val="000000" w:themeColor="text1"/>
                <w14:textFill>
                  <w14:solidFill>
                    <w14:schemeClr w14:val="tx1"/>
                  </w14:solidFill>
                </w14:textFill>
              </w:rPr>
            </w:pPr>
            <w:r>
              <w:rPr>
                <w:rFonts w:hint="eastAsia" w:eastAsia="仿宋_GB2312"/>
                <w:color w:val="000000" w:themeColor="text1"/>
                <w:sz w:val="13"/>
                <w:szCs w:val="13"/>
                <w14:textFill>
                  <w14:solidFill>
                    <w14:schemeClr w14:val="tx1"/>
                  </w14:solidFill>
                </w14:textFill>
              </w:rPr>
              <w:t>FCLi</w:t>
            </w:r>
            <w:r>
              <w:rPr>
                <w:rFonts w:hint="eastAsia" w:eastAsia="仿宋_GB2312"/>
                <w:color w:val="000000" w:themeColor="text1"/>
                <w:sz w:val="13"/>
                <w:szCs w:val="13"/>
                <w:vertAlign w:val="subscript"/>
                <w14:textFill>
                  <w14:solidFill>
                    <w14:schemeClr w14:val="tx1"/>
                  </w14:solidFill>
                </w14:textFill>
              </w:rPr>
              <w:t>3</w:t>
            </w:r>
            <w:r>
              <w:rPr>
                <w:rFonts w:hint="eastAsia" w:eastAsia="仿宋_GB2312"/>
                <w:color w:val="000000" w:themeColor="text1"/>
                <w:sz w:val="13"/>
                <w:szCs w:val="13"/>
                <w14:textFill>
                  <w14:solidFill>
                    <w14:schemeClr w14:val="tx1"/>
                  </w14:solidFill>
                </w14:textFill>
              </w:rPr>
              <w:t>PO</w:t>
            </w:r>
            <w:r>
              <w:rPr>
                <w:rFonts w:hint="eastAsia" w:eastAsia="仿宋_GB2312"/>
                <w:color w:val="000000" w:themeColor="text1"/>
                <w:sz w:val="13"/>
                <w:szCs w:val="13"/>
                <w:vertAlign w:val="subscript"/>
                <w14:textFill>
                  <w14:solidFill>
                    <w14:schemeClr w14:val="tx1"/>
                  </w14:solidFill>
                </w14:textFill>
              </w:rPr>
              <w:t>4</w:t>
            </w:r>
            <w:r>
              <w:rPr>
                <w:rFonts w:hint="eastAsia" w:eastAsia="仿宋_GB2312"/>
                <w:color w:val="000000" w:themeColor="text1"/>
                <w:sz w:val="13"/>
                <w:szCs w:val="13"/>
                <w14:textFill>
                  <w14:solidFill>
                    <w14:schemeClr w14:val="tx1"/>
                  </w14:solidFill>
                </w14:textFill>
              </w:rPr>
              <w:t>-1</w:t>
            </w:r>
          </w:p>
        </w:tc>
        <w:tc>
          <w:tcPr>
            <w:tcW w:w="1912" w:type="dxa"/>
          </w:tcPr>
          <w:p>
            <w:pPr>
              <w:pStyle w:val="60"/>
              <w:widowControl w:val="0"/>
              <w:spacing w:line="300" w:lineRule="auto"/>
              <w:ind w:firstLine="260"/>
              <w:rPr>
                <w:color w:val="000000" w:themeColor="text1"/>
                <w14:textFill>
                  <w14:solidFill>
                    <w14:schemeClr w14:val="tx1"/>
                  </w14:solidFill>
                </w14:textFill>
              </w:rPr>
            </w:pPr>
            <w:r>
              <w:rPr>
                <w:rFonts w:hint="eastAsia" w:eastAsia="仿宋_GB2312"/>
                <w:color w:val="000000" w:themeColor="text1"/>
                <w:sz w:val="13"/>
                <w:szCs w:val="13"/>
                <w14:textFill>
                  <w14:solidFill>
                    <w14:schemeClr w14:val="tx1"/>
                  </w14:solidFill>
                </w14:textFill>
              </w:rPr>
              <w:t>FCLi</w:t>
            </w:r>
            <w:r>
              <w:rPr>
                <w:rFonts w:hint="eastAsia" w:eastAsia="仿宋_GB2312"/>
                <w:color w:val="000000" w:themeColor="text1"/>
                <w:sz w:val="13"/>
                <w:szCs w:val="13"/>
                <w:vertAlign w:val="subscript"/>
                <w14:textFill>
                  <w14:solidFill>
                    <w14:schemeClr w14:val="tx1"/>
                  </w14:solidFill>
                </w14:textFill>
              </w:rPr>
              <w:t>3</w:t>
            </w:r>
            <w:r>
              <w:rPr>
                <w:rFonts w:hint="eastAsia" w:eastAsia="仿宋_GB2312"/>
                <w:color w:val="000000" w:themeColor="text1"/>
                <w:sz w:val="13"/>
                <w:szCs w:val="13"/>
                <w14:textFill>
                  <w14:solidFill>
                    <w14:schemeClr w14:val="tx1"/>
                  </w14:solidFill>
                </w14:textFill>
              </w:rPr>
              <w:t>PO</w:t>
            </w:r>
            <w:r>
              <w:rPr>
                <w:rFonts w:hint="eastAsia" w:eastAsia="仿宋_GB2312"/>
                <w:color w:val="000000" w:themeColor="text1"/>
                <w:sz w:val="13"/>
                <w:szCs w:val="13"/>
                <w:vertAlign w:val="subscript"/>
                <w14:textFill>
                  <w14:solidFill>
                    <w14:schemeClr w14:val="tx1"/>
                  </w14:solidFill>
                </w14:textFill>
              </w:rPr>
              <w:t>4</w:t>
            </w:r>
            <w:r>
              <w:rPr>
                <w:rFonts w:hint="eastAsia" w:eastAsia="仿宋_GB2312"/>
                <w:color w:val="000000" w:themeColor="text1"/>
                <w:sz w:val="13"/>
                <w:szCs w:val="13"/>
                <w14:textFill>
                  <w14:solidFill>
                    <w14:schemeClr w14:val="tx1"/>
                  </w14:solidFill>
                </w14:textFill>
              </w:rPr>
              <w:t>-2</w:t>
            </w:r>
          </w:p>
        </w:tc>
        <w:tc>
          <w:tcPr>
            <w:tcW w:w="1906" w:type="dxa"/>
          </w:tcPr>
          <w:p>
            <w:pPr>
              <w:pStyle w:val="60"/>
              <w:widowControl w:val="0"/>
              <w:spacing w:line="300" w:lineRule="auto"/>
              <w:ind w:firstLine="260"/>
              <w:rPr>
                <w:color w:val="000000" w:themeColor="text1"/>
                <w14:textFill>
                  <w14:solidFill>
                    <w14:schemeClr w14:val="tx1"/>
                  </w14:solidFill>
                </w14:textFill>
              </w:rPr>
            </w:pPr>
            <w:r>
              <w:rPr>
                <w:rFonts w:hint="eastAsia" w:eastAsia="仿宋_GB2312"/>
                <w:color w:val="000000" w:themeColor="text1"/>
                <w:sz w:val="13"/>
                <w:szCs w:val="13"/>
                <w14:textFill>
                  <w14:solidFill>
                    <w14:schemeClr w14:val="tx1"/>
                  </w14:solidFill>
                </w14:textFill>
              </w:rPr>
              <w:t>FCLi</w:t>
            </w:r>
            <w:r>
              <w:rPr>
                <w:rFonts w:hint="eastAsia" w:eastAsia="仿宋_GB2312"/>
                <w:color w:val="000000" w:themeColor="text1"/>
                <w:sz w:val="13"/>
                <w:szCs w:val="13"/>
                <w:vertAlign w:val="subscript"/>
                <w14:textFill>
                  <w14:solidFill>
                    <w14:schemeClr w14:val="tx1"/>
                  </w14:solidFill>
                </w14:textFill>
              </w:rPr>
              <w:t>3</w:t>
            </w:r>
            <w:r>
              <w:rPr>
                <w:rFonts w:hint="eastAsia" w:eastAsia="仿宋_GB2312"/>
                <w:color w:val="000000" w:themeColor="text1"/>
                <w:sz w:val="13"/>
                <w:szCs w:val="13"/>
                <w14:textFill>
                  <w14:solidFill>
                    <w14:schemeClr w14:val="tx1"/>
                  </w14:solidFill>
                </w14:textFill>
              </w:rPr>
              <w:t>PO</w:t>
            </w:r>
            <w:r>
              <w:rPr>
                <w:rFonts w:hint="eastAsia" w:eastAsia="仿宋_GB2312"/>
                <w:color w:val="000000" w:themeColor="text1"/>
                <w:sz w:val="13"/>
                <w:szCs w:val="13"/>
                <w:vertAlign w:val="subscript"/>
                <w14:textFill>
                  <w14:solidFill>
                    <w14:schemeClr w14:val="tx1"/>
                  </w14:solidFill>
                </w14:textFill>
              </w:rPr>
              <w:t>4</w:t>
            </w:r>
            <w:r>
              <w:rPr>
                <w:rFonts w:hint="eastAsia" w:eastAsia="仿宋_GB2312"/>
                <w:color w:val="000000" w:themeColor="text1"/>
                <w:sz w:val="13"/>
                <w:szCs w:val="13"/>
                <w14:textFill>
                  <w14:solidFill>
                    <w14:schemeClr w14:val="tx1"/>
                  </w14:solidFill>
                </w14:textFill>
              </w:rPr>
              <w:t>-3</w:t>
            </w:r>
          </w:p>
        </w:tc>
        <w:tc>
          <w:tcPr>
            <w:tcW w:w="1905" w:type="dxa"/>
          </w:tcPr>
          <w:p>
            <w:pPr>
              <w:pStyle w:val="60"/>
              <w:widowControl w:val="0"/>
              <w:spacing w:line="300" w:lineRule="auto"/>
              <w:ind w:firstLine="260"/>
              <w:rPr>
                <w:color w:val="000000" w:themeColor="text1"/>
                <w14:textFill>
                  <w14:solidFill>
                    <w14:schemeClr w14:val="tx1"/>
                  </w14:solidFill>
                </w14:textFill>
              </w:rPr>
            </w:pPr>
            <w:r>
              <w:rPr>
                <w:rFonts w:hint="eastAsia" w:eastAsia="仿宋_GB2312"/>
                <w:color w:val="000000" w:themeColor="text1"/>
                <w:sz w:val="13"/>
                <w:szCs w:val="13"/>
                <w14:textFill>
                  <w14:solidFill>
                    <w14:schemeClr w14:val="tx1"/>
                  </w14:solidFill>
                </w14:textFill>
              </w:rPr>
              <w:t>FCLi</w:t>
            </w:r>
            <w:r>
              <w:rPr>
                <w:rFonts w:hint="eastAsia" w:eastAsia="仿宋_GB2312"/>
                <w:color w:val="000000" w:themeColor="text1"/>
                <w:sz w:val="13"/>
                <w:szCs w:val="13"/>
                <w:vertAlign w:val="subscript"/>
                <w14:textFill>
                  <w14:solidFill>
                    <w14:schemeClr w14:val="tx1"/>
                  </w14:solidFill>
                </w14:textFill>
              </w:rPr>
              <w:t>3</w:t>
            </w:r>
            <w:r>
              <w:rPr>
                <w:rFonts w:hint="eastAsia" w:eastAsia="仿宋_GB2312"/>
                <w:color w:val="000000" w:themeColor="text1"/>
                <w:sz w:val="13"/>
                <w:szCs w:val="13"/>
                <w14:textFill>
                  <w14:solidFill>
                    <w14:schemeClr w14:val="tx1"/>
                  </w14:solidFill>
                </w14:textFill>
              </w:rPr>
              <w:t>PO</w:t>
            </w:r>
            <w:r>
              <w:rPr>
                <w:rFonts w:hint="eastAsia" w:eastAsia="仿宋_GB2312"/>
                <w:color w:val="000000" w:themeColor="text1"/>
                <w:sz w:val="13"/>
                <w:szCs w:val="13"/>
                <w:vertAlign w:val="subscript"/>
                <w14:textFill>
                  <w14:solidFill>
                    <w14:schemeClr w14:val="tx1"/>
                  </w14:solidFill>
                </w14:textFill>
              </w:rPr>
              <w:t>4</w:t>
            </w:r>
            <w:r>
              <w:rPr>
                <w:rFonts w:hint="eastAsia" w:eastAsia="仿宋_GB2312"/>
                <w:color w:val="000000" w:themeColor="text1"/>
                <w:sz w:val="13"/>
                <w:szCs w:val="13"/>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1" w:type="dxa"/>
          </w:tcPr>
          <w:p>
            <w:pPr>
              <w:pStyle w:val="60"/>
              <w:widowControl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水分不大于%</w:t>
            </w:r>
          </w:p>
        </w:tc>
        <w:tc>
          <w:tcPr>
            <w:tcW w:w="1911" w:type="dxa"/>
          </w:tcPr>
          <w:p>
            <w:pPr>
              <w:pStyle w:val="60"/>
              <w:widowControl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0.3</w:t>
            </w:r>
          </w:p>
        </w:tc>
        <w:tc>
          <w:tcPr>
            <w:tcW w:w="1912" w:type="dxa"/>
          </w:tcPr>
          <w:p>
            <w:pPr>
              <w:pStyle w:val="60"/>
              <w:widowControl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0.3</w:t>
            </w:r>
          </w:p>
        </w:tc>
        <w:tc>
          <w:tcPr>
            <w:tcW w:w="1906" w:type="dxa"/>
          </w:tcPr>
          <w:p>
            <w:pPr>
              <w:pStyle w:val="60"/>
              <w:widowControl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0.3</w:t>
            </w:r>
          </w:p>
        </w:tc>
        <w:tc>
          <w:tcPr>
            <w:tcW w:w="1905" w:type="dxa"/>
          </w:tcPr>
          <w:p>
            <w:pPr>
              <w:pStyle w:val="60"/>
              <w:widowControl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15</w:t>
            </w:r>
          </w:p>
        </w:tc>
      </w:tr>
    </w:tbl>
    <w:p>
      <w:pPr>
        <w:pStyle w:val="62"/>
        <w:rPr>
          <w:color w:val="000000" w:themeColor="text1"/>
          <w14:textFill>
            <w14:solidFill>
              <w14:schemeClr w14:val="tx1"/>
            </w14:solidFill>
          </w14:textFill>
        </w:rPr>
      </w:pPr>
      <w:r>
        <w:rPr>
          <w:rFonts w:hint="eastAsia"/>
          <w:color w:val="000000" w:themeColor="text1"/>
          <w14:textFill>
            <w14:solidFill>
              <w14:schemeClr w14:val="tx1"/>
            </w14:solidFill>
          </w14:textFill>
        </w:rPr>
        <w:t>外观质量</w:t>
      </w:r>
    </w:p>
    <w:p>
      <w:pPr>
        <w:pStyle w:val="62"/>
        <w:numPr>
          <w:ilvl w:val="0"/>
          <w:numId w:val="0"/>
        </w:numPr>
        <w:tabs>
          <w:tab w:val="clear" w:pos="900"/>
          <w:tab w:val="clear" w:pos="1120"/>
          <w:tab w:val="clear" w:pos="1140"/>
        </w:tabs>
        <w:ind w:firstLine="420" w:firstLineChars="200"/>
        <w:rPr>
          <w:color w:val="000000" w:themeColor="text1"/>
          <w14:textFill>
            <w14:solidFill>
              <w14:schemeClr w14:val="tx1"/>
            </w14:solidFill>
          </w14:textFill>
        </w:rPr>
      </w:pPr>
      <w:r>
        <w:rPr>
          <w:rFonts w:hint="eastAsia" w:ascii="宋体" w:eastAsia="宋体" w:cs="宋体"/>
          <w:color w:val="000000" w:themeColor="text1"/>
          <w14:textFill>
            <w14:solidFill>
              <w14:schemeClr w14:val="tx1"/>
            </w14:solidFill>
          </w14:textFill>
        </w:rPr>
        <w:t>产品应为白色粉末，不得有目视可见机械夹杂物。</w:t>
      </w:r>
    </w:p>
    <w:p>
      <w:pPr>
        <w:pStyle w:val="61"/>
        <w:spacing w:before="156" w:after="156" w:line="360" w:lineRule="auto"/>
        <w:ind w:left="0"/>
        <w:rPr>
          <w:color w:val="000000" w:themeColor="text1"/>
          <w14:textFill>
            <w14:solidFill>
              <w14:schemeClr w14:val="tx1"/>
            </w14:solidFill>
          </w14:textFill>
        </w:rPr>
      </w:pPr>
      <w:r>
        <w:rPr>
          <w:rFonts w:hint="eastAsia" w:ascii="宋体" w:eastAsia="宋体"/>
          <w:color w:val="000000" w:themeColor="text1"/>
          <w:kern w:val="2"/>
          <w14:textFill>
            <w14:solidFill>
              <w14:schemeClr w14:val="tx1"/>
            </w14:solidFill>
          </w14:textFill>
        </w:rPr>
        <w:t xml:space="preserve"> </w:t>
      </w:r>
      <w:r>
        <w:rPr>
          <w:rFonts w:hint="eastAsia"/>
          <w:color w:val="000000" w:themeColor="text1"/>
          <w14:textFill>
            <w14:solidFill>
              <w14:schemeClr w14:val="tx1"/>
            </w14:solidFill>
          </w14:textFill>
        </w:rPr>
        <w:t>试验方法</w:t>
      </w:r>
    </w:p>
    <w:p>
      <w:pPr>
        <w:pStyle w:val="32"/>
        <w:widowControl/>
        <w:spacing w:before="156" w:beforeLines="50" w:after="156" w:afterLines="50" w:line="360" w:lineRule="auto"/>
        <w:jc w:val="left"/>
        <w:outlineLvl w:val="2"/>
        <w:rPr>
          <w:rFonts w:ascii="宋体" w:cs="宋体"/>
          <w:color w:val="000000" w:themeColor="text1"/>
          <w:szCs w:val="20"/>
          <w14:textFill>
            <w14:solidFill>
              <w14:schemeClr w14:val="tx1"/>
            </w14:solidFill>
          </w14:textFill>
        </w:rPr>
      </w:pPr>
      <w:bookmarkStart w:id="10" w:name="_Toc519937007"/>
      <w:r>
        <w:rPr>
          <w:rFonts w:hint="eastAsia" w:ascii="黑体" w:eastAsia="黑体"/>
          <w:color w:val="000000" w:themeColor="text1"/>
          <w:kern w:val="0"/>
          <w:sz w:val="21"/>
          <w:szCs w:val="20"/>
          <w14:textFill>
            <w14:solidFill>
              <w14:schemeClr w14:val="tx1"/>
            </w14:solidFill>
          </w14:textFill>
        </w:rPr>
        <w:t xml:space="preserve">6.1  </w:t>
      </w:r>
      <w:bookmarkEnd w:id="10"/>
      <w:bookmarkStart w:id="11" w:name="_Hlk56604489"/>
      <w:r>
        <w:rPr>
          <w:rFonts w:hint="eastAsia" w:ascii="宋体" w:cs="宋体"/>
          <w:color w:val="000000" w:themeColor="text1"/>
          <w:kern w:val="0"/>
          <w:sz w:val="21"/>
          <w:szCs w:val="20"/>
          <w14:textFill>
            <w14:solidFill>
              <w14:schemeClr w14:val="tx1"/>
            </w14:solidFill>
          </w14:textFill>
        </w:rPr>
        <w:t>化学成分分析按供方现行方法进行</w:t>
      </w:r>
      <w:bookmarkEnd w:id="11"/>
      <w:r>
        <w:rPr>
          <w:rFonts w:hint="eastAsia" w:ascii="宋体" w:cs="宋体"/>
          <w:color w:val="000000" w:themeColor="text1"/>
          <w:kern w:val="0"/>
          <w:sz w:val="21"/>
          <w:szCs w:val="20"/>
          <w14:textFill>
            <w14:solidFill>
              <w14:schemeClr w14:val="tx1"/>
            </w14:solidFill>
          </w14:textFill>
        </w:rPr>
        <w:t>，仲裁分析方法按供需双方认可的方法进行。</w:t>
      </w:r>
    </w:p>
    <w:p>
      <w:pPr>
        <w:pStyle w:val="32"/>
        <w:widowControl/>
        <w:spacing w:before="156" w:beforeLines="50" w:after="156" w:afterLines="50" w:line="360" w:lineRule="auto"/>
        <w:jc w:val="left"/>
        <w:outlineLvl w:val="2"/>
        <w:rPr>
          <w:color w:val="000000" w:themeColor="text1"/>
          <w14:textFill>
            <w14:solidFill>
              <w14:schemeClr w14:val="tx1"/>
            </w14:solidFill>
          </w14:textFill>
        </w:rPr>
      </w:pPr>
      <w:bookmarkStart w:id="12" w:name="_Toc519937008"/>
      <w:r>
        <w:rPr>
          <w:rFonts w:hint="eastAsia" w:ascii="黑体" w:eastAsia="黑体"/>
          <w:color w:val="000000" w:themeColor="text1"/>
          <w:kern w:val="0"/>
          <w:sz w:val="21"/>
          <w:szCs w:val="20"/>
          <w14:textFill>
            <w14:solidFill>
              <w14:schemeClr w14:val="tx1"/>
            </w14:solidFill>
          </w14:textFill>
        </w:rPr>
        <w:t xml:space="preserve">6.2 </w:t>
      </w:r>
      <w:r>
        <w:rPr>
          <w:rFonts w:hint="eastAsia" w:ascii="宋体" w:cs="宋体"/>
          <w:color w:val="000000" w:themeColor="text1"/>
          <w:kern w:val="0"/>
          <w:sz w:val="21"/>
          <w:szCs w:val="20"/>
          <w14:textFill>
            <w14:solidFill>
              <w14:schemeClr w14:val="tx1"/>
            </w14:solidFill>
          </w14:textFill>
        </w:rPr>
        <w:t xml:space="preserve"> 产品外观质量的检验采用目视法。</w:t>
      </w:r>
      <w:bookmarkEnd w:id="12"/>
    </w:p>
    <w:p>
      <w:pPr>
        <w:pStyle w:val="61"/>
        <w:spacing w:before="156" w:after="156" w:line="360" w:lineRule="auto"/>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检验规则</w:t>
      </w:r>
    </w:p>
    <w:p>
      <w:pPr>
        <w:pStyle w:val="62"/>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检查和验收</w:t>
      </w:r>
    </w:p>
    <w:p>
      <w:pPr>
        <w:pStyle w:val="63"/>
        <w:spacing w:line="360" w:lineRule="auto"/>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产品由供方质量监督部门进行检验，保证产品质量符合本标准及订货单（或合同）的规定，并填写质量证明书。</w:t>
      </w:r>
    </w:p>
    <w:p>
      <w:pPr>
        <w:pStyle w:val="63"/>
        <w:spacing w:line="360" w:lineRule="auto"/>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需方应对收到的产品按本标准的规定进行检验，如检验结果与本标准及订货单（或合同）的规定不符时，由供需双方协商解决。属于外观质量的异议，应在收到产品之日起10日内提出；属于化学成分的异议，应在收到产品之日起30内提出。如需仲裁，应由供需双方在需方共同取样或协商确定。</w:t>
      </w:r>
    </w:p>
    <w:p>
      <w:pPr>
        <w:pStyle w:val="62"/>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组批</w:t>
      </w:r>
    </w:p>
    <w:p>
      <w:pPr>
        <w:pStyle w:val="32"/>
        <w:widowControl/>
        <w:tabs>
          <w:tab w:val="center" w:pos="4201"/>
          <w:tab w:val="right" w:leader="dot" w:pos="9298"/>
        </w:tabs>
        <w:autoSpaceDE w:val="0"/>
        <w:autoSpaceDN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color w:val="000000" w:themeColor="text1"/>
          <w:kern w:val="0"/>
          <w:sz w:val="21"/>
          <w:szCs w:val="20"/>
          <w14:textFill>
            <w14:solidFill>
              <w14:schemeClr w14:val="tx1"/>
            </w14:solidFill>
          </w14:textFill>
        </w:rPr>
        <w:t>产品应成批提交检验，每批应由同一混合料组成。每批净重不少于1000kg。</w:t>
      </w:r>
    </w:p>
    <w:p>
      <w:pPr>
        <w:pStyle w:val="32"/>
        <w:widowControl/>
        <w:spacing w:before="156" w:beforeLines="50" w:after="156" w:afterLines="50" w:line="360" w:lineRule="auto"/>
        <w:jc w:val="left"/>
        <w:outlineLvl w:val="2"/>
        <w:rPr>
          <w:color w:val="000000" w:themeColor="text1"/>
          <w14:textFill>
            <w14:solidFill>
              <w14:schemeClr w14:val="tx1"/>
            </w14:solidFill>
          </w14:textFill>
        </w:rPr>
      </w:pPr>
      <w:bookmarkStart w:id="13" w:name="_Toc529801736"/>
      <w:r>
        <w:rPr>
          <w:rFonts w:hint="eastAsia" w:ascii="黑体" w:eastAsia="黑体"/>
          <w:color w:val="000000" w:themeColor="text1"/>
          <w:kern w:val="0"/>
          <w:sz w:val="21"/>
          <w:szCs w:val="21"/>
          <w14:textFill>
            <w14:solidFill>
              <w14:schemeClr w14:val="tx1"/>
            </w14:solidFill>
          </w14:textFill>
        </w:rPr>
        <w:t>7.3  取样</w:t>
      </w:r>
      <w:bookmarkEnd w:id="13"/>
    </w:p>
    <w:p>
      <w:pPr>
        <w:spacing w:line="360" w:lineRule="auto"/>
        <w:jc w:val="left"/>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7.3.1  取样数量按GB/T6678</w:t>
      </w:r>
      <w:bookmarkStart w:id="15" w:name="_GoBack"/>
      <w:bookmarkEnd w:id="15"/>
      <w:r>
        <w:rPr>
          <w:rFonts w:hint="eastAsia" w:ascii="宋体"/>
          <w:color w:val="000000" w:themeColor="text1"/>
          <w:kern w:val="0"/>
          <w:szCs w:val="20"/>
          <w14:textFill>
            <w14:solidFill>
              <w14:schemeClr w14:val="tx1"/>
            </w14:solidFill>
          </w14:textFill>
        </w:rPr>
        <w:t>中7.6条的规定执行。</w:t>
      </w:r>
    </w:p>
    <w:p>
      <w:pPr>
        <w:spacing w:line="360" w:lineRule="auto"/>
        <w:jc w:val="left"/>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7.3.2  从每个包装袋口用小型不锈钢取样管或硬聚乙烯取样器从物料的包装袋</w:t>
      </w:r>
      <w:r>
        <w:rPr>
          <w:rFonts w:ascii="宋体"/>
          <w:color w:val="000000" w:themeColor="text1"/>
          <w:kern w:val="0"/>
          <w:szCs w:val="20"/>
          <w14:textFill>
            <w14:solidFill>
              <w14:schemeClr w14:val="tx1"/>
            </w14:solidFill>
          </w14:textFill>
        </w:rPr>
        <w:t>1/2</w:t>
      </w:r>
      <w:r>
        <w:rPr>
          <w:rFonts w:hint="eastAsia" w:ascii="宋体"/>
          <w:color w:val="000000" w:themeColor="text1"/>
          <w:kern w:val="0"/>
          <w:szCs w:val="20"/>
          <w14:textFill>
            <w14:solidFill>
              <w14:schemeClr w14:val="tx1"/>
            </w14:solidFill>
          </w14:textFill>
        </w:rPr>
        <w:t>深处取样，三个取样点部位均匀分布。</w:t>
      </w:r>
    </w:p>
    <w:p>
      <w:pPr>
        <w:spacing w:line="360" w:lineRule="auto"/>
        <w:jc w:val="left"/>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7.3.3  取样量不得少于500g，试样混样均匀后在干燥环境中用四分法缩分至所需要量</w:t>
      </w:r>
    </w:p>
    <w:p>
      <w:pPr>
        <w:pStyle w:val="62"/>
        <w:numPr>
          <w:ilvl w:val="2"/>
          <w:numId w:val="0"/>
        </w:numPr>
        <w:tabs>
          <w:tab w:val="clear" w:pos="1260"/>
          <w:tab w:val="clear" w:pos="1418"/>
        </w:tabs>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7.4检验结果判定</w:t>
      </w:r>
    </w:p>
    <w:p>
      <w:pPr>
        <w:pStyle w:val="63"/>
        <w:numPr>
          <w:ilvl w:val="0"/>
          <w:numId w:val="0"/>
        </w:numPr>
        <w:tabs>
          <w:tab w:val="clear" w:pos="900"/>
          <w:tab w:val="clear" w:pos="1120"/>
          <w:tab w:val="clear" w:pos="1140"/>
        </w:tabs>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7.4.1产品的化学成分指标检测结果如有一项不合格的，则在该批产品中加倍取样对该不合格项进行重复试验，若重复试验结果有一项不合格的，判定该批不合格。 </w:t>
      </w:r>
    </w:p>
    <w:p>
      <w:pPr>
        <w:pStyle w:val="63"/>
        <w:numPr>
          <w:ilvl w:val="0"/>
          <w:numId w:val="0"/>
        </w:numPr>
        <w:tabs>
          <w:tab w:val="clear" w:pos="900"/>
          <w:tab w:val="clear" w:pos="1120"/>
          <w:tab w:val="clear" w:pos="1140"/>
        </w:tabs>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7.4.2产品的外观质量逐个包装检查，不合格者判该件产品不合格。</w:t>
      </w:r>
    </w:p>
    <w:p>
      <w:pPr>
        <w:pStyle w:val="61"/>
        <w:spacing w:before="156" w:after="156" w:line="360" w:lineRule="auto"/>
        <w:ind w:left="0"/>
        <w:rPr>
          <w:rFonts w:hAnsi="宋体" w:cs="黑体"/>
          <w:color w:val="000000" w:themeColor="text1"/>
          <w14:textFill>
            <w14:solidFill>
              <w14:schemeClr w14:val="tx1"/>
            </w14:solidFill>
          </w14:textFill>
        </w:rPr>
      </w:pPr>
      <w:r>
        <w:rPr>
          <w:rFonts w:hint="eastAsia"/>
          <w:color w:val="000000" w:themeColor="text1"/>
          <w14:textFill>
            <w14:solidFill>
              <w14:schemeClr w14:val="tx1"/>
            </w14:solidFill>
          </w14:textFill>
        </w:rPr>
        <w:t>标志、包装、运输、贮存</w:t>
      </w:r>
      <w:r>
        <w:rPr>
          <w:rFonts w:hint="eastAsia"/>
          <w:color w:val="000000" w:themeColor="text1"/>
          <w:lang w:eastAsia="zh-CN"/>
          <w14:textFill>
            <w14:solidFill>
              <w14:schemeClr w14:val="tx1"/>
            </w14:solidFill>
          </w14:textFill>
        </w:rPr>
        <w:t>和随行文件</w:t>
      </w:r>
    </w:p>
    <w:p>
      <w:pPr>
        <w:tabs>
          <w:tab w:val="left" w:pos="3441"/>
        </w:tabs>
        <w:spacing w:line="360" w:lineRule="auto"/>
        <w:jc w:val="left"/>
        <w:rPr>
          <w:rFonts w:ascii="黑体" w:hAnsi="宋体" w:eastAsia="黑体" w:cs="黑体"/>
          <w:color w:val="000000" w:themeColor="text1"/>
          <w14:textFill>
            <w14:solidFill>
              <w14:schemeClr w14:val="tx1"/>
            </w14:solidFill>
          </w14:textFill>
        </w:rPr>
      </w:pPr>
      <w:r>
        <w:rPr>
          <w:rFonts w:hint="eastAsia" w:ascii="黑体" w:hAnsi="宋体" w:eastAsia="黑体" w:cs="黑体"/>
          <w:color w:val="000000" w:themeColor="text1"/>
          <w14:textFill>
            <w14:solidFill>
              <w14:schemeClr w14:val="tx1"/>
            </w14:solidFill>
          </w14:textFill>
        </w:rPr>
        <w:t>8.1  标志</w:t>
      </w:r>
    </w:p>
    <w:p>
      <w:pPr>
        <w:tabs>
          <w:tab w:val="left" w:pos="3441"/>
        </w:tabs>
        <w:spacing w:line="360" w:lineRule="auto"/>
        <w:ind w:firstLine="420" w:firstLineChars="200"/>
        <w:jc w:val="left"/>
        <w:rPr>
          <w:color w:val="000000" w:themeColor="text1"/>
          <w14:textFill>
            <w14:solidFill>
              <w14:schemeClr w14:val="tx1"/>
            </w14:solidFill>
          </w14:textFill>
        </w:rPr>
      </w:pPr>
      <w:r>
        <w:rPr>
          <w:rFonts w:hint="eastAsia" w:cs="宋体"/>
          <w:color w:val="000000" w:themeColor="text1"/>
          <w14:textFill>
            <w14:solidFill>
              <w14:schemeClr w14:val="tx1"/>
            </w14:solidFill>
          </w14:textFill>
        </w:rPr>
        <w:t>产品包装外上应注明：</w:t>
      </w:r>
    </w:p>
    <w:p>
      <w:pPr>
        <w:tabs>
          <w:tab w:val="left" w:pos="3441"/>
        </w:tabs>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a)</w:t>
      </w:r>
      <w:r>
        <w:rPr>
          <w:rFonts w:hint="eastAsia" w:cs="宋体"/>
          <w:color w:val="000000" w:themeColor="text1"/>
          <w14:textFill>
            <w14:solidFill>
              <w14:schemeClr w14:val="tx1"/>
            </w14:solidFill>
          </w14:textFill>
        </w:rPr>
        <w:t>产品名称；</w:t>
      </w:r>
    </w:p>
    <w:p>
      <w:pPr>
        <w:tabs>
          <w:tab w:val="left" w:pos="3441"/>
        </w:tabs>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b)</w:t>
      </w:r>
      <w:r>
        <w:rPr>
          <w:rFonts w:hint="eastAsia" w:cs="宋体"/>
          <w:color w:val="000000" w:themeColor="text1"/>
          <w14:textFill>
            <w14:solidFill>
              <w14:schemeClr w14:val="tx1"/>
            </w14:solidFill>
          </w14:textFill>
        </w:rPr>
        <w:t>牌号；</w:t>
      </w:r>
    </w:p>
    <w:p>
      <w:pPr>
        <w:tabs>
          <w:tab w:val="left" w:pos="3441"/>
        </w:tabs>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c)</w:t>
      </w:r>
      <w:r>
        <w:rPr>
          <w:rFonts w:hint="eastAsia"/>
          <w:color w:val="000000" w:themeColor="text1"/>
          <w14:textFill>
            <w14:solidFill>
              <w14:schemeClr w14:val="tx1"/>
            </w14:solidFill>
          </w14:textFill>
        </w:rPr>
        <w:t>批号；</w:t>
      </w:r>
    </w:p>
    <w:p>
      <w:pPr>
        <w:tabs>
          <w:tab w:val="left" w:pos="3441"/>
        </w:tabs>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d</w:t>
      </w:r>
      <w:r>
        <w:rPr>
          <w:rFonts w:hint="eastAsia" w:cs="宋体"/>
          <w:color w:val="000000" w:themeColor="text1"/>
          <w14:textFill>
            <w14:solidFill>
              <w14:schemeClr w14:val="tx1"/>
            </w14:solidFill>
          </w14:textFill>
        </w:rPr>
        <w:t>毛重；</w:t>
      </w:r>
    </w:p>
    <w:p>
      <w:pPr>
        <w:tabs>
          <w:tab w:val="left" w:pos="3441"/>
        </w:tabs>
        <w:spacing w:line="360" w:lineRule="auto"/>
        <w:ind w:firstLine="420" w:firstLineChars="200"/>
        <w:jc w:val="left"/>
        <w:rPr>
          <w:rFonts w:hint="eastAsia" w:cs="宋体"/>
          <w:color w:val="000000" w:themeColor="text1"/>
          <w14:textFill>
            <w14:solidFill>
              <w14:schemeClr w14:val="tx1"/>
            </w14:solidFill>
          </w14:textFill>
        </w:rPr>
      </w:pPr>
      <w:r>
        <w:rPr>
          <w:color w:val="000000" w:themeColor="text1"/>
          <w14:textFill>
            <w14:solidFill>
              <w14:schemeClr w14:val="tx1"/>
            </w14:solidFill>
          </w14:textFill>
        </w:rPr>
        <w:t>e)</w:t>
      </w:r>
      <w:r>
        <w:rPr>
          <w:rFonts w:hint="eastAsia" w:cs="宋体"/>
          <w:color w:val="000000" w:themeColor="text1"/>
          <w14:textFill>
            <w14:solidFill>
              <w14:schemeClr w14:val="tx1"/>
            </w14:solidFill>
          </w14:textFill>
        </w:rPr>
        <w:t>净重；</w:t>
      </w:r>
    </w:p>
    <w:p>
      <w:pPr>
        <w:tabs>
          <w:tab w:val="left" w:pos="3441"/>
        </w:tabs>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f)</w:t>
      </w:r>
      <w:r>
        <w:rPr>
          <w:rFonts w:hint="eastAsia" w:cs="宋体"/>
          <w:color w:val="000000" w:themeColor="text1"/>
          <w14:textFill>
            <w14:solidFill>
              <w14:schemeClr w14:val="tx1"/>
            </w14:solidFill>
          </w14:textFill>
        </w:rPr>
        <w:t>包装日期；</w:t>
      </w:r>
    </w:p>
    <w:p>
      <w:pPr>
        <w:tabs>
          <w:tab w:val="left" w:pos="3441"/>
        </w:tabs>
        <w:spacing w:line="360" w:lineRule="auto"/>
        <w:ind w:firstLine="420" w:firstLineChars="200"/>
        <w:jc w:val="left"/>
        <w:rPr>
          <w:rFonts w:cs="宋体"/>
          <w:color w:val="000000" w:themeColor="text1"/>
          <w14:textFill>
            <w14:solidFill>
              <w14:schemeClr w14:val="tx1"/>
            </w14:solidFill>
          </w14:textFill>
        </w:rPr>
      </w:pPr>
      <w:r>
        <w:rPr>
          <w:color w:val="000000" w:themeColor="text1"/>
          <w14:textFill>
            <w14:solidFill>
              <w14:schemeClr w14:val="tx1"/>
            </w14:solidFill>
          </w14:textFill>
        </w:rPr>
        <w:t>g)</w:t>
      </w:r>
      <w:r>
        <w:rPr>
          <w:rFonts w:hint="eastAsia" w:cs="宋体"/>
          <w:color w:val="000000" w:themeColor="text1"/>
          <w14:textFill>
            <w14:solidFill>
              <w14:schemeClr w14:val="tx1"/>
            </w14:solidFill>
          </w14:textFill>
        </w:rPr>
        <w:t>供方名称；</w:t>
      </w:r>
    </w:p>
    <w:p>
      <w:pPr>
        <w:tabs>
          <w:tab w:val="left" w:pos="3441"/>
        </w:tabs>
        <w:spacing w:line="360" w:lineRule="auto"/>
        <w:ind w:firstLine="420" w:firstLineChars="200"/>
        <w:jc w:val="left"/>
        <w:rPr>
          <w:rFonts w:hint="eastAsia"/>
          <w:color w:val="000000" w:themeColor="text1"/>
          <w14:textFill>
            <w14:solidFill>
              <w14:schemeClr w14:val="tx1"/>
            </w14:solidFill>
          </w14:textFill>
        </w:rPr>
      </w:pPr>
      <w:r>
        <w:rPr>
          <w:rFonts w:hint="eastAsia" w:cs="宋体"/>
          <w:color w:val="000000" w:themeColor="text1"/>
          <w14:textFill>
            <w14:solidFill>
              <w14:schemeClr w14:val="tx1"/>
            </w14:solidFill>
          </w14:textFill>
        </w:rPr>
        <w:t>h</w:t>
      </w:r>
      <w:r>
        <w:rPr>
          <w:rFonts w:cs="宋体"/>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GB 191-2008“防潮”标志。</w:t>
      </w:r>
    </w:p>
    <w:p>
      <w:pPr>
        <w:pStyle w:val="62"/>
        <w:numPr>
          <w:ilvl w:val="2"/>
          <w:numId w:val="0"/>
        </w:numPr>
        <w:tabs>
          <w:tab w:val="clear" w:pos="1260"/>
          <w:tab w:val="clear" w:pos="1418"/>
        </w:tabs>
        <w:spacing w:line="360" w:lineRule="auto"/>
        <w:rPr>
          <w:color w:val="000000" w:themeColor="text1"/>
          <w14:textFill>
            <w14:solidFill>
              <w14:schemeClr w14:val="tx1"/>
            </w14:solidFill>
          </w14:textFill>
        </w:rPr>
      </w:pPr>
      <w:bookmarkStart w:id="14" w:name="_Hlk56608304"/>
      <w:r>
        <w:rPr>
          <w:rFonts w:hint="eastAsia"/>
          <w:color w:val="000000" w:themeColor="text1"/>
          <w14:textFill>
            <w14:solidFill>
              <w14:schemeClr w14:val="tx1"/>
            </w14:solidFill>
          </w14:textFill>
        </w:rPr>
        <w:t>8.2包装</w:t>
      </w:r>
    </w:p>
    <w:bookmarkEnd w:id="14"/>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8.2.1</w:t>
      </w:r>
      <w:r>
        <w:rPr>
          <w:rFonts w:hint="eastAsia" w:ascii="宋体" w:hAnsi="宋体" w:eastAsia="宋体"/>
          <w:color w:val="000000" w:themeColor="text1"/>
          <w:kern w:val="2"/>
          <w:szCs w:val="21"/>
          <w14:textFill>
            <w14:solidFill>
              <w14:schemeClr w14:val="tx1"/>
            </w14:solidFill>
          </w14:textFill>
        </w:rPr>
        <w:t>产品内层采用双层聚丙烯或聚乙烯塑料袋封口包装，外层采用一层三合一复合袋。每袋净重25 kg±0.025 kg</w:t>
      </w:r>
      <w:r>
        <w:rPr>
          <w:rFonts w:hint="eastAsia" w:ascii="宋体" w:hAnsi="宋体" w:eastAsia="宋体"/>
          <w:color w:val="000000" w:themeColor="text1"/>
          <w14:textFill>
            <w14:solidFill>
              <w14:schemeClr w14:val="tx1"/>
            </w14:solidFill>
          </w14:textFill>
        </w:rPr>
        <w:t>。</w:t>
      </w:r>
    </w:p>
    <w:p>
      <w:pPr>
        <w:pStyle w:val="60"/>
        <w:spacing w:line="360" w:lineRule="auto"/>
        <w:ind w:firstLine="409" w:firstLineChars="195"/>
        <w:rPr>
          <w:rFonts w:hAnsi="宋体"/>
          <w:color w:val="000000" w:themeColor="text1"/>
          <w:kern w:val="2"/>
          <w:szCs w:val="21"/>
          <w14:textFill>
            <w14:solidFill>
              <w14:schemeClr w14:val="tx1"/>
            </w14:solidFill>
          </w14:textFill>
        </w:rPr>
      </w:pPr>
      <w:r>
        <w:rPr>
          <w:rFonts w:hint="eastAsia" w:ascii="黑体" w:hAnsi="宋体" w:eastAsia="黑体"/>
          <w:color w:val="000000" w:themeColor="text1"/>
          <w:kern w:val="2"/>
          <w:szCs w:val="21"/>
          <w14:textFill>
            <w14:solidFill>
              <w14:schemeClr w14:val="tx1"/>
            </w14:solidFill>
          </w14:textFill>
        </w:rPr>
        <w:t>8.2.2</w:t>
      </w:r>
      <w:r>
        <w:rPr>
          <w:rFonts w:ascii="黑体" w:hAnsi="宋体" w:eastAsia="黑体"/>
          <w:color w:val="000000" w:themeColor="text1"/>
          <w:kern w:val="2"/>
          <w:szCs w:val="21"/>
          <w14:textFill>
            <w14:solidFill>
              <w14:schemeClr w14:val="tx1"/>
            </w14:solidFill>
          </w14:textFill>
        </w:rPr>
        <w:t xml:space="preserve"> </w:t>
      </w:r>
      <w:r>
        <w:rPr>
          <w:rFonts w:hint="eastAsia" w:hAnsi="宋体"/>
          <w:color w:val="000000" w:themeColor="text1"/>
          <w:kern w:val="2"/>
          <w:szCs w:val="21"/>
          <w14:textFill>
            <w14:solidFill>
              <w14:schemeClr w14:val="tx1"/>
            </w14:solidFill>
          </w14:textFill>
        </w:rPr>
        <w:t>需方对包装有特殊要求时，可由供需双方协商。</w:t>
      </w:r>
    </w:p>
    <w:p>
      <w:pPr>
        <w:pStyle w:val="62"/>
        <w:numPr>
          <w:ilvl w:val="2"/>
          <w:numId w:val="0"/>
        </w:numPr>
        <w:tabs>
          <w:tab w:val="clear" w:pos="1260"/>
          <w:tab w:val="clear" w:pos="1418"/>
        </w:tabs>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8.3运输</w:t>
      </w:r>
    </w:p>
    <w:p>
      <w:pPr>
        <w:pStyle w:val="60"/>
        <w:spacing w:line="360" w:lineRule="auto"/>
        <w:ind w:firstLine="42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产品运输过程中应注意防潮。</w:t>
      </w:r>
    </w:p>
    <w:p>
      <w:pPr>
        <w:pStyle w:val="62"/>
        <w:numPr>
          <w:ilvl w:val="2"/>
          <w:numId w:val="0"/>
        </w:numPr>
        <w:tabs>
          <w:tab w:val="clear" w:pos="1260"/>
          <w:tab w:val="clear" w:pos="1418"/>
        </w:tabs>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8.4贮存</w:t>
      </w:r>
    </w:p>
    <w:p>
      <w:pPr>
        <w:pStyle w:val="60"/>
        <w:spacing w:line="360" w:lineRule="auto"/>
        <w:ind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产品应存放在干燥处。</w:t>
      </w:r>
    </w:p>
    <w:p>
      <w:pPr>
        <w:pStyle w:val="62"/>
        <w:numPr>
          <w:ilvl w:val="2"/>
          <w:numId w:val="0"/>
        </w:numPr>
        <w:tabs>
          <w:tab w:val="clear" w:pos="1260"/>
          <w:tab w:val="clear" w:pos="1418"/>
        </w:tabs>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8.5 </w:t>
      </w:r>
      <w:r>
        <w:rPr>
          <w:rFonts w:hint="eastAsia"/>
          <w:color w:val="000000" w:themeColor="text1"/>
          <w:lang w:eastAsia="zh-CN"/>
          <w14:textFill>
            <w14:solidFill>
              <w14:schemeClr w14:val="tx1"/>
            </w14:solidFill>
          </w14:textFill>
        </w:rPr>
        <w:t>随行文件</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每批产品应附有质量证明书，其上注明：</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a) 供方名称、地址、电话、传真；</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b) 产品名称和牌号；</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c) 批号；</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d) 净重和件数；</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e) 分析检验结果和质量监督部门印记；</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f) 本标准编号；</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g) 出厂日期（或包装日期）。</w:t>
      </w:r>
    </w:p>
    <w:p>
      <w:pPr>
        <w:pStyle w:val="61"/>
        <w:numPr>
          <w:ilvl w:val="1"/>
          <w:numId w:val="0"/>
        </w:numPr>
        <w:tabs>
          <w:tab w:val="clear" w:pos="840"/>
          <w:tab w:val="clear" w:pos="992"/>
        </w:tabs>
        <w:spacing w:before="156" w:after="156" w:line="360" w:lineRule="auto"/>
        <w:rPr>
          <w:rFonts w:ascii="宋体" w:hAnsi="宋体"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9 订货单（或合同）内容</w:t>
      </w:r>
    </w:p>
    <w:bookmarkEnd w:id="2"/>
    <w:bookmarkEnd w:id="8"/>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本标准所列产品的订货单（或合同）内应包括下列内容：</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a) </w:t>
      </w:r>
      <w:r>
        <w:rPr>
          <w:rFonts w:hint="eastAsia" w:ascii="宋体" w:hAnsi="宋体" w:eastAsia="宋体"/>
          <w:color w:val="000000" w:themeColor="text1"/>
          <w14:textFill>
            <w14:solidFill>
              <w14:schemeClr w14:val="tx1"/>
            </w14:solidFill>
          </w14:textFill>
        </w:rPr>
        <w:t>产品名称；</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b) 产品牌号；</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c) 净重和件数；</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d) 包装要求；</w:t>
      </w:r>
    </w:p>
    <w:p>
      <w:pPr>
        <w:pStyle w:val="60"/>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e）交货日期；</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f) 本标准编号；</w:t>
      </w:r>
    </w:p>
    <w:p>
      <w:pPr>
        <w:pStyle w:val="63"/>
        <w:numPr>
          <w:ilvl w:val="0"/>
          <w:numId w:val="0"/>
        </w:numPr>
        <w:tabs>
          <w:tab w:val="clear" w:pos="900"/>
          <w:tab w:val="clear" w:pos="1120"/>
          <w:tab w:val="clear" w:pos="1140"/>
        </w:tabs>
        <w:spacing w:line="360" w:lineRule="auto"/>
        <w:ind w:firstLine="420" w:firstLineChars="2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g</w:t>
      </w:r>
      <w:r>
        <w:rPr>
          <w:rFonts w:hint="eastAsia" w:ascii="宋体" w:hAnsi="宋体" w:eastAsia="宋体"/>
          <w:color w:val="000000" w:themeColor="text1"/>
          <w14:textFill>
            <w14:solidFill>
              <w14:schemeClr w14:val="tx1"/>
            </w14:solidFill>
          </w14:textFill>
        </w:rPr>
        <w:t>) 增加本标准以外内容的协商结果。</w:t>
      </w:r>
    </w:p>
    <w:p>
      <w:pPr>
        <w:pStyle w:val="60"/>
        <w:spacing w:line="360" w:lineRule="auto"/>
        <w:ind w:firstLine="420"/>
        <w:jc w:val="center"/>
        <w:rPr>
          <w:color w:val="000000" w:themeColor="text1"/>
          <w14:textFill>
            <w14:solidFill>
              <w14:schemeClr w14:val="tx1"/>
            </w14:solidFill>
          </w14:textFill>
        </w:rPr>
      </w:pPr>
    </w:p>
    <w:p>
      <w:pPr>
        <w:pStyle w:val="60"/>
        <w:ind w:firstLine="42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sectPr>
      <w:footerReference r:id="rId13" w:type="default"/>
      <w:footerReference r:id="rId14" w:type="even"/>
      <w:type w:val="nextColumn"/>
      <w:pgSz w:w="11907" w:h="16839"/>
      <w:pgMar w:top="1418" w:right="1134" w:bottom="1134" w:left="1418" w:header="1418" w:footer="851"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微软雅黑">
    <w:panose1 w:val="020B0503020204020204"/>
    <w:charset w:val="86"/>
    <w:family w:val="decorative"/>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6"/>
      </w:rPr>
    </w:pPr>
    <w:r>
      <w:rPr>
        <w:rStyle w:val="36"/>
      </w:rPr>
      <w:fldChar w:fldCharType="begin"/>
    </w:r>
    <w:r>
      <w:rPr>
        <w:rStyle w:val="36"/>
      </w:rPr>
      <w:instrText xml:space="preserve">PAGE  </w:instrText>
    </w:r>
    <w:r>
      <w:rPr>
        <w:rStyle w:val="36"/>
      </w:rPr>
      <w:fldChar w:fldCharType="separate"/>
    </w:r>
    <w:r>
      <w:rPr>
        <w:rStyle w:val="36"/>
      </w:rPr>
      <w:t>1</w:t>
    </w:r>
    <w:r>
      <w:rPr>
        <w:rStyle w:val="3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6"/>
      </w:rPr>
    </w:pPr>
    <w:r>
      <w:rPr>
        <w:rStyle w:val="36"/>
      </w:rPr>
      <w:fldChar w:fldCharType="begin"/>
    </w:r>
    <w:r>
      <w:rPr>
        <w:rStyle w:val="36"/>
      </w:rPr>
      <w:instrText xml:space="preserve">PAGE  </w:instrText>
    </w:r>
    <w:r>
      <w:rPr>
        <w:rStyle w:val="3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6"/>
      </w:rPr>
    </w:pPr>
    <w:r>
      <w:rPr>
        <w:rStyle w:val="36"/>
      </w:rPr>
      <w:fldChar w:fldCharType="begin"/>
    </w:r>
    <w:r>
      <w:rPr>
        <w:rStyle w:val="36"/>
      </w:rPr>
      <w:instrText xml:space="preserve">PAGE  </w:instrText>
    </w:r>
    <w:r>
      <w:rPr>
        <w:rStyle w:val="36"/>
      </w:rPr>
      <w:fldChar w:fldCharType="separate"/>
    </w:r>
    <w:r>
      <w:rPr>
        <w:rStyle w:val="36"/>
      </w:rPr>
      <w:t>I</w:t>
    </w:r>
    <w:r>
      <w:rPr>
        <w:rStyle w:val="3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6"/>
      </w:rPr>
    </w:pPr>
    <w:r>
      <w:rPr>
        <w:rStyle w:val="36"/>
      </w:rPr>
      <w:fldChar w:fldCharType="begin"/>
    </w:r>
    <w:r>
      <w:rPr>
        <w:rStyle w:val="36"/>
      </w:rPr>
      <w:instrText xml:space="preserve">PAGE  </w:instrText>
    </w:r>
    <w:r>
      <w:rPr>
        <w:rStyle w:val="36"/>
      </w:rPr>
      <w:fldChar w:fldCharType="separate"/>
    </w:r>
    <w:r>
      <w:rPr>
        <w:rStyle w:val="36"/>
      </w:rPr>
      <w:t>II</w:t>
    </w:r>
    <w:r>
      <w:rPr>
        <w:rStyle w:val="3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6"/>
      </w:rPr>
    </w:pPr>
    <w:r>
      <w:rPr>
        <w:rStyle w:val="36"/>
      </w:rPr>
      <w:fldChar w:fldCharType="begin"/>
    </w:r>
    <w:r>
      <w:rPr>
        <w:rStyle w:val="36"/>
      </w:rPr>
      <w:instrText xml:space="preserve">PAGE  </w:instrText>
    </w:r>
    <w:r>
      <w:rPr>
        <w:rStyle w:val="36"/>
      </w:rPr>
      <w:fldChar w:fldCharType="separate"/>
    </w:r>
    <w:r>
      <w:rPr>
        <w:rStyle w:val="36"/>
      </w:rPr>
      <w:t>3</w:t>
    </w:r>
    <w:r>
      <w:rPr>
        <w:rStyle w:val="3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6"/>
      </w:rPr>
    </w:pPr>
    <w:r>
      <w:rPr>
        <w:rStyle w:val="36"/>
      </w:rPr>
      <w:fldChar w:fldCharType="begin"/>
    </w:r>
    <w:r>
      <w:rPr>
        <w:rStyle w:val="36"/>
      </w:rPr>
      <w:instrText xml:space="preserve">PAGE  </w:instrText>
    </w:r>
    <w:r>
      <w:rPr>
        <w:rStyle w:val="36"/>
      </w:rPr>
      <w:fldChar w:fldCharType="separate"/>
    </w:r>
    <w:r>
      <w:rPr>
        <w:rStyle w:val="36"/>
      </w:rPr>
      <w:t>2</w:t>
    </w:r>
    <w:r>
      <w:rPr>
        <w:rStyle w:val="3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ascii="黑体" w:eastAsia="黑体"/>
      </w:rPr>
    </w:pPr>
    <w:r>
      <w:rPr>
        <w:rFonts w:hint="eastAsia" w:ascii="黑体" w:eastAsia="黑体"/>
      </w:rPr>
      <w:t>YS/T 637—202X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ascii="黑体" w:eastAsia="黑体"/>
      </w:rPr>
    </w:pPr>
    <w:r>
      <w:rPr>
        <w:rFonts w:hint="eastAsia" w:ascii="黑体" w:eastAsia="黑体"/>
      </w:rPr>
      <w:t xml:space="preserve">                                                                          YS/T 637—202×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27282981">
    <w:nsid w:val="6CEA2025"/>
    <w:multiLevelType w:val="multilevel"/>
    <w:tmpl w:val="6CEA2025"/>
    <w:lvl w:ilvl="0" w:tentative="1">
      <w:start w:val="1"/>
      <w:numFmt w:val="none"/>
      <w:pStyle w:val="58"/>
      <w:suff w:val="nothing"/>
      <w:lvlText w:val="%1"/>
      <w:lvlJc w:val="left"/>
      <w:pPr>
        <w:ind w:left="0" w:firstLine="0"/>
      </w:pPr>
      <w:rPr>
        <w:rFonts w:hint="default" w:ascii="Times New Roman" w:hAnsi="Times New Roman"/>
        <w:b/>
        <w:i w:val="0"/>
        <w:sz w:val="21"/>
      </w:rPr>
    </w:lvl>
    <w:lvl w:ilvl="1" w:tentative="1">
      <w:start w:val="1"/>
      <w:numFmt w:val="decimal"/>
      <w:pStyle w:val="61"/>
      <w:suff w:val="nothing"/>
      <w:lvlText w:val="%1%2　"/>
      <w:lvlJc w:val="left"/>
      <w:pPr>
        <w:ind w:left="210" w:firstLine="0"/>
      </w:pPr>
      <w:rPr>
        <w:rFonts w:hint="eastAsia" w:ascii="黑体" w:hAnsi="Times New Roman" w:eastAsia="黑体"/>
        <w:b w:val="0"/>
        <w:i w:val="0"/>
        <w:sz w:val="21"/>
      </w:rPr>
    </w:lvl>
    <w:lvl w:ilvl="2" w:tentative="1">
      <w:start w:val="1"/>
      <w:numFmt w:val="decimal"/>
      <w:pStyle w:val="62"/>
      <w:suff w:val="nothing"/>
      <w:lvlText w:val="%1%2.%3　"/>
      <w:lvlJc w:val="left"/>
      <w:pPr>
        <w:ind w:left="0" w:firstLine="0"/>
      </w:pPr>
      <w:rPr>
        <w:rFonts w:hint="eastAsia" w:ascii="黑体" w:hAnsi="Times New Roman" w:eastAsia="黑体"/>
        <w:b w:val="0"/>
        <w:i w:val="0"/>
        <w:sz w:val="21"/>
      </w:rPr>
    </w:lvl>
    <w:lvl w:ilvl="3" w:tentative="1">
      <w:start w:val="1"/>
      <w:numFmt w:val="decimal"/>
      <w:pStyle w:val="63"/>
      <w:suff w:val="nothing"/>
      <w:lvlText w:val="%1%2.%3.%4　"/>
      <w:lvlJc w:val="left"/>
      <w:pPr>
        <w:ind w:left="851" w:firstLine="0"/>
      </w:pPr>
      <w:rPr>
        <w:rFonts w:hint="eastAsia" w:ascii="黑体" w:hAnsi="宋体" w:eastAsia="黑体"/>
        <w:b w:val="0"/>
        <w:i w:val="0"/>
        <w:sz w:val="21"/>
      </w:rPr>
    </w:lvl>
    <w:lvl w:ilvl="4" w:tentative="1">
      <w:start w:val="1"/>
      <w:numFmt w:val="decimal"/>
      <w:pStyle w:val="94"/>
      <w:suff w:val="nothing"/>
      <w:lvlText w:val="%1%2.%3.%4.%5　"/>
      <w:lvlJc w:val="left"/>
      <w:pPr>
        <w:ind w:left="1575" w:firstLine="0"/>
      </w:pPr>
      <w:rPr>
        <w:rFonts w:hint="eastAsia" w:ascii="黑体" w:hAnsi="Times New Roman" w:eastAsia="黑体"/>
        <w:b w:val="0"/>
        <w:i w:val="0"/>
        <w:color w:val="auto"/>
        <w:sz w:val="21"/>
      </w:rPr>
    </w:lvl>
    <w:lvl w:ilvl="5" w:tentative="1">
      <w:start w:val="1"/>
      <w:numFmt w:val="decimal"/>
      <w:pStyle w:val="99"/>
      <w:suff w:val="nothing"/>
      <w:lvlText w:val="%1%2.%3.%4.%5.%6　"/>
      <w:lvlJc w:val="left"/>
      <w:pPr>
        <w:ind w:left="0" w:firstLine="0"/>
      </w:pPr>
      <w:rPr>
        <w:rFonts w:hint="eastAsia" w:ascii="黑体" w:hAnsi="Times New Roman" w:eastAsia="黑体"/>
        <w:b w:val="0"/>
        <w:i w:val="0"/>
        <w:sz w:val="21"/>
      </w:rPr>
    </w:lvl>
    <w:lvl w:ilvl="6" w:tentative="1">
      <w:start w:val="1"/>
      <w:numFmt w:val="decimal"/>
      <w:pStyle w:val="105"/>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67769805">
    <w:nsid w:val="040A15CD"/>
    <w:multiLevelType w:val="multilevel"/>
    <w:tmpl w:val="040A15CD"/>
    <w:lvl w:ilvl="0" w:tentative="1">
      <w:start w:val="1"/>
      <w:numFmt w:val="none"/>
      <w:suff w:val="nothing"/>
      <w:lvlText w:val="　"/>
      <w:lvlJc w:val="left"/>
      <w:pPr>
        <w:ind w:left="0" w:firstLine="0"/>
      </w:pPr>
      <w:rPr>
        <w:rFonts w:hint="eastAsia" w:ascii="黑体" w:hAnsi="Times New Roman" w:eastAsia="黑体"/>
        <w:b w:val="0"/>
        <w:i w:val="0"/>
        <w:sz w:val="21"/>
      </w:rPr>
    </w:lvl>
    <w:lvl w:ilvl="1" w:tentative="1">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1">
      <w:start w:val="1"/>
      <w:numFmt w:val="decimal"/>
      <w:pStyle w:val="107"/>
      <w:suff w:val="nothing"/>
      <w:lvlText w:val="%1%2.%3　"/>
      <w:lvlJc w:val="left"/>
      <w:pPr>
        <w:ind w:left="0" w:firstLine="0"/>
      </w:pPr>
      <w:rPr>
        <w:rFonts w:hint="eastAsia" w:ascii="黑体" w:hAnsi="Times New Roman" w:eastAsia="黑体"/>
        <w:b w:val="0"/>
        <w:i w:val="0"/>
        <w:sz w:val="21"/>
      </w:rPr>
    </w:lvl>
    <w:lvl w:ilvl="3" w:tentative="1">
      <w:start w:val="1"/>
      <w:numFmt w:val="decimal"/>
      <w:pStyle w:val="64"/>
      <w:suff w:val="nothing"/>
      <w:lvlText w:val="%1%2.%3.%4　"/>
      <w:lvlJc w:val="left"/>
      <w:pPr>
        <w:ind w:left="0" w:firstLine="0"/>
      </w:pPr>
      <w:rPr>
        <w:rFonts w:hint="eastAsia" w:ascii="黑体" w:hAnsi="Times New Roman" w:eastAsia="黑体"/>
        <w:b w:val="0"/>
        <w:i w:val="0"/>
        <w:sz w:val="21"/>
      </w:rPr>
    </w:lvl>
    <w:lvl w:ilvl="4" w:tentative="1">
      <w:start w:val="1"/>
      <w:numFmt w:val="decimal"/>
      <w:pStyle w:val="95"/>
      <w:suff w:val="nothing"/>
      <w:lvlText w:val="%1%2.%3.%4.%5　"/>
      <w:lvlJc w:val="left"/>
      <w:pPr>
        <w:ind w:left="0" w:firstLine="0"/>
      </w:pPr>
      <w:rPr>
        <w:rFonts w:hint="eastAsia" w:ascii="黑体" w:hAnsi="Times New Roman" w:eastAsia="黑体"/>
        <w:b w:val="0"/>
        <w:i w:val="0"/>
        <w:sz w:val="21"/>
      </w:rPr>
    </w:lvl>
    <w:lvl w:ilvl="5" w:tentative="1">
      <w:start w:val="1"/>
      <w:numFmt w:val="decimal"/>
      <w:pStyle w:val="100"/>
      <w:suff w:val="nothing"/>
      <w:lvlText w:val="%1%2.%3.%4.%5.%6　"/>
      <w:lvlJc w:val="left"/>
      <w:pPr>
        <w:ind w:left="0" w:firstLine="0"/>
      </w:pPr>
      <w:rPr>
        <w:rFonts w:hint="eastAsia" w:ascii="黑体" w:hAnsi="Times New Roman" w:eastAsia="黑体"/>
        <w:b w:val="0"/>
        <w:i w:val="0"/>
        <w:sz w:val="21"/>
      </w:rPr>
    </w:lvl>
    <w:lvl w:ilvl="6" w:tentative="1">
      <w:start w:val="1"/>
      <w:numFmt w:val="decimal"/>
      <w:pStyle w:val="106"/>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702707132">
    <w:nsid w:val="657D3FBC"/>
    <w:multiLevelType w:val="multilevel"/>
    <w:tmpl w:val="657D3FBC"/>
    <w:lvl w:ilvl="0" w:tentative="1">
      <w:start w:val="1"/>
      <w:numFmt w:val="upperLetter"/>
      <w:pStyle w:val="77"/>
      <w:suff w:val="nothing"/>
      <w:lvlText w:val="附　录　%1"/>
      <w:lvlJc w:val="left"/>
      <w:pPr>
        <w:ind w:left="0" w:firstLine="0"/>
      </w:pPr>
      <w:rPr>
        <w:rFonts w:hint="eastAsia" w:ascii="黑体" w:hAnsi="Times New Roman" w:eastAsia="黑体"/>
        <w:b w:val="0"/>
        <w:i w:val="0"/>
        <w:sz w:val="21"/>
      </w:rPr>
    </w:lvl>
    <w:lvl w:ilvl="1" w:tentative="1">
      <w:start w:val="1"/>
      <w:numFmt w:val="decimal"/>
      <w:pStyle w:val="79"/>
      <w:suff w:val="nothing"/>
      <w:lvlText w:val="%1.%2　"/>
      <w:lvlJc w:val="left"/>
      <w:pPr>
        <w:ind w:left="0" w:firstLine="0"/>
      </w:pPr>
      <w:rPr>
        <w:rFonts w:hint="eastAsia" w:ascii="黑体" w:hAnsi="Times New Roman" w:eastAsia="黑体"/>
        <w:b w:val="0"/>
        <w:i w:val="0"/>
        <w:snapToGrid/>
        <w:spacing w:val="0"/>
        <w:w w:val="100"/>
        <w:kern w:val="21"/>
        <w:sz w:val="21"/>
      </w:rPr>
    </w:lvl>
    <w:lvl w:ilvl="2" w:tentative="1">
      <w:start w:val="1"/>
      <w:numFmt w:val="decimal"/>
      <w:pStyle w:val="80"/>
      <w:suff w:val="nothing"/>
      <w:lvlText w:val="%1.%2.%3　"/>
      <w:lvlJc w:val="left"/>
      <w:pPr>
        <w:ind w:left="0" w:firstLine="0"/>
      </w:pPr>
      <w:rPr>
        <w:rFonts w:hint="eastAsia" w:ascii="黑体" w:hAnsi="Times New Roman" w:eastAsia="黑体"/>
        <w:b w:val="0"/>
        <w:i w:val="0"/>
        <w:sz w:val="21"/>
      </w:rPr>
    </w:lvl>
    <w:lvl w:ilvl="3" w:tentative="1">
      <w:start w:val="1"/>
      <w:numFmt w:val="decimal"/>
      <w:pStyle w:val="81"/>
      <w:suff w:val="nothing"/>
      <w:lvlText w:val="%1.%2.%3.%4　"/>
      <w:lvlJc w:val="left"/>
      <w:pPr>
        <w:ind w:left="0" w:firstLine="0"/>
      </w:pPr>
      <w:rPr>
        <w:rFonts w:hint="eastAsia" w:ascii="黑体" w:hAnsi="Times New Roman" w:eastAsia="黑体"/>
        <w:b w:val="0"/>
        <w:i w:val="0"/>
        <w:sz w:val="21"/>
      </w:rPr>
    </w:lvl>
    <w:lvl w:ilvl="4" w:tentative="1">
      <w:start w:val="1"/>
      <w:numFmt w:val="decimal"/>
      <w:pStyle w:val="82"/>
      <w:suff w:val="nothing"/>
      <w:lvlText w:val="%1.%2.%3.%4.%5　"/>
      <w:lvlJc w:val="left"/>
      <w:pPr>
        <w:ind w:left="0" w:firstLine="0"/>
      </w:pPr>
      <w:rPr>
        <w:rFonts w:hint="eastAsia" w:ascii="黑体" w:hAnsi="Times New Roman" w:eastAsia="黑体"/>
        <w:b w:val="0"/>
        <w:i w:val="0"/>
        <w:sz w:val="21"/>
      </w:rPr>
    </w:lvl>
    <w:lvl w:ilvl="5" w:tentative="1">
      <w:start w:val="1"/>
      <w:numFmt w:val="decimal"/>
      <w:pStyle w:val="83"/>
      <w:suff w:val="nothing"/>
      <w:lvlText w:val="%1.%2.%3.%4.%5.%6　"/>
      <w:lvlJc w:val="left"/>
      <w:pPr>
        <w:ind w:left="0" w:firstLine="0"/>
      </w:pPr>
      <w:rPr>
        <w:rFonts w:hint="eastAsia" w:ascii="黑体" w:hAnsi="Times New Roman" w:eastAsia="黑体"/>
        <w:b w:val="0"/>
        <w:i w:val="0"/>
        <w:sz w:val="21"/>
      </w:rPr>
    </w:lvl>
    <w:lvl w:ilvl="6" w:tentative="1">
      <w:start w:val="1"/>
      <w:numFmt w:val="decimal"/>
      <w:pStyle w:val="85"/>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989358388">
    <w:nsid w:val="76933334"/>
    <w:multiLevelType w:val="multilevel"/>
    <w:tmpl w:val="76933334"/>
    <w:lvl w:ilvl="0" w:tentative="1">
      <w:start w:val="1"/>
      <w:numFmt w:val="none"/>
      <w:pStyle w:val="88"/>
      <w:lvlText w:val="%1——"/>
      <w:lvlJc w:val="left"/>
      <w:pPr>
        <w:tabs>
          <w:tab w:val="left" w:pos="1140"/>
        </w:tabs>
        <w:ind w:left="84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82025465">
    <w:nsid w:val="407E65F9"/>
    <w:multiLevelType w:val="multilevel"/>
    <w:tmpl w:val="407E65F9"/>
    <w:lvl w:ilvl="0" w:tentative="1">
      <w:start w:val="1"/>
      <w:numFmt w:val="none"/>
      <w:pStyle w:val="89"/>
      <w:lvlText w:val="%1·　"/>
      <w:lvlJc w:val="left"/>
      <w:pPr>
        <w:tabs>
          <w:tab w:val="left" w:pos="1140"/>
        </w:tabs>
        <w:ind w:left="737" w:hanging="317"/>
      </w:pPr>
      <w:rPr>
        <w:rFonts w:hint="eastAsia" w:ascii="宋体" w:hAnsi="Times New Roman" w:eastAsia="宋体"/>
        <w:b w:val="0"/>
        <w:i w:val="0"/>
        <w:sz w:val="21"/>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182675433">
    <w:nsid w:val="0AE367E9"/>
    <w:multiLevelType w:val="multilevel"/>
    <w:tmpl w:val="0AE367E9"/>
    <w:lvl w:ilvl="0" w:tentative="1">
      <w:start w:val="1"/>
      <w:numFmt w:val="none"/>
      <w:pStyle w:val="97"/>
      <w:lvlText w:val="%1示例"/>
      <w:lvlJc w:val="left"/>
      <w:pPr>
        <w:tabs>
          <w:tab w:val="left" w:pos="1120"/>
        </w:tabs>
        <w:ind w:left="0" w:firstLine="400"/>
      </w:pPr>
      <w:rPr>
        <w:rFonts w:hint="eastAsia" w:ascii="宋体" w:eastAsia="宋体"/>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84168954">
    <w:nsid w:val="646260FA"/>
    <w:multiLevelType w:val="multilevel"/>
    <w:tmpl w:val="646260FA"/>
    <w:lvl w:ilvl="0" w:tentative="1">
      <w:start w:val="1"/>
      <w:numFmt w:val="decimal"/>
      <w:pStyle w:val="108"/>
      <w:suff w:val="nothing"/>
      <w:lvlText w:val="表%1　"/>
      <w:lvlJc w:val="left"/>
      <w:pPr>
        <w:ind w:left="4095" w:firstLine="0"/>
      </w:pPr>
      <w:rPr>
        <w:rFonts w:hint="eastAsia" w:ascii="黑体" w:hAnsi="Times New Roman" w:eastAsia="黑体"/>
        <w:b w:val="0"/>
        <w:i w:val="0"/>
        <w:color w:val="auto"/>
        <w:sz w:val="21"/>
        <w:lang w:val="en-US"/>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434200821">
    <w:nsid w:val="557C2AF5"/>
    <w:multiLevelType w:val="multilevel"/>
    <w:tmpl w:val="557C2AF5"/>
    <w:lvl w:ilvl="0" w:tentative="1">
      <w:start w:val="1"/>
      <w:numFmt w:val="decimal"/>
      <w:pStyle w:val="109"/>
      <w:suff w:val="nothing"/>
      <w:lvlText w:val="图%1　"/>
      <w:lvlJc w:val="left"/>
      <w:pPr>
        <w:ind w:left="0" w:firstLine="0"/>
      </w:pPr>
      <w:rPr>
        <w:rFonts w:hint="eastAsia" w:ascii="黑体" w:hAnsi="Times New Roman" w:eastAsia="黑体"/>
        <w:b w:val="0"/>
        <w:i w:val="0"/>
        <w:sz w:val="21"/>
      </w:rPr>
    </w:lvl>
    <w:lvl w:ilvl="1" w:tentative="1">
      <w:start w:val="1"/>
      <w:numFmt w:val="decimal"/>
      <w:suff w:val="nothing"/>
      <w:lvlText w:val="%1%2　"/>
      <w:lvlJc w:val="left"/>
      <w:pPr>
        <w:ind w:left="0" w:firstLine="0"/>
      </w:pPr>
      <w:rPr>
        <w:rFonts w:hint="default" w:ascii="Times New Roman" w:hAnsi="Times New Roman" w:eastAsia="黑体"/>
        <w:b w:val="0"/>
        <w:i w:val="0"/>
        <w:sz w:val="21"/>
      </w:rPr>
    </w:lvl>
    <w:lvl w:ilvl="2" w:tentative="1">
      <w:start w:val="1"/>
      <w:numFmt w:val="decimal"/>
      <w:suff w:val="nothing"/>
      <w:lvlText w:val="%1%2.%3　"/>
      <w:lvlJc w:val="left"/>
      <w:pPr>
        <w:ind w:left="0" w:firstLine="0"/>
      </w:pPr>
      <w:rPr>
        <w:rFonts w:hint="default" w:ascii="Times New Roman" w:hAnsi="Times New Roman" w:eastAsia="黑体"/>
        <w:b w:val="0"/>
        <w:i w:val="0"/>
        <w:sz w:val="21"/>
      </w:rPr>
    </w:lvl>
    <w:lvl w:ilvl="3" w:tentative="1">
      <w:start w:val="1"/>
      <w:numFmt w:val="decimal"/>
      <w:suff w:val="nothing"/>
      <w:lvlText w:val="%1%2.%3.%4　"/>
      <w:lvlJc w:val="left"/>
      <w:pPr>
        <w:ind w:left="0" w:firstLine="0"/>
      </w:pPr>
      <w:rPr>
        <w:rFonts w:hint="default" w:ascii="Times New Roman" w:hAnsi="Times New Roman" w:eastAsia="黑体"/>
        <w:b w:val="0"/>
        <w:i w:val="0"/>
        <w:sz w:val="21"/>
      </w:rPr>
    </w:lvl>
    <w:lvl w:ilvl="4" w:tentative="1">
      <w:start w:val="1"/>
      <w:numFmt w:val="decimal"/>
      <w:suff w:val="nothing"/>
      <w:lvlText w:val="%1%2.%3.%4.%5　"/>
      <w:lvlJc w:val="left"/>
      <w:pPr>
        <w:ind w:left="0" w:firstLine="0"/>
      </w:pPr>
      <w:rPr>
        <w:rFonts w:hint="default" w:ascii="Times New Roman" w:hAnsi="Times New Roman" w:eastAsia="黑体"/>
        <w:b w:val="0"/>
        <w:i w:val="0"/>
        <w:sz w:val="21"/>
      </w:rPr>
    </w:lvl>
    <w:lvl w:ilvl="5" w:tentative="1">
      <w:start w:val="1"/>
      <w:numFmt w:val="decimal"/>
      <w:suff w:val="nothing"/>
      <w:lvlText w:val="%1%2.%3.%4.%5.%6　"/>
      <w:lvlJc w:val="left"/>
      <w:pPr>
        <w:ind w:left="0" w:firstLine="0"/>
      </w:pPr>
      <w:rPr>
        <w:rFonts w:hint="default" w:ascii="Times New Roman" w:hAnsi="Times New Roman" w:eastAsia="黑体"/>
        <w:b w:val="0"/>
        <w:i w:val="0"/>
        <w:sz w:val="21"/>
      </w:rPr>
    </w:lvl>
    <w:lvl w:ilvl="6" w:tentative="1">
      <w:start w:val="1"/>
      <w:numFmt w:val="decimal"/>
      <w:suff w:val="nothing"/>
      <w:lvlText w:val="%1%2.%3.%4.%5.%6.%7　"/>
      <w:lvlJc w:val="left"/>
      <w:pPr>
        <w:ind w:left="0" w:firstLine="0"/>
      </w:pPr>
      <w:rPr>
        <w:rFonts w:hint="default" w:ascii="Times New Roman"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841235188">
    <w:nsid w:val="6DBF04F4"/>
    <w:multiLevelType w:val="multilevel"/>
    <w:tmpl w:val="6DBF04F4"/>
    <w:lvl w:ilvl="0" w:tentative="1">
      <w:start w:val="1"/>
      <w:numFmt w:val="none"/>
      <w:pStyle w:val="110"/>
      <w:lvlText w:val="%1注："/>
      <w:lvlJc w:val="left"/>
      <w:pPr>
        <w:tabs>
          <w:tab w:val="left" w:pos="1140"/>
        </w:tabs>
        <w:ind w:left="840" w:hanging="420"/>
      </w:pPr>
      <w:rPr>
        <w:rFonts w:hint="eastAsia" w:ascii="宋体" w:hAnsi="Times New Roman" w:eastAsia="宋体"/>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2"/>
      <w:numFmt w:val="decimal"/>
      <w:lvlText w:val="%4、"/>
      <w:lvlJc w:val="left"/>
      <w:pPr>
        <w:tabs>
          <w:tab w:val="left" w:pos="1620"/>
        </w:tabs>
        <w:ind w:left="1620" w:hanging="360"/>
      </w:pPr>
      <w:rPr>
        <w:rFonts w:hint="default"/>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31965563">
    <w:nsid w:val="496E4D7B"/>
    <w:multiLevelType w:val="multilevel"/>
    <w:tmpl w:val="496E4D7B"/>
    <w:lvl w:ilvl="0" w:tentative="1">
      <w:start w:val="1"/>
      <w:numFmt w:val="none"/>
      <w:pStyle w:val="111"/>
      <w:lvlText w:val="%1注"/>
      <w:lvlJc w:val="left"/>
      <w:pPr>
        <w:tabs>
          <w:tab w:val="left" w:pos="900"/>
        </w:tabs>
        <w:ind w:left="900" w:hanging="500"/>
      </w:pPr>
      <w:rPr>
        <w:rFonts w:hint="eastAsia" w:ascii="宋体" w:hAnsi="Times New Roman" w:eastAsia="宋体"/>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827282981"/>
  </w:num>
  <w:num w:numId="2">
    <w:abstractNumId w:val="67769805"/>
  </w:num>
  <w:num w:numId="3">
    <w:abstractNumId w:val="1702707132"/>
  </w:num>
  <w:num w:numId="4">
    <w:abstractNumId w:val="1989358388"/>
  </w:num>
  <w:num w:numId="5">
    <w:abstractNumId w:val="1082025465"/>
  </w:num>
  <w:num w:numId="6">
    <w:abstractNumId w:val="182675433"/>
  </w:num>
  <w:num w:numId="7">
    <w:abstractNumId w:val="1684168954"/>
  </w:num>
  <w:num w:numId="8">
    <w:abstractNumId w:val="1434200821"/>
  </w:num>
  <w:num w:numId="9">
    <w:abstractNumId w:val="1841235188"/>
  </w:num>
  <w:num w:numId="10">
    <w:abstractNumId w:val="12319655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BC"/>
    <w:rsid w:val="0000055D"/>
    <w:rsid w:val="000009F1"/>
    <w:rsid w:val="00001186"/>
    <w:rsid w:val="0000162B"/>
    <w:rsid w:val="000017DE"/>
    <w:rsid w:val="0000243C"/>
    <w:rsid w:val="00003171"/>
    <w:rsid w:val="0000417D"/>
    <w:rsid w:val="0000454A"/>
    <w:rsid w:val="000066C0"/>
    <w:rsid w:val="00007302"/>
    <w:rsid w:val="0000768A"/>
    <w:rsid w:val="00011AFA"/>
    <w:rsid w:val="00012A85"/>
    <w:rsid w:val="000134B9"/>
    <w:rsid w:val="00014819"/>
    <w:rsid w:val="00015492"/>
    <w:rsid w:val="0001595C"/>
    <w:rsid w:val="0001678A"/>
    <w:rsid w:val="000242B4"/>
    <w:rsid w:val="0002503C"/>
    <w:rsid w:val="00025ED0"/>
    <w:rsid w:val="00026F4D"/>
    <w:rsid w:val="00026FDD"/>
    <w:rsid w:val="000311B5"/>
    <w:rsid w:val="00032601"/>
    <w:rsid w:val="000341A3"/>
    <w:rsid w:val="0003461A"/>
    <w:rsid w:val="00035BD1"/>
    <w:rsid w:val="00035DDB"/>
    <w:rsid w:val="0003772D"/>
    <w:rsid w:val="00037810"/>
    <w:rsid w:val="00037B52"/>
    <w:rsid w:val="0004007A"/>
    <w:rsid w:val="000412E3"/>
    <w:rsid w:val="00043F3D"/>
    <w:rsid w:val="000458C2"/>
    <w:rsid w:val="0004593E"/>
    <w:rsid w:val="00045FC1"/>
    <w:rsid w:val="00046BAC"/>
    <w:rsid w:val="00047119"/>
    <w:rsid w:val="0005298A"/>
    <w:rsid w:val="000530FA"/>
    <w:rsid w:val="0005346F"/>
    <w:rsid w:val="0005410B"/>
    <w:rsid w:val="00055E56"/>
    <w:rsid w:val="000567E9"/>
    <w:rsid w:val="00061A6C"/>
    <w:rsid w:val="00062106"/>
    <w:rsid w:val="00062B30"/>
    <w:rsid w:val="00063D4B"/>
    <w:rsid w:val="0006502D"/>
    <w:rsid w:val="000650AE"/>
    <w:rsid w:val="000678DC"/>
    <w:rsid w:val="0007133C"/>
    <w:rsid w:val="00071726"/>
    <w:rsid w:val="0007268A"/>
    <w:rsid w:val="00072A67"/>
    <w:rsid w:val="00073823"/>
    <w:rsid w:val="00074D17"/>
    <w:rsid w:val="000754CB"/>
    <w:rsid w:val="00075AE1"/>
    <w:rsid w:val="00076A50"/>
    <w:rsid w:val="00076C3B"/>
    <w:rsid w:val="00076F9E"/>
    <w:rsid w:val="00080EBA"/>
    <w:rsid w:val="00081494"/>
    <w:rsid w:val="00082C6B"/>
    <w:rsid w:val="00084686"/>
    <w:rsid w:val="000850AF"/>
    <w:rsid w:val="000856AA"/>
    <w:rsid w:val="00087313"/>
    <w:rsid w:val="00087328"/>
    <w:rsid w:val="00087EC7"/>
    <w:rsid w:val="0009060D"/>
    <w:rsid w:val="00091E9C"/>
    <w:rsid w:val="0009353D"/>
    <w:rsid w:val="00093DF7"/>
    <w:rsid w:val="00094C48"/>
    <w:rsid w:val="000951E2"/>
    <w:rsid w:val="000958E5"/>
    <w:rsid w:val="000967ED"/>
    <w:rsid w:val="0009720E"/>
    <w:rsid w:val="00097DC4"/>
    <w:rsid w:val="000A019F"/>
    <w:rsid w:val="000A59C6"/>
    <w:rsid w:val="000A6AD9"/>
    <w:rsid w:val="000A7DEC"/>
    <w:rsid w:val="000B00BE"/>
    <w:rsid w:val="000B048F"/>
    <w:rsid w:val="000B47E3"/>
    <w:rsid w:val="000B57CE"/>
    <w:rsid w:val="000C1B10"/>
    <w:rsid w:val="000C671A"/>
    <w:rsid w:val="000D0BFC"/>
    <w:rsid w:val="000D45A3"/>
    <w:rsid w:val="000D6019"/>
    <w:rsid w:val="000D6AA3"/>
    <w:rsid w:val="000D6D43"/>
    <w:rsid w:val="000D76DF"/>
    <w:rsid w:val="000D7DA8"/>
    <w:rsid w:val="000E20ED"/>
    <w:rsid w:val="000E2A1E"/>
    <w:rsid w:val="000E2AC4"/>
    <w:rsid w:val="000E324F"/>
    <w:rsid w:val="000E400F"/>
    <w:rsid w:val="000F0B2E"/>
    <w:rsid w:val="000F3105"/>
    <w:rsid w:val="000F44B2"/>
    <w:rsid w:val="000F61C2"/>
    <w:rsid w:val="000F6FDC"/>
    <w:rsid w:val="0010108E"/>
    <w:rsid w:val="001035D9"/>
    <w:rsid w:val="0010380E"/>
    <w:rsid w:val="00105275"/>
    <w:rsid w:val="001069C9"/>
    <w:rsid w:val="001073AD"/>
    <w:rsid w:val="0010773F"/>
    <w:rsid w:val="00107A82"/>
    <w:rsid w:val="00110370"/>
    <w:rsid w:val="00115007"/>
    <w:rsid w:val="0011661C"/>
    <w:rsid w:val="00116BC7"/>
    <w:rsid w:val="00117E9E"/>
    <w:rsid w:val="001203AB"/>
    <w:rsid w:val="001203DC"/>
    <w:rsid w:val="00120755"/>
    <w:rsid w:val="001233BB"/>
    <w:rsid w:val="00125902"/>
    <w:rsid w:val="00127035"/>
    <w:rsid w:val="001307C8"/>
    <w:rsid w:val="00130EC4"/>
    <w:rsid w:val="00131625"/>
    <w:rsid w:val="00131939"/>
    <w:rsid w:val="00133690"/>
    <w:rsid w:val="00133A62"/>
    <w:rsid w:val="00136EB5"/>
    <w:rsid w:val="001443A4"/>
    <w:rsid w:val="00144607"/>
    <w:rsid w:val="0014709B"/>
    <w:rsid w:val="00151D12"/>
    <w:rsid w:val="00151E1C"/>
    <w:rsid w:val="00151F79"/>
    <w:rsid w:val="0015225A"/>
    <w:rsid w:val="00154B57"/>
    <w:rsid w:val="00154D12"/>
    <w:rsid w:val="00157FA4"/>
    <w:rsid w:val="001616B5"/>
    <w:rsid w:val="001618AE"/>
    <w:rsid w:val="00161F37"/>
    <w:rsid w:val="00162B0C"/>
    <w:rsid w:val="0016477F"/>
    <w:rsid w:val="00164BC2"/>
    <w:rsid w:val="00166291"/>
    <w:rsid w:val="00166C2A"/>
    <w:rsid w:val="00167DAF"/>
    <w:rsid w:val="00170C02"/>
    <w:rsid w:val="00173957"/>
    <w:rsid w:val="001739FD"/>
    <w:rsid w:val="001747ED"/>
    <w:rsid w:val="001748F2"/>
    <w:rsid w:val="001753F1"/>
    <w:rsid w:val="0017576C"/>
    <w:rsid w:val="00176AED"/>
    <w:rsid w:val="00184266"/>
    <w:rsid w:val="001867F1"/>
    <w:rsid w:val="00186B33"/>
    <w:rsid w:val="00191F6D"/>
    <w:rsid w:val="0019231F"/>
    <w:rsid w:val="00192466"/>
    <w:rsid w:val="00192E81"/>
    <w:rsid w:val="001932C3"/>
    <w:rsid w:val="00193761"/>
    <w:rsid w:val="00193C98"/>
    <w:rsid w:val="001950E8"/>
    <w:rsid w:val="0019587A"/>
    <w:rsid w:val="00196BC0"/>
    <w:rsid w:val="00197F2C"/>
    <w:rsid w:val="001A0711"/>
    <w:rsid w:val="001A178C"/>
    <w:rsid w:val="001A1940"/>
    <w:rsid w:val="001A289F"/>
    <w:rsid w:val="001A3FF7"/>
    <w:rsid w:val="001A62D2"/>
    <w:rsid w:val="001A679C"/>
    <w:rsid w:val="001B1618"/>
    <w:rsid w:val="001B16AF"/>
    <w:rsid w:val="001B1931"/>
    <w:rsid w:val="001B32A9"/>
    <w:rsid w:val="001B3780"/>
    <w:rsid w:val="001B64ED"/>
    <w:rsid w:val="001B7A89"/>
    <w:rsid w:val="001C00B8"/>
    <w:rsid w:val="001C179A"/>
    <w:rsid w:val="001C3104"/>
    <w:rsid w:val="001C51DA"/>
    <w:rsid w:val="001C5C5B"/>
    <w:rsid w:val="001C76F0"/>
    <w:rsid w:val="001C7AB5"/>
    <w:rsid w:val="001D0030"/>
    <w:rsid w:val="001D0A39"/>
    <w:rsid w:val="001D0AED"/>
    <w:rsid w:val="001D1869"/>
    <w:rsid w:val="001D23C6"/>
    <w:rsid w:val="001D2DAF"/>
    <w:rsid w:val="001E0753"/>
    <w:rsid w:val="001E0B9E"/>
    <w:rsid w:val="001E0ECF"/>
    <w:rsid w:val="001E22A2"/>
    <w:rsid w:val="001E2420"/>
    <w:rsid w:val="001E3EBF"/>
    <w:rsid w:val="001E4B12"/>
    <w:rsid w:val="001E4BAE"/>
    <w:rsid w:val="001E559B"/>
    <w:rsid w:val="001E5F92"/>
    <w:rsid w:val="001E6BB0"/>
    <w:rsid w:val="001E7703"/>
    <w:rsid w:val="001E7790"/>
    <w:rsid w:val="001F03E1"/>
    <w:rsid w:val="001F1CB7"/>
    <w:rsid w:val="001F2018"/>
    <w:rsid w:val="001F20E9"/>
    <w:rsid w:val="001F2B04"/>
    <w:rsid w:val="001F42D0"/>
    <w:rsid w:val="001F477A"/>
    <w:rsid w:val="001F51C0"/>
    <w:rsid w:val="001F643B"/>
    <w:rsid w:val="001F7B58"/>
    <w:rsid w:val="00200571"/>
    <w:rsid w:val="0020115B"/>
    <w:rsid w:val="00201619"/>
    <w:rsid w:val="0020371B"/>
    <w:rsid w:val="002044AA"/>
    <w:rsid w:val="00205C34"/>
    <w:rsid w:val="00207429"/>
    <w:rsid w:val="00210456"/>
    <w:rsid w:val="0021253B"/>
    <w:rsid w:val="00216784"/>
    <w:rsid w:val="00216D55"/>
    <w:rsid w:val="002171C5"/>
    <w:rsid w:val="002205F6"/>
    <w:rsid w:val="00220906"/>
    <w:rsid w:val="002215DF"/>
    <w:rsid w:val="0022381A"/>
    <w:rsid w:val="002261B6"/>
    <w:rsid w:val="002263E3"/>
    <w:rsid w:val="00226F55"/>
    <w:rsid w:val="00237D37"/>
    <w:rsid w:val="00242E0F"/>
    <w:rsid w:val="00243E89"/>
    <w:rsid w:val="0024428B"/>
    <w:rsid w:val="00245B65"/>
    <w:rsid w:val="0025002D"/>
    <w:rsid w:val="002528BC"/>
    <w:rsid w:val="00255A08"/>
    <w:rsid w:val="00255C84"/>
    <w:rsid w:val="00256D99"/>
    <w:rsid w:val="00261D6B"/>
    <w:rsid w:val="00262E00"/>
    <w:rsid w:val="00262F7A"/>
    <w:rsid w:val="0026466E"/>
    <w:rsid w:val="00264882"/>
    <w:rsid w:val="00265174"/>
    <w:rsid w:val="00266E25"/>
    <w:rsid w:val="00267527"/>
    <w:rsid w:val="002705D6"/>
    <w:rsid w:val="00271C1E"/>
    <w:rsid w:val="002727E3"/>
    <w:rsid w:val="00273867"/>
    <w:rsid w:val="00273C36"/>
    <w:rsid w:val="00275F06"/>
    <w:rsid w:val="002835BA"/>
    <w:rsid w:val="0028384C"/>
    <w:rsid w:val="00283D6A"/>
    <w:rsid w:val="00286210"/>
    <w:rsid w:val="00286D3F"/>
    <w:rsid w:val="00290347"/>
    <w:rsid w:val="00292F46"/>
    <w:rsid w:val="00294473"/>
    <w:rsid w:val="00294DD6"/>
    <w:rsid w:val="002A31FF"/>
    <w:rsid w:val="002A5049"/>
    <w:rsid w:val="002A529F"/>
    <w:rsid w:val="002A53D9"/>
    <w:rsid w:val="002A5839"/>
    <w:rsid w:val="002A58B8"/>
    <w:rsid w:val="002A66F2"/>
    <w:rsid w:val="002A69CB"/>
    <w:rsid w:val="002B1444"/>
    <w:rsid w:val="002B22B2"/>
    <w:rsid w:val="002B330A"/>
    <w:rsid w:val="002B3480"/>
    <w:rsid w:val="002B398E"/>
    <w:rsid w:val="002B3CB0"/>
    <w:rsid w:val="002B593E"/>
    <w:rsid w:val="002B68FF"/>
    <w:rsid w:val="002B6F0E"/>
    <w:rsid w:val="002B79B3"/>
    <w:rsid w:val="002C09D6"/>
    <w:rsid w:val="002C1F43"/>
    <w:rsid w:val="002C31EA"/>
    <w:rsid w:val="002C405A"/>
    <w:rsid w:val="002C43BA"/>
    <w:rsid w:val="002C43C4"/>
    <w:rsid w:val="002C736F"/>
    <w:rsid w:val="002C78F7"/>
    <w:rsid w:val="002D09C4"/>
    <w:rsid w:val="002D1B29"/>
    <w:rsid w:val="002D2313"/>
    <w:rsid w:val="002D2BEA"/>
    <w:rsid w:val="002D3D45"/>
    <w:rsid w:val="002D5B48"/>
    <w:rsid w:val="002D5B9F"/>
    <w:rsid w:val="002D777A"/>
    <w:rsid w:val="002D7BE4"/>
    <w:rsid w:val="002D7E53"/>
    <w:rsid w:val="002E0507"/>
    <w:rsid w:val="002E0B98"/>
    <w:rsid w:val="002E1566"/>
    <w:rsid w:val="002E3665"/>
    <w:rsid w:val="002E3F85"/>
    <w:rsid w:val="002E59C8"/>
    <w:rsid w:val="002E5AB1"/>
    <w:rsid w:val="002E6B39"/>
    <w:rsid w:val="002E74AB"/>
    <w:rsid w:val="002E7B94"/>
    <w:rsid w:val="002F0B02"/>
    <w:rsid w:val="002F14B5"/>
    <w:rsid w:val="002F14B9"/>
    <w:rsid w:val="002F43DA"/>
    <w:rsid w:val="002F54A2"/>
    <w:rsid w:val="002F76A8"/>
    <w:rsid w:val="0030302A"/>
    <w:rsid w:val="0030780E"/>
    <w:rsid w:val="00312138"/>
    <w:rsid w:val="003128A0"/>
    <w:rsid w:val="00312F3F"/>
    <w:rsid w:val="003150F8"/>
    <w:rsid w:val="00315F27"/>
    <w:rsid w:val="00315FC0"/>
    <w:rsid w:val="003165B8"/>
    <w:rsid w:val="00316B5E"/>
    <w:rsid w:val="00317BE8"/>
    <w:rsid w:val="00321DDC"/>
    <w:rsid w:val="00322D2A"/>
    <w:rsid w:val="003253FE"/>
    <w:rsid w:val="003272C7"/>
    <w:rsid w:val="00327F9C"/>
    <w:rsid w:val="003337CB"/>
    <w:rsid w:val="0033643B"/>
    <w:rsid w:val="00336D1F"/>
    <w:rsid w:val="003407CE"/>
    <w:rsid w:val="00340FBB"/>
    <w:rsid w:val="00342318"/>
    <w:rsid w:val="00342A0D"/>
    <w:rsid w:val="00343305"/>
    <w:rsid w:val="0034423A"/>
    <w:rsid w:val="00346F4F"/>
    <w:rsid w:val="00346FC7"/>
    <w:rsid w:val="00347824"/>
    <w:rsid w:val="00351C32"/>
    <w:rsid w:val="00353AB3"/>
    <w:rsid w:val="00355918"/>
    <w:rsid w:val="00357309"/>
    <w:rsid w:val="00361D14"/>
    <w:rsid w:val="003654FB"/>
    <w:rsid w:val="003666BF"/>
    <w:rsid w:val="003700B1"/>
    <w:rsid w:val="00370685"/>
    <w:rsid w:val="00371632"/>
    <w:rsid w:val="00372706"/>
    <w:rsid w:val="00374823"/>
    <w:rsid w:val="003748CA"/>
    <w:rsid w:val="00374FF7"/>
    <w:rsid w:val="003763A7"/>
    <w:rsid w:val="003817A4"/>
    <w:rsid w:val="00382E06"/>
    <w:rsid w:val="0038393E"/>
    <w:rsid w:val="00385558"/>
    <w:rsid w:val="00386865"/>
    <w:rsid w:val="003877CE"/>
    <w:rsid w:val="00392E4B"/>
    <w:rsid w:val="00393E07"/>
    <w:rsid w:val="0039450F"/>
    <w:rsid w:val="00394C15"/>
    <w:rsid w:val="003950D9"/>
    <w:rsid w:val="003957C3"/>
    <w:rsid w:val="00395E18"/>
    <w:rsid w:val="003A0321"/>
    <w:rsid w:val="003A0A5C"/>
    <w:rsid w:val="003A0AE2"/>
    <w:rsid w:val="003A1C4D"/>
    <w:rsid w:val="003A4302"/>
    <w:rsid w:val="003A7885"/>
    <w:rsid w:val="003B235A"/>
    <w:rsid w:val="003B26FF"/>
    <w:rsid w:val="003B29E4"/>
    <w:rsid w:val="003B450D"/>
    <w:rsid w:val="003B6647"/>
    <w:rsid w:val="003C25D0"/>
    <w:rsid w:val="003C38BC"/>
    <w:rsid w:val="003C695D"/>
    <w:rsid w:val="003C7265"/>
    <w:rsid w:val="003D353C"/>
    <w:rsid w:val="003D392A"/>
    <w:rsid w:val="003D3EA1"/>
    <w:rsid w:val="003D6753"/>
    <w:rsid w:val="003E0747"/>
    <w:rsid w:val="003E0F20"/>
    <w:rsid w:val="003E1306"/>
    <w:rsid w:val="003E241B"/>
    <w:rsid w:val="003E2838"/>
    <w:rsid w:val="003E42E7"/>
    <w:rsid w:val="003E4C4F"/>
    <w:rsid w:val="003E4CAA"/>
    <w:rsid w:val="003E505F"/>
    <w:rsid w:val="003E59EC"/>
    <w:rsid w:val="003F05FE"/>
    <w:rsid w:val="003F0EAE"/>
    <w:rsid w:val="003F2043"/>
    <w:rsid w:val="003F3326"/>
    <w:rsid w:val="003F5855"/>
    <w:rsid w:val="00400515"/>
    <w:rsid w:val="00401D0C"/>
    <w:rsid w:val="00403F24"/>
    <w:rsid w:val="00404D98"/>
    <w:rsid w:val="00405A5D"/>
    <w:rsid w:val="00406427"/>
    <w:rsid w:val="004110B0"/>
    <w:rsid w:val="00413DBB"/>
    <w:rsid w:val="00414BD6"/>
    <w:rsid w:val="00415B32"/>
    <w:rsid w:val="0041627A"/>
    <w:rsid w:val="00417489"/>
    <w:rsid w:val="00417B44"/>
    <w:rsid w:val="00420D0C"/>
    <w:rsid w:val="00426CF9"/>
    <w:rsid w:val="00430DDE"/>
    <w:rsid w:val="00430EC7"/>
    <w:rsid w:val="004315C1"/>
    <w:rsid w:val="0043263A"/>
    <w:rsid w:val="00434177"/>
    <w:rsid w:val="004341CA"/>
    <w:rsid w:val="004362AF"/>
    <w:rsid w:val="00436360"/>
    <w:rsid w:val="00436399"/>
    <w:rsid w:val="00437A16"/>
    <w:rsid w:val="00441011"/>
    <w:rsid w:val="00445350"/>
    <w:rsid w:val="004463C6"/>
    <w:rsid w:val="004463CF"/>
    <w:rsid w:val="004470FE"/>
    <w:rsid w:val="004528CB"/>
    <w:rsid w:val="004535C2"/>
    <w:rsid w:val="004537D7"/>
    <w:rsid w:val="0045583C"/>
    <w:rsid w:val="00455CC5"/>
    <w:rsid w:val="00456431"/>
    <w:rsid w:val="004606EF"/>
    <w:rsid w:val="004620CE"/>
    <w:rsid w:val="0046287E"/>
    <w:rsid w:val="00463045"/>
    <w:rsid w:val="00463764"/>
    <w:rsid w:val="00463B93"/>
    <w:rsid w:val="00463C0D"/>
    <w:rsid w:val="004643FC"/>
    <w:rsid w:val="00464896"/>
    <w:rsid w:val="0046633F"/>
    <w:rsid w:val="00467A6C"/>
    <w:rsid w:val="00467C3F"/>
    <w:rsid w:val="004709A2"/>
    <w:rsid w:val="00472002"/>
    <w:rsid w:val="004731CA"/>
    <w:rsid w:val="00473E2E"/>
    <w:rsid w:val="004751DD"/>
    <w:rsid w:val="0047581E"/>
    <w:rsid w:val="004772B1"/>
    <w:rsid w:val="00481308"/>
    <w:rsid w:val="00482647"/>
    <w:rsid w:val="004855B5"/>
    <w:rsid w:val="004867C5"/>
    <w:rsid w:val="004876BE"/>
    <w:rsid w:val="00491E6C"/>
    <w:rsid w:val="00493005"/>
    <w:rsid w:val="004931DE"/>
    <w:rsid w:val="004939E6"/>
    <w:rsid w:val="00495D55"/>
    <w:rsid w:val="00495FA1"/>
    <w:rsid w:val="00496755"/>
    <w:rsid w:val="00496A1E"/>
    <w:rsid w:val="00497941"/>
    <w:rsid w:val="00497E6C"/>
    <w:rsid w:val="004A1F0A"/>
    <w:rsid w:val="004A278A"/>
    <w:rsid w:val="004A3F38"/>
    <w:rsid w:val="004A6676"/>
    <w:rsid w:val="004B1EA5"/>
    <w:rsid w:val="004B22B6"/>
    <w:rsid w:val="004B2819"/>
    <w:rsid w:val="004B2C24"/>
    <w:rsid w:val="004B2F85"/>
    <w:rsid w:val="004B384E"/>
    <w:rsid w:val="004B3BED"/>
    <w:rsid w:val="004B7A2A"/>
    <w:rsid w:val="004C04DC"/>
    <w:rsid w:val="004C3874"/>
    <w:rsid w:val="004C3923"/>
    <w:rsid w:val="004C3F80"/>
    <w:rsid w:val="004C6011"/>
    <w:rsid w:val="004C632B"/>
    <w:rsid w:val="004C6DCF"/>
    <w:rsid w:val="004D247C"/>
    <w:rsid w:val="004D2C20"/>
    <w:rsid w:val="004D475D"/>
    <w:rsid w:val="004D4D89"/>
    <w:rsid w:val="004D56C2"/>
    <w:rsid w:val="004D5DC2"/>
    <w:rsid w:val="004D739A"/>
    <w:rsid w:val="004D7B68"/>
    <w:rsid w:val="004D7C2B"/>
    <w:rsid w:val="004E07B7"/>
    <w:rsid w:val="004E408A"/>
    <w:rsid w:val="004E4BB9"/>
    <w:rsid w:val="004E6A57"/>
    <w:rsid w:val="004E73DF"/>
    <w:rsid w:val="004E75D2"/>
    <w:rsid w:val="004E7DD7"/>
    <w:rsid w:val="004F1142"/>
    <w:rsid w:val="004F1D9D"/>
    <w:rsid w:val="004F1FD8"/>
    <w:rsid w:val="004F20F6"/>
    <w:rsid w:val="004F52C2"/>
    <w:rsid w:val="004F7B69"/>
    <w:rsid w:val="00501CA3"/>
    <w:rsid w:val="005045FB"/>
    <w:rsid w:val="005050CC"/>
    <w:rsid w:val="00507FCD"/>
    <w:rsid w:val="005124F2"/>
    <w:rsid w:val="00512B68"/>
    <w:rsid w:val="00513F15"/>
    <w:rsid w:val="0051468E"/>
    <w:rsid w:val="00514FB1"/>
    <w:rsid w:val="00516BEC"/>
    <w:rsid w:val="00516E4E"/>
    <w:rsid w:val="00517203"/>
    <w:rsid w:val="005173A2"/>
    <w:rsid w:val="00520981"/>
    <w:rsid w:val="00520E9E"/>
    <w:rsid w:val="00521CBF"/>
    <w:rsid w:val="005226C7"/>
    <w:rsid w:val="005266AC"/>
    <w:rsid w:val="00530283"/>
    <w:rsid w:val="00530377"/>
    <w:rsid w:val="005313D2"/>
    <w:rsid w:val="005340D7"/>
    <w:rsid w:val="0053498C"/>
    <w:rsid w:val="005372E3"/>
    <w:rsid w:val="005378A6"/>
    <w:rsid w:val="00537ECB"/>
    <w:rsid w:val="00541445"/>
    <w:rsid w:val="00542556"/>
    <w:rsid w:val="00542F21"/>
    <w:rsid w:val="005447A7"/>
    <w:rsid w:val="005458E3"/>
    <w:rsid w:val="00545E09"/>
    <w:rsid w:val="00547848"/>
    <w:rsid w:val="00547FE6"/>
    <w:rsid w:val="005530F8"/>
    <w:rsid w:val="00556146"/>
    <w:rsid w:val="00556395"/>
    <w:rsid w:val="00556B6E"/>
    <w:rsid w:val="0056153F"/>
    <w:rsid w:val="00561791"/>
    <w:rsid w:val="00561ECB"/>
    <w:rsid w:val="005621E2"/>
    <w:rsid w:val="005625B4"/>
    <w:rsid w:val="00562B61"/>
    <w:rsid w:val="00567641"/>
    <w:rsid w:val="005676E1"/>
    <w:rsid w:val="00570AD9"/>
    <w:rsid w:val="005741BE"/>
    <w:rsid w:val="00574253"/>
    <w:rsid w:val="00577906"/>
    <w:rsid w:val="005803C9"/>
    <w:rsid w:val="00582072"/>
    <w:rsid w:val="00582A15"/>
    <w:rsid w:val="005849F6"/>
    <w:rsid w:val="0058565C"/>
    <w:rsid w:val="00586471"/>
    <w:rsid w:val="0058691F"/>
    <w:rsid w:val="00586F04"/>
    <w:rsid w:val="00592B7E"/>
    <w:rsid w:val="005948D9"/>
    <w:rsid w:val="00595216"/>
    <w:rsid w:val="005955A0"/>
    <w:rsid w:val="0059568C"/>
    <w:rsid w:val="005957D8"/>
    <w:rsid w:val="005959A4"/>
    <w:rsid w:val="00595A39"/>
    <w:rsid w:val="00595BDB"/>
    <w:rsid w:val="00596671"/>
    <w:rsid w:val="005A20C7"/>
    <w:rsid w:val="005A3C94"/>
    <w:rsid w:val="005A3F5A"/>
    <w:rsid w:val="005A4BBB"/>
    <w:rsid w:val="005A54F9"/>
    <w:rsid w:val="005B0045"/>
    <w:rsid w:val="005B0A3F"/>
    <w:rsid w:val="005B169E"/>
    <w:rsid w:val="005B1E33"/>
    <w:rsid w:val="005B279F"/>
    <w:rsid w:val="005B2D47"/>
    <w:rsid w:val="005B415C"/>
    <w:rsid w:val="005B6E49"/>
    <w:rsid w:val="005C038A"/>
    <w:rsid w:val="005C1D3A"/>
    <w:rsid w:val="005C1D67"/>
    <w:rsid w:val="005C4382"/>
    <w:rsid w:val="005C4873"/>
    <w:rsid w:val="005C6797"/>
    <w:rsid w:val="005C70A5"/>
    <w:rsid w:val="005D1510"/>
    <w:rsid w:val="005D1D66"/>
    <w:rsid w:val="005D628C"/>
    <w:rsid w:val="005D7437"/>
    <w:rsid w:val="005D7AF4"/>
    <w:rsid w:val="005E0672"/>
    <w:rsid w:val="005E2417"/>
    <w:rsid w:val="005E2589"/>
    <w:rsid w:val="005E27B9"/>
    <w:rsid w:val="005E2949"/>
    <w:rsid w:val="005E4A99"/>
    <w:rsid w:val="005E54B8"/>
    <w:rsid w:val="005E7B60"/>
    <w:rsid w:val="005E7B77"/>
    <w:rsid w:val="005F1CCD"/>
    <w:rsid w:val="005F24DE"/>
    <w:rsid w:val="005F2CFA"/>
    <w:rsid w:val="005F3346"/>
    <w:rsid w:val="005F37F8"/>
    <w:rsid w:val="005F484D"/>
    <w:rsid w:val="005F50DA"/>
    <w:rsid w:val="005F55A7"/>
    <w:rsid w:val="00601057"/>
    <w:rsid w:val="00601D5F"/>
    <w:rsid w:val="00604416"/>
    <w:rsid w:val="006070D6"/>
    <w:rsid w:val="00607DA3"/>
    <w:rsid w:val="0061317A"/>
    <w:rsid w:val="006155EC"/>
    <w:rsid w:val="00615B25"/>
    <w:rsid w:val="006167DB"/>
    <w:rsid w:val="0061749D"/>
    <w:rsid w:val="00623D32"/>
    <w:rsid w:val="00626637"/>
    <w:rsid w:val="00627229"/>
    <w:rsid w:val="0062723F"/>
    <w:rsid w:val="006272F4"/>
    <w:rsid w:val="00630183"/>
    <w:rsid w:val="00630C52"/>
    <w:rsid w:val="0063132C"/>
    <w:rsid w:val="00631F5D"/>
    <w:rsid w:val="00632F1A"/>
    <w:rsid w:val="00633B38"/>
    <w:rsid w:val="00633B69"/>
    <w:rsid w:val="006351F4"/>
    <w:rsid w:val="00636EFC"/>
    <w:rsid w:val="0063719A"/>
    <w:rsid w:val="006377D3"/>
    <w:rsid w:val="00640426"/>
    <w:rsid w:val="00641310"/>
    <w:rsid w:val="0064199B"/>
    <w:rsid w:val="006440AB"/>
    <w:rsid w:val="00644152"/>
    <w:rsid w:val="00645EAA"/>
    <w:rsid w:val="00645F4D"/>
    <w:rsid w:val="00646386"/>
    <w:rsid w:val="00646AFD"/>
    <w:rsid w:val="00646BFD"/>
    <w:rsid w:val="00646EBF"/>
    <w:rsid w:val="006473CB"/>
    <w:rsid w:val="00647CF2"/>
    <w:rsid w:val="00652FBE"/>
    <w:rsid w:val="00653FEF"/>
    <w:rsid w:val="0065441F"/>
    <w:rsid w:val="0065474E"/>
    <w:rsid w:val="00655063"/>
    <w:rsid w:val="006565AC"/>
    <w:rsid w:val="0065684C"/>
    <w:rsid w:val="00657C8C"/>
    <w:rsid w:val="00662035"/>
    <w:rsid w:val="00662247"/>
    <w:rsid w:val="0066462D"/>
    <w:rsid w:val="00664B40"/>
    <w:rsid w:val="006671EA"/>
    <w:rsid w:val="006678AF"/>
    <w:rsid w:val="00667B15"/>
    <w:rsid w:val="00667C9E"/>
    <w:rsid w:val="0067027F"/>
    <w:rsid w:val="006702AD"/>
    <w:rsid w:val="00670887"/>
    <w:rsid w:val="00671107"/>
    <w:rsid w:val="006718CF"/>
    <w:rsid w:val="00671AF0"/>
    <w:rsid w:val="006729B9"/>
    <w:rsid w:val="00674392"/>
    <w:rsid w:val="00675876"/>
    <w:rsid w:val="00675DDA"/>
    <w:rsid w:val="00676E1B"/>
    <w:rsid w:val="00677D34"/>
    <w:rsid w:val="00680947"/>
    <w:rsid w:val="00681768"/>
    <w:rsid w:val="0068221D"/>
    <w:rsid w:val="006842E3"/>
    <w:rsid w:val="00686776"/>
    <w:rsid w:val="00687C0D"/>
    <w:rsid w:val="006911B1"/>
    <w:rsid w:val="006927C0"/>
    <w:rsid w:val="0069298D"/>
    <w:rsid w:val="00694013"/>
    <w:rsid w:val="00694B73"/>
    <w:rsid w:val="006969AB"/>
    <w:rsid w:val="0069788B"/>
    <w:rsid w:val="006A00B7"/>
    <w:rsid w:val="006A0285"/>
    <w:rsid w:val="006A03B2"/>
    <w:rsid w:val="006A0455"/>
    <w:rsid w:val="006A2F79"/>
    <w:rsid w:val="006A390D"/>
    <w:rsid w:val="006A437B"/>
    <w:rsid w:val="006A5EDE"/>
    <w:rsid w:val="006A6E86"/>
    <w:rsid w:val="006A79C9"/>
    <w:rsid w:val="006B168D"/>
    <w:rsid w:val="006B39C5"/>
    <w:rsid w:val="006B58DD"/>
    <w:rsid w:val="006B68A0"/>
    <w:rsid w:val="006C243D"/>
    <w:rsid w:val="006C2C4A"/>
    <w:rsid w:val="006D0236"/>
    <w:rsid w:val="006D1D75"/>
    <w:rsid w:val="006D43C1"/>
    <w:rsid w:val="006D48B1"/>
    <w:rsid w:val="006E0487"/>
    <w:rsid w:val="006E1253"/>
    <w:rsid w:val="006E12E9"/>
    <w:rsid w:val="006E45ED"/>
    <w:rsid w:val="006E4D42"/>
    <w:rsid w:val="006E5AE0"/>
    <w:rsid w:val="006E79A6"/>
    <w:rsid w:val="006F03DE"/>
    <w:rsid w:val="006F0463"/>
    <w:rsid w:val="006F0B9D"/>
    <w:rsid w:val="006F577B"/>
    <w:rsid w:val="00700D41"/>
    <w:rsid w:val="0070179F"/>
    <w:rsid w:val="00701B1C"/>
    <w:rsid w:val="00703FAD"/>
    <w:rsid w:val="0070592C"/>
    <w:rsid w:val="0070734C"/>
    <w:rsid w:val="0071018C"/>
    <w:rsid w:val="0071247A"/>
    <w:rsid w:val="00713EDA"/>
    <w:rsid w:val="00715602"/>
    <w:rsid w:val="0071607C"/>
    <w:rsid w:val="007178AA"/>
    <w:rsid w:val="007207A2"/>
    <w:rsid w:val="007212A1"/>
    <w:rsid w:val="0072153E"/>
    <w:rsid w:val="00721BFF"/>
    <w:rsid w:val="007227D4"/>
    <w:rsid w:val="00722F16"/>
    <w:rsid w:val="0072426F"/>
    <w:rsid w:val="00724C6A"/>
    <w:rsid w:val="00727136"/>
    <w:rsid w:val="0073167D"/>
    <w:rsid w:val="007318CB"/>
    <w:rsid w:val="00731A70"/>
    <w:rsid w:val="007323DE"/>
    <w:rsid w:val="0073292C"/>
    <w:rsid w:val="007339DE"/>
    <w:rsid w:val="0073454C"/>
    <w:rsid w:val="00734E2C"/>
    <w:rsid w:val="0073615C"/>
    <w:rsid w:val="0074120F"/>
    <w:rsid w:val="00742A37"/>
    <w:rsid w:val="007434DA"/>
    <w:rsid w:val="007435D1"/>
    <w:rsid w:val="00743920"/>
    <w:rsid w:val="00744DD3"/>
    <w:rsid w:val="007451DC"/>
    <w:rsid w:val="00745A27"/>
    <w:rsid w:val="00746251"/>
    <w:rsid w:val="00746C39"/>
    <w:rsid w:val="00747A71"/>
    <w:rsid w:val="007530B5"/>
    <w:rsid w:val="007552D5"/>
    <w:rsid w:val="0075584B"/>
    <w:rsid w:val="00755F06"/>
    <w:rsid w:val="007570E1"/>
    <w:rsid w:val="007604BE"/>
    <w:rsid w:val="00762A97"/>
    <w:rsid w:val="007632CC"/>
    <w:rsid w:val="007636C1"/>
    <w:rsid w:val="00763C5F"/>
    <w:rsid w:val="00763E8D"/>
    <w:rsid w:val="007657B1"/>
    <w:rsid w:val="007671D9"/>
    <w:rsid w:val="0077132B"/>
    <w:rsid w:val="00771F6F"/>
    <w:rsid w:val="0077418B"/>
    <w:rsid w:val="00776DD1"/>
    <w:rsid w:val="007802E6"/>
    <w:rsid w:val="00781125"/>
    <w:rsid w:val="00781166"/>
    <w:rsid w:val="007824DD"/>
    <w:rsid w:val="007846AD"/>
    <w:rsid w:val="007855CE"/>
    <w:rsid w:val="0078790A"/>
    <w:rsid w:val="007915A5"/>
    <w:rsid w:val="00793553"/>
    <w:rsid w:val="0079562E"/>
    <w:rsid w:val="007963D5"/>
    <w:rsid w:val="00796484"/>
    <w:rsid w:val="00796720"/>
    <w:rsid w:val="00797286"/>
    <w:rsid w:val="00797DB8"/>
    <w:rsid w:val="007A037E"/>
    <w:rsid w:val="007A0EDB"/>
    <w:rsid w:val="007A3138"/>
    <w:rsid w:val="007A4716"/>
    <w:rsid w:val="007A50CD"/>
    <w:rsid w:val="007A5B88"/>
    <w:rsid w:val="007A6817"/>
    <w:rsid w:val="007B0F04"/>
    <w:rsid w:val="007B1D21"/>
    <w:rsid w:val="007B35DC"/>
    <w:rsid w:val="007B417F"/>
    <w:rsid w:val="007B4E47"/>
    <w:rsid w:val="007B6868"/>
    <w:rsid w:val="007B7B60"/>
    <w:rsid w:val="007C065A"/>
    <w:rsid w:val="007C1741"/>
    <w:rsid w:val="007C1963"/>
    <w:rsid w:val="007C22D3"/>
    <w:rsid w:val="007C22D4"/>
    <w:rsid w:val="007C481E"/>
    <w:rsid w:val="007C51AF"/>
    <w:rsid w:val="007C528F"/>
    <w:rsid w:val="007C5C96"/>
    <w:rsid w:val="007C6011"/>
    <w:rsid w:val="007D1C45"/>
    <w:rsid w:val="007D3B3F"/>
    <w:rsid w:val="007D4156"/>
    <w:rsid w:val="007D4A6F"/>
    <w:rsid w:val="007D4F20"/>
    <w:rsid w:val="007D7DA7"/>
    <w:rsid w:val="007D7E1A"/>
    <w:rsid w:val="007E06FF"/>
    <w:rsid w:val="007E08BD"/>
    <w:rsid w:val="007E0F0C"/>
    <w:rsid w:val="007E1022"/>
    <w:rsid w:val="007E16FA"/>
    <w:rsid w:val="007E26FC"/>
    <w:rsid w:val="007E5006"/>
    <w:rsid w:val="007E6F72"/>
    <w:rsid w:val="007F0F14"/>
    <w:rsid w:val="007F224B"/>
    <w:rsid w:val="007F2255"/>
    <w:rsid w:val="007F232D"/>
    <w:rsid w:val="007F2DB7"/>
    <w:rsid w:val="007F3AD4"/>
    <w:rsid w:val="007F4535"/>
    <w:rsid w:val="007F5F84"/>
    <w:rsid w:val="007F78C8"/>
    <w:rsid w:val="00801AC2"/>
    <w:rsid w:val="008021F9"/>
    <w:rsid w:val="008061BC"/>
    <w:rsid w:val="00806D3D"/>
    <w:rsid w:val="00807A79"/>
    <w:rsid w:val="00810194"/>
    <w:rsid w:val="0081089B"/>
    <w:rsid w:val="00810B36"/>
    <w:rsid w:val="00811220"/>
    <w:rsid w:val="00811637"/>
    <w:rsid w:val="008137CC"/>
    <w:rsid w:val="00813D6A"/>
    <w:rsid w:val="00815835"/>
    <w:rsid w:val="00820D9A"/>
    <w:rsid w:val="0082193F"/>
    <w:rsid w:val="008232D3"/>
    <w:rsid w:val="008307B9"/>
    <w:rsid w:val="00831266"/>
    <w:rsid w:val="0083239A"/>
    <w:rsid w:val="00834C9B"/>
    <w:rsid w:val="00836C34"/>
    <w:rsid w:val="008371BC"/>
    <w:rsid w:val="0083720A"/>
    <w:rsid w:val="008400EA"/>
    <w:rsid w:val="00842607"/>
    <w:rsid w:val="00843283"/>
    <w:rsid w:val="00843EEE"/>
    <w:rsid w:val="00843FD8"/>
    <w:rsid w:val="00844131"/>
    <w:rsid w:val="008444BC"/>
    <w:rsid w:val="008451EA"/>
    <w:rsid w:val="0084640B"/>
    <w:rsid w:val="00846E54"/>
    <w:rsid w:val="00847458"/>
    <w:rsid w:val="00847A41"/>
    <w:rsid w:val="00850DBE"/>
    <w:rsid w:val="00851690"/>
    <w:rsid w:val="00851D5F"/>
    <w:rsid w:val="00851ED1"/>
    <w:rsid w:val="0085391F"/>
    <w:rsid w:val="00854599"/>
    <w:rsid w:val="00860F17"/>
    <w:rsid w:val="0086127C"/>
    <w:rsid w:val="008639D2"/>
    <w:rsid w:val="00863E73"/>
    <w:rsid w:val="00866C10"/>
    <w:rsid w:val="008671FF"/>
    <w:rsid w:val="00871A7D"/>
    <w:rsid w:val="00871D4E"/>
    <w:rsid w:val="008725FF"/>
    <w:rsid w:val="00872825"/>
    <w:rsid w:val="00873471"/>
    <w:rsid w:val="00873CBB"/>
    <w:rsid w:val="0087537C"/>
    <w:rsid w:val="00875473"/>
    <w:rsid w:val="00877244"/>
    <w:rsid w:val="0087746C"/>
    <w:rsid w:val="00880BF2"/>
    <w:rsid w:val="00881E2A"/>
    <w:rsid w:val="00883029"/>
    <w:rsid w:val="00883AF0"/>
    <w:rsid w:val="008841A9"/>
    <w:rsid w:val="0088420A"/>
    <w:rsid w:val="008868AE"/>
    <w:rsid w:val="00890C97"/>
    <w:rsid w:val="0089195D"/>
    <w:rsid w:val="008936B0"/>
    <w:rsid w:val="00894021"/>
    <w:rsid w:val="00894C8A"/>
    <w:rsid w:val="008967C8"/>
    <w:rsid w:val="00897FA2"/>
    <w:rsid w:val="008A113C"/>
    <w:rsid w:val="008A1CCA"/>
    <w:rsid w:val="008A1FC3"/>
    <w:rsid w:val="008A2786"/>
    <w:rsid w:val="008A288B"/>
    <w:rsid w:val="008A2915"/>
    <w:rsid w:val="008A2F21"/>
    <w:rsid w:val="008A395D"/>
    <w:rsid w:val="008A7CAC"/>
    <w:rsid w:val="008A7E34"/>
    <w:rsid w:val="008B330C"/>
    <w:rsid w:val="008B4FB6"/>
    <w:rsid w:val="008B5AC6"/>
    <w:rsid w:val="008C2721"/>
    <w:rsid w:val="008C4F2C"/>
    <w:rsid w:val="008C551E"/>
    <w:rsid w:val="008D00F4"/>
    <w:rsid w:val="008D018A"/>
    <w:rsid w:val="008D0DDE"/>
    <w:rsid w:val="008D1686"/>
    <w:rsid w:val="008D4895"/>
    <w:rsid w:val="008D5864"/>
    <w:rsid w:val="008D78B3"/>
    <w:rsid w:val="008E04F5"/>
    <w:rsid w:val="008E0BA7"/>
    <w:rsid w:val="008E0BC4"/>
    <w:rsid w:val="008E0BFB"/>
    <w:rsid w:val="008E1624"/>
    <w:rsid w:val="008E2F8C"/>
    <w:rsid w:val="008E4214"/>
    <w:rsid w:val="008E6C0A"/>
    <w:rsid w:val="008E6FE6"/>
    <w:rsid w:val="008F07DC"/>
    <w:rsid w:val="008F0A6D"/>
    <w:rsid w:val="008F10E8"/>
    <w:rsid w:val="008F1A33"/>
    <w:rsid w:val="008F20FE"/>
    <w:rsid w:val="008F2F34"/>
    <w:rsid w:val="008F56C5"/>
    <w:rsid w:val="00901B23"/>
    <w:rsid w:val="00903535"/>
    <w:rsid w:val="00903EDD"/>
    <w:rsid w:val="00910C62"/>
    <w:rsid w:val="00911FC9"/>
    <w:rsid w:val="00914AA0"/>
    <w:rsid w:val="0091513B"/>
    <w:rsid w:val="009162E6"/>
    <w:rsid w:val="00916896"/>
    <w:rsid w:val="0091799F"/>
    <w:rsid w:val="00920BE2"/>
    <w:rsid w:val="00921F41"/>
    <w:rsid w:val="009221D5"/>
    <w:rsid w:val="0092230B"/>
    <w:rsid w:val="0092534A"/>
    <w:rsid w:val="009301BE"/>
    <w:rsid w:val="0093351D"/>
    <w:rsid w:val="009357B8"/>
    <w:rsid w:val="00936A04"/>
    <w:rsid w:val="00942209"/>
    <w:rsid w:val="00942746"/>
    <w:rsid w:val="00944349"/>
    <w:rsid w:val="00944847"/>
    <w:rsid w:val="00944BC1"/>
    <w:rsid w:val="00946B1F"/>
    <w:rsid w:val="00947198"/>
    <w:rsid w:val="009476DF"/>
    <w:rsid w:val="00951430"/>
    <w:rsid w:val="00951689"/>
    <w:rsid w:val="00951CDC"/>
    <w:rsid w:val="0095314C"/>
    <w:rsid w:val="00953D6F"/>
    <w:rsid w:val="009545AF"/>
    <w:rsid w:val="009552CE"/>
    <w:rsid w:val="00955D06"/>
    <w:rsid w:val="00963643"/>
    <w:rsid w:val="009637FE"/>
    <w:rsid w:val="0097115E"/>
    <w:rsid w:val="0097314B"/>
    <w:rsid w:val="0097387E"/>
    <w:rsid w:val="00974C80"/>
    <w:rsid w:val="009755C5"/>
    <w:rsid w:val="00976CD1"/>
    <w:rsid w:val="009773C9"/>
    <w:rsid w:val="0097761F"/>
    <w:rsid w:val="00977B14"/>
    <w:rsid w:val="00985162"/>
    <w:rsid w:val="0099051B"/>
    <w:rsid w:val="00991406"/>
    <w:rsid w:val="009917D9"/>
    <w:rsid w:val="00993AD8"/>
    <w:rsid w:val="00997146"/>
    <w:rsid w:val="00997221"/>
    <w:rsid w:val="00997629"/>
    <w:rsid w:val="009A6AB9"/>
    <w:rsid w:val="009B148A"/>
    <w:rsid w:val="009B26D5"/>
    <w:rsid w:val="009B310E"/>
    <w:rsid w:val="009B383B"/>
    <w:rsid w:val="009B3AE7"/>
    <w:rsid w:val="009B4BB3"/>
    <w:rsid w:val="009B51F4"/>
    <w:rsid w:val="009B521A"/>
    <w:rsid w:val="009B54A9"/>
    <w:rsid w:val="009B5A5E"/>
    <w:rsid w:val="009C07AC"/>
    <w:rsid w:val="009C09A3"/>
    <w:rsid w:val="009C0BFB"/>
    <w:rsid w:val="009C13BF"/>
    <w:rsid w:val="009C2CD8"/>
    <w:rsid w:val="009C33A7"/>
    <w:rsid w:val="009C35E3"/>
    <w:rsid w:val="009C481D"/>
    <w:rsid w:val="009C586D"/>
    <w:rsid w:val="009C6C5A"/>
    <w:rsid w:val="009D0F04"/>
    <w:rsid w:val="009D378D"/>
    <w:rsid w:val="009D3B0E"/>
    <w:rsid w:val="009D3DDC"/>
    <w:rsid w:val="009D481B"/>
    <w:rsid w:val="009D4A2C"/>
    <w:rsid w:val="009D5889"/>
    <w:rsid w:val="009D737F"/>
    <w:rsid w:val="009D7B41"/>
    <w:rsid w:val="009E1D1B"/>
    <w:rsid w:val="009E5CC7"/>
    <w:rsid w:val="009E637E"/>
    <w:rsid w:val="009E6A51"/>
    <w:rsid w:val="009E761C"/>
    <w:rsid w:val="009F29A1"/>
    <w:rsid w:val="009F6A7C"/>
    <w:rsid w:val="009F6C4B"/>
    <w:rsid w:val="009F6FEE"/>
    <w:rsid w:val="009F7824"/>
    <w:rsid w:val="00A00B9E"/>
    <w:rsid w:val="00A0394E"/>
    <w:rsid w:val="00A03A71"/>
    <w:rsid w:val="00A03B88"/>
    <w:rsid w:val="00A0497E"/>
    <w:rsid w:val="00A0625C"/>
    <w:rsid w:val="00A1103B"/>
    <w:rsid w:val="00A11A42"/>
    <w:rsid w:val="00A11C04"/>
    <w:rsid w:val="00A12944"/>
    <w:rsid w:val="00A16AAA"/>
    <w:rsid w:val="00A21EC3"/>
    <w:rsid w:val="00A22415"/>
    <w:rsid w:val="00A25358"/>
    <w:rsid w:val="00A25FC0"/>
    <w:rsid w:val="00A26620"/>
    <w:rsid w:val="00A27A5F"/>
    <w:rsid w:val="00A27B24"/>
    <w:rsid w:val="00A27DE1"/>
    <w:rsid w:val="00A30E94"/>
    <w:rsid w:val="00A31F9F"/>
    <w:rsid w:val="00A33AC4"/>
    <w:rsid w:val="00A34DDE"/>
    <w:rsid w:val="00A36A71"/>
    <w:rsid w:val="00A36DCA"/>
    <w:rsid w:val="00A4044C"/>
    <w:rsid w:val="00A4062C"/>
    <w:rsid w:val="00A40D1A"/>
    <w:rsid w:val="00A41461"/>
    <w:rsid w:val="00A423C9"/>
    <w:rsid w:val="00A429EA"/>
    <w:rsid w:val="00A460D9"/>
    <w:rsid w:val="00A51B42"/>
    <w:rsid w:val="00A51CA5"/>
    <w:rsid w:val="00A5211B"/>
    <w:rsid w:val="00A55D9B"/>
    <w:rsid w:val="00A570F1"/>
    <w:rsid w:val="00A57721"/>
    <w:rsid w:val="00A60904"/>
    <w:rsid w:val="00A62817"/>
    <w:rsid w:val="00A63EC2"/>
    <w:rsid w:val="00A64AB3"/>
    <w:rsid w:val="00A67839"/>
    <w:rsid w:val="00A70FE9"/>
    <w:rsid w:val="00A71232"/>
    <w:rsid w:val="00A73AA6"/>
    <w:rsid w:val="00A73FF5"/>
    <w:rsid w:val="00A76542"/>
    <w:rsid w:val="00A77295"/>
    <w:rsid w:val="00A82816"/>
    <w:rsid w:val="00A84B96"/>
    <w:rsid w:val="00A85A1D"/>
    <w:rsid w:val="00A869BF"/>
    <w:rsid w:val="00A9375C"/>
    <w:rsid w:val="00A941CE"/>
    <w:rsid w:val="00A94280"/>
    <w:rsid w:val="00A95A95"/>
    <w:rsid w:val="00A96017"/>
    <w:rsid w:val="00A96D71"/>
    <w:rsid w:val="00A971BD"/>
    <w:rsid w:val="00A9743B"/>
    <w:rsid w:val="00A97D27"/>
    <w:rsid w:val="00AA1886"/>
    <w:rsid w:val="00AA4E7C"/>
    <w:rsid w:val="00AB1AAA"/>
    <w:rsid w:val="00AB25FE"/>
    <w:rsid w:val="00AB344B"/>
    <w:rsid w:val="00AB3DA5"/>
    <w:rsid w:val="00AB5946"/>
    <w:rsid w:val="00AB5960"/>
    <w:rsid w:val="00AB67F0"/>
    <w:rsid w:val="00AB7879"/>
    <w:rsid w:val="00AB7F15"/>
    <w:rsid w:val="00AC102E"/>
    <w:rsid w:val="00AC20FF"/>
    <w:rsid w:val="00AC3145"/>
    <w:rsid w:val="00AC3D64"/>
    <w:rsid w:val="00AC5B19"/>
    <w:rsid w:val="00AD0C3E"/>
    <w:rsid w:val="00AD6A36"/>
    <w:rsid w:val="00AD6CF5"/>
    <w:rsid w:val="00AE0994"/>
    <w:rsid w:val="00AE20FA"/>
    <w:rsid w:val="00AE3DCD"/>
    <w:rsid w:val="00AE3E21"/>
    <w:rsid w:val="00AE3E30"/>
    <w:rsid w:val="00AE5094"/>
    <w:rsid w:val="00AE5198"/>
    <w:rsid w:val="00AF00B5"/>
    <w:rsid w:val="00AF06FA"/>
    <w:rsid w:val="00AF0A2D"/>
    <w:rsid w:val="00AF0AFD"/>
    <w:rsid w:val="00AF1143"/>
    <w:rsid w:val="00AF1B55"/>
    <w:rsid w:val="00AF1CED"/>
    <w:rsid w:val="00AF26C2"/>
    <w:rsid w:val="00AF46CA"/>
    <w:rsid w:val="00AF5D2C"/>
    <w:rsid w:val="00AF606F"/>
    <w:rsid w:val="00AF6D97"/>
    <w:rsid w:val="00AF7DB4"/>
    <w:rsid w:val="00B032F2"/>
    <w:rsid w:val="00B043A0"/>
    <w:rsid w:val="00B0506D"/>
    <w:rsid w:val="00B06BE7"/>
    <w:rsid w:val="00B112DC"/>
    <w:rsid w:val="00B125A7"/>
    <w:rsid w:val="00B13578"/>
    <w:rsid w:val="00B13F76"/>
    <w:rsid w:val="00B14B2E"/>
    <w:rsid w:val="00B14B5D"/>
    <w:rsid w:val="00B15FE8"/>
    <w:rsid w:val="00B16A37"/>
    <w:rsid w:val="00B16D58"/>
    <w:rsid w:val="00B21214"/>
    <w:rsid w:val="00B22D04"/>
    <w:rsid w:val="00B22E0B"/>
    <w:rsid w:val="00B22EE4"/>
    <w:rsid w:val="00B2365A"/>
    <w:rsid w:val="00B249C5"/>
    <w:rsid w:val="00B25627"/>
    <w:rsid w:val="00B26213"/>
    <w:rsid w:val="00B3141D"/>
    <w:rsid w:val="00B31A2B"/>
    <w:rsid w:val="00B32F65"/>
    <w:rsid w:val="00B33585"/>
    <w:rsid w:val="00B34247"/>
    <w:rsid w:val="00B34D54"/>
    <w:rsid w:val="00B3541F"/>
    <w:rsid w:val="00B36327"/>
    <w:rsid w:val="00B40249"/>
    <w:rsid w:val="00B4034B"/>
    <w:rsid w:val="00B410C5"/>
    <w:rsid w:val="00B421EF"/>
    <w:rsid w:val="00B438FF"/>
    <w:rsid w:val="00B441F7"/>
    <w:rsid w:val="00B44689"/>
    <w:rsid w:val="00B44D86"/>
    <w:rsid w:val="00B45BB9"/>
    <w:rsid w:val="00B46A4B"/>
    <w:rsid w:val="00B50009"/>
    <w:rsid w:val="00B50170"/>
    <w:rsid w:val="00B517C2"/>
    <w:rsid w:val="00B51DDE"/>
    <w:rsid w:val="00B529BF"/>
    <w:rsid w:val="00B54316"/>
    <w:rsid w:val="00B557CD"/>
    <w:rsid w:val="00B57DBB"/>
    <w:rsid w:val="00B62146"/>
    <w:rsid w:val="00B633B5"/>
    <w:rsid w:val="00B65483"/>
    <w:rsid w:val="00B65E5A"/>
    <w:rsid w:val="00B66E95"/>
    <w:rsid w:val="00B6719A"/>
    <w:rsid w:val="00B671F2"/>
    <w:rsid w:val="00B70112"/>
    <w:rsid w:val="00B71803"/>
    <w:rsid w:val="00B71CC5"/>
    <w:rsid w:val="00B71EEA"/>
    <w:rsid w:val="00B7271B"/>
    <w:rsid w:val="00B72807"/>
    <w:rsid w:val="00B72B11"/>
    <w:rsid w:val="00B733FF"/>
    <w:rsid w:val="00B73B3B"/>
    <w:rsid w:val="00B75642"/>
    <w:rsid w:val="00B75A9D"/>
    <w:rsid w:val="00B779BB"/>
    <w:rsid w:val="00B77CC8"/>
    <w:rsid w:val="00B80F1E"/>
    <w:rsid w:val="00B836D4"/>
    <w:rsid w:val="00B83C6C"/>
    <w:rsid w:val="00B9007C"/>
    <w:rsid w:val="00B90BC7"/>
    <w:rsid w:val="00B931C3"/>
    <w:rsid w:val="00B96572"/>
    <w:rsid w:val="00B9750D"/>
    <w:rsid w:val="00B97D2D"/>
    <w:rsid w:val="00B97DFC"/>
    <w:rsid w:val="00BA2773"/>
    <w:rsid w:val="00BA4E91"/>
    <w:rsid w:val="00BA6BA1"/>
    <w:rsid w:val="00BB0020"/>
    <w:rsid w:val="00BB0C23"/>
    <w:rsid w:val="00BB0E08"/>
    <w:rsid w:val="00BB205D"/>
    <w:rsid w:val="00BB4DB3"/>
    <w:rsid w:val="00BB53E4"/>
    <w:rsid w:val="00BB6EEA"/>
    <w:rsid w:val="00BB7B98"/>
    <w:rsid w:val="00BC029D"/>
    <w:rsid w:val="00BC0C62"/>
    <w:rsid w:val="00BC2803"/>
    <w:rsid w:val="00BC40FD"/>
    <w:rsid w:val="00BC52BB"/>
    <w:rsid w:val="00BD1778"/>
    <w:rsid w:val="00BD3EC1"/>
    <w:rsid w:val="00BD67AA"/>
    <w:rsid w:val="00BD7738"/>
    <w:rsid w:val="00BE492A"/>
    <w:rsid w:val="00BE6451"/>
    <w:rsid w:val="00BE7141"/>
    <w:rsid w:val="00BE79A6"/>
    <w:rsid w:val="00BF05AC"/>
    <w:rsid w:val="00BF0A59"/>
    <w:rsid w:val="00BF2B46"/>
    <w:rsid w:val="00BF2FA2"/>
    <w:rsid w:val="00BF788E"/>
    <w:rsid w:val="00C01D59"/>
    <w:rsid w:val="00C0297C"/>
    <w:rsid w:val="00C02E90"/>
    <w:rsid w:val="00C0312F"/>
    <w:rsid w:val="00C041DB"/>
    <w:rsid w:val="00C0464E"/>
    <w:rsid w:val="00C06476"/>
    <w:rsid w:val="00C0751B"/>
    <w:rsid w:val="00C12D4F"/>
    <w:rsid w:val="00C135F0"/>
    <w:rsid w:val="00C149AB"/>
    <w:rsid w:val="00C16D3E"/>
    <w:rsid w:val="00C1722E"/>
    <w:rsid w:val="00C22CDC"/>
    <w:rsid w:val="00C230A4"/>
    <w:rsid w:val="00C241A7"/>
    <w:rsid w:val="00C25457"/>
    <w:rsid w:val="00C257EC"/>
    <w:rsid w:val="00C30438"/>
    <w:rsid w:val="00C3072E"/>
    <w:rsid w:val="00C318DA"/>
    <w:rsid w:val="00C325FB"/>
    <w:rsid w:val="00C3431C"/>
    <w:rsid w:val="00C34499"/>
    <w:rsid w:val="00C354B7"/>
    <w:rsid w:val="00C355DB"/>
    <w:rsid w:val="00C3754A"/>
    <w:rsid w:val="00C4385A"/>
    <w:rsid w:val="00C44883"/>
    <w:rsid w:val="00C46270"/>
    <w:rsid w:val="00C46FB7"/>
    <w:rsid w:val="00C50FAB"/>
    <w:rsid w:val="00C51121"/>
    <w:rsid w:val="00C52887"/>
    <w:rsid w:val="00C55F28"/>
    <w:rsid w:val="00C56A34"/>
    <w:rsid w:val="00C56F63"/>
    <w:rsid w:val="00C60121"/>
    <w:rsid w:val="00C60991"/>
    <w:rsid w:val="00C60B66"/>
    <w:rsid w:val="00C61BD3"/>
    <w:rsid w:val="00C6247B"/>
    <w:rsid w:val="00C631F3"/>
    <w:rsid w:val="00C64D1A"/>
    <w:rsid w:val="00C65D20"/>
    <w:rsid w:val="00C66EAE"/>
    <w:rsid w:val="00C71C8F"/>
    <w:rsid w:val="00C7361D"/>
    <w:rsid w:val="00C75800"/>
    <w:rsid w:val="00C7587F"/>
    <w:rsid w:val="00C75F11"/>
    <w:rsid w:val="00C76108"/>
    <w:rsid w:val="00C7635A"/>
    <w:rsid w:val="00C76E46"/>
    <w:rsid w:val="00C77ACA"/>
    <w:rsid w:val="00C80163"/>
    <w:rsid w:val="00C822A6"/>
    <w:rsid w:val="00C826D0"/>
    <w:rsid w:val="00C829E9"/>
    <w:rsid w:val="00C83444"/>
    <w:rsid w:val="00C90C76"/>
    <w:rsid w:val="00C9141C"/>
    <w:rsid w:val="00C93841"/>
    <w:rsid w:val="00C9514C"/>
    <w:rsid w:val="00C9612A"/>
    <w:rsid w:val="00C96595"/>
    <w:rsid w:val="00C973D2"/>
    <w:rsid w:val="00C9778D"/>
    <w:rsid w:val="00CA1331"/>
    <w:rsid w:val="00CA34ED"/>
    <w:rsid w:val="00CA364E"/>
    <w:rsid w:val="00CA39EB"/>
    <w:rsid w:val="00CA4B38"/>
    <w:rsid w:val="00CA4C14"/>
    <w:rsid w:val="00CA5D9B"/>
    <w:rsid w:val="00CA6DAB"/>
    <w:rsid w:val="00CA7D51"/>
    <w:rsid w:val="00CB1FFE"/>
    <w:rsid w:val="00CB26C9"/>
    <w:rsid w:val="00CB2F53"/>
    <w:rsid w:val="00CB6628"/>
    <w:rsid w:val="00CB6C82"/>
    <w:rsid w:val="00CB77C7"/>
    <w:rsid w:val="00CB7E9F"/>
    <w:rsid w:val="00CC03E6"/>
    <w:rsid w:val="00CC0736"/>
    <w:rsid w:val="00CC1D5E"/>
    <w:rsid w:val="00CC2A79"/>
    <w:rsid w:val="00CC2CBF"/>
    <w:rsid w:val="00CC2F6B"/>
    <w:rsid w:val="00CC30E2"/>
    <w:rsid w:val="00CC4264"/>
    <w:rsid w:val="00CC5BDD"/>
    <w:rsid w:val="00CD03AB"/>
    <w:rsid w:val="00CD24AC"/>
    <w:rsid w:val="00CD33A7"/>
    <w:rsid w:val="00CD66A0"/>
    <w:rsid w:val="00CD67B5"/>
    <w:rsid w:val="00CD6A50"/>
    <w:rsid w:val="00CD7151"/>
    <w:rsid w:val="00CD7234"/>
    <w:rsid w:val="00CE156A"/>
    <w:rsid w:val="00CE4B6B"/>
    <w:rsid w:val="00CE55EF"/>
    <w:rsid w:val="00CE5815"/>
    <w:rsid w:val="00CE5ABB"/>
    <w:rsid w:val="00CE6138"/>
    <w:rsid w:val="00CE66FD"/>
    <w:rsid w:val="00CE67E5"/>
    <w:rsid w:val="00CF0C0E"/>
    <w:rsid w:val="00CF10B5"/>
    <w:rsid w:val="00CF1E0C"/>
    <w:rsid w:val="00CF23B1"/>
    <w:rsid w:val="00CF4151"/>
    <w:rsid w:val="00CF4E23"/>
    <w:rsid w:val="00CF583D"/>
    <w:rsid w:val="00CF5A7B"/>
    <w:rsid w:val="00CF6BD5"/>
    <w:rsid w:val="00D00D20"/>
    <w:rsid w:val="00D0260D"/>
    <w:rsid w:val="00D02BD2"/>
    <w:rsid w:val="00D03477"/>
    <w:rsid w:val="00D0488E"/>
    <w:rsid w:val="00D058D4"/>
    <w:rsid w:val="00D05B18"/>
    <w:rsid w:val="00D143C4"/>
    <w:rsid w:val="00D14FC1"/>
    <w:rsid w:val="00D16979"/>
    <w:rsid w:val="00D16D6B"/>
    <w:rsid w:val="00D178D4"/>
    <w:rsid w:val="00D20B7B"/>
    <w:rsid w:val="00D221A4"/>
    <w:rsid w:val="00D2404D"/>
    <w:rsid w:val="00D2437E"/>
    <w:rsid w:val="00D25620"/>
    <w:rsid w:val="00D2741B"/>
    <w:rsid w:val="00D274F2"/>
    <w:rsid w:val="00D315AA"/>
    <w:rsid w:val="00D31C72"/>
    <w:rsid w:val="00D32539"/>
    <w:rsid w:val="00D34497"/>
    <w:rsid w:val="00D35788"/>
    <w:rsid w:val="00D35E02"/>
    <w:rsid w:val="00D372ED"/>
    <w:rsid w:val="00D42787"/>
    <w:rsid w:val="00D42989"/>
    <w:rsid w:val="00D45B5E"/>
    <w:rsid w:val="00D46667"/>
    <w:rsid w:val="00D46C24"/>
    <w:rsid w:val="00D47771"/>
    <w:rsid w:val="00D47AFD"/>
    <w:rsid w:val="00D53EA7"/>
    <w:rsid w:val="00D54423"/>
    <w:rsid w:val="00D54D15"/>
    <w:rsid w:val="00D55C1D"/>
    <w:rsid w:val="00D60377"/>
    <w:rsid w:val="00D6118C"/>
    <w:rsid w:val="00D61C24"/>
    <w:rsid w:val="00D628EB"/>
    <w:rsid w:val="00D62ED3"/>
    <w:rsid w:val="00D6373E"/>
    <w:rsid w:val="00D63EDD"/>
    <w:rsid w:val="00D70E34"/>
    <w:rsid w:val="00D71AF8"/>
    <w:rsid w:val="00D75023"/>
    <w:rsid w:val="00D777AF"/>
    <w:rsid w:val="00D77860"/>
    <w:rsid w:val="00D77C90"/>
    <w:rsid w:val="00D85B69"/>
    <w:rsid w:val="00D87C11"/>
    <w:rsid w:val="00D87D31"/>
    <w:rsid w:val="00D928DF"/>
    <w:rsid w:val="00D970DF"/>
    <w:rsid w:val="00D97738"/>
    <w:rsid w:val="00D97799"/>
    <w:rsid w:val="00D97DB3"/>
    <w:rsid w:val="00DA056C"/>
    <w:rsid w:val="00DA074E"/>
    <w:rsid w:val="00DA2AA9"/>
    <w:rsid w:val="00DB065F"/>
    <w:rsid w:val="00DB0C93"/>
    <w:rsid w:val="00DB0CB2"/>
    <w:rsid w:val="00DB0D2A"/>
    <w:rsid w:val="00DB1685"/>
    <w:rsid w:val="00DB2AD1"/>
    <w:rsid w:val="00DB37FD"/>
    <w:rsid w:val="00DB38AF"/>
    <w:rsid w:val="00DB5BCC"/>
    <w:rsid w:val="00DB6277"/>
    <w:rsid w:val="00DB6BEE"/>
    <w:rsid w:val="00DB6FBF"/>
    <w:rsid w:val="00DC3B69"/>
    <w:rsid w:val="00DC3C88"/>
    <w:rsid w:val="00DC3EBD"/>
    <w:rsid w:val="00DC65F0"/>
    <w:rsid w:val="00DC7261"/>
    <w:rsid w:val="00DC7849"/>
    <w:rsid w:val="00DD0EB5"/>
    <w:rsid w:val="00DD4530"/>
    <w:rsid w:val="00DD6F5A"/>
    <w:rsid w:val="00DD7A11"/>
    <w:rsid w:val="00DD7DFB"/>
    <w:rsid w:val="00DE1E02"/>
    <w:rsid w:val="00DE1E23"/>
    <w:rsid w:val="00DE250E"/>
    <w:rsid w:val="00DE2CAA"/>
    <w:rsid w:val="00DE4177"/>
    <w:rsid w:val="00DE5B79"/>
    <w:rsid w:val="00DE699F"/>
    <w:rsid w:val="00DE74C8"/>
    <w:rsid w:val="00DF1515"/>
    <w:rsid w:val="00DF2048"/>
    <w:rsid w:val="00DF20D6"/>
    <w:rsid w:val="00DF2BA2"/>
    <w:rsid w:val="00DF4615"/>
    <w:rsid w:val="00DF60D1"/>
    <w:rsid w:val="00DF6B7D"/>
    <w:rsid w:val="00DF76A7"/>
    <w:rsid w:val="00E01178"/>
    <w:rsid w:val="00E0450D"/>
    <w:rsid w:val="00E0571B"/>
    <w:rsid w:val="00E07678"/>
    <w:rsid w:val="00E10BDD"/>
    <w:rsid w:val="00E11495"/>
    <w:rsid w:val="00E11ABF"/>
    <w:rsid w:val="00E120F6"/>
    <w:rsid w:val="00E130D2"/>
    <w:rsid w:val="00E13A11"/>
    <w:rsid w:val="00E147B6"/>
    <w:rsid w:val="00E14A2B"/>
    <w:rsid w:val="00E15653"/>
    <w:rsid w:val="00E15743"/>
    <w:rsid w:val="00E15CE1"/>
    <w:rsid w:val="00E1637C"/>
    <w:rsid w:val="00E20B16"/>
    <w:rsid w:val="00E215F1"/>
    <w:rsid w:val="00E24C20"/>
    <w:rsid w:val="00E24FC6"/>
    <w:rsid w:val="00E2589A"/>
    <w:rsid w:val="00E26B33"/>
    <w:rsid w:val="00E2723F"/>
    <w:rsid w:val="00E3132C"/>
    <w:rsid w:val="00E31553"/>
    <w:rsid w:val="00E31788"/>
    <w:rsid w:val="00E33789"/>
    <w:rsid w:val="00E33DEF"/>
    <w:rsid w:val="00E35814"/>
    <w:rsid w:val="00E35B76"/>
    <w:rsid w:val="00E37173"/>
    <w:rsid w:val="00E3740B"/>
    <w:rsid w:val="00E37BDF"/>
    <w:rsid w:val="00E400DC"/>
    <w:rsid w:val="00E402A6"/>
    <w:rsid w:val="00E40CDB"/>
    <w:rsid w:val="00E4287A"/>
    <w:rsid w:val="00E45E30"/>
    <w:rsid w:val="00E46574"/>
    <w:rsid w:val="00E50673"/>
    <w:rsid w:val="00E50992"/>
    <w:rsid w:val="00E51300"/>
    <w:rsid w:val="00E51B85"/>
    <w:rsid w:val="00E54633"/>
    <w:rsid w:val="00E55DED"/>
    <w:rsid w:val="00E6255A"/>
    <w:rsid w:val="00E62F8F"/>
    <w:rsid w:val="00E63D1E"/>
    <w:rsid w:val="00E63DFA"/>
    <w:rsid w:val="00E65586"/>
    <w:rsid w:val="00E658E5"/>
    <w:rsid w:val="00E65C94"/>
    <w:rsid w:val="00E65CA8"/>
    <w:rsid w:val="00E70BA2"/>
    <w:rsid w:val="00E70F93"/>
    <w:rsid w:val="00E71372"/>
    <w:rsid w:val="00E73C57"/>
    <w:rsid w:val="00E74508"/>
    <w:rsid w:val="00E753B3"/>
    <w:rsid w:val="00E7576D"/>
    <w:rsid w:val="00E769D6"/>
    <w:rsid w:val="00E8084D"/>
    <w:rsid w:val="00E81666"/>
    <w:rsid w:val="00E81A35"/>
    <w:rsid w:val="00E8550A"/>
    <w:rsid w:val="00E85788"/>
    <w:rsid w:val="00E869B6"/>
    <w:rsid w:val="00E900F1"/>
    <w:rsid w:val="00E90FE7"/>
    <w:rsid w:val="00E92BE2"/>
    <w:rsid w:val="00E95B57"/>
    <w:rsid w:val="00E95C15"/>
    <w:rsid w:val="00EA0933"/>
    <w:rsid w:val="00EA20E6"/>
    <w:rsid w:val="00EA2AC6"/>
    <w:rsid w:val="00EA51DC"/>
    <w:rsid w:val="00EA692C"/>
    <w:rsid w:val="00EA7220"/>
    <w:rsid w:val="00EA7970"/>
    <w:rsid w:val="00EB0DCB"/>
    <w:rsid w:val="00EB23B2"/>
    <w:rsid w:val="00EB25B3"/>
    <w:rsid w:val="00EB4A6A"/>
    <w:rsid w:val="00EB54E5"/>
    <w:rsid w:val="00EB594F"/>
    <w:rsid w:val="00EB7633"/>
    <w:rsid w:val="00EC0559"/>
    <w:rsid w:val="00EC1C66"/>
    <w:rsid w:val="00EC2C8E"/>
    <w:rsid w:val="00EC3391"/>
    <w:rsid w:val="00EC36E1"/>
    <w:rsid w:val="00EC4FC6"/>
    <w:rsid w:val="00EC7C4B"/>
    <w:rsid w:val="00EC7DDE"/>
    <w:rsid w:val="00EC7F11"/>
    <w:rsid w:val="00ED093C"/>
    <w:rsid w:val="00ED3C12"/>
    <w:rsid w:val="00ED6195"/>
    <w:rsid w:val="00ED6946"/>
    <w:rsid w:val="00ED7D47"/>
    <w:rsid w:val="00EE2EC5"/>
    <w:rsid w:val="00EE3575"/>
    <w:rsid w:val="00EE3A63"/>
    <w:rsid w:val="00EE481E"/>
    <w:rsid w:val="00EE57F3"/>
    <w:rsid w:val="00EE5D78"/>
    <w:rsid w:val="00EE703A"/>
    <w:rsid w:val="00EF0747"/>
    <w:rsid w:val="00EF0E1F"/>
    <w:rsid w:val="00EF409B"/>
    <w:rsid w:val="00EF5173"/>
    <w:rsid w:val="00EF65E5"/>
    <w:rsid w:val="00EF6895"/>
    <w:rsid w:val="00EF7569"/>
    <w:rsid w:val="00F009D5"/>
    <w:rsid w:val="00F00D6F"/>
    <w:rsid w:val="00F0225E"/>
    <w:rsid w:val="00F0302C"/>
    <w:rsid w:val="00F04997"/>
    <w:rsid w:val="00F063CB"/>
    <w:rsid w:val="00F06E61"/>
    <w:rsid w:val="00F11EAC"/>
    <w:rsid w:val="00F13C5F"/>
    <w:rsid w:val="00F16393"/>
    <w:rsid w:val="00F17F8E"/>
    <w:rsid w:val="00F20BFB"/>
    <w:rsid w:val="00F21113"/>
    <w:rsid w:val="00F21404"/>
    <w:rsid w:val="00F21CEF"/>
    <w:rsid w:val="00F22CD9"/>
    <w:rsid w:val="00F23C5A"/>
    <w:rsid w:val="00F26765"/>
    <w:rsid w:val="00F3024B"/>
    <w:rsid w:val="00F32AB4"/>
    <w:rsid w:val="00F33610"/>
    <w:rsid w:val="00F3446E"/>
    <w:rsid w:val="00F351B7"/>
    <w:rsid w:val="00F361BE"/>
    <w:rsid w:val="00F3621E"/>
    <w:rsid w:val="00F37F89"/>
    <w:rsid w:val="00F407DA"/>
    <w:rsid w:val="00F41396"/>
    <w:rsid w:val="00F431F0"/>
    <w:rsid w:val="00F4408E"/>
    <w:rsid w:val="00F442CB"/>
    <w:rsid w:val="00F44461"/>
    <w:rsid w:val="00F44CE8"/>
    <w:rsid w:val="00F4513B"/>
    <w:rsid w:val="00F4695A"/>
    <w:rsid w:val="00F506C4"/>
    <w:rsid w:val="00F507CB"/>
    <w:rsid w:val="00F523E8"/>
    <w:rsid w:val="00F529D8"/>
    <w:rsid w:val="00F53CEC"/>
    <w:rsid w:val="00F5529E"/>
    <w:rsid w:val="00F55F3B"/>
    <w:rsid w:val="00F56EBA"/>
    <w:rsid w:val="00F61B05"/>
    <w:rsid w:val="00F62E74"/>
    <w:rsid w:val="00F630D6"/>
    <w:rsid w:val="00F65C4A"/>
    <w:rsid w:val="00F678A5"/>
    <w:rsid w:val="00F67D26"/>
    <w:rsid w:val="00F719B5"/>
    <w:rsid w:val="00F73494"/>
    <w:rsid w:val="00F7393F"/>
    <w:rsid w:val="00F740D9"/>
    <w:rsid w:val="00F764BF"/>
    <w:rsid w:val="00F82DBC"/>
    <w:rsid w:val="00F83708"/>
    <w:rsid w:val="00F84B76"/>
    <w:rsid w:val="00F85760"/>
    <w:rsid w:val="00F8655B"/>
    <w:rsid w:val="00F86627"/>
    <w:rsid w:val="00F87A93"/>
    <w:rsid w:val="00F90E43"/>
    <w:rsid w:val="00F90FBD"/>
    <w:rsid w:val="00F9172D"/>
    <w:rsid w:val="00F9187A"/>
    <w:rsid w:val="00F91C62"/>
    <w:rsid w:val="00F93A37"/>
    <w:rsid w:val="00F94C78"/>
    <w:rsid w:val="00F95D55"/>
    <w:rsid w:val="00F95EB7"/>
    <w:rsid w:val="00F96104"/>
    <w:rsid w:val="00F97397"/>
    <w:rsid w:val="00F97ADB"/>
    <w:rsid w:val="00F97E7F"/>
    <w:rsid w:val="00F97FE4"/>
    <w:rsid w:val="00FA01EE"/>
    <w:rsid w:val="00FA20C8"/>
    <w:rsid w:val="00FA2C77"/>
    <w:rsid w:val="00FA2D73"/>
    <w:rsid w:val="00FA3555"/>
    <w:rsid w:val="00FA599A"/>
    <w:rsid w:val="00FA7D3D"/>
    <w:rsid w:val="00FB0671"/>
    <w:rsid w:val="00FB2488"/>
    <w:rsid w:val="00FB3FD7"/>
    <w:rsid w:val="00FB5432"/>
    <w:rsid w:val="00FB5757"/>
    <w:rsid w:val="00FB5B29"/>
    <w:rsid w:val="00FB5E6F"/>
    <w:rsid w:val="00FB6BA2"/>
    <w:rsid w:val="00FB7545"/>
    <w:rsid w:val="00FB7962"/>
    <w:rsid w:val="00FC0884"/>
    <w:rsid w:val="00FC1531"/>
    <w:rsid w:val="00FC3D46"/>
    <w:rsid w:val="00FC7151"/>
    <w:rsid w:val="00FD21E2"/>
    <w:rsid w:val="00FD5BB2"/>
    <w:rsid w:val="00FD5F66"/>
    <w:rsid w:val="00FD735B"/>
    <w:rsid w:val="00FE27ED"/>
    <w:rsid w:val="00FE34D1"/>
    <w:rsid w:val="00FE3BCF"/>
    <w:rsid w:val="00FE4D79"/>
    <w:rsid w:val="00FE56D5"/>
    <w:rsid w:val="00FE57F1"/>
    <w:rsid w:val="00FE7293"/>
    <w:rsid w:val="00FF04F3"/>
    <w:rsid w:val="00FF12DB"/>
    <w:rsid w:val="00FF3C45"/>
    <w:rsid w:val="00FF535E"/>
    <w:rsid w:val="00FF67B4"/>
    <w:rsid w:val="00FF6C47"/>
    <w:rsid w:val="04AF7EFB"/>
    <w:rsid w:val="0C3B0234"/>
    <w:rsid w:val="0D142CAB"/>
    <w:rsid w:val="11543309"/>
    <w:rsid w:val="1BD12D3B"/>
    <w:rsid w:val="21BC157F"/>
    <w:rsid w:val="23491155"/>
    <w:rsid w:val="3023465E"/>
    <w:rsid w:val="385C091B"/>
    <w:rsid w:val="4CA56950"/>
    <w:rsid w:val="4FA73BF5"/>
    <w:rsid w:val="53BB77D6"/>
    <w:rsid w:val="571640D5"/>
    <w:rsid w:val="5C4323BF"/>
    <w:rsid w:val="799B4FFA"/>
    <w:rsid w:val="7E0D7465"/>
    <w:rsid w:val="7F9252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unhideWhenUsed/>
    <w:uiPriority w:val="1"/>
  </w:style>
  <w:style w:type="table" w:default="1" w:styleId="48">
    <w:name w:val="Normal Table"/>
    <w:unhideWhenUsed/>
    <w:uiPriority w:val="99"/>
    <w:tblPr>
      <w:tblLayout w:type="fixed"/>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Body Text First Indent"/>
    <w:basedOn w:val="19"/>
    <w:qFormat/>
    <w:uiPriority w:val="0"/>
    <w:pPr>
      <w:ind w:firstLine="420"/>
    </w:pPr>
    <w:rPr>
      <w:szCs w:val="20"/>
    </w:rPr>
  </w:style>
  <w:style w:type="paragraph" w:styleId="19">
    <w:name w:val="Body Text"/>
    <w:basedOn w:val="1"/>
    <w:qFormat/>
    <w:uiPriority w:val="0"/>
    <w:pPr>
      <w:spacing w:after="120"/>
    </w:pPr>
  </w:style>
  <w:style w:type="paragraph" w:styleId="20">
    <w:name w:val="Normal Indent"/>
    <w:basedOn w:val="1"/>
    <w:qFormat/>
    <w:uiPriority w:val="99"/>
    <w:pPr>
      <w:ind w:firstLine="420"/>
    </w:pPr>
    <w:rPr>
      <w:szCs w:val="20"/>
    </w:rPr>
  </w:style>
  <w:style w:type="paragraph" w:styleId="21">
    <w:name w:val="caption"/>
    <w:basedOn w:val="1"/>
    <w:next w:val="1"/>
    <w:qFormat/>
    <w:uiPriority w:val="0"/>
    <w:pPr>
      <w:adjustRightInd w:val="0"/>
      <w:spacing w:before="152" w:after="160" w:line="360" w:lineRule="atLeast"/>
      <w:jc w:val="left"/>
      <w:textAlignment w:val="baseline"/>
    </w:pPr>
    <w:rPr>
      <w:rFonts w:ascii="Arial" w:hAnsi="Arial" w:eastAsia="黑体"/>
      <w:kern w:val="0"/>
      <w:sz w:val="24"/>
      <w:szCs w:val="20"/>
    </w:rPr>
  </w:style>
  <w:style w:type="paragraph" w:styleId="22">
    <w:name w:val="annotation text"/>
    <w:basedOn w:val="1"/>
    <w:semiHidden/>
    <w:qFormat/>
    <w:uiPriority w:val="0"/>
    <w:pPr>
      <w:jc w:val="left"/>
    </w:pPr>
  </w:style>
  <w:style w:type="paragraph" w:styleId="23">
    <w:name w:val="Body Text Indent"/>
    <w:basedOn w:val="1"/>
    <w:qFormat/>
    <w:uiPriority w:val="0"/>
    <w:pPr>
      <w:spacing w:after="120"/>
      <w:ind w:left="420" w:leftChars="200"/>
    </w:pPr>
  </w:style>
  <w:style w:type="paragraph" w:styleId="24">
    <w:name w:val="HTML Address"/>
    <w:basedOn w:val="1"/>
    <w:qFormat/>
    <w:uiPriority w:val="0"/>
    <w:rPr>
      <w:i/>
      <w:iCs/>
    </w:rPr>
  </w:style>
  <w:style w:type="paragraph" w:styleId="25">
    <w:name w:val="toc 8"/>
    <w:basedOn w:val="11"/>
    <w:next w:val="1"/>
    <w:semiHidden/>
    <w:qFormat/>
    <w:uiPriority w:val="0"/>
  </w:style>
  <w:style w:type="paragraph" w:styleId="26">
    <w:name w:val="Balloon Text"/>
    <w:basedOn w:val="1"/>
    <w:semiHidden/>
    <w:qFormat/>
    <w:uiPriority w:val="0"/>
    <w:rPr>
      <w:sz w:val="18"/>
      <w:szCs w:val="18"/>
    </w:rPr>
  </w:style>
  <w:style w:type="paragraph" w:styleId="27">
    <w:name w:val="footer"/>
    <w:basedOn w:val="1"/>
    <w:qFormat/>
    <w:uiPriority w:val="0"/>
    <w:pPr>
      <w:tabs>
        <w:tab w:val="center" w:pos="4153"/>
        <w:tab w:val="right" w:pos="8306"/>
      </w:tabs>
      <w:snapToGrid w:val="0"/>
      <w:ind w:right="210" w:rightChars="100"/>
      <w:jc w:val="right"/>
    </w:pPr>
    <w:rPr>
      <w:sz w:val="18"/>
      <w:szCs w:val="18"/>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9">
    <w:name w:val="footnote text"/>
    <w:basedOn w:val="1"/>
    <w:semiHidden/>
    <w:qFormat/>
    <w:uiPriority w:val="0"/>
    <w:pPr>
      <w:snapToGrid w:val="0"/>
      <w:jc w:val="left"/>
    </w:pPr>
    <w:rPr>
      <w:sz w:val="18"/>
      <w:szCs w:val="18"/>
    </w:rPr>
  </w:style>
  <w:style w:type="paragraph" w:styleId="30">
    <w:name w:val="toc 9"/>
    <w:basedOn w:val="25"/>
    <w:next w:val="1"/>
    <w:semiHidden/>
    <w:qFormat/>
    <w:uiPriority w:val="0"/>
  </w:style>
  <w:style w:type="paragraph" w:styleId="31">
    <w:name w:val="HTML Preformatted"/>
    <w:basedOn w:val="1"/>
    <w:qFormat/>
    <w:uiPriority w:val="0"/>
    <w:rPr>
      <w:rFonts w:ascii="Courier New" w:hAnsi="Courier New" w:cs="Courier New"/>
      <w:sz w:val="20"/>
      <w:szCs w:val="20"/>
    </w:rPr>
  </w:style>
  <w:style w:type="paragraph" w:styleId="32">
    <w:name w:val="Normal (Web)"/>
    <w:basedOn w:val="1"/>
    <w:qFormat/>
    <w:uiPriority w:val="0"/>
    <w:rPr>
      <w:sz w:val="24"/>
    </w:rPr>
  </w:style>
  <w:style w:type="paragraph" w:styleId="33">
    <w:name w:val="Title"/>
    <w:basedOn w:val="1"/>
    <w:qFormat/>
    <w:uiPriority w:val="0"/>
    <w:pPr>
      <w:spacing w:before="240" w:after="60"/>
      <w:jc w:val="center"/>
      <w:outlineLvl w:val="0"/>
    </w:pPr>
    <w:rPr>
      <w:rFonts w:ascii="Arial" w:hAnsi="Arial" w:cs="Arial"/>
      <w:b/>
      <w:bCs/>
      <w:sz w:val="32"/>
      <w:szCs w:val="32"/>
    </w:rPr>
  </w:style>
  <w:style w:type="character" w:styleId="35">
    <w:name w:val="Strong"/>
    <w:basedOn w:val="34"/>
    <w:qFormat/>
    <w:uiPriority w:val="0"/>
    <w:rPr>
      <w:b/>
      <w:bCs/>
    </w:rPr>
  </w:style>
  <w:style w:type="character" w:styleId="36">
    <w:name w:val="page number"/>
    <w:basedOn w:val="34"/>
    <w:qFormat/>
    <w:uiPriority w:val="0"/>
    <w:rPr>
      <w:rFonts w:ascii="Times New Roman" w:hAnsi="Times New Roman" w:eastAsia="宋体"/>
      <w:sz w:val="18"/>
    </w:rPr>
  </w:style>
  <w:style w:type="character" w:styleId="37">
    <w:name w:val="HTML Definition"/>
    <w:basedOn w:val="34"/>
    <w:qFormat/>
    <w:uiPriority w:val="0"/>
    <w:rPr>
      <w:i/>
      <w:iCs/>
    </w:rPr>
  </w:style>
  <w:style w:type="character" w:styleId="38">
    <w:name w:val="HTML Typewriter"/>
    <w:basedOn w:val="34"/>
    <w:qFormat/>
    <w:uiPriority w:val="0"/>
    <w:rPr>
      <w:rFonts w:ascii="Courier New" w:hAnsi="Courier New"/>
      <w:sz w:val="20"/>
      <w:szCs w:val="20"/>
    </w:rPr>
  </w:style>
  <w:style w:type="character" w:styleId="39">
    <w:name w:val="HTML Acronym"/>
    <w:basedOn w:val="34"/>
    <w:qFormat/>
    <w:uiPriority w:val="0"/>
  </w:style>
  <w:style w:type="character" w:styleId="40">
    <w:name w:val="HTML Variable"/>
    <w:basedOn w:val="34"/>
    <w:qFormat/>
    <w:uiPriority w:val="0"/>
    <w:rPr>
      <w:i/>
      <w:iCs/>
    </w:rPr>
  </w:style>
  <w:style w:type="character" w:styleId="41">
    <w:name w:val="Hyperlink"/>
    <w:qFormat/>
    <w:uiPriority w:val="0"/>
    <w:rPr>
      <w:rFonts w:ascii="Times New Roman" w:hAnsi="Times New Roman" w:eastAsia="宋体"/>
      <w:color w:val="auto"/>
      <w:spacing w:val="0"/>
      <w:w w:val="100"/>
      <w:position w:val="0"/>
      <w:sz w:val="21"/>
      <w:u w:val="none"/>
      <w:vertAlign w:val="baseline"/>
    </w:rPr>
  </w:style>
  <w:style w:type="character" w:styleId="42">
    <w:name w:val="HTML Code"/>
    <w:basedOn w:val="34"/>
    <w:qFormat/>
    <w:uiPriority w:val="0"/>
    <w:rPr>
      <w:rFonts w:ascii="Courier New" w:hAnsi="Courier New"/>
      <w:sz w:val="20"/>
      <w:szCs w:val="20"/>
    </w:rPr>
  </w:style>
  <w:style w:type="character" w:styleId="43">
    <w:name w:val="annotation reference"/>
    <w:basedOn w:val="34"/>
    <w:semiHidden/>
    <w:qFormat/>
    <w:uiPriority w:val="0"/>
    <w:rPr>
      <w:sz w:val="21"/>
      <w:szCs w:val="21"/>
    </w:rPr>
  </w:style>
  <w:style w:type="character" w:styleId="44">
    <w:name w:val="HTML Cite"/>
    <w:basedOn w:val="34"/>
    <w:qFormat/>
    <w:uiPriority w:val="0"/>
    <w:rPr>
      <w:i/>
      <w:iCs/>
    </w:rPr>
  </w:style>
  <w:style w:type="character" w:styleId="45">
    <w:name w:val="footnote reference"/>
    <w:basedOn w:val="34"/>
    <w:semiHidden/>
    <w:qFormat/>
    <w:uiPriority w:val="0"/>
    <w:rPr>
      <w:vertAlign w:val="superscript"/>
    </w:rPr>
  </w:style>
  <w:style w:type="character" w:styleId="46">
    <w:name w:val="HTML Keyboard"/>
    <w:basedOn w:val="34"/>
    <w:qFormat/>
    <w:uiPriority w:val="0"/>
    <w:rPr>
      <w:rFonts w:ascii="Courier New" w:hAnsi="Courier New"/>
      <w:sz w:val="20"/>
      <w:szCs w:val="20"/>
    </w:rPr>
  </w:style>
  <w:style w:type="character" w:styleId="47">
    <w:name w:val="HTML Sample"/>
    <w:basedOn w:val="34"/>
    <w:qFormat/>
    <w:uiPriority w:val="0"/>
    <w:rPr>
      <w:rFonts w:ascii="Courier New" w:hAnsi="Courier New"/>
    </w:r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50">
    <w:name w:val="Table Grid 5"/>
    <w:basedOn w:val="4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6">
    <w:name w:val="标准书眉_偶数页"/>
    <w:basedOn w:val="55"/>
    <w:next w:val="1"/>
    <w:qFormat/>
    <w:uiPriority w:val="0"/>
    <w:pPr>
      <w:jc w:val="left"/>
    </w:p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9">
    <w:name w:val="参考文献、索引标题"/>
    <w:basedOn w:val="58"/>
    <w:next w:val="1"/>
    <w:qFormat/>
    <w:uiPriority w:val="0"/>
    <w:pPr>
      <w:numPr>
        <w:numId w:val="0"/>
      </w:numPr>
      <w:spacing w:after="200"/>
    </w:pPr>
    <w:rPr>
      <w:sz w:val="21"/>
    </w:rPr>
  </w:style>
  <w:style w:type="paragraph" w:customStyle="1" w:styleId="60">
    <w:name w:val="段"/>
    <w:link w:val="11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章标题"/>
    <w:next w:val="60"/>
    <w:link w:val="118"/>
    <w:qFormat/>
    <w:uiPriority w:val="99"/>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一级条标题"/>
    <w:basedOn w:val="61"/>
    <w:next w:val="60"/>
    <w:link w:val="120"/>
    <w:qFormat/>
    <w:uiPriority w:val="99"/>
    <w:pPr>
      <w:numPr>
        <w:ilvl w:val="2"/>
      </w:numPr>
      <w:spacing w:beforeLines="0" w:afterLines="0"/>
      <w:outlineLvl w:val="2"/>
    </w:pPr>
  </w:style>
  <w:style w:type="paragraph" w:customStyle="1" w:styleId="63">
    <w:name w:val="二级条标题"/>
    <w:basedOn w:val="62"/>
    <w:next w:val="60"/>
    <w:qFormat/>
    <w:uiPriority w:val="99"/>
    <w:pPr>
      <w:numPr>
        <w:ilvl w:val="3"/>
      </w:numPr>
      <w:outlineLvl w:val="3"/>
    </w:pPr>
  </w:style>
  <w:style w:type="paragraph" w:customStyle="1" w:styleId="64">
    <w:name w:val="二级无标题条"/>
    <w:basedOn w:val="1"/>
    <w:qFormat/>
    <w:uiPriority w:val="0"/>
    <w:pPr>
      <w:numPr>
        <w:ilvl w:val="3"/>
        <w:numId w:val="2"/>
      </w:numPr>
    </w:pPr>
  </w:style>
  <w:style w:type="character" w:customStyle="1" w:styleId="65">
    <w:name w:val="发布"/>
    <w:basedOn w:val="34"/>
    <w:qFormat/>
    <w:uiPriority w:val="0"/>
    <w:rPr>
      <w:rFonts w:ascii="黑体" w:eastAsia="黑体"/>
      <w:spacing w:val="22"/>
      <w:w w:val="100"/>
      <w:position w:val="3"/>
      <w:sz w:val="28"/>
    </w:rPr>
  </w:style>
  <w:style w:type="paragraph" w:customStyle="1" w:styleId="66">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封面标准号2"/>
    <w:basedOn w:val="68"/>
    <w:qFormat/>
    <w:uiPriority w:val="0"/>
    <w:pPr>
      <w:framePr w:w="9138" w:h="1244" w:hRule="exact" w:wrap="around" w:vAnchor="page" w:hAnchor="margin" w:y="2908"/>
      <w:adjustRightInd w:val="0"/>
      <w:spacing w:before="357" w:line="280" w:lineRule="exact"/>
    </w:pPr>
  </w:style>
  <w:style w:type="paragraph" w:customStyle="1" w:styleId="70">
    <w:name w:val="封面标准代替信息"/>
    <w:basedOn w:val="69"/>
    <w:qFormat/>
    <w:uiPriority w:val="0"/>
    <w:pPr>
      <w:framePr/>
      <w:spacing w:before="57"/>
    </w:pPr>
    <w:rPr>
      <w:rFonts w:ascii="宋体"/>
      <w:sz w:val="21"/>
    </w:rPr>
  </w:style>
  <w:style w:type="paragraph" w:customStyle="1" w:styleId="7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paragraph" w:customStyle="1" w:styleId="77">
    <w:name w:val="附录标识"/>
    <w:basedOn w:val="58"/>
    <w:qFormat/>
    <w:uiPriority w:val="0"/>
    <w:pPr>
      <w:numPr>
        <w:ilvl w:val="0"/>
        <w:numId w:val="3"/>
      </w:numPr>
      <w:tabs>
        <w:tab w:val="left" w:pos="6405"/>
      </w:tabs>
      <w:spacing w:after="200"/>
    </w:pPr>
    <w:rPr>
      <w:sz w:val="21"/>
    </w:rPr>
  </w:style>
  <w:style w:type="paragraph" w:customStyle="1" w:styleId="78">
    <w:name w:val="附录表标题"/>
    <w:next w:val="60"/>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9">
    <w:name w:val="附录章标题"/>
    <w:next w:val="60"/>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附录一级条标题"/>
    <w:basedOn w:val="79"/>
    <w:next w:val="60"/>
    <w:qFormat/>
    <w:uiPriority w:val="0"/>
    <w:pPr>
      <w:numPr>
        <w:ilvl w:val="2"/>
      </w:numPr>
      <w:autoSpaceDN w:val="0"/>
      <w:spacing w:beforeLines="0" w:afterLines="0"/>
      <w:outlineLvl w:val="2"/>
    </w:pPr>
  </w:style>
  <w:style w:type="paragraph" w:customStyle="1" w:styleId="81">
    <w:name w:val="附录二级条标题"/>
    <w:basedOn w:val="80"/>
    <w:next w:val="60"/>
    <w:qFormat/>
    <w:uiPriority w:val="0"/>
    <w:pPr>
      <w:numPr>
        <w:ilvl w:val="3"/>
      </w:numPr>
      <w:outlineLvl w:val="3"/>
    </w:pPr>
  </w:style>
  <w:style w:type="paragraph" w:customStyle="1" w:styleId="82">
    <w:name w:val="附录三级条标题"/>
    <w:basedOn w:val="81"/>
    <w:next w:val="60"/>
    <w:qFormat/>
    <w:uiPriority w:val="0"/>
    <w:pPr>
      <w:numPr>
        <w:ilvl w:val="4"/>
      </w:numPr>
      <w:outlineLvl w:val="4"/>
    </w:pPr>
  </w:style>
  <w:style w:type="paragraph" w:customStyle="1" w:styleId="83">
    <w:name w:val="附录四级条标题"/>
    <w:basedOn w:val="82"/>
    <w:next w:val="60"/>
    <w:qFormat/>
    <w:uiPriority w:val="0"/>
    <w:pPr>
      <w:numPr>
        <w:ilvl w:val="5"/>
      </w:numPr>
      <w:outlineLvl w:val="5"/>
    </w:pPr>
  </w:style>
  <w:style w:type="paragraph" w:customStyle="1" w:styleId="84">
    <w:name w:val="附录图标题"/>
    <w:next w:val="60"/>
    <w:qFormat/>
    <w:uiPriority w:val="0"/>
    <w:pPr>
      <w:jc w:val="center"/>
    </w:pPr>
    <w:rPr>
      <w:rFonts w:ascii="黑体" w:hAnsi="Times New Roman" w:eastAsia="黑体" w:cs="Times New Roman"/>
      <w:sz w:val="21"/>
      <w:lang w:val="en-US" w:eastAsia="zh-CN" w:bidi="ar-SA"/>
    </w:rPr>
  </w:style>
  <w:style w:type="paragraph" w:customStyle="1" w:styleId="85">
    <w:name w:val="附录五级条标题"/>
    <w:basedOn w:val="83"/>
    <w:next w:val="60"/>
    <w:qFormat/>
    <w:uiPriority w:val="0"/>
    <w:pPr>
      <w:numPr>
        <w:ilvl w:val="6"/>
      </w:numPr>
      <w:outlineLvl w:val="6"/>
    </w:pPr>
  </w:style>
  <w:style w:type="character" w:customStyle="1" w:styleId="86">
    <w:name w:val="EmailStyle621"/>
    <w:basedOn w:val="34"/>
    <w:qFormat/>
    <w:uiPriority w:val="0"/>
    <w:rPr>
      <w:rFonts w:ascii="Arial" w:hAnsi="Arial" w:eastAsia="宋体" w:cs="Arial"/>
      <w:color w:val="auto"/>
      <w:sz w:val="20"/>
    </w:rPr>
  </w:style>
  <w:style w:type="character" w:customStyle="1" w:styleId="87">
    <w:name w:val="EmailStyle631"/>
    <w:basedOn w:val="34"/>
    <w:qFormat/>
    <w:uiPriority w:val="0"/>
    <w:rPr>
      <w:rFonts w:ascii="Arial" w:hAnsi="Arial" w:eastAsia="宋体" w:cs="Arial"/>
      <w:color w:val="auto"/>
      <w:sz w:val="20"/>
    </w:rPr>
  </w:style>
  <w:style w:type="paragraph" w:customStyle="1" w:styleId="88">
    <w:name w:val="列项——"/>
    <w:qFormat/>
    <w:uiPriority w:val="0"/>
    <w:pPr>
      <w:widowControl w:val="0"/>
      <w:numPr>
        <w:ilvl w:val="0"/>
        <w:numId w:val="4"/>
      </w:numPr>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89">
    <w:name w:val="列项·"/>
    <w:qFormat/>
    <w:uiPriority w:val="0"/>
    <w:pPr>
      <w:numPr>
        <w:ilvl w:val="0"/>
        <w:numId w:val="5"/>
      </w:num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90">
    <w:name w:val="目次、标准名称标题"/>
    <w:basedOn w:val="58"/>
    <w:next w:val="60"/>
    <w:qFormat/>
    <w:uiPriority w:val="0"/>
    <w:pPr>
      <w:numPr>
        <w:numId w:val="0"/>
      </w:numPr>
      <w:spacing w:line="460" w:lineRule="exact"/>
    </w:pPr>
  </w:style>
  <w:style w:type="paragraph" w:customStyle="1" w:styleId="9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3">
    <w:name w:val="其他发布部门"/>
    <w:basedOn w:val="66"/>
    <w:qFormat/>
    <w:uiPriority w:val="0"/>
    <w:pPr>
      <w:framePr/>
      <w:spacing w:line="0" w:lineRule="atLeast"/>
    </w:pPr>
    <w:rPr>
      <w:rFonts w:ascii="黑体" w:eastAsia="黑体"/>
      <w:b w:val="0"/>
    </w:rPr>
  </w:style>
  <w:style w:type="paragraph" w:customStyle="1" w:styleId="94">
    <w:name w:val="三级条标题"/>
    <w:basedOn w:val="63"/>
    <w:next w:val="60"/>
    <w:link w:val="119"/>
    <w:qFormat/>
    <w:uiPriority w:val="99"/>
    <w:pPr>
      <w:numPr>
        <w:ilvl w:val="4"/>
      </w:numPr>
      <w:outlineLvl w:val="4"/>
    </w:pPr>
  </w:style>
  <w:style w:type="paragraph" w:customStyle="1" w:styleId="95">
    <w:name w:val="三级无标题条"/>
    <w:basedOn w:val="1"/>
    <w:qFormat/>
    <w:uiPriority w:val="0"/>
    <w:pPr>
      <w:numPr>
        <w:ilvl w:val="4"/>
        <w:numId w:val="2"/>
      </w:numPr>
    </w:pPr>
  </w:style>
  <w:style w:type="paragraph" w:customStyle="1" w:styleId="96">
    <w:name w:val="实施日期"/>
    <w:basedOn w:val="67"/>
    <w:qFormat/>
    <w:uiPriority w:val="0"/>
    <w:pPr>
      <w:framePr w:hSpace="0" w:xAlign="right"/>
      <w:jc w:val="right"/>
    </w:pPr>
  </w:style>
  <w:style w:type="paragraph" w:customStyle="1" w:styleId="97">
    <w:name w:val="示例"/>
    <w:next w:val="60"/>
    <w:qFormat/>
    <w:uiPriority w:val="0"/>
    <w:pPr>
      <w:numPr>
        <w:ilvl w:val="0"/>
        <w:numId w:val="6"/>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9">
    <w:name w:val="四级条标题"/>
    <w:basedOn w:val="94"/>
    <w:next w:val="60"/>
    <w:qFormat/>
    <w:uiPriority w:val="99"/>
    <w:pPr>
      <w:numPr>
        <w:ilvl w:val="5"/>
      </w:numPr>
      <w:outlineLvl w:val="5"/>
    </w:pPr>
  </w:style>
  <w:style w:type="paragraph" w:customStyle="1" w:styleId="100">
    <w:name w:val="四级无标题条"/>
    <w:basedOn w:val="1"/>
    <w:qFormat/>
    <w:uiPriority w:val="0"/>
    <w:pPr>
      <w:numPr>
        <w:ilvl w:val="5"/>
        <w:numId w:val="2"/>
      </w:numPr>
    </w:pPr>
  </w:style>
  <w:style w:type="paragraph" w:customStyle="1" w:styleId="101">
    <w:name w:val="条文脚注"/>
    <w:basedOn w:val="29"/>
    <w:qFormat/>
    <w:uiPriority w:val="0"/>
    <w:pPr>
      <w:ind w:left="780" w:leftChars="200" w:hanging="360" w:hangingChars="200"/>
      <w:jc w:val="both"/>
    </w:pPr>
    <w:rPr>
      <w:rFonts w:ascii="宋体"/>
    </w:rPr>
  </w:style>
  <w:style w:type="paragraph" w:customStyle="1" w:styleId="102">
    <w:name w:val="图表脚注"/>
    <w:next w:val="6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4">
    <w:name w:val="无标题条"/>
    <w:next w:val="60"/>
    <w:qFormat/>
    <w:uiPriority w:val="0"/>
    <w:pPr>
      <w:jc w:val="both"/>
    </w:pPr>
    <w:rPr>
      <w:rFonts w:ascii="Times New Roman" w:hAnsi="Times New Roman" w:eastAsia="宋体" w:cs="Times New Roman"/>
      <w:sz w:val="21"/>
      <w:lang w:val="en-US" w:eastAsia="zh-CN" w:bidi="ar-SA"/>
    </w:rPr>
  </w:style>
  <w:style w:type="paragraph" w:customStyle="1" w:styleId="105">
    <w:name w:val="五级条标题"/>
    <w:basedOn w:val="99"/>
    <w:next w:val="60"/>
    <w:qFormat/>
    <w:uiPriority w:val="99"/>
    <w:pPr>
      <w:numPr>
        <w:ilvl w:val="6"/>
      </w:numPr>
      <w:outlineLvl w:val="6"/>
    </w:pPr>
  </w:style>
  <w:style w:type="paragraph" w:customStyle="1" w:styleId="106">
    <w:name w:val="五级无标题条"/>
    <w:basedOn w:val="1"/>
    <w:qFormat/>
    <w:uiPriority w:val="0"/>
    <w:pPr>
      <w:numPr>
        <w:ilvl w:val="6"/>
        <w:numId w:val="2"/>
      </w:numPr>
    </w:pPr>
  </w:style>
  <w:style w:type="paragraph" w:customStyle="1" w:styleId="107">
    <w:name w:val="一级无标题条"/>
    <w:basedOn w:val="1"/>
    <w:qFormat/>
    <w:uiPriority w:val="0"/>
    <w:pPr>
      <w:numPr>
        <w:ilvl w:val="2"/>
        <w:numId w:val="2"/>
      </w:numPr>
    </w:pPr>
  </w:style>
  <w:style w:type="paragraph" w:customStyle="1" w:styleId="108">
    <w:name w:val="正文表标题"/>
    <w:next w:val="60"/>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09">
    <w:name w:val="正文图标题"/>
    <w:next w:val="60"/>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10">
    <w:name w:val="注："/>
    <w:next w:val="60"/>
    <w:qFormat/>
    <w:uiPriority w:val="0"/>
    <w:pPr>
      <w:widowControl w:val="0"/>
      <w:numPr>
        <w:ilvl w:val="0"/>
        <w:numId w:val="9"/>
      </w:numPr>
      <w:autoSpaceDE w:val="0"/>
      <w:autoSpaceDN w:val="0"/>
      <w:jc w:val="both"/>
    </w:pPr>
    <w:rPr>
      <w:rFonts w:ascii="宋体" w:hAnsi="Times New Roman" w:eastAsia="宋体" w:cs="Times New Roman"/>
      <w:sz w:val="18"/>
      <w:lang w:val="en-US" w:eastAsia="zh-CN" w:bidi="ar-SA"/>
    </w:rPr>
  </w:style>
  <w:style w:type="paragraph" w:customStyle="1" w:styleId="111">
    <w:name w:val="注×："/>
    <w:qFormat/>
    <w:uiPriority w:val="0"/>
    <w:pPr>
      <w:widowControl w:val="0"/>
      <w:numPr>
        <w:ilvl w:val="0"/>
        <w:numId w:val="10"/>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11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3">
    <w:name w:val="附录性质"/>
    <w:basedOn w:val="1"/>
    <w:qFormat/>
    <w:uiPriority w:val="0"/>
    <w:pPr>
      <w:jc w:val="center"/>
    </w:pPr>
    <w:rPr>
      <w:rFonts w:ascii="黑体" w:eastAsia="黑体"/>
    </w:rPr>
  </w:style>
  <w:style w:type="paragraph" w:customStyle="1" w:styleId="114">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15">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6">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17">
    <w:name w:val="段 Char"/>
    <w:basedOn w:val="34"/>
    <w:link w:val="60"/>
    <w:qFormat/>
    <w:uiPriority w:val="99"/>
    <w:rPr>
      <w:rFonts w:ascii="宋体"/>
      <w:sz w:val="21"/>
      <w:lang w:val="en-US" w:eastAsia="zh-CN" w:bidi="ar-SA"/>
    </w:rPr>
  </w:style>
  <w:style w:type="character" w:customStyle="1" w:styleId="118">
    <w:name w:val="章标题 Char"/>
    <w:basedOn w:val="34"/>
    <w:link w:val="61"/>
    <w:qFormat/>
    <w:uiPriority w:val="99"/>
    <w:rPr>
      <w:rFonts w:ascii="黑体" w:eastAsia="黑体"/>
      <w:sz w:val="21"/>
      <w:lang w:val="en-US" w:eastAsia="zh-CN" w:bidi="ar-SA"/>
    </w:rPr>
  </w:style>
  <w:style w:type="character" w:customStyle="1" w:styleId="119">
    <w:name w:val="三级条标题 Char"/>
    <w:basedOn w:val="34"/>
    <w:link w:val="94"/>
    <w:qFormat/>
    <w:uiPriority w:val="0"/>
    <w:rPr>
      <w:rFonts w:ascii="黑体" w:eastAsia="黑体"/>
      <w:sz w:val="21"/>
    </w:rPr>
  </w:style>
  <w:style w:type="character" w:customStyle="1" w:styleId="120">
    <w:name w:val="一级条标题 Char"/>
    <w:basedOn w:val="118"/>
    <w:link w:val="62"/>
    <w:qFormat/>
    <w:uiPriority w:val="99"/>
    <w:rPr>
      <w:rFonts w:ascii="黑体" w:eastAsia="黑体"/>
      <w:sz w:val="21"/>
      <w:lang w:val="en-US" w:eastAsia="zh-CN" w:bidi="ar-SA"/>
    </w:rPr>
  </w:style>
  <w:style w:type="paragraph" w:customStyle="1" w:styleId="121">
    <w:name w:val="c封面标准名称"/>
    <w:basedOn w:val="1"/>
    <w:qFormat/>
    <w:uiPriority w:val="0"/>
    <w:pPr>
      <w:adjustRightInd w:val="0"/>
      <w:jc w:val="center"/>
    </w:pPr>
    <w:rPr>
      <w:rFonts w:eastAsia="黑体"/>
      <w:kern w:val="0"/>
      <w:sz w:val="52"/>
      <w:szCs w:val="20"/>
    </w:rPr>
  </w:style>
  <w:style w:type="paragraph" w:customStyle="1" w:styleId="122">
    <w:name w:val="Char2"/>
    <w:basedOn w:val="1"/>
    <w:qFormat/>
    <w:uiPriority w:val="0"/>
    <w:pPr>
      <w:widowControl/>
      <w:spacing w:after="160" w:line="240" w:lineRule="exact"/>
      <w:jc w:val="left"/>
    </w:pPr>
    <w:rPr>
      <w:rFonts w:ascii="Verdana" w:hAnsi="Verdana"/>
      <w:kern w:val="0"/>
      <w:sz w:val="20"/>
      <w:szCs w:val="20"/>
      <w:lang w:eastAsia="en-US"/>
    </w:rPr>
  </w:style>
  <w:style w:type="character" w:customStyle="1" w:styleId="123">
    <w:name w:val="段 Char Char"/>
    <w:basedOn w:val="34"/>
    <w:qFormat/>
    <w:uiPriority w:val="0"/>
    <w:rPr>
      <w:rFonts w:ascii="宋体"/>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2D782-271D-4867-8EBF-5AAC82C73D5D}">
  <ds:schemaRefs/>
</ds:datastoreItem>
</file>

<file path=docProps/app.xml><?xml version="1.0" encoding="utf-8"?>
<Properties xmlns="http://schemas.openxmlformats.org/officeDocument/2006/extended-properties" xmlns:vt="http://schemas.openxmlformats.org/officeDocument/2006/docPropsVTypes">
  <Template>Normal</Template>
  <Company>中国标准研究中心</Company>
  <Pages>8</Pages>
  <Words>504</Words>
  <Characters>2875</Characters>
  <Lines>23</Lines>
  <Paragraphs>6</Paragraphs>
  <TotalTime>0</TotalTime>
  <ScaleCrop>false</ScaleCrop>
  <LinksUpToDate>false</LinksUpToDate>
  <CharactersWithSpaces>3373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2014-07-13T06:41:00Z</dcterms:created>
  <dc:creator>标准李瑞山9585</dc:creator>
  <cp:lastModifiedBy>601462</cp:lastModifiedBy>
  <cp:lastPrinted>2018-11-15T06:52:00Z</cp:lastPrinted>
  <dcterms:modified xsi:type="dcterms:W3CDTF">2020-11-22T01:25:22Z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