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360" w:lineRule="auto"/>
        <w:ind w:right="-1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《铅精矿化学分析方法 第16部分：铝、镁、铁、铜、锌、镉、砷、锑、铋含量的测定电感耦合等离子体原子发射光谱法》等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项国家及行业标准</w:t>
      </w:r>
    </w:p>
    <w:p>
      <w:pPr>
        <w:widowControl/>
        <w:snapToGrid w:val="0"/>
        <w:spacing w:line="360" w:lineRule="auto"/>
        <w:ind w:right="-1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任务落实会、预审会会议纪要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2020年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1月2</w:t>
      </w:r>
      <w:r>
        <w:rPr>
          <w:rFonts w:hint="eastAsia" w:ascii="宋体" w:hAnsi="宋体"/>
          <w:sz w:val="24"/>
        </w:rPr>
        <w:t>日~</w:t>
      </w:r>
      <w:r>
        <w:rPr>
          <w:rFonts w:ascii="宋体" w:hAnsi="宋体"/>
          <w:sz w:val="24"/>
        </w:rPr>
        <w:t>4日，全国有色金属标准化技术委员会在</w:t>
      </w:r>
      <w:r>
        <w:rPr>
          <w:rFonts w:hint="eastAsia" w:ascii="宋体" w:hAnsi="宋体"/>
          <w:sz w:val="24"/>
        </w:rPr>
        <w:t>浙江省桐乡市</w:t>
      </w:r>
      <w:r>
        <w:rPr>
          <w:rFonts w:ascii="宋体" w:hAnsi="宋体"/>
          <w:sz w:val="24"/>
        </w:rPr>
        <w:t>召开了</w:t>
      </w:r>
      <w:r>
        <w:rPr>
          <w:rFonts w:hint="eastAsia" w:ascii="宋体" w:hAnsi="宋体"/>
          <w:sz w:val="24"/>
        </w:rPr>
        <w:t>《铅精矿化学分析方法 第16部分：铝、镁、铁、铜、锌、镉、砷、锑、铋含量的测定电感耦合等离子体原子发射光谱法》等9项国家及行业标准任务落实会、预审会。来自</w:t>
      </w:r>
      <w:bookmarkStart w:id="0" w:name="OLE_LINK1"/>
      <w:r>
        <w:rPr>
          <w:rFonts w:hint="eastAsia" w:ascii="宋体" w:hAnsi="宋体"/>
          <w:sz w:val="24"/>
        </w:rPr>
        <w:t>中国检验认证集团广西有限公司、深圳市中金岭南有色金属股份有限公司、深圳市中金岭南有色金属股份有限公司韶关冶炼厂、紫金铜业有限公司、紫金矿业集团股份有限公司、防城港市东途矿产检测有限公司、通标标准技术服务有限公司、广东先导稀材股份有限公司、华南理工大学、武昌理工学院、北矿检测技术有限公司、铜陵有色金属集团控股有限公司、云南驰宏锌锗股份有限公司、广东邦普循环科技有限公司、浙江华友钴业股份有限公司、衢州华友钴新材料有限公司、长沙矿冶研究院有限责任公司、大冶有色设计研究院有限公司、云南驰宏资源综合利用有限公司、富民薪冶工贸有限公司、株洲冶炼集团股份有限公司、华友新能源科技(衢州)有限公司、国家再生有色金属橡塑材料质量监督检验中心（安徽）、广东佳纳能源科技有限公司、江西华赣瑞林稀贵金属科技有限公司、矿冶科技集团有限公司、深圳清华大学研究院、中国有色桂林矿产地质研究院有限公司、中国有色桂林矿产地质研究院测试中心、广西壮族自治区分析测试研究中心、南京海关工业产品检测中心、荆门市格林美新材料有限公司、云锡文山锌铟冶炼有限公司、云南云铜锌业股份有限公司、米特拉（天津）检测有限公司</w:t>
      </w:r>
      <w:bookmarkEnd w:id="0"/>
      <w:r>
        <w:rPr>
          <w:rFonts w:hint="eastAsia" w:ascii="宋体" w:hAnsi="宋体"/>
          <w:sz w:val="24"/>
        </w:rPr>
        <w:t>、国合通用（青岛）测试评价有限公司、清远佳致新材料研究院有限公司、国标（北京）检验认证有限公司、金驰能源材料有限公司、金川集团股份有限公司、昆明冶金研究院有限公司、湖南长远锂科股份有限公司等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多家单位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余位代表参加了会议。</w:t>
      </w:r>
    </w:p>
    <w:p>
      <w:pPr>
        <w:snapToGrid w:val="0"/>
        <w:spacing w:before="120" w:beforeLines="50" w:line="360" w:lineRule="auto"/>
        <w:ind w:firstLine="480" w:firstLineChars="200"/>
        <w:rPr>
          <w:rFonts w:ascii="宋体" w:hAnsi="宋体"/>
          <w:sz w:val="24"/>
        </w:rPr>
        <w:sectPr>
          <w:headerReference r:id="rId3" w:type="default"/>
          <w:headerReference r:id="rId4" w:type="even"/>
          <w:pgSz w:w="11906" w:h="16838"/>
          <w:pgMar w:top="1418" w:right="992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24"/>
        </w:rPr>
        <w:t>会议对《</w:t>
      </w:r>
      <w:bookmarkStart w:id="1" w:name="_Hlk56165998"/>
      <w:r>
        <w:rPr>
          <w:rFonts w:hint="eastAsia" w:ascii="宋体" w:hAnsi="宋体"/>
          <w:sz w:val="24"/>
        </w:rPr>
        <w:t>铅精矿化学分析方法 第16部分：铝、镁、铁、铜、锌、镉、砷、锑、铋含量的测定电感耦合等离子体原子发射光谱法</w:t>
      </w:r>
      <w:bookmarkEnd w:id="1"/>
      <w:r>
        <w:rPr>
          <w:rFonts w:hint="eastAsia" w:ascii="宋体" w:hAnsi="宋体"/>
          <w:sz w:val="24"/>
        </w:rPr>
        <w:t>》、《锌精矿化学分析方法 第25部分：铟含量的测定 火焰原子吸收光谱法》等8项国家及行业标准进行了任务落实；对《铅精矿化学分析方法 第15部分：氧化钙含量的测定 原子吸收光谱法》进行了预审，形成会议纪要如下：</w:t>
      </w: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《铅精矿化学分析方法 </w:t>
      </w:r>
      <w:bookmarkStart w:id="2" w:name="_Hlk56165471"/>
      <w:r>
        <w:rPr>
          <w:rFonts w:hint="eastAsia" w:ascii="黑体" w:hAnsi="黑体" w:eastAsia="黑体" w:cs="宋体"/>
          <w:color w:val="000000"/>
          <w:kern w:val="0"/>
          <w:sz w:val="24"/>
        </w:rPr>
        <w:t>第16部分：铝、镁、铁、铜、锌、镉、砷、锑、铋含量的测定电感耦合等离子体原子发射光谱法</w:t>
      </w:r>
      <w:bookmarkEnd w:id="2"/>
      <w:r>
        <w:rPr>
          <w:rFonts w:hint="eastAsia" w:ascii="黑体" w:hAnsi="黑体" w:eastAsia="黑体" w:cs="宋体"/>
          <w:color w:val="000000"/>
          <w:kern w:val="0"/>
          <w:sz w:val="24"/>
        </w:rPr>
        <w:t>》</w:t>
      </w:r>
    </w:p>
    <w:p>
      <w:pPr>
        <w:widowControl/>
        <w:snapToGrid w:val="0"/>
        <w:spacing w:line="360" w:lineRule="auto"/>
        <w:ind w:right="-1"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国家标准《铅精矿化学分析方法 第16部分：铜、锌、铁、砷、镉、锑、铋、镁、铝含量的测定 电感耦合等离子体原子发射光谱法》的具体分工如下：</w:t>
      </w:r>
    </w:p>
    <w:tbl>
      <w:tblPr>
        <w:tblStyle w:val="3"/>
        <w:tblW w:w="15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754"/>
        <w:gridCol w:w="2126"/>
        <w:gridCol w:w="2081"/>
        <w:gridCol w:w="3228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铅精矿化学分析方法 第16部分：铝、镁、铁、铜、锌、镉、砷、锑、铋含量的测定 电感耦合等离子体原子发射光谱法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Al（0.5%～8%）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Mg（0.3%～2.5%）Fe（3%～10%）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Cu（0.5%～10%）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Zn（1%～12%）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Cd（0.02%～0.2%）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As（0.02%～2%）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Sb（0.01%～10%）Bi（0.03%～5%）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北矿检测技术有限公司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广东省科学院工业分析检测中心、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hint="eastAsia" w:ascii="宋体" w:hAnsi="宋体"/>
                <w:szCs w:val="21"/>
              </w:rPr>
              <w:t>深圳市中金岭南有色金属股份有限公司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紫金矿业集团股份有限公司、江西铜业铅锌金属有限公司、国标（北京）检验认证有限公司、湖南省有色地质勘察研究院、南通出入境检验检疫局、</w:t>
            </w:r>
            <w:r>
              <w:rPr>
                <w:rFonts w:hint="eastAsia" w:ascii="宋体" w:hAnsi="宋体" w:cs="宋体"/>
                <w:kern w:val="0"/>
                <w:szCs w:val="21"/>
              </w:rPr>
              <w:t>大冶有色设计研究院有限公司、山东恒邦冶炼股份有限公司、富民薪冶工贸有限公司、铜陵有色金属集团控股有限公司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</w:t>
            </w:r>
            <w:r>
              <w:rPr>
                <w:rFonts w:hint="eastAsia"/>
                <w:szCs w:val="21"/>
              </w:rPr>
              <w:t>收集工作</w:t>
            </w:r>
            <w:r>
              <w:rPr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，完成试验报告，标准草案，进行验证。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021年6月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021年8月预审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021年10月审定。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bookmarkStart w:id="3" w:name="_Hlk55999952"/>
            <w:r>
              <w:rPr>
                <w:rFonts w:hint="eastAsia" w:ascii="宋体" w:hAnsi="宋体"/>
                <w:szCs w:val="21"/>
              </w:rPr>
              <w:t>深圳市中金岭南有色金属股份有限公司</w:t>
            </w:r>
            <w:r>
              <w:rPr>
                <w:rFonts w:hint="eastAsia"/>
                <w:szCs w:val="21"/>
              </w:rPr>
              <w:t>、江西铜业铅锌金属有限公司</w:t>
            </w:r>
            <w:bookmarkEnd w:id="3"/>
          </w:p>
        </w:tc>
      </w:tr>
    </w:tbl>
    <w:p>
      <w:pPr>
        <w:widowControl/>
        <w:snapToGrid w:val="0"/>
        <w:spacing w:line="360" w:lineRule="auto"/>
        <w:ind w:right="-1"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ascii="黑体" w:hAnsi="黑体" w:eastAsia="黑体" w:cs="宋体"/>
          <w:color w:val="000000"/>
          <w:kern w:val="0"/>
          <w:sz w:val="24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《锌精矿化学分析方法 第2</w:t>
      </w:r>
      <w:r>
        <w:rPr>
          <w:rFonts w:ascii="黑体" w:hAnsi="黑体" w:eastAsia="黑体" w:cs="宋体"/>
          <w:color w:val="000000"/>
          <w:kern w:val="0"/>
          <w:sz w:val="24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部分：铟含量的测定 火焰原子吸收光谱法》</w:t>
      </w:r>
    </w:p>
    <w:p>
      <w:pPr>
        <w:widowControl/>
        <w:snapToGrid w:val="0"/>
        <w:spacing w:line="360" w:lineRule="auto"/>
        <w:ind w:right="-1"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国家标准《</w:t>
      </w:r>
      <w:bookmarkStart w:id="4" w:name="_Hlk56165492"/>
      <w:r>
        <w:rPr>
          <w:rFonts w:hint="eastAsia" w:ascii="宋体" w:hAnsi="宋体"/>
          <w:sz w:val="24"/>
        </w:rPr>
        <w:t>锌精矿化学分析方法 第2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部分：铟含量的测定 火焰原子吸收光谱法</w:t>
      </w:r>
      <w:bookmarkEnd w:id="4"/>
      <w:r>
        <w:rPr>
          <w:rFonts w:hint="eastAsia" w:ascii="宋体" w:hAnsi="宋体"/>
          <w:sz w:val="24"/>
        </w:rPr>
        <w:t>》的具体分工如下：</w:t>
      </w:r>
    </w:p>
    <w:tbl>
      <w:tblPr>
        <w:tblStyle w:val="3"/>
        <w:tblW w:w="15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754"/>
        <w:gridCol w:w="2126"/>
        <w:gridCol w:w="2081"/>
        <w:gridCol w:w="3228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锌精矿化学分析方法 第23部分：铟含量的测定 火焰原子吸收光谱法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1%~0.2%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试验样品的水平点为6个水平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深圳市中金岭南有色金属股份有限公司韶关冶炼厂、深圳市中金岭南有色金属股份有限公司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北矿检测技术有限公司、紫金矿业集团股份有限公司、铜陵有色金属集团控股有限公司、云南云铜锌业股份有限公司、华南理工大学、中国检验认证集团广西有限公司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冶有色设计研究院有限公司、广东先导稀材股份有限公司、中国有色桂林矿产地质研究院有限公司、富民薪冶工贸有限公司、广西壮族自治区分析测试研究中心、紫金铜业有限公司、江西华赣瑞林稀贵金属科技有限公司、米特拉（天津）检测有限公司、云锡文山锌铟冶炼有限公司、防城港市东途矿产检测有限公司、武昌理工学院、山东恒邦冶炼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，完成试验报告，标准草案，进行验证。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北矿检测技术有限公司、紫金矿业集团股份有限公司、云南云铜锌业股份有限公司、铜陵有色金属集团控股有限公司、云锡文山锌铟冶炼有限公司</w:t>
            </w:r>
          </w:p>
        </w:tc>
      </w:tr>
    </w:tbl>
    <w:p>
      <w:pPr>
        <w:widowControl/>
        <w:snapToGrid w:val="0"/>
        <w:spacing w:line="360" w:lineRule="auto"/>
        <w:ind w:right="-1"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ascii="黑体" w:hAnsi="黑体" w:eastAsia="黑体" w:cs="宋体"/>
          <w:color w:val="000000"/>
          <w:kern w:val="0"/>
          <w:sz w:val="24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《粗氢氧化镍钴化学分析方法》（</w:t>
      </w:r>
      <w:bookmarkStart w:id="5" w:name="_Hlk54620519"/>
      <w:r>
        <w:rPr>
          <w:rFonts w:hint="eastAsia" w:ascii="黑体" w:hAnsi="黑体" w:eastAsia="黑体" w:cs="宋体"/>
          <w:color w:val="000000"/>
          <w:kern w:val="0"/>
          <w:sz w:val="24"/>
        </w:rPr>
        <w:t>共5部分</w:t>
      </w:r>
      <w:bookmarkEnd w:id="5"/>
      <w:r>
        <w:rPr>
          <w:rFonts w:hint="eastAsia" w:ascii="黑体" w:hAnsi="黑体" w:eastAsia="黑体" w:cs="宋体"/>
          <w:color w:val="000000"/>
          <w:kern w:val="0"/>
          <w:sz w:val="24"/>
        </w:rPr>
        <w:t>）由广东邦普循环科技有限公司牵头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行业标准《粗氢氧化镍钴化学分析方法》（共5部分）各部分具体分工如下：</w:t>
      </w:r>
    </w:p>
    <w:tbl>
      <w:tblPr>
        <w:tblStyle w:val="3"/>
        <w:tblW w:w="15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754"/>
        <w:gridCol w:w="2126"/>
        <w:gridCol w:w="2081"/>
        <w:gridCol w:w="3228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第1部分： 镍含量的测定 丁二酮肟重量法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镍 5%~50%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bookmarkStart w:id="6" w:name="_Hlk55998526"/>
            <w:r>
              <w:rPr>
                <w:rFonts w:hint="eastAsia"/>
                <w:szCs w:val="21"/>
              </w:rPr>
              <w:t>广东邦普循环科技有限公司</w:t>
            </w:r>
            <w:bookmarkEnd w:id="6"/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检验认证集团广西有限公司、大冶有色设计研究院有限公司、中国有色桂林矿产地质研究院有限公司、长沙矿冶研究院有限责任公司、紫金矿业集团股份有限公司、深圳市中金岭南有色金属股份有限公司、华友新能源科技(衢州)有限公司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浙江华友钴业股份有限公司、衢州华友钴新材料有限公司、荆门市格林美新材料有限公司、通标标准技术服务有限公司、紫金铜业有限公司、广西壮族自治区分析测试研究中心、深圳清华大学研究院、</w:t>
            </w:r>
            <w:bookmarkStart w:id="7" w:name="_Hlk55808787"/>
            <w:r>
              <w:rPr>
                <w:rFonts w:hint="eastAsia"/>
                <w:szCs w:val="21"/>
              </w:rPr>
              <w:t>湖南长远锂科股份有限公司</w:t>
            </w:r>
            <w:bookmarkEnd w:id="7"/>
            <w:r>
              <w:rPr>
                <w:rFonts w:hint="eastAsia"/>
                <w:szCs w:val="21"/>
              </w:rPr>
              <w:t>、广东佳纳能源科技有限公司、清远佳致新材料研究院有限公司、湖南邦普循环科技有限公司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第2部分： 铬、磷含量的测定 电感耦合等离子体原子发射光谱法</w:t>
            </w:r>
          </w:p>
        </w:tc>
        <w:tc>
          <w:tcPr>
            <w:tcW w:w="2126" w:type="dxa"/>
            <w:noWrap w:val="0"/>
            <w:vAlign w:val="center"/>
          </w:tcPr>
          <w:p>
            <w:r>
              <w:rPr>
                <w:rFonts w:hint="eastAsia"/>
              </w:rPr>
              <w:t>铬</w:t>
            </w:r>
            <w:r>
              <w:t xml:space="preserve"> 0.001</w:t>
            </w:r>
            <w:r>
              <w:rPr>
                <w:rFonts w:hint="eastAsia"/>
              </w:rPr>
              <w:t>%~</w:t>
            </w:r>
            <w:r>
              <w:t>0.1</w:t>
            </w:r>
            <w:r>
              <w:rPr>
                <w:rFonts w:hint="eastAsia"/>
              </w:rPr>
              <w:t>%</w:t>
            </w:r>
          </w:p>
          <w:p>
            <w:r>
              <w:rPr>
                <w:rFonts w:hint="eastAsia"/>
              </w:rPr>
              <w:t xml:space="preserve">磷 </w:t>
            </w:r>
            <w:r>
              <w:t>0.1</w:t>
            </w:r>
            <w:r>
              <w:rPr>
                <w:rFonts w:hint="eastAsia"/>
              </w:rPr>
              <w:t>%~</w:t>
            </w:r>
            <w:r>
              <w:t>2.0</w:t>
            </w:r>
            <w:r>
              <w:rPr>
                <w:rFonts w:hint="eastAsia"/>
              </w:rPr>
              <w:t>%</w:t>
            </w:r>
          </w:p>
          <w:p>
            <w:r>
              <w:rPr>
                <w:rFonts w:hint="eastAsia"/>
              </w:rPr>
              <w:t>锰</w:t>
            </w:r>
            <w:r>
              <w:t xml:space="preserve"> 0.05</w:t>
            </w:r>
            <w:r>
              <w:rPr>
                <w:rFonts w:hint="eastAsia"/>
              </w:rPr>
              <w:t>%~</w:t>
            </w:r>
            <w:r>
              <w:t>3</w:t>
            </w:r>
            <w:r>
              <w:rPr>
                <w:rFonts w:hint="eastAsia"/>
              </w:rPr>
              <w:t>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国标（北京）检验认证有限公司、广东邦普循环科技有限公司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北矿检测技术有限公司、中国检验认证集团广西有限公司、深圳市中金岭南有色金属股份有限公司、大冶有色设计研究院有限公司、荆门市格林美新材料有限公司、广东佳纳能源科技有限公司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广西壮族自治区分析测试研究中心、金驰能源材料有限公司、中国有色桂林矿产地质研究院有限公司、通标标准技术服务有限公司、长沙矿冶研究院有限责任公司、紫金铜业有限公司、</w:t>
            </w:r>
            <w:r>
              <w:rPr>
                <w:rFonts w:hint="eastAsia"/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第3部分：氟离子含量的测定 离子选择性电极法</w:t>
            </w:r>
          </w:p>
        </w:tc>
        <w:tc>
          <w:tcPr>
            <w:tcW w:w="2126" w:type="dxa"/>
            <w:noWrap w:val="0"/>
            <w:vAlign w:val="center"/>
          </w:tcPr>
          <w:p>
            <w:r>
              <w:rPr>
                <w:rFonts w:hint="eastAsia"/>
              </w:rPr>
              <w:t>氟</w:t>
            </w:r>
            <w:r>
              <w:t xml:space="preserve"> 0.05</w:t>
            </w:r>
            <w:r>
              <w:rPr>
                <w:rFonts w:hint="eastAsia"/>
              </w:rPr>
              <w:t>%~</w:t>
            </w:r>
            <w:r>
              <w:t>1.0</w:t>
            </w:r>
            <w:r>
              <w:rPr>
                <w:rFonts w:hint="eastAsia"/>
              </w:rPr>
              <w:t>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北矿检测技术有限公司、广东邦普循环科技有限公司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圳市中金岭南有色金属股份有限公司、铜陵有色金属集团控股有限公司、中国有色桂林矿产地质研究院有限公司、大冶有色设计研究院有限公司、广西壮族自治区分析测试研究中心、广东佳纳能源科技有限公司、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友新能源科技(衢州)有限公司、中国检验认证集团广西有限公司、衢州华友钴新材料有限公司、浙江华友钴业股份有限公司、紫金矿业集团股份有限公司、湖南长远锂科股份有限公司、通标标准技术服务有限公司、防城港市东途矿产检测有限公司、长沙矿冶研究院有限责任公司、金川集团股份有限公司、武昌理工学院、清远佳致新材料研究院有限公司、</w:t>
            </w:r>
            <w:r>
              <w:rPr>
                <w:rFonts w:hint="eastAsia"/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第4部分：盐酸不溶物含量的测定 重量法</w:t>
            </w:r>
          </w:p>
        </w:tc>
        <w:tc>
          <w:tcPr>
            <w:tcW w:w="2126" w:type="dxa"/>
            <w:noWrap w:val="0"/>
            <w:vAlign w:val="center"/>
          </w:tcPr>
          <w:p>
            <w:r>
              <w:rPr>
                <w:rFonts w:hint="eastAsia"/>
              </w:rPr>
              <w:t>0</w:t>
            </w:r>
            <w:r>
              <w:t>.1</w:t>
            </w:r>
            <w:r>
              <w:rPr>
                <w:rFonts w:hint="eastAsia"/>
              </w:rPr>
              <w:t>%~</w:t>
            </w:r>
            <w:r>
              <w:t>2.0</w:t>
            </w:r>
            <w:r>
              <w:rPr>
                <w:rFonts w:hint="eastAsia"/>
              </w:rPr>
              <w:t>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广东邦普循环科技有限公司、华南理工大学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清远佳致新材料研究院有限公司、国合通用（青岛）测试评价有限公司、广西壮族自治区分析测试研究中心、荆门市格林美新材料有限公司、中国有色桂林矿产地质研究院有限公司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华友钴业股份有限公司、衢州华友钴新材料有限公司、湖南长远锂科股份有限公司、长沙矿冶研究院有限责任公司、金川集团股份有限公司、紫金矿业集团股份有限公司、紫金铜业有限公司、中国检验认证集团广西有限公司、深圳清华大学研究院、</w:t>
            </w:r>
            <w:r>
              <w:rPr>
                <w:rFonts w:hint="eastAsia"/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Cs w:val="21"/>
              </w:rPr>
              <w:t>第5部分：锰含量的测定 电位滴定法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3%~</w:t>
            </w:r>
            <w:r>
              <w:t>30</w:t>
            </w:r>
            <w:r>
              <w:rPr>
                <w:rFonts w:hint="eastAsia"/>
              </w:rPr>
              <w:t>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浙江华友钴业股份有限公司、荆门市格林美新材料有限公司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金川集团股份有限公司、国标（北京）检验认证有限公司、铜陵有色金属集团控股有限公司、广东佳纳能源科技有限公司、广东邦普循环科技有限公司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冶有色设计研究院有限公司、金驰能源材料有限公司、衢州华友钴新材料有限公司、紫金矿业集团股份有限公司、紫金铜业有限公司、深圳清华大学研究院、华友新能源科技(衢州)有限公司、清远佳致新材料研究院有限公司、</w:t>
            </w:r>
            <w:r>
              <w:rPr>
                <w:rFonts w:hint="eastAsia"/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021年1月，完成样品的准备。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021年4月</w:t>
            </w:r>
            <w:r>
              <w:rPr>
                <w:rFonts w:hint="eastAsia"/>
                <w:szCs w:val="21"/>
              </w:rPr>
              <w:t>，完成试验报告，标准草案，进行验证。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021年7月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0月预审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022年2月审定。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广东邦普循环科技有限公司、浙江华友钴业股份有限公司、荆门市格林美新材料有限公司、广东佳纳能源科技有限公司</w:t>
            </w:r>
          </w:p>
        </w:tc>
      </w:tr>
    </w:tbl>
    <w:p>
      <w:pPr>
        <w:widowControl/>
        <w:snapToGrid w:val="0"/>
        <w:spacing w:line="360" w:lineRule="auto"/>
        <w:ind w:right="-1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ascii="黑体" w:hAnsi="黑体" w:eastAsia="黑体" w:cs="宋体"/>
          <w:color w:val="000000"/>
          <w:kern w:val="0"/>
          <w:sz w:val="24"/>
        </w:rPr>
        <w:t>4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《富铟物料中铟含量的测定 电感耦合等离子体原子发射光谱法》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行业标准《富铟物料中铟含量的测定 电感耦合等离子体原子发射光谱法）的具体分工如下：</w:t>
      </w:r>
    </w:p>
    <w:tbl>
      <w:tblPr>
        <w:tblStyle w:val="3"/>
        <w:tblW w:w="15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754"/>
        <w:gridCol w:w="2126"/>
        <w:gridCol w:w="2081"/>
        <w:gridCol w:w="3228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3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富铟物料中铟含量的测定 </w:t>
            </w:r>
            <w:bookmarkStart w:id="8" w:name="_Hlk55805637"/>
            <w:r>
              <w:rPr>
                <w:rFonts w:hint="eastAsia"/>
                <w:szCs w:val="21"/>
              </w:rPr>
              <w:t>电感耦合等离子体原子发射光谱法</w:t>
            </w:r>
            <w:bookmarkEnd w:id="8"/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</w:t>
            </w:r>
            <w:r>
              <w:rPr>
                <w:rFonts w:hint="eastAsia"/>
                <w:szCs w:val="21"/>
              </w:rPr>
              <w:t>%~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云南云铜锌业股份有限公司、云南驰宏锌锗股份有限公司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深圳市中金岭南有色金属股份有限公司、云锡文山锌铟冶炼有限公司、紫金矿业集团股份有限公司、昆明冶金研究院有限公司</w:t>
            </w:r>
          </w:p>
        </w:tc>
        <w:tc>
          <w:tcPr>
            <w:tcW w:w="546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bookmarkStart w:id="9" w:name="_Hlk55990772"/>
            <w:r>
              <w:rPr>
                <w:rFonts w:hint="eastAsia"/>
                <w:szCs w:val="21"/>
              </w:rPr>
              <w:t>广东先导稀材股份有限公司</w:t>
            </w:r>
            <w:bookmarkEnd w:id="9"/>
            <w:r>
              <w:rPr>
                <w:rFonts w:hint="eastAsia"/>
                <w:szCs w:val="21"/>
              </w:rPr>
              <w:t>、</w:t>
            </w:r>
            <w:bookmarkStart w:id="10" w:name="_Hlk55990783"/>
            <w:r>
              <w:rPr>
                <w:rFonts w:hint="eastAsia"/>
                <w:szCs w:val="21"/>
              </w:rPr>
              <w:t>富民薪冶工贸有限公司</w:t>
            </w:r>
            <w:bookmarkEnd w:id="10"/>
            <w:r>
              <w:rPr>
                <w:rFonts w:hint="eastAsia"/>
                <w:szCs w:val="21"/>
              </w:rPr>
              <w:t>、中国检验认证集团广西有限公司、国标（北京）检验认证有限公司、</w:t>
            </w:r>
            <w:bookmarkStart w:id="11" w:name="_Hlk55990809"/>
            <w:r>
              <w:rPr>
                <w:rFonts w:hint="eastAsia"/>
                <w:szCs w:val="21"/>
              </w:rPr>
              <w:t>铜陵有色金属集团控股有限公司、</w:t>
            </w:r>
            <w:bookmarkEnd w:id="11"/>
            <w:r>
              <w:rPr>
                <w:rFonts w:hint="eastAsia"/>
                <w:szCs w:val="21"/>
              </w:rPr>
              <w:t>紫金铜业有限公司、大冶有色设计研究院有限公司、中国有色桂林矿产地质研究院有限公司、</w:t>
            </w:r>
            <w:bookmarkStart w:id="12" w:name="_Hlk55990835"/>
            <w:r>
              <w:rPr>
                <w:rFonts w:hint="eastAsia"/>
                <w:szCs w:val="21"/>
              </w:rPr>
              <w:t>广西壮族自治区分析测试研究中心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021年1月，完成样品的准备。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021年2月</w:t>
            </w:r>
            <w:r>
              <w:rPr>
                <w:rFonts w:hint="eastAsia"/>
                <w:szCs w:val="21"/>
              </w:rPr>
              <w:t>，完成试验报告，标准草案，进行验证。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021年4月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021年6月预审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云南云铜锌业股份有限公司、深圳市中金岭南有色金属股份有限公司</w:t>
            </w:r>
          </w:p>
        </w:tc>
      </w:tr>
    </w:tbl>
    <w:p>
      <w:pPr>
        <w:widowControl/>
        <w:snapToGrid w:val="0"/>
        <w:spacing w:line="360" w:lineRule="auto"/>
        <w:ind w:right="-1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  <w:sectPr>
          <w:pgSz w:w="16838" w:h="11906" w:orient="landscape"/>
          <w:pgMar w:top="1418" w:right="1418" w:bottom="992" w:left="1418" w:header="851" w:footer="992" w:gutter="0"/>
          <w:cols w:space="720" w:num="1"/>
          <w:docGrid w:linePitch="312" w:charSpace="0"/>
        </w:sect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ascii="黑体" w:hAnsi="黑体" w:eastAsia="黑体" w:cs="宋体"/>
          <w:color w:val="000000"/>
          <w:kern w:val="0"/>
          <w:sz w:val="24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.</w:t>
      </w:r>
      <w:r>
        <w:rPr>
          <w:rFonts w:hint="eastAsia"/>
        </w:rPr>
        <w:t xml:space="preserve"> </w:t>
      </w:r>
      <w:bookmarkStart w:id="13" w:name="_Hlk56086341"/>
      <w:r>
        <w:rPr>
          <w:rFonts w:hint="eastAsia" w:ascii="黑体" w:hAnsi="黑体" w:eastAsia="黑体" w:cs="宋体"/>
          <w:color w:val="000000"/>
          <w:kern w:val="0"/>
          <w:sz w:val="24"/>
        </w:rPr>
        <w:t>《铅精矿化学分析方法 第15部分：氧化钙含量的测定 原子吸收光谱法》</w:t>
      </w:r>
      <w:bookmarkEnd w:id="13"/>
    </w:p>
    <w:p>
      <w:pPr>
        <w:snapToGrid w:val="0"/>
        <w:spacing w:before="120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会议对国家标准《铅精矿化学分析方法 第15部分：氧化钙含量的测定 原子吸收光谱法》进行了预审，参会各单位对试验报告及预审稿文本展开了热烈讨论，形成会议纪要如下：</w:t>
      </w:r>
    </w:p>
    <w:p>
      <w:pPr>
        <w:numPr>
          <w:ilvl w:val="0"/>
          <w:numId w:val="1"/>
        </w:numPr>
        <w:snapToGrid w:val="0"/>
        <w:spacing w:before="120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文本修改</w:t>
      </w:r>
    </w:p>
    <w:p>
      <w:pPr>
        <w:numPr>
          <w:ilvl w:val="0"/>
          <w:numId w:val="2"/>
        </w:numPr>
        <w:snapToGrid w:val="0"/>
        <w:spacing w:before="120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标准文本 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方法提要表述修改“测量氧化钙的吸光度”为“测定钙的吸光度”。</w:t>
      </w:r>
    </w:p>
    <w:p>
      <w:pPr>
        <w:numPr>
          <w:ilvl w:val="0"/>
          <w:numId w:val="2"/>
        </w:numPr>
        <w:snapToGrid w:val="0"/>
        <w:spacing w:before="120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标准文本 8.4.1注：如样品锑含量高，可加入10mL氢溴酸（5.4）需明确在加入10mL硝酸（5.3）后加入。</w:t>
      </w:r>
    </w:p>
    <w:p>
      <w:pPr>
        <w:numPr>
          <w:ilvl w:val="0"/>
          <w:numId w:val="2"/>
        </w:numPr>
        <w:snapToGrid w:val="0"/>
        <w:spacing w:before="120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标准文本8.4.3表述修改“使用空气-乙炔火焰，与系列标准溶液同时，以水调零”为“使用空气-乙炔火焰，以水调零，与系列标准溶液同时”。</w:t>
      </w:r>
    </w:p>
    <w:p>
      <w:pPr>
        <w:snapToGrid w:val="0"/>
        <w:spacing w:before="120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2、方法调整及补充实验内容</w:t>
      </w:r>
    </w:p>
    <w:p>
      <w:pPr>
        <w:snapToGrid w:val="0"/>
        <w:spacing w:before="120" w:beforeLines="50"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1）释放剂锶盐和镧盐方案最终确定及最佳浓度试验补充。</w:t>
      </w:r>
    </w:p>
    <w:p>
      <w:pPr>
        <w:snapToGrid w:val="0"/>
        <w:spacing w:before="120" w:beforeLines="50"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2）测定介质盐酸浓度补充试验，硝酸对照试验。</w:t>
      </w:r>
    </w:p>
    <w:p>
      <w:pPr>
        <w:snapToGrid w:val="0"/>
        <w:spacing w:before="120" w:beforeLines="50"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3）铅基体加入方案，考虑统一稀释比或分铅后扣除基体影响。</w:t>
      </w:r>
    </w:p>
    <w:p>
      <w:pPr>
        <w:snapToGrid w:val="0"/>
        <w:spacing w:before="120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3、进度安排</w:t>
      </w:r>
    </w:p>
    <w:p>
      <w:pPr>
        <w:snapToGrid w:val="0"/>
        <w:spacing w:before="120" w:beforeLines="50" w:line="360" w:lineRule="auto"/>
        <w:ind w:firstLine="480" w:firstLineChars="200"/>
        <w:rPr>
          <w:rFonts w:hint="eastAsia" w:ascii="宋体" w:hAnsi="宋体"/>
          <w:sz w:val="24"/>
        </w:rPr>
        <w:sectPr>
          <w:headerReference r:id="rId5" w:type="default"/>
          <w:headerReference r:id="rId6" w:type="even"/>
          <w:type w:val="continuous"/>
          <w:pgSz w:w="11906" w:h="16838"/>
          <w:pgMar w:top="1418" w:right="992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年11月15日起草单位提交最终试验报告并完成补充样品寄送，1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日之前一验完成条件试验结论验证，20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年1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月1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日前二验单位需按修改后的标准文本及试验报告重新做精密度数据、提交验证报告，20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月份审定。</w:t>
      </w:r>
    </w:p>
    <w:p>
      <w:pPr>
        <w:pStyle w:val="5"/>
        <w:spacing w:after="120" w:afterLines="50"/>
        <w:ind w:firstLine="0" w:firstLineChars="0"/>
        <w:rPr>
          <w:rFonts w:hint="eastAsia"/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spacing w:after="120" w:afterLines="50"/>
        <w:ind w:firstLine="0" w:firstLineChars="0"/>
        <w:jc w:val="center"/>
        <w:rPr>
          <w:sz w:val="24"/>
          <w:szCs w:val="24"/>
        </w:rPr>
      </w:pPr>
    </w:p>
    <w:p>
      <w:pPr>
        <w:pStyle w:val="5"/>
        <w:ind w:firstLine="0" w:firstLineChars="0"/>
        <w:jc w:val="left"/>
        <w:rPr>
          <w:rFonts w:hint="eastAsia"/>
        </w:rPr>
      </w:pPr>
    </w:p>
    <w:p>
      <w:bookmarkStart w:id="14" w:name="_GoBack"/>
      <w:bookmarkEnd w:id="14"/>
    </w:p>
    <w:sectPr>
      <w:headerReference r:id="rId7" w:type="default"/>
      <w:headerReference r:id="rId8" w:type="even"/>
      <w:type w:val="continuous"/>
      <w:pgSz w:w="11906" w:h="16838"/>
      <w:pgMar w:top="1418" w:right="1418" w:bottom="1418" w:left="99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C90"/>
    <w:multiLevelType w:val="multilevel"/>
    <w:tmpl w:val="457E3C9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13949B9"/>
    <w:multiLevelType w:val="multilevel"/>
    <w:tmpl w:val="513949B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63BC7"/>
    <w:rsid w:val="0B9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2020-11-16T02:05:00Z</dcterms:created>
  <dc:creator>CathayMok</dc:creator>
  <cp:lastModifiedBy>CathayMok</cp:lastModifiedBy>
  <dcterms:modified xsi:type="dcterms:W3CDTF">2020-11-16T02:06:12Z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