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0"/>
        <w:jc w:val="center"/>
        <w:rPr>
          <w:rFonts w:eastAsia="黑体"/>
          <w:b/>
          <w:sz w:val="44"/>
          <w:szCs w:val="44"/>
        </w:rPr>
      </w:pPr>
      <w:bookmarkStart w:id="8" w:name="_GoBack"/>
      <w:bookmarkEnd w:id="8"/>
    </w:p>
    <w:p>
      <w:pPr>
        <w:spacing w:beforeLines="100"/>
        <w:jc w:val="center"/>
        <w:rPr>
          <w:rFonts w:eastAsia="黑体"/>
          <w:sz w:val="44"/>
          <w:szCs w:val="44"/>
        </w:rPr>
      </w:pPr>
      <w:r>
        <w:rPr>
          <w:rFonts w:eastAsia="黑体"/>
          <w:sz w:val="44"/>
          <w:szCs w:val="44"/>
        </w:rPr>
        <w:t>铂/二氧化钛</w:t>
      </w:r>
    </w:p>
    <w:p>
      <w:pPr>
        <w:jc w:val="center"/>
        <w:rPr>
          <w:sz w:val="24"/>
        </w:rPr>
      </w:pPr>
      <w:r>
        <w:rPr>
          <w:sz w:val="24"/>
        </w:rPr>
        <w:t>Platinum on titanium dioxide</w:t>
      </w:r>
    </w:p>
    <w:p/>
    <w:p>
      <w:r>
        <w:t xml:space="preserve">                                        （审定稿）</w:t>
      </w:r>
    </w:p>
    <w:p/>
    <w:p/>
    <w:p/>
    <w:p>
      <w:pPr>
        <w:jc w:val="center"/>
        <w:sectPr>
          <w:headerReference r:id="rId5" w:type="first"/>
          <w:headerReference r:id="rId3" w:type="default"/>
          <w:footerReference r:id="rId6" w:type="default"/>
          <w:headerReference r:id="rId4" w:type="even"/>
          <w:pgSz w:w="11906" w:h="16838"/>
          <w:pgMar w:top="1440" w:right="1247" w:bottom="1440" w:left="1247" w:header="851" w:footer="992" w:gutter="0"/>
          <w:cols w:space="720" w:num="1"/>
          <w:docGrid w:type="lines" w:linePitch="312" w:charSpace="0"/>
        </w:sectPr>
      </w:pPr>
    </w:p>
    <w:p/>
    <w:p>
      <w:pPr>
        <w:spacing w:afterLines="50"/>
        <w:rPr>
          <w:rFonts w:eastAsia="黑体"/>
          <w:sz w:val="36"/>
          <w:szCs w:val="36"/>
        </w:rPr>
      </w:pPr>
    </w:p>
    <w:p>
      <w:pPr>
        <w:spacing w:afterLines="50"/>
        <w:jc w:val="center"/>
        <w:rPr>
          <w:rFonts w:eastAsia="黑体"/>
          <w:sz w:val="36"/>
          <w:szCs w:val="36"/>
        </w:rPr>
      </w:pPr>
      <w:r>
        <w:rPr>
          <w:rFonts w:eastAsia="黑体"/>
          <w:sz w:val="36"/>
          <w:szCs w:val="36"/>
        </w:rPr>
        <w:t>前言</w:t>
      </w:r>
    </w:p>
    <w:p>
      <w:pPr>
        <w:spacing w:afterLines="50"/>
        <w:jc w:val="center"/>
        <w:rPr>
          <w:rFonts w:eastAsia="黑体"/>
          <w:sz w:val="24"/>
        </w:rPr>
      </w:pPr>
    </w:p>
    <w:p>
      <w:pPr>
        <w:spacing w:line="360" w:lineRule="auto"/>
        <w:ind w:firstLine="420" w:firstLineChars="200"/>
        <w:rPr>
          <w:szCs w:val="21"/>
        </w:rPr>
      </w:pPr>
      <w:r>
        <w:rPr>
          <w:szCs w:val="21"/>
        </w:rPr>
        <w:t>本文件按照GB/T1.1-2020《标准化工作导则 第1部分：标准化文件的结构和起草规则》的规则起草。</w:t>
      </w:r>
    </w:p>
    <w:p>
      <w:pPr>
        <w:spacing w:line="360" w:lineRule="auto"/>
        <w:ind w:firstLine="420" w:firstLineChars="200"/>
        <w:rPr>
          <w:szCs w:val="21"/>
        </w:rPr>
      </w:pPr>
      <w:r>
        <w:rPr>
          <w:rFonts w:hint="eastAsia"/>
        </w:rPr>
        <w:t>请注意本文件的某些内容可能涉及专利。本文件的发布机构不承担识别专利的责任。</w:t>
      </w:r>
    </w:p>
    <w:p>
      <w:pPr>
        <w:spacing w:line="360" w:lineRule="auto"/>
        <w:ind w:firstLine="420" w:firstLineChars="200"/>
        <w:rPr>
          <w:szCs w:val="21"/>
        </w:rPr>
      </w:pPr>
      <w:r>
        <w:rPr>
          <w:szCs w:val="21"/>
        </w:rPr>
        <w:t>本文件由全国有色金属标准化技术委员会（SAC/TC243）提出并归口。</w:t>
      </w:r>
    </w:p>
    <w:p>
      <w:pPr>
        <w:spacing w:line="360" w:lineRule="auto"/>
        <w:ind w:firstLine="420" w:firstLineChars="200"/>
        <w:rPr>
          <w:szCs w:val="21"/>
        </w:rPr>
      </w:pPr>
      <w:r>
        <w:rPr>
          <w:szCs w:val="21"/>
        </w:rPr>
        <w:t>本文件起草单位：西安凯立新材料股份有限公司、有色金属技术经济研究院。</w:t>
      </w:r>
    </w:p>
    <w:p>
      <w:pPr>
        <w:spacing w:line="360" w:lineRule="auto"/>
        <w:ind w:firstLine="420" w:firstLineChars="200"/>
        <w:rPr>
          <w:szCs w:val="21"/>
        </w:rPr>
      </w:pPr>
      <w:r>
        <w:rPr>
          <w:szCs w:val="21"/>
        </w:rPr>
        <w:t>本文件主要起草人：****</w:t>
      </w:r>
    </w:p>
    <w:p>
      <w:pPr>
        <w:jc w:val="center"/>
        <w:outlineLvl w:val="0"/>
        <w:rPr>
          <w:rFonts w:eastAsia="黑体"/>
          <w:b/>
          <w:bCs/>
          <w:sz w:val="28"/>
          <w:szCs w:val="28"/>
        </w:rPr>
      </w:pPr>
      <w:r>
        <w:rPr>
          <w:rFonts w:eastAsia="黑体"/>
          <w:sz w:val="28"/>
          <w:szCs w:val="28"/>
        </w:rPr>
        <w:br w:type="page"/>
      </w:r>
      <w:r>
        <w:rPr>
          <w:rFonts w:eastAsia="黑体"/>
          <w:sz w:val="28"/>
          <w:szCs w:val="28"/>
        </w:rPr>
        <w:t>铂/二氧化钛</w:t>
      </w:r>
    </w:p>
    <w:p>
      <w:pPr>
        <w:spacing w:line="300" w:lineRule="auto"/>
        <w:ind w:firstLine="420"/>
        <w:outlineLvl w:val="0"/>
        <w:rPr>
          <w:rFonts w:ascii="黑体" w:hAnsi="黑体" w:eastAsia="黑体"/>
        </w:rPr>
      </w:pPr>
      <w:r>
        <w:rPr>
          <w:rFonts w:hint="eastAsia" w:ascii="黑体" w:hAnsi="黑体" w:eastAsia="黑体"/>
        </w:rPr>
        <w:t>警示——使用本文件的人员应有正规实验室工作的实践经验。本文件并未指出所有可能的安全问题。使用者有责任采取适当的安全和健康措施，并保证国家有关法规规定的条件。</w:t>
      </w:r>
    </w:p>
    <w:p>
      <w:pPr>
        <w:spacing w:line="300" w:lineRule="auto"/>
        <w:ind w:firstLine="420"/>
        <w:outlineLvl w:val="0"/>
        <w:rPr>
          <w:rFonts w:ascii="黑体" w:hAnsi="黑体" w:eastAsia="黑体"/>
          <w:bCs/>
          <w:szCs w:val="21"/>
        </w:rPr>
      </w:pPr>
    </w:p>
    <w:p>
      <w:pPr>
        <w:spacing w:line="300" w:lineRule="auto"/>
        <w:outlineLvl w:val="0"/>
        <w:rPr>
          <w:rFonts w:eastAsia="黑体"/>
          <w:bCs/>
          <w:szCs w:val="21"/>
        </w:rPr>
      </w:pPr>
      <w:r>
        <w:rPr>
          <w:rFonts w:eastAsia="黑体"/>
          <w:bCs/>
          <w:szCs w:val="21"/>
        </w:rPr>
        <w:t>1  范围</w:t>
      </w:r>
    </w:p>
    <w:p>
      <w:pPr>
        <w:spacing w:line="300" w:lineRule="auto"/>
        <w:ind w:firstLine="420" w:firstLineChars="200"/>
        <w:rPr>
          <w:szCs w:val="21"/>
        </w:rPr>
      </w:pPr>
      <w:r>
        <w:rPr>
          <w:szCs w:val="21"/>
        </w:rPr>
        <w:t>本文件规定了室温催化氧化除甲醛过程中使用铂/二氧化钛的要求、试验方法、检验规则和标志、包装、运输、贮存及质量证明书与订货单（或合同）等内容。</w:t>
      </w:r>
    </w:p>
    <w:p>
      <w:pPr>
        <w:pStyle w:val="12"/>
        <w:spacing w:line="300" w:lineRule="auto"/>
        <w:ind w:firstLine="420" w:firstLineChars="200"/>
      </w:pPr>
      <w:r>
        <w:t>本文件适用于空气净化、工业尾气处理等领域中室温催化氧化除甲醛过程中使用的铂/二氧化钛催化剂。</w:t>
      </w:r>
    </w:p>
    <w:p>
      <w:pPr>
        <w:spacing w:line="300" w:lineRule="auto"/>
        <w:outlineLvl w:val="0"/>
        <w:rPr>
          <w:rFonts w:eastAsia="黑体"/>
          <w:bCs/>
          <w:szCs w:val="21"/>
        </w:rPr>
      </w:pPr>
      <w:r>
        <w:rPr>
          <w:rFonts w:eastAsia="黑体"/>
          <w:bCs/>
          <w:szCs w:val="21"/>
        </w:rPr>
        <w:t>2  规范性引用文件</w:t>
      </w:r>
    </w:p>
    <w:p>
      <w:pPr>
        <w:spacing w:line="300" w:lineRule="auto"/>
        <w:ind w:firstLine="420" w:firstLineChars="20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00" w:lineRule="auto"/>
        <w:ind w:firstLine="420" w:firstLineChars="200"/>
        <w:rPr>
          <w:szCs w:val="21"/>
        </w:rPr>
      </w:pPr>
      <w:r>
        <w:rPr>
          <w:szCs w:val="21"/>
        </w:rPr>
        <w:t xml:space="preserve">GB/T 8170 数值修约规则与极限数值的表示和判定             </w:t>
      </w:r>
    </w:p>
    <w:p>
      <w:pPr>
        <w:spacing w:line="300" w:lineRule="auto"/>
        <w:ind w:firstLine="420" w:firstLineChars="200"/>
        <w:rPr>
          <w:szCs w:val="21"/>
        </w:rPr>
      </w:pPr>
      <w:r>
        <w:rPr>
          <w:szCs w:val="21"/>
        </w:rPr>
        <w:t>GB/T 19587-2017 气体吸附BET法测定固体物质比表面积</w:t>
      </w:r>
    </w:p>
    <w:p>
      <w:pPr>
        <w:spacing w:line="300" w:lineRule="auto"/>
        <w:ind w:firstLine="420" w:firstLineChars="200"/>
        <w:rPr>
          <w:szCs w:val="21"/>
        </w:rPr>
      </w:pPr>
      <w:r>
        <w:rPr>
          <w:szCs w:val="21"/>
        </w:rPr>
        <w:t>GB/T 18801-2015 空气净化器</w:t>
      </w:r>
    </w:p>
    <w:p>
      <w:pPr>
        <w:spacing w:line="300" w:lineRule="auto"/>
        <w:ind w:firstLine="420" w:firstLineChars="200"/>
        <w:rPr>
          <w:szCs w:val="21"/>
        </w:rPr>
      </w:pPr>
      <w:r>
        <w:rPr>
          <w:szCs w:val="21"/>
        </w:rPr>
        <w:t>GB/T 19077-2016 粒度分布 激光衍射法</w:t>
      </w:r>
    </w:p>
    <w:p>
      <w:pPr>
        <w:spacing w:line="300" w:lineRule="auto"/>
        <w:ind w:firstLine="420" w:firstLineChars="200"/>
        <w:rPr>
          <w:szCs w:val="21"/>
        </w:rPr>
      </w:pPr>
      <w:r>
        <w:rPr>
          <w:szCs w:val="21"/>
        </w:rPr>
        <w:t>GB/T 19591-2004 纳米二氧化钛</w:t>
      </w:r>
    </w:p>
    <w:p>
      <w:pPr>
        <w:spacing w:line="300" w:lineRule="auto"/>
        <w:ind w:firstLine="420" w:firstLineChars="200"/>
        <w:rPr>
          <w:rStyle w:val="10"/>
          <w:b w:val="0"/>
        </w:rPr>
      </w:pPr>
      <w:r>
        <w:rPr>
          <w:rStyle w:val="10"/>
          <w:b w:val="0"/>
        </w:rPr>
        <w:t>GB/T 19720-2005 铂合金首饰 铂、钯含量的测定 氯铂酸铵重量法和丁二酮肟重量法</w:t>
      </w:r>
    </w:p>
    <w:p>
      <w:pPr>
        <w:spacing w:line="300" w:lineRule="auto"/>
        <w:ind w:firstLine="420" w:firstLineChars="200"/>
        <w:rPr>
          <w:szCs w:val="21"/>
        </w:rPr>
      </w:pPr>
      <w:r>
        <w:rPr>
          <w:szCs w:val="21"/>
        </w:rPr>
        <w:t>YS/T 361-2006 纯铂中杂质素的发射光谱分析</w:t>
      </w:r>
    </w:p>
    <w:p>
      <w:pPr>
        <w:spacing w:line="300" w:lineRule="auto"/>
        <w:rPr>
          <w:rFonts w:eastAsia="黑体"/>
          <w:szCs w:val="21"/>
        </w:rPr>
      </w:pPr>
      <w:r>
        <w:rPr>
          <w:rFonts w:eastAsia="黑体"/>
          <w:szCs w:val="21"/>
        </w:rPr>
        <w:t>3  术语和定义</w:t>
      </w:r>
    </w:p>
    <w:p>
      <w:pPr>
        <w:spacing w:line="300" w:lineRule="auto"/>
        <w:rPr>
          <w:szCs w:val="21"/>
        </w:rPr>
      </w:pPr>
      <w:r>
        <w:rPr>
          <w:szCs w:val="21"/>
        </w:rPr>
        <w:t xml:space="preserve">    本文件没有需要界定的术语和定义。</w:t>
      </w:r>
    </w:p>
    <w:p>
      <w:pPr>
        <w:tabs>
          <w:tab w:val="left" w:pos="5124"/>
        </w:tabs>
        <w:spacing w:line="300" w:lineRule="auto"/>
        <w:outlineLvl w:val="0"/>
        <w:rPr>
          <w:rFonts w:eastAsia="黑体"/>
          <w:bCs/>
          <w:szCs w:val="21"/>
        </w:rPr>
      </w:pPr>
      <w:r>
        <w:rPr>
          <w:rFonts w:eastAsia="黑体"/>
          <w:bCs/>
          <w:szCs w:val="21"/>
        </w:rPr>
        <w:t>4  技术要求</w:t>
      </w:r>
    </w:p>
    <w:p>
      <w:pPr>
        <w:spacing w:line="300" w:lineRule="auto"/>
        <w:outlineLvl w:val="0"/>
        <w:rPr>
          <w:rFonts w:eastAsia="黑体"/>
          <w:szCs w:val="21"/>
        </w:rPr>
      </w:pPr>
      <w:r>
        <w:rPr>
          <w:rFonts w:eastAsia="黑体"/>
          <w:szCs w:val="21"/>
        </w:rPr>
        <w:t>4.1化学成分</w:t>
      </w:r>
    </w:p>
    <w:p>
      <w:pPr>
        <w:spacing w:line="300" w:lineRule="auto"/>
        <w:ind w:firstLine="420" w:firstLineChars="200"/>
        <w:outlineLvl w:val="0"/>
        <w:rPr>
          <w:szCs w:val="21"/>
        </w:rPr>
      </w:pPr>
      <w:r>
        <w:rPr>
          <w:szCs w:val="21"/>
        </w:rPr>
        <w:t>产品的化学成分应符合表1的规定。</w:t>
      </w:r>
    </w:p>
    <w:p>
      <w:pPr>
        <w:ind w:right="840" w:firstLine="3675" w:firstLineChars="1750"/>
        <w:outlineLvl w:val="0"/>
        <w:rPr>
          <w:szCs w:val="21"/>
        </w:rPr>
      </w:pPr>
      <w:r>
        <w:rPr>
          <w:rFonts w:eastAsia="黑体"/>
          <w:szCs w:val="21"/>
        </w:rPr>
        <w:t>表1  化学成份</w:t>
      </w:r>
    </w:p>
    <w:tbl>
      <w:tblPr>
        <w:tblStyle w:val="7"/>
        <w:tblW w:w="88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286"/>
        <w:gridCol w:w="1079"/>
        <w:gridCol w:w="974"/>
        <w:gridCol w:w="974"/>
        <w:gridCol w:w="974"/>
        <w:gridCol w:w="9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3" w:type="dxa"/>
            <w:tcBorders>
              <w:bottom w:val="single" w:color="auto" w:sz="8" w:space="0"/>
            </w:tcBorders>
            <w:vAlign w:val="center"/>
          </w:tcPr>
          <w:p>
            <w:pPr>
              <w:widowControl/>
              <w:jc w:val="left"/>
              <w:rPr>
                <w:szCs w:val="21"/>
              </w:rPr>
            </w:pPr>
          </w:p>
        </w:tc>
        <w:tc>
          <w:tcPr>
            <w:tcW w:w="2286" w:type="dxa"/>
            <w:tcBorders>
              <w:bottom w:val="single" w:color="auto" w:sz="8" w:space="0"/>
            </w:tcBorders>
            <w:vAlign w:val="center"/>
          </w:tcPr>
          <w:p>
            <w:pPr>
              <w:adjustRightInd w:val="0"/>
              <w:spacing w:line="276" w:lineRule="auto"/>
              <w:contextualSpacing/>
              <w:jc w:val="center"/>
              <w:outlineLvl w:val="0"/>
              <w:rPr>
                <w:szCs w:val="21"/>
              </w:rPr>
            </w:pPr>
          </w:p>
        </w:tc>
        <w:tc>
          <w:tcPr>
            <w:tcW w:w="1079" w:type="dxa"/>
            <w:tcBorders>
              <w:top w:val="single" w:color="auto" w:sz="8" w:space="0"/>
              <w:bottom w:val="single" w:color="auto" w:sz="8" w:space="0"/>
            </w:tcBorders>
            <w:vAlign w:val="center"/>
          </w:tcPr>
          <w:p>
            <w:pPr>
              <w:spacing w:line="360" w:lineRule="auto"/>
              <w:jc w:val="center"/>
            </w:pPr>
            <w:r>
              <w:t>Fe</w:t>
            </w:r>
          </w:p>
        </w:tc>
        <w:tc>
          <w:tcPr>
            <w:tcW w:w="974" w:type="dxa"/>
            <w:tcBorders>
              <w:top w:val="single" w:color="auto" w:sz="8" w:space="0"/>
              <w:bottom w:val="single" w:color="auto" w:sz="8" w:space="0"/>
            </w:tcBorders>
            <w:vAlign w:val="center"/>
          </w:tcPr>
          <w:p>
            <w:pPr>
              <w:spacing w:line="360" w:lineRule="auto"/>
              <w:jc w:val="center"/>
            </w:pPr>
            <w:r>
              <w:t>Cu</w:t>
            </w:r>
          </w:p>
        </w:tc>
        <w:tc>
          <w:tcPr>
            <w:tcW w:w="974" w:type="dxa"/>
            <w:tcBorders>
              <w:top w:val="single" w:color="auto" w:sz="8" w:space="0"/>
              <w:bottom w:val="single" w:color="auto" w:sz="8" w:space="0"/>
            </w:tcBorders>
            <w:vAlign w:val="center"/>
          </w:tcPr>
          <w:p>
            <w:pPr>
              <w:spacing w:line="360" w:lineRule="auto"/>
              <w:jc w:val="center"/>
            </w:pPr>
            <w:r>
              <w:t>Pb</w:t>
            </w:r>
          </w:p>
        </w:tc>
        <w:tc>
          <w:tcPr>
            <w:tcW w:w="974" w:type="dxa"/>
            <w:tcBorders>
              <w:top w:val="single" w:color="auto" w:sz="8" w:space="0"/>
              <w:bottom w:val="single" w:color="auto" w:sz="8" w:space="0"/>
            </w:tcBorders>
          </w:tcPr>
          <w:p>
            <w:pPr>
              <w:spacing w:line="360" w:lineRule="auto"/>
              <w:jc w:val="center"/>
            </w:pPr>
            <w:r>
              <w:rPr>
                <w:rFonts w:hint="eastAsia"/>
              </w:rPr>
              <w:t>Ni</w:t>
            </w:r>
          </w:p>
        </w:tc>
        <w:tc>
          <w:tcPr>
            <w:tcW w:w="974" w:type="dxa"/>
            <w:tcBorders>
              <w:top w:val="single" w:color="auto" w:sz="8" w:space="0"/>
              <w:bottom w:val="single" w:color="auto" w:sz="8" w:space="0"/>
            </w:tcBorders>
            <w:vAlign w:val="center"/>
          </w:tcPr>
          <w:p>
            <w:pPr>
              <w:spacing w:line="360" w:lineRule="auto"/>
              <w:jc w:val="center"/>
            </w:pPr>
            <w: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573" w:type="dxa"/>
            <w:tcBorders>
              <w:top w:val="single" w:color="auto" w:sz="8" w:space="0"/>
              <w:bottom w:val="single" w:color="auto" w:sz="8" w:space="0"/>
            </w:tcBorders>
            <w:vAlign w:val="center"/>
          </w:tcPr>
          <w:p>
            <w:pPr>
              <w:adjustRightInd w:val="0"/>
              <w:spacing w:line="276" w:lineRule="auto"/>
              <w:contextualSpacing/>
              <w:jc w:val="center"/>
              <w:outlineLvl w:val="0"/>
              <w:rPr>
                <w:szCs w:val="21"/>
              </w:rPr>
            </w:pPr>
            <w:r>
              <w:rPr>
                <w:szCs w:val="21"/>
              </w:rPr>
              <w:t>Pt-0.003/TiO</w:t>
            </w:r>
            <w:r>
              <w:rPr>
                <w:szCs w:val="21"/>
                <w:vertAlign w:val="subscript"/>
              </w:rPr>
              <w:t>2</w:t>
            </w:r>
          </w:p>
        </w:tc>
        <w:tc>
          <w:tcPr>
            <w:tcW w:w="2286" w:type="dxa"/>
            <w:tcBorders>
              <w:top w:val="single" w:color="auto" w:sz="8" w:space="0"/>
              <w:bottom w:val="single" w:color="auto" w:sz="8" w:space="0"/>
            </w:tcBorders>
            <w:vAlign w:val="center"/>
          </w:tcPr>
          <w:p>
            <w:pPr>
              <w:adjustRightInd w:val="0"/>
              <w:spacing w:line="276" w:lineRule="auto"/>
              <w:contextualSpacing/>
              <w:jc w:val="center"/>
              <w:outlineLvl w:val="0"/>
              <w:rPr>
                <w:szCs w:val="21"/>
              </w:rPr>
            </w:pPr>
            <w:r>
              <w:rPr>
                <w:szCs w:val="21"/>
              </w:rPr>
              <w:t>0.3%±0.02%</w:t>
            </w:r>
          </w:p>
        </w:tc>
        <w:tc>
          <w:tcPr>
            <w:tcW w:w="1079" w:type="dxa"/>
            <w:tcBorders>
              <w:top w:val="single" w:color="auto" w:sz="8" w:space="0"/>
              <w:bottom w:val="single" w:color="auto" w:sz="8" w:space="0"/>
            </w:tcBorders>
            <w:vAlign w:val="center"/>
          </w:tcPr>
          <w:p>
            <w:pPr>
              <w:jc w:val="center"/>
            </w:pPr>
            <w:r>
              <w:t xml:space="preserve">0.005 </w:t>
            </w:r>
          </w:p>
        </w:tc>
        <w:tc>
          <w:tcPr>
            <w:tcW w:w="974" w:type="dxa"/>
            <w:tcBorders>
              <w:top w:val="single" w:color="auto" w:sz="8" w:space="0"/>
              <w:bottom w:val="single" w:color="auto" w:sz="8" w:space="0"/>
            </w:tcBorders>
            <w:vAlign w:val="center"/>
          </w:tcPr>
          <w:p>
            <w:pPr>
              <w:jc w:val="center"/>
            </w:pPr>
            <w:r>
              <w:t>0.003</w:t>
            </w:r>
          </w:p>
        </w:tc>
        <w:tc>
          <w:tcPr>
            <w:tcW w:w="974" w:type="dxa"/>
            <w:tcBorders>
              <w:top w:val="single" w:color="auto" w:sz="8" w:space="0"/>
              <w:bottom w:val="single" w:color="auto" w:sz="8" w:space="0"/>
            </w:tcBorders>
            <w:vAlign w:val="center"/>
          </w:tcPr>
          <w:p>
            <w:pPr>
              <w:jc w:val="center"/>
            </w:pPr>
            <w:r>
              <w:t>0.001</w:t>
            </w:r>
          </w:p>
        </w:tc>
        <w:tc>
          <w:tcPr>
            <w:tcW w:w="974" w:type="dxa"/>
            <w:tcBorders>
              <w:top w:val="single" w:color="auto" w:sz="8" w:space="0"/>
              <w:bottom w:val="single" w:color="auto" w:sz="8" w:space="0"/>
            </w:tcBorders>
          </w:tcPr>
          <w:p>
            <w:pPr>
              <w:jc w:val="center"/>
            </w:pPr>
            <w:r>
              <w:t>0.00</w:t>
            </w:r>
            <w:r>
              <w:rPr>
                <w:rFonts w:hint="eastAsia"/>
              </w:rPr>
              <w:t>5</w:t>
            </w:r>
          </w:p>
        </w:tc>
        <w:tc>
          <w:tcPr>
            <w:tcW w:w="974" w:type="dxa"/>
            <w:tcBorders>
              <w:top w:val="single" w:color="auto" w:sz="8" w:space="0"/>
              <w:bottom w:val="single" w:color="auto" w:sz="8" w:space="0"/>
            </w:tcBorders>
            <w:vAlign w:val="center"/>
          </w:tcPr>
          <w:p>
            <w:pPr>
              <w:jc w:val="center"/>
            </w:pPr>
            <w:r>
              <w:t>0.00</w:t>
            </w: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573" w:type="dxa"/>
            <w:tcBorders>
              <w:top w:val="single" w:color="auto" w:sz="8" w:space="0"/>
              <w:bottom w:val="single" w:color="auto" w:sz="8" w:space="0"/>
            </w:tcBorders>
            <w:vAlign w:val="center"/>
          </w:tcPr>
          <w:p>
            <w:pPr>
              <w:adjustRightInd w:val="0"/>
              <w:spacing w:line="276" w:lineRule="auto"/>
              <w:contextualSpacing/>
              <w:jc w:val="center"/>
              <w:outlineLvl w:val="0"/>
              <w:rPr>
                <w:szCs w:val="21"/>
              </w:rPr>
            </w:pPr>
            <w:r>
              <w:rPr>
                <w:szCs w:val="21"/>
              </w:rPr>
              <w:t>Pt-0.010/TiO</w:t>
            </w:r>
            <w:r>
              <w:rPr>
                <w:szCs w:val="21"/>
                <w:vertAlign w:val="subscript"/>
              </w:rPr>
              <w:t>2</w:t>
            </w:r>
          </w:p>
        </w:tc>
        <w:tc>
          <w:tcPr>
            <w:tcW w:w="2286" w:type="dxa"/>
            <w:tcBorders>
              <w:top w:val="single" w:color="auto" w:sz="8" w:space="0"/>
              <w:bottom w:val="single" w:color="auto" w:sz="8" w:space="0"/>
            </w:tcBorders>
            <w:vAlign w:val="center"/>
          </w:tcPr>
          <w:p>
            <w:pPr>
              <w:adjustRightInd w:val="0"/>
              <w:spacing w:line="276" w:lineRule="auto"/>
              <w:contextualSpacing/>
              <w:jc w:val="center"/>
              <w:outlineLvl w:val="0"/>
              <w:rPr>
                <w:szCs w:val="21"/>
              </w:rPr>
            </w:pPr>
            <w:r>
              <w:rPr>
                <w:szCs w:val="21"/>
              </w:rPr>
              <w:t>1.0%±0.03%</w:t>
            </w:r>
          </w:p>
        </w:tc>
        <w:tc>
          <w:tcPr>
            <w:tcW w:w="1079" w:type="dxa"/>
            <w:tcBorders>
              <w:top w:val="single" w:color="auto" w:sz="8" w:space="0"/>
              <w:bottom w:val="single" w:color="auto" w:sz="8" w:space="0"/>
            </w:tcBorders>
            <w:vAlign w:val="center"/>
          </w:tcPr>
          <w:p>
            <w:pPr>
              <w:jc w:val="center"/>
            </w:pPr>
            <w:r>
              <w:t>0.005</w:t>
            </w:r>
          </w:p>
        </w:tc>
        <w:tc>
          <w:tcPr>
            <w:tcW w:w="974" w:type="dxa"/>
            <w:tcBorders>
              <w:top w:val="single" w:color="auto" w:sz="8" w:space="0"/>
              <w:bottom w:val="single" w:color="auto" w:sz="8" w:space="0"/>
            </w:tcBorders>
            <w:vAlign w:val="center"/>
          </w:tcPr>
          <w:p>
            <w:pPr>
              <w:jc w:val="center"/>
            </w:pPr>
            <w:r>
              <w:t>0.003</w:t>
            </w:r>
          </w:p>
        </w:tc>
        <w:tc>
          <w:tcPr>
            <w:tcW w:w="974" w:type="dxa"/>
            <w:tcBorders>
              <w:top w:val="single" w:color="auto" w:sz="8" w:space="0"/>
              <w:bottom w:val="single" w:color="auto" w:sz="8" w:space="0"/>
            </w:tcBorders>
            <w:vAlign w:val="center"/>
          </w:tcPr>
          <w:p>
            <w:pPr>
              <w:jc w:val="center"/>
            </w:pPr>
            <w:r>
              <w:t>0.001</w:t>
            </w:r>
          </w:p>
        </w:tc>
        <w:tc>
          <w:tcPr>
            <w:tcW w:w="974" w:type="dxa"/>
            <w:tcBorders>
              <w:top w:val="single" w:color="auto" w:sz="8" w:space="0"/>
              <w:bottom w:val="single" w:color="auto" w:sz="8" w:space="0"/>
            </w:tcBorders>
          </w:tcPr>
          <w:p>
            <w:pPr>
              <w:jc w:val="center"/>
            </w:pPr>
            <w:r>
              <w:t>0.00</w:t>
            </w:r>
            <w:r>
              <w:rPr>
                <w:rFonts w:hint="eastAsia"/>
              </w:rPr>
              <w:t>5</w:t>
            </w:r>
          </w:p>
        </w:tc>
        <w:tc>
          <w:tcPr>
            <w:tcW w:w="974" w:type="dxa"/>
            <w:tcBorders>
              <w:top w:val="single" w:color="auto" w:sz="8" w:space="0"/>
              <w:bottom w:val="single" w:color="auto" w:sz="8" w:space="0"/>
            </w:tcBorders>
            <w:vAlign w:val="center"/>
          </w:tcPr>
          <w:p>
            <w:pPr>
              <w:jc w:val="center"/>
            </w:pPr>
            <w:r>
              <w:t>0.00</w:t>
            </w: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573" w:type="dxa"/>
            <w:tcBorders>
              <w:top w:val="single" w:color="auto" w:sz="8" w:space="0"/>
              <w:bottom w:val="single" w:color="auto" w:sz="8" w:space="0"/>
            </w:tcBorders>
            <w:vAlign w:val="center"/>
          </w:tcPr>
          <w:p>
            <w:pPr>
              <w:adjustRightInd w:val="0"/>
              <w:spacing w:line="276" w:lineRule="auto"/>
              <w:contextualSpacing/>
              <w:jc w:val="center"/>
              <w:outlineLvl w:val="0"/>
              <w:rPr>
                <w:szCs w:val="21"/>
              </w:rPr>
            </w:pPr>
            <w:r>
              <w:rPr>
                <w:szCs w:val="21"/>
              </w:rPr>
              <w:t>Pt-0.020/TiO</w:t>
            </w:r>
            <w:r>
              <w:rPr>
                <w:szCs w:val="21"/>
                <w:vertAlign w:val="subscript"/>
              </w:rPr>
              <w:t>2</w:t>
            </w:r>
          </w:p>
        </w:tc>
        <w:tc>
          <w:tcPr>
            <w:tcW w:w="2286" w:type="dxa"/>
            <w:tcBorders>
              <w:top w:val="single" w:color="auto" w:sz="8" w:space="0"/>
              <w:bottom w:val="single" w:color="auto" w:sz="8" w:space="0"/>
            </w:tcBorders>
            <w:vAlign w:val="center"/>
          </w:tcPr>
          <w:p>
            <w:pPr>
              <w:adjustRightInd w:val="0"/>
              <w:spacing w:line="276" w:lineRule="auto"/>
              <w:contextualSpacing/>
              <w:jc w:val="center"/>
              <w:outlineLvl w:val="0"/>
              <w:rPr>
                <w:szCs w:val="21"/>
              </w:rPr>
            </w:pPr>
            <w:r>
              <w:rPr>
                <w:szCs w:val="21"/>
              </w:rPr>
              <w:t>2.0%±0.05%</w:t>
            </w:r>
          </w:p>
        </w:tc>
        <w:tc>
          <w:tcPr>
            <w:tcW w:w="1079" w:type="dxa"/>
            <w:tcBorders>
              <w:top w:val="single" w:color="auto" w:sz="8" w:space="0"/>
              <w:bottom w:val="single" w:color="auto" w:sz="8" w:space="0"/>
            </w:tcBorders>
            <w:vAlign w:val="center"/>
          </w:tcPr>
          <w:p>
            <w:pPr>
              <w:jc w:val="center"/>
            </w:pPr>
            <w:r>
              <w:t>0.005</w:t>
            </w:r>
          </w:p>
        </w:tc>
        <w:tc>
          <w:tcPr>
            <w:tcW w:w="974" w:type="dxa"/>
            <w:tcBorders>
              <w:top w:val="single" w:color="auto" w:sz="8" w:space="0"/>
              <w:bottom w:val="single" w:color="auto" w:sz="8" w:space="0"/>
            </w:tcBorders>
            <w:vAlign w:val="center"/>
          </w:tcPr>
          <w:p>
            <w:pPr>
              <w:jc w:val="center"/>
            </w:pPr>
            <w:r>
              <w:t>0.003</w:t>
            </w:r>
          </w:p>
        </w:tc>
        <w:tc>
          <w:tcPr>
            <w:tcW w:w="974" w:type="dxa"/>
            <w:tcBorders>
              <w:top w:val="single" w:color="auto" w:sz="8" w:space="0"/>
              <w:bottom w:val="single" w:color="auto" w:sz="8" w:space="0"/>
            </w:tcBorders>
            <w:vAlign w:val="center"/>
          </w:tcPr>
          <w:p>
            <w:pPr>
              <w:jc w:val="center"/>
            </w:pPr>
            <w:r>
              <w:t>0.001</w:t>
            </w:r>
          </w:p>
        </w:tc>
        <w:tc>
          <w:tcPr>
            <w:tcW w:w="974" w:type="dxa"/>
            <w:tcBorders>
              <w:top w:val="single" w:color="auto" w:sz="8" w:space="0"/>
              <w:bottom w:val="single" w:color="auto" w:sz="8" w:space="0"/>
            </w:tcBorders>
          </w:tcPr>
          <w:p>
            <w:pPr>
              <w:jc w:val="center"/>
            </w:pPr>
            <w:r>
              <w:t>0.00</w:t>
            </w:r>
            <w:r>
              <w:rPr>
                <w:rFonts w:hint="eastAsia"/>
              </w:rPr>
              <w:t>5</w:t>
            </w:r>
          </w:p>
        </w:tc>
        <w:tc>
          <w:tcPr>
            <w:tcW w:w="974" w:type="dxa"/>
            <w:tcBorders>
              <w:top w:val="single" w:color="auto" w:sz="8" w:space="0"/>
              <w:bottom w:val="single" w:color="auto" w:sz="8" w:space="0"/>
            </w:tcBorders>
            <w:vAlign w:val="center"/>
          </w:tcPr>
          <w:p>
            <w:pPr>
              <w:jc w:val="center"/>
            </w:pPr>
            <w:r>
              <w:t>0.00</w:t>
            </w:r>
            <w:r>
              <w:rPr>
                <w:rFonts w:hint="eastAsia"/>
              </w:rPr>
              <w:t>1</w:t>
            </w:r>
          </w:p>
        </w:tc>
      </w:tr>
    </w:tbl>
    <w:p>
      <w:pPr>
        <w:rPr>
          <w:sz w:val="18"/>
          <w:szCs w:val="18"/>
        </w:rPr>
      </w:pPr>
      <w:r>
        <w:rPr>
          <w:rFonts w:eastAsia="黑体"/>
          <w:szCs w:val="21"/>
        </w:rPr>
        <w:t>4.2 比表面积</w:t>
      </w:r>
    </w:p>
    <w:p>
      <w:pPr>
        <w:rPr>
          <w:szCs w:val="21"/>
        </w:rPr>
      </w:pPr>
      <w:r>
        <w:rPr>
          <w:szCs w:val="21"/>
        </w:rPr>
        <w:t xml:space="preserve">    产品的比表面积≥30m</w:t>
      </w:r>
      <w:r>
        <w:rPr>
          <w:szCs w:val="21"/>
          <w:vertAlign w:val="superscript"/>
        </w:rPr>
        <w:t>2</w:t>
      </w:r>
      <w:r>
        <w:rPr>
          <w:szCs w:val="21"/>
        </w:rPr>
        <w:t>/g。</w:t>
      </w:r>
    </w:p>
    <w:p>
      <w:pPr>
        <w:rPr>
          <w:rFonts w:eastAsia="黑体"/>
          <w:szCs w:val="21"/>
        </w:rPr>
      </w:pPr>
      <w:r>
        <w:rPr>
          <w:rFonts w:eastAsia="黑体"/>
          <w:szCs w:val="21"/>
        </w:rPr>
        <w:t>4.3甲醛去除率</w:t>
      </w:r>
    </w:p>
    <w:p>
      <w:pPr>
        <w:spacing w:line="300" w:lineRule="auto"/>
        <w:ind w:firstLine="420" w:firstLineChars="200"/>
        <w:outlineLvl w:val="0"/>
        <w:rPr>
          <w:szCs w:val="21"/>
        </w:rPr>
      </w:pPr>
      <w:r>
        <w:rPr>
          <w:szCs w:val="21"/>
        </w:rPr>
        <w:t>产品的甲醛去除率应符合表2的规定。</w:t>
      </w:r>
    </w:p>
    <w:p>
      <w:pPr>
        <w:jc w:val="center"/>
        <w:rPr>
          <w:rFonts w:eastAsia="黑体"/>
          <w:szCs w:val="21"/>
        </w:rPr>
      </w:pPr>
      <w:r>
        <w:rPr>
          <w:rFonts w:eastAsia="黑体"/>
          <w:szCs w:val="21"/>
        </w:rPr>
        <w:t>表2甲醛去除率</w:t>
      </w:r>
    </w:p>
    <w:tbl>
      <w:tblPr>
        <w:tblStyle w:val="8"/>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503"/>
        <w:gridCol w:w="1893"/>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pct"/>
            <w:vAlign w:val="center"/>
          </w:tcPr>
          <w:p>
            <w:pPr>
              <w:adjustRightInd w:val="0"/>
              <w:spacing w:line="276" w:lineRule="auto"/>
              <w:contextualSpacing/>
              <w:jc w:val="center"/>
              <w:outlineLvl w:val="0"/>
              <w:rPr>
                <w:rFonts w:ascii="Times New Roman" w:hAnsi="Times New Roman"/>
                <w:szCs w:val="21"/>
              </w:rPr>
            </w:pPr>
            <w:r>
              <w:rPr>
                <w:rFonts w:ascii="Times New Roman" w:hAnsi="Calibri"/>
                <w:szCs w:val="21"/>
              </w:rPr>
              <w:t>牌号</w:t>
            </w:r>
          </w:p>
        </w:tc>
        <w:tc>
          <w:tcPr>
            <w:tcW w:w="846" w:type="pct"/>
            <w:vAlign w:val="center"/>
          </w:tcPr>
          <w:p>
            <w:pPr>
              <w:jc w:val="center"/>
              <w:rPr>
                <w:rFonts w:ascii="Times New Roman" w:hAnsi="Times New Roman"/>
                <w:szCs w:val="21"/>
              </w:rPr>
            </w:pPr>
            <w:r>
              <w:rPr>
                <w:rFonts w:ascii="Times New Roman" w:hAnsi="Calibri"/>
                <w:szCs w:val="21"/>
              </w:rPr>
              <w:t>起活温度</w:t>
            </w:r>
          </w:p>
          <w:p>
            <w:pPr>
              <w:jc w:val="center"/>
              <w:rPr>
                <w:rFonts w:ascii="Times New Roman" w:hAnsi="Times New Roman"/>
                <w:szCs w:val="21"/>
              </w:rPr>
            </w:pPr>
            <w:r>
              <w:rPr>
                <w:rFonts w:ascii="Calibri" w:hAnsi="Calibri"/>
                <w:szCs w:val="21"/>
              </w:rPr>
              <w:t>℃</w:t>
            </w:r>
          </w:p>
        </w:tc>
        <w:tc>
          <w:tcPr>
            <w:tcW w:w="1065" w:type="pct"/>
            <w:vAlign w:val="center"/>
          </w:tcPr>
          <w:p>
            <w:pPr>
              <w:jc w:val="center"/>
              <w:rPr>
                <w:rFonts w:ascii="Times New Roman" w:hAnsi="Times New Roman"/>
                <w:szCs w:val="21"/>
              </w:rPr>
            </w:pPr>
            <w:r>
              <w:rPr>
                <w:rFonts w:ascii="Times New Roman" w:hAnsi="Calibri"/>
                <w:szCs w:val="21"/>
              </w:rPr>
              <w:t>完全转化温度</w:t>
            </w:r>
          </w:p>
          <w:p>
            <w:pPr>
              <w:jc w:val="center"/>
              <w:rPr>
                <w:rFonts w:ascii="Times New Roman" w:hAnsi="Times New Roman"/>
                <w:szCs w:val="21"/>
              </w:rPr>
            </w:pPr>
            <w:r>
              <w:rPr>
                <w:rFonts w:ascii="Times New Roman" w:hAnsi="Times New Roman"/>
                <w:szCs w:val="21"/>
              </w:rPr>
              <w:t>%</w:t>
            </w:r>
          </w:p>
        </w:tc>
        <w:tc>
          <w:tcPr>
            <w:tcW w:w="2205" w:type="pct"/>
            <w:vAlign w:val="center"/>
          </w:tcPr>
          <w:p>
            <w:pPr>
              <w:jc w:val="center"/>
              <w:rPr>
                <w:rFonts w:ascii="Times New Roman" w:hAnsi="Times New Roman"/>
                <w:szCs w:val="21"/>
              </w:rPr>
            </w:pPr>
            <w:r>
              <w:rPr>
                <w:rFonts w:ascii="Times New Roman" w:hAnsi="Calibr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pct"/>
            <w:vAlign w:val="center"/>
          </w:tcPr>
          <w:p>
            <w:pPr>
              <w:adjustRightInd w:val="0"/>
              <w:spacing w:line="276" w:lineRule="auto"/>
              <w:contextualSpacing/>
              <w:jc w:val="center"/>
              <w:outlineLvl w:val="0"/>
              <w:rPr>
                <w:rFonts w:ascii="Times New Roman" w:hAnsi="Times New Roman"/>
                <w:szCs w:val="21"/>
              </w:rPr>
            </w:pPr>
            <w:r>
              <w:rPr>
                <w:rFonts w:ascii="Times New Roman" w:hAnsi="Times New Roman"/>
                <w:szCs w:val="21"/>
              </w:rPr>
              <w:t>Pt-0.003/TiO</w:t>
            </w:r>
            <w:r>
              <w:rPr>
                <w:rFonts w:ascii="Times New Roman" w:hAnsi="Times New Roman"/>
                <w:szCs w:val="21"/>
                <w:vertAlign w:val="subscript"/>
              </w:rPr>
              <w:t>2</w:t>
            </w:r>
          </w:p>
        </w:tc>
        <w:tc>
          <w:tcPr>
            <w:tcW w:w="846" w:type="pct"/>
            <w:vAlign w:val="center"/>
          </w:tcPr>
          <w:p>
            <w:pPr>
              <w:jc w:val="center"/>
              <w:rPr>
                <w:rFonts w:ascii="Times New Roman" w:hAnsi="Times New Roman"/>
                <w:szCs w:val="21"/>
              </w:rPr>
            </w:pPr>
            <w:r>
              <w:rPr>
                <w:rFonts w:ascii="Times New Roman" w:hAnsi="Times New Roman"/>
                <w:szCs w:val="21"/>
              </w:rPr>
              <w:t>20</w:t>
            </w:r>
          </w:p>
        </w:tc>
        <w:tc>
          <w:tcPr>
            <w:tcW w:w="1065" w:type="pct"/>
            <w:vAlign w:val="center"/>
          </w:tcPr>
          <w:p>
            <w:pPr>
              <w:jc w:val="center"/>
              <w:rPr>
                <w:rFonts w:ascii="Times New Roman" w:hAnsi="Times New Roman"/>
                <w:szCs w:val="21"/>
              </w:rPr>
            </w:pPr>
            <w:r>
              <w:rPr>
                <w:rFonts w:ascii="Times New Roman" w:hAnsi="Times New Roman"/>
                <w:szCs w:val="21"/>
              </w:rPr>
              <w:t>40</w:t>
            </w:r>
          </w:p>
        </w:tc>
        <w:tc>
          <w:tcPr>
            <w:tcW w:w="2205" w:type="pct"/>
            <w:vMerge w:val="restart"/>
            <w:vAlign w:val="center"/>
          </w:tcPr>
          <w:p>
            <w:pPr>
              <w:rPr>
                <w:rFonts w:ascii="Times New Roman" w:hAnsi="Times New Roman"/>
                <w:szCs w:val="21"/>
              </w:rPr>
            </w:pPr>
            <w:r>
              <w:rPr>
                <w:rFonts w:ascii="Times New Roman" w:hAnsi="Calibri"/>
                <w:szCs w:val="21"/>
              </w:rPr>
              <w:t>起活温度是甲醛转化率为</w:t>
            </w:r>
            <w:r>
              <w:rPr>
                <w:rFonts w:ascii="Times New Roman" w:hAnsi="Times New Roman"/>
                <w:szCs w:val="21"/>
              </w:rPr>
              <w:t>10%</w:t>
            </w:r>
            <w:r>
              <w:rPr>
                <w:rFonts w:ascii="Times New Roman" w:hAnsi="Calibri"/>
                <w:szCs w:val="21"/>
              </w:rPr>
              <w:t>时对应的反应温度；完全转化温度是甲醛转化率为</w:t>
            </w:r>
            <w:r>
              <w:rPr>
                <w:rFonts w:ascii="Times New Roman" w:hAnsi="Times New Roman"/>
                <w:szCs w:val="21"/>
              </w:rPr>
              <w:t>90%</w:t>
            </w:r>
            <w:r>
              <w:rPr>
                <w:rFonts w:ascii="Times New Roman" w:hAnsi="Calibri"/>
                <w:szCs w:val="21"/>
              </w:rPr>
              <w:t>时对应的反应温度。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pct"/>
            <w:vAlign w:val="center"/>
          </w:tcPr>
          <w:p>
            <w:pPr>
              <w:adjustRightInd w:val="0"/>
              <w:spacing w:line="276" w:lineRule="auto"/>
              <w:contextualSpacing/>
              <w:jc w:val="center"/>
              <w:outlineLvl w:val="0"/>
              <w:rPr>
                <w:rFonts w:ascii="Times New Roman" w:hAnsi="Times New Roman"/>
                <w:szCs w:val="21"/>
              </w:rPr>
            </w:pPr>
            <w:r>
              <w:rPr>
                <w:rFonts w:ascii="Times New Roman" w:hAnsi="Times New Roman"/>
                <w:szCs w:val="21"/>
              </w:rPr>
              <w:t>Pt-0.010/TiO</w:t>
            </w:r>
            <w:r>
              <w:rPr>
                <w:rFonts w:ascii="Times New Roman" w:hAnsi="Times New Roman"/>
                <w:szCs w:val="21"/>
                <w:vertAlign w:val="subscript"/>
              </w:rPr>
              <w:t>2</w:t>
            </w:r>
          </w:p>
        </w:tc>
        <w:tc>
          <w:tcPr>
            <w:tcW w:w="846" w:type="pct"/>
            <w:vAlign w:val="center"/>
          </w:tcPr>
          <w:p>
            <w:pPr>
              <w:jc w:val="center"/>
              <w:rPr>
                <w:rFonts w:ascii="Times New Roman" w:hAnsi="Times New Roman"/>
                <w:szCs w:val="21"/>
              </w:rPr>
            </w:pPr>
            <w:r>
              <w:rPr>
                <w:rFonts w:ascii="Times New Roman" w:hAnsi="Times New Roman"/>
                <w:szCs w:val="21"/>
              </w:rPr>
              <w:t>15</w:t>
            </w:r>
          </w:p>
        </w:tc>
        <w:tc>
          <w:tcPr>
            <w:tcW w:w="1065" w:type="pct"/>
            <w:vAlign w:val="center"/>
          </w:tcPr>
          <w:p>
            <w:pPr>
              <w:jc w:val="center"/>
              <w:rPr>
                <w:rFonts w:ascii="Times New Roman" w:hAnsi="Times New Roman"/>
                <w:szCs w:val="21"/>
              </w:rPr>
            </w:pPr>
            <w:r>
              <w:rPr>
                <w:rFonts w:ascii="Times New Roman" w:hAnsi="Times New Roman"/>
                <w:szCs w:val="21"/>
              </w:rPr>
              <w:t>30</w:t>
            </w:r>
          </w:p>
        </w:tc>
        <w:tc>
          <w:tcPr>
            <w:tcW w:w="2205" w:type="pct"/>
            <w:vMerge w:val="continue"/>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pct"/>
            <w:vAlign w:val="center"/>
          </w:tcPr>
          <w:p>
            <w:pPr>
              <w:adjustRightInd w:val="0"/>
              <w:spacing w:line="276" w:lineRule="auto"/>
              <w:contextualSpacing/>
              <w:jc w:val="center"/>
              <w:outlineLvl w:val="0"/>
              <w:rPr>
                <w:rFonts w:ascii="Times New Roman" w:hAnsi="Times New Roman"/>
                <w:szCs w:val="21"/>
              </w:rPr>
            </w:pPr>
            <w:r>
              <w:rPr>
                <w:rFonts w:ascii="Times New Roman" w:hAnsi="Times New Roman"/>
                <w:szCs w:val="21"/>
              </w:rPr>
              <w:t>Pt-0.020/TiO</w:t>
            </w:r>
            <w:r>
              <w:rPr>
                <w:rFonts w:ascii="Times New Roman" w:hAnsi="Times New Roman"/>
                <w:szCs w:val="21"/>
                <w:vertAlign w:val="subscript"/>
              </w:rPr>
              <w:t>2</w:t>
            </w:r>
          </w:p>
        </w:tc>
        <w:tc>
          <w:tcPr>
            <w:tcW w:w="846" w:type="pct"/>
            <w:vAlign w:val="center"/>
          </w:tcPr>
          <w:p>
            <w:pPr>
              <w:jc w:val="center"/>
              <w:rPr>
                <w:rFonts w:ascii="Times New Roman" w:hAnsi="Times New Roman"/>
                <w:szCs w:val="21"/>
              </w:rPr>
            </w:pPr>
            <w:r>
              <w:rPr>
                <w:rFonts w:ascii="Times New Roman" w:hAnsi="Times New Roman"/>
                <w:szCs w:val="21"/>
              </w:rPr>
              <w:t>13</w:t>
            </w:r>
          </w:p>
        </w:tc>
        <w:tc>
          <w:tcPr>
            <w:tcW w:w="1065" w:type="pct"/>
            <w:vAlign w:val="center"/>
          </w:tcPr>
          <w:p>
            <w:pPr>
              <w:jc w:val="center"/>
              <w:rPr>
                <w:rFonts w:ascii="Times New Roman" w:hAnsi="Times New Roman"/>
                <w:szCs w:val="21"/>
              </w:rPr>
            </w:pPr>
            <w:r>
              <w:rPr>
                <w:rFonts w:ascii="Times New Roman" w:hAnsi="Times New Roman"/>
                <w:szCs w:val="21"/>
              </w:rPr>
              <w:t>25</w:t>
            </w:r>
          </w:p>
        </w:tc>
        <w:tc>
          <w:tcPr>
            <w:tcW w:w="2205" w:type="pct"/>
            <w:vMerge w:val="continue"/>
          </w:tcPr>
          <w:p>
            <w:pPr>
              <w:rPr>
                <w:rFonts w:ascii="Times New Roman" w:hAnsi="Times New Roman"/>
                <w:szCs w:val="21"/>
              </w:rPr>
            </w:pPr>
          </w:p>
        </w:tc>
      </w:tr>
    </w:tbl>
    <w:p>
      <w:pPr>
        <w:rPr>
          <w:rFonts w:eastAsia="黑体"/>
          <w:szCs w:val="21"/>
        </w:rPr>
      </w:pPr>
      <w:r>
        <w:rPr>
          <w:rFonts w:eastAsia="黑体"/>
          <w:szCs w:val="21"/>
        </w:rPr>
        <w:t>4.4 粒度</w:t>
      </w:r>
    </w:p>
    <w:p>
      <w:pPr>
        <w:rPr>
          <w:szCs w:val="21"/>
        </w:rPr>
      </w:pPr>
      <w:r>
        <w:rPr>
          <w:szCs w:val="21"/>
        </w:rPr>
        <w:t xml:space="preserve">    产品的粒度≤38 um的比例应≥90%。</w:t>
      </w:r>
    </w:p>
    <w:p>
      <w:pPr>
        <w:spacing w:line="300" w:lineRule="auto"/>
        <w:outlineLvl w:val="0"/>
        <w:rPr>
          <w:rFonts w:eastAsia="黑体"/>
          <w:szCs w:val="21"/>
        </w:rPr>
      </w:pPr>
      <w:r>
        <w:rPr>
          <w:rFonts w:eastAsia="黑体"/>
          <w:szCs w:val="21"/>
        </w:rPr>
        <w:t>5  试验方法</w:t>
      </w:r>
    </w:p>
    <w:p>
      <w:pPr>
        <w:spacing w:line="300" w:lineRule="auto"/>
        <w:outlineLvl w:val="0"/>
        <w:rPr>
          <w:rFonts w:eastAsia="黑体"/>
          <w:szCs w:val="21"/>
        </w:rPr>
      </w:pPr>
      <w:r>
        <w:rPr>
          <w:rFonts w:eastAsia="黑体"/>
          <w:szCs w:val="21"/>
        </w:rPr>
        <w:t>5.1  化学成分</w:t>
      </w:r>
    </w:p>
    <w:p>
      <w:pPr>
        <w:spacing w:line="300" w:lineRule="auto"/>
        <w:outlineLvl w:val="0"/>
        <w:rPr>
          <w:rFonts w:eastAsia="黑体"/>
          <w:szCs w:val="21"/>
        </w:rPr>
      </w:pPr>
      <w:r>
        <w:rPr>
          <w:rFonts w:eastAsia="黑体"/>
          <w:szCs w:val="21"/>
        </w:rPr>
        <w:t>5.1.1 铂含量的测定</w:t>
      </w:r>
    </w:p>
    <w:p>
      <w:pPr>
        <w:spacing w:line="440" w:lineRule="exact"/>
        <w:ind w:firstLine="420" w:firstLineChars="200"/>
        <w:rPr>
          <w:szCs w:val="21"/>
        </w:rPr>
      </w:pPr>
      <w:r>
        <w:rPr>
          <w:rFonts w:hint="eastAsia"/>
          <w:szCs w:val="21"/>
        </w:rPr>
        <w:t>称取样品0.1g（精确到0.001g）放入100mL聚四氟乙烯罐中，加入3mL浓盐酸，1mL浓硝酸，1mL氢氟酸，赶酸板上150℃加热20min。冷却后补加3mL浓盐酸和1mL氢氟酸。放入微波消解仪，进行消解，消解的具体程序设置如表3所示。冷却后，纯水定容至50mL容量瓶中。待测ICP。标准曲线配制操作如下：铂标准溶液(GSB G 62067-90)1000ug/mL。分别取100uL，500uL，1mL，2mL，3mL用纯水定容至100mL容量瓶中。对应的标准曲线为：1ppm，5ppm，10ppm，20ppm，30ppm。</w:t>
      </w:r>
    </w:p>
    <w:p>
      <w:pPr>
        <w:spacing w:line="440" w:lineRule="exact"/>
        <w:rPr>
          <w:szCs w:val="21"/>
        </w:rPr>
      </w:pPr>
      <w:r>
        <w:rPr>
          <w:rFonts w:hint="eastAsia"/>
          <w:szCs w:val="21"/>
        </w:rPr>
        <w:t>设备：赛默飞ICAP7400。铂的推荐测量波长为：299.797nm。</w:t>
      </w:r>
    </w:p>
    <w:p>
      <w:pPr>
        <w:spacing w:line="440" w:lineRule="exact"/>
        <w:jc w:val="center"/>
        <w:rPr>
          <w:color w:val="C00000"/>
        </w:rPr>
      </w:pPr>
      <w:r>
        <w:rPr>
          <w:rFonts w:hint="eastAsia"/>
        </w:rPr>
        <w:t>表3 铂含量测定的消解程序设置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848"/>
        <w:gridCol w:w="1833"/>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5529" w:type="dxa"/>
            <w:gridSpan w:val="3"/>
          </w:tcPr>
          <w:p>
            <w:pPr>
              <w:spacing w:line="440" w:lineRule="exact"/>
              <w:jc w:val="center"/>
              <w:rPr>
                <w:rFonts w:ascii="Times New Roman" w:hAnsi="Times New Roman"/>
              </w:rPr>
            </w:pPr>
            <w:r>
              <w:rPr>
                <w:rFonts w:ascii="Times New Roman" w:hAnsi="Calibri"/>
              </w:rPr>
              <w:t>微波消解程序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jc w:val="center"/>
              <w:rPr>
                <w:rFonts w:ascii="Times New Roman" w:hAnsi="Calibri"/>
              </w:rPr>
            </w:pPr>
            <w:r>
              <w:rPr>
                <w:rFonts w:ascii="Times New Roman" w:hAnsi="Calibri"/>
              </w:rPr>
              <w:t>起始温度</w:t>
            </w:r>
          </w:p>
          <w:p>
            <w:pPr>
              <w:jc w:val="center"/>
              <w:rPr>
                <w:rFonts w:ascii="Times New Roman" w:hAnsi="Times New Roman"/>
              </w:rPr>
            </w:pPr>
            <w:r>
              <w:rPr>
                <w:rFonts w:hint="eastAsia" w:ascii="宋体" w:hAnsi="宋体" w:cs="宋体"/>
              </w:rPr>
              <w:t>℃</w:t>
            </w:r>
          </w:p>
        </w:tc>
        <w:tc>
          <w:tcPr>
            <w:tcW w:w="1848" w:type="dxa"/>
          </w:tcPr>
          <w:p>
            <w:pPr>
              <w:jc w:val="center"/>
              <w:rPr>
                <w:rFonts w:ascii="Times New Roman" w:hAnsi="Calibri"/>
              </w:rPr>
            </w:pPr>
            <w:r>
              <w:rPr>
                <w:rFonts w:ascii="Times New Roman" w:hAnsi="Calibri"/>
              </w:rPr>
              <w:t>时间</w:t>
            </w:r>
          </w:p>
          <w:p>
            <w:pPr>
              <w:jc w:val="center"/>
              <w:rPr>
                <w:rFonts w:ascii="Times New Roman" w:hAnsi="Times New Roman"/>
              </w:rPr>
            </w:pPr>
            <w:r>
              <w:rPr>
                <w:rFonts w:ascii="Times New Roman" w:hAnsi="Times New Roman"/>
              </w:rPr>
              <w:t>min</w:t>
            </w:r>
          </w:p>
        </w:tc>
        <w:tc>
          <w:tcPr>
            <w:tcW w:w="1848" w:type="dxa"/>
            <w:gridSpan w:val="2"/>
          </w:tcPr>
          <w:p>
            <w:pPr>
              <w:jc w:val="center"/>
              <w:rPr>
                <w:rFonts w:ascii="Times New Roman" w:hAnsi="Calibri"/>
              </w:rPr>
            </w:pPr>
            <w:r>
              <w:rPr>
                <w:rFonts w:ascii="Times New Roman" w:hAnsi="Calibri"/>
              </w:rPr>
              <w:t>结束温度</w:t>
            </w:r>
          </w:p>
          <w:p>
            <w:pPr>
              <w:jc w:val="center"/>
              <w:rPr>
                <w:rFonts w:ascii="Times New Roman" w:hAnsi="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120</w:t>
            </w:r>
          </w:p>
        </w:tc>
        <w:tc>
          <w:tcPr>
            <w:tcW w:w="1848" w:type="dxa"/>
          </w:tcPr>
          <w:p>
            <w:pPr>
              <w:spacing w:line="440" w:lineRule="exact"/>
              <w:jc w:val="center"/>
              <w:rPr>
                <w:rFonts w:ascii="Times New Roman" w:hAnsi="Times New Roman"/>
              </w:rPr>
            </w:pPr>
            <w:r>
              <w:rPr>
                <w:rFonts w:ascii="Times New Roman" w:hAnsi="Times New Roman"/>
              </w:rPr>
              <w:t>10</w:t>
            </w:r>
          </w:p>
        </w:tc>
        <w:tc>
          <w:tcPr>
            <w:tcW w:w="1848" w:type="dxa"/>
            <w:gridSpan w:val="2"/>
          </w:tcPr>
          <w:p>
            <w:pPr>
              <w:spacing w:line="440" w:lineRule="exact"/>
              <w:jc w:val="center"/>
              <w:rPr>
                <w:rFonts w:ascii="Times New Roman" w:hAnsi="Times New Roman"/>
              </w:rPr>
            </w:pPr>
            <w:r>
              <w:rPr>
                <w:rFonts w:ascii="Times New Roman" w:hAnsi="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120</w:t>
            </w:r>
          </w:p>
        </w:tc>
        <w:tc>
          <w:tcPr>
            <w:tcW w:w="1848" w:type="dxa"/>
          </w:tcPr>
          <w:p>
            <w:pPr>
              <w:spacing w:line="440" w:lineRule="exact"/>
              <w:jc w:val="center"/>
              <w:rPr>
                <w:rFonts w:ascii="Times New Roman" w:hAnsi="Times New Roman"/>
              </w:rPr>
            </w:pPr>
            <w:r>
              <w:rPr>
                <w:rFonts w:ascii="Times New Roman" w:hAnsi="Times New Roman"/>
              </w:rPr>
              <w:t>5</w:t>
            </w:r>
          </w:p>
        </w:tc>
        <w:tc>
          <w:tcPr>
            <w:tcW w:w="1848" w:type="dxa"/>
            <w:gridSpan w:val="2"/>
          </w:tcPr>
          <w:p>
            <w:pPr>
              <w:spacing w:line="440" w:lineRule="exact"/>
              <w:jc w:val="center"/>
              <w:rPr>
                <w:rFonts w:ascii="Times New Roman" w:hAnsi="Times New Roman"/>
              </w:rPr>
            </w:pPr>
            <w:r>
              <w:rPr>
                <w:rFonts w:ascii="Times New Roman" w:hAnsi="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150</w:t>
            </w:r>
          </w:p>
        </w:tc>
        <w:tc>
          <w:tcPr>
            <w:tcW w:w="1848" w:type="dxa"/>
          </w:tcPr>
          <w:p>
            <w:pPr>
              <w:spacing w:line="440" w:lineRule="exact"/>
              <w:jc w:val="center"/>
              <w:rPr>
                <w:rFonts w:ascii="Times New Roman" w:hAnsi="Times New Roman"/>
              </w:rPr>
            </w:pPr>
            <w:r>
              <w:rPr>
                <w:rFonts w:ascii="Times New Roman" w:hAnsi="Times New Roman"/>
              </w:rPr>
              <w:t>5</w:t>
            </w:r>
          </w:p>
        </w:tc>
        <w:tc>
          <w:tcPr>
            <w:tcW w:w="1848" w:type="dxa"/>
            <w:gridSpan w:val="2"/>
          </w:tcPr>
          <w:p>
            <w:pPr>
              <w:spacing w:line="440" w:lineRule="exact"/>
              <w:jc w:val="center"/>
              <w:rPr>
                <w:rFonts w:ascii="Times New Roman" w:hAnsi="Times New Roman"/>
              </w:rPr>
            </w:pPr>
            <w:r>
              <w:rPr>
                <w:rFonts w:ascii="Times New Roman" w:hAnsi="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180</w:t>
            </w:r>
          </w:p>
        </w:tc>
        <w:tc>
          <w:tcPr>
            <w:tcW w:w="1848" w:type="dxa"/>
          </w:tcPr>
          <w:p>
            <w:pPr>
              <w:spacing w:line="440" w:lineRule="exact"/>
              <w:jc w:val="center"/>
              <w:rPr>
                <w:rFonts w:ascii="Times New Roman" w:hAnsi="Times New Roman"/>
              </w:rPr>
            </w:pPr>
            <w:r>
              <w:rPr>
                <w:rFonts w:ascii="Times New Roman" w:hAnsi="Times New Roman"/>
              </w:rPr>
              <w:t>10</w:t>
            </w:r>
          </w:p>
        </w:tc>
        <w:tc>
          <w:tcPr>
            <w:tcW w:w="1848" w:type="dxa"/>
            <w:gridSpan w:val="2"/>
          </w:tcPr>
          <w:p>
            <w:pPr>
              <w:spacing w:line="440" w:lineRule="exact"/>
              <w:jc w:val="center"/>
              <w:rPr>
                <w:rFonts w:ascii="Times New Roman" w:hAnsi="Times New Roman"/>
              </w:rPr>
            </w:pPr>
            <w:r>
              <w:rPr>
                <w:rFonts w:ascii="Times New Roman" w:hAnsi="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200</w:t>
            </w:r>
          </w:p>
        </w:tc>
        <w:tc>
          <w:tcPr>
            <w:tcW w:w="1848" w:type="dxa"/>
          </w:tcPr>
          <w:p>
            <w:pPr>
              <w:spacing w:line="440" w:lineRule="exact"/>
              <w:jc w:val="center"/>
              <w:rPr>
                <w:rFonts w:ascii="Times New Roman" w:hAnsi="Times New Roman"/>
              </w:rPr>
            </w:pPr>
            <w:r>
              <w:rPr>
                <w:rFonts w:ascii="Times New Roman" w:hAnsi="Times New Roman"/>
              </w:rPr>
              <w:t>30</w:t>
            </w:r>
          </w:p>
        </w:tc>
        <w:tc>
          <w:tcPr>
            <w:tcW w:w="1848" w:type="dxa"/>
            <w:gridSpan w:val="2"/>
          </w:tcPr>
          <w:p>
            <w:pPr>
              <w:spacing w:line="440" w:lineRule="exact"/>
              <w:jc w:val="center"/>
              <w:rPr>
                <w:rFonts w:ascii="Times New Roman" w:hAnsi="Times New Roman"/>
              </w:rPr>
            </w:pPr>
            <w:r>
              <w:rPr>
                <w:rFonts w:ascii="Times New Roman" w:hAnsi="Times New Roman"/>
              </w:rPr>
              <w:t>200</w:t>
            </w:r>
          </w:p>
        </w:tc>
      </w:tr>
    </w:tbl>
    <w:p>
      <w:pPr>
        <w:spacing w:line="300" w:lineRule="auto"/>
        <w:rPr>
          <w:szCs w:val="21"/>
        </w:rPr>
      </w:pPr>
    </w:p>
    <w:p>
      <w:pPr>
        <w:spacing w:line="300" w:lineRule="auto"/>
        <w:outlineLvl w:val="0"/>
        <w:rPr>
          <w:rFonts w:eastAsia="黑体"/>
          <w:szCs w:val="21"/>
        </w:rPr>
      </w:pPr>
      <w:r>
        <w:rPr>
          <w:rFonts w:eastAsia="黑体"/>
          <w:szCs w:val="21"/>
        </w:rPr>
        <w:t>5.1.2 杂质元素含量的测定</w:t>
      </w:r>
    </w:p>
    <w:p>
      <w:pPr>
        <w:spacing w:line="440" w:lineRule="exact"/>
        <w:ind w:firstLine="420" w:firstLineChars="200"/>
        <w:rPr>
          <w:szCs w:val="21"/>
        </w:rPr>
      </w:pPr>
      <w:r>
        <w:rPr>
          <w:rFonts w:hint="eastAsia"/>
          <w:szCs w:val="21"/>
        </w:rPr>
        <w:t>杂质元素</w:t>
      </w:r>
      <w:r>
        <w:rPr>
          <w:szCs w:val="21"/>
        </w:rPr>
        <w:t>含量的测定</w:t>
      </w:r>
      <w:r>
        <w:rPr>
          <w:rFonts w:hint="eastAsia"/>
          <w:szCs w:val="21"/>
        </w:rPr>
        <w:t>操作如下：称取样品0.2g（精确到0.001g）放入100mL聚四氟乙烯罐中，加入6mL浓盐酸，2mL浓硝酸，2mL氢氟酸，赶酸板上150℃加热30min。冷却后补加3mL浓盐酸和1mL氢氟酸。放入微波消解仪，进行消解，消解的具体程序设置如表4所示。冷却后，补加1mL高氯酸，盖上表面皿赶酸板上200℃加热20min，冷却后纯水定容至25mL容量瓶中。参照</w:t>
      </w:r>
      <w:r>
        <w:rPr>
          <w:szCs w:val="21"/>
        </w:rPr>
        <w:t>YS/T 361-2006 纯铂中杂质素的发射光谱分析</w:t>
      </w:r>
      <w:r>
        <w:rPr>
          <w:rFonts w:hint="eastAsia"/>
          <w:szCs w:val="21"/>
        </w:rPr>
        <w:t>，测量其中杂质元素Fe、Cu、Pb、Ni的含量。杂质元素As的含量测定由标准曲线绘制测得。标准曲线配制操作如下：砷标准溶液GSB G 62028-90（3302）  1000ug/mL。分别取10uL，20uL，50uL，100uL，500uL绘制标准曲线。设备：赛默飞ICAP7400。As的推荐波长为234.984nm。</w:t>
      </w:r>
    </w:p>
    <w:p>
      <w:pPr>
        <w:spacing w:line="440" w:lineRule="exact"/>
        <w:jc w:val="center"/>
      </w:pPr>
      <w:r>
        <w:rPr>
          <w:rFonts w:hint="eastAsia"/>
        </w:rPr>
        <w:t>表4杂质含量测定的消解程序设置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jc w:val="center"/>
              <w:rPr>
                <w:rFonts w:ascii="Times New Roman" w:hAnsi="Calibri"/>
              </w:rPr>
            </w:pPr>
            <w:r>
              <w:rPr>
                <w:rFonts w:ascii="Times New Roman" w:hAnsi="Calibri"/>
              </w:rPr>
              <w:t>起始温度</w:t>
            </w:r>
          </w:p>
          <w:p>
            <w:pPr>
              <w:jc w:val="center"/>
              <w:rPr>
                <w:rFonts w:ascii="Times New Roman" w:hAnsi="Times New Roman"/>
              </w:rPr>
            </w:pPr>
            <w:r>
              <w:rPr>
                <w:rFonts w:hint="eastAsia" w:ascii="宋体" w:hAnsi="宋体" w:cs="宋体"/>
              </w:rPr>
              <w:t>℃</w:t>
            </w:r>
          </w:p>
        </w:tc>
        <w:tc>
          <w:tcPr>
            <w:tcW w:w="1848" w:type="dxa"/>
          </w:tcPr>
          <w:p>
            <w:pPr>
              <w:jc w:val="center"/>
              <w:rPr>
                <w:rFonts w:ascii="Times New Roman" w:hAnsi="Calibri"/>
              </w:rPr>
            </w:pPr>
            <w:r>
              <w:rPr>
                <w:rFonts w:ascii="Times New Roman" w:hAnsi="Calibri"/>
              </w:rPr>
              <w:t>时间</w:t>
            </w:r>
          </w:p>
          <w:p>
            <w:pPr>
              <w:jc w:val="center"/>
              <w:rPr>
                <w:rFonts w:ascii="Times New Roman" w:hAnsi="Times New Roman"/>
              </w:rPr>
            </w:pPr>
            <w:r>
              <w:rPr>
                <w:rFonts w:ascii="Times New Roman" w:hAnsi="Times New Roman"/>
              </w:rPr>
              <w:t>min</w:t>
            </w:r>
          </w:p>
        </w:tc>
        <w:tc>
          <w:tcPr>
            <w:tcW w:w="1848" w:type="dxa"/>
          </w:tcPr>
          <w:p>
            <w:pPr>
              <w:jc w:val="center"/>
              <w:rPr>
                <w:rFonts w:ascii="Times New Roman" w:hAnsi="Calibri"/>
              </w:rPr>
            </w:pPr>
            <w:r>
              <w:rPr>
                <w:rFonts w:ascii="Times New Roman" w:hAnsi="Calibri"/>
              </w:rPr>
              <w:t>结束温度</w:t>
            </w:r>
          </w:p>
          <w:p>
            <w:pPr>
              <w:jc w:val="center"/>
              <w:rPr>
                <w:rFonts w:ascii="Times New Roman" w:hAnsi="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120</w:t>
            </w:r>
          </w:p>
        </w:tc>
        <w:tc>
          <w:tcPr>
            <w:tcW w:w="1848" w:type="dxa"/>
          </w:tcPr>
          <w:p>
            <w:pPr>
              <w:spacing w:line="440" w:lineRule="exact"/>
              <w:jc w:val="center"/>
              <w:rPr>
                <w:rFonts w:ascii="Times New Roman" w:hAnsi="Times New Roman"/>
              </w:rPr>
            </w:pPr>
            <w:r>
              <w:rPr>
                <w:rFonts w:ascii="Times New Roman" w:hAnsi="Times New Roman"/>
              </w:rPr>
              <w:t>10</w:t>
            </w:r>
          </w:p>
        </w:tc>
        <w:tc>
          <w:tcPr>
            <w:tcW w:w="1848" w:type="dxa"/>
          </w:tcPr>
          <w:p>
            <w:pPr>
              <w:spacing w:line="440" w:lineRule="exact"/>
              <w:jc w:val="center"/>
              <w:rPr>
                <w:rFonts w:ascii="Times New Roman" w:hAnsi="Times New Roman"/>
              </w:rPr>
            </w:pPr>
            <w:r>
              <w:rPr>
                <w:rFonts w:ascii="Times New Roman" w:hAnsi="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120</w:t>
            </w:r>
          </w:p>
        </w:tc>
        <w:tc>
          <w:tcPr>
            <w:tcW w:w="1848" w:type="dxa"/>
          </w:tcPr>
          <w:p>
            <w:pPr>
              <w:spacing w:line="440" w:lineRule="exact"/>
              <w:jc w:val="center"/>
              <w:rPr>
                <w:rFonts w:ascii="Times New Roman" w:hAnsi="Times New Roman"/>
              </w:rPr>
            </w:pPr>
            <w:r>
              <w:rPr>
                <w:rFonts w:ascii="Times New Roman" w:hAnsi="Times New Roman"/>
              </w:rPr>
              <w:t>5</w:t>
            </w:r>
          </w:p>
        </w:tc>
        <w:tc>
          <w:tcPr>
            <w:tcW w:w="1848" w:type="dxa"/>
          </w:tcPr>
          <w:p>
            <w:pPr>
              <w:spacing w:line="440" w:lineRule="exact"/>
              <w:jc w:val="center"/>
              <w:rPr>
                <w:rFonts w:ascii="Times New Roman" w:hAnsi="Times New Roman"/>
              </w:rPr>
            </w:pPr>
            <w:r>
              <w:rPr>
                <w:rFonts w:ascii="Times New Roman" w:hAnsi="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150</w:t>
            </w:r>
          </w:p>
        </w:tc>
        <w:tc>
          <w:tcPr>
            <w:tcW w:w="1848" w:type="dxa"/>
          </w:tcPr>
          <w:p>
            <w:pPr>
              <w:spacing w:line="440" w:lineRule="exact"/>
              <w:jc w:val="center"/>
              <w:rPr>
                <w:rFonts w:ascii="Times New Roman" w:hAnsi="Times New Roman"/>
              </w:rPr>
            </w:pPr>
            <w:r>
              <w:rPr>
                <w:rFonts w:ascii="Times New Roman" w:hAnsi="Times New Roman"/>
              </w:rPr>
              <w:t>5</w:t>
            </w:r>
          </w:p>
        </w:tc>
        <w:tc>
          <w:tcPr>
            <w:tcW w:w="1848" w:type="dxa"/>
          </w:tcPr>
          <w:p>
            <w:pPr>
              <w:spacing w:line="440" w:lineRule="exact"/>
              <w:jc w:val="center"/>
              <w:rPr>
                <w:rFonts w:ascii="Times New Roman" w:hAnsi="Times New Roman"/>
              </w:rPr>
            </w:pPr>
            <w:r>
              <w:rPr>
                <w:rFonts w:ascii="Times New Roman" w:hAnsi="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180</w:t>
            </w:r>
          </w:p>
        </w:tc>
        <w:tc>
          <w:tcPr>
            <w:tcW w:w="1848" w:type="dxa"/>
          </w:tcPr>
          <w:p>
            <w:pPr>
              <w:spacing w:line="440" w:lineRule="exact"/>
              <w:jc w:val="center"/>
              <w:rPr>
                <w:rFonts w:ascii="Times New Roman" w:hAnsi="Times New Roman"/>
              </w:rPr>
            </w:pPr>
            <w:r>
              <w:rPr>
                <w:rFonts w:ascii="Times New Roman" w:hAnsi="Times New Roman"/>
              </w:rPr>
              <w:t>15</w:t>
            </w:r>
          </w:p>
        </w:tc>
        <w:tc>
          <w:tcPr>
            <w:tcW w:w="1848" w:type="dxa"/>
          </w:tcPr>
          <w:p>
            <w:pPr>
              <w:spacing w:line="440" w:lineRule="exact"/>
              <w:jc w:val="center"/>
              <w:rPr>
                <w:rFonts w:ascii="Times New Roman" w:hAnsi="Times New Roman"/>
              </w:rPr>
            </w:pPr>
            <w:r>
              <w:rPr>
                <w:rFonts w:ascii="Times New Roman" w:hAnsi="Times New Roma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tcPr>
          <w:p>
            <w:pPr>
              <w:spacing w:line="440" w:lineRule="exact"/>
              <w:jc w:val="center"/>
              <w:rPr>
                <w:rFonts w:ascii="Times New Roman" w:hAnsi="Times New Roman"/>
              </w:rPr>
            </w:pPr>
            <w:r>
              <w:rPr>
                <w:rFonts w:ascii="Times New Roman" w:hAnsi="Times New Roman"/>
              </w:rPr>
              <w:t>210</w:t>
            </w:r>
          </w:p>
        </w:tc>
        <w:tc>
          <w:tcPr>
            <w:tcW w:w="1848" w:type="dxa"/>
          </w:tcPr>
          <w:p>
            <w:pPr>
              <w:spacing w:line="440" w:lineRule="exact"/>
              <w:jc w:val="center"/>
              <w:rPr>
                <w:rFonts w:ascii="Times New Roman" w:hAnsi="Times New Roman"/>
              </w:rPr>
            </w:pPr>
            <w:r>
              <w:rPr>
                <w:rFonts w:ascii="Times New Roman" w:hAnsi="Times New Roman"/>
              </w:rPr>
              <w:t>40</w:t>
            </w:r>
          </w:p>
        </w:tc>
        <w:tc>
          <w:tcPr>
            <w:tcW w:w="1848" w:type="dxa"/>
          </w:tcPr>
          <w:p>
            <w:pPr>
              <w:spacing w:line="440" w:lineRule="exact"/>
              <w:jc w:val="center"/>
              <w:rPr>
                <w:rFonts w:ascii="Times New Roman" w:hAnsi="Times New Roman"/>
              </w:rPr>
            </w:pPr>
            <w:r>
              <w:rPr>
                <w:rFonts w:ascii="Times New Roman" w:hAnsi="Times New Roman"/>
              </w:rPr>
              <w:t>210</w:t>
            </w:r>
          </w:p>
        </w:tc>
      </w:tr>
    </w:tbl>
    <w:p>
      <w:pPr>
        <w:spacing w:line="300" w:lineRule="auto"/>
        <w:rPr>
          <w:rFonts w:eastAsia="黑体"/>
          <w:szCs w:val="21"/>
        </w:rPr>
      </w:pPr>
      <w:r>
        <w:rPr>
          <w:rFonts w:eastAsia="黑体"/>
          <w:szCs w:val="21"/>
        </w:rPr>
        <w:t>5.2比表面积</w:t>
      </w:r>
    </w:p>
    <w:p>
      <w:pPr>
        <w:spacing w:line="300" w:lineRule="auto"/>
        <w:ind w:firstLine="420" w:firstLineChars="200"/>
        <w:rPr>
          <w:szCs w:val="21"/>
        </w:rPr>
      </w:pPr>
      <w:r>
        <w:rPr>
          <w:szCs w:val="21"/>
        </w:rPr>
        <w:t>称取适量试样，精确至0.001g，按照GB/T 19587-2017规定的方法测定。</w:t>
      </w:r>
    </w:p>
    <w:p>
      <w:pPr>
        <w:spacing w:line="300" w:lineRule="auto"/>
        <w:rPr>
          <w:rFonts w:eastAsia="黑体"/>
          <w:szCs w:val="21"/>
        </w:rPr>
      </w:pPr>
      <w:r>
        <w:rPr>
          <w:rFonts w:eastAsia="黑体"/>
          <w:szCs w:val="21"/>
        </w:rPr>
        <w:t>5.3甲醛去除率</w:t>
      </w:r>
    </w:p>
    <w:p>
      <w:pPr>
        <w:spacing w:line="300" w:lineRule="auto"/>
        <w:ind w:firstLine="420"/>
        <w:rPr>
          <w:szCs w:val="21"/>
        </w:rPr>
      </w:pPr>
      <w:r>
        <w:rPr>
          <w:szCs w:val="21"/>
        </w:rPr>
        <w:t>甲醛去除率测定按照附录A进行。</w:t>
      </w:r>
    </w:p>
    <w:p>
      <w:pPr>
        <w:spacing w:line="300" w:lineRule="auto"/>
        <w:rPr>
          <w:rFonts w:eastAsia="黑体"/>
          <w:szCs w:val="21"/>
        </w:rPr>
      </w:pPr>
      <w:r>
        <w:rPr>
          <w:rFonts w:eastAsia="黑体"/>
          <w:szCs w:val="21"/>
        </w:rPr>
        <w:t>5.4粒度</w:t>
      </w:r>
    </w:p>
    <w:p>
      <w:pPr>
        <w:spacing w:line="300" w:lineRule="auto"/>
        <w:rPr>
          <w:szCs w:val="21"/>
        </w:rPr>
      </w:pPr>
      <w:r>
        <w:rPr>
          <w:szCs w:val="21"/>
        </w:rPr>
        <w:t xml:space="preserve">    产品的粒度按照GB/T 19077-2016规定进行。</w:t>
      </w:r>
    </w:p>
    <w:p>
      <w:pPr>
        <w:spacing w:line="300" w:lineRule="auto"/>
        <w:outlineLvl w:val="0"/>
        <w:rPr>
          <w:rFonts w:eastAsia="黑体"/>
          <w:bCs/>
          <w:szCs w:val="21"/>
        </w:rPr>
      </w:pPr>
      <w:r>
        <w:rPr>
          <w:rFonts w:eastAsia="黑体"/>
          <w:bCs/>
          <w:szCs w:val="21"/>
        </w:rPr>
        <w:t>6  检验规则</w:t>
      </w:r>
    </w:p>
    <w:p>
      <w:pPr>
        <w:spacing w:line="300" w:lineRule="auto"/>
        <w:outlineLvl w:val="0"/>
        <w:rPr>
          <w:rFonts w:eastAsia="黑体"/>
          <w:szCs w:val="21"/>
        </w:rPr>
      </w:pPr>
      <w:r>
        <w:rPr>
          <w:rFonts w:eastAsia="黑体"/>
          <w:szCs w:val="21"/>
        </w:rPr>
        <w:t>6.1  检查与验收</w:t>
      </w:r>
    </w:p>
    <w:p>
      <w:pPr>
        <w:spacing w:line="300" w:lineRule="auto"/>
        <w:outlineLvl w:val="0"/>
        <w:rPr>
          <w:szCs w:val="21"/>
        </w:rPr>
      </w:pPr>
      <w:r>
        <w:rPr>
          <w:szCs w:val="21"/>
        </w:rPr>
        <w:t>6.1.1  产品由供方或第三方进行检验，保证产品质量符合本文件及订货单的规定。</w:t>
      </w:r>
    </w:p>
    <w:p>
      <w:pPr>
        <w:spacing w:line="300" w:lineRule="auto"/>
        <w:outlineLvl w:val="0"/>
        <w:rPr>
          <w:szCs w:val="21"/>
        </w:rPr>
      </w:pPr>
      <w:r>
        <w:rPr>
          <w:szCs w:val="21"/>
        </w:rPr>
        <w:t>6.1.2  需方可对收到的产品按本文件的规定进行检验。如检验结果与本文件及订货单的规定不符时，应以书面形式向供方提出，由供需双方协商解决。如需仲裁，应由供需双方在需方取样或协商确定。</w:t>
      </w:r>
    </w:p>
    <w:p>
      <w:pPr>
        <w:spacing w:line="300" w:lineRule="auto"/>
        <w:outlineLvl w:val="0"/>
        <w:rPr>
          <w:rFonts w:eastAsia="黑体"/>
          <w:szCs w:val="21"/>
        </w:rPr>
      </w:pPr>
      <w:r>
        <w:rPr>
          <w:rFonts w:eastAsia="黑体"/>
          <w:szCs w:val="21"/>
        </w:rPr>
        <w:t>6.2  组批</w:t>
      </w:r>
    </w:p>
    <w:p>
      <w:pPr>
        <w:spacing w:line="300" w:lineRule="auto"/>
        <w:ind w:firstLine="420" w:firstLineChars="200"/>
        <w:rPr>
          <w:szCs w:val="21"/>
        </w:rPr>
      </w:pPr>
      <w:r>
        <w:rPr>
          <w:szCs w:val="21"/>
        </w:rPr>
        <w:t>产品应成批提交验收，每批应由一次投料生产的产品组成。</w:t>
      </w:r>
    </w:p>
    <w:p>
      <w:pPr>
        <w:spacing w:line="300" w:lineRule="auto"/>
        <w:outlineLvl w:val="0"/>
        <w:rPr>
          <w:rFonts w:eastAsia="黑体"/>
          <w:szCs w:val="21"/>
        </w:rPr>
      </w:pPr>
      <w:r>
        <w:rPr>
          <w:rFonts w:eastAsia="黑体"/>
          <w:szCs w:val="21"/>
        </w:rPr>
        <w:t>6.3  检验项目</w:t>
      </w:r>
    </w:p>
    <w:p>
      <w:pPr>
        <w:spacing w:line="300" w:lineRule="auto"/>
        <w:ind w:firstLine="420" w:firstLineChars="200"/>
        <w:rPr>
          <w:szCs w:val="21"/>
        </w:rPr>
      </w:pPr>
      <w:r>
        <w:rPr>
          <w:szCs w:val="21"/>
        </w:rPr>
        <w:t>每批产品出厂前应进行化学成分、比表面积、甲醛去除率、粒度的检验。需方对甲醛去除率有要求，并在订货单中注明时，还应对产品的甲醛去除率进行检验。</w:t>
      </w:r>
    </w:p>
    <w:p>
      <w:pPr>
        <w:spacing w:line="300" w:lineRule="auto"/>
        <w:outlineLvl w:val="0"/>
        <w:rPr>
          <w:rFonts w:eastAsia="黑体"/>
          <w:szCs w:val="21"/>
        </w:rPr>
      </w:pPr>
      <w:r>
        <w:rPr>
          <w:rFonts w:eastAsia="黑体"/>
          <w:szCs w:val="21"/>
        </w:rPr>
        <w:t>6.4  取样和制样</w:t>
      </w:r>
    </w:p>
    <w:p>
      <w:pPr>
        <w:spacing w:line="300" w:lineRule="auto"/>
        <w:ind w:firstLine="420" w:firstLineChars="200"/>
        <w:jc w:val="left"/>
        <w:outlineLvl w:val="0"/>
        <w:rPr>
          <w:szCs w:val="21"/>
        </w:rPr>
      </w:pPr>
      <w:r>
        <w:rPr>
          <w:szCs w:val="21"/>
        </w:rPr>
        <w:t>产品的取样和制样应符合表3的规定。</w:t>
      </w:r>
    </w:p>
    <w:p>
      <w:pPr>
        <w:jc w:val="center"/>
        <w:rPr>
          <w:rFonts w:eastAsia="黑体"/>
          <w:szCs w:val="21"/>
        </w:rPr>
      </w:pPr>
      <w:r>
        <w:rPr>
          <w:rFonts w:eastAsia="黑体"/>
          <w:szCs w:val="21"/>
        </w:rPr>
        <w:t>表3铂/二氧化钛的取样和制样</w:t>
      </w:r>
    </w:p>
    <w:tbl>
      <w:tblPr>
        <w:tblStyle w:val="8"/>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4636"/>
        <w:gridCol w:w="139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adjustRightInd w:val="0"/>
              <w:spacing w:line="276" w:lineRule="auto"/>
              <w:contextualSpacing/>
              <w:jc w:val="center"/>
              <w:outlineLvl w:val="0"/>
              <w:rPr>
                <w:rFonts w:ascii="Times New Roman" w:hAnsi="Times New Roman"/>
                <w:szCs w:val="21"/>
              </w:rPr>
            </w:pPr>
            <w:r>
              <w:rPr>
                <w:rFonts w:ascii="Times New Roman" w:hAnsi="Calibri"/>
                <w:szCs w:val="21"/>
              </w:rPr>
              <w:t>检验项目</w:t>
            </w:r>
          </w:p>
        </w:tc>
        <w:tc>
          <w:tcPr>
            <w:tcW w:w="2610" w:type="pct"/>
            <w:vAlign w:val="center"/>
          </w:tcPr>
          <w:p>
            <w:pPr>
              <w:jc w:val="center"/>
              <w:rPr>
                <w:rFonts w:ascii="Times New Roman" w:hAnsi="Times New Roman"/>
                <w:szCs w:val="21"/>
              </w:rPr>
            </w:pPr>
            <w:r>
              <w:rPr>
                <w:rFonts w:ascii="Times New Roman" w:hAnsi="Calibri"/>
                <w:szCs w:val="21"/>
              </w:rPr>
              <w:t>取样与制样方法</w:t>
            </w:r>
          </w:p>
        </w:tc>
        <w:tc>
          <w:tcPr>
            <w:tcW w:w="784" w:type="pct"/>
            <w:vAlign w:val="center"/>
          </w:tcPr>
          <w:p>
            <w:pPr>
              <w:jc w:val="center"/>
              <w:rPr>
                <w:rFonts w:ascii="Times New Roman" w:hAnsi="Times New Roman"/>
                <w:szCs w:val="21"/>
              </w:rPr>
            </w:pPr>
            <w:r>
              <w:rPr>
                <w:rFonts w:ascii="Times New Roman" w:hAnsi="Calibri"/>
                <w:szCs w:val="21"/>
              </w:rPr>
              <w:t>技术要求的章条号</w:t>
            </w:r>
          </w:p>
        </w:tc>
        <w:tc>
          <w:tcPr>
            <w:tcW w:w="825" w:type="pct"/>
            <w:vAlign w:val="center"/>
          </w:tcPr>
          <w:p>
            <w:pPr>
              <w:jc w:val="center"/>
              <w:rPr>
                <w:rFonts w:ascii="Times New Roman" w:hAnsi="Times New Roman"/>
                <w:szCs w:val="21"/>
              </w:rPr>
            </w:pPr>
            <w:r>
              <w:rPr>
                <w:rFonts w:ascii="Times New Roman" w:hAnsi="Calibri"/>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adjustRightInd w:val="0"/>
              <w:spacing w:line="276" w:lineRule="auto"/>
              <w:contextualSpacing/>
              <w:jc w:val="center"/>
              <w:outlineLvl w:val="0"/>
              <w:rPr>
                <w:rFonts w:ascii="Times New Roman" w:hAnsi="Times New Roman"/>
                <w:szCs w:val="21"/>
              </w:rPr>
            </w:pPr>
            <w:r>
              <w:rPr>
                <w:rFonts w:ascii="Times New Roman" w:hAnsi="Calibri"/>
                <w:szCs w:val="21"/>
              </w:rPr>
              <w:t>化学成分</w:t>
            </w:r>
          </w:p>
        </w:tc>
        <w:tc>
          <w:tcPr>
            <w:tcW w:w="2610" w:type="pct"/>
            <w:vMerge w:val="restart"/>
            <w:vAlign w:val="center"/>
          </w:tcPr>
          <w:p>
            <w:pPr>
              <w:jc w:val="center"/>
              <w:rPr>
                <w:rFonts w:ascii="Times New Roman" w:hAnsi="Times New Roman"/>
                <w:szCs w:val="21"/>
              </w:rPr>
            </w:pPr>
            <w:r>
              <w:rPr>
                <w:rFonts w:hint="eastAsia" w:ascii="Times New Roman" w:hAnsi="Times New Roman"/>
                <w:szCs w:val="21"/>
              </w:rPr>
              <w:t>分别从同一批次产品的四个不同位置勺取产品总量的1%~5%，但最少不少于50.0g样品，混合均匀后采用四分法缩分至检验所需样品数量。</w:t>
            </w:r>
          </w:p>
        </w:tc>
        <w:tc>
          <w:tcPr>
            <w:tcW w:w="784" w:type="pct"/>
            <w:vAlign w:val="center"/>
          </w:tcPr>
          <w:p>
            <w:pPr>
              <w:jc w:val="center"/>
              <w:rPr>
                <w:rFonts w:ascii="Times New Roman" w:hAnsi="Times New Roman"/>
                <w:szCs w:val="21"/>
              </w:rPr>
            </w:pPr>
            <w:r>
              <w:rPr>
                <w:rFonts w:ascii="Times New Roman" w:hAnsi="Times New Roman"/>
                <w:szCs w:val="21"/>
              </w:rPr>
              <w:t>4.1</w:t>
            </w:r>
          </w:p>
        </w:tc>
        <w:tc>
          <w:tcPr>
            <w:tcW w:w="825" w:type="pct"/>
            <w:vAlign w:val="center"/>
          </w:tcPr>
          <w:p>
            <w:pPr>
              <w:jc w:val="center"/>
              <w:rPr>
                <w:rFonts w:ascii="Times New Roman" w:hAnsi="Times New Roman"/>
                <w:szCs w:val="21"/>
              </w:rPr>
            </w:pPr>
            <w:r>
              <w:rPr>
                <w:rFonts w:ascii="Times New Roman" w:hAnsi="Times New Roman"/>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adjustRightInd w:val="0"/>
              <w:spacing w:line="276" w:lineRule="auto"/>
              <w:contextualSpacing/>
              <w:jc w:val="center"/>
              <w:outlineLvl w:val="0"/>
              <w:rPr>
                <w:rFonts w:ascii="Times New Roman" w:hAnsi="Times New Roman"/>
                <w:szCs w:val="21"/>
              </w:rPr>
            </w:pPr>
            <w:r>
              <w:rPr>
                <w:rFonts w:ascii="Times New Roman" w:hAnsi="Calibri"/>
                <w:szCs w:val="21"/>
              </w:rPr>
              <w:t>比表面积</w:t>
            </w:r>
          </w:p>
        </w:tc>
        <w:tc>
          <w:tcPr>
            <w:tcW w:w="2610" w:type="pct"/>
            <w:vMerge w:val="continue"/>
            <w:vAlign w:val="center"/>
          </w:tcPr>
          <w:p>
            <w:pPr>
              <w:jc w:val="center"/>
              <w:rPr>
                <w:rFonts w:ascii="Times New Roman" w:hAnsi="Times New Roman"/>
                <w:szCs w:val="21"/>
              </w:rPr>
            </w:pPr>
          </w:p>
        </w:tc>
        <w:tc>
          <w:tcPr>
            <w:tcW w:w="784" w:type="pct"/>
            <w:vAlign w:val="center"/>
          </w:tcPr>
          <w:p>
            <w:pPr>
              <w:jc w:val="center"/>
              <w:rPr>
                <w:rFonts w:ascii="Times New Roman" w:hAnsi="Times New Roman"/>
                <w:szCs w:val="21"/>
              </w:rPr>
            </w:pPr>
            <w:r>
              <w:rPr>
                <w:rFonts w:ascii="Times New Roman" w:hAnsi="Times New Roman"/>
                <w:szCs w:val="21"/>
              </w:rPr>
              <w:t>4.2</w:t>
            </w:r>
          </w:p>
        </w:tc>
        <w:tc>
          <w:tcPr>
            <w:tcW w:w="825" w:type="pct"/>
            <w:vAlign w:val="center"/>
          </w:tcPr>
          <w:p>
            <w:pPr>
              <w:jc w:val="center"/>
              <w:rPr>
                <w:rFonts w:ascii="Times New Roman" w:hAnsi="Times New Roman"/>
                <w:szCs w:val="21"/>
              </w:rPr>
            </w:pPr>
            <w:r>
              <w:rPr>
                <w:rFonts w:ascii="Times New Roman" w:hAnsi="Times New Roman"/>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adjustRightInd w:val="0"/>
              <w:spacing w:line="276" w:lineRule="auto"/>
              <w:contextualSpacing/>
              <w:jc w:val="center"/>
              <w:outlineLvl w:val="0"/>
              <w:rPr>
                <w:rFonts w:ascii="Times New Roman" w:hAnsi="Times New Roman"/>
                <w:szCs w:val="21"/>
              </w:rPr>
            </w:pPr>
            <w:r>
              <w:rPr>
                <w:rFonts w:ascii="Times New Roman" w:hAnsi="Calibri"/>
                <w:szCs w:val="21"/>
              </w:rPr>
              <w:t>甲醛去除率</w:t>
            </w:r>
          </w:p>
        </w:tc>
        <w:tc>
          <w:tcPr>
            <w:tcW w:w="2610" w:type="pct"/>
            <w:vMerge w:val="continue"/>
            <w:vAlign w:val="center"/>
          </w:tcPr>
          <w:p>
            <w:pPr>
              <w:jc w:val="center"/>
              <w:rPr>
                <w:rFonts w:ascii="Times New Roman" w:hAnsi="Times New Roman"/>
                <w:szCs w:val="21"/>
              </w:rPr>
            </w:pPr>
          </w:p>
        </w:tc>
        <w:tc>
          <w:tcPr>
            <w:tcW w:w="784" w:type="pct"/>
            <w:vAlign w:val="center"/>
          </w:tcPr>
          <w:p>
            <w:pPr>
              <w:jc w:val="center"/>
              <w:rPr>
                <w:rFonts w:ascii="Times New Roman" w:hAnsi="Times New Roman"/>
                <w:szCs w:val="21"/>
              </w:rPr>
            </w:pPr>
            <w:r>
              <w:rPr>
                <w:rFonts w:ascii="Times New Roman" w:hAnsi="Times New Roman"/>
                <w:szCs w:val="21"/>
              </w:rPr>
              <w:t>4.3</w:t>
            </w:r>
          </w:p>
        </w:tc>
        <w:tc>
          <w:tcPr>
            <w:tcW w:w="825" w:type="pct"/>
            <w:vAlign w:val="center"/>
          </w:tcPr>
          <w:p>
            <w:pPr>
              <w:jc w:val="center"/>
              <w:rPr>
                <w:rFonts w:ascii="Times New Roman" w:hAnsi="Times New Roman"/>
                <w:szCs w:val="21"/>
              </w:rPr>
            </w:pPr>
            <w:r>
              <w:rPr>
                <w:rFonts w:ascii="Times New Roman" w:hAnsi="Times New Roman"/>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adjustRightInd w:val="0"/>
              <w:spacing w:line="276" w:lineRule="auto"/>
              <w:contextualSpacing/>
              <w:jc w:val="center"/>
              <w:outlineLvl w:val="0"/>
              <w:rPr>
                <w:rFonts w:ascii="Times New Roman" w:hAnsi="Times New Roman"/>
                <w:szCs w:val="21"/>
              </w:rPr>
            </w:pPr>
            <w:r>
              <w:rPr>
                <w:rFonts w:ascii="Times New Roman" w:hAnsi="Calibri"/>
                <w:szCs w:val="21"/>
              </w:rPr>
              <w:t>粒度</w:t>
            </w:r>
          </w:p>
        </w:tc>
        <w:tc>
          <w:tcPr>
            <w:tcW w:w="2610" w:type="pct"/>
            <w:vMerge w:val="continue"/>
            <w:vAlign w:val="center"/>
          </w:tcPr>
          <w:p>
            <w:pPr>
              <w:jc w:val="center"/>
              <w:rPr>
                <w:rFonts w:ascii="Times New Roman" w:hAnsi="Times New Roman"/>
                <w:szCs w:val="21"/>
              </w:rPr>
            </w:pPr>
          </w:p>
        </w:tc>
        <w:tc>
          <w:tcPr>
            <w:tcW w:w="784" w:type="pct"/>
            <w:vAlign w:val="center"/>
          </w:tcPr>
          <w:p>
            <w:pPr>
              <w:jc w:val="center"/>
              <w:rPr>
                <w:rFonts w:ascii="Times New Roman" w:hAnsi="Times New Roman"/>
                <w:szCs w:val="21"/>
              </w:rPr>
            </w:pPr>
            <w:r>
              <w:rPr>
                <w:rFonts w:ascii="Times New Roman" w:hAnsi="Times New Roman"/>
                <w:szCs w:val="21"/>
              </w:rPr>
              <w:t>4.4</w:t>
            </w:r>
          </w:p>
        </w:tc>
        <w:tc>
          <w:tcPr>
            <w:tcW w:w="825" w:type="pct"/>
            <w:vAlign w:val="center"/>
          </w:tcPr>
          <w:p>
            <w:pPr>
              <w:jc w:val="center"/>
              <w:rPr>
                <w:rFonts w:ascii="Times New Roman" w:hAnsi="Times New Roman"/>
                <w:szCs w:val="21"/>
              </w:rPr>
            </w:pPr>
            <w:r>
              <w:rPr>
                <w:rFonts w:ascii="Times New Roman" w:hAnsi="Times New Roman"/>
                <w:szCs w:val="21"/>
              </w:rPr>
              <w:t>5.4</w:t>
            </w:r>
          </w:p>
        </w:tc>
      </w:tr>
    </w:tbl>
    <w:p>
      <w:pPr>
        <w:spacing w:line="300" w:lineRule="auto"/>
        <w:rPr>
          <w:rFonts w:eastAsia="黑体"/>
          <w:szCs w:val="21"/>
        </w:rPr>
      </w:pPr>
      <w:r>
        <w:rPr>
          <w:rFonts w:eastAsia="黑体"/>
          <w:szCs w:val="21"/>
        </w:rPr>
        <w:t>6.5  检验结果的判定</w:t>
      </w:r>
    </w:p>
    <w:p>
      <w:pPr>
        <w:spacing w:line="300" w:lineRule="auto"/>
        <w:rPr>
          <w:szCs w:val="21"/>
        </w:rPr>
      </w:pPr>
      <w:r>
        <w:rPr>
          <w:szCs w:val="21"/>
        </w:rPr>
        <w:t>6.5.1 检验结果的数值按GB/T 8170的规定进行修约，并采用修约值比较法判定。</w:t>
      </w:r>
    </w:p>
    <w:p>
      <w:pPr>
        <w:spacing w:line="300" w:lineRule="auto"/>
        <w:rPr>
          <w:szCs w:val="21"/>
        </w:rPr>
      </w:pPr>
      <w:r>
        <w:rPr>
          <w:szCs w:val="21"/>
        </w:rPr>
        <w:t>6.5.2 化学成分</w:t>
      </w:r>
      <w:r>
        <w:rPr>
          <w:bCs/>
          <w:iCs/>
          <w:szCs w:val="21"/>
        </w:rPr>
        <w:t>、</w:t>
      </w:r>
      <w:r>
        <w:rPr>
          <w:szCs w:val="21"/>
        </w:rPr>
        <w:t>甲醛去除率中有任意一项检验结果不合格，则判该批产品不合格。比表面积和粒度不作为判定项。</w:t>
      </w:r>
    </w:p>
    <w:p>
      <w:pPr>
        <w:spacing w:line="300" w:lineRule="auto"/>
        <w:outlineLvl w:val="0"/>
        <w:rPr>
          <w:rFonts w:eastAsia="黑体"/>
          <w:bCs/>
          <w:szCs w:val="21"/>
        </w:rPr>
      </w:pPr>
      <w:r>
        <w:rPr>
          <w:rFonts w:eastAsia="黑体"/>
          <w:bCs/>
          <w:szCs w:val="21"/>
        </w:rPr>
        <w:t>7  标志、包装、运输、贮存及随行文件</w:t>
      </w:r>
    </w:p>
    <w:p>
      <w:pPr>
        <w:spacing w:line="300" w:lineRule="auto"/>
        <w:jc w:val="left"/>
        <w:outlineLvl w:val="0"/>
        <w:rPr>
          <w:rFonts w:eastAsia="黑体"/>
          <w:szCs w:val="21"/>
        </w:rPr>
      </w:pPr>
      <w:r>
        <w:rPr>
          <w:rFonts w:eastAsia="黑体"/>
          <w:szCs w:val="21"/>
        </w:rPr>
        <w:t>7.1标志</w:t>
      </w:r>
    </w:p>
    <w:p>
      <w:pPr>
        <w:spacing w:line="300" w:lineRule="auto"/>
        <w:jc w:val="left"/>
        <w:outlineLvl w:val="0"/>
        <w:rPr>
          <w:rFonts w:eastAsia="黑体"/>
          <w:szCs w:val="21"/>
        </w:rPr>
      </w:pPr>
      <w:r>
        <w:rPr>
          <w:rFonts w:eastAsia="黑体"/>
          <w:szCs w:val="21"/>
        </w:rPr>
        <w:t>7.1.1 产品标志</w:t>
      </w:r>
    </w:p>
    <w:p>
      <w:pPr>
        <w:spacing w:line="300" w:lineRule="auto"/>
        <w:ind w:firstLine="420" w:firstLineChars="200"/>
        <w:outlineLvl w:val="0"/>
        <w:rPr>
          <w:szCs w:val="21"/>
        </w:rPr>
      </w:pPr>
      <w:r>
        <w:rPr>
          <w:szCs w:val="21"/>
        </w:rPr>
        <w:t>在检验合格的产品上应有如下标志：</w:t>
      </w:r>
    </w:p>
    <w:p>
      <w:pPr>
        <w:numPr>
          <w:ilvl w:val="0"/>
          <w:numId w:val="1"/>
        </w:numPr>
        <w:spacing w:line="300" w:lineRule="auto"/>
        <w:rPr>
          <w:szCs w:val="21"/>
        </w:rPr>
      </w:pPr>
      <w:r>
        <w:rPr>
          <w:szCs w:val="21"/>
        </w:rPr>
        <w:t>供方名称；</w:t>
      </w:r>
    </w:p>
    <w:p>
      <w:pPr>
        <w:numPr>
          <w:ilvl w:val="0"/>
          <w:numId w:val="1"/>
        </w:numPr>
        <w:spacing w:line="300" w:lineRule="auto"/>
        <w:rPr>
          <w:szCs w:val="21"/>
        </w:rPr>
      </w:pPr>
      <w:r>
        <w:rPr>
          <w:szCs w:val="21"/>
        </w:rPr>
        <w:t>产品名称；</w:t>
      </w:r>
    </w:p>
    <w:p>
      <w:pPr>
        <w:numPr>
          <w:ilvl w:val="0"/>
          <w:numId w:val="1"/>
        </w:numPr>
        <w:spacing w:line="300" w:lineRule="auto"/>
        <w:rPr>
          <w:szCs w:val="21"/>
        </w:rPr>
      </w:pPr>
      <w:r>
        <w:rPr>
          <w:szCs w:val="21"/>
        </w:rPr>
        <w:t xml:space="preserve">牌号/规格、批号； </w:t>
      </w:r>
    </w:p>
    <w:p>
      <w:pPr>
        <w:numPr>
          <w:ilvl w:val="0"/>
          <w:numId w:val="1"/>
        </w:numPr>
        <w:spacing w:line="300" w:lineRule="auto"/>
        <w:rPr>
          <w:szCs w:val="21"/>
        </w:rPr>
      </w:pPr>
      <w:r>
        <w:rPr>
          <w:szCs w:val="21"/>
        </w:rPr>
        <w:t>状态。</w:t>
      </w:r>
    </w:p>
    <w:p>
      <w:pPr>
        <w:spacing w:line="300" w:lineRule="auto"/>
        <w:jc w:val="left"/>
        <w:outlineLvl w:val="0"/>
        <w:rPr>
          <w:rFonts w:eastAsia="黑体"/>
          <w:szCs w:val="21"/>
        </w:rPr>
      </w:pPr>
      <w:r>
        <w:rPr>
          <w:rFonts w:eastAsia="黑体"/>
          <w:szCs w:val="21"/>
        </w:rPr>
        <w:t xml:space="preserve">7.1.2 包装标志        </w:t>
      </w:r>
    </w:p>
    <w:p>
      <w:pPr>
        <w:spacing w:line="300" w:lineRule="auto"/>
        <w:ind w:firstLine="420" w:firstLineChars="200"/>
        <w:jc w:val="left"/>
        <w:outlineLvl w:val="0"/>
        <w:rPr>
          <w:szCs w:val="21"/>
        </w:rPr>
      </w:pPr>
      <w:r>
        <w:rPr>
          <w:rFonts w:hAnsi="宋体"/>
          <w:szCs w:val="21"/>
        </w:rPr>
        <w:t>每件产品应注明：</w:t>
      </w:r>
    </w:p>
    <w:p>
      <w:pPr>
        <w:numPr>
          <w:ilvl w:val="0"/>
          <w:numId w:val="2"/>
        </w:numPr>
        <w:spacing w:line="300" w:lineRule="auto"/>
        <w:ind w:firstLine="420" w:firstLineChars="200"/>
        <w:jc w:val="left"/>
        <w:outlineLvl w:val="0"/>
        <w:rPr>
          <w:szCs w:val="21"/>
        </w:rPr>
      </w:pPr>
      <w:r>
        <w:rPr>
          <w:rFonts w:hAnsi="宋体"/>
          <w:szCs w:val="21"/>
        </w:rPr>
        <w:t>生产厂名称、商标；</w:t>
      </w:r>
    </w:p>
    <w:p>
      <w:pPr>
        <w:numPr>
          <w:ilvl w:val="0"/>
          <w:numId w:val="2"/>
        </w:numPr>
        <w:spacing w:line="300" w:lineRule="auto"/>
        <w:ind w:firstLine="420" w:firstLineChars="200"/>
        <w:jc w:val="left"/>
        <w:outlineLvl w:val="0"/>
        <w:rPr>
          <w:szCs w:val="21"/>
        </w:rPr>
      </w:pPr>
      <w:r>
        <w:rPr>
          <w:rFonts w:hAnsi="宋体"/>
          <w:szCs w:val="21"/>
        </w:rPr>
        <w:t>产品名称和牌号；</w:t>
      </w:r>
    </w:p>
    <w:p>
      <w:pPr>
        <w:numPr>
          <w:ilvl w:val="0"/>
          <w:numId w:val="2"/>
        </w:numPr>
        <w:spacing w:line="300" w:lineRule="auto"/>
        <w:ind w:firstLine="420" w:firstLineChars="200"/>
        <w:jc w:val="left"/>
        <w:outlineLvl w:val="0"/>
        <w:rPr>
          <w:szCs w:val="21"/>
        </w:rPr>
      </w:pPr>
      <w:r>
        <w:rPr>
          <w:rFonts w:hAnsi="宋体"/>
          <w:szCs w:val="21"/>
        </w:rPr>
        <w:t>包装上应有明显的</w:t>
      </w:r>
      <w:r>
        <w:rPr>
          <w:szCs w:val="21"/>
        </w:rPr>
        <w:t>“</w:t>
      </w:r>
      <w:r>
        <w:rPr>
          <w:rFonts w:hAnsi="宋体"/>
          <w:szCs w:val="21"/>
        </w:rPr>
        <w:t>防火、防潮、阴凉通风</w:t>
      </w:r>
      <w:r>
        <w:rPr>
          <w:szCs w:val="21"/>
        </w:rPr>
        <w:t>”</w:t>
      </w:r>
      <w:r>
        <w:rPr>
          <w:rFonts w:hAnsi="宋体"/>
          <w:szCs w:val="21"/>
        </w:rPr>
        <w:t>标志或字样；</w:t>
      </w:r>
    </w:p>
    <w:p>
      <w:pPr>
        <w:numPr>
          <w:ilvl w:val="0"/>
          <w:numId w:val="2"/>
        </w:numPr>
        <w:spacing w:line="300" w:lineRule="auto"/>
        <w:ind w:firstLine="420" w:firstLineChars="200"/>
        <w:jc w:val="left"/>
        <w:outlineLvl w:val="0"/>
        <w:rPr>
          <w:szCs w:val="21"/>
        </w:rPr>
      </w:pPr>
      <w:r>
        <w:rPr>
          <w:rFonts w:hAnsi="宋体"/>
          <w:szCs w:val="21"/>
        </w:rPr>
        <w:t>批号。</w:t>
      </w:r>
    </w:p>
    <w:p>
      <w:pPr>
        <w:spacing w:line="300" w:lineRule="auto"/>
        <w:jc w:val="left"/>
        <w:outlineLvl w:val="0"/>
        <w:rPr>
          <w:rFonts w:eastAsia="黑体"/>
          <w:szCs w:val="21"/>
        </w:rPr>
      </w:pPr>
      <w:r>
        <w:rPr>
          <w:rFonts w:eastAsia="黑体"/>
          <w:szCs w:val="21"/>
        </w:rPr>
        <w:t>7.2 包装、运输、贮存</w:t>
      </w:r>
    </w:p>
    <w:p>
      <w:pPr>
        <w:spacing w:line="300" w:lineRule="auto"/>
        <w:outlineLvl w:val="0"/>
        <w:rPr>
          <w:szCs w:val="21"/>
        </w:rPr>
      </w:pPr>
      <w:r>
        <w:rPr>
          <w:szCs w:val="21"/>
        </w:rPr>
        <w:t>7.2.1  产品应装入聚丙烯或聚乙烯塑料袋/瓶中，严密封口。整齐放入木箱、纸箱或纸板桶中，用废纸、泡沫等进行填充，不得有松动现象。或按照客户要求进行包装。</w:t>
      </w:r>
    </w:p>
    <w:p>
      <w:pPr>
        <w:spacing w:line="300" w:lineRule="auto"/>
        <w:outlineLvl w:val="0"/>
        <w:rPr>
          <w:szCs w:val="21"/>
        </w:rPr>
      </w:pPr>
      <w:r>
        <w:rPr>
          <w:szCs w:val="21"/>
        </w:rPr>
        <w:t>7.2.2  产品可采用航空、铁路、公路或水运等方式运输。</w:t>
      </w:r>
    </w:p>
    <w:p>
      <w:pPr>
        <w:spacing w:line="300" w:lineRule="auto"/>
        <w:outlineLvl w:val="0"/>
        <w:rPr>
          <w:szCs w:val="21"/>
        </w:rPr>
      </w:pPr>
      <w:r>
        <w:rPr>
          <w:szCs w:val="21"/>
        </w:rPr>
        <w:t>7.2.3  产品应在密封的情况下，避光存放于阴凉干燥处，严防受潮。</w:t>
      </w:r>
    </w:p>
    <w:p>
      <w:pPr>
        <w:spacing w:line="300" w:lineRule="auto"/>
        <w:jc w:val="left"/>
        <w:outlineLvl w:val="0"/>
        <w:rPr>
          <w:rFonts w:eastAsia="黑体"/>
          <w:szCs w:val="21"/>
        </w:rPr>
      </w:pPr>
      <w:r>
        <w:rPr>
          <w:rFonts w:eastAsia="黑体"/>
          <w:szCs w:val="21"/>
        </w:rPr>
        <w:t>7.3  随行文件</w:t>
      </w:r>
    </w:p>
    <w:p>
      <w:pPr>
        <w:spacing w:line="300" w:lineRule="auto"/>
        <w:rPr>
          <w:szCs w:val="21"/>
        </w:rPr>
      </w:pPr>
      <w:r>
        <w:rPr>
          <w:szCs w:val="21"/>
        </w:rPr>
        <w:t xml:space="preserve"> 每批产品应附有随行文件，其中除应包括供方信息、产品信息、本文件编号、出厂日期或包装日期外，还宜包括：</w:t>
      </w:r>
    </w:p>
    <w:p>
      <w:pPr>
        <w:numPr>
          <w:ilvl w:val="0"/>
          <w:numId w:val="3"/>
        </w:numPr>
        <w:spacing w:line="300" w:lineRule="auto"/>
        <w:ind w:firstLine="420" w:firstLineChars="200"/>
        <w:rPr>
          <w:szCs w:val="21"/>
        </w:rPr>
      </w:pPr>
      <w:r>
        <w:rPr>
          <w:szCs w:val="21"/>
        </w:rPr>
        <w:t>产品质量保证书：</w:t>
      </w:r>
    </w:p>
    <w:p>
      <w:pPr>
        <w:spacing w:line="300" w:lineRule="auto"/>
        <w:ind w:firstLine="630" w:firstLineChars="300"/>
        <w:rPr>
          <w:szCs w:val="21"/>
        </w:rPr>
      </w:pPr>
      <w:r>
        <w:rPr>
          <w:szCs w:val="21"/>
        </w:rPr>
        <w:t>●  产品的主要性能与技术参数；</w:t>
      </w:r>
    </w:p>
    <w:p>
      <w:pPr>
        <w:spacing w:line="300" w:lineRule="auto"/>
        <w:ind w:firstLine="630" w:firstLineChars="300"/>
        <w:rPr>
          <w:szCs w:val="21"/>
        </w:rPr>
      </w:pPr>
      <w:r>
        <w:rPr>
          <w:szCs w:val="21"/>
        </w:rPr>
        <w:t>●  产品特点；</w:t>
      </w:r>
    </w:p>
    <w:p>
      <w:pPr>
        <w:spacing w:line="300" w:lineRule="auto"/>
        <w:ind w:firstLine="630" w:firstLineChars="300"/>
        <w:rPr>
          <w:szCs w:val="21"/>
        </w:rPr>
      </w:pPr>
      <w:r>
        <w:rPr>
          <w:szCs w:val="21"/>
        </w:rPr>
        <w:t>●  对产品质量所负的责任；</w:t>
      </w:r>
    </w:p>
    <w:p>
      <w:pPr>
        <w:spacing w:line="300" w:lineRule="auto"/>
        <w:ind w:firstLine="630" w:firstLineChars="300"/>
        <w:rPr>
          <w:szCs w:val="21"/>
        </w:rPr>
      </w:pPr>
      <w:r>
        <w:rPr>
          <w:szCs w:val="21"/>
        </w:rPr>
        <w:t>●  产品获得的质量认证及带供方技术监督部门检印的各项分析检验结果。</w:t>
      </w:r>
    </w:p>
    <w:p>
      <w:pPr>
        <w:spacing w:line="300" w:lineRule="auto"/>
        <w:rPr>
          <w:szCs w:val="21"/>
        </w:rPr>
      </w:pPr>
      <w:r>
        <w:rPr>
          <w:szCs w:val="21"/>
        </w:rPr>
        <w:t xml:space="preserve">    b）产品合格证：</w:t>
      </w:r>
    </w:p>
    <w:p>
      <w:pPr>
        <w:spacing w:line="300" w:lineRule="auto"/>
        <w:ind w:firstLine="630" w:firstLineChars="300"/>
        <w:rPr>
          <w:szCs w:val="21"/>
        </w:rPr>
      </w:pPr>
      <w:r>
        <w:rPr>
          <w:szCs w:val="21"/>
        </w:rPr>
        <w:t>●  检验项目及其结果或检验结论；</w:t>
      </w:r>
    </w:p>
    <w:p>
      <w:pPr>
        <w:spacing w:line="300" w:lineRule="auto"/>
        <w:ind w:firstLine="630" w:firstLineChars="300"/>
        <w:rPr>
          <w:szCs w:val="21"/>
        </w:rPr>
      </w:pPr>
      <w:r>
        <w:rPr>
          <w:szCs w:val="21"/>
        </w:rPr>
        <w:t>●  批量或批号；</w:t>
      </w:r>
    </w:p>
    <w:p>
      <w:pPr>
        <w:spacing w:line="300" w:lineRule="auto"/>
        <w:ind w:firstLine="630" w:firstLineChars="300"/>
        <w:rPr>
          <w:szCs w:val="21"/>
        </w:rPr>
      </w:pPr>
      <w:r>
        <w:rPr>
          <w:szCs w:val="21"/>
        </w:rPr>
        <w:t>●  检验日期；</w:t>
      </w:r>
    </w:p>
    <w:p>
      <w:pPr>
        <w:spacing w:line="300" w:lineRule="auto"/>
        <w:ind w:firstLine="630" w:firstLineChars="300"/>
        <w:rPr>
          <w:szCs w:val="21"/>
        </w:rPr>
      </w:pPr>
      <w:r>
        <w:rPr>
          <w:szCs w:val="21"/>
        </w:rPr>
        <w:t xml:space="preserve">●  检验员签名或盖章。 </w:t>
      </w:r>
    </w:p>
    <w:p>
      <w:pPr>
        <w:spacing w:line="300" w:lineRule="auto"/>
        <w:ind w:left="420" w:leftChars="200"/>
        <w:rPr>
          <w:szCs w:val="21"/>
        </w:rPr>
      </w:pPr>
      <w:r>
        <w:rPr>
          <w:szCs w:val="21"/>
        </w:rPr>
        <w:t>c）产品质量控制过程中的检验报告及成品检验报告；</w:t>
      </w:r>
    </w:p>
    <w:p>
      <w:pPr>
        <w:spacing w:line="300" w:lineRule="auto"/>
        <w:ind w:left="420" w:leftChars="200"/>
        <w:rPr>
          <w:szCs w:val="21"/>
        </w:rPr>
      </w:pPr>
      <w:r>
        <w:rPr>
          <w:szCs w:val="21"/>
        </w:rPr>
        <w:t>d）产品使用说明：正确搬运、使用、贮存方法等；</w:t>
      </w:r>
    </w:p>
    <w:p>
      <w:pPr>
        <w:spacing w:line="300" w:lineRule="auto"/>
        <w:ind w:left="420" w:leftChars="200"/>
        <w:rPr>
          <w:szCs w:val="21"/>
        </w:rPr>
      </w:pPr>
      <w:r>
        <w:rPr>
          <w:szCs w:val="21"/>
        </w:rPr>
        <w:t>e）其他。</w:t>
      </w:r>
    </w:p>
    <w:p>
      <w:pPr>
        <w:spacing w:line="300" w:lineRule="auto"/>
        <w:rPr>
          <w:rFonts w:eastAsia="黑体"/>
          <w:szCs w:val="21"/>
        </w:rPr>
      </w:pPr>
      <w:r>
        <w:rPr>
          <w:rFonts w:eastAsia="黑体"/>
          <w:szCs w:val="21"/>
        </w:rPr>
        <w:t>8  订货单内容</w:t>
      </w:r>
    </w:p>
    <w:p>
      <w:pPr>
        <w:spacing w:line="300" w:lineRule="auto"/>
        <w:rPr>
          <w:szCs w:val="21"/>
        </w:rPr>
      </w:pPr>
      <w:r>
        <w:rPr>
          <w:szCs w:val="21"/>
        </w:rPr>
        <w:t xml:space="preserve">  需方可根据自身的需要，在定购本文件所列产品的订货单内，列出如下内容：</w:t>
      </w:r>
    </w:p>
    <w:p>
      <w:pPr>
        <w:numPr>
          <w:ilvl w:val="0"/>
          <w:numId w:val="4"/>
        </w:numPr>
        <w:spacing w:line="300" w:lineRule="auto"/>
        <w:rPr>
          <w:szCs w:val="21"/>
        </w:rPr>
      </w:pPr>
      <w:r>
        <w:rPr>
          <w:szCs w:val="21"/>
        </w:rPr>
        <w:t xml:space="preserve">产品名称； </w:t>
      </w:r>
    </w:p>
    <w:p>
      <w:pPr>
        <w:numPr>
          <w:ilvl w:val="0"/>
          <w:numId w:val="4"/>
        </w:numPr>
        <w:spacing w:line="300" w:lineRule="auto"/>
        <w:rPr>
          <w:szCs w:val="21"/>
        </w:rPr>
      </w:pPr>
      <w:r>
        <w:rPr>
          <w:szCs w:val="21"/>
        </w:rPr>
        <w:t>牌号；</w:t>
      </w:r>
    </w:p>
    <w:p>
      <w:pPr>
        <w:numPr>
          <w:ilvl w:val="0"/>
          <w:numId w:val="4"/>
        </w:numPr>
        <w:spacing w:line="300" w:lineRule="auto"/>
        <w:rPr>
          <w:szCs w:val="21"/>
        </w:rPr>
      </w:pPr>
      <w:r>
        <w:rPr>
          <w:szCs w:val="21"/>
        </w:rPr>
        <w:t>特殊要求；</w:t>
      </w:r>
    </w:p>
    <w:p>
      <w:pPr>
        <w:numPr>
          <w:ilvl w:val="0"/>
          <w:numId w:val="4"/>
        </w:numPr>
        <w:spacing w:line="300" w:lineRule="auto"/>
        <w:rPr>
          <w:szCs w:val="21"/>
        </w:rPr>
      </w:pPr>
      <w:r>
        <w:rPr>
          <w:szCs w:val="21"/>
        </w:rPr>
        <w:t>数量；</w:t>
      </w:r>
    </w:p>
    <w:p>
      <w:pPr>
        <w:numPr>
          <w:ilvl w:val="0"/>
          <w:numId w:val="4"/>
        </w:numPr>
        <w:spacing w:line="300" w:lineRule="auto"/>
        <w:rPr>
          <w:szCs w:val="21"/>
        </w:rPr>
      </w:pPr>
      <w:r>
        <w:rPr>
          <w:szCs w:val="21"/>
        </w:rPr>
        <w:t>甲醛去除率（需方有需要时）；</w:t>
      </w:r>
    </w:p>
    <w:p>
      <w:pPr>
        <w:numPr>
          <w:ilvl w:val="0"/>
          <w:numId w:val="4"/>
        </w:numPr>
        <w:spacing w:line="300" w:lineRule="auto"/>
        <w:rPr>
          <w:szCs w:val="21"/>
        </w:rPr>
      </w:pPr>
      <w:r>
        <w:rPr>
          <w:szCs w:val="21"/>
        </w:rPr>
        <w:t>本文件编号；</w:t>
      </w:r>
    </w:p>
    <w:p>
      <w:pPr>
        <w:numPr>
          <w:ilvl w:val="0"/>
          <w:numId w:val="4"/>
        </w:numPr>
        <w:spacing w:line="300" w:lineRule="auto"/>
        <w:rPr>
          <w:szCs w:val="21"/>
        </w:rPr>
      </w:pPr>
      <w:r>
        <w:rPr>
          <w:szCs w:val="21"/>
        </w:rPr>
        <w:t>其他。</w:t>
      </w:r>
    </w:p>
    <w:p>
      <w:pPr>
        <w:spacing w:line="440" w:lineRule="exact"/>
        <w:rPr>
          <w:sz w:val="24"/>
        </w:rPr>
      </w:pPr>
    </w:p>
    <w:p>
      <w:pPr>
        <w:spacing w:line="440" w:lineRule="exact"/>
        <w:rPr>
          <w:sz w:val="24"/>
        </w:rPr>
      </w:pPr>
      <w: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243205</wp:posOffset>
                </wp:positionV>
                <wp:extent cx="2286000" cy="0"/>
                <wp:effectExtent l="0" t="0" r="0" b="0"/>
                <wp:wrapTight wrapText="bothSides">
                  <wp:wrapPolygon>
                    <wp:start x="1" y="1"/>
                    <wp:lineTo x="241" y="1"/>
                    <wp:lineTo x="241" y="1"/>
                    <wp:lineTo x="1" y="1"/>
                    <wp:lineTo x="1" y="1"/>
                  </wp:wrapPolygon>
                </wp:wrapTight>
                <wp:docPr id="1" name="直线 2"/>
                <wp:cNvGraphicFramePr/>
                <a:graphic xmlns:a="http://schemas.openxmlformats.org/drawingml/2006/main">
                  <a:graphicData uri="http://schemas.microsoft.com/office/word/2010/wordprocessingShape">
                    <wps:wsp>
                      <wps:cNvSp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4pt;margin-top:19.15pt;height:0pt;width:180pt;mso-wrap-distance-left:9pt;mso-wrap-distance-right:9pt;z-index:251657216;mso-width-relative:page;mso-height-relative:page;" filled="f" stroked="t" coordsize="21600,21600" wrapcoords="1 1 241 1 241 1 1 1 1 1" o:gfxdata="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oAWl1gAAAAkBAAAPAAAAAAAAAAEAIAAAACIAAABkcnMv&#10;ZG93bnJldi54bWxQSwECFAAUAAAACACHTuJAF7NJaswBAACNAwAADgAAAAAAAAABACAAAAAlAQAA&#10;ZHJzL2Uyb0RvYy54bWxQSwUGAAAAAAYABgBZAQAAYwUAAAAA&#10;">
                <v:fill on="f" focussize="0,0"/>
                <v:stroke color="#000000" joinstyle="round"/>
                <v:imagedata o:title=""/>
                <o:lock v:ext="edit" aspectratio="f"/>
                <w10:wrap type="tight"/>
              </v:line>
            </w:pict>
          </mc:Fallback>
        </mc:AlternateContent>
      </w:r>
    </w:p>
    <w:p>
      <w:pPr>
        <w:spacing w:line="440" w:lineRule="exact"/>
        <w:rPr>
          <w:color w:val="C00000"/>
          <w:sz w:val="24"/>
        </w:rPr>
      </w:pPr>
    </w:p>
    <w:p>
      <w:pPr>
        <w:spacing w:line="440" w:lineRule="exact"/>
        <w:rPr>
          <w:szCs w:val="21"/>
        </w:rPr>
        <w:sectPr>
          <w:headerReference r:id="rId9" w:type="first"/>
          <w:headerReference r:id="rId7" w:type="default"/>
          <w:footerReference r:id="rId10" w:type="default"/>
          <w:headerReference r:id="rId8" w:type="even"/>
          <w:pgSz w:w="11906" w:h="16838"/>
          <w:pgMar w:top="1440" w:right="1440" w:bottom="1440" w:left="1440" w:header="953" w:footer="720" w:gutter="0"/>
          <w:pgNumType w:fmt="numberInDash" w:start="2"/>
          <w:cols w:space="720" w:num="1"/>
          <w:docGrid w:type="lines" w:linePitch="360" w:charSpace="0"/>
        </w:sectPr>
      </w:pPr>
      <w:bookmarkStart w:id="0" w:name="OLE_LINK26"/>
    </w:p>
    <w:p>
      <w:pPr>
        <w:tabs>
          <w:tab w:val="left" w:pos="360"/>
        </w:tabs>
        <w:spacing w:line="276" w:lineRule="auto"/>
        <w:jc w:val="center"/>
        <w:rPr>
          <w:szCs w:val="21"/>
        </w:rPr>
      </w:pPr>
      <w:r>
        <w:rPr>
          <w:szCs w:val="21"/>
        </w:rPr>
        <w:t>附录A</w:t>
      </w:r>
    </w:p>
    <w:p>
      <w:pPr>
        <w:tabs>
          <w:tab w:val="left" w:pos="360"/>
        </w:tabs>
        <w:spacing w:line="276" w:lineRule="auto"/>
        <w:jc w:val="center"/>
        <w:rPr>
          <w:szCs w:val="21"/>
        </w:rPr>
      </w:pPr>
      <w:r>
        <w:rPr>
          <w:szCs w:val="21"/>
        </w:rPr>
        <w:t>（资料性）</w:t>
      </w:r>
    </w:p>
    <w:p>
      <w:pPr>
        <w:tabs>
          <w:tab w:val="left" w:pos="360"/>
        </w:tabs>
        <w:spacing w:line="276" w:lineRule="auto"/>
        <w:jc w:val="center"/>
        <w:rPr>
          <w:szCs w:val="21"/>
        </w:rPr>
      </w:pPr>
      <w:r>
        <w:rPr>
          <w:szCs w:val="21"/>
        </w:rPr>
        <w:t>甲醛氧化催化剂测试方法</w:t>
      </w:r>
    </w:p>
    <w:p>
      <w:pPr>
        <w:spacing w:line="276" w:lineRule="auto"/>
        <w:rPr>
          <w:szCs w:val="21"/>
        </w:rPr>
      </w:pPr>
      <w:r>
        <w:rPr>
          <w:b/>
          <w:szCs w:val="21"/>
        </w:rPr>
        <w:t>A.1  范围</w:t>
      </w:r>
    </w:p>
    <w:p>
      <w:pPr>
        <w:spacing w:line="276" w:lineRule="auto"/>
        <w:ind w:firstLine="413" w:firstLineChars="197"/>
        <w:rPr>
          <w:szCs w:val="21"/>
        </w:rPr>
      </w:pPr>
      <w:r>
        <w:rPr>
          <w:szCs w:val="21"/>
        </w:rPr>
        <w:t>本方法适用于甲醛氧化催化剂的性能测试。</w:t>
      </w:r>
    </w:p>
    <w:p>
      <w:pPr>
        <w:spacing w:line="276" w:lineRule="auto"/>
        <w:rPr>
          <w:b/>
          <w:szCs w:val="21"/>
        </w:rPr>
      </w:pPr>
      <w:r>
        <w:rPr>
          <w:b/>
          <w:szCs w:val="21"/>
        </w:rPr>
        <w:t>A.2  规范性引用文件</w:t>
      </w:r>
    </w:p>
    <w:p>
      <w:pPr>
        <w:spacing w:line="360" w:lineRule="auto"/>
        <w:ind w:firstLine="420" w:firstLineChars="200"/>
        <w:rPr>
          <w:szCs w:val="21"/>
        </w:rPr>
      </w:pPr>
      <w:r>
        <w:rPr>
          <w:szCs w:val="21"/>
        </w:rPr>
        <w:t>下列文件对本文件是必不可少的。凡是注日期的引用文件，仅注日期的版本适用于本文件。凡是不注日期的引用文件，其最新版本（包括所有的修改单）适用于本文件。</w:t>
      </w:r>
    </w:p>
    <w:p>
      <w:pPr>
        <w:spacing w:line="276" w:lineRule="auto"/>
        <w:ind w:firstLine="420" w:firstLineChars="200"/>
        <w:rPr>
          <w:szCs w:val="21"/>
        </w:rPr>
      </w:pPr>
      <w:r>
        <w:rPr>
          <w:szCs w:val="21"/>
        </w:rPr>
        <w:t>GB/T 15516-1995 空气质量 甲醛的测定 乙酰丙酮分光光度法</w:t>
      </w:r>
    </w:p>
    <w:p>
      <w:pPr>
        <w:spacing w:line="276" w:lineRule="auto"/>
        <w:ind w:firstLine="420" w:firstLineChars="200"/>
        <w:rPr>
          <w:szCs w:val="21"/>
        </w:rPr>
      </w:pPr>
      <w:r>
        <w:rPr>
          <w:szCs w:val="21"/>
        </w:rPr>
        <w:t>GB/T 18801-2015 空气净化器</w:t>
      </w:r>
    </w:p>
    <w:p>
      <w:pPr>
        <w:spacing w:line="276" w:lineRule="auto"/>
        <w:rPr>
          <w:b/>
          <w:szCs w:val="21"/>
        </w:rPr>
      </w:pPr>
      <w:r>
        <w:rPr>
          <w:b/>
          <w:szCs w:val="21"/>
        </w:rPr>
        <w:t xml:space="preserve">A.3  </w:t>
      </w:r>
      <w:r>
        <w:rPr>
          <w:rFonts w:hint="eastAsia"/>
          <w:b/>
          <w:szCs w:val="21"/>
        </w:rPr>
        <w:t>术语和</w:t>
      </w:r>
      <w:r>
        <w:rPr>
          <w:b/>
          <w:szCs w:val="21"/>
        </w:rPr>
        <w:t>定义</w:t>
      </w:r>
    </w:p>
    <w:p>
      <w:pPr>
        <w:spacing w:line="276" w:lineRule="auto"/>
        <w:ind w:firstLine="420" w:firstLineChars="200"/>
        <w:rPr>
          <w:szCs w:val="21"/>
        </w:rPr>
      </w:pPr>
      <w:r>
        <w:rPr>
          <w:szCs w:val="21"/>
        </w:rPr>
        <w:t>下列定义适用于本标准。</w:t>
      </w:r>
    </w:p>
    <w:p>
      <w:pPr>
        <w:spacing w:line="276" w:lineRule="auto"/>
        <w:ind w:firstLine="420" w:firstLineChars="200"/>
        <w:rPr>
          <w:szCs w:val="21"/>
        </w:rPr>
      </w:pPr>
      <w:r>
        <w:rPr>
          <w:szCs w:val="21"/>
        </w:rPr>
        <w:t>甲醛去除率(w)：指甲醛浓度降低值与初始浓度之间的比率。</w:t>
      </w:r>
    </w:p>
    <w:p>
      <w:pPr>
        <w:spacing w:line="276" w:lineRule="auto"/>
        <w:rPr>
          <w:b/>
          <w:szCs w:val="21"/>
        </w:rPr>
      </w:pPr>
      <w:r>
        <w:rPr>
          <w:b/>
          <w:szCs w:val="21"/>
        </w:rPr>
        <w:t>A.4  原理</w:t>
      </w:r>
    </w:p>
    <w:p>
      <w:pPr>
        <w:spacing w:line="276" w:lineRule="auto"/>
        <w:ind w:firstLine="420" w:firstLineChars="200"/>
        <w:rPr>
          <w:szCs w:val="21"/>
        </w:rPr>
      </w:pPr>
      <w:r>
        <w:rPr>
          <w:szCs w:val="21"/>
        </w:rPr>
        <w:t>甲醛气体吸收于水中，在pH=6.0的乙酸乙酸铵缓冲溶液中，与乙酰丙酮作用，生成稳定的黄色的3,5-二乙酰基-1,4-二氢卢剔啶，根据颜色深浅，在波长413nm处比色测定。</w:t>
      </w:r>
      <w:bookmarkStart w:id="1" w:name="OLE_LINK21"/>
      <w:r>
        <w:rPr>
          <w:szCs w:val="21"/>
        </w:rPr>
        <w:t>其反应式如下</w:t>
      </w:r>
      <w:bookmarkEnd w:id="1"/>
      <w:r>
        <w:rPr>
          <w:szCs w:val="21"/>
        </w:rPr>
        <w:t>：</w:t>
      </w:r>
    </w:p>
    <w:p>
      <w:pPr>
        <w:spacing w:line="276" w:lineRule="auto"/>
        <w:jc w:val="center"/>
      </w:pPr>
      <w:r>
        <w:object>
          <v:shape id="_x0000_i1025" o:spt="75" type="#_x0000_t75" style="height:39.4pt;width:309.05pt;" o:ole="t" filled="f" o:preferrelative="t" stroked="f" coordsize="21600,21600">
            <v:path/>
            <v:fill on="f" focussize="0,0"/>
            <v:stroke on="f" joinstyle="miter"/>
            <v:imagedata r:id="rId13" o:title=""/>
            <o:lock v:ext="edit" aspectratio="t"/>
            <w10:wrap type="none"/>
            <w10:anchorlock/>
          </v:shape>
          <o:OLEObject Type="Embed" ProgID="ChemDraw.Document.6.0" ShapeID="_x0000_i1025" DrawAspect="Content" ObjectID="_1468075725" r:id="rId12">
            <o:LockedField>false</o:LockedField>
          </o:OLEObject>
        </w:object>
      </w:r>
    </w:p>
    <w:p>
      <w:pPr>
        <w:spacing w:line="276" w:lineRule="auto"/>
        <w:ind w:firstLine="420" w:firstLineChars="200"/>
      </w:pPr>
      <w:r>
        <w:rPr>
          <w:szCs w:val="21"/>
        </w:rPr>
        <w:t>酚大于甲醛1500倍、乙醛大于甲醛300倍时，不干扰测定。</w:t>
      </w:r>
    </w:p>
    <w:p>
      <w:pPr>
        <w:spacing w:line="276" w:lineRule="auto"/>
        <w:rPr>
          <w:b/>
          <w:szCs w:val="21"/>
        </w:rPr>
      </w:pPr>
      <w:r>
        <w:rPr>
          <w:b/>
          <w:szCs w:val="21"/>
        </w:rPr>
        <w:t>A.5  试剂</w:t>
      </w:r>
      <w:r>
        <w:rPr>
          <w:rFonts w:hint="eastAsia"/>
          <w:b/>
          <w:szCs w:val="21"/>
        </w:rPr>
        <w:t>或材料</w:t>
      </w:r>
    </w:p>
    <w:bookmarkEnd w:id="0"/>
    <w:p>
      <w:pPr>
        <w:spacing w:line="276" w:lineRule="auto"/>
        <w:rPr>
          <w:szCs w:val="21"/>
        </w:rPr>
      </w:pPr>
      <w:r>
        <w:rPr>
          <w:szCs w:val="21"/>
        </w:rPr>
        <w:t>A.5.</w:t>
      </w:r>
      <w:r>
        <w:rPr>
          <w:rFonts w:hint="eastAsia"/>
          <w:szCs w:val="21"/>
        </w:rPr>
        <w:t xml:space="preserve">1 </w:t>
      </w:r>
      <w:r>
        <w:rPr>
          <w:szCs w:val="21"/>
        </w:rPr>
        <w:t>H</w:t>
      </w:r>
      <w:r>
        <w:rPr>
          <w:szCs w:val="21"/>
          <w:vertAlign w:val="subscript"/>
        </w:rPr>
        <w:t>2</w:t>
      </w:r>
      <w:r>
        <w:rPr>
          <w:szCs w:val="21"/>
        </w:rPr>
        <w:t>SO</w:t>
      </w:r>
      <w:r>
        <w:rPr>
          <w:szCs w:val="21"/>
          <w:vertAlign w:val="subscript"/>
        </w:rPr>
        <w:t>4</w:t>
      </w:r>
      <w:r>
        <w:rPr>
          <w:szCs w:val="21"/>
        </w:rPr>
        <w:t>溶液：C(1/2 H</w:t>
      </w:r>
      <w:r>
        <w:rPr>
          <w:szCs w:val="21"/>
          <w:vertAlign w:val="subscript"/>
        </w:rPr>
        <w:t>2</w:t>
      </w:r>
      <w:r>
        <w:rPr>
          <w:szCs w:val="21"/>
        </w:rPr>
        <w:t>SO</w:t>
      </w:r>
      <w:r>
        <w:rPr>
          <w:szCs w:val="21"/>
          <w:vertAlign w:val="subscript"/>
        </w:rPr>
        <w:t>4</w:t>
      </w:r>
      <w:r>
        <w:rPr>
          <w:szCs w:val="21"/>
        </w:rPr>
        <w:t>)=6mol/L，18mL浓H</w:t>
      </w:r>
      <w:r>
        <w:rPr>
          <w:szCs w:val="21"/>
          <w:vertAlign w:val="subscript"/>
        </w:rPr>
        <w:t>2</w:t>
      </w:r>
      <w:r>
        <w:rPr>
          <w:szCs w:val="21"/>
        </w:rPr>
        <w:t>SO</w:t>
      </w:r>
      <w:r>
        <w:rPr>
          <w:szCs w:val="21"/>
          <w:vertAlign w:val="subscript"/>
        </w:rPr>
        <w:t>4</w:t>
      </w:r>
      <w:r>
        <w:rPr>
          <w:szCs w:val="21"/>
        </w:rPr>
        <w:t>注入85mL水中；</w:t>
      </w:r>
    </w:p>
    <w:p>
      <w:pPr>
        <w:spacing w:line="440" w:lineRule="exact"/>
        <w:rPr>
          <w:szCs w:val="21"/>
        </w:rPr>
      </w:pPr>
      <w:r>
        <w:rPr>
          <w:szCs w:val="21"/>
        </w:rPr>
        <w:t>A.5.</w:t>
      </w:r>
      <w:r>
        <w:rPr>
          <w:rFonts w:hint="eastAsia"/>
          <w:szCs w:val="21"/>
        </w:rPr>
        <w:t xml:space="preserve">2 </w:t>
      </w:r>
      <w:r>
        <w:rPr>
          <w:szCs w:val="21"/>
        </w:rPr>
        <w:t>H</w:t>
      </w:r>
      <w:r>
        <w:rPr>
          <w:szCs w:val="21"/>
          <w:vertAlign w:val="subscript"/>
        </w:rPr>
        <w:t>2</w:t>
      </w:r>
      <w:r>
        <w:rPr>
          <w:szCs w:val="21"/>
        </w:rPr>
        <w:t>SO</w:t>
      </w:r>
      <w:r>
        <w:rPr>
          <w:szCs w:val="21"/>
          <w:vertAlign w:val="subscript"/>
        </w:rPr>
        <w:t>4</w:t>
      </w:r>
      <w:r>
        <w:rPr>
          <w:szCs w:val="21"/>
        </w:rPr>
        <w:t>溶液：C(1/2 H</w:t>
      </w:r>
      <w:r>
        <w:rPr>
          <w:szCs w:val="21"/>
          <w:vertAlign w:val="subscript"/>
        </w:rPr>
        <w:t>2</w:t>
      </w:r>
      <w:r>
        <w:rPr>
          <w:szCs w:val="21"/>
        </w:rPr>
        <w:t>SO</w:t>
      </w:r>
      <w:r>
        <w:rPr>
          <w:szCs w:val="21"/>
          <w:vertAlign w:val="subscript"/>
        </w:rPr>
        <w:t>4</w:t>
      </w:r>
      <w:r>
        <w:rPr>
          <w:szCs w:val="21"/>
        </w:rPr>
        <w:t>)=1mol/L，3mL浓H</w:t>
      </w:r>
      <w:r>
        <w:rPr>
          <w:szCs w:val="21"/>
          <w:vertAlign w:val="subscript"/>
        </w:rPr>
        <w:t>2</w:t>
      </w:r>
      <w:r>
        <w:rPr>
          <w:szCs w:val="21"/>
        </w:rPr>
        <w:t>SO</w:t>
      </w:r>
      <w:r>
        <w:rPr>
          <w:szCs w:val="21"/>
          <w:vertAlign w:val="subscript"/>
        </w:rPr>
        <w:t>4</w:t>
      </w:r>
      <w:r>
        <w:rPr>
          <w:szCs w:val="21"/>
        </w:rPr>
        <w:t>注入100mL水中；</w:t>
      </w:r>
    </w:p>
    <w:p>
      <w:pPr>
        <w:spacing w:line="440" w:lineRule="exact"/>
        <w:rPr>
          <w:szCs w:val="21"/>
        </w:rPr>
      </w:pPr>
      <w:r>
        <w:rPr>
          <w:szCs w:val="21"/>
        </w:rPr>
        <w:t>A.5.</w:t>
      </w:r>
      <w:r>
        <w:rPr>
          <w:rFonts w:hint="eastAsia"/>
          <w:szCs w:val="21"/>
        </w:rPr>
        <w:t xml:space="preserve">3 </w:t>
      </w:r>
      <w:r>
        <w:rPr>
          <w:szCs w:val="21"/>
        </w:rPr>
        <w:t>NaOH溶液：C(NaOH)=1mol/L，4gNaOH溶于100mL水中。</w:t>
      </w:r>
    </w:p>
    <w:p>
      <w:pPr>
        <w:spacing w:line="440" w:lineRule="exact"/>
        <w:rPr>
          <w:szCs w:val="21"/>
        </w:rPr>
      </w:pPr>
      <w:r>
        <w:rPr>
          <w:szCs w:val="21"/>
        </w:rPr>
        <w:t>A.5.</w:t>
      </w:r>
      <w:r>
        <w:rPr>
          <w:rFonts w:hint="eastAsia"/>
          <w:szCs w:val="21"/>
        </w:rPr>
        <w:t xml:space="preserve">4 </w:t>
      </w:r>
      <w:r>
        <w:rPr>
          <w:szCs w:val="21"/>
        </w:rPr>
        <w:t>乙酰丙酮溶液：称取50g乙酸铵，加少量水溶解，加6mL冰醋酸及0.5mL乙酰丙酮，混匀，加水定容至100mL，冷藏保存。</w:t>
      </w:r>
    </w:p>
    <w:p>
      <w:pPr>
        <w:spacing w:line="440" w:lineRule="exact"/>
        <w:rPr>
          <w:szCs w:val="21"/>
        </w:rPr>
      </w:pPr>
      <w:r>
        <w:rPr>
          <w:szCs w:val="21"/>
        </w:rPr>
        <w:t>A.5.</w:t>
      </w:r>
      <w:r>
        <w:rPr>
          <w:rFonts w:hint="eastAsia"/>
          <w:szCs w:val="21"/>
        </w:rPr>
        <w:t xml:space="preserve">5 </w:t>
      </w:r>
      <w:r>
        <w:rPr>
          <w:szCs w:val="21"/>
        </w:rPr>
        <w:t>甲醛储备液及标准溶液：量取0.7mL36～40％甲醛，用水稀释至250mL。临用时，取5mL甲醛储备液，用水稀释至1000mL得到甲醛标准溶液。</w:t>
      </w:r>
    </w:p>
    <w:p>
      <w:pPr>
        <w:spacing w:line="440" w:lineRule="exact"/>
        <w:rPr>
          <w:bCs/>
          <w:szCs w:val="21"/>
        </w:rPr>
      </w:pPr>
      <w:r>
        <w:rPr>
          <w:szCs w:val="21"/>
        </w:rPr>
        <w:t>A.5.</w:t>
      </w:r>
      <w:r>
        <w:rPr>
          <w:rFonts w:hint="eastAsia"/>
          <w:szCs w:val="21"/>
        </w:rPr>
        <w:t xml:space="preserve">6 </w:t>
      </w:r>
      <w:r>
        <w:rPr>
          <w:szCs w:val="21"/>
        </w:rPr>
        <w:t xml:space="preserve">重铬酸钾基准液：C(1/6 </w:t>
      </w:r>
      <w:r>
        <w:rPr>
          <w:bCs/>
          <w:szCs w:val="21"/>
        </w:rPr>
        <w:t>K</w:t>
      </w:r>
      <w:r>
        <w:rPr>
          <w:szCs w:val="21"/>
          <w:vertAlign w:val="subscript"/>
        </w:rPr>
        <w:t>2</w:t>
      </w:r>
      <w:r>
        <w:rPr>
          <w:szCs w:val="21"/>
        </w:rPr>
        <w:t>Cr</w:t>
      </w:r>
      <w:r>
        <w:rPr>
          <w:szCs w:val="21"/>
          <w:vertAlign w:val="subscript"/>
        </w:rPr>
        <w:t>2</w:t>
      </w:r>
      <w:r>
        <w:rPr>
          <w:szCs w:val="21"/>
        </w:rPr>
        <w:t>O</w:t>
      </w:r>
      <w:r>
        <w:rPr>
          <w:szCs w:val="21"/>
          <w:vertAlign w:val="subscript"/>
        </w:rPr>
        <w:t>7</w:t>
      </w:r>
      <w:r>
        <w:rPr>
          <w:szCs w:val="21"/>
        </w:rPr>
        <w:t>)=0.05mol/L，称取110-130℃烘2h后的</w:t>
      </w:r>
      <w:r>
        <w:rPr>
          <w:bCs/>
          <w:szCs w:val="21"/>
        </w:rPr>
        <w:t>K</w:t>
      </w:r>
      <w:r>
        <w:rPr>
          <w:szCs w:val="21"/>
          <w:vertAlign w:val="subscript"/>
        </w:rPr>
        <w:t>2</w:t>
      </w:r>
      <w:r>
        <w:rPr>
          <w:szCs w:val="21"/>
        </w:rPr>
        <w:t>Cr</w:t>
      </w:r>
      <w:r>
        <w:rPr>
          <w:szCs w:val="21"/>
          <w:vertAlign w:val="subscript"/>
        </w:rPr>
        <w:t>2</w:t>
      </w:r>
      <w:r>
        <w:rPr>
          <w:szCs w:val="21"/>
        </w:rPr>
        <w:t>O</w:t>
      </w:r>
      <w:r>
        <w:rPr>
          <w:szCs w:val="21"/>
          <w:vertAlign w:val="subscript"/>
        </w:rPr>
        <w:t xml:space="preserve">7 </w:t>
      </w:r>
      <w:r>
        <w:rPr>
          <w:szCs w:val="21"/>
        </w:rPr>
        <w:t>0.613g，加少量水溶解，加水定容至250mL。</w:t>
      </w:r>
    </w:p>
    <w:p>
      <w:pPr>
        <w:spacing w:line="440" w:lineRule="exact"/>
        <w:rPr>
          <w:szCs w:val="21"/>
        </w:rPr>
      </w:pPr>
      <w:r>
        <w:rPr>
          <w:szCs w:val="21"/>
        </w:rPr>
        <w:t>A.5.</w:t>
      </w:r>
      <w:r>
        <w:rPr>
          <w:rFonts w:hint="eastAsia"/>
          <w:szCs w:val="21"/>
        </w:rPr>
        <w:t xml:space="preserve">7 </w:t>
      </w:r>
      <w:r>
        <w:rPr>
          <w:szCs w:val="21"/>
        </w:rPr>
        <w:t>碘溶液：C(1/2 I</w:t>
      </w:r>
      <w:r>
        <w:rPr>
          <w:szCs w:val="21"/>
          <w:vertAlign w:val="subscript"/>
        </w:rPr>
        <w:t>2</w:t>
      </w:r>
      <w:r>
        <w:rPr>
          <w:szCs w:val="21"/>
        </w:rPr>
        <w:t>)=0.05mol/L，称取0.635g I</w:t>
      </w:r>
      <w:r>
        <w:rPr>
          <w:szCs w:val="21"/>
          <w:vertAlign w:val="subscript"/>
        </w:rPr>
        <w:t>2</w:t>
      </w:r>
      <w:r>
        <w:rPr>
          <w:szCs w:val="21"/>
        </w:rPr>
        <w:t>和2gKI，加少量水溶解，加水定容至100mL棕色容量瓶。</w:t>
      </w:r>
    </w:p>
    <w:p>
      <w:pPr>
        <w:spacing w:line="440" w:lineRule="exact"/>
        <w:rPr>
          <w:szCs w:val="21"/>
        </w:rPr>
      </w:pPr>
      <w:r>
        <w:rPr>
          <w:szCs w:val="21"/>
        </w:rPr>
        <w:t>A.5.</w:t>
      </w:r>
      <w:r>
        <w:rPr>
          <w:rFonts w:hint="eastAsia"/>
          <w:szCs w:val="21"/>
        </w:rPr>
        <w:t xml:space="preserve">8 </w:t>
      </w:r>
      <w:r>
        <w:rPr>
          <w:szCs w:val="21"/>
        </w:rPr>
        <w:t>硫代硫酸钠溶液：C(</w:t>
      </w:r>
      <w:r>
        <w:rPr>
          <w:bCs/>
          <w:szCs w:val="21"/>
        </w:rPr>
        <w:t>Na</w:t>
      </w:r>
      <w:r>
        <w:rPr>
          <w:szCs w:val="21"/>
          <w:vertAlign w:val="subscript"/>
        </w:rPr>
        <w:t>2</w:t>
      </w:r>
      <w:r>
        <w:rPr>
          <w:szCs w:val="21"/>
        </w:rPr>
        <w:t>S</w:t>
      </w:r>
      <w:r>
        <w:rPr>
          <w:szCs w:val="21"/>
          <w:vertAlign w:val="subscript"/>
        </w:rPr>
        <w:t>2</w:t>
      </w:r>
      <w:r>
        <w:rPr>
          <w:szCs w:val="21"/>
        </w:rPr>
        <w:t>O</w:t>
      </w:r>
      <w:r>
        <w:rPr>
          <w:szCs w:val="21"/>
          <w:vertAlign w:val="subscript"/>
        </w:rPr>
        <w:t>3</w:t>
      </w:r>
      <w:r>
        <w:rPr>
          <w:szCs w:val="21"/>
        </w:rPr>
        <w:t>·5H</w:t>
      </w:r>
      <w:r>
        <w:rPr>
          <w:szCs w:val="21"/>
          <w:vertAlign w:val="subscript"/>
        </w:rPr>
        <w:t>2</w:t>
      </w:r>
      <w:r>
        <w:rPr>
          <w:szCs w:val="21"/>
        </w:rPr>
        <w:t>O)=0.05mol/L，称取3.125g</w:t>
      </w:r>
      <w:r>
        <w:rPr>
          <w:bCs/>
          <w:szCs w:val="21"/>
        </w:rPr>
        <w:t xml:space="preserve"> Na</w:t>
      </w:r>
      <w:r>
        <w:rPr>
          <w:szCs w:val="21"/>
          <w:vertAlign w:val="subscript"/>
        </w:rPr>
        <w:t>2</w:t>
      </w:r>
      <w:r>
        <w:rPr>
          <w:szCs w:val="21"/>
        </w:rPr>
        <w:t>S</w:t>
      </w:r>
      <w:r>
        <w:rPr>
          <w:szCs w:val="21"/>
          <w:vertAlign w:val="subscript"/>
        </w:rPr>
        <w:t>2</w:t>
      </w:r>
      <w:r>
        <w:rPr>
          <w:szCs w:val="21"/>
        </w:rPr>
        <w:t>O</w:t>
      </w:r>
      <w:r>
        <w:rPr>
          <w:szCs w:val="21"/>
          <w:vertAlign w:val="subscript"/>
        </w:rPr>
        <w:t>3</w:t>
      </w:r>
      <w:r>
        <w:rPr>
          <w:szCs w:val="21"/>
        </w:rPr>
        <w:t>·5H</w:t>
      </w:r>
      <w:r>
        <w:rPr>
          <w:szCs w:val="21"/>
          <w:vertAlign w:val="subscript"/>
        </w:rPr>
        <w:t>2</w:t>
      </w:r>
      <w:r>
        <w:rPr>
          <w:szCs w:val="21"/>
        </w:rPr>
        <w:t>O溶于煮沸冷却后的水，加入0.1gNaOH，加水定容至250mL棕色容量瓶，用前重铬酸钾标定。</w:t>
      </w:r>
    </w:p>
    <w:p>
      <w:pPr>
        <w:spacing w:line="440" w:lineRule="exact"/>
        <w:rPr>
          <w:szCs w:val="21"/>
        </w:rPr>
      </w:pPr>
      <w:r>
        <w:rPr>
          <w:szCs w:val="21"/>
        </w:rPr>
        <w:t>A.5.</w:t>
      </w:r>
      <w:r>
        <w:rPr>
          <w:rFonts w:hint="eastAsia"/>
          <w:szCs w:val="21"/>
        </w:rPr>
        <w:t xml:space="preserve">9 </w:t>
      </w:r>
      <w:r>
        <w:rPr>
          <w:bCs/>
          <w:szCs w:val="21"/>
        </w:rPr>
        <w:t>淀粉指示剂</w:t>
      </w:r>
      <w:r>
        <w:rPr>
          <w:szCs w:val="21"/>
        </w:rPr>
        <w:t>：称取1g</w:t>
      </w:r>
      <w:r>
        <w:rPr>
          <w:bCs/>
          <w:szCs w:val="21"/>
        </w:rPr>
        <w:t xml:space="preserve"> 淀粉，加5mL水</w:t>
      </w:r>
      <w:r>
        <w:rPr>
          <w:szCs w:val="21"/>
        </w:rPr>
        <w:t>成糊状，搅拌下加至</w:t>
      </w:r>
      <w:r>
        <w:rPr>
          <w:bCs/>
          <w:szCs w:val="21"/>
        </w:rPr>
        <w:t>90mL沸水中</w:t>
      </w:r>
      <w:r>
        <w:rPr>
          <w:szCs w:val="21"/>
        </w:rPr>
        <w:t>，煮</w:t>
      </w:r>
      <w:r>
        <w:rPr>
          <w:bCs/>
          <w:szCs w:val="21"/>
        </w:rPr>
        <w:t>沸</w:t>
      </w:r>
      <w:r>
        <w:rPr>
          <w:szCs w:val="21"/>
        </w:rPr>
        <w:t>1-2min，冷却，加水稀释至100mL，现用现配。</w:t>
      </w:r>
    </w:p>
    <w:p>
      <w:pPr>
        <w:spacing w:line="276" w:lineRule="auto"/>
        <w:ind w:firstLine="420" w:firstLineChars="200"/>
        <w:rPr>
          <w:szCs w:val="21"/>
        </w:rPr>
      </w:pPr>
      <w:r>
        <w:rPr>
          <w:szCs w:val="21"/>
        </w:rPr>
        <w:t>对硫代硫酸钠溶液和甲醛储备液的浓度进行标定。</w:t>
      </w:r>
    </w:p>
    <w:p>
      <w:pPr>
        <w:spacing w:line="276" w:lineRule="auto"/>
        <w:rPr>
          <w:bCs/>
          <w:kern w:val="0"/>
          <w:szCs w:val="21"/>
        </w:rPr>
      </w:pPr>
      <w:r>
        <w:rPr>
          <w:szCs w:val="21"/>
        </w:rPr>
        <w:t>注：</w:t>
      </w:r>
      <w:r>
        <w:rPr>
          <w:bCs/>
          <w:kern w:val="0"/>
          <w:szCs w:val="21"/>
        </w:rPr>
        <w:t>乙酰丙酮及乙酸铵的纯度对试剂空白液吸光度影响较大。乙酰丙酮需经减压蒸馏，配置成溶液后</w:t>
      </w:r>
      <w:r>
        <w:rPr>
          <w:szCs w:val="21"/>
        </w:rPr>
        <w:t>冷藏</w:t>
      </w:r>
      <w:r>
        <w:rPr>
          <w:bCs/>
          <w:kern w:val="0"/>
          <w:szCs w:val="21"/>
        </w:rPr>
        <w:t>保存。</w:t>
      </w:r>
    </w:p>
    <w:p>
      <w:pPr>
        <w:spacing w:line="276" w:lineRule="auto"/>
        <w:rPr>
          <w:b/>
          <w:szCs w:val="21"/>
        </w:rPr>
      </w:pPr>
      <w:r>
        <w:rPr>
          <w:b/>
          <w:szCs w:val="21"/>
        </w:rPr>
        <w:t>A.</w:t>
      </w:r>
      <w:r>
        <w:rPr>
          <w:rFonts w:hint="eastAsia"/>
          <w:b/>
          <w:szCs w:val="21"/>
        </w:rPr>
        <w:t>6</w:t>
      </w:r>
      <w:r>
        <w:rPr>
          <w:b/>
          <w:szCs w:val="21"/>
        </w:rPr>
        <w:t xml:space="preserve"> 仪器</w:t>
      </w:r>
      <w:r>
        <w:rPr>
          <w:rFonts w:hint="eastAsia"/>
          <w:b/>
          <w:szCs w:val="21"/>
        </w:rPr>
        <w:t>设备</w:t>
      </w:r>
    </w:p>
    <w:p>
      <w:pPr>
        <w:spacing w:line="276" w:lineRule="auto"/>
        <w:rPr>
          <w:szCs w:val="21"/>
        </w:rPr>
      </w:pPr>
      <w:r>
        <w:rPr>
          <w:rFonts w:hint="eastAsia"/>
          <w:szCs w:val="21"/>
        </w:rPr>
        <w:t>A.6.1</w:t>
      </w:r>
      <w:r>
        <w:rPr>
          <w:szCs w:val="21"/>
        </w:rPr>
        <w:t>大型气泡吸收管</w:t>
      </w:r>
      <w:r>
        <w:rPr>
          <w:rFonts w:hint="eastAsia"/>
          <w:szCs w:val="21"/>
        </w:rPr>
        <w:t>：</w:t>
      </w:r>
      <w:r>
        <w:rPr>
          <w:szCs w:val="21"/>
        </w:rPr>
        <w:t>25mL</w:t>
      </w:r>
      <w:r>
        <w:rPr>
          <w:rFonts w:hint="eastAsia"/>
          <w:szCs w:val="21"/>
        </w:rPr>
        <w:t>。</w:t>
      </w:r>
    </w:p>
    <w:p>
      <w:pPr>
        <w:spacing w:line="276" w:lineRule="auto"/>
        <w:rPr>
          <w:szCs w:val="21"/>
        </w:rPr>
      </w:pPr>
      <w:r>
        <w:rPr>
          <w:rFonts w:hint="eastAsia"/>
          <w:szCs w:val="21"/>
        </w:rPr>
        <w:t>A.6.2</w:t>
      </w:r>
      <w:r>
        <w:rPr>
          <w:szCs w:val="21"/>
        </w:rPr>
        <w:t>具塞比色管</w:t>
      </w:r>
      <w:r>
        <w:rPr>
          <w:rFonts w:hint="eastAsia"/>
          <w:szCs w:val="21"/>
        </w:rPr>
        <w:t>：</w:t>
      </w:r>
      <w:r>
        <w:rPr>
          <w:szCs w:val="21"/>
        </w:rPr>
        <w:t>25mL</w:t>
      </w:r>
      <w:r>
        <w:rPr>
          <w:rFonts w:hint="eastAsia"/>
          <w:szCs w:val="21"/>
        </w:rPr>
        <w:t>，具10mL、25mL刻度，经校正。</w:t>
      </w:r>
    </w:p>
    <w:p>
      <w:pPr>
        <w:spacing w:line="276" w:lineRule="auto"/>
        <w:rPr>
          <w:szCs w:val="21"/>
        </w:rPr>
      </w:pPr>
      <w:bookmarkStart w:id="2" w:name="OLE_LINK31"/>
      <w:r>
        <w:rPr>
          <w:rFonts w:hint="eastAsia"/>
          <w:szCs w:val="21"/>
        </w:rPr>
        <w:t xml:space="preserve">A.6.3 </w:t>
      </w:r>
      <w:r>
        <w:rPr>
          <w:szCs w:val="21"/>
        </w:rPr>
        <w:t>气体检测仪专用采样泵</w:t>
      </w:r>
      <w:bookmarkEnd w:id="2"/>
      <w:r>
        <w:rPr>
          <w:rFonts w:hint="eastAsia"/>
          <w:szCs w:val="21"/>
        </w:rPr>
        <w:t>：流量范围为0.2~1.0L/min。</w:t>
      </w:r>
    </w:p>
    <w:p>
      <w:pPr>
        <w:spacing w:line="276" w:lineRule="auto"/>
        <w:rPr>
          <w:szCs w:val="21"/>
        </w:rPr>
      </w:pPr>
      <w:r>
        <w:rPr>
          <w:rFonts w:hint="eastAsia"/>
          <w:szCs w:val="21"/>
        </w:rPr>
        <w:t xml:space="preserve">A.6.4 </w:t>
      </w:r>
      <w:r>
        <w:rPr>
          <w:szCs w:val="21"/>
        </w:rPr>
        <w:t>紫外可见分光光度计</w:t>
      </w:r>
      <w:r>
        <w:rPr>
          <w:rFonts w:hint="eastAsia"/>
          <w:szCs w:val="21"/>
        </w:rPr>
        <w:t>：附1cm吸收池。</w:t>
      </w:r>
    </w:p>
    <w:p>
      <w:pPr>
        <w:spacing w:line="276" w:lineRule="auto"/>
        <w:rPr>
          <w:rFonts w:hint="eastAsia"/>
          <w:szCs w:val="21"/>
        </w:rPr>
      </w:pPr>
      <w:r>
        <w:rPr>
          <w:rFonts w:hint="eastAsia"/>
          <w:szCs w:val="21"/>
        </w:rPr>
        <w:t xml:space="preserve">A.6.5 </w:t>
      </w:r>
      <w:r>
        <w:rPr>
          <w:szCs w:val="21"/>
        </w:rPr>
        <w:t>压片机</w:t>
      </w:r>
      <w:r>
        <w:rPr>
          <w:rFonts w:hint="eastAsia"/>
          <w:szCs w:val="21"/>
        </w:rPr>
        <w:t>。</w:t>
      </w:r>
    </w:p>
    <w:p>
      <w:pPr>
        <w:spacing w:line="276" w:lineRule="auto"/>
        <w:rPr>
          <w:szCs w:val="21"/>
        </w:rPr>
      </w:pPr>
      <w:r>
        <w:rPr>
          <w:rFonts w:hint="eastAsia"/>
          <w:szCs w:val="21"/>
        </w:rPr>
        <w:t>A.6.6 筛网：40-60目。</w:t>
      </w:r>
    </w:p>
    <w:p>
      <w:pPr>
        <w:spacing w:line="276" w:lineRule="auto"/>
        <w:rPr>
          <w:b/>
          <w:szCs w:val="21"/>
        </w:rPr>
      </w:pPr>
      <w:r>
        <w:rPr>
          <w:b/>
          <w:szCs w:val="21"/>
        </w:rPr>
        <w:t>A.</w:t>
      </w:r>
      <w:r>
        <w:rPr>
          <w:rFonts w:hint="eastAsia"/>
          <w:b/>
          <w:szCs w:val="21"/>
        </w:rPr>
        <w:t>7</w:t>
      </w:r>
      <w:r>
        <w:rPr>
          <w:b/>
          <w:szCs w:val="21"/>
        </w:rPr>
        <w:t xml:space="preserve">  </w:t>
      </w:r>
      <w:r>
        <w:rPr>
          <w:rFonts w:hint="eastAsia"/>
          <w:b/>
          <w:szCs w:val="21"/>
        </w:rPr>
        <w:t>试验</w:t>
      </w:r>
      <w:r>
        <w:rPr>
          <w:b/>
          <w:szCs w:val="21"/>
        </w:rPr>
        <w:t>步骤</w:t>
      </w:r>
    </w:p>
    <w:p>
      <w:pPr>
        <w:spacing w:line="276" w:lineRule="auto"/>
        <w:rPr>
          <w:bCs/>
          <w:szCs w:val="21"/>
        </w:rPr>
      </w:pPr>
      <w:r>
        <w:rPr>
          <w:bCs/>
          <w:szCs w:val="21"/>
        </w:rPr>
        <w:t>A.</w:t>
      </w:r>
      <w:r>
        <w:rPr>
          <w:rFonts w:hint="eastAsia"/>
          <w:bCs/>
          <w:szCs w:val="21"/>
        </w:rPr>
        <w:t>7</w:t>
      </w:r>
      <w:r>
        <w:rPr>
          <w:bCs/>
          <w:szCs w:val="21"/>
        </w:rPr>
        <w:t xml:space="preserve">.1  </w:t>
      </w:r>
      <w:r>
        <w:rPr>
          <w:szCs w:val="21"/>
        </w:rPr>
        <w:t>标准曲线的绘制</w:t>
      </w:r>
    </w:p>
    <w:p>
      <w:pPr>
        <w:spacing w:line="276" w:lineRule="auto"/>
        <w:ind w:firstLine="420" w:firstLineChars="200"/>
        <w:rPr>
          <w:bCs/>
          <w:szCs w:val="21"/>
        </w:rPr>
      </w:pPr>
      <w:r>
        <w:rPr>
          <w:bCs/>
          <w:szCs w:val="21"/>
        </w:rPr>
        <w:t>各</w:t>
      </w:r>
      <w:r>
        <w:rPr>
          <w:rFonts w:hint="eastAsia"/>
          <w:bCs/>
          <w:szCs w:val="21"/>
        </w:rPr>
        <w:t>比色</w:t>
      </w:r>
      <w:r>
        <w:rPr>
          <w:bCs/>
          <w:szCs w:val="21"/>
        </w:rPr>
        <w:t>管混匀后，沸水浴3-5min，再恒温至25℃。用1cm比色皿，于波长413nm处，以水为参比，测定吸光度。以吸光度对甲醛含量（</w:t>
      </w:r>
      <w:r>
        <w:rPr>
          <w:szCs w:val="21"/>
        </w:rPr>
        <w:t>μg</w:t>
      </w:r>
      <w:r>
        <w:rPr>
          <w:bCs/>
          <w:szCs w:val="21"/>
        </w:rPr>
        <w:t>），绘制标准曲线，用最小二乘法计算标准曲线的回归方程式。</w:t>
      </w:r>
    </w:p>
    <w:p>
      <w:pPr>
        <w:spacing w:line="276" w:lineRule="auto"/>
        <w:ind w:firstLine="420" w:firstLineChars="200"/>
        <w:rPr>
          <w:bCs/>
          <w:szCs w:val="21"/>
        </w:rPr>
      </w:pPr>
      <w:r>
        <w:rPr>
          <w:bCs/>
          <w:szCs w:val="21"/>
        </w:rPr>
        <w:t>取8支10毫升比色管，按下表配制标准色列；</w:t>
      </w:r>
    </w:p>
    <w:tbl>
      <w:tblPr>
        <w:tblStyle w:val="7"/>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816"/>
        <w:gridCol w:w="816"/>
        <w:gridCol w:w="816"/>
        <w:gridCol w:w="81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0" w:type="dxa"/>
          </w:tcPr>
          <w:p>
            <w:pPr>
              <w:spacing w:line="276" w:lineRule="auto"/>
              <w:jc w:val="center"/>
              <w:rPr>
                <w:szCs w:val="21"/>
              </w:rPr>
            </w:pPr>
            <w:r>
              <w:rPr>
                <w:szCs w:val="21"/>
              </w:rPr>
              <w:t>管号</w:t>
            </w:r>
          </w:p>
        </w:tc>
        <w:tc>
          <w:tcPr>
            <w:tcW w:w="816" w:type="dxa"/>
          </w:tcPr>
          <w:p>
            <w:pPr>
              <w:spacing w:line="276" w:lineRule="auto"/>
              <w:jc w:val="center"/>
              <w:rPr>
                <w:szCs w:val="21"/>
              </w:rPr>
            </w:pPr>
            <w:r>
              <w:rPr>
                <w:szCs w:val="21"/>
              </w:rPr>
              <w:t>0</w:t>
            </w:r>
          </w:p>
        </w:tc>
        <w:tc>
          <w:tcPr>
            <w:tcW w:w="816" w:type="dxa"/>
          </w:tcPr>
          <w:p>
            <w:pPr>
              <w:spacing w:line="276" w:lineRule="auto"/>
              <w:jc w:val="center"/>
              <w:rPr>
                <w:szCs w:val="21"/>
              </w:rPr>
            </w:pPr>
            <w:r>
              <w:rPr>
                <w:szCs w:val="21"/>
              </w:rPr>
              <w:t>1</w:t>
            </w:r>
          </w:p>
        </w:tc>
        <w:tc>
          <w:tcPr>
            <w:tcW w:w="816" w:type="dxa"/>
          </w:tcPr>
          <w:p>
            <w:pPr>
              <w:spacing w:line="276" w:lineRule="auto"/>
              <w:jc w:val="center"/>
              <w:rPr>
                <w:szCs w:val="21"/>
              </w:rPr>
            </w:pPr>
            <w:r>
              <w:rPr>
                <w:szCs w:val="21"/>
              </w:rPr>
              <w:t>2</w:t>
            </w:r>
          </w:p>
        </w:tc>
        <w:tc>
          <w:tcPr>
            <w:tcW w:w="816" w:type="dxa"/>
          </w:tcPr>
          <w:p>
            <w:pPr>
              <w:spacing w:line="276" w:lineRule="auto"/>
              <w:jc w:val="center"/>
              <w:rPr>
                <w:szCs w:val="21"/>
              </w:rPr>
            </w:pPr>
            <w:r>
              <w:rPr>
                <w:szCs w:val="21"/>
              </w:rPr>
              <w:t>3</w:t>
            </w:r>
          </w:p>
        </w:tc>
        <w:tc>
          <w:tcPr>
            <w:tcW w:w="816" w:type="dxa"/>
          </w:tcPr>
          <w:p>
            <w:pPr>
              <w:spacing w:line="276" w:lineRule="auto"/>
              <w:jc w:val="center"/>
              <w:rPr>
                <w:szCs w:val="21"/>
              </w:rPr>
            </w:pPr>
            <w:r>
              <w:rPr>
                <w:szCs w:val="21"/>
              </w:rPr>
              <w:t>4</w:t>
            </w:r>
          </w:p>
        </w:tc>
        <w:tc>
          <w:tcPr>
            <w:tcW w:w="816" w:type="dxa"/>
          </w:tcPr>
          <w:p>
            <w:pPr>
              <w:spacing w:line="276" w:lineRule="auto"/>
              <w:jc w:val="center"/>
              <w:rPr>
                <w:szCs w:val="21"/>
              </w:rPr>
            </w:pPr>
            <w:r>
              <w:rPr>
                <w:szCs w:val="21"/>
              </w:rPr>
              <w:t>5</w:t>
            </w:r>
          </w:p>
        </w:tc>
        <w:tc>
          <w:tcPr>
            <w:tcW w:w="816" w:type="dxa"/>
          </w:tcPr>
          <w:p>
            <w:pPr>
              <w:spacing w:line="276" w:lineRule="auto"/>
              <w:jc w:val="center"/>
              <w:rPr>
                <w:szCs w:val="21"/>
              </w:rPr>
            </w:pPr>
            <w:r>
              <w:rPr>
                <w:szCs w:val="21"/>
              </w:rPr>
              <w:t>6</w:t>
            </w:r>
          </w:p>
        </w:tc>
        <w:tc>
          <w:tcPr>
            <w:tcW w:w="816" w:type="dxa"/>
          </w:tcPr>
          <w:p>
            <w:pPr>
              <w:spacing w:line="276" w:lineRule="auto"/>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0" w:type="dxa"/>
          </w:tcPr>
          <w:p>
            <w:pPr>
              <w:spacing w:line="276" w:lineRule="auto"/>
              <w:jc w:val="center"/>
              <w:rPr>
                <w:szCs w:val="21"/>
              </w:rPr>
            </w:pPr>
            <w:r>
              <w:rPr>
                <w:szCs w:val="21"/>
              </w:rPr>
              <w:t>水（mL）</w:t>
            </w:r>
          </w:p>
        </w:tc>
        <w:tc>
          <w:tcPr>
            <w:tcW w:w="816" w:type="dxa"/>
          </w:tcPr>
          <w:p>
            <w:pPr>
              <w:spacing w:line="276" w:lineRule="auto"/>
              <w:jc w:val="center"/>
              <w:rPr>
                <w:szCs w:val="21"/>
              </w:rPr>
            </w:pPr>
            <w:r>
              <w:rPr>
                <w:szCs w:val="21"/>
              </w:rPr>
              <w:t>5.00</w:t>
            </w:r>
          </w:p>
        </w:tc>
        <w:tc>
          <w:tcPr>
            <w:tcW w:w="816" w:type="dxa"/>
          </w:tcPr>
          <w:p>
            <w:pPr>
              <w:spacing w:line="276" w:lineRule="auto"/>
              <w:jc w:val="center"/>
              <w:rPr>
                <w:szCs w:val="21"/>
              </w:rPr>
            </w:pPr>
            <w:r>
              <w:rPr>
                <w:szCs w:val="21"/>
              </w:rPr>
              <w:t>4.90</w:t>
            </w:r>
          </w:p>
        </w:tc>
        <w:tc>
          <w:tcPr>
            <w:tcW w:w="816" w:type="dxa"/>
          </w:tcPr>
          <w:p>
            <w:pPr>
              <w:spacing w:line="276" w:lineRule="auto"/>
              <w:jc w:val="center"/>
              <w:rPr>
                <w:szCs w:val="21"/>
              </w:rPr>
            </w:pPr>
            <w:r>
              <w:rPr>
                <w:szCs w:val="21"/>
              </w:rPr>
              <w:t>4.80</w:t>
            </w:r>
          </w:p>
        </w:tc>
        <w:tc>
          <w:tcPr>
            <w:tcW w:w="816" w:type="dxa"/>
          </w:tcPr>
          <w:p>
            <w:pPr>
              <w:spacing w:line="276" w:lineRule="auto"/>
              <w:jc w:val="center"/>
              <w:rPr>
                <w:szCs w:val="21"/>
              </w:rPr>
            </w:pPr>
            <w:r>
              <w:rPr>
                <w:szCs w:val="21"/>
              </w:rPr>
              <w:t>4.60</w:t>
            </w:r>
          </w:p>
        </w:tc>
        <w:tc>
          <w:tcPr>
            <w:tcW w:w="816" w:type="dxa"/>
          </w:tcPr>
          <w:p>
            <w:pPr>
              <w:spacing w:line="276" w:lineRule="auto"/>
              <w:jc w:val="center"/>
              <w:rPr>
                <w:szCs w:val="21"/>
              </w:rPr>
            </w:pPr>
            <w:r>
              <w:rPr>
                <w:szCs w:val="21"/>
              </w:rPr>
              <w:t>4.40</w:t>
            </w:r>
          </w:p>
        </w:tc>
        <w:tc>
          <w:tcPr>
            <w:tcW w:w="816" w:type="dxa"/>
          </w:tcPr>
          <w:p>
            <w:pPr>
              <w:spacing w:line="276" w:lineRule="auto"/>
              <w:jc w:val="center"/>
              <w:rPr>
                <w:szCs w:val="21"/>
              </w:rPr>
            </w:pPr>
            <w:r>
              <w:rPr>
                <w:szCs w:val="21"/>
              </w:rPr>
              <w:t>4.00</w:t>
            </w:r>
          </w:p>
        </w:tc>
        <w:tc>
          <w:tcPr>
            <w:tcW w:w="816" w:type="dxa"/>
          </w:tcPr>
          <w:p>
            <w:pPr>
              <w:spacing w:line="276" w:lineRule="auto"/>
              <w:jc w:val="center"/>
              <w:rPr>
                <w:szCs w:val="21"/>
              </w:rPr>
            </w:pPr>
            <w:r>
              <w:rPr>
                <w:szCs w:val="21"/>
              </w:rPr>
              <w:t>3.00</w:t>
            </w:r>
          </w:p>
        </w:tc>
        <w:tc>
          <w:tcPr>
            <w:tcW w:w="816" w:type="dxa"/>
          </w:tcPr>
          <w:p>
            <w:pPr>
              <w:spacing w:line="276" w:lineRule="auto"/>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0" w:type="dxa"/>
          </w:tcPr>
          <w:p>
            <w:pPr>
              <w:spacing w:line="276" w:lineRule="auto"/>
              <w:jc w:val="center"/>
              <w:rPr>
                <w:szCs w:val="21"/>
              </w:rPr>
            </w:pPr>
            <w:r>
              <w:rPr>
                <w:szCs w:val="21"/>
              </w:rPr>
              <w:t>乙酰丙酮溶液（mL）</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0" w:type="dxa"/>
          </w:tcPr>
          <w:p>
            <w:pPr>
              <w:spacing w:line="276" w:lineRule="auto"/>
              <w:jc w:val="center"/>
              <w:rPr>
                <w:szCs w:val="21"/>
              </w:rPr>
            </w:pPr>
            <w:r>
              <w:rPr>
                <w:szCs w:val="21"/>
              </w:rPr>
              <w:t>甲醛标准溶液（mL）</w:t>
            </w:r>
          </w:p>
        </w:tc>
        <w:tc>
          <w:tcPr>
            <w:tcW w:w="816" w:type="dxa"/>
          </w:tcPr>
          <w:p>
            <w:pPr>
              <w:spacing w:line="276" w:lineRule="auto"/>
              <w:jc w:val="center"/>
              <w:rPr>
                <w:szCs w:val="21"/>
              </w:rPr>
            </w:pPr>
            <w:r>
              <w:rPr>
                <w:szCs w:val="21"/>
              </w:rPr>
              <w:t>0</w:t>
            </w:r>
          </w:p>
        </w:tc>
        <w:tc>
          <w:tcPr>
            <w:tcW w:w="816" w:type="dxa"/>
          </w:tcPr>
          <w:p>
            <w:pPr>
              <w:spacing w:line="276" w:lineRule="auto"/>
              <w:jc w:val="center"/>
              <w:rPr>
                <w:szCs w:val="21"/>
              </w:rPr>
            </w:pPr>
            <w:r>
              <w:rPr>
                <w:szCs w:val="21"/>
              </w:rPr>
              <w:t>0.10</w:t>
            </w:r>
          </w:p>
        </w:tc>
        <w:tc>
          <w:tcPr>
            <w:tcW w:w="816" w:type="dxa"/>
          </w:tcPr>
          <w:p>
            <w:pPr>
              <w:spacing w:line="276" w:lineRule="auto"/>
              <w:jc w:val="center"/>
              <w:rPr>
                <w:szCs w:val="21"/>
              </w:rPr>
            </w:pPr>
            <w:r>
              <w:rPr>
                <w:szCs w:val="21"/>
              </w:rPr>
              <w:t>0.20</w:t>
            </w:r>
          </w:p>
        </w:tc>
        <w:tc>
          <w:tcPr>
            <w:tcW w:w="816" w:type="dxa"/>
          </w:tcPr>
          <w:p>
            <w:pPr>
              <w:spacing w:line="276" w:lineRule="auto"/>
              <w:jc w:val="center"/>
              <w:rPr>
                <w:szCs w:val="21"/>
              </w:rPr>
            </w:pPr>
            <w:r>
              <w:rPr>
                <w:szCs w:val="21"/>
              </w:rPr>
              <w:t>0.40</w:t>
            </w:r>
          </w:p>
        </w:tc>
        <w:tc>
          <w:tcPr>
            <w:tcW w:w="816" w:type="dxa"/>
          </w:tcPr>
          <w:p>
            <w:pPr>
              <w:spacing w:line="276" w:lineRule="auto"/>
              <w:jc w:val="center"/>
              <w:rPr>
                <w:szCs w:val="21"/>
              </w:rPr>
            </w:pPr>
            <w:r>
              <w:rPr>
                <w:szCs w:val="21"/>
              </w:rPr>
              <w:t>0.60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2.00</w:t>
            </w:r>
          </w:p>
        </w:tc>
        <w:tc>
          <w:tcPr>
            <w:tcW w:w="816" w:type="dxa"/>
          </w:tcPr>
          <w:p>
            <w:pPr>
              <w:spacing w:line="276" w:lineRule="auto"/>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0" w:type="dxa"/>
          </w:tcPr>
          <w:p>
            <w:pPr>
              <w:spacing w:line="276" w:lineRule="auto"/>
              <w:jc w:val="center"/>
              <w:rPr>
                <w:szCs w:val="21"/>
              </w:rPr>
            </w:pPr>
            <w:r>
              <w:rPr>
                <w:szCs w:val="21"/>
              </w:rPr>
              <w:t>甲醛含量（μg）</w:t>
            </w:r>
          </w:p>
        </w:tc>
        <w:tc>
          <w:tcPr>
            <w:tcW w:w="816" w:type="dxa"/>
          </w:tcPr>
          <w:p>
            <w:pPr>
              <w:spacing w:line="276" w:lineRule="auto"/>
              <w:jc w:val="center"/>
              <w:rPr>
                <w:szCs w:val="21"/>
              </w:rPr>
            </w:pPr>
            <w:r>
              <w:rPr>
                <w:szCs w:val="21"/>
              </w:rPr>
              <w:t>0</w:t>
            </w:r>
          </w:p>
        </w:tc>
        <w:tc>
          <w:tcPr>
            <w:tcW w:w="816" w:type="dxa"/>
          </w:tcPr>
          <w:p>
            <w:pPr>
              <w:spacing w:line="276" w:lineRule="auto"/>
              <w:jc w:val="center"/>
              <w:rPr>
                <w:szCs w:val="21"/>
              </w:rPr>
            </w:pPr>
            <w:r>
              <w:rPr>
                <w:szCs w:val="21"/>
              </w:rPr>
              <w:t>0.5</w:t>
            </w:r>
          </w:p>
        </w:tc>
        <w:tc>
          <w:tcPr>
            <w:tcW w:w="816" w:type="dxa"/>
          </w:tcPr>
          <w:p>
            <w:pPr>
              <w:spacing w:line="276" w:lineRule="auto"/>
              <w:jc w:val="center"/>
              <w:rPr>
                <w:szCs w:val="21"/>
              </w:rPr>
            </w:pPr>
            <w:r>
              <w:rPr>
                <w:szCs w:val="21"/>
              </w:rPr>
              <w:t>1.0</w:t>
            </w:r>
          </w:p>
        </w:tc>
        <w:tc>
          <w:tcPr>
            <w:tcW w:w="816" w:type="dxa"/>
          </w:tcPr>
          <w:p>
            <w:pPr>
              <w:spacing w:line="276" w:lineRule="auto"/>
              <w:jc w:val="center"/>
              <w:rPr>
                <w:szCs w:val="21"/>
              </w:rPr>
            </w:pPr>
            <w:r>
              <w:rPr>
                <w:szCs w:val="21"/>
              </w:rPr>
              <w:t>2.0</w:t>
            </w:r>
          </w:p>
        </w:tc>
        <w:tc>
          <w:tcPr>
            <w:tcW w:w="816" w:type="dxa"/>
          </w:tcPr>
          <w:p>
            <w:pPr>
              <w:spacing w:line="276" w:lineRule="auto"/>
              <w:jc w:val="center"/>
              <w:rPr>
                <w:szCs w:val="21"/>
              </w:rPr>
            </w:pPr>
            <w:r>
              <w:rPr>
                <w:szCs w:val="21"/>
              </w:rPr>
              <w:t>3.0</w:t>
            </w:r>
          </w:p>
        </w:tc>
        <w:tc>
          <w:tcPr>
            <w:tcW w:w="816" w:type="dxa"/>
          </w:tcPr>
          <w:p>
            <w:pPr>
              <w:spacing w:line="276" w:lineRule="auto"/>
              <w:jc w:val="center"/>
              <w:rPr>
                <w:szCs w:val="21"/>
              </w:rPr>
            </w:pPr>
            <w:r>
              <w:rPr>
                <w:szCs w:val="21"/>
              </w:rPr>
              <w:t>5.0</w:t>
            </w:r>
          </w:p>
        </w:tc>
        <w:tc>
          <w:tcPr>
            <w:tcW w:w="816" w:type="dxa"/>
          </w:tcPr>
          <w:p>
            <w:pPr>
              <w:spacing w:line="276" w:lineRule="auto"/>
              <w:jc w:val="center"/>
              <w:rPr>
                <w:szCs w:val="21"/>
              </w:rPr>
            </w:pPr>
            <w:r>
              <w:rPr>
                <w:szCs w:val="21"/>
              </w:rPr>
              <w:t>10.0</w:t>
            </w:r>
          </w:p>
        </w:tc>
        <w:tc>
          <w:tcPr>
            <w:tcW w:w="816" w:type="dxa"/>
          </w:tcPr>
          <w:p>
            <w:pPr>
              <w:spacing w:line="276" w:lineRule="auto"/>
              <w:jc w:val="center"/>
              <w:rPr>
                <w:szCs w:val="21"/>
              </w:rPr>
            </w:pPr>
            <w:r>
              <w:rPr>
                <w:szCs w:val="21"/>
              </w:rPr>
              <w:t>15.0</w:t>
            </w:r>
          </w:p>
        </w:tc>
      </w:tr>
    </w:tbl>
    <w:p>
      <w:pPr>
        <w:spacing w:line="276" w:lineRule="auto"/>
        <w:rPr>
          <w:szCs w:val="21"/>
        </w:rPr>
      </w:pPr>
      <w:bookmarkStart w:id="3" w:name="OLE_LINK30"/>
      <w:r>
        <w:rPr>
          <w:bCs/>
          <w:szCs w:val="21"/>
        </w:rPr>
        <w:t>A.</w:t>
      </w:r>
      <w:r>
        <w:rPr>
          <w:rFonts w:hint="eastAsia"/>
          <w:bCs/>
          <w:szCs w:val="21"/>
        </w:rPr>
        <w:t>7</w:t>
      </w:r>
      <w:r>
        <w:rPr>
          <w:bCs/>
          <w:szCs w:val="21"/>
        </w:rPr>
        <w:t xml:space="preserve">.2  </w:t>
      </w:r>
      <w:r>
        <w:rPr>
          <w:szCs w:val="21"/>
        </w:rPr>
        <w:t>催化反应操作与控制</w:t>
      </w:r>
    </w:p>
    <w:p>
      <w:pPr>
        <w:numPr>
          <w:ilvl w:val="0"/>
          <w:numId w:val="5"/>
        </w:numPr>
        <w:spacing w:line="276" w:lineRule="auto"/>
        <w:rPr>
          <w:szCs w:val="21"/>
        </w:rPr>
      </w:pPr>
      <w:r>
        <w:rPr>
          <w:szCs w:val="21"/>
        </w:rPr>
        <w:t>称取50.0g铂二氧化钛粉末催化剂经过压片机在10.0MPa压力成型后，再破碎筛分40-60目颗粒，称取20.0g上述颗粒，放入内径15 mm的石英玻璃反应管中，两端填充少量石棉纤维并用200目金属丝网固定；</w:t>
      </w:r>
    </w:p>
    <w:p>
      <w:pPr>
        <w:numPr>
          <w:ilvl w:val="0"/>
          <w:numId w:val="5"/>
        </w:numPr>
        <w:spacing w:line="276" w:lineRule="auto"/>
        <w:rPr>
          <w:szCs w:val="21"/>
        </w:rPr>
      </w:pPr>
      <w:r>
        <w:rPr>
          <w:szCs w:val="21"/>
        </w:rPr>
        <w:t>在体积为3m</w:t>
      </w:r>
      <w:r>
        <w:rPr>
          <w:szCs w:val="21"/>
          <w:vertAlign w:val="superscript"/>
        </w:rPr>
        <w:t>3</w:t>
      </w:r>
      <w:r>
        <w:rPr>
          <w:szCs w:val="21"/>
        </w:rPr>
        <w:t>的试验舱对角位置预先放入两台小型循环风扇，风量为1.8m</w:t>
      </w:r>
      <w:r>
        <w:rPr>
          <w:szCs w:val="21"/>
          <w:vertAlign w:val="superscript"/>
        </w:rPr>
        <w:t>3</w:t>
      </w:r>
      <w:r>
        <w:rPr>
          <w:szCs w:val="21"/>
        </w:rPr>
        <w:t>/h，底部中心位置放置一台鼓风机，风量为25.2m</w:t>
      </w:r>
      <w:r>
        <w:rPr>
          <w:szCs w:val="21"/>
          <w:vertAlign w:val="superscript"/>
        </w:rPr>
        <w:t>3</w:t>
      </w:r>
      <w:r>
        <w:rPr>
          <w:szCs w:val="21"/>
        </w:rPr>
        <w:t>/h；试验舱的结构、设施制作和配制要求按照GB/T 18801-2015中附录A的规定。</w:t>
      </w:r>
    </w:p>
    <w:p>
      <w:pPr>
        <w:numPr>
          <w:ilvl w:val="0"/>
          <w:numId w:val="5"/>
        </w:numPr>
        <w:spacing w:line="276" w:lineRule="auto"/>
        <w:rPr>
          <w:szCs w:val="21"/>
        </w:rPr>
      </w:pPr>
      <w:r>
        <w:rPr>
          <w:szCs w:val="21"/>
        </w:rPr>
        <w:t>将装有催化剂的石英玻璃反应管进口端连接在鼓风机末端，封闭试验舱后，开启循环风扇，开启恒温装置维持舱内温度25±1</w:t>
      </w:r>
      <w:r>
        <w:rPr>
          <w:rFonts w:ascii="宋体"/>
          <w:bCs/>
          <w:szCs w:val="21"/>
        </w:rPr>
        <w:t>℃</w:t>
      </w:r>
      <w:r>
        <w:rPr>
          <w:szCs w:val="21"/>
        </w:rPr>
        <w:t>，用微量进样针从取样口向舱内注入10.0μL甲醛溶液（36%）；</w:t>
      </w:r>
    </w:p>
    <w:p>
      <w:pPr>
        <w:numPr>
          <w:ilvl w:val="0"/>
          <w:numId w:val="5"/>
        </w:numPr>
        <w:spacing w:line="276" w:lineRule="auto"/>
        <w:rPr>
          <w:szCs w:val="21"/>
        </w:rPr>
      </w:pPr>
      <w:r>
        <w:rPr>
          <w:bCs/>
          <w:szCs w:val="21"/>
        </w:rPr>
        <w:t>稳定30min后开始采集样品，采样系统由引气管、</w:t>
      </w:r>
      <w:r>
        <w:rPr>
          <w:szCs w:val="21"/>
        </w:rPr>
        <w:t>气体检测仪专用采样泵和</w:t>
      </w:r>
      <w:r>
        <w:rPr>
          <w:bCs/>
          <w:szCs w:val="21"/>
        </w:rPr>
        <w:t>内装10mL水及2.5mL乙酰丙酮溶液的气泡吸收管串联组成，并通过引气管与试验舱构成一个气体回路，以</w:t>
      </w:r>
      <w:r>
        <w:rPr>
          <w:szCs w:val="21"/>
        </w:rPr>
        <w:t>气体检测仪专用采样泵设定的</w:t>
      </w:r>
      <w:r>
        <w:rPr>
          <w:bCs/>
          <w:szCs w:val="21"/>
        </w:rPr>
        <w:t>流量</w:t>
      </w:r>
      <w:r>
        <w:rPr>
          <w:szCs w:val="21"/>
        </w:rPr>
        <w:t>（500mL/min）</w:t>
      </w:r>
      <w:r>
        <w:rPr>
          <w:bCs/>
          <w:szCs w:val="21"/>
        </w:rPr>
        <w:t>，采气5-20L。</w:t>
      </w:r>
    </w:p>
    <w:p>
      <w:pPr>
        <w:numPr>
          <w:ilvl w:val="0"/>
          <w:numId w:val="5"/>
        </w:numPr>
        <w:spacing w:line="276" w:lineRule="auto"/>
        <w:rPr>
          <w:szCs w:val="21"/>
        </w:rPr>
      </w:pPr>
      <w:r>
        <w:rPr>
          <w:szCs w:val="21"/>
        </w:rPr>
        <w:t>采样结束后，开启鼓风机开始催化反应，计时2h后关闭鼓风机，再采集一次样品；</w:t>
      </w:r>
    </w:p>
    <w:p>
      <w:pPr>
        <w:numPr>
          <w:ilvl w:val="0"/>
          <w:numId w:val="5"/>
        </w:numPr>
        <w:spacing w:line="276" w:lineRule="auto"/>
        <w:rPr>
          <w:szCs w:val="21"/>
        </w:rPr>
      </w:pPr>
      <w:r>
        <w:rPr>
          <w:bCs/>
          <w:szCs w:val="21"/>
        </w:rPr>
        <w:t>将气泡吸收管中的溶液转入具塞比色管中，加水定容至25mL，沸水浴3-5min使</w:t>
      </w:r>
      <w:r>
        <w:rPr>
          <w:bCs/>
          <w:kern w:val="0"/>
          <w:szCs w:val="21"/>
        </w:rPr>
        <w:t>显色完全</w:t>
      </w:r>
      <w:r>
        <w:rPr>
          <w:bCs/>
          <w:szCs w:val="21"/>
        </w:rPr>
        <w:t>，再恒温至25</w:t>
      </w:r>
      <w:r>
        <w:rPr>
          <w:rFonts w:ascii="宋体"/>
          <w:bCs/>
          <w:szCs w:val="21"/>
        </w:rPr>
        <w:t>℃</w:t>
      </w:r>
      <w:r>
        <w:rPr>
          <w:bCs/>
          <w:szCs w:val="21"/>
        </w:rPr>
        <w:t>，用紫外分光光度仪检测样品的吸光度</w:t>
      </w:r>
      <w:r>
        <w:rPr>
          <w:bCs/>
          <w:kern w:val="0"/>
          <w:szCs w:val="21"/>
        </w:rPr>
        <w:t>。</w:t>
      </w:r>
    </w:p>
    <w:p>
      <w:pPr>
        <w:spacing w:line="276" w:lineRule="auto"/>
        <w:rPr>
          <w:bCs/>
          <w:szCs w:val="21"/>
        </w:rPr>
      </w:pPr>
      <w:r>
        <w:rPr>
          <w:bCs/>
          <w:szCs w:val="21"/>
        </w:rPr>
        <w:t>A.</w:t>
      </w:r>
      <w:r>
        <w:rPr>
          <w:rFonts w:hint="eastAsia"/>
          <w:bCs/>
          <w:szCs w:val="21"/>
        </w:rPr>
        <w:t>7</w:t>
      </w:r>
      <w:r>
        <w:rPr>
          <w:bCs/>
          <w:szCs w:val="21"/>
        </w:rPr>
        <w:t xml:space="preserve">.3  </w:t>
      </w:r>
      <w:r>
        <w:rPr>
          <w:szCs w:val="21"/>
        </w:rPr>
        <w:t>吸光度的测定</w:t>
      </w:r>
    </w:p>
    <w:bookmarkEnd w:id="3"/>
    <w:p>
      <w:pPr>
        <w:spacing w:line="276" w:lineRule="auto"/>
        <w:ind w:firstLine="420" w:firstLineChars="200"/>
        <w:rPr>
          <w:szCs w:val="21"/>
        </w:rPr>
      </w:pPr>
      <w:r>
        <w:rPr>
          <w:bCs/>
          <w:szCs w:val="21"/>
        </w:rPr>
        <w:t>样品的吸光度</w:t>
      </w:r>
      <w:r>
        <w:rPr>
          <w:szCs w:val="21"/>
        </w:rPr>
        <w:t>按照</w:t>
      </w:r>
      <w:r>
        <w:rPr>
          <w:rFonts w:hint="eastAsia"/>
          <w:szCs w:val="21"/>
        </w:rPr>
        <w:t>“</w:t>
      </w:r>
      <w:r>
        <w:rPr>
          <w:szCs w:val="21"/>
        </w:rPr>
        <w:t>GB/T 15516-1995 空气质量 甲醛的测定 乙酰丙酮分光光度法</w:t>
      </w:r>
      <w:r>
        <w:rPr>
          <w:rFonts w:hint="eastAsia" w:eastAsiaTheme="minorEastAsia"/>
          <w:szCs w:val="21"/>
        </w:rPr>
        <w:t>”</w:t>
      </w:r>
      <w:r>
        <w:rPr>
          <w:szCs w:val="21"/>
        </w:rPr>
        <w:t>中的要求测定。</w:t>
      </w:r>
    </w:p>
    <w:p>
      <w:pPr>
        <w:spacing w:line="276" w:lineRule="auto"/>
        <w:rPr>
          <w:bCs/>
          <w:szCs w:val="21"/>
        </w:rPr>
      </w:pPr>
      <w:r>
        <w:rPr>
          <w:bCs/>
          <w:szCs w:val="21"/>
        </w:rPr>
        <w:t>A.</w:t>
      </w:r>
      <w:r>
        <w:rPr>
          <w:rFonts w:hint="eastAsia"/>
          <w:bCs/>
          <w:szCs w:val="21"/>
        </w:rPr>
        <w:t>7</w:t>
      </w:r>
      <w:r>
        <w:rPr>
          <w:bCs/>
          <w:szCs w:val="21"/>
        </w:rPr>
        <w:t>.4  甲醛浓度的计算</w:t>
      </w:r>
    </w:p>
    <w:p>
      <w:pPr>
        <w:spacing w:line="276" w:lineRule="auto"/>
        <w:ind w:firstLine="420" w:firstLineChars="200"/>
        <w:rPr>
          <w:szCs w:val="21"/>
        </w:rPr>
      </w:pPr>
      <w:r>
        <w:rPr>
          <w:szCs w:val="21"/>
        </w:rPr>
        <w:t>甲醛浓度由下式计算，数值取小数点后三位：</w:t>
      </w:r>
    </w:p>
    <w:p>
      <w:pPr>
        <w:spacing w:beforeLines="50" w:afterLines="50"/>
        <w:jc w:val="center"/>
        <w:rPr>
          <w:szCs w:val="21"/>
        </w:rPr>
      </w:pPr>
      <w:r>
        <w:rPr>
          <w:position w:val="-30"/>
          <w:szCs w:val="21"/>
        </w:rPr>
        <w:object>
          <v:shape id="_x0000_i1026" o:spt="75" type="#_x0000_t75" style="height:34.65pt;width:139.2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p>
      <w:pPr>
        <w:spacing w:line="276" w:lineRule="auto"/>
        <w:rPr>
          <w:szCs w:val="21"/>
        </w:rPr>
      </w:pPr>
      <w:r>
        <w:rPr>
          <w:szCs w:val="21"/>
        </w:rPr>
        <w:t xml:space="preserve">     式中：</w:t>
      </w:r>
    </w:p>
    <w:p>
      <w:pPr>
        <w:spacing w:line="276" w:lineRule="auto"/>
        <w:ind w:firstLine="630" w:firstLineChars="300"/>
        <w:rPr>
          <w:szCs w:val="21"/>
        </w:rPr>
      </w:pPr>
      <w:bookmarkStart w:id="4" w:name="OLE_LINK37"/>
      <w:r>
        <w:rPr>
          <w:szCs w:val="21"/>
        </w:rPr>
        <w:t>C</w:t>
      </w:r>
      <w:r>
        <w:rPr>
          <w:i/>
          <w:szCs w:val="21"/>
          <w:vertAlign w:val="subscript"/>
        </w:rPr>
        <w:t>HCHO</w:t>
      </w:r>
      <w:bookmarkEnd w:id="4"/>
      <w:r>
        <w:rPr>
          <w:szCs w:val="21"/>
        </w:rPr>
        <w:t>——甲醛浓度，单位为mg/m</w:t>
      </w:r>
      <w:r>
        <w:rPr>
          <w:szCs w:val="21"/>
          <w:vertAlign w:val="superscript"/>
        </w:rPr>
        <w:t>3</w:t>
      </w:r>
      <w:r>
        <w:rPr>
          <w:szCs w:val="21"/>
        </w:rPr>
        <w:t>；</w:t>
      </w:r>
    </w:p>
    <w:p>
      <w:pPr>
        <w:spacing w:line="276" w:lineRule="auto"/>
        <w:ind w:firstLine="630" w:firstLineChars="300"/>
        <w:rPr>
          <w:szCs w:val="21"/>
        </w:rPr>
      </w:pPr>
      <w:r>
        <w:rPr>
          <w:szCs w:val="21"/>
        </w:rPr>
        <w:t>A——样品溶液吸光度；</w:t>
      </w:r>
    </w:p>
    <w:p>
      <w:pPr>
        <w:spacing w:line="276" w:lineRule="auto"/>
        <w:ind w:firstLine="630" w:firstLineChars="300"/>
        <w:rPr>
          <w:szCs w:val="21"/>
        </w:rPr>
      </w:pPr>
      <w:r>
        <w:rPr>
          <w:szCs w:val="21"/>
        </w:rPr>
        <w:t>A</w:t>
      </w:r>
      <w:r>
        <w:rPr>
          <w:szCs w:val="21"/>
          <w:vertAlign w:val="subscript"/>
        </w:rPr>
        <w:t>0</w:t>
      </w:r>
      <w:r>
        <w:rPr>
          <w:szCs w:val="21"/>
        </w:rPr>
        <w:t>——试剂空白液吸光度；</w:t>
      </w:r>
    </w:p>
    <w:p>
      <w:pPr>
        <w:spacing w:line="276" w:lineRule="auto"/>
        <w:ind w:firstLine="630" w:firstLineChars="300"/>
        <w:rPr>
          <w:szCs w:val="21"/>
        </w:rPr>
      </w:pPr>
      <w:r>
        <w:rPr>
          <w:szCs w:val="21"/>
        </w:rPr>
        <w:t>b——回归方程式的斜率；</w:t>
      </w:r>
    </w:p>
    <w:p>
      <w:pPr>
        <w:spacing w:line="276" w:lineRule="auto"/>
        <w:ind w:firstLine="630" w:firstLineChars="300"/>
        <w:rPr>
          <w:szCs w:val="21"/>
        </w:rPr>
      </w:pPr>
      <w:r>
        <w:rPr>
          <w:szCs w:val="21"/>
        </w:rPr>
        <w:t>a——回归方程式的截距；</w:t>
      </w:r>
    </w:p>
    <w:p>
      <w:pPr>
        <w:spacing w:line="276" w:lineRule="auto"/>
        <w:ind w:firstLine="630" w:firstLineChars="300"/>
        <w:rPr>
          <w:szCs w:val="21"/>
        </w:rPr>
      </w:pPr>
      <w:r>
        <w:rPr>
          <w:szCs w:val="21"/>
        </w:rPr>
        <w:t>V</w:t>
      </w:r>
      <w:r>
        <w:rPr>
          <w:szCs w:val="21"/>
          <w:vertAlign w:val="subscript"/>
        </w:rPr>
        <w:t>r</w:t>
      </w:r>
      <w:r>
        <w:rPr>
          <w:szCs w:val="21"/>
        </w:rPr>
        <w:t>——换算为参比状态下的采样体积，单位为L。</w:t>
      </w:r>
    </w:p>
    <w:p>
      <w:pPr>
        <w:spacing w:beforeLines="50" w:line="276" w:lineRule="auto"/>
        <w:rPr>
          <w:b/>
          <w:szCs w:val="21"/>
        </w:rPr>
      </w:pPr>
      <w:r>
        <w:rPr>
          <w:b/>
          <w:szCs w:val="21"/>
        </w:rPr>
        <w:t>A.</w:t>
      </w:r>
      <w:r>
        <w:rPr>
          <w:rFonts w:hint="eastAsia"/>
          <w:b/>
          <w:szCs w:val="21"/>
        </w:rPr>
        <w:t>8</w:t>
      </w:r>
      <w:r>
        <w:rPr>
          <w:b/>
          <w:szCs w:val="21"/>
        </w:rPr>
        <w:t xml:space="preserve">  催化剂性能表述</w:t>
      </w:r>
    </w:p>
    <w:p>
      <w:pPr>
        <w:spacing w:line="276" w:lineRule="auto"/>
        <w:ind w:firstLine="482"/>
        <w:rPr>
          <w:szCs w:val="21"/>
        </w:rPr>
      </w:pPr>
      <w:r>
        <w:rPr>
          <w:szCs w:val="21"/>
        </w:rPr>
        <w:t>本方法以甲醛去除率来表述催化剂性能，数值以</w:t>
      </w:r>
      <w:r>
        <w:rPr>
          <w:rFonts w:hint="eastAsia"/>
          <w:szCs w:val="21"/>
        </w:rPr>
        <w:t>%</w:t>
      </w:r>
      <w:r>
        <w:rPr>
          <w:szCs w:val="21"/>
        </w:rPr>
        <w:t>计，取小数点后一位。</w:t>
      </w:r>
    </w:p>
    <w:p>
      <w:pPr>
        <w:spacing w:line="276" w:lineRule="auto"/>
        <w:ind w:firstLine="482"/>
        <w:rPr>
          <w:szCs w:val="21"/>
        </w:rPr>
      </w:pPr>
      <w:r>
        <w:rPr>
          <w:szCs w:val="21"/>
        </w:rPr>
        <w:t>甲醛去除率（</w:t>
      </w:r>
      <w:bookmarkStart w:id="5" w:name="OLE_LINK55"/>
      <w:r>
        <w:rPr>
          <w:szCs w:val="21"/>
        </w:rPr>
        <w:t>w</w:t>
      </w:r>
      <w:bookmarkEnd w:id="5"/>
      <w:r>
        <w:rPr>
          <w:szCs w:val="21"/>
        </w:rPr>
        <w:t>）由下式计算：</w:t>
      </w:r>
    </w:p>
    <w:p>
      <w:pPr>
        <w:spacing w:beforeLines="50" w:afterLines="50"/>
        <w:jc w:val="center"/>
        <w:rPr>
          <w:szCs w:val="21"/>
        </w:rPr>
      </w:pPr>
      <w:r>
        <w:rPr>
          <w:position w:val="-24"/>
          <w:szCs w:val="21"/>
        </w:rPr>
        <w:object>
          <v:shape id="_x0000_i1027" o:spt="75" type="#_x0000_t75" style="height:30.55pt;width:95.1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pPr>
        <w:spacing w:line="276" w:lineRule="auto"/>
        <w:rPr>
          <w:bCs/>
          <w:szCs w:val="21"/>
        </w:rPr>
      </w:pPr>
      <w:r>
        <w:rPr>
          <w:szCs w:val="21"/>
        </w:rPr>
        <w:t>注：</w:t>
      </w:r>
      <w:r>
        <w:rPr>
          <w:bCs/>
          <w:szCs w:val="21"/>
        </w:rPr>
        <w:t>C</w:t>
      </w:r>
      <w:r>
        <w:rPr>
          <w:bCs/>
          <w:szCs w:val="21"/>
          <w:vertAlign w:val="subscript"/>
        </w:rPr>
        <w:t>1</w:t>
      </w:r>
      <w:r>
        <w:rPr>
          <w:bCs/>
          <w:szCs w:val="21"/>
        </w:rPr>
        <w:t>为</w:t>
      </w:r>
      <w:bookmarkStart w:id="6" w:name="OLE_LINK59"/>
      <w:bookmarkStart w:id="7" w:name="OLE_LINK58"/>
      <w:r>
        <w:rPr>
          <w:bCs/>
          <w:szCs w:val="21"/>
        </w:rPr>
        <w:t>甲醛的初始浓度；</w:t>
      </w:r>
    </w:p>
    <w:p>
      <w:pPr>
        <w:spacing w:line="276" w:lineRule="auto"/>
        <w:ind w:firstLine="420" w:firstLineChars="200"/>
        <w:rPr>
          <w:bCs/>
          <w:szCs w:val="21"/>
        </w:rPr>
      </w:pPr>
      <w:r>
        <w:rPr>
          <w:bCs/>
          <w:szCs w:val="21"/>
        </w:rPr>
        <w:t>C</w:t>
      </w:r>
      <w:r>
        <w:rPr>
          <w:bCs/>
          <w:szCs w:val="21"/>
          <w:vertAlign w:val="subscript"/>
        </w:rPr>
        <w:t>2</w:t>
      </w:r>
      <w:r>
        <w:rPr>
          <w:bCs/>
          <w:szCs w:val="21"/>
        </w:rPr>
        <w:t>为运行</w:t>
      </w:r>
      <w:r>
        <w:rPr>
          <w:rFonts w:hint="eastAsia"/>
          <w:bCs/>
          <w:szCs w:val="21"/>
        </w:rPr>
        <w:t>2h</w:t>
      </w:r>
      <w:r>
        <w:rPr>
          <w:bCs/>
          <w:szCs w:val="21"/>
        </w:rPr>
        <w:t>后石英玻璃反应管出口端的甲醛浓度</w:t>
      </w:r>
      <w:bookmarkEnd w:id="6"/>
      <w:bookmarkEnd w:id="7"/>
      <w:r>
        <w:rPr>
          <w:bCs/>
          <w:szCs w:val="21"/>
        </w:rPr>
        <w:t>。</w:t>
      </w:r>
    </w:p>
    <w:p>
      <w:pPr>
        <w:spacing w:line="276" w:lineRule="auto"/>
        <w:rPr>
          <w:b/>
          <w:szCs w:val="21"/>
        </w:rPr>
      </w:pPr>
      <w:r>
        <w:rPr>
          <w:b/>
          <w:szCs w:val="21"/>
        </w:rPr>
        <w:t>A.</w:t>
      </w:r>
      <w:r>
        <w:rPr>
          <w:rFonts w:hint="eastAsia"/>
          <w:b/>
          <w:szCs w:val="21"/>
        </w:rPr>
        <w:t>9</w:t>
      </w:r>
      <w:r>
        <w:rPr>
          <w:b/>
          <w:szCs w:val="21"/>
        </w:rPr>
        <w:t xml:space="preserve">  允许差</w:t>
      </w:r>
    </w:p>
    <w:p>
      <w:pPr>
        <w:spacing w:line="276" w:lineRule="auto"/>
        <w:ind w:firstLine="420" w:firstLineChars="200"/>
        <w:rPr>
          <w:szCs w:val="21"/>
        </w:rPr>
      </w:pPr>
      <w:r>
        <w:rPr>
          <w:szCs w:val="21"/>
        </w:rPr>
        <w:t>两次平行测定结果之差应不大于2.0%。</w:t>
      </w:r>
    </w:p>
    <w:p>
      <w:pPr>
        <w:spacing w:line="276" w:lineRule="auto"/>
        <w:ind w:firstLine="420" w:firstLineChars="200"/>
        <w:rPr>
          <w:szCs w:val="21"/>
        </w:rPr>
      </w:pPr>
      <w:r>
        <w:rPr>
          <w:szCs w:val="21"/>
        </w:rPr>
        <w:t>在重复性条件下获得的两次独立测试结果的测定值，这两个测试结果的绝对差值不超过重复性限2.0%，超过重复性限(r)的情况应不超过5.0%。</w:t>
      </w:r>
    </w:p>
    <w:p>
      <w:pPr>
        <w:spacing w:line="276" w:lineRule="auto"/>
        <w:ind w:firstLine="420" w:firstLineChars="200"/>
        <w:rPr>
          <w:szCs w:val="21"/>
        </w:rPr>
      </w:pPr>
      <w:r>
        <w:rPr>
          <w:szCs w:val="21"/>
        </w:rPr>
        <w:t>实验室之间分析结果的差值应不大于相对允许差6.0%。</w:t>
      </w:r>
    </w:p>
    <w:p>
      <w:pPr>
        <w:spacing w:line="276" w:lineRule="auto"/>
        <w:ind w:firstLine="420" w:firstLineChars="200"/>
        <w:rPr>
          <w:szCs w:val="21"/>
        </w:rPr>
      </w:pPr>
    </w:p>
    <w:p>
      <w:pPr>
        <w:spacing w:line="276" w:lineRule="auto"/>
        <w:ind w:firstLine="420" w:firstLineChars="200"/>
        <w:rPr>
          <w:szCs w:val="21"/>
        </w:rPr>
      </w:pPr>
    </w:p>
    <w:p>
      <w:pPr>
        <w:spacing w:line="276" w:lineRule="auto"/>
        <w:ind w:firstLine="420" w:firstLineChars="200"/>
        <w:rPr>
          <w:szCs w:val="21"/>
        </w:rPr>
      </w:pPr>
    </w:p>
    <w:p>
      <w:pPr>
        <w:spacing w:line="276" w:lineRule="auto"/>
        <w:ind w:firstLine="420" w:firstLineChars="200"/>
        <w:rPr>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83820</wp:posOffset>
                </wp:positionV>
                <wp:extent cx="2286000" cy="0"/>
                <wp:effectExtent l="0" t="0" r="0" b="0"/>
                <wp:wrapTight wrapText="bothSides">
                  <wp:wrapPolygon>
                    <wp:start x="1" y="1"/>
                    <wp:lineTo x="241" y="1"/>
                    <wp:lineTo x="241" y="1"/>
                    <wp:lineTo x="1" y="1"/>
                    <wp:lineTo x="1" y="1"/>
                  </wp:wrapPolygon>
                </wp:wrapTight>
                <wp:docPr id="2" name="直线 11"/>
                <wp:cNvGraphicFramePr/>
                <a:graphic xmlns:a="http://schemas.openxmlformats.org/drawingml/2006/main">
                  <a:graphicData uri="http://schemas.microsoft.com/office/word/2010/wordprocessingShape">
                    <wps:wsp>
                      <wps:cNvSp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26pt;margin-top:6.6pt;height:0pt;width:180pt;mso-wrap-distance-left:9pt;mso-wrap-distance-right:9pt;z-index:251658240;mso-width-relative:page;mso-height-relative:page;" filled="f" stroked="t" coordsize="21600,21600" wrapcoords="1 1 241 1 241 1 1 1 1 1" o:gfxdata="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pjtTVAAAACQEAAA8AAAAAAAAAAQAgAAAAIgAAAGRycy9k&#10;b3ducmV2LnhtbFBLAQIUABQAAAAIAIdO4kCJYYuVzAEAAI4DAAAOAAAAAAAAAAEAIAAAACQBAABk&#10;cnMvZTJvRG9jLnhtbFBLBQYAAAAABgAGAFkBAABiBQAAAAA=&#10;">
                <v:fill on="f" focussize="0,0"/>
                <v:stroke color="#000000" joinstyle="round"/>
                <v:imagedata o:title=""/>
                <o:lock v:ext="edit" aspectratio="f"/>
                <w10:wrap type="tight"/>
              </v:line>
            </w:pict>
          </mc:Fallback>
        </mc:AlternateContent>
      </w:r>
    </w:p>
    <w:p>
      <w:pPr>
        <w:spacing w:line="276" w:lineRule="auto"/>
        <w:ind w:firstLine="420" w:firstLineChars="200"/>
        <w:rPr>
          <w:szCs w:val="21"/>
        </w:rPr>
      </w:pPr>
    </w:p>
    <w:sectPr>
      <w:pgSz w:w="11906" w:h="16838"/>
      <w:pgMar w:top="1440" w:right="1440" w:bottom="1440" w:left="1440" w:header="953" w:footer="720" w:gutter="0"/>
      <w:pgNumType w:fmt="numberInDash" w:start="2"/>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50"/>
      <w:jc w:val="center"/>
      <w:rPr>
        <w:rFonts w:eastAsia="黑体"/>
        <w:bCs/>
        <w:sz w:val="32"/>
        <w:szCs w:val="32"/>
      </w:rPr>
    </w:pPr>
    <w: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320675</wp:posOffset>
              </wp:positionV>
              <wp:extent cx="5346065" cy="0"/>
              <wp:effectExtent l="0" t="9525" r="3175" b="13335"/>
              <wp:wrapNone/>
              <wp:docPr id="3" name="直线 2"/>
              <wp:cNvGraphicFramePr/>
              <a:graphic xmlns:a="http://schemas.openxmlformats.org/drawingml/2006/main">
                <a:graphicData uri="http://schemas.microsoft.com/office/word/2010/wordprocessingShape">
                  <wps:wsp>
                    <wps:cNvSpPr/>
                    <wps:spPr>
                      <a:xfrm>
                        <a:off x="0" y="0"/>
                        <a:ext cx="534606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pt;margin-top:25.25pt;height:0pt;width:420.95pt;z-index:251656192;mso-width-relative:page;mso-height-relative:page;" filled="f" stroked="t" coordsize="21600,21600" o:gfxdata="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ab5tdUAAAAIAQAADwAAAAAAAAABACAAAAAiAAAAZHJz&#10;L2Rvd25yZXYueG1sUEsBAhQAFAAAAAgAh07iQLxvcGDOAQAAjgMAAA4AAAAAAAAAAQAgAAAAJAEA&#10;AGRycy9lMm9Eb2MueG1sUEsFBgAAAAAGAAYAWQEAAGQFAAAAAA==&#10;">
              <v:fill on="f" focussize="0,0"/>
              <v:stroke weight="1.5pt" color="#000000" joinstyle="round"/>
              <v:imagedata o:title=""/>
              <o:lock v:ext="edit" aspectratio="f"/>
            </v:line>
          </w:pict>
        </mc:Fallback>
      </mc:AlternateContent>
    </w:r>
    <w:r>
      <w:rPr>
        <w:rFonts w:eastAsia="黑体"/>
        <w:sz w:val="32"/>
        <w:szCs w:val="32"/>
      </w:rPr>
      <w:t>202</w:t>
    </w:r>
    <w:r>
      <w:rPr>
        <w:rFonts w:hint="eastAsia" w:eastAsia="黑体"/>
        <w:sz w:val="32"/>
        <w:szCs w:val="32"/>
      </w:rPr>
      <w:t>×</w:t>
    </w:r>
    <w:r>
      <w:rPr>
        <w:rFonts w:eastAsia="黑体"/>
        <w:sz w:val="32"/>
        <w:szCs w:val="32"/>
      </w:rPr>
      <w:t>-</w:t>
    </w:r>
    <w:r>
      <w:rPr>
        <w:rFonts w:hint="eastAsia" w:eastAsia="黑体"/>
        <w:sz w:val="32"/>
        <w:szCs w:val="32"/>
      </w:rPr>
      <w:t>××</w:t>
    </w:r>
    <w:r>
      <w:rPr>
        <w:rFonts w:eastAsia="黑体"/>
        <w:sz w:val="32"/>
        <w:szCs w:val="32"/>
      </w:rPr>
      <w:t>-</w:t>
    </w:r>
    <w:r>
      <w:rPr>
        <w:rFonts w:hint="eastAsia" w:eastAsia="黑体"/>
        <w:sz w:val="32"/>
        <w:szCs w:val="32"/>
      </w:rPr>
      <w:t>××发布</w:t>
    </w:r>
    <w:r>
      <w:rPr>
        <w:rFonts w:eastAsia="黑体"/>
        <w:sz w:val="32"/>
        <w:szCs w:val="32"/>
      </w:rPr>
      <w:t xml:space="preserve">             202</w:t>
    </w:r>
    <w:r>
      <w:rPr>
        <w:rFonts w:hint="eastAsia" w:eastAsia="黑体"/>
        <w:sz w:val="32"/>
        <w:szCs w:val="32"/>
      </w:rPr>
      <w:t>×</w:t>
    </w:r>
    <w:r>
      <w:rPr>
        <w:rFonts w:eastAsia="黑体"/>
        <w:sz w:val="32"/>
        <w:szCs w:val="32"/>
      </w:rPr>
      <w:t>-</w:t>
    </w:r>
    <w:r>
      <w:rPr>
        <w:rFonts w:hint="eastAsia" w:eastAsia="黑体"/>
        <w:sz w:val="32"/>
        <w:szCs w:val="32"/>
      </w:rPr>
      <w:t>××</w:t>
    </w:r>
    <w:r>
      <w:rPr>
        <w:rFonts w:eastAsia="黑体"/>
        <w:sz w:val="32"/>
        <w:szCs w:val="32"/>
      </w:rPr>
      <w:t>-</w:t>
    </w:r>
    <w:r>
      <w:rPr>
        <w:rFonts w:hint="eastAsia" w:eastAsia="黑体"/>
        <w:sz w:val="32"/>
        <w:szCs w:val="32"/>
      </w:rPr>
      <w:t>××</w:t>
    </w:r>
    <w:r>
      <w:rPr>
        <w:rFonts w:hint="eastAsia" w:eastAsia="黑体"/>
        <w:bCs/>
        <w:sz w:val="32"/>
        <w:szCs w:val="32"/>
      </w:rPr>
      <w:t>实施</w:t>
    </w:r>
  </w:p>
  <w:p>
    <w:pPr>
      <w:jc w:val="center"/>
      <w:rPr>
        <w:rFonts w:ascii="黑体" w:hAnsi="黑体" w:eastAsia="黑体"/>
        <w:sz w:val="36"/>
        <w:szCs w:val="36"/>
      </w:rPr>
    </w:pPr>
    <w:r>
      <w:rPr>
        <w:rFonts w:hint="eastAsia" w:ascii="黑体" w:hAnsi="黑体" w:eastAsia="黑体"/>
        <w:sz w:val="36"/>
        <w:szCs w:val="36"/>
      </w:rPr>
      <w:t>中华人民共和国工业和信息化部</w:t>
    </w:r>
    <w:r>
      <w:rPr>
        <w:rFonts w:hint="eastAsia" w:ascii="黑体" w:hAnsi="黑体" w:eastAsia="黑体"/>
        <w:sz w:val="30"/>
        <w:szCs w:val="30"/>
      </w:rPr>
      <w:t>发布</w:t>
    </w:r>
  </w:p>
  <w:p>
    <w:pPr>
      <w:jc w:val="center"/>
      <w:rPr>
        <w:rFonts w:ascii="黑体" w:hAnsi="黑体" w:eastAsia="黑体"/>
        <w:sz w:val="36"/>
        <w:szCs w:val="36"/>
      </w:rPr>
    </w:pPr>
  </w:p>
  <w:p>
    <w:pPr>
      <w:jc w:val="center"/>
      <w:rPr>
        <w:rFonts w:ascii="黑体" w:hAnsi="黑体" w:eastAsia="黑体"/>
        <w:sz w:val="36"/>
        <w:szCs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Cs w:val="21"/>
      </w:rPr>
    </w:pPr>
    <w:r>
      <w:rPr>
        <w:rStyle w:val="11"/>
      </w:rPr>
      <w:fldChar w:fldCharType="begin"/>
    </w:r>
    <w:r>
      <w:rPr>
        <w:rStyle w:val="11"/>
      </w:rPr>
      <w:instrText xml:space="preserve"> PAGE </w:instrText>
    </w:r>
    <w:r>
      <w:rPr>
        <w:rStyle w:val="11"/>
      </w:rPr>
      <w:fldChar w:fldCharType="separate"/>
    </w:r>
    <w:r>
      <w:rPr>
        <w:rStyle w:val="11"/>
      </w:rPr>
      <w:t>- 5 -</w:t>
    </w:r>
    <w:r>
      <w:rPr>
        <w:rStyle w:val="1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20" w:firstLineChars="50"/>
      <w:rPr>
        <w:sz w:val="24"/>
      </w:rPr>
    </w:pPr>
    <w:r>
      <w:rPr>
        <w:sz w:val="24"/>
      </w:rPr>
      <w:t xml:space="preserve">ICS 77.150.99 </w:t>
    </w:r>
  </w:p>
  <w:p>
    <w:pPr>
      <w:ind w:firstLine="120" w:firstLineChars="50"/>
      <w:rPr>
        <w:sz w:val="24"/>
      </w:rPr>
    </w:pPr>
    <w:r>
      <w:rPr>
        <w:rFonts w:hint="eastAsia"/>
        <w:sz w:val="24"/>
      </w:rPr>
      <w:t>CCS Z00/09</w:t>
    </w:r>
  </w:p>
  <w:p>
    <w:pPr>
      <w:spacing w:line="360" w:lineRule="auto"/>
      <w:jc w:val="right"/>
      <w:rPr>
        <w:rFonts w:hAnsi="宋体"/>
        <w:b/>
        <w:sz w:val="44"/>
        <w:szCs w:val="44"/>
      </w:rPr>
    </w:pPr>
    <w:r>
      <w:rPr>
        <w:rFonts w:hAnsi="宋体"/>
        <w:b/>
        <w:w w:val="150"/>
        <w:sz w:val="84"/>
        <w:szCs w:val="84"/>
      </w:rPr>
      <w:t>YS</w:t>
    </w:r>
  </w:p>
  <w:p>
    <w:pPr>
      <w:jc w:val="distribute"/>
      <w:rPr>
        <w:b/>
        <w:w w:val="110"/>
        <w:sz w:val="52"/>
        <w:szCs w:val="52"/>
      </w:rPr>
    </w:pPr>
    <w:r>
      <w:rPr>
        <w:rFonts w:hint="eastAsia" w:hAnsi="宋体"/>
        <w:b/>
        <w:w w:val="110"/>
        <w:sz w:val="52"/>
        <w:szCs w:val="52"/>
      </w:rPr>
      <w:t>中华人民共和国有色金属行业标准</w:t>
    </w:r>
  </w:p>
  <w:p>
    <w:pPr>
      <w:jc w:val="right"/>
      <w:rPr>
        <w:bCs/>
        <w:sz w:val="28"/>
        <w:szCs w:val="28"/>
      </w:rPr>
    </w:pPr>
    <w:r>
      <w:rPr>
        <w:bCs/>
        <w:sz w:val="28"/>
        <w:szCs w:val="28"/>
      </w:rPr>
      <w:t xml:space="preserve">YS/T </w:t>
    </w:r>
    <w:r>
      <w:rPr>
        <w:rFonts w:ascii="Arial" w:hAnsi="Arial" w:cs="Arial"/>
        <w:bCs/>
        <w:sz w:val="28"/>
        <w:szCs w:val="28"/>
      </w:rPr>
      <w:t>××××</w:t>
    </w:r>
    <w:r>
      <w:rPr>
        <w:bCs/>
        <w:sz w:val="28"/>
        <w:szCs w:val="28"/>
      </w:rPr>
      <w:t>-202</w:t>
    </w:r>
    <w:r>
      <w:rPr>
        <w:rFonts w:ascii="Arial" w:hAnsi="Arial" w:cs="Arial"/>
        <w:bCs/>
        <w:sz w:val="28"/>
        <w:szCs w:val="28"/>
      </w:rPr>
      <w:t>×</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2" o:spid="_x0000_s2049" o:spt="136" type="#_x0000_t136" style="position:absolute;left:0pt;height:44.25pt;width:399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 o:spid="_x0000_s2051" o:spt="136" type="#_x0000_t136" style="position:absolute;left:0pt;height:44.25pt;width:399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YS / T </w:t>
    </w:r>
    <w:r>
      <w:rPr>
        <w:rFonts w:hint="eastAsia"/>
      </w:rPr>
      <w:t>××××</w:t>
    </w:r>
    <w:r>
      <w:t>-202</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8" o:spid="_x0000_s2052" o:spt="136" type="#_x0000_t136" style="position:absolute;left:0pt;height:44.25pt;width:39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7" o:spid="_x0000_s2053" o:spt="136" type="#_x0000_t136" style="position:absolute;left:0pt;height:44.25pt;width:399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text="f"/>
          <v:textpath on="t" fitshape="t" fitpath="t" trim="t" xscale="f" string="西安凯立  绝密文件" style="font-family:宋体;font-size:4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662B0"/>
    <w:multiLevelType w:val="singleLevel"/>
    <w:tmpl w:val="C69662B0"/>
    <w:lvl w:ilvl="0" w:tentative="0">
      <w:start w:val="1"/>
      <w:numFmt w:val="lowerLetter"/>
      <w:suff w:val="nothing"/>
      <w:lvlText w:val="%1）"/>
      <w:lvlJc w:val="left"/>
    </w:lvl>
  </w:abstractNum>
  <w:abstractNum w:abstractNumId="1">
    <w:nsid w:val="E85C8714"/>
    <w:multiLevelType w:val="singleLevel"/>
    <w:tmpl w:val="E85C8714"/>
    <w:lvl w:ilvl="0" w:tentative="0">
      <w:start w:val="1"/>
      <w:numFmt w:val="lowerLetter"/>
      <w:suff w:val="nothing"/>
      <w:lvlText w:val="%1）"/>
      <w:lvlJc w:val="left"/>
    </w:lvl>
  </w:abstractNum>
  <w:abstractNum w:abstractNumId="2">
    <w:nsid w:val="15813946"/>
    <w:multiLevelType w:val="multilevel"/>
    <w:tmpl w:val="15813946"/>
    <w:lvl w:ilvl="0" w:tentative="0">
      <w:start w:val="1"/>
      <w:numFmt w:val="lowerLetter"/>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241865D6"/>
    <w:multiLevelType w:val="multilevel"/>
    <w:tmpl w:val="241865D6"/>
    <w:lvl w:ilvl="0" w:tentative="0">
      <w:start w:val="1"/>
      <w:numFmt w:val="lowerLetter"/>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75A80C65"/>
    <w:multiLevelType w:val="multilevel"/>
    <w:tmpl w:val="75A80C65"/>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317"/>
  <w:displayHorizontalDrawingGridEvery w:val="0"/>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0D"/>
    <w:rsid w:val="00016CEE"/>
    <w:rsid w:val="0005259F"/>
    <w:rsid w:val="00055A77"/>
    <w:rsid w:val="00080C43"/>
    <w:rsid w:val="00084ADA"/>
    <w:rsid w:val="000A31C8"/>
    <w:rsid w:val="000B06F1"/>
    <w:rsid w:val="000B66A3"/>
    <w:rsid w:val="000C73DF"/>
    <w:rsid w:val="000D4DA2"/>
    <w:rsid w:val="000F4029"/>
    <w:rsid w:val="00121D91"/>
    <w:rsid w:val="00147ABF"/>
    <w:rsid w:val="001528A1"/>
    <w:rsid w:val="00155E3D"/>
    <w:rsid w:val="00165861"/>
    <w:rsid w:val="00167ACA"/>
    <w:rsid w:val="00172A27"/>
    <w:rsid w:val="00180DDA"/>
    <w:rsid w:val="00186818"/>
    <w:rsid w:val="00197A5B"/>
    <w:rsid w:val="001B60FA"/>
    <w:rsid w:val="001E5FC1"/>
    <w:rsid w:val="002130E1"/>
    <w:rsid w:val="00224FB0"/>
    <w:rsid w:val="002400CA"/>
    <w:rsid w:val="00266439"/>
    <w:rsid w:val="002731FA"/>
    <w:rsid w:val="00297EA8"/>
    <w:rsid w:val="002A33F8"/>
    <w:rsid w:val="002C34A9"/>
    <w:rsid w:val="002C6095"/>
    <w:rsid w:val="002F246A"/>
    <w:rsid w:val="002F768D"/>
    <w:rsid w:val="00321F12"/>
    <w:rsid w:val="0033061D"/>
    <w:rsid w:val="0034628B"/>
    <w:rsid w:val="003467BE"/>
    <w:rsid w:val="00347BE8"/>
    <w:rsid w:val="00360D57"/>
    <w:rsid w:val="00384773"/>
    <w:rsid w:val="00387624"/>
    <w:rsid w:val="003941F8"/>
    <w:rsid w:val="003A1E72"/>
    <w:rsid w:val="003C6CD1"/>
    <w:rsid w:val="003C74D4"/>
    <w:rsid w:val="003D5B62"/>
    <w:rsid w:val="003E0581"/>
    <w:rsid w:val="00405F7B"/>
    <w:rsid w:val="00432D6B"/>
    <w:rsid w:val="004412A9"/>
    <w:rsid w:val="00451687"/>
    <w:rsid w:val="0045384E"/>
    <w:rsid w:val="004542CB"/>
    <w:rsid w:val="00457270"/>
    <w:rsid w:val="00466CFA"/>
    <w:rsid w:val="0047465B"/>
    <w:rsid w:val="00493CC9"/>
    <w:rsid w:val="004A3DDE"/>
    <w:rsid w:val="004A6DDA"/>
    <w:rsid w:val="004C0E5D"/>
    <w:rsid w:val="00505186"/>
    <w:rsid w:val="005067A3"/>
    <w:rsid w:val="005339B1"/>
    <w:rsid w:val="00566FBE"/>
    <w:rsid w:val="00573BA2"/>
    <w:rsid w:val="0059298D"/>
    <w:rsid w:val="00595947"/>
    <w:rsid w:val="005A3439"/>
    <w:rsid w:val="005A49FB"/>
    <w:rsid w:val="005A5F8B"/>
    <w:rsid w:val="005B0226"/>
    <w:rsid w:val="005B1DD6"/>
    <w:rsid w:val="005B27B6"/>
    <w:rsid w:val="005D692E"/>
    <w:rsid w:val="005E525A"/>
    <w:rsid w:val="00613DB8"/>
    <w:rsid w:val="00631F53"/>
    <w:rsid w:val="00634A57"/>
    <w:rsid w:val="006358B2"/>
    <w:rsid w:val="0066139E"/>
    <w:rsid w:val="0068690F"/>
    <w:rsid w:val="006D1DCA"/>
    <w:rsid w:val="007108FC"/>
    <w:rsid w:val="00735986"/>
    <w:rsid w:val="007428D7"/>
    <w:rsid w:val="007665AD"/>
    <w:rsid w:val="0077046C"/>
    <w:rsid w:val="007A1D13"/>
    <w:rsid w:val="007A452D"/>
    <w:rsid w:val="007B3E31"/>
    <w:rsid w:val="007B6243"/>
    <w:rsid w:val="007C5001"/>
    <w:rsid w:val="008104D5"/>
    <w:rsid w:val="008B1068"/>
    <w:rsid w:val="008B40A7"/>
    <w:rsid w:val="008C5B95"/>
    <w:rsid w:val="008D579D"/>
    <w:rsid w:val="00907E40"/>
    <w:rsid w:val="0091052D"/>
    <w:rsid w:val="00933CAC"/>
    <w:rsid w:val="0094506E"/>
    <w:rsid w:val="0094609D"/>
    <w:rsid w:val="009553FB"/>
    <w:rsid w:val="00964B46"/>
    <w:rsid w:val="00965193"/>
    <w:rsid w:val="009821D9"/>
    <w:rsid w:val="00996D60"/>
    <w:rsid w:val="009A412F"/>
    <w:rsid w:val="009B41AB"/>
    <w:rsid w:val="009F19AF"/>
    <w:rsid w:val="009F1D59"/>
    <w:rsid w:val="009F6CD5"/>
    <w:rsid w:val="00A50AA8"/>
    <w:rsid w:val="00A54027"/>
    <w:rsid w:val="00A81215"/>
    <w:rsid w:val="00AA66A3"/>
    <w:rsid w:val="00AD3F87"/>
    <w:rsid w:val="00B034DB"/>
    <w:rsid w:val="00B15FC4"/>
    <w:rsid w:val="00B17315"/>
    <w:rsid w:val="00B34314"/>
    <w:rsid w:val="00B81F1A"/>
    <w:rsid w:val="00BA066F"/>
    <w:rsid w:val="00C15D75"/>
    <w:rsid w:val="00C16ABB"/>
    <w:rsid w:val="00C44042"/>
    <w:rsid w:val="00C5301B"/>
    <w:rsid w:val="00C54EF3"/>
    <w:rsid w:val="00C60C0F"/>
    <w:rsid w:val="00C70A77"/>
    <w:rsid w:val="00C7463E"/>
    <w:rsid w:val="00C75F9C"/>
    <w:rsid w:val="00CE145D"/>
    <w:rsid w:val="00CE5956"/>
    <w:rsid w:val="00CF3945"/>
    <w:rsid w:val="00CF6445"/>
    <w:rsid w:val="00D25535"/>
    <w:rsid w:val="00D82CDE"/>
    <w:rsid w:val="00D87EF7"/>
    <w:rsid w:val="00DA0532"/>
    <w:rsid w:val="00DC0A16"/>
    <w:rsid w:val="00DC7082"/>
    <w:rsid w:val="00DD5B09"/>
    <w:rsid w:val="00DF0B39"/>
    <w:rsid w:val="00E1559F"/>
    <w:rsid w:val="00E246AC"/>
    <w:rsid w:val="00E53383"/>
    <w:rsid w:val="00E73CF1"/>
    <w:rsid w:val="00E76D9F"/>
    <w:rsid w:val="00EB2EAB"/>
    <w:rsid w:val="00EC4E49"/>
    <w:rsid w:val="00EC5A98"/>
    <w:rsid w:val="00ED277E"/>
    <w:rsid w:val="00EF107A"/>
    <w:rsid w:val="00EF4CAB"/>
    <w:rsid w:val="00F172D9"/>
    <w:rsid w:val="00F527D2"/>
    <w:rsid w:val="00F53E3B"/>
    <w:rsid w:val="00F678E9"/>
    <w:rsid w:val="00F77FB2"/>
    <w:rsid w:val="00F84DE8"/>
    <w:rsid w:val="00F851A8"/>
    <w:rsid w:val="00F8536F"/>
    <w:rsid w:val="00F86CEA"/>
    <w:rsid w:val="00F87430"/>
    <w:rsid w:val="00F9043F"/>
    <w:rsid w:val="00FA24A3"/>
    <w:rsid w:val="00FA713C"/>
    <w:rsid w:val="00FD000D"/>
    <w:rsid w:val="00FE176E"/>
    <w:rsid w:val="00FF708F"/>
    <w:rsid w:val="098400E5"/>
    <w:rsid w:val="0E0E653A"/>
    <w:rsid w:val="1172070D"/>
    <w:rsid w:val="1D5B6EC5"/>
    <w:rsid w:val="293903C4"/>
    <w:rsid w:val="3D6C578E"/>
    <w:rsid w:val="3D9F569C"/>
    <w:rsid w:val="3EFD4179"/>
    <w:rsid w:val="4218593E"/>
    <w:rsid w:val="48212EF3"/>
    <w:rsid w:val="5EC31717"/>
    <w:rsid w:val="61777170"/>
    <w:rsid w:val="66F23FE8"/>
    <w:rsid w:val="67DE4B96"/>
    <w:rsid w:val="6BA40D84"/>
    <w:rsid w:val="6E062056"/>
    <w:rsid w:val="70AE5E2B"/>
    <w:rsid w:val="727F44E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qFormat/>
    <w:uiPriority w:val="99"/>
    <w:pPr>
      <w:shd w:val="clear" w:color="auto" w:fill="000080"/>
    </w:pPr>
  </w:style>
  <w:style w:type="paragraph" w:styleId="3">
    <w:name w:val="Date"/>
    <w:basedOn w:val="1"/>
    <w:next w:val="1"/>
    <w:link w:val="16"/>
    <w:qFormat/>
    <w:uiPriority w:val="99"/>
    <w:rPr>
      <w:szCs w:val="20"/>
    </w:rPr>
  </w:style>
  <w:style w:type="paragraph" w:styleId="4">
    <w:name w:val="Balloon Text"/>
    <w:basedOn w:val="1"/>
    <w:link w:val="17"/>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99"/>
    <w:rPr>
      <w:rFonts w:cs="Times New Roman"/>
      <w:b/>
      <w:bCs/>
    </w:rPr>
  </w:style>
  <w:style w:type="character" w:styleId="11">
    <w:name w:val="page number"/>
    <w:qFormat/>
    <w:uiPriority w:val="99"/>
    <w:rPr>
      <w:rFonts w:cs="Times New Roman"/>
    </w:rPr>
  </w:style>
  <w:style w:type="paragraph" w:customStyle="1" w:styleId="12">
    <w:name w:val="p0"/>
    <w:basedOn w:val="1"/>
    <w:qFormat/>
    <w:uiPriority w:val="99"/>
    <w:pPr>
      <w:widowControl/>
    </w:pPr>
    <w:rPr>
      <w:kern w:val="0"/>
      <w:szCs w:val="21"/>
    </w:rPr>
  </w:style>
  <w:style w:type="character" w:customStyle="1" w:styleId="13">
    <w:name w:val="页眉 Char"/>
    <w:link w:val="6"/>
    <w:semiHidden/>
    <w:qFormat/>
    <w:locked/>
    <w:uiPriority w:val="99"/>
    <w:rPr>
      <w:rFonts w:cs="Times New Roman"/>
      <w:sz w:val="18"/>
      <w:szCs w:val="18"/>
    </w:rPr>
  </w:style>
  <w:style w:type="character" w:customStyle="1" w:styleId="14">
    <w:name w:val="页脚 Char"/>
    <w:link w:val="5"/>
    <w:semiHidden/>
    <w:qFormat/>
    <w:locked/>
    <w:uiPriority w:val="99"/>
    <w:rPr>
      <w:rFonts w:cs="Times New Roman"/>
      <w:sz w:val="18"/>
      <w:szCs w:val="18"/>
    </w:rPr>
  </w:style>
  <w:style w:type="character" w:customStyle="1" w:styleId="15">
    <w:name w:val="文档结构图 Char"/>
    <w:link w:val="2"/>
    <w:semiHidden/>
    <w:qFormat/>
    <w:locked/>
    <w:uiPriority w:val="99"/>
    <w:rPr>
      <w:rFonts w:cs="Times New Roman"/>
      <w:sz w:val="2"/>
    </w:rPr>
  </w:style>
  <w:style w:type="character" w:customStyle="1" w:styleId="16">
    <w:name w:val="日期 Char"/>
    <w:link w:val="3"/>
    <w:semiHidden/>
    <w:qFormat/>
    <w:locked/>
    <w:uiPriority w:val="99"/>
    <w:rPr>
      <w:rFonts w:cs="Times New Roman"/>
      <w:sz w:val="24"/>
      <w:szCs w:val="24"/>
    </w:rPr>
  </w:style>
  <w:style w:type="character" w:customStyle="1" w:styleId="17">
    <w:name w:val="批注框文本 Char"/>
    <w:link w:val="4"/>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Info spid="_x0000_s1026"/>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9BE6C-16FE-4666-BAA2-2C2F4CD350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4227</Words>
  <Characters>2049</Characters>
  <Lines>17</Lines>
  <Paragraphs>12</Paragraphs>
  <TotalTime>29</TotalTime>
  <ScaleCrop>false</ScaleCrop>
  <LinksUpToDate>false</LinksUpToDate>
  <CharactersWithSpaces>6264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2020-10-28T09:29:00Z</dcterms:created>
  <dc:creator>Administrator</dc:creator>
  <cp:lastModifiedBy>CathayMok</cp:lastModifiedBy>
  <cp:lastPrinted>2011-11-11T03:37:00Z</cp:lastPrinted>
  <dcterms:modified xsi:type="dcterms:W3CDTF">2020-10-29T03:17:56Z</dcterms:modified>
  <dc:title>一般粉状KL211催化剂</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