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sz w:val="32"/>
          <w:szCs w:val="32"/>
        </w:rPr>
      </w:pPr>
      <w:r>
        <w:rPr>
          <w:rFonts w:hint="eastAsia" w:ascii="黑体" w:hAnsi="黑体" w:eastAsia="黑体"/>
          <w:b/>
          <w:sz w:val="32"/>
          <w:szCs w:val="32"/>
        </w:rPr>
        <w:t>行业标准《绿色设计产品评价技术规范 离子型稀土矿产品》</w:t>
      </w:r>
    </w:p>
    <w:p>
      <w:pPr>
        <w:jc w:val="center"/>
        <w:rPr>
          <w:rFonts w:ascii="黑体" w:hAnsi="黑体" w:eastAsia="黑体"/>
          <w:b/>
          <w:sz w:val="32"/>
          <w:szCs w:val="32"/>
        </w:rPr>
      </w:pPr>
      <w:r>
        <w:rPr>
          <w:rFonts w:hint="eastAsia" w:ascii="黑体" w:hAnsi="黑体" w:eastAsia="黑体"/>
          <w:b/>
          <w:sz w:val="32"/>
          <w:szCs w:val="32"/>
          <w:lang w:eastAsia="zh-CN"/>
        </w:rPr>
        <w:t>（预审稿</w:t>
      </w:r>
      <w:bookmarkStart w:id="1" w:name="_GoBack"/>
      <w:bookmarkEnd w:id="1"/>
      <w:r>
        <w:rPr>
          <w:rFonts w:hint="eastAsia" w:ascii="黑体" w:hAnsi="黑体" w:eastAsia="黑体"/>
          <w:b/>
          <w:sz w:val="32"/>
          <w:szCs w:val="32"/>
          <w:lang w:eastAsia="zh-CN"/>
        </w:rPr>
        <w:t>）</w:t>
      </w:r>
      <w:r>
        <w:rPr>
          <w:rFonts w:hint="eastAsia" w:ascii="黑体" w:hAnsi="黑体" w:eastAsia="黑体"/>
          <w:b/>
          <w:sz w:val="32"/>
          <w:szCs w:val="32"/>
        </w:rPr>
        <w:t>编制说明</w:t>
      </w:r>
    </w:p>
    <w:p>
      <w:pPr>
        <w:adjustRightInd w:val="0"/>
        <w:snapToGrid w:val="0"/>
        <w:spacing w:line="360" w:lineRule="auto"/>
        <w:rPr>
          <w:rFonts w:eastAsia="黑体"/>
          <w:szCs w:val="21"/>
        </w:rPr>
      </w:pPr>
      <w:r>
        <w:rPr>
          <w:rFonts w:hint="eastAsia" w:hAnsi="黑体" w:eastAsia="黑体"/>
          <w:szCs w:val="21"/>
        </w:rPr>
        <w:t>一、工作简况</w:t>
      </w:r>
    </w:p>
    <w:p>
      <w:pPr>
        <w:tabs>
          <w:tab w:val="left" w:pos="522"/>
        </w:tabs>
        <w:adjustRightInd w:val="0"/>
        <w:snapToGrid w:val="0"/>
        <w:spacing w:beforeLines="50" w:line="360" w:lineRule="auto"/>
        <w:jc w:val="left"/>
        <w:rPr>
          <w:rFonts w:ascii="黑体" w:hAnsi="黑体" w:eastAsia="黑体"/>
          <w:szCs w:val="21"/>
        </w:rPr>
      </w:pPr>
      <w:r>
        <w:rPr>
          <w:rFonts w:ascii="黑体" w:hAnsi="黑体" w:eastAsia="黑体"/>
          <w:szCs w:val="21"/>
        </w:rPr>
        <w:t>1.1</w:t>
      </w:r>
      <w:r>
        <w:rPr>
          <w:rFonts w:hint="eastAsia" w:ascii="黑体" w:hAnsi="黑体" w:eastAsia="黑体"/>
          <w:szCs w:val="21"/>
        </w:rPr>
        <w:t>立项目的及意义</w:t>
      </w:r>
    </w:p>
    <w:p>
      <w:pPr>
        <w:tabs>
          <w:tab w:val="left" w:pos="522"/>
        </w:tabs>
        <w:adjustRightInd w:val="0"/>
        <w:snapToGrid w:val="0"/>
        <w:spacing w:line="360" w:lineRule="auto"/>
        <w:ind w:firstLine="420" w:firstLineChars="200"/>
        <w:rPr>
          <w:szCs w:val="21"/>
        </w:rPr>
      </w:pPr>
      <w:r>
        <w:rPr>
          <w:rFonts w:hint="eastAsia"/>
          <w:szCs w:val="21"/>
        </w:rPr>
        <w:t>离子型稀土矿是我国的特色矿种，占全球已公布具备开采条件的中重稀土资源储量80%以上，对世界科技与产业发展具有举足轻重的影响和作用，是我国具有绝对优势的战略资源。离子型稀土矿产品是稀土磁性材料、发光材料、储氢材料、晶体材料、催化材料、陶瓷材料等高新材料所需稀土化合物及金属的重要原材料，但在我国稀土产业快速发展的同时，离子型稀土矿开采、提取富集过程中仍存在稀土回收率低、产生大量氨氮废水及含放射性废渣污染等行业瓶颈问题。</w:t>
      </w:r>
    </w:p>
    <w:p>
      <w:pPr>
        <w:tabs>
          <w:tab w:val="left" w:pos="522"/>
        </w:tabs>
        <w:adjustRightInd w:val="0"/>
        <w:snapToGrid w:val="0"/>
        <w:spacing w:line="360" w:lineRule="auto"/>
        <w:ind w:firstLine="420" w:firstLineChars="200"/>
        <w:rPr>
          <w:szCs w:val="21"/>
        </w:rPr>
      </w:pPr>
      <w:r>
        <w:rPr>
          <w:rFonts w:hint="eastAsia"/>
          <w:szCs w:val="21"/>
        </w:rPr>
        <w:t>2011年，国务院出台《国务院关于促进稀土行业持续健康发展的若干意见（国发〔2011〕12号）》，随后国家环保部、发改委、工信部、有色协会等陆续颁布了《稀土工业污染物排放标准》、《新环保法》等文件，对稀土行业进行环保核查和企业准入等行业规范整顿。2016年，国务院办公厅发布的《国务院办公厅关于建立统一的绿色产品标准、认证、标识体系的意见》（国办发〔2016〕86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2019年5月20日，习近平总书记在离子型稀土矿主要产区之一的江西考察时强调“稀土是重要的战略资源，也是不可再生资源，要加大科技创新工作力度，不断提高开发利用的技术水平，延伸产业链，提高附加值，加强项目环境保护，实现绿色发展、可持续发展。”</w:t>
      </w:r>
    </w:p>
    <w:p>
      <w:pPr>
        <w:tabs>
          <w:tab w:val="left" w:pos="522"/>
        </w:tabs>
        <w:adjustRightInd w:val="0"/>
        <w:snapToGrid w:val="0"/>
        <w:spacing w:line="360" w:lineRule="auto"/>
        <w:ind w:firstLine="420" w:firstLineChars="200"/>
        <w:rPr>
          <w:szCs w:val="21"/>
        </w:rPr>
      </w:pPr>
      <w:r>
        <w:rPr>
          <w:rFonts w:hint="eastAsia"/>
          <w:szCs w:val="21"/>
        </w:rPr>
        <w:t>现有离子型稀土矿产品标准规定了产品要求、试验方法、检验规则和标志、包装、运输、贮存及质量证明书等，但未提及绿色产品生产的评价手段和方法。仅有GB/T 32161-2015《生态设计产品评价通则》提供了绿色产品评价的基本准则和依据，尚不能满足离子型稀土矿产品绿色制造体系建设需求。</w:t>
      </w:r>
    </w:p>
    <w:p>
      <w:pPr>
        <w:tabs>
          <w:tab w:val="left" w:pos="522"/>
        </w:tabs>
        <w:adjustRightInd w:val="0"/>
        <w:snapToGrid w:val="0"/>
        <w:spacing w:line="360" w:lineRule="auto"/>
        <w:ind w:firstLine="420" w:firstLineChars="200"/>
        <w:rPr>
          <w:szCs w:val="21"/>
        </w:rPr>
      </w:pPr>
      <w:r>
        <w:rPr>
          <w:rFonts w:hint="eastAsia"/>
          <w:szCs w:val="21"/>
        </w:rPr>
        <w:t>为此，本项目提出绿色设计产品评价技术规范-离子型稀土矿产品，以建立系统科学、开放融合、指标先进、权威统一的绿色产品标准、认证、标识体系，将有力推动我国离子型稀土绿色提取富集技术的快速推广应用，指导我国离子型稀土矿产品的绿色化生产，保持我国在离子型稀土矿开采领域的领先地位，把长板做优做强，对于推动我国离子型稀土矿绿色开采技术推广应用、加速我国稀土产业持续健康发展具有重要作用。</w:t>
      </w:r>
    </w:p>
    <w:p>
      <w:pPr>
        <w:tabs>
          <w:tab w:val="left" w:pos="522"/>
        </w:tabs>
        <w:adjustRightInd w:val="0"/>
        <w:snapToGrid w:val="0"/>
        <w:spacing w:beforeLines="50" w:line="360" w:lineRule="auto"/>
        <w:jc w:val="left"/>
        <w:rPr>
          <w:rFonts w:ascii="黑体" w:hAnsi="黑体" w:eastAsia="黑体"/>
          <w:szCs w:val="21"/>
        </w:rPr>
      </w:pPr>
      <w:r>
        <w:rPr>
          <w:rFonts w:ascii="黑体" w:hAnsi="黑体" w:eastAsia="黑体"/>
          <w:szCs w:val="21"/>
        </w:rPr>
        <w:t>1.2</w:t>
      </w:r>
      <w:r>
        <w:rPr>
          <w:rFonts w:hint="eastAsia" w:ascii="黑体" w:hAnsi="黑体" w:eastAsia="黑体"/>
          <w:szCs w:val="21"/>
        </w:rPr>
        <w:t>任务来源</w:t>
      </w:r>
    </w:p>
    <w:p>
      <w:pPr>
        <w:autoSpaceDE w:val="0"/>
        <w:autoSpaceDN w:val="0"/>
        <w:adjustRightInd w:val="0"/>
        <w:snapToGrid w:val="0"/>
        <w:spacing w:line="360" w:lineRule="auto"/>
        <w:ind w:firstLine="482"/>
        <w:rPr>
          <w:rFonts w:hint="eastAsia"/>
          <w:szCs w:val="21"/>
        </w:rPr>
      </w:pPr>
      <w:r>
        <w:rPr>
          <w:rFonts w:hint="eastAsia"/>
          <w:szCs w:val="21"/>
        </w:rPr>
        <w:t>根据</w:t>
      </w:r>
      <w:r>
        <w:rPr>
          <w:rFonts w:hAnsiTheme="minorEastAsia" w:eastAsiaTheme="minorEastAsia"/>
          <w:szCs w:val="21"/>
        </w:rPr>
        <w:t>全国稀土标准化技术委员会</w:t>
      </w:r>
      <w:r>
        <w:rPr>
          <w:rFonts w:hint="eastAsia"/>
          <w:szCs w:val="21"/>
        </w:rPr>
        <w:t>关于召开2</w:t>
      </w:r>
      <w:r>
        <w:rPr>
          <w:szCs w:val="21"/>
        </w:rPr>
        <w:t>020</w:t>
      </w:r>
      <w:r>
        <w:rPr>
          <w:rFonts w:hint="eastAsia"/>
          <w:szCs w:val="21"/>
        </w:rPr>
        <w:t>年第四次稀土标准工作会议的通知（稀土标委〔20</w:t>
      </w:r>
      <w:r>
        <w:rPr>
          <w:szCs w:val="21"/>
        </w:rPr>
        <w:t>20</w:t>
      </w:r>
      <w:r>
        <w:rPr>
          <w:rFonts w:hint="eastAsia"/>
          <w:szCs w:val="21"/>
        </w:rPr>
        <w:t>〕2</w:t>
      </w:r>
      <w:r>
        <w:rPr>
          <w:szCs w:val="21"/>
        </w:rPr>
        <w:t>6</w:t>
      </w:r>
      <w:r>
        <w:rPr>
          <w:rFonts w:hint="eastAsia"/>
          <w:szCs w:val="21"/>
        </w:rPr>
        <w:t>号），《绿色设计产品评价技术规范 离子型稀土矿产品》行业标准制订计划正式下达，完成年限为20</w:t>
      </w:r>
      <w:r>
        <w:rPr>
          <w:szCs w:val="21"/>
        </w:rPr>
        <w:t>20</w:t>
      </w:r>
      <w:r>
        <w:rPr>
          <w:rFonts w:hint="eastAsia"/>
          <w:szCs w:val="21"/>
        </w:rPr>
        <w:t>年。本标准制订任务由有研稀土新材料股份有限公司牵头起草。参加起草单位有中铝广西有色稀土开发有限公司、龙岩市稀土开发有限公司、五矿稀土股份有限公司、广东省稀土产业集团有限公司、江西泰斯特新材料测试评价中心有限公司、国合通用测试评价认证股份公司、包头稀土研究院、国家钨与稀土产品质量监督检验中心、赣州科明高技术有限公司、虔东稀土集团股份有限公司、福建省长汀金龙稀土有限公司、河北雄安稀土功能材料创新中心有限公司、郑州天一萃取科技有限公司、全南县新资源稀土有限责任公司、赣州有色冶金研究所、南昌大学、中国南方稀土集团有限公司、中国恩菲工程技术有限公司</w:t>
      </w:r>
      <w:r>
        <w:rPr>
          <w:rFonts w:hint="eastAsia" w:ascii="宋体" w:hAnsi="宋体"/>
          <w:color w:val="000000"/>
          <w:szCs w:val="21"/>
        </w:rPr>
        <w:t>、生态环境部环境工程评估中心、武汉工程大学</w:t>
      </w:r>
      <w:r>
        <w:rPr>
          <w:rFonts w:hint="eastAsia"/>
          <w:szCs w:val="21"/>
        </w:rPr>
        <w:t>。</w:t>
      </w:r>
    </w:p>
    <w:p>
      <w:pPr>
        <w:autoSpaceDE w:val="0"/>
        <w:autoSpaceDN w:val="0"/>
        <w:adjustRightInd w:val="0"/>
        <w:snapToGrid w:val="0"/>
        <w:spacing w:line="360" w:lineRule="auto"/>
        <w:ind w:firstLine="482"/>
        <w:rPr>
          <w:rFonts w:ascii="宋体" w:hAnsi="宋体"/>
          <w:color w:val="000000"/>
          <w:szCs w:val="21"/>
        </w:rPr>
      </w:pPr>
      <w:r>
        <w:rPr>
          <w:rFonts w:ascii="宋体" w:hAnsi="宋体"/>
          <w:color w:val="000000"/>
          <w:szCs w:val="21"/>
        </w:rPr>
        <w:t>本标准</w:t>
      </w:r>
      <w:r>
        <w:rPr>
          <w:rFonts w:hint="eastAsia" w:ascii="宋体" w:hAnsi="宋体"/>
          <w:color w:val="000000"/>
          <w:szCs w:val="21"/>
        </w:rPr>
        <w:t>制</w:t>
      </w:r>
      <w:r>
        <w:rPr>
          <w:rFonts w:ascii="宋体" w:hAnsi="宋体"/>
          <w:color w:val="000000"/>
          <w:szCs w:val="21"/>
        </w:rPr>
        <w:t>订计划时间为2020年6</w:t>
      </w:r>
      <w:r>
        <w:rPr>
          <w:rFonts w:hint="eastAsia" w:ascii="宋体" w:hAnsi="宋体"/>
          <w:color w:val="000000"/>
          <w:szCs w:val="21"/>
        </w:rPr>
        <w:t>～</w:t>
      </w:r>
      <w:r>
        <w:rPr>
          <w:rFonts w:ascii="宋体" w:hAnsi="宋体"/>
          <w:color w:val="000000"/>
          <w:szCs w:val="21"/>
        </w:rPr>
        <w:t>12月，具体阶段分为立项、</w:t>
      </w:r>
      <w:r>
        <w:rPr>
          <w:rFonts w:hint="eastAsia" w:ascii="宋体" w:hAnsi="宋体"/>
          <w:color w:val="000000"/>
          <w:szCs w:val="21"/>
        </w:rPr>
        <w:t>预</w:t>
      </w:r>
      <w:r>
        <w:rPr>
          <w:rFonts w:ascii="宋体" w:hAnsi="宋体"/>
          <w:color w:val="000000"/>
          <w:szCs w:val="21"/>
        </w:rPr>
        <w:t>审、审定</w:t>
      </w:r>
      <w:r>
        <w:rPr>
          <w:rFonts w:hint="eastAsia" w:ascii="宋体" w:hAnsi="宋体"/>
          <w:color w:val="000000"/>
          <w:szCs w:val="21"/>
        </w:rPr>
        <w:t>和报批</w:t>
      </w:r>
      <w:r>
        <w:rPr>
          <w:rFonts w:ascii="宋体" w:hAnsi="宋体"/>
          <w:color w:val="000000"/>
          <w:szCs w:val="21"/>
        </w:rPr>
        <w:t>。</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2020年6月 立项：确立主要起草单位，制定标准草案；</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2020年7月～2020年8月，细化标准指标，制定标准，向行业内离子型稀土矿相关企业征求意见；</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2020年9月，征求意见汇总，对标准进行修订，组织专家预审；</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2020年</w:t>
      </w:r>
      <w:r>
        <w:rPr>
          <w:rFonts w:ascii="宋体" w:hAnsi="宋体"/>
          <w:color w:val="000000"/>
          <w:szCs w:val="21"/>
        </w:rPr>
        <w:t>9</w:t>
      </w:r>
      <w:r>
        <w:rPr>
          <w:rFonts w:hint="eastAsia" w:ascii="宋体" w:hAnsi="宋体"/>
          <w:color w:val="000000"/>
          <w:szCs w:val="21"/>
        </w:rPr>
        <w:t>月～202</w:t>
      </w:r>
      <w:r>
        <w:rPr>
          <w:rFonts w:ascii="宋体" w:hAnsi="宋体"/>
          <w:color w:val="000000"/>
          <w:szCs w:val="21"/>
        </w:rPr>
        <w:t>0</w:t>
      </w:r>
      <w:r>
        <w:rPr>
          <w:rFonts w:hint="eastAsia" w:ascii="宋体" w:hAnsi="宋体"/>
          <w:color w:val="000000"/>
          <w:szCs w:val="21"/>
        </w:rPr>
        <w:t>年</w:t>
      </w:r>
      <w:r>
        <w:rPr>
          <w:rFonts w:ascii="宋体" w:hAnsi="宋体"/>
          <w:color w:val="000000"/>
          <w:szCs w:val="21"/>
        </w:rPr>
        <w:t>10</w:t>
      </w:r>
      <w:r>
        <w:rPr>
          <w:rFonts w:hint="eastAsia" w:ascii="宋体" w:hAnsi="宋体"/>
          <w:color w:val="000000"/>
          <w:szCs w:val="21"/>
        </w:rPr>
        <w:t>月，根据专家意见修改标准，再次征求意见；</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w:t>
      </w:r>
      <w:r>
        <w:rPr>
          <w:rFonts w:ascii="宋体" w:hAnsi="宋体"/>
          <w:color w:val="000000"/>
          <w:szCs w:val="21"/>
        </w:rPr>
        <w:t>0</w:t>
      </w:r>
      <w:r>
        <w:rPr>
          <w:rFonts w:hint="eastAsia" w:ascii="宋体" w:hAnsi="宋体"/>
          <w:color w:val="000000"/>
          <w:szCs w:val="21"/>
        </w:rPr>
        <w:t>年</w:t>
      </w:r>
      <w:r>
        <w:rPr>
          <w:rFonts w:ascii="宋体" w:hAnsi="宋体"/>
          <w:color w:val="000000"/>
          <w:szCs w:val="21"/>
        </w:rPr>
        <w:t>11</w:t>
      </w:r>
      <w:r>
        <w:rPr>
          <w:rFonts w:hint="eastAsia" w:ascii="宋体" w:hAnsi="宋体"/>
          <w:color w:val="000000"/>
          <w:szCs w:val="21"/>
        </w:rPr>
        <w:t>月，组织专家进行标准审定；</w:t>
      </w:r>
    </w:p>
    <w:p>
      <w:pPr>
        <w:autoSpaceDE w:val="0"/>
        <w:autoSpaceDN w:val="0"/>
        <w:adjustRightInd w:val="0"/>
        <w:snapToGrid w:val="0"/>
        <w:spacing w:line="360" w:lineRule="auto"/>
        <w:ind w:firstLine="482"/>
        <w:rPr>
          <w:rFonts w:ascii="宋体" w:hAnsi="宋体"/>
          <w:color w:val="000000"/>
          <w:szCs w:val="21"/>
        </w:rPr>
      </w:pPr>
      <w:r>
        <w:rPr>
          <w:rFonts w:hint="eastAsia" w:ascii="宋体" w:hAnsi="宋体"/>
          <w:color w:val="000000"/>
          <w:szCs w:val="21"/>
        </w:rPr>
        <w:t>202</w:t>
      </w:r>
      <w:r>
        <w:rPr>
          <w:rFonts w:ascii="宋体" w:hAnsi="宋体"/>
          <w:color w:val="000000"/>
          <w:szCs w:val="21"/>
        </w:rPr>
        <w:t>0</w:t>
      </w:r>
      <w:r>
        <w:rPr>
          <w:rFonts w:hint="eastAsia" w:ascii="宋体" w:hAnsi="宋体"/>
          <w:color w:val="000000"/>
          <w:szCs w:val="21"/>
        </w:rPr>
        <w:t>年</w:t>
      </w:r>
      <w:r>
        <w:rPr>
          <w:rFonts w:ascii="宋体" w:hAnsi="宋体"/>
          <w:color w:val="000000"/>
          <w:szCs w:val="21"/>
        </w:rPr>
        <w:t>12</w:t>
      </w:r>
      <w:r>
        <w:rPr>
          <w:rFonts w:hint="eastAsia" w:ascii="宋体" w:hAnsi="宋体"/>
          <w:color w:val="000000"/>
          <w:szCs w:val="21"/>
        </w:rPr>
        <w:t>月，标准报批。</w:t>
      </w:r>
    </w:p>
    <w:p>
      <w:pPr>
        <w:tabs>
          <w:tab w:val="left" w:pos="522"/>
        </w:tabs>
        <w:adjustRightInd w:val="0"/>
        <w:snapToGrid w:val="0"/>
        <w:spacing w:beforeLines="50" w:line="360" w:lineRule="auto"/>
        <w:jc w:val="left"/>
        <w:rPr>
          <w:rFonts w:ascii="黑体" w:hAnsi="黑体" w:eastAsia="黑体"/>
          <w:szCs w:val="21"/>
        </w:rPr>
      </w:pPr>
      <w:r>
        <w:rPr>
          <w:rFonts w:ascii="黑体" w:hAnsi="黑体" w:eastAsia="黑体"/>
          <w:szCs w:val="21"/>
        </w:rPr>
        <w:t>1.3</w:t>
      </w:r>
      <w:r>
        <w:rPr>
          <w:rFonts w:hint="eastAsia" w:ascii="黑体" w:hAnsi="黑体" w:eastAsia="黑体"/>
          <w:szCs w:val="21"/>
        </w:rPr>
        <w:t>起草单位</w:t>
      </w:r>
    </w:p>
    <w:p>
      <w:pPr>
        <w:adjustRightInd w:val="0"/>
        <w:snapToGrid w:val="0"/>
        <w:spacing w:line="360" w:lineRule="auto"/>
        <w:ind w:firstLine="420" w:firstLineChars="200"/>
        <w:rPr>
          <w:color w:val="000000"/>
          <w:szCs w:val="21"/>
        </w:rPr>
      </w:pPr>
      <w:r>
        <w:rPr>
          <w:rFonts w:hint="eastAsia"/>
          <w:color w:val="000000"/>
          <w:szCs w:val="21"/>
        </w:rPr>
        <w:t>有研稀土新材料股份有限公司（简称有研稀土）是2001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艺技术和稀土磁、光、电、生物、催化等功能材料制备技术的研究、工程化和产业化技术开发的单位。拥有一支创新能力较强的高素质研究开发队伍，其中中国工程院院士2名；高级职称以上人员49人，工程师38人，博士24人，硕士62人，是一支理论基础扎实、工作经验丰富、知识结构合理的创新型研发团队。有研稀土及其前身在稀土领域先后承担了300多项国家、省部级项目/课题，获得国家级、省部级奖励162项（其中国家级奖励40项），研究成果50%以上应用于工业生产，申请发明专利440多项（国外78项，授权210项），并向国内外转让了70余项（170余次）先进的稀土冶炼分离及化合物材料制备技术，支援建设了数家稀土骨干企业，为我国稀土工业体系的建立和发展作出了重大贡献。全世界生产的60%以上的稀土产品采用有研稀土的技术。</w:t>
      </w:r>
    </w:p>
    <w:p>
      <w:pPr>
        <w:adjustRightInd w:val="0"/>
        <w:snapToGrid w:val="0"/>
        <w:spacing w:line="360" w:lineRule="auto"/>
        <w:ind w:firstLine="420" w:firstLineChars="200"/>
        <w:rPr>
          <w:color w:val="000000"/>
          <w:szCs w:val="21"/>
        </w:rPr>
      </w:pPr>
      <w:r>
        <w:rPr>
          <w:rFonts w:hint="eastAsia"/>
          <w:color w:val="000000"/>
          <w:szCs w:val="21"/>
        </w:rPr>
        <w:t>有研稀土新材料股份有限公司一直积极开展标准的制修订工作，近五年来牵头制定国际标准1项、国家标准4项、行业标准11项、团体标准2项；参与制修订各类标准45项。其中包括绿色制造体系标准4项。2019年成为国家绿色制造系统解决方案供应商。</w:t>
      </w:r>
    </w:p>
    <w:p>
      <w:pPr>
        <w:adjustRightInd w:val="0"/>
        <w:snapToGrid w:val="0"/>
        <w:spacing w:line="360" w:lineRule="auto"/>
        <w:ind w:firstLine="420" w:firstLineChars="200"/>
        <w:rPr>
          <w:color w:val="000000"/>
          <w:szCs w:val="21"/>
        </w:rPr>
      </w:pPr>
      <w:r>
        <w:rPr>
          <w:rFonts w:hint="eastAsia"/>
          <w:color w:val="000000"/>
          <w:szCs w:val="21"/>
        </w:rPr>
        <w:t>（1）支持国际标准化组织稀土技术委员会（ISO/TC 298)开展国际标准制定工作，牵头制定国际标准1项，参与制定国际标准6项。</w:t>
      </w:r>
    </w:p>
    <w:p>
      <w:pPr>
        <w:adjustRightInd w:val="0"/>
        <w:snapToGrid w:val="0"/>
        <w:spacing w:line="360" w:lineRule="auto"/>
        <w:ind w:firstLine="420" w:firstLineChars="200"/>
        <w:rPr>
          <w:color w:val="000000"/>
          <w:szCs w:val="21"/>
        </w:rPr>
      </w:pPr>
      <w:r>
        <w:rPr>
          <w:rFonts w:hint="eastAsia"/>
          <w:color w:val="000000"/>
          <w:szCs w:val="21"/>
        </w:rPr>
        <w:t>2017年度，公司牵头制定ISO/TC298首项国际标准《稀土术语第二部分 稀土金属及合金》；后续参与制定国际标准6项。此外，公司黄小卫院士担任国际标准化组织（ISO/TC 298）顾问，张小伟博士、张永奇博士担任国际标准化组织工作组专家，积极支持ISO/TC 298开展国际标准制定工作。</w:t>
      </w:r>
    </w:p>
    <w:p>
      <w:pPr>
        <w:adjustRightInd w:val="0"/>
        <w:snapToGrid w:val="0"/>
        <w:spacing w:line="360" w:lineRule="auto"/>
        <w:ind w:firstLine="420" w:firstLineChars="200"/>
        <w:rPr>
          <w:color w:val="000000"/>
          <w:szCs w:val="21"/>
        </w:rPr>
      </w:pPr>
      <w:r>
        <w:rPr>
          <w:rFonts w:hint="eastAsia"/>
          <w:color w:val="000000"/>
          <w:szCs w:val="21"/>
        </w:rPr>
        <w:t>（2）积极开展绿色制造体系标准制订工作，牵头制定3项，参与制定1项。</w:t>
      </w:r>
    </w:p>
    <w:p>
      <w:pPr>
        <w:adjustRightInd w:val="0"/>
        <w:snapToGrid w:val="0"/>
        <w:spacing w:line="360" w:lineRule="auto"/>
        <w:ind w:firstLine="420" w:firstLineChars="200"/>
        <w:rPr>
          <w:color w:val="000000"/>
          <w:szCs w:val="21"/>
        </w:rPr>
      </w:pPr>
      <w:r>
        <w:rPr>
          <w:rFonts w:hint="eastAsia"/>
          <w:color w:val="000000"/>
          <w:szCs w:val="21"/>
        </w:rPr>
        <w:t>2018年度，公司牵头制定并发布了稀土行业首项绿色产品标准：有色协会团体标准《绿色设计产品评价技术规范 稀土湿法冶炼分离产品》（T/CNIA 0005-2018）。这是稀土领域首个绿色设计产品评价标准，也是首个稀土领域有色金属工业协会标准，指导我国稀土湿法冶炼分离产品的绿色化生产。2019年度牵头制定有色协会团体标准《绿色设计产品评价技术规范 各向同性钕铁硼粘结磁粉》并完成报批。2020年度牵头制定行业标准《绿色设计产品评价技术规范 稀土火法冶炼产品》，参与制定行业标准《稀土采选冶行业绿色工厂评价导则》。</w:t>
      </w:r>
    </w:p>
    <w:p>
      <w:pPr>
        <w:adjustRightInd w:val="0"/>
        <w:snapToGrid w:val="0"/>
        <w:spacing w:line="360" w:lineRule="auto"/>
        <w:ind w:firstLine="420" w:firstLineChars="200"/>
        <w:rPr>
          <w:color w:val="000000"/>
          <w:szCs w:val="21"/>
        </w:rPr>
      </w:pPr>
      <w:r>
        <w:rPr>
          <w:rFonts w:hint="eastAsia"/>
          <w:color w:val="000000"/>
          <w:szCs w:val="21"/>
        </w:rPr>
        <w:t>（3）牵头制定的标准获得多项奖励</w:t>
      </w:r>
    </w:p>
    <w:p>
      <w:pPr>
        <w:adjustRightInd w:val="0"/>
        <w:snapToGrid w:val="0"/>
        <w:spacing w:line="360" w:lineRule="auto"/>
        <w:ind w:firstLine="420" w:firstLineChars="200"/>
        <w:rPr>
          <w:color w:val="000000"/>
          <w:szCs w:val="21"/>
        </w:rPr>
      </w:pPr>
      <w:r>
        <w:rPr>
          <w:rFonts w:hint="eastAsia"/>
          <w:color w:val="000000"/>
          <w:szCs w:val="21"/>
        </w:rPr>
        <w:t>牵头制定的国家标准《钕铁硼速凝薄片合金》、行业标准《高纯金属镝》、《钆铁合金》获得中国有色金属工业科技进步二等奖1项、三等奖2项。</w:t>
      </w:r>
    </w:p>
    <w:p>
      <w:pPr>
        <w:adjustRightInd w:val="0"/>
        <w:snapToGrid w:val="0"/>
        <w:spacing w:line="360" w:lineRule="auto"/>
        <w:rPr>
          <w:rFonts w:ascii="黑体" w:hAnsi="黑体" w:eastAsia="黑体"/>
          <w:szCs w:val="21"/>
        </w:rPr>
      </w:pPr>
      <w:r>
        <w:rPr>
          <w:rFonts w:hint="eastAsia" w:ascii="黑体" w:hAnsi="黑体" w:eastAsia="黑体"/>
          <w:szCs w:val="21"/>
        </w:rPr>
        <w:t>二、标准编制原则</w:t>
      </w:r>
    </w:p>
    <w:p>
      <w:pPr>
        <w:adjustRightInd w:val="0"/>
        <w:snapToGrid w:val="0"/>
        <w:spacing w:line="360" w:lineRule="auto"/>
        <w:ind w:firstLine="420" w:firstLineChars="200"/>
        <w:rPr>
          <w:szCs w:val="21"/>
        </w:rPr>
      </w:pPr>
      <w:r>
        <w:rPr>
          <w:szCs w:val="21"/>
        </w:rPr>
        <w:t>标准</w:t>
      </w:r>
      <w:r>
        <w:rPr>
          <w:rFonts w:hint="eastAsia"/>
          <w:szCs w:val="21"/>
        </w:rPr>
        <w:t>牵头</w:t>
      </w:r>
      <w:r>
        <w:rPr>
          <w:szCs w:val="21"/>
        </w:rPr>
        <w:t>起草单位在任务落实会上广泛地征求了与会专家和代表的意见，确定了制</w:t>
      </w:r>
      <w:r>
        <w:rPr>
          <w:rFonts w:hint="eastAsia"/>
          <w:szCs w:val="21"/>
        </w:rPr>
        <w:t>订</w:t>
      </w:r>
      <w:r>
        <w:rPr>
          <w:szCs w:val="21"/>
        </w:rPr>
        <w:t>方案；确定了标准起草原则、主要内容框架和依据：</w:t>
      </w:r>
    </w:p>
    <w:p>
      <w:pPr>
        <w:pStyle w:val="56"/>
        <w:numPr>
          <w:ilvl w:val="0"/>
          <w:numId w:val="2"/>
        </w:numPr>
        <w:adjustRightInd w:val="0"/>
        <w:snapToGrid w:val="0"/>
        <w:spacing w:line="360" w:lineRule="auto"/>
        <w:ind w:firstLineChars="0"/>
        <w:rPr>
          <w:rFonts w:ascii="Times New Roman" w:hAnsi="Times New Roman"/>
          <w:szCs w:val="21"/>
        </w:rPr>
      </w:pPr>
      <w:r>
        <w:rPr>
          <w:rFonts w:ascii="Times New Roman" w:hAnsi="Times New Roman"/>
          <w:szCs w:val="21"/>
        </w:rPr>
        <w:t>依据国家相关的法律、法规；</w:t>
      </w:r>
    </w:p>
    <w:p>
      <w:pPr>
        <w:pStyle w:val="56"/>
        <w:numPr>
          <w:ilvl w:val="0"/>
          <w:numId w:val="2"/>
        </w:numPr>
        <w:adjustRightInd w:val="0"/>
        <w:snapToGrid w:val="0"/>
        <w:spacing w:line="360" w:lineRule="auto"/>
        <w:ind w:firstLineChars="0"/>
        <w:rPr>
          <w:rFonts w:ascii="Times New Roman" w:hAnsi="Times New Roman"/>
          <w:szCs w:val="21"/>
        </w:rPr>
      </w:pPr>
      <w:r>
        <w:rPr>
          <w:rFonts w:ascii="Times New Roman" w:hAnsi="Times New Roman"/>
          <w:szCs w:val="21"/>
        </w:rPr>
        <w:t>查询相关标准和收集国内外客户的相关技术要求，积极向相关国际标准、世界领头企业的技术标准要求靠拢，做到标准的先进性；</w:t>
      </w:r>
    </w:p>
    <w:p>
      <w:pPr>
        <w:pStyle w:val="56"/>
        <w:numPr>
          <w:ilvl w:val="0"/>
          <w:numId w:val="2"/>
        </w:numPr>
        <w:adjustRightInd w:val="0"/>
        <w:snapToGrid w:val="0"/>
        <w:spacing w:line="360" w:lineRule="auto"/>
        <w:ind w:firstLineChars="0"/>
        <w:rPr>
          <w:rFonts w:ascii="Times New Roman" w:hAnsi="Times New Roman"/>
          <w:szCs w:val="21"/>
        </w:rPr>
      </w:pPr>
      <w:r>
        <w:rPr>
          <w:rFonts w:ascii="Times New Roman" w:hAnsi="Times New Roman"/>
          <w:szCs w:val="21"/>
        </w:rPr>
        <w:t>根据目前国内</w:t>
      </w:r>
      <w:r>
        <w:rPr>
          <w:rFonts w:hint="eastAsia" w:ascii="Times New Roman" w:hAnsi="Times New Roman"/>
          <w:szCs w:val="21"/>
        </w:rPr>
        <w:t>离子型稀土矿产品生产及市场使用等</w:t>
      </w:r>
      <w:r>
        <w:rPr>
          <w:rFonts w:ascii="Times New Roman" w:hAnsi="Times New Roman"/>
          <w:szCs w:val="21"/>
        </w:rPr>
        <w:t>具体情况，结合用户</w:t>
      </w:r>
      <w:r>
        <w:rPr>
          <w:rFonts w:hint="eastAsia" w:ascii="Times New Roman" w:hAnsi="Times New Roman"/>
          <w:szCs w:val="21"/>
        </w:rPr>
        <w:t>需</w:t>
      </w:r>
      <w:r>
        <w:rPr>
          <w:rFonts w:ascii="Times New Roman" w:hAnsi="Times New Roman"/>
          <w:szCs w:val="21"/>
        </w:rPr>
        <w:t>求及应用技术的发展趋势，力求做到标准的合理性、实用性，与时俱进；</w:t>
      </w:r>
    </w:p>
    <w:p>
      <w:pPr>
        <w:pStyle w:val="56"/>
        <w:numPr>
          <w:ilvl w:val="0"/>
          <w:numId w:val="2"/>
        </w:numPr>
        <w:adjustRightInd w:val="0"/>
        <w:snapToGrid w:val="0"/>
        <w:spacing w:line="360" w:lineRule="auto"/>
        <w:ind w:firstLineChars="0"/>
        <w:rPr>
          <w:rFonts w:ascii="Times New Roman" w:hAnsi="Times New Roman"/>
          <w:szCs w:val="21"/>
        </w:rPr>
      </w:pPr>
      <w:r>
        <w:rPr>
          <w:rFonts w:ascii="Times New Roman" w:hAnsi="Times New Roman"/>
          <w:szCs w:val="21"/>
        </w:rPr>
        <w:t>按照</w:t>
      </w:r>
      <w:r>
        <w:rPr>
          <w:rFonts w:hint="eastAsia" w:ascii="Times New Roman" w:hAnsi="Times New Roman"/>
          <w:szCs w:val="21"/>
        </w:rPr>
        <w:t>《标准化工作导则》（</w:t>
      </w:r>
      <w:r>
        <w:rPr>
          <w:rFonts w:ascii="Times New Roman" w:hAnsi="Times New Roman"/>
          <w:szCs w:val="21"/>
        </w:rPr>
        <w:t>GB/T 1.1-2020</w:t>
      </w:r>
      <w:r>
        <w:rPr>
          <w:rFonts w:hint="eastAsia" w:ascii="Times New Roman" w:hAnsi="Times New Roman"/>
          <w:szCs w:val="21"/>
        </w:rPr>
        <w:t>）</w:t>
      </w:r>
      <w:r>
        <w:rPr>
          <w:rFonts w:ascii="Times New Roman" w:hAnsi="Times New Roman"/>
          <w:szCs w:val="21"/>
        </w:rPr>
        <w:t>，稀土标准和国家标准编写示例的要求进行格式和结构编写。</w:t>
      </w:r>
    </w:p>
    <w:p>
      <w:pPr>
        <w:adjustRightInd w:val="0"/>
        <w:snapToGrid w:val="0"/>
        <w:spacing w:line="360" w:lineRule="auto"/>
        <w:rPr>
          <w:rFonts w:ascii="黑体" w:hAnsi="黑体" w:eastAsia="黑体"/>
          <w:szCs w:val="21"/>
        </w:rPr>
      </w:pPr>
      <w:r>
        <w:rPr>
          <w:rFonts w:hint="eastAsia" w:ascii="黑体" w:hAnsi="黑体" w:eastAsia="黑体"/>
          <w:szCs w:val="21"/>
        </w:rPr>
        <w:t>三、标准主要内容的确定依据</w:t>
      </w:r>
    </w:p>
    <w:p>
      <w:pPr>
        <w:spacing w:line="360" w:lineRule="auto"/>
        <w:ind w:firstLine="420" w:firstLineChars="200"/>
        <w:jc w:val="left"/>
        <w:rPr>
          <w:szCs w:val="21"/>
        </w:rPr>
      </w:pPr>
      <w:r>
        <w:rPr>
          <w:rFonts w:hint="eastAsia"/>
          <w:szCs w:val="21"/>
        </w:rPr>
        <w:t>本文件规定了离子型稀土矿绿色设计产品评价的术语和定义、评价要求、产品生命周期评价报告编制方法，以及评价方法和流程。</w:t>
      </w:r>
    </w:p>
    <w:p>
      <w:pPr>
        <w:spacing w:line="360" w:lineRule="auto"/>
        <w:ind w:firstLine="420" w:firstLineChars="200"/>
        <w:jc w:val="left"/>
        <w:rPr>
          <w:szCs w:val="21"/>
        </w:rPr>
      </w:pPr>
      <w:r>
        <w:rPr>
          <w:rFonts w:hint="eastAsia"/>
          <w:szCs w:val="21"/>
        </w:rPr>
        <w:t>本文件适用于采用溶液浸矿方式浸取离子型稀土原矿，再采用萃取、沉淀等化学方法富集生产的离子型稀土矿产品的绿色设计产品评价。</w:t>
      </w:r>
    </w:p>
    <w:p>
      <w:pPr>
        <w:spacing w:line="312" w:lineRule="auto"/>
        <w:ind w:firstLine="420" w:firstLineChars="200"/>
        <w:rPr>
          <w:szCs w:val="21"/>
        </w:rPr>
        <w:sectPr>
          <w:pgSz w:w="11906" w:h="16838"/>
          <w:pgMar w:top="1440" w:right="1800" w:bottom="1440" w:left="1800" w:header="1418" w:footer="1134" w:gutter="0"/>
          <w:cols w:space="720" w:num="1"/>
          <w:docGrid w:linePitch="312" w:charSpace="0"/>
        </w:sectPr>
      </w:pPr>
      <w:r>
        <w:rPr>
          <w:rFonts w:hint="eastAsia"/>
          <w:szCs w:val="21"/>
        </w:rPr>
        <w:t>离子型稀土矿产品评价指标要求应符合表1的规定</w:t>
      </w:r>
      <w:r>
        <w:rPr>
          <w:szCs w:val="21"/>
        </w:rPr>
        <w:t>。</w:t>
      </w:r>
      <w:r>
        <w:rPr>
          <w:rFonts w:hint="eastAsia"/>
          <w:szCs w:val="21"/>
        </w:rPr>
        <w:t>评价指标权重见表2～表3。</w:t>
      </w:r>
    </w:p>
    <w:p>
      <w:pPr>
        <w:spacing w:line="360" w:lineRule="exact"/>
        <w:jc w:val="center"/>
        <w:rPr>
          <w:rFonts w:ascii="黑体" w:eastAsia="黑体"/>
          <w:highlight w:val="yellow"/>
        </w:rPr>
      </w:pPr>
      <w:r>
        <w:rPr>
          <w:rFonts w:ascii="黑体" w:eastAsia="黑体"/>
        </w:rPr>
        <w:t xml:space="preserve">表1  </w:t>
      </w:r>
      <w:r>
        <w:rPr>
          <w:rFonts w:hint="eastAsia" w:ascii="黑体" w:eastAsia="黑体"/>
        </w:rPr>
        <w:t>离子型</w:t>
      </w:r>
      <w:r>
        <w:rPr>
          <w:rFonts w:ascii="黑体" w:eastAsia="黑体"/>
        </w:rPr>
        <w:t>稀土</w:t>
      </w:r>
      <w:r>
        <w:rPr>
          <w:rFonts w:hint="eastAsia" w:ascii="黑体" w:eastAsia="黑体"/>
        </w:rPr>
        <w:t>矿绿色设计</w:t>
      </w:r>
      <w:r>
        <w:rPr>
          <w:rFonts w:ascii="黑体" w:eastAsia="黑体"/>
        </w:rPr>
        <w:t>产品评价指标要求</w:t>
      </w:r>
    </w:p>
    <w:tbl>
      <w:tblPr>
        <w:tblStyle w:val="20"/>
        <w:tblW w:w="486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2747"/>
        <w:gridCol w:w="968"/>
        <w:gridCol w:w="2284"/>
        <w:gridCol w:w="2284"/>
        <w:gridCol w:w="2284"/>
        <w:gridCol w:w="1562"/>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Align w:val="center"/>
          </w:tcPr>
          <w:p>
            <w:pPr>
              <w:adjustRightInd w:val="0"/>
              <w:snapToGrid w:val="0"/>
              <w:spacing w:line="312" w:lineRule="auto"/>
              <w:jc w:val="center"/>
              <w:rPr>
                <w:sz w:val="18"/>
                <w:szCs w:val="18"/>
              </w:rPr>
            </w:pPr>
            <w:r>
              <w:rPr>
                <w:rFonts w:hAnsi="宋体"/>
                <w:sz w:val="18"/>
                <w:szCs w:val="18"/>
              </w:rPr>
              <w:t>一级指标</w:t>
            </w:r>
          </w:p>
        </w:tc>
        <w:tc>
          <w:tcPr>
            <w:tcW w:w="994" w:type="pct"/>
            <w:vAlign w:val="center"/>
          </w:tcPr>
          <w:p>
            <w:pPr>
              <w:adjustRightInd w:val="0"/>
              <w:snapToGrid w:val="0"/>
              <w:spacing w:line="312" w:lineRule="auto"/>
              <w:jc w:val="center"/>
              <w:rPr>
                <w:sz w:val="18"/>
                <w:szCs w:val="18"/>
              </w:rPr>
            </w:pPr>
            <w:r>
              <w:rPr>
                <w:rFonts w:hAnsi="宋体"/>
                <w:sz w:val="18"/>
                <w:szCs w:val="18"/>
              </w:rPr>
              <w:t>二级指标</w:t>
            </w:r>
          </w:p>
        </w:tc>
        <w:tc>
          <w:tcPr>
            <w:tcW w:w="350" w:type="pct"/>
            <w:vAlign w:val="center"/>
          </w:tcPr>
          <w:p>
            <w:pPr>
              <w:adjustRightInd w:val="0"/>
              <w:snapToGrid w:val="0"/>
              <w:spacing w:line="312" w:lineRule="auto"/>
              <w:jc w:val="center"/>
              <w:rPr>
                <w:sz w:val="18"/>
                <w:szCs w:val="18"/>
              </w:rPr>
            </w:pPr>
            <w:r>
              <w:rPr>
                <w:rFonts w:hAnsi="宋体"/>
                <w:sz w:val="18"/>
                <w:szCs w:val="18"/>
              </w:rPr>
              <w:t>单位</w:t>
            </w:r>
          </w:p>
        </w:tc>
        <w:tc>
          <w:tcPr>
            <w:tcW w:w="826" w:type="pct"/>
            <w:vAlign w:val="center"/>
          </w:tcPr>
          <w:p>
            <w:pPr>
              <w:adjustRightInd w:val="0"/>
              <w:snapToGrid w:val="0"/>
              <w:spacing w:line="312" w:lineRule="auto"/>
              <w:jc w:val="center"/>
              <w:rPr>
                <w:sz w:val="18"/>
                <w:szCs w:val="18"/>
              </w:rPr>
            </w:pPr>
            <w:r>
              <w:rPr>
                <w:rFonts w:hint="eastAsia" w:hAnsi="宋体"/>
                <w:sz w:val="18"/>
                <w:szCs w:val="18"/>
              </w:rPr>
              <w:t>I级</w:t>
            </w:r>
            <w:r>
              <w:rPr>
                <w:rFonts w:hAnsi="宋体"/>
                <w:sz w:val="18"/>
                <w:szCs w:val="18"/>
              </w:rPr>
              <w:t>基准值</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II级</w:t>
            </w:r>
            <w:r>
              <w:rPr>
                <w:rFonts w:hAnsi="宋体"/>
                <w:sz w:val="18"/>
                <w:szCs w:val="18"/>
              </w:rPr>
              <w:t>基准值</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III级</w:t>
            </w:r>
            <w:r>
              <w:rPr>
                <w:rFonts w:hAnsi="宋体"/>
                <w:sz w:val="18"/>
                <w:szCs w:val="18"/>
              </w:rPr>
              <w:t>基准值</w:t>
            </w:r>
          </w:p>
        </w:tc>
        <w:tc>
          <w:tcPr>
            <w:tcW w:w="565" w:type="pct"/>
            <w:vAlign w:val="center"/>
          </w:tcPr>
          <w:p>
            <w:pPr>
              <w:adjustRightInd w:val="0"/>
              <w:snapToGrid w:val="0"/>
              <w:spacing w:line="312" w:lineRule="auto"/>
              <w:jc w:val="center"/>
              <w:rPr>
                <w:sz w:val="18"/>
                <w:szCs w:val="18"/>
              </w:rPr>
            </w:pPr>
            <w:r>
              <w:rPr>
                <w:rFonts w:hAnsi="宋体"/>
                <w:sz w:val="18"/>
                <w:szCs w:val="18"/>
              </w:rPr>
              <w:t>判定依据</w:t>
            </w:r>
          </w:p>
        </w:tc>
        <w:tc>
          <w:tcPr>
            <w:tcW w:w="357" w:type="pct"/>
            <w:vAlign w:val="center"/>
          </w:tcPr>
          <w:p>
            <w:pPr>
              <w:adjustRightInd w:val="0"/>
              <w:snapToGrid w:val="0"/>
              <w:spacing w:line="312" w:lineRule="auto"/>
              <w:jc w:val="center"/>
              <w:rPr>
                <w:sz w:val="18"/>
                <w:szCs w:val="18"/>
              </w:rPr>
            </w:pPr>
            <w:r>
              <w:rPr>
                <w:rFonts w:hAnsi="宋体"/>
                <w:sz w:val="18"/>
                <w:szCs w:val="18"/>
              </w:rPr>
              <w:t>所属阶段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restart"/>
            <w:vAlign w:val="center"/>
          </w:tcPr>
          <w:p>
            <w:pPr>
              <w:adjustRightInd w:val="0"/>
              <w:snapToGrid w:val="0"/>
              <w:spacing w:line="312" w:lineRule="auto"/>
              <w:jc w:val="center"/>
              <w:rPr>
                <w:sz w:val="18"/>
                <w:szCs w:val="18"/>
              </w:rPr>
            </w:pPr>
            <w:r>
              <w:rPr>
                <w:rFonts w:hAnsi="宋体"/>
                <w:sz w:val="18"/>
                <w:szCs w:val="18"/>
              </w:rPr>
              <w:t>资源属性</w:t>
            </w:r>
          </w:p>
        </w:tc>
        <w:tc>
          <w:tcPr>
            <w:tcW w:w="994" w:type="pct"/>
            <w:vAlign w:val="center"/>
          </w:tcPr>
          <w:p>
            <w:pPr>
              <w:adjustRightInd w:val="0"/>
              <w:snapToGrid w:val="0"/>
              <w:spacing w:line="312" w:lineRule="auto"/>
              <w:jc w:val="center"/>
              <w:rPr>
                <w:sz w:val="18"/>
                <w:szCs w:val="18"/>
              </w:rPr>
            </w:pPr>
            <w:r>
              <w:rPr>
                <w:rFonts w:hAnsi="宋体"/>
                <w:kern w:val="0"/>
                <w:sz w:val="18"/>
                <w:szCs w:val="18"/>
              </w:rPr>
              <w:t>从离子型稀土</w:t>
            </w:r>
            <w:r>
              <w:rPr>
                <w:rFonts w:hint="eastAsia" w:hAnsi="宋体"/>
                <w:kern w:val="0"/>
                <w:sz w:val="18"/>
                <w:szCs w:val="18"/>
              </w:rPr>
              <w:t>原矿</w:t>
            </w:r>
            <w:r>
              <w:rPr>
                <w:rFonts w:hAnsi="宋体"/>
                <w:kern w:val="0"/>
                <w:sz w:val="18"/>
                <w:szCs w:val="18"/>
              </w:rPr>
              <w:t>到</w:t>
            </w:r>
            <w:r>
              <w:rPr>
                <w:rFonts w:hint="eastAsia" w:hAnsi="宋体"/>
                <w:kern w:val="0"/>
                <w:sz w:val="18"/>
                <w:szCs w:val="18"/>
              </w:rPr>
              <w:t>离子型稀土矿浸出液的离子相</w:t>
            </w:r>
            <w:r>
              <w:rPr>
                <w:rFonts w:hAnsi="宋体"/>
                <w:kern w:val="0"/>
                <w:sz w:val="18"/>
                <w:szCs w:val="18"/>
              </w:rPr>
              <w:t>稀土回收率</w:t>
            </w:r>
          </w:p>
        </w:tc>
        <w:tc>
          <w:tcPr>
            <w:tcW w:w="350" w:type="pct"/>
            <w:vAlign w:val="center"/>
          </w:tcPr>
          <w:p>
            <w:pPr>
              <w:adjustRightInd w:val="0"/>
              <w:snapToGrid w:val="0"/>
              <w:spacing w:line="312" w:lineRule="auto"/>
              <w:jc w:val="center"/>
              <w:rPr>
                <w:sz w:val="18"/>
                <w:szCs w:val="18"/>
              </w:rPr>
            </w:pPr>
            <w:r>
              <w:rPr>
                <w:rFonts w:hint="eastAsia"/>
                <w:kern w:val="0"/>
                <w:sz w:val="18"/>
                <w:szCs w:val="18"/>
              </w:rPr>
              <w:t>%</w:t>
            </w:r>
          </w:p>
        </w:tc>
        <w:tc>
          <w:tcPr>
            <w:tcW w:w="826" w:type="pct"/>
            <w:vAlign w:val="center"/>
          </w:tcPr>
          <w:p>
            <w:pPr>
              <w:adjustRightInd w:val="0"/>
              <w:snapToGrid w:val="0"/>
              <w:spacing w:line="312" w:lineRule="auto"/>
              <w:jc w:val="center"/>
              <w:rPr>
                <w:sz w:val="18"/>
                <w:szCs w:val="18"/>
              </w:rPr>
            </w:pPr>
            <w:r>
              <w:rPr>
                <w:rFonts w:hint="eastAsia" w:hAnsi="宋体"/>
                <w:sz w:val="18"/>
                <w:szCs w:val="18"/>
              </w:rPr>
              <w:t>≥</w:t>
            </w:r>
            <w:r>
              <w:rPr>
                <w:kern w:val="0"/>
                <w:sz w:val="18"/>
                <w:szCs w:val="18"/>
              </w:rPr>
              <w:t>90</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87</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85</w:t>
            </w:r>
          </w:p>
        </w:tc>
        <w:tc>
          <w:tcPr>
            <w:tcW w:w="565" w:type="pct"/>
            <w:vAlign w:val="center"/>
          </w:tcPr>
          <w:p>
            <w:pPr>
              <w:adjustRightInd w:val="0"/>
              <w:snapToGrid w:val="0"/>
              <w:spacing w:line="312" w:lineRule="auto"/>
              <w:jc w:val="center"/>
              <w:rPr>
                <w:sz w:val="18"/>
                <w:szCs w:val="18"/>
              </w:rPr>
            </w:pPr>
            <w:r>
              <w:rPr>
                <w:rFonts w:hint="eastAsia" w:hAnsi="宋体"/>
                <w:sz w:val="18"/>
                <w:szCs w:val="18"/>
              </w:rPr>
              <w:t>现场数据</w:t>
            </w:r>
          </w:p>
        </w:tc>
        <w:tc>
          <w:tcPr>
            <w:tcW w:w="357" w:type="pct"/>
            <w:vMerge w:val="restart"/>
            <w:vAlign w:val="center"/>
          </w:tcPr>
          <w:p>
            <w:pPr>
              <w:adjustRightInd w:val="0"/>
              <w:snapToGrid w:val="0"/>
              <w:spacing w:line="312" w:lineRule="auto"/>
              <w:jc w:val="center"/>
              <w:rPr>
                <w:sz w:val="18"/>
                <w:szCs w:val="18"/>
              </w:rPr>
            </w:pPr>
            <w:r>
              <w:rPr>
                <w:rFonts w:hAnsi="宋体"/>
                <w:sz w:val="18"/>
                <w:szCs w:val="18"/>
              </w:rPr>
              <w:t>产品生产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ind w:firstLine="360" w:firstLineChars="200"/>
              <w:jc w:val="center"/>
              <w:rPr>
                <w:sz w:val="18"/>
                <w:szCs w:val="18"/>
              </w:rPr>
            </w:pPr>
          </w:p>
        </w:tc>
        <w:tc>
          <w:tcPr>
            <w:tcW w:w="994" w:type="pct"/>
            <w:vAlign w:val="center"/>
          </w:tcPr>
          <w:p>
            <w:pPr>
              <w:adjustRightInd w:val="0"/>
              <w:snapToGrid w:val="0"/>
              <w:spacing w:line="312" w:lineRule="auto"/>
              <w:jc w:val="center"/>
              <w:rPr>
                <w:sz w:val="18"/>
                <w:szCs w:val="18"/>
              </w:rPr>
            </w:pPr>
            <w:r>
              <w:rPr>
                <w:rFonts w:hAnsi="宋体"/>
                <w:kern w:val="0"/>
                <w:sz w:val="18"/>
                <w:szCs w:val="18"/>
              </w:rPr>
              <w:t>从离子型稀土</w:t>
            </w:r>
            <w:r>
              <w:rPr>
                <w:rFonts w:hint="eastAsia" w:hAnsi="宋体"/>
                <w:kern w:val="0"/>
                <w:sz w:val="18"/>
                <w:szCs w:val="18"/>
              </w:rPr>
              <w:t>矿浸出液</w:t>
            </w:r>
            <w:r>
              <w:rPr>
                <w:rFonts w:hAnsi="宋体"/>
                <w:kern w:val="0"/>
                <w:sz w:val="18"/>
                <w:szCs w:val="18"/>
              </w:rPr>
              <w:t>到</w:t>
            </w:r>
            <w:r>
              <w:rPr>
                <w:rFonts w:hint="eastAsia" w:hAnsi="宋体"/>
                <w:kern w:val="0"/>
                <w:sz w:val="18"/>
                <w:szCs w:val="18"/>
              </w:rPr>
              <w:t>离子型稀土矿产品</w:t>
            </w:r>
            <w:r>
              <w:rPr>
                <w:rFonts w:hAnsi="宋体"/>
                <w:kern w:val="0"/>
                <w:sz w:val="18"/>
                <w:szCs w:val="18"/>
              </w:rPr>
              <w:t>的稀土回收率</w:t>
            </w:r>
          </w:p>
        </w:tc>
        <w:tc>
          <w:tcPr>
            <w:tcW w:w="350" w:type="pct"/>
            <w:vAlign w:val="center"/>
          </w:tcPr>
          <w:p>
            <w:pPr>
              <w:adjustRightInd w:val="0"/>
              <w:snapToGrid w:val="0"/>
              <w:spacing w:line="312" w:lineRule="auto"/>
              <w:jc w:val="center"/>
              <w:rPr>
                <w:sz w:val="18"/>
                <w:szCs w:val="18"/>
              </w:rPr>
            </w:pPr>
            <w:r>
              <w:rPr>
                <w:kern w:val="0"/>
                <w:sz w:val="18"/>
                <w:szCs w:val="18"/>
              </w:rPr>
              <w:t>%</w:t>
            </w:r>
          </w:p>
        </w:tc>
        <w:tc>
          <w:tcPr>
            <w:tcW w:w="826" w:type="pct"/>
            <w:vAlign w:val="center"/>
          </w:tcPr>
          <w:p>
            <w:pPr>
              <w:adjustRightInd w:val="0"/>
              <w:snapToGrid w:val="0"/>
              <w:spacing w:line="312" w:lineRule="auto"/>
              <w:jc w:val="center"/>
              <w:rPr>
                <w:sz w:val="18"/>
                <w:szCs w:val="18"/>
              </w:rPr>
            </w:pPr>
            <w:r>
              <w:rPr>
                <w:rFonts w:hint="eastAsia" w:hAnsi="宋体"/>
                <w:sz w:val="18"/>
                <w:szCs w:val="18"/>
              </w:rPr>
              <w:t>≥</w:t>
            </w:r>
            <w:r>
              <w:rPr>
                <w:kern w:val="0"/>
                <w:sz w:val="18"/>
                <w:szCs w:val="18"/>
              </w:rPr>
              <w:t>9</w:t>
            </w:r>
            <w:r>
              <w:rPr>
                <w:rFonts w:hint="eastAsia"/>
                <w:kern w:val="0"/>
                <w:sz w:val="18"/>
                <w:szCs w:val="18"/>
              </w:rPr>
              <w:t>5</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93</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90</w:t>
            </w:r>
          </w:p>
        </w:tc>
        <w:tc>
          <w:tcPr>
            <w:tcW w:w="565" w:type="pct"/>
            <w:vAlign w:val="center"/>
          </w:tcPr>
          <w:p>
            <w:pPr>
              <w:adjustRightInd w:val="0"/>
              <w:snapToGrid w:val="0"/>
              <w:spacing w:line="312" w:lineRule="auto"/>
              <w:jc w:val="center"/>
              <w:rPr>
                <w:sz w:val="18"/>
                <w:szCs w:val="18"/>
              </w:rPr>
            </w:pPr>
            <w:r>
              <w:rPr>
                <w:rFonts w:hAnsi="宋体"/>
                <w:sz w:val="18"/>
                <w:szCs w:val="18"/>
              </w:rPr>
              <w:t>现场数据</w:t>
            </w:r>
          </w:p>
        </w:tc>
        <w:tc>
          <w:tcPr>
            <w:tcW w:w="357" w:type="pct"/>
            <w:vMerge w:val="continue"/>
            <w:vAlign w:val="center"/>
          </w:tcPr>
          <w:p>
            <w:pPr>
              <w:adjustRightInd w:val="0"/>
              <w:snapToGrid w:val="0"/>
              <w:spacing w:line="312" w:lineRule="auto"/>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256" w:type="pct"/>
            <w:vMerge w:val="continue"/>
            <w:vAlign w:val="center"/>
          </w:tcPr>
          <w:p>
            <w:pPr>
              <w:adjustRightInd w:val="0"/>
              <w:snapToGrid w:val="0"/>
              <w:spacing w:line="312" w:lineRule="auto"/>
              <w:ind w:firstLine="360" w:firstLineChars="200"/>
              <w:jc w:val="center"/>
              <w:rPr>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稀土总回收率</w:t>
            </w:r>
          </w:p>
        </w:tc>
        <w:tc>
          <w:tcPr>
            <w:tcW w:w="350" w:type="pct"/>
            <w:vAlign w:val="center"/>
          </w:tcPr>
          <w:p>
            <w:pPr>
              <w:adjustRightInd w:val="0"/>
              <w:snapToGrid w:val="0"/>
              <w:spacing w:line="312" w:lineRule="auto"/>
              <w:jc w:val="center"/>
              <w:rPr>
                <w:kern w:val="0"/>
                <w:sz w:val="18"/>
                <w:szCs w:val="18"/>
              </w:rPr>
            </w:pPr>
            <w:r>
              <w:rPr>
                <w:kern w:val="0"/>
                <w:sz w:val="18"/>
                <w:szCs w:val="18"/>
              </w:rPr>
              <w:t>%</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85</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80</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kern w:val="0"/>
                <w:sz w:val="18"/>
                <w:szCs w:val="18"/>
              </w:rPr>
              <w:t>75</w:t>
            </w:r>
          </w:p>
        </w:tc>
        <w:tc>
          <w:tcPr>
            <w:tcW w:w="565" w:type="pct"/>
            <w:vAlign w:val="center"/>
          </w:tcPr>
          <w:p>
            <w:pPr>
              <w:adjustRightInd w:val="0"/>
              <w:snapToGrid w:val="0"/>
              <w:spacing w:line="312" w:lineRule="auto"/>
              <w:jc w:val="center"/>
              <w:rPr>
                <w:rFonts w:hAnsi="宋体"/>
                <w:sz w:val="18"/>
                <w:szCs w:val="18"/>
              </w:rPr>
            </w:pPr>
            <w:r>
              <w:rPr>
                <w:rFonts w:hAnsi="宋体"/>
                <w:sz w:val="18"/>
                <w:szCs w:val="18"/>
              </w:rPr>
              <w:t>现场数据</w:t>
            </w:r>
          </w:p>
        </w:tc>
        <w:tc>
          <w:tcPr>
            <w:tcW w:w="357" w:type="pct"/>
            <w:vMerge w:val="continue"/>
            <w:vAlign w:val="center"/>
          </w:tcPr>
          <w:p>
            <w:pPr>
              <w:adjustRightInd w:val="0"/>
              <w:snapToGrid w:val="0"/>
              <w:spacing w:line="312" w:lineRule="auto"/>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56" w:type="pct"/>
            <w:vMerge w:val="continue"/>
            <w:vAlign w:val="center"/>
          </w:tcPr>
          <w:p>
            <w:pPr>
              <w:adjustRightInd w:val="0"/>
              <w:snapToGrid w:val="0"/>
              <w:spacing w:line="312" w:lineRule="auto"/>
              <w:ind w:firstLine="360" w:firstLineChars="200"/>
              <w:jc w:val="center"/>
              <w:rPr>
                <w:sz w:val="18"/>
                <w:szCs w:val="18"/>
              </w:rPr>
            </w:pPr>
          </w:p>
        </w:tc>
        <w:tc>
          <w:tcPr>
            <w:tcW w:w="994" w:type="pct"/>
            <w:vAlign w:val="center"/>
          </w:tcPr>
          <w:p>
            <w:pPr>
              <w:adjustRightInd w:val="0"/>
              <w:snapToGrid w:val="0"/>
              <w:spacing w:line="312" w:lineRule="auto"/>
              <w:jc w:val="center"/>
              <w:rPr>
                <w:kern w:val="0"/>
                <w:sz w:val="18"/>
                <w:szCs w:val="18"/>
              </w:rPr>
            </w:pPr>
            <w:r>
              <w:rPr>
                <w:rFonts w:hAnsi="宋体"/>
                <w:kern w:val="0"/>
                <w:sz w:val="18"/>
                <w:szCs w:val="18"/>
              </w:rPr>
              <w:t>水重复利用率</w:t>
            </w:r>
          </w:p>
        </w:tc>
        <w:tc>
          <w:tcPr>
            <w:tcW w:w="350" w:type="pct"/>
            <w:vAlign w:val="center"/>
          </w:tcPr>
          <w:p>
            <w:pPr>
              <w:adjustRightInd w:val="0"/>
              <w:snapToGrid w:val="0"/>
              <w:spacing w:line="312" w:lineRule="auto"/>
              <w:jc w:val="center"/>
              <w:rPr>
                <w:kern w:val="0"/>
                <w:sz w:val="18"/>
                <w:szCs w:val="18"/>
              </w:rPr>
            </w:pPr>
            <w:r>
              <w:rPr>
                <w:kern w:val="0"/>
                <w:sz w:val="18"/>
                <w:szCs w:val="18"/>
              </w:rPr>
              <w:t>%</w:t>
            </w:r>
          </w:p>
        </w:tc>
        <w:tc>
          <w:tcPr>
            <w:tcW w:w="826" w:type="pct"/>
            <w:vAlign w:val="center"/>
          </w:tcPr>
          <w:p>
            <w:pPr>
              <w:adjustRightInd w:val="0"/>
              <w:snapToGrid w:val="0"/>
              <w:spacing w:line="312" w:lineRule="auto"/>
              <w:jc w:val="center"/>
              <w:rPr>
                <w:kern w:val="0"/>
                <w:sz w:val="18"/>
                <w:szCs w:val="18"/>
              </w:rPr>
            </w:pPr>
            <w:bookmarkStart w:id="0" w:name="_Hlk508961064"/>
            <w:r>
              <w:rPr>
                <w:rFonts w:hint="eastAsia" w:hAnsi="宋体"/>
                <w:sz w:val="18"/>
                <w:szCs w:val="18"/>
              </w:rPr>
              <w:t>≥</w:t>
            </w:r>
            <w:bookmarkEnd w:id="0"/>
            <w:r>
              <w:rPr>
                <w:rFonts w:hint="eastAsia"/>
                <w:kern w:val="0"/>
                <w:sz w:val="18"/>
                <w:szCs w:val="18"/>
              </w:rPr>
              <w:t>9</w:t>
            </w:r>
            <w:r>
              <w:rPr>
                <w:kern w:val="0"/>
                <w:sz w:val="18"/>
                <w:szCs w:val="18"/>
              </w:rPr>
              <w:t>5</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rFonts w:hint="eastAsia"/>
                <w:kern w:val="0"/>
                <w:sz w:val="18"/>
                <w:szCs w:val="18"/>
              </w:rPr>
              <w:t>9</w:t>
            </w:r>
            <w:r>
              <w:rPr>
                <w:kern w:val="0"/>
                <w:sz w:val="18"/>
                <w:szCs w:val="18"/>
              </w:rPr>
              <w:t>3</w:t>
            </w:r>
          </w:p>
        </w:tc>
        <w:tc>
          <w:tcPr>
            <w:tcW w:w="826" w:type="pct"/>
            <w:vAlign w:val="center"/>
          </w:tcPr>
          <w:p>
            <w:pPr>
              <w:adjustRightInd w:val="0"/>
              <w:snapToGrid w:val="0"/>
              <w:spacing w:line="312" w:lineRule="auto"/>
              <w:jc w:val="center"/>
              <w:rPr>
                <w:rFonts w:hAnsi="宋体"/>
                <w:sz w:val="18"/>
                <w:szCs w:val="18"/>
              </w:rPr>
            </w:pPr>
            <w:r>
              <w:rPr>
                <w:rFonts w:hint="eastAsia" w:hAnsi="宋体"/>
                <w:sz w:val="18"/>
                <w:szCs w:val="18"/>
              </w:rPr>
              <w:t>≥</w:t>
            </w:r>
            <w:r>
              <w:rPr>
                <w:rFonts w:hint="eastAsia"/>
                <w:kern w:val="0"/>
                <w:sz w:val="18"/>
                <w:szCs w:val="18"/>
              </w:rPr>
              <w:t>9</w:t>
            </w:r>
            <w:r>
              <w:rPr>
                <w:kern w:val="0"/>
                <w:sz w:val="18"/>
                <w:szCs w:val="18"/>
              </w:rPr>
              <w:t>0</w:t>
            </w:r>
          </w:p>
        </w:tc>
        <w:tc>
          <w:tcPr>
            <w:tcW w:w="565" w:type="pct"/>
            <w:vAlign w:val="center"/>
          </w:tcPr>
          <w:p>
            <w:pPr>
              <w:adjustRightInd w:val="0"/>
              <w:snapToGrid w:val="0"/>
              <w:spacing w:line="312" w:lineRule="auto"/>
              <w:jc w:val="center"/>
              <w:rPr>
                <w:sz w:val="18"/>
                <w:szCs w:val="18"/>
              </w:rPr>
            </w:pPr>
            <w:r>
              <w:rPr>
                <w:rFonts w:hAnsi="宋体"/>
                <w:sz w:val="18"/>
                <w:szCs w:val="18"/>
              </w:rPr>
              <w:t>现场数据</w:t>
            </w:r>
          </w:p>
        </w:tc>
        <w:tc>
          <w:tcPr>
            <w:tcW w:w="357" w:type="pct"/>
            <w:vMerge w:val="continue"/>
            <w:vAlign w:val="center"/>
          </w:tcPr>
          <w:p>
            <w:pPr>
              <w:adjustRightInd w:val="0"/>
              <w:snapToGrid w:val="0"/>
              <w:spacing w:line="312" w:lineRule="auto"/>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restart"/>
            <w:vAlign w:val="center"/>
          </w:tcPr>
          <w:p>
            <w:pPr>
              <w:adjustRightInd w:val="0"/>
              <w:snapToGrid w:val="0"/>
              <w:spacing w:line="312" w:lineRule="auto"/>
              <w:jc w:val="center"/>
              <w:rPr>
                <w:sz w:val="18"/>
                <w:szCs w:val="18"/>
              </w:rPr>
            </w:pPr>
            <w:r>
              <w:rPr>
                <w:rFonts w:hAnsi="宋体"/>
                <w:sz w:val="18"/>
                <w:szCs w:val="18"/>
              </w:rPr>
              <w:t>环境属性</w:t>
            </w:r>
          </w:p>
        </w:tc>
        <w:tc>
          <w:tcPr>
            <w:tcW w:w="994" w:type="pct"/>
            <w:vAlign w:val="center"/>
          </w:tcPr>
          <w:p>
            <w:pPr>
              <w:adjustRightInd w:val="0"/>
              <w:snapToGrid w:val="0"/>
              <w:spacing w:line="312" w:lineRule="auto"/>
              <w:jc w:val="center"/>
              <w:rPr>
                <w:kern w:val="0"/>
                <w:sz w:val="18"/>
                <w:szCs w:val="18"/>
              </w:rPr>
            </w:pPr>
            <w:r>
              <w:rPr>
                <w:rFonts w:hint="eastAsia" w:hAnsi="宋体"/>
                <w:kern w:val="0"/>
                <w:sz w:val="18"/>
                <w:szCs w:val="18"/>
              </w:rPr>
              <w:t>矿区</w:t>
            </w:r>
            <w:r>
              <w:rPr>
                <w:rFonts w:hAnsi="宋体"/>
                <w:kern w:val="0"/>
                <w:sz w:val="18"/>
                <w:szCs w:val="18"/>
              </w:rPr>
              <w:t>污染物</w:t>
            </w:r>
            <w:r>
              <w:rPr>
                <w:rFonts w:hint="eastAsia" w:hAnsi="宋体"/>
                <w:kern w:val="0"/>
                <w:sz w:val="18"/>
                <w:szCs w:val="18"/>
              </w:rPr>
              <w:t>有组织排放</w:t>
            </w:r>
            <w:r>
              <w:rPr>
                <w:rFonts w:hAnsi="宋体"/>
                <w:kern w:val="0"/>
                <w:sz w:val="18"/>
                <w:szCs w:val="18"/>
              </w:rPr>
              <w:t>指标</w:t>
            </w:r>
            <w:r>
              <w:rPr>
                <w:rFonts w:hint="eastAsia" w:ascii="宋体" w:hAnsi="宋体"/>
                <w:kern w:val="0"/>
                <w:sz w:val="18"/>
                <w:szCs w:val="18"/>
                <w:vertAlign w:val="superscript"/>
              </w:rPr>
              <w:t>①</w:t>
            </w:r>
          </w:p>
        </w:tc>
        <w:tc>
          <w:tcPr>
            <w:tcW w:w="350" w:type="pct"/>
            <w:vAlign w:val="center"/>
          </w:tcPr>
          <w:p>
            <w:pPr>
              <w:adjustRightInd w:val="0"/>
              <w:snapToGrid w:val="0"/>
              <w:spacing w:line="312" w:lineRule="auto"/>
              <w:jc w:val="center"/>
              <w:rPr>
                <w:sz w:val="18"/>
                <w:szCs w:val="18"/>
              </w:rPr>
            </w:pPr>
            <w:r>
              <w:rPr>
                <w:sz w:val="18"/>
                <w:szCs w:val="18"/>
              </w:rPr>
              <w:t>—</w:t>
            </w:r>
          </w:p>
        </w:tc>
        <w:tc>
          <w:tcPr>
            <w:tcW w:w="2478" w:type="pct"/>
            <w:gridSpan w:val="3"/>
            <w:vAlign w:val="center"/>
          </w:tcPr>
          <w:p>
            <w:pPr>
              <w:adjustRightInd w:val="0"/>
              <w:snapToGrid w:val="0"/>
              <w:spacing w:line="312" w:lineRule="auto"/>
              <w:jc w:val="center"/>
              <w:rPr>
                <w:rFonts w:hAnsi="宋体"/>
                <w:sz w:val="18"/>
                <w:szCs w:val="18"/>
              </w:rPr>
            </w:pPr>
            <w:r>
              <w:rPr>
                <w:rFonts w:hint="eastAsia" w:hAnsi="宋体"/>
                <w:sz w:val="18"/>
                <w:szCs w:val="18"/>
              </w:rPr>
              <w:t>氨氮、总氮、总磷、化学需氧量（COD）、pH值</w:t>
            </w:r>
            <w:r>
              <w:rPr>
                <w:rFonts w:hAnsi="宋体"/>
                <w:kern w:val="0"/>
                <w:sz w:val="18"/>
                <w:szCs w:val="18"/>
              </w:rPr>
              <w:t>应符合</w:t>
            </w:r>
            <w:r>
              <w:rPr>
                <w:rFonts w:hint="eastAsia" w:hAnsi="宋体"/>
                <w:kern w:val="0"/>
                <w:sz w:val="18"/>
                <w:szCs w:val="18"/>
              </w:rPr>
              <w:t>GB 26451、HJ 1125</w:t>
            </w:r>
            <w:r>
              <w:rPr>
                <w:rFonts w:hint="eastAsia" w:hAnsi="宋体"/>
                <w:sz w:val="18"/>
                <w:szCs w:val="18"/>
              </w:rPr>
              <w:t>要求</w:t>
            </w:r>
          </w:p>
        </w:tc>
        <w:tc>
          <w:tcPr>
            <w:tcW w:w="565" w:type="pct"/>
            <w:vAlign w:val="center"/>
          </w:tcPr>
          <w:p>
            <w:pPr>
              <w:adjustRightInd w:val="0"/>
              <w:snapToGrid w:val="0"/>
              <w:spacing w:line="312" w:lineRule="auto"/>
              <w:jc w:val="center"/>
              <w:rPr>
                <w:sz w:val="18"/>
                <w:szCs w:val="18"/>
              </w:rPr>
            </w:pPr>
            <w:r>
              <w:rPr>
                <w:rFonts w:hAnsi="宋体"/>
                <w:sz w:val="18"/>
                <w:szCs w:val="18"/>
              </w:rPr>
              <w:t>现场检测数据或分析检验结果</w:t>
            </w:r>
          </w:p>
        </w:tc>
        <w:tc>
          <w:tcPr>
            <w:tcW w:w="357" w:type="pct"/>
            <w:vMerge w:val="restart"/>
            <w:vAlign w:val="center"/>
          </w:tcPr>
          <w:p>
            <w:pPr>
              <w:adjustRightInd w:val="0"/>
              <w:snapToGrid w:val="0"/>
              <w:spacing w:line="312" w:lineRule="auto"/>
              <w:jc w:val="center"/>
              <w:rPr>
                <w:sz w:val="18"/>
                <w:szCs w:val="18"/>
              </w:rPr>
            </w:pPr>
            <w:r>
              <w:rPr>
                <w:rFonts w:hAnsi="宋体"/>
                <w:sz w:val="18"/>
                <w:szCs w:val="18"/>
              </w:rPr>
              <w:t>产品生产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矿区外环境质量管理指标</w:t>
            </w:r>
            <w:r>
              <w:rPr>
                <w:rFonts w:hint="eastAsia" w:ascii="宋体" w:hAnsi="宋体"/>
                <w:kern w:val="0"/>
                <w:sz w:val="18"/>
                <w:szCs w:val="18"/>
                <w:vertAlign w:val="superscript"/>
              </w:rPr>
              <w:t>②</w:t>
            </w:r>
          </w:p>
        </w:tc>
        <w:tc>
          <w:tcPr>
            <w:tcW w:w="350" w:type="pct"/>
            <w:vAlign w:val="center"/>
          </w:tcPr>
          <w:p>
            <w:pPr>
              <w:adjustRightInd w:val="0"/>
              <w:snapToGrid w:val="0"/>
              <w:spacing w:line="312" w:lineRule="auto"/>
              <w:jc w:val="center"/>
              <w:rPr>
                <w:sz w:val="18"/>
                <w:szCs w:val="18"/>
              </w:rPr>
            </w:pPr>
            <w:r>
              <w:rPr>
                <w:sz w:val="18"/>
                <w:szCs w:val="18"/>
              </w:rPr>
              <w:t>—</w:t>
            </w:r>
          </w:p>
        </w:tc>
        <w:tc>
          <w:tcPr>
            <w:tcW w:w="2478" w:type="pct"/>
            <w:gridSpan w:val="3"/>
            <w:vAlign w:val="center"/>
          </w:tcPr>
          <w:p>
            <w:pPr>
              <w:adjustRightInd w:val="0"/>
              <w:snapToGrid w:val="0"/>
              <w:spacing w:line="312" w:lineRule="auto"/>
              <w:jc w:val="center"/>
              <w:rPr>
                <w:rFonts w:hAnsi="宋体"/>
                <w:sz w:val="18"/>
                <w:szCs w:val="18"/>
              </w:rPr>
            </w:pPr>
            <w:r>
              <w:rPr>
                <w:rFonts w:hint="eastAsia" w:hAnsi="宋体"/>
                <w:sz w:val="18"/>
                <w:szCs w:val="18"/>
              </w:rPr>
              <w:t>氨氮、总氮、总磷、化学需氧量（COD）、pH值</w:t>
            </w:r>
            <w:r>
              <w:rPr>
                <w:rFonts w:hAnsi="宋体"/>
                <w:sz w:val="18"/>
                <w:szCs w:val="18"/>
              </w:rPr>
              <w:t>应符合</w:t>
            </w:r>
            <w:r>
              <w:rPr>
                <w:rFonts w:hint="eastAsia" w:hAnsi="宋体"/>
                <w:sz w:val="18"/>
                <w:szCs w:val="18"/>
              </w:rPr>
              <w:t>GB 3838中III类水要求；</w:t>
            </w:r>
          </w:p>
          <w:p>
            <w:pPr>
              <w:adjustRightInd w:val="0"/>
              <w:snapToGrid w:val="0"/>
              <w:spacing w:line="312" w:lineRule="auto"/>
              <w:jc w:val="center"/>
              <w:rPr>
                <w:rFonts w:hAnsi="宋体"/>
                <w:sz w:val="18"/>
                <w:szCs w:val="18"/>
              </w:rPr>
            </w:pPr>
            <w:r>
              <w:rPr>
                <w:rFonts w:hint="eastAsia" w:hAnsi="宋体"/>
                <w:sz w:val="18"/>
                <w:szCs w:val="18"/>
              </w:rPr>
              <w:t>氨氮、亚硝酸盐、硝酸盐、总硬度、溶解性总固体、pH</w:t>
            </w:r>
            <w:r>
              <w:rPr>
                <w:rFonts w:hAnsi="宋体"/>
                <w:sz w:val="18"/>
                <w:szCs w:val="18"/>
              </w:rPr>
              <w:t>应符合GB/T 14848</w:t>
            </w:r>
            <w:r>
              <w:rPr>
                <w:rFonts w:hint="eastAsia" w:hAnsi="宋体"/>
                <w:sz w:val="18"/>
                <w:szCs w:val="18"/>
              </w:rPr>
              <w:t>中III类水要求</w:t>
            </w:r>
          </w:p>
        </w:tc>
        <w:tc>
          <w:tcPr>
            <w:tcW w:w="565" w:type="pct"/>
            <w:vAlign w:val="center"/>
          </w:tcPr>
          <w:p>
            <w:pPr>
              <w:adjustRightInd w:val="0"/>
              <w:snapToGrid w:val="0"/>
              <w:spacing w:line="312" w:lineRule="auto"/>
              <w:jc w:val="center"/>
              <w:rPr>
                <w:rFonts w:hAnsi="宋体"/>
                <w:sz w:val="18"/>
                <w:szCs w:val="18"/>
              </w:rPr>
            </w:pPr>
            <w:r>
              <w:rPr>
                <w:rFonts w:hAnsi="宋体"/>
                <w:sz w:val="18"/>
                <w:szCs w:val="18"/>
              </w:rPr>
              <w:t>现场检测数据或分析检验结果</w:t>
            </w:r>
          </w:p>
        </w:tc>
        <w:tc>
          <w:tcPr>
            <w:tcW w:w="357" w:type="pct"/>
            <w:vMerge w:val="continue"/>
            <w:vAlign w:val="center"/>
          </w:tcPr>
          <w:p>
            <w:pPr>
              <w:adjustRightInd w:val="0"/>
              <w:snapToGrid w:val="0"/>
              <w:spacing w:line="312" w:lineRule="auto"/>
              <w:jc w:val="center"/>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sz w:val="18"/>
                <w:szCs w:val="18"/>
              </w:rPr>
            </w:pPr>
          </w:p>
        </w:tc>
        <w:tc>
          <w:tcPr>
            <w:tcW w:w="994" w:type="pct"/>
            <w:vAlign w:val="center"/>
          </w:tcPr>
          <w:p>
            <w:pPr>
              <w:adjustRightInd w:val="0"/>
              <w:snapToGrid w:val="0"/>
              <w:spacing w:line="312" w:lineRule="auto"/>
              <w:jc w:val="center"/>
              <w:rPr>
                <w:rFonts w:hAnsi="宋体"/>
                <w:kern w:val="0"/>
                <w:sz w:val="18"/>
                <w:szCs w:val="18"/>
                <w:highlight w:val="yellow"/>
              </w:rPr>
            </w:pPr>
            <w:r>
              <w:rPr>
                <w:rFonts w:hint="eastAsia" w:hAnsi="宋体"/>
                <w:kern w:val="0"/>
                <w:sz w:val="18"/>
                <w:szCs w:val="18"/>
              </w:rPr>
              <w:t>矿区固废</w:t>
            </w:r>
            <w:r>
              <w:rPr>
                <w:rFonts w:hint="eastAsia" w:ascii="宋体" w:hAnsi="宋体"/>
                <w:sz w:val="18"/>
                <w:szCs w:val="18"/>
                <w:vertAlign w:val="superscript"/>
              </w:rPr>
              <w:t>③</w:t>
            </w:r>
            <w:r>
              <w:rPr>
                <w:rFonts w:hint="eastAsia" w:hAnsi="宋体"/>
                <w:kern w:val="0"/>
                <w:sz w:val="18"/>
                <w:szCs w:val="18"/>
              </w:rPr>
              <w:t>产生量</w:t>
            </w:r>
          </w:p>
        </w:tc>
        <w:tc>
          <w:tcPr>
            <w:tcW w:w="350" w:type="pct"/>
            <w:vAlign w:val="center"/>
          </w:tcPr>
          <w:p>
            <w:pPr>
              <w:adjustRightInd w:val="0"/>
              <w:snapToGrid w:val="0"/>
              <w:spacing w:line="312" w:lineRule="auto"/>
              <w:jc w:val="center"/>
              <w:rPr>
                <w:sz w:val="18"/>
                <w:szCs w:val="18"/>
              </w:rPr>
            </w:pPr>
            <w:r>
              <w:rPr>
                <w:sz w:val="18"/>
                <w:szCs w:val="18"/>
              </w:rPr>
              <w:t>t</w:t>
            </w:r>
            <w:r>
              <w:rPr>
                <w:rFonts w:hint="eastAsia"/>
                <w:sz w:val="18"/>
                <w:szCs w:val="18"/>
              </w:rPr>
              <w:t>/</w:t>
            </w:r>
            <w:r>
              <w:rPr>
                <w:sz w:val="18"/>
                <w:szCs w:val="18"/>
              </w:rPr>
              <w:t>t-</w:t>
            </w:r>
            <w:r>
              <w:rPr>
                <w:rFonts w:hint="eastAsia"/>
                <w:sz w:val="18"/>
                <w:szCs w:val="18"/>
              </w:rPr>
              <w:t>REO</w:t>
            </w:r>
          </w:p>
          <w:p>
            <w:pPr>
              <w:adjustRightInd w:val="0"/>
              <w:snapToGrid w:val="0"/>
              <w:spacing w:line="312" w:lineRule="auto"/>
              <w:jc w:val="center"/>
              <w:rPr>
                <w:sz w:val="18"/>
                <w:szCs w:val="18"/>
              </w:rPr>
            </w:pPr>
            <w:r>
              <w:rPr>
                <w:rFonts w:hint="eastAsia"/>
                <w:sz w:val="18"/>
                <w:szCs w:val="18"/>
              </w:rPr>
              <w:t>（干基）</w:t>
            </w:r>
          </w:p>
        </w:tc>
        <w:tc>
          <w:tcPr>
            <w:tcW w:w="826" w:type="pct"/>
            <w:vAlign w:val="center"/>
          </w:tcPr>
          <w:p>
            <w:pPr>
              <w:adjustRightInd w:val="0"/>
              <w:snapToGrid w:val="0"/>
              <w:spacing w:line="312" w:lineRule="auto"/>
              <w:jc w:val="center"/>
              <w:rPr>
                <w:rFonts w:hAnsi="宋体"/>
                <w:sz w:val="18"/>
                <w:szCs w:val="18"/>
              </w:rPr>
            </w:pPr>
            <w:r>
              <w:rPr>
                <w:rFonts w:hint="eastAsia" w:hAnsi="宋体"/>
                <w:kern w:val="0"/>
                <w:sz w:val="18"/>
                <w:szCs w:val="18"/>
              </w:rPr>
              <w:t>≤</w:t>
            </w:r>
            <w:r>
              <w:rPr>
                <w:sz w:val="18"/>
                <w:szCs w:val="18"/>
              </w:rPr>
              <w:t>0.5</w:t>
            </w:r>
          </w:p>
        </w:tc>
        <w:tc>
          <w:tcPr>
            <w:tcW w:w="826" w:type="pct"/>
            <w:vAlign w:val="center"/>
          </w:tcPr>
          <w:p>
            <w:pPr>
              <w:adjustRightInd w:val="0"/>
              <w:snapToGrid w:val="0"/>
              <w:spacing w:line="312" w:lineRule="auto"/>
              <w:jc w:val="center"/>
              <w:rPr>
                <w:rFonts w:hAnsi="宋体"/>
                <w:sz w:val="18"/>
                <w:szCs w:val="18"/>
              </w:rPr>
            </w:pPr>
            <w:r>
              <w:rPr>
                <w:rFonts w:hint="eastAsia" w:hAnsi="宋体"/>
                <w:kern w:val="0"/>
                <w:sz w:val="18"/>
                <w:szCs w:val="18"/>
              </w:rPr>
              <w:t>≤</w:t>
            </w:r>
            <w:r>
              <w:rPr>
                <w:sz w:val="18"/>
                <w:szCs w:val="18"/>
              </w:rPr>
              <w:t>0.6</w:t>
            </w:r>
          </w:p>
        </w:tc>
        <w:tc>
          <w:tcPr>
            <w:tcW w:w="826" w:type="pct"/>
            <w:vAlign w:val="center"/>
          </w:tcPr>
          <w:p>
            <w:pPr>
              <w:adjustRightInd w:val="0"/>
              <w:snapToGrid w:val="0"/>
              <w:spacing w:line="312" w:lineRule="auto"/>
              <w:jc w:val="center"/>
              <w:rPr>
                <w:rFonts w:hAnsi="宋体"/>
                <w:sz w:val="18"/>
                <w:szCs w:val="18"/>
              </w:rPr>
            </w:pPr>
            <w:r>
              <w:rPr>
                <w:rFonts w:hint="eastAsia" w:hAnsi="宋体"/>
                <w:kern w:val="0"/>
                <w:sz w:val="18"/>
                <w:szCs w:val="18"/>
              </w:rPr>
              <w:t>≤</w:t>
            </w:r>
            <w:r>
              <w:rPr>
                <w:sz w:val="18"/>
                <w:szCs w:val="18"/>
              </w:rPr>
              <w:t>0.7</w:t>
            </w:r>
          </w:p>
        </w:tc>
        <w:tc>
          <w:tcPr>
            <w:tcW w:w="565" w:type="pct"/>
            <w:vAlign w:val="center"/>
          </w:tcPr>
          <w:p>
            <w:pPr>
              <w:adjustRightInd w:val="0"/>
              <w:snapToGrid w:val="0"/>
              <w:spacing w:line="312" w:lineRule="auto"/>
              <w:jc w:val="center"/>
              <w:rPr>
                <w:sz w:val="18"/>
                <w:szCs w:val="18"/>
              </w:rPr>
            </w:pPr>
            <w:r>
              <w:rPr>
                <w:rFonts w:hAnsi="宋体"/>
                <w:sz w:val="18"/>
                <w:szCs w:val="18"/>
              </w:rPr>
              <w:t>现场数据</w:t>
            </w:r>
          </w:p>
        </w:tc>
        <w:tc>
          <w:tcPr>
            <w:tcW w:w="357" w:type="pct"/>
            <w:vMerge w:val="continue"/>
            <w:vAlign w:val="center"/>
          </w:tcPr>
          <w:p>
            <w:pPr>
              <w:adjustRightInd w:val="0"/>
              <w:snapToGrid w:val="0"/>
              <w:spacing w:line="312" w:lineRule="auto"/>
              <w:ind w:firstLine="360" w:firstLineChars="20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Align w:val="center"/>
          </w:tcPr>
          <w:p>
            <w:pPr>
              <w:adjustRightInd w:val="0"/>
              <w:snapToGrid w:val="0"/>
              <w:spacing w:line="312" w:lineRule="auto"/>
              <w:jc w:val="center"/>
              <w:rPr>
                <w:rFonts w:hAnsi="宋体"/>
                <w:sz w:val="18"/>
                <w:szCs w:val="18"/>
              </w:rPr>
            </w:pPr>
            <w:r>
              <w:rPr>
                <w:rFonts w:hint="eastAsia" w:hAnsi="宋体"/>
                <w:sz w:val="18"/>
                <w:szCs w:val="18"/>
              </w:rPr>
              <w:t>能源属性</w:t>
            </w: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单位产品综合能耗</w:t>
            </w:r>
          </w:p>
        </w:tc>
        <w:tc>
          <w:tcPr>
            <w:tcW w:w="350" w:type="pct"/>
            <w:vAlign w:val="center"/>
          </w:tcPr>
          <w:p>
            <w:pPr>
              <w:adjustRightInd w:val="0"/>
              <w:snapToGrid w:val="0"/>
              <w:spacing w:line="312" w:lineRule="auto"/>
              <w:jc w:val="center"/>
              <w:rPr>
                <w:sz w:val="18"/>
                <w:szCs w:val="18"/>
              </w:rPr>
            </w:pPr>
            <w:r>
              <w:rPr>
                <w:sz w:val="18"/>
                <w:szCs w:val="18"/>
              </w:rPr>
              <w:t>t</w:t>
            </w:r>
            <w:r>
              <w:rPr>
                <w:rFonts w:hint="eastAsia"/>
                <w:sz w:val="18"/>
                <w:szCs w:val="18"/>
              </w:rPr>
              <w:t>ce</w:t>
            </w:r>
            <w:r>
              <w:rPr>
                <w:sz w:val="18"/>
                <w:szCs w:val="18"/>
              </w:rPr>
              <w:t>/t</w:t>
            </w:r>
          </w:p>
        </w:tc>
        <w:tc>
          <w:tcPr>
            <w:tcW w:w="826"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≤2</w:t>
            </w:r>
            <w:r>
              <w:rPr>
                <w:rFonts w:hAnsi="宋体"/>
                <w:kern w:val="0"/>
                <w:sz w:val="18"/>
                <w:szCs w:val="18"/>
              </w:rPr>
              <w:t>.1</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w:t>
            </w:r>
            <w:r>
              <w:rPr>
                <w:rFonts w:hint="eastAsia"/>
                <w:sz w:val="18"/>
                <w:szCs w:val="18"/>
              </w:rPr>
              <w:t>2</w:t>
            </w:r>
            <w:r>
              <w:rPr>
                <w:sz w:val="18"/>
                <w:szCs w:val="18"/>
              </w:rPr>
              <w:t>.3</w:t>
            </w:r>
          </w:p>
        </w:tc>
        <w:tc>
          <w:tcPr>
            <w:tcW w:w="826" w:type="pct"/>
            <w:vAlign w:val="center"/>
          </w:tcPr>
          <w:p>
            <w:pPr>
              <w:adjustRightInd w:val="0"/>
              <w:snapToGrid w:val="0"/>
              <w:spacing w:line="312" w:lineRule="auto"/>
              <w:jc w:val="center"/>
              <w:rPr>
                <w:sz w:val="18"/>
                <w:szCs w:val="18"/>
              </w:rPr>
            </w:pPr>
            <w:r>
              <w:rPr>
                <w:rFonts w:hint="eastAsia"/>
                <w:sz w:val="18"/>
                <w:szCs w:val="18"/>
              </w:rPr>
              <w:t>≤2</w:t>
            </w:r>
            <w:r>
              <w:rPr>
                <w:sz w:val="18"/>
                <w:szCs w:val="18"/>
              </w:rPr>
              <w:t>.5</w:t>
            </w:r>
          </w:p>
        </w:tc>
        <w:tc>
          <w:tcPr>
            <w:tcW w:w="565" w:type="pct"/>
            <w:vAlign w:val="center"/>
          </w:tcPr>
          <w:p>
            <w:pPr>
              <w:adjustRightInd w:val="0"/>
              <w:snapToGrid w:val="0"/>
              <w:spacing w:line="312" w:lineRule="auto"/>
              <w:jc w:val="center"/>
              <w:rPr>
                <w:sz w:val="18"/>
                <w:szCs w:val="18"/>
              </w:rPr>
            </w:pPr>
            <w:r>
              <w:rPr>
                <w:rFonts w:hint="eastAsia"/>
                <w:sz w:val="18"/>
                <w:szCs w:val="18"/>
              </w:rPr>
              <w:t>现场数据</w:t>
            </w:r>
          </w:p>
        </w:tc>
        <w:tc>
          <w:tcPr>
            <w:tcW w:w="357" w:type="pct"/>
            <w:vAlign w:val="center"/>
          </w:tcPr>
          <w:p>
            <w:pPr>
              <w:spacing w:line="312" w:lineRule="auto"/>
              <w:jc w:val="center"/>
              <w:rPr>
                <w:rFonts w:hAnsi="宋体"/>
                <w:sz w:val="18"/>
                <w:szCs w:val="18"/>
              </w:rPr>
            </w:pPr>
            <w:r>
              <w:rPr>
                <w:rFonts w:hint="eastAsia" w:hAnsi="宋体"/>
                <w:sz w:val="18"/>
                <w:szCs w:val="18"/>
              </w:rPr>
              <w:t>产品生产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restart"/>
            <w:vAlign w:val="center"/>
          </w:tcPr>
          <w:p>
            <w:pPr>
              <w:adjustRightInd w:val="0"/>
              <w:snapToGrid w:val="0"/>
              <w:spacing w:line="312" w:lineRule="auto"/>
              <w:jc w:val="center"/>
              <w:rPr>
                <w:rFonts w:hAnsi="宋体"/>
                <w:sz w:val="18"/>
                <w:szCs w:val="18"/>
              </w:rPr>
            </w:pPr>
            <w:r>
              <w:rPr>
                <w:rFonts w:hAnsi="宋体"/>
                <w:sz w:val="18"/>
                <w:szCs w:val="18"/>
              </w:rPr>
              <w:t>产品属性</w:t>
            </w: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产品中稀土含量</w:t>
            </w:r>
          </w:p>
          <w:p>
            <w:pPr>
              <w:adjustRightInd w:val="0"/>
              <w:snapToGrid w:val="0"/>
              <w:spacing w:line="312" w:lineRule="auto"/>
              <w:jc w:val="center"/>
              <w:rPr>
                <w:rFonts w:hAnsi="宋体"/>
                <w:kern w:val="0"/>
                <w:sz w:val="18"/>
                <w:szCs w:val="18"/>
              </w:rPr>
            </w:pPr>
            <w:r>
              <w:rPr>
                <w:rFonts w:hint="eastAsia" w:hAnsi="宋体"/>
                <w:kern w:val="0"/>
                <w:sz w:val="18"/>
                <w:szCs w:val="18"/>
              </w:rPr>
              <w:t>（以REO计）</w:t>
            </w:r>
          </w:p>
        </w:tc>
        <w:tc>
          <w:tcPr>
            <w:tcW w:w="350" w:type="pct"/>
            <w:vAlign w:val="center"/>
          </w:tcPr>
          <w:p>
            <w:pPr>
              <w:adjustRightInd w:val="0"/>
              <w:snapToGrid w:val="0"/>
              <w:spacing w:line="312" w:lineRule="auto"/>
              <w:jc w:val="center"/>
              <w:rPr>
                <w:sz w:val="18"/>
                <w:szCs w:val="18"/>
              </w:rPr>
            </w:pP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22</w:t>
            </w:r>
            <w:r>
              <w:rPr>
                <w:rFonts w:hint="eastAsia"/>
                <w:sz w:val="18"/>
                <w:szCs w:val="18"/>
              </w:rPr>
              <w:t>0</w:t>
            </w:r>
            <w:r>
              <w:rPr>
                <w:sz w:val="18"/>
                <w:szCs w:val="18"/>
              </w:rPr>
              <w:t>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（2）混合稀土氧化物≥92</w:t>
            </w:r>
            <w:r>
              <w:rPr>
                <w:rFonts w:hAnsi="宋体"/>
                <w:sz w:val="18"/>
                <w:szCs w:val="18"/>
              </w:rPr>
              <w:t>%</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稀土与氢氧化稀土混合物≥2</w:t>
            </w:r>
            <w:r>
              <w:rPr>
                <w:sz w:val="18"/>
                <w:szCs w:val="18"/>
              </w:rPr>
              <w:t>3</w:t>
            </w:r>
            <w:r>
              <w:rPr>
                <w:rFonts w:hint="eastAsia"/>
                <w:sz w:val="18"/>
                <w:szCs w:val="18"/>
              </w:rPr>
              <w:t>%，且其烧成物</w:t>
            </w:r>
            <w:r>
              <w:rPr>
                <w:rFonts w:hint="eastAsia" w:ascii="宋体" w:hAnsi="宋体"/>
                <w:kern w:val="0"/>
                <w:sz w:val="18"/>
                <w:szCs w:val="18"/>
                <w:vertAlign w:val="superscript"/>
              </w:rPr>
              <w:t>④</w:t>
            </w:r>
            <w:r>
              <w:rPr>
                <w:rFonts w:hint="eastAsia"/>
                <w:sz w:val="18"/>
                <w:szCs w:val="18"/>
              </w:rPr>
              <w:t>≥</w:t>
            </w:r>
            <w:r>
              <w:rPr>
                <w:sz w:val="18"/>
                <w:szCs w:val="18"/>
              </w:rPr>
              <w:t>92</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1</w:t>
            </w:r>
            <w:r>
              <w:rPr>
                <w:rFonts w:hint="eastAsia"/>
                <w:sz w:val="18"/>
                <w:szCs w:val="18"/>
              </w:rPr>
              <w:t>80</w:t>
            </w:r>
            <w:r>
              <w:rPr>
                <w:sz w:val="18"/>
                <w:szCs w:val="18"/>
              </w:rPr>
              <w:t>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（2）混合稀土氧化物≥92</w:t>
            </w:r>
            <w:r>
              <w:rPr>
                <w:rFonts w:hAnsi="宋体"/>
                <w:sz w:val="18"/>
                <w:szCs w:val="18"/>
              </w:rPr>
              <w:t>%</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稀土与氢氧化稀土混合物≥20%，且其烧成物≥</w:t>
            </w:r>
            <w:r>
              <w:rPr>
                <w:sz w:val="18"/>
                <w:szCs w:val="18"/>
              </w:rPr>
              <w:t>92</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15</w:t>
            </w:r>
            <w:r>
              <w:rPr>
                <w:rFonts w:hint="eastAsia"/>
                <w:sz w:val="18"/>
                <w:szCs w:val="18"/>
              </w:rPr>
              <w:t>0</w:t>
            </w:r>
            <w:r>
              <w:rPr>
                <w:sz w:val="18"/>
                <w:szCs w:val="18"/>
              </w:rPr>
              <w:t>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（2）混合稀土氧化物≥92</w:t>
            </w:r>
            <w:r>
              <w:rPr>
                <w:rFonts w:hAnsi="宋体"/>
                <w:sz w:val="18"/>
                <w:szCs w:val="18"/>
              </w:rPr>
              <w:t>%</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w:t>
            </w:r>
            <w:r>
              <w:rPr>
                <w:sz w:val="18"/>
                <w:szCs w:val="18"/>
              </w:rPr>
              <w:t>18</w:t>
            </w:r>
            <w:r>
              <w:rPr>
                <w:rFonts w:hint="eastAsia"/>
                <w:sz w:val="18"/>
                <w:szCs w:val="18"/>
              </w:rPr>
              <w:t>%，且其烧成物≥</w:t>
            </w:r>
            <w:r>
              <w:rPr>
                <w:sz w:val="18"/>
                <w:szCs w:val="18"/>
              </w:rPr>
              <w:t>92</w:t>
            </w:r>
            <w:r>
              <w:rPr>
                <w:rFonts w:hint="eastAsia"/>
                <w:sz w:val="18"/>
                <w:szCs w:val="18"/>
              </w:rPr>
              <w:t>%</w:t>
            </w:r>
          </w:p>
        </w:tc>
        <w:tc>
          <w:tcPr>
            <w:tcW w:w="565" w:type="pct"/>
            <w:vAlign w:val="center"/>
          </w:tcPr>
          <w:p>
            <w:pPr>
              <w:adjustRightInd w:val="0"/>
              <w:snapToGrid w:val="0"/>
              <w:spacing w:line="312" w:lineRule="auto"/>
              <w:jc w:val="center"/>
              <w:rPr>
                <w:sz w:val="18"/>
                <w:szCs w:val="18"/>
              </w:rPr>
            </w:pPr>
            <w:r>
              <w:rPr>
                <w:rFonts w:hint="eastAsia"/>
                <w:sz w:val="18"/>
                <w:szCs w:val="18"/>
              </w:rPr>
              <w:t>现场检测数据或分析检验结果</w:t>
            </w:r>
          </w:p>
        </w:tc>
        <w:tc>
          <w:tcPr>
            <w:tcW w:w="357" w:type="pct"/>
            <w:vMerge w:val="restart"/>
            <w:vAlign w:val="center"/>
          </w:tcPr>
          <w:p>
            <w:pPr>
              <w:spacing w:line="312" w:lineRule="auto"/>
              <w:jc w:val="center"/>
              <w:rPr>
                <w:sz w:val="18"/>
                <w:szCs w:val="18"/>
              </w:rPr>
            </w:pPr>
            <w:r>
              <w:rPr>
                <w:rFonts w:hAnsi="宋体"/>
                <w:sz w:val="18"/>
                <w:szCs w:val="18"/>
              </w:rPr>
              <w:t>产品生产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产品中氧化铝含量</w:t>
            </w:r>
          </w:p>
          <w:p>
            <w:pPr>
              <w:adjustRightInd w:val="0"/>
              <w:snapToGrid w:val="0"/>
              <w:spacing w:line="312" w:lineRule="auto"/>
              <w:jc w:val="center"/>
              <w:rPr>
                <w:rFonts w:hAnsi="宋体"/>
                <w:kern w:val="0"/>
                <w:sz w:val="18"/>
                <w:szCs w:val="18"/>
              </w:rPr>
            </w:pPr>
            <w:r>
              <w:rPr>
                <w:rFonts w:hint="eastAsia" w:hAnsi="宋体"/>
                <w:kern w:val="0"/>
                <w:sz w:val="18"/>
                <w:szCs w:val="18"/>
              </w:rPr>
              <w:t>（以Al</w:t>
            </w:r>
            <w:r>
              <w:rPr>
                <w:rFonts w:hAnsi="宋体"/>
                <w:kern w:val="0"/>
                <w:sz w:val="18"/>
                <w:szCs w:val="18"/>
                <w:vertAlign w:val="subscript"/>
              </w:rPr>
              <w:t>2</w:t>
            </w:r>
            <w:r>
              <w:rPr>
                <w:rFonts w:hint="eastAsia" w:hAnsi="宋体"/>
                <w:kern w:val="0"/>
                <w:sz w:val="18"/>
                <w:szCs w:val="18"/>
              </w:rPr>
              <w:t>O</w:t>
            </w:r>
            <w:r>
              <w:rPr>
                <w:rFonts w:hAnsi="宋体"/>
                <w:kern w:val="0"/>
                <w:sz w:val="18"/>
                <w:szCs w:val="18"/>
                <w:vertAlign w:val="subscript"/>
              </w:rPr>
              <w:t>3</w:t>
            </w:r>
            <w:r>
              <w:rPr>
                <w:rFonts w:hint="eastAsia" w:hAnsi="宋体"/>
                <w:kern w:val="0"/>
                <w:sz w:val="18"/>
                <w:szCs w:val="18"/>
              </w:rPr>
              <w:t>计）</w:t>
            </w:r>
          </w:p>
        </w:tc>
        <w:tc>
          <w:tcPr>
            <w:tcW w:w="350" w:type="pct"/>
            <w:vAlign w:val="center"/>
          </w:tcPr>
          <w:p>
            <w:pPr>
              <w:adjustRightInd w:val="0"/>
              <w:snapToGrid w:val="0"/>
              <w:spacing w:line="312" w:lineRule="auto"/>
              <w:jc w:val="center"/>
              <w:rPr>
                <w:sz w:val="18"/>
                <w:szCs w:val="18"/>
              </w:rPr>
            </w:pP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2g/L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≤1</w:t>
            </w:r>
            <w:r>
              <w:rPr>
                <w:rFonts w:hAnsi="宋体"/>
                <w:kern w:val="0"/>
                <w:sz w:val="18"/>
                <w:szCs w:val="18"/>
              </w:rPr>
              <w:t>.5</w:t>
            </w:r>
            <w:r>
              <w:rPr>
                <w:rFonts w:hAnsi="宋体"/>
                <w:sz w:val="18"/>
                <w:szCs w:val="18"/>
              </w:rPr>
              <w:t>%</w:t>
            </w:r>
            <w:r>
              <w:rPr>
                <w:rFonts w:hint="eastAsia" w:hAnsi="宋体"/>
                <w:sz w:val="18"/>
                <w:szCs w:val="18"/>
              </w:rPr>
              <w:t>；</w:t>
            </w:r>
          </w:p>
          <w:p>
            <w:pPr>
              <w:adjustRightInd w:val="0"/>
              <w:snapToGrid w:val="0"/>
              <w:spacing w:line="312" w:lineRule="auto"/>
              <w:jc w:val="center"/>
              <w:rPr>
                <w:rFonts w:hAnsi="宋体"/>
                <w:kern w:val="0"/>
                <w:sz w:val="18"/>
                <w:szCs w:val="18"/>
                <w:highlight w:val="yellow"/>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1.5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3g/L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≤1</w:t>
            </w:r>
            <w:r>
              <w:rPr>
                <w:rFonts w:hAnsi="宋体"/>
                <w:kern w:val="0"/>
                <w:sz w:val="18"/>
                <w:szCs w:val="18"/>
              </w:rPr>
              <w:t>.5</w:t>
            </w:r>
            <w:r>
              <w:rPr>
                <w:rFonts w:hAnsi="宋体"/>
                <w:sz w:val="18"/>
                <w:szCs w:val="18"/>
              </w:rPr>
              <w:t>%</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1.5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4g/L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≤1</w:t>
            </w:r>
            <w:r>
              <w:rPr>
                <w:rFonts w:hAnsi="宋体"/>
                <w:kern w:val="0"/>
                <w:sz w:val="18"/>
                <w:szCs w:val="18"/>
              </w:rPr>
              <w:t>.5</w:t>
            </w:r>
            <w:r>
              <w:rPr>
                <w:rFonts w:hAnsi="宋体"/>
                <w:sz w:val="18"/>
                <w:szCs w:val="18"/>
              </w:rPr>
              <w:t>%</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1.5</w:t>
            </w:r>
            <w:r>
              <w:rPr>
                <w:rFonts w:hint="eastAsia"/>
                <w:sz w:val="18"/>
                <w:szCs w:val="18"/>
              </w:rPr>
              <w:t>%</w:t>
            </w:r>
          </w:p>
        </w:tc>
        <w:tc>
          <w:tcPr>
            <w:tcW w:w="565" w:type="pct"/>
            <w:vAlign w:val="center"/>
          </w:tcPr>
          <w:p>
            <w:pPr>
              <w:adjustRightInd w:val="0"/>
              <w:snapToGrid w:val="0"/>
              <w:spacing w:line="312" w:lineRule="auto"/>
              <w:jc w:val="center"/>
              <w:rPr>
                <w:sz w:val="18"/>
                <w:szCs w:val="18"/>
              </w:rPr>
            </w:pPr>
            <w:r>
              <w:rPr>
                <w:rFonts w:hint="eastAsia"/>
                <w:sz w:val="18"/>
                <w:szCs w:val="18"/>
              </w:rPr>
              <w:t>现场检测数据或分析检验结果</w:t>
            </w:r>
          </w:p>
        </w:tc>
        <w:tc>
          <w:tcPr>
            <w:tcW w:w="357" w:type="pct"/>
            <w:vMerge w:val="continue"/>
            <w:vAlign w:val="center"/>
          </w:tcPr>
          <w:p>
            <w:pPr>
              <w:spacing w:line="312" w:lineRule="auto"/>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产品中氧化铁含量</w:t>
            </w:r>
          </w:p>
          <w:p>
            <w:pPr>
              <w:adjustRightInd w:val="0"/>
              <w:snapToGrid w:val="0"/>
              <w:spacing w:line="312" w:lineRule="auto"/>
              <w:jc w:val="center"/>
              <w:rPr>
                <w:rFonts w:hAnsi="宋体"/>
                <w:kern w:val="0"/>
                <w:sz w:val="18"/>
                <w:szCs w:val="18"/>
              </w:rPr>
            </w:pPr>
            <w:r>
              <w:rPr>
                <w:rFonts w:hint="eastAsia" w:hAnsi="宋体"/>
                <w:kern w:val="0"/>
                <w:sz w:val="18"/>
                <w:szCs w:val="18"/>
              </w:rPr>
              <w:t>（以Fe</w:t>
            </w:r>
            <w:r>
              <w:rPr>
                <w:rFonts w:hAnsi="宋体"/>
                <w:kern w:val="0"/>
                <w:sz w:val="18"/>
                <w:szCs w:val="18"/>
                <w:vertAlign w:val="subscript"/>
              </w:rPr>
              <w:t>2</w:t>
            </w:r>
            <w:r>
              <w:rPr>
                <w:rFonts w:hint="eastAsia" w:hAnsi="宋体"/>
                <w:kern w:val="0"/>
                <w:sz w:val="18"/>
                <w:szCs w:val="18"/>
              </w:rPr>
              <w:t>O</w:t>
            </w:r>
            <w:r>
              <w:rPr>
                <w:rFonts w:hAnsi="宋体"/>
                <w:kern w:val="0"/>
                <w:sz w:val="18"/>
                <w:szCs w:val="18"/>
                <w:vertAlign w:val="subscript"/>
              </w:rPr>
              <w:t>3</w:t>
            </w:r>
            <w:r>
              <w:rPr>
                <w:rFonts w:hint="eastAsia" w:hAnsi="宋体"/>
                <w:kern w:val="0"/>
                <w:sz w:val="18"/>
                <w:szCs w:val="18"/>
              </w:rPr>
              <w:t>计）</w:t>
            </w:r>
          </w:p>
        </w:tc>
        <w:tc>
          <w:tcPr>
            <w:tcW w:w="350" w:type="pct"/>
            <w:vAlign w:val="center"/>
          </w:tcPr>
          <w:p>
            <w:pPr>
              <w:adjustRightInd w:val="0"/>
              <w:snapToGrid w:val="0"/>
              <w:spacing w:line="312" w:lineRule="auto"/>
              <w:jc w:val="center"/>
              <w:rPr>
                <w:sz w:val="18"/>
                <w:szCs w:val="18"/>
              </w:rPr>
            </w:pPr>
            <w:r>
              <w:rPr>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0.25g/L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0.2%</w:t>
            </w:r>
            <w:r>
              <w:rPr>
                <w:rFonts w:hint="eastAsia" w:hAnsi="宋体"/>
                <w:sz w:val="18"/>
                <w:szCs w:val="18"/>
              </w:rPr>
              <w:t>；</w:t>
            </w:r>
          </w:p>
          <w:p>
            <w:pPr>
              <w:adjustRightInd w:val="0"/>
              <w:snapToGrid w:val="0"/>
              <w:spacing w:line="312" w:lineRule="auto"/>
              <w:jc w:val="center"/>
              <w:rPr>
                <w:rFonts w:hAnsi="宋体"/>
                <w:kern w:val="0"/>
                <w:sz w:val="18"/>
                <w:szCs w:val="18"/>
                <w:highlight w:val="yellow"/>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0.2</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0.2%</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0.2</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0.35g/L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0.2%</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0.2</w:t>
            </w:r>
            <w:r>
              <w:rPr>
                <w:rFonts w:hint="eastAsia"/>
                <w:sz w:val="18"/>
                <w:szCs w:val="18"/>
              </w:rPr>
              <w:t>%</w:t>
            </w:r>
          </w:p>
        </w:tc>
        <w:tc>
          <w:tcPr>
            <w:tcW w:w="565" w:type="pct"/>
            <w:vAlign w:val="center"/>
          </w:tcPr>
          <w:p>
            <w:pPr>
              <w:adjustRightInd w:val="0"/>
              <w:snapToGrid w:val="0"/>
              <w:spacing w:line="312" w:lineRule="auto"/>
              <w:jc w:val="center"/>
              <w:rPr>
                <w:sz w:val="18"/>
                <w:szCs w:val="18"/>
              </w:rPr>
            </w:pPr>
            <w:r>
              <w:rPr>
                <w:rFonts w:hint="eastAsia"/>
                <w:sz w:val="18"/>
                <w:szCs w:val="18"/>
              </w:rPr>
              <w:t>现场检测数据或分析检验结果</w:t>
            </w:r>
          </w:p>
        </w:tc>
        <w:tc>
          <w:tcPr>
            <w:tcW w:w="357" w:type="pct"/>
            <w:vMerge w:val="continue"/>
            <w:vAlign w:val="center"/>
          </w:tcPr>
          <w:p>
            <w:pPr>
              <w:spacing w:line="312" w:lineRule="auto"/>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产品中二氧化硅含量</w:t>
            </w:r>
          </w:p>
          <w:p>
            <w:pPr>
              <w:adjustRightInd w:val="0"/>
              <w:snapToGrid w:val="0"/>
              <w:spacing w:line="312" w:lineRule="auto"/>
              <w:jc w:val="center"/>
              <w:rPr>
                <w:rFonts w:hAnsi="宋体"/>
                <w:kern w:val="0"/>
                <w:sz w:val="18"/>
                <w:szCs w:val="18"/>
              </w:rPr>
            </w:pPr>
            <w:r>
              <w:rPr>
                <w:rFonts w:hint="eastAsia" w:hAnsi="宋体"/>
                <w:kern w:val="0"/>
                <w:sz w:val="18"/>
                <w:szCs w:val="18"/>
              </w:rPr>
              <w:t>（以SiO</w:t>
            </w:r>
            <w:r>
              <w:rPr>
                <w:rFonts w:hAnsi="宋体"/>
                <w:kern w:val="0"/>
                <w:sz w:val="18"/>
                <w:szCs w:val="18"/>
                <w:vertAlign w:val="subscript"/>
              </w:rPr>
              <w:t>2</w:t>
            </w:r>
            <w:r>
              <w:rPr>
                <w:rFonts w:hint="eastAsia" w:hAnsi="宋体"/>
                <w:kern w:val="0"/>
                <w:sz w:val="18"/>
                <w:szCs w:val="18"/>
              </w:rPr>
              <w:t>计）</w:t>
            </w:r>
          </w:p>
        </w:tc>
        <w:tc>
          <w:tcPr>
            <w:tcW w:w="350" w:type="pct"/>
            <w:vAlign w:val="center"/>
          </w:tcPr>
          <w:p>
            <w:pPr>
              <w:adjustRightInd w:val="0"/>
              <w:snapToGrid w:val="0"/>
              <w:spacing w:line="312" w:lineRule="auto"/>
              <w:jc w:val="center"/>
              <w:rPr>
                <w:sz w:val="18"/>
                <w:szCs w:val="18"/>
              </w:rPr>
            </w:pPr>
            <w:r>
              <w:rPr>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rFonts w:hAnsi="宋体"/>
                <w:kern w:val="0"/>
                <w:sz w:val="18"/>
                <w:szCs w:val="18"/>
                <w:highlight w:val="yellow"/>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0.4g/L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0.5g/L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565" w:type="pct"/>
            <w:vAlign w:val="center"/>
          </w:tcPr>
          <w:p>
            <w:pPr>
              <w:adjustRightInd w:val="0"/>
              <w:snapToGrid w:val="0"/>
              <w:spacing w:line="312" w:lineRule="auto"/>
              <w:jc w:val="center"/>
              <w:rPr>
                <w:sz w:val="18"/>
                <w:szCs w:val="18"/>
              </w:rPr>
            </w:pPr>
            <w:r>
              <w:rPr>
                <w:rFonts w:hint="eastAsia"/>
                <w:sz w:val="18"/>
                <w:szCs w:val="18"/>
              </w:rPr>
              <w:t>现场检测数据或分析检验结果</w:t>
            </w:r>
          </w:p>
        </w:tc>
        <w:tc>
          <w:tcPr>
            <w:tcW w:w="357" w:type="pct"/>
            <w:vMerge w:val="continue"/>
            <w:vAlign w:val="center"/>
          </w:tcPr>
          <w:p>
            <w:pPr>
              <w:spacing w:line="312" w:lineRule="auto"/>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产品中硫酸根含量</w:t>
            </w:r>
          </w:p>
          <w:p>
            <w:pPr>
              <w:adjustRightInd w:val="0"/>
              <w:snapToGrid w:val="0"/>
              <w:spacing w:line="312" w:lineRule="auto"/>
              <w:jc w:val="center"/>
              <w:rPr>
                <w:rFonts w:hAnsi="宋体"/>
                <w:kern w:val="0"/>
                <w:sz w:val="18"/>
                <w:szCs w:val="18"/>
              </w:rPr>
            </w:pPr>
            <w:r>
              <w:rPr>
                <w:rFonts w:hint="eastAsia" w:hAnsi="宋体"/>
                <w:kern w:val="0"/>
                <w:sz w:val="18"/>
                <w:szCs w:val="18"/>
              </w:rPr>
              <w:t>（以SO</w:t>
            </w:r>
            <w:r>
              <w:rPr>
                <w:rFonts w:hAnsi="宋体"/>
                <w:kern w:val="0"/>
                <w:sz w:val="18"/>
                <w:szCs w:val="18"/>
                <w:vertAlign w:val="subscript"/>
              </w:rPr>
              <w:t>4</w:t>
            </w:r>
            <w:r>
              <w:rPr>
                <w:rFonts w:hAnsi="宋体"/>
                <w:kern w:val="0"/>
                <w:sz w:val="18"/>
                <w:szCs w:val="18"/>
                <w:vertAlign w:val="superscript"/>
              </w:rPr>
              <w:t>2</w:t>
            </w:r>
            <w:r>
              <w:rPr>
                <w:rFonts w:hint="eastAsia" w:hAnsi="宋体"/>
                <w:kern w:val="0"/>
                <w:sz w:val="18"/>
                <w:szCs w:val="18"/>
                <w:vertAlign w:val="superscript"/>
              </w:rPr>
              <w:t>-</w:t>
            </w:r>
            <w:r>
              <w:rPr>
                <w:rFonts w:hint="eastAsia" w:hAnsi="宋体"/>
                <w:kern w:val="0"/>
                <w:sz w:val="18"/>
                <w:szCs w:val="18"/>
              </w:rPr>
              <w:t>计）</w:t>
            </w:r>
          </w:p>
        </w:tc>
        <w:tc>
          <w:tcPr>
            <w:tcW w:w="350" w:type="pct"/>
            <w:vAlign w:val="center"/>
          </w:tcPr>
          <w:p>
            <w:pPr>
              <w:adjustRightInd w:val="0"/>
              <w:snapToGrid w:val="0"/>
              <w:spacing w:line="312" w:lineRule="auto"/>
              <w:jc w:val="center"/>
              <w:rPr>
                <w:sz w:val="18"/>
                <w:szCs w:val="18"/>
              </w:rPr>
            </w:pPr>
            <w:r>
              <w:rPr>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0.25g/L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rFonts w:hAnsi="宋体"/>
                <w:kern w:val="0"/>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0.35g/L</w:t>
            </w:r>
            <w:r>
              <w:rPr>
                <w:rFonts w:hint="eastAsia"/>
                <w:sz w:val="18"/>
                <w:szCs w:val="18"/>
              </w:rPr>
              <w:t>；</w:t>
            </w:r>
          </w:p>
          <w:p>
            <w:pPr>
              <w:adjustRightInd w:val="0"/>
              <w:snapToGrid w:val="0"/>
              <w:spacing w:line="312" w:lineRule="auto"/>
              <w:jc w:val="center"/>
              <w:rPr>
                <w:rFonts w:hAnsi="宋体"/>
                <w:sz w:val="18"/>
                <w:szCs w:val="18"/>
              </w:rPr>
            </w:pPr>
            <w:r>
              <w:rPr>
                <w:rFonts w:hint="eastAsia" w:hAnsi="宋体"/>
                <w:sz w:val="18"/>
                <w:szCs w:val="18"/>
              </w:rPr>
              <w:t>（2）混合稀土氧化物</w:t>
            </w:r>
            <w:r>
              <w:rPr>
                <w:rFonts w:hint="eastAsia" w:hAnsi="宋体"/>
                <w:kern w:val="0"/>
                <w:sz w:val="18"/>
                <w:szCs w:val="18"/>
              </w:rPr>
              <w:t>≤</w:t>
            </w:r>
            <w:r>
              <w:rPr>
                <w:rFonts w:hAnsi="宋体"/>
                <w:sz w:val="18"/>
                <w:szCs w:val="18"/>
              </w:rPr>
              <w:t>0.5%</w:t>
            </w:r>
            <w:r>
              <w:rPr>
                <w:rFonts w:hint="eastAsia" w:hAnsi="宋体"/>
                <w:sz w:val="18"/>
                <w:szCs w:val="18"/>
              </w:rPr>
              <w:t>；</w:t>
            </w:r>
          </w:p>
          <w:p>
            <w:pPr>
              <w:adjustRightInd w:val="0"/>
              <w:snapToGrid w:val="0"/>
              <w:spacing w:line="312" w:lineRule="auto"/>
              <w:jc w:val="center"/>
              <w:rPr>
                <w:sz w:val="18"/>
                <w:szCs w:val="18"/>
              </w:rPr>
            </w:pPr>
            <w:r>
              <w:rPr>
                <w:rFonts w:hint="eastAsia"/>
                <w:sz w:val="18"/>
                <w:szCs w:val="18"/>
              </w:rPr>
              <w:t>（3）碳酸稀土、氢氧化稀土、</w:t>
            </w:r>
            <w:r>
              <w:rPr>
                <w:sz w:val="18"/>
                <w:szCs w:val="18"/>
              </w:rPr>
              <w:t>碳酸</w:t>
            </w:r>
            <w:r>
              <w:rPr>
                <w:rFonts w:hint="eastAsia"/>
                <w:sz w:val="18"/>
                <w:szCs w:val="18"/>
              </w:rPr>
              <w:t>稀土与氢氧化稀土混合物的烧成物</w:t>
            </w:r>
            <w:r>
              <w:rPr>
                <w:rFonts w:hint="eastAsia" w:hAnsi="宋体"/>
                <w:kern w:val="0"/>
                <w:sz w:val="18"/>
                <w:szCs w:val="18"/>
              </w:rPr>
              <w:t>≤</w:t>
            </w:r>
            <w:r>
              <w:rPr>
                <w:sz w:val="18"/>
                <w:szCs w:val="18"/>
              </w:rPr>
              <w:t>0.5</w:t>
            </w:r>
            <w:r>
              <w:rPr>
                <w:rFonts w:hint="eastAsia"/>
                <w:sz w:val="18"/>
                <w:szCs w:val="18"/>
              </w:rPr>
              <w:t>%</w:t>
            </w:r>
          </w:p>
        </w:tc>
        <w:tc>
          <w:tcPr>
            <w:tcW w:w="565" w:type="pct"/>
            <w:vAlign w:val="center"/>
          </w:tcPr>
          <w:p>
            <w:pPr>
              <w:adjustRightInd w:val="0"/>
              <w:snapToGrid w:val="0"/>
              <w:spacing w:line="312" w:lineRule="auto"/>
              <w:jc w:val="center"/>
              <w:rPr>
                <w:sz w:val="18"/>
                <w:szCs w:val="18"/>
              </w:rPr>
            </w:pPr>
            <w:r>
              <w:rPr>
                <w:rFonts w:hint="eastAsia"/>
                <w:sz w:val="18"/>
                <w:szCs w:val="18"/>
              </w:rPr>
              <w:t>现场检测数据或分析检验结果</w:t>
            </w:r>
          </w:p>
        </w:tc>
        <w:tc>
          <w:tcPr>
            <w:tcW w:w="357" w:type="pct"/>
            <w:vMerge w:val="continue"/>
            <w:vAlign w:val="center"/>
          </w:tcPr>
          <w:p>
            <w:pPr>
              <w:spacing w:line="312" w:lineRule="auto"/>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产品中氨氮含量</w:t>
            </w:r>
          </w:p>
          <w:p>
            <w:pPr>
              <w:adjustRightInd w:val="0"/>
              <w:snapToGrid w:val="0"/>
              <w:spacing w:line="312" w:lineRule="auto"/>
              <w:jc w:val="center"/>
              <w:rPr>
                <w:rFonts w:hAnsi="宋体"/>
                <w:kern w:val="0"/>
                <w:sz w:val="18"/>
                <w:szCs w:val="18"/>
              </w:rPr>
            </w:pPr>
            <w:r>
              <w:rPr>
                <w:rFonts w:hint="eastAsia" w:hAnsi="宋体"/>
                <w:kern w:val="0"/>
                <w:sz w:val="18"/>
                <w:szCs w:val="18"/>
              </w:rPr>
              <w:t>（以NH</w:t>
            </w:r>
            <w:r>
              <w:rPr>
                <w:rFonts w:hAnsi="宋体"/>
                <w:kern w:val="0"/>
                <w:sz w:val="18"/>
                <w:szCs w:val="18"/>
                <w:vertAlign w:val="subscript"/>
              </w:rPr>
              <w:t>3</w:t>
            </w:r>
            <w:r>
              <w:rPr>
                <w:rFonts w:hint="eastAsia" w:hAnsi="宋体"/>
                <w:kern w:val="0"/>
                <w:sz w:val="18"/>
                <w:szCs w:val="18"/>
              </w:rPr>
              <w:t>-N计）</w:t>
            </w:r>
          </w:p>
        </w:tc>
        <w:tc>
          <w:tcPr>
            <w:tcW w:w="350" w:type="pct"/>
            <w:vAlign w:val="center"/>
          </w:tcPr>
          <w:p>
            <w:pPr>
              <w:adjustRightInd w:val="0"/>
              <w:snapToGrid w:val="0"/>
              <w:spacing w:line="312" w:lineRule="auto"/>
              <w:jc w:val="center"/>
              <w:rPr>
                <w:sz w:val="18"/>
                <w:szCs w:val="18"/>
              </w:rPr>
            </w:pPr>
            <w:r>
              <w:rPr>
                <w:sz w:val="18"/>
                <w:szCs w:val="18"/>
              </w:rPr>
              <w:t>—</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0.2g/L</w:t>
            </w:r>
            <w:r>
              <w:rPr>
                <w:rFonts w:hint="eastAsia"/>
                <w:sz w:val="18"/>
                <w:szCs w:val="18"/>
              </w:rPr>
              <w:t>；</w:t>
            </w:r>
          </w:p>
          <w:p>
            <w:pPr>
              <w:adjustRightInd w:val="0"/>
              <w:snapToGrid w:val="0"/>
              <w:spacing w:line="312" w:lineRule="auto"/>
              <w:jc w:val="center"/>
              <w:rPr>
                <w:rFonts w:hAnsi="宋体"/>
                <w:kern w:val="0"/>
                <w:sz w:val="18"/>
                <w:szCs w:val="18"/>
              </w:rPr>
            </w:pPr>
            <w:r>
              <w:rPr>
                <w:rFonts w:hint="eastAsia" w:hAnsi="宋体"/>
                <w:sz w:val="18"/>
                <w:szCs w:val="18"/>
              </w:rPr>
              <w:t>（2）混合稀土氧化物、</w:t>
            </w:r>
            <w:r>
              <w:rPr>
                <w:rFonts w:hint="eastAsia"/>
                <w:sz w:val="18"/>
                <w:szCs w:val="18"/>
              </w:rPr>
              <w:t>碳酸稀土、氢氧化稀土、</w:t>
            </w:r>
            <w:r>
              <w:rPr>
                <w:sz w:val="18"/>
                <w:szCs w:val="18"/>
              </w:rPr>
              <w:t>碳酸</w:t>
            </w:r>
            <w:r>
              <w:rPr>
                <w:rFonts w:hint="eastAsia"/>
                <w:sz w:val="18"/>
                <w:szCs w:val="18"/>
              </w:rPr>
              <w:t>稀土与氢氧化稀土混合物</w:t>
            </w:r>
            <w:r>
              <w:rPr>
                <w:rFonts w:hint="eastAsia" w:hAnsi="宋体"/>
                <w:kern w:val="0"/>
                <w:sz w:val="18"/>
                <w:szCs w:val="18"/>
              </w:rPr>
              <w:t>≤</w:t>
            </w:r>
            <w:r>
              <w:rPr>
                <w:rFonts w:hAnsi="宋体"/>
                <w:sz w:val="18"/>
                <w:szCs w:val="18"/>
              </w:rPr>
              <w:t>0.2%</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0.25g/L</w:t>
            </w:r>
            <w:r>
              <w:rPr>
                <w:rFonts w:hint="eastAsia"/>
                <w:sz w:val="18"/>
                <w:szCs w:val="18"/>
              </w:rPr>
              <w:t>；</w:t>
            </w:r>
          </w:p>
          <w:p>
            <w:pPr>
              <w:adjustRightInd w:val="0"/>
              <w:snapToGrid w:val="0"/>
              <w:spacing w:line="312" w:lineRule="auto"/>
              <w:jc w:val="center"/>
              <w:rPr>
                <w:sz w:val="18"/>
                <w:szCs w:val="18"/>
              </w:rPr>
            </w:pPr>
            <w:r>
              <w:rPr>
                <w:rFonts w:hint="eastAsia" w:hAnsi="宋体"/>
                <w:sz w:val="18"/>
                <w:szCs w:val="18"/>
              </w:rPr>
              <w:t>（2）混合稀土氧化物、</w:t>
            </w:r>
            <w:r>
              <w:rPr>
                <w:rFonts w:hint="eastAsia"/>
                <w:sz w:val="18"/>
                <w:szCs w:val="18"/>
              </w:rPr>
              <w:t>碳酸稀土、氢氧化稀土、</w:t>
            </w:r>
            <w:r>
              <w:rPr>
                <w:sz w:val="18"/>
                <w:szCs w:val="18"/>
              </w:rPr>
              <w:t>碳酸</w:t>
            </w:r>
            <w:r>
              <w:rPr>
                <w:rFonts w:hint="eastAsia"/>
                <w:sz w:val="18"/>
                <w:szCs w:val="18"/>
              </w:rPr>
              <w:t>稀土与氢氧化稀土混合物</w:t>
            </w:r>
            <w:r>
              <w:rPr>
                <w:rFonts w:hint="eastAsia" w:hAnsi="宋体"/>
                <w:kern w:val="0"/>
                <w:sz w:val="18"/>
                <w:szCs w:val="18"/>
              </w:rPr>
              <w:t>≤</w:t>
            </w:r>
            <w:r>
              <w:rPr>
                <w:rFonts w:hAnsi="宋体"/>
                <w:sz w:val="18"/>
                <w:szCs w:val="18"/>
              </w:rPr>
              <w:t>0.2%</w:t>
            </w:r>
          </w:p>
        </w:tc>
        <w:tc>
          <w:tcPr>
            <w:tcW w:w="826" w:type="pct"/>
            <w:vAlign w:val="center"/>
          </w:tcPr>
          <w:p>
            <w:pPr>
              <w:adjustRightInd w:val="0"/>
              <w:snapToGrid w:val="0"/>
              <w:spacing w:line="312" w:lineRule="auto"/>
              <w:jc w:val="center"/>
              <w:rPr>
                <w:sz w:val="18"/>
                <w:szCs w:val="18"/>
              </w:rPr>
            </w:pPr>
            <w:r>
              <w:rPr>
                <w:rFonts w:hint="eastAsia" w:hAnsi="宋体"/>
                <w:kern w:val="0"/>
                <w:sz w:val="18"/>
                <w:szCs w:val="18"/>
              </w:rPr>
              <w:t>（1）混合氯化稀土溶液≤</w:t>
            </w:r>
            <w:r>
              <w:rPr>
                <w:sz w:val="18"/>
                <w:szCs w:val="18"/>
              </w:rPr>
              <w:t>0.3g/L</w:t>
            </w:r>
            <w:r>
              <w:rPr>
                <w:rFonts w:hint="eastAsia"/>
                <w:sz w:val="18"/>
                <w:szCs w:val="18"/>
              </w:rPr>
              <w:t>；</w:t>
            </w:r>
          </w:p>
          <w:p>
            <w:pPr>
              <w:adjustRightInd w:val="0"/>
              <w:snapToGrid w:val="0"/>
              <w:spacing w:line="312" w:lineRule="auto"/>
              <w:jc w:val="center"/>
              <w:rPr>
                <w:sz w:val="18"/>
                <w:szCs w:val="18"/>
              </w:rPr>
            </w:pPr>
            <w:r>
              <w:rPr>
                <w:rFonts w:hint="eastAsia" w:hAnsi="宋体"/>
                <w:sz w:val="18"/>
                <w:szCs w:val="18"/>
              </w:rPr>
              <w:t>（2）混合稀土氧化物、</w:t>
            </w:r>
            <w:r>
              <w:rPr>
                <w:rFonts w:hint="eastAsia"/>
                <w:sz w:val="18"/>
                <w:szCs w:val="18"/>
              </w:rPr>
              <w:t>碳酸稀土、氢氧化稀土、</w:t>
            </w:r>
            <w:r>
              <w:rPr>
                <w:sz w:val="18"/>
                <w:szCs w:val="18"/>
              </w:rPr>
              <w:t>碳酸</w:t>
            </w:r>
            <w:r>
              <w:rPr>
                <w:rFonts w:hint="eastAsia"/>
                <w:sz w:val="18"/>
                <w:szCs w:val="18"/>
              </w:rPr>
              <w:t>稀土与氢氧化稀土混合物</w:t>
            </w:r>
            <w:r>
              <w:rPr>
                <w:rFonts w:hint="eastAsia" w:hAnsi="宋体"/>
                <w:kern w:val="0"/>
                <w:sz w:val="18"/>
                <w:szCs w:val="18"/>
              </w:rPr>
              <w:t>≤</w:t>
            </w:r>
            <w:r>
              <w:rPr>
                <w:rFonts w:hAnsi="宋体"/>
                <w:sz w:val="18"/>
                <w:szCs w:val="18"/>
              </w:rPr>
              <w:t>0.2%</w:t>
            </w:r>
          </w:p>
        </w:tc>
        <w:tc>
          <w:tcPr>
            <w:tcW w:w="565" w:type="pct"/>
            <w:vAlign w:val="center"/>
          </w:tcPr>
          <w:p>
            <w:pPr>
              <w:adjustRightInd w:val="0"/>
              <w:snapToGrid w:val="0"/>
              <w:spacing w:line="312" w:lineRule="auto"/>
              <w:jc w:val="center"/>
              <w:rPr>
                <w:sz w:val="18"/>
                <w:szCs w:val="18"/>
              </w:rPr>
            </w:pPr>
            <w:r>
              <w:rPr>
                <w:rFonts w:hAnsi="宋体"/>
                <w:sz w:val="18"/>
                <w:szCs w:val="18"/>
              </w:rPr>
              <w:t>现场</w:t>
            </w:r>
            <w:r>
              <w:rPr>
                <w:rFonts w:hint="eastAsia" w:hAnsi="宋体"/>
                <w:sz w:val="18"/>
                <w:szCs w:val="18"/>
              </w:rPr>
              <w:t>检测</w:t>
            </w:r>
            <w:r>
              <w:rPr>
                <w:rFonts w:hAnsi="宋体"/>
                <w:sz w:val="18"/>
                <w:szCs w:val="18"/>
              </w:rPr>
              <w:t>数据或分析检验结果</w:t>
            </w:r>
          </w:p>
        </w:tc>
        <w:tc>
          <w:tcPr>
            <w:tcW w:w="357" w:type="pct"/>
            <w:vMerge w:val="continue"/>
            <w:vAlign w:val="center"/>
          </w:tcPr>
          <w:p>
            <w:pPr>
              <w:spacing w:line="312" w:lineRule="auto"/>
              <w:rPr>
                <w:rFonts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液体产品中总放射性比活度</w:t>
            </w:r>
          </w:p>
        </w:tc>
        <w:tc>
          <w:tcPr>
            <w:tcW w:w="350" w:type="pct"/>
            <w:vAlign w:val="center"/>
          </w:tcPr>
          <w:p>
            <w:pPr>
              <w:adjustRightInd w:val="0"/>
              <w:snapToGrid w:val="0"/>
              <w:spacing w:line="312" w:lineRule="auto"/>
              <w:jc w:val="center"/>
              <w:rPr>
                <w:sz w:val="18"/>
                <w:szCs w:val="18"/>
              </w:rPr>
            </w:pPr>
            <w:r>
              <w:rPr>
                <w:sz w:val="18"/>
                <w:szCs w:val="18"/>
              </w:rPr>
              <w:t>—</w:t>
            </w:r>
          </w:p>
        </w:tc>
        <w:tc>
          <w:tcPr>
            <w:tcW w:w="2478" w:type="pct"/>
            <w:gridSpan w:val="3"/>
            <w:vAlign w:val="center"/>
          </w:tcPr>
          <w:p>
            <w:pPr>
              <w:adjustRightInd w:val="0"/>
              <w:snapToGrid w:val="0"/>
              <w:spacing w:line="312" w:lineRule="auto"/>
              <w:jc w:val="center"/>
              <w:rPr>
                <w:rFonts w:hAnsi="宋体"/>
                <w:sz w:val="18"/>
                <w:szCs w:val="18"/>
              </w:rPr>
            </w:pPr>
            <w:r>
              <w:rPr>
                <w:rFonts w:hint="eastAsia"/>
                <w:kern w:val="0"/>
                <w:sz w:val="18"/>
                <w:szCs w:val="18"/>
              </w:rPr>
              <w:t>应符合XB</w:t>
            </w:r>
            <w:r>
              <w:rPr>
                <w:kern w:val="0"/>
                <w:sz w:val="18"/>
                <w:szCs w:val="18"/>
              </w:rPr>
              <w:t>/T 235</w:t>
            </w:r>
            <w:r>
              <w:rPr>
                <w:rFonts w:hint="eastAsia"/>
                <w:kern w:val="0"/>
                <w:sz w:val="18"/>
                <w:szCs w:val="18"/>
              </w:rPr>
              <w:t>中相关规定</w:t>
            </w:r>
          </w:p>
        </w:tc>
        <w:tc>
          <w:tcPr>
            <w:tcW w:w="565" w:type="pct"/>
            <w:vAlign w:val="center"/>
          </w:tcPr>
          <w:p>
            <w:pPr>
              <w:adjustRightInd w:val="0"/>
              <w:snapToGrid w:val="0"/>
              <w:spacing w:line="312" w:lineRule="auto"/>
              <w:jc w:val="center"/>
              <w:rPr>
                <w:sz w:val="18"/>
                <w:szCs w:val="18"/>
              </w:rPr>
            </w:pPr>
            <w:r>
              <w:rPr>
                <w:rFonts w:hAnsi="宋体"/>
                <w:sz w:val="18"/>
                <w:szCs w:val="18"/>
              </w:rPr>
              <w:t>现场</w:t>
            </w:r>
            <w:r>
              <w:rPr>
                <w:rFonts w:hint="eastAsia" w:hAnsi="宋体"/>
                <w:sz w:val="18"/>
                <w:szCs w:val="18"/>
              </w:rPr>
              <w:t>检测</w:t>
            </w:r>
            <w:r>
              <w:rPr>
                <w:rFonts w:hAnsi="宋体"/>
                <w:sz w:val="18"/>
                <w:szCs w:val="18"/>
              </w:rPr>
              <w:t>数据或分析检验结果</w:t>
            </w:r>
          </w:p>
        </w:tc>
        <w:tc>
          <w:tcPr>
            <w:tcW w:w="357" w:type="pct"/>
            <w:vMerge w:val="continue"/>
            <w:vAlign w:val="center"/>
          </w:tcPr>
          <w:p>
            <w:pPr>
              <w:adjustRightInd w:val="0"/>
              <w:snapToGrid w:val="0"/>
              <w:spacing w:line="312"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highlight w:val="yellow"/>
              </w:rPr>
            </w:pPr>
            <w:r>
              <w:rPr>
                <w:rFonts w:hint="eastAsia" w:hAnsi="宋体"/>
                <w:kern w:val="0"/>
                <w:sz w:val="18"/>
                <w:szCs w:val="18"/>
              </w:rPr>
              <w:t>固体产品中放射性核素活度浓度</w:t>
            </w:r>
          </w:p>
        </w:tc>
        <w:tc>
          <w:tcPr>
            <w:tcW w:w="350" w:type="pct"/>
            <w:vAlign w:val="center"/>
          </w:tcPr>
          <w:p>
            <w:pPr>
              <w:adjustRightInd w:val="0"/>
              <w:snapToGrid w:val="0"/>
              <w:spacing w:line="312" w:lineRule="auto"/>
              <w:jc w:val="center"/>
              <w:rPr>
                <w:sz w:val="18"/>
                <w:szCs w:val="18"/>
              </w:rPr>
            </w:pPr>
            <w:r>
              <w:rPr>
                <w:sz w:val="18"/>
                <w:szCs w:val="18"/>
              </w:rPr>
              <w:t>—</w:t>
            </w:r>
          </w:p>
        </w:tc>
        <w:tc>
          <w:tcPr>
            <w:tcW w:w="2478" w:type="pct"/>
            <w:gridSpan w:val="3"/>
            <w:vAlign w:val="center"/>
          </w:tcPr>
          <w:p>
            <w:pPr>
              <w:adjustRightInd w:val="0"/>
              <w:snapToGrid w:val="0"/>
              <w:spacing w:line="312" w:lineRule="auto"/>
              <w:jc w:val="center"/>
              <w:rPr>
                <w:rFonts w:hAnsi="宋体"/>
                <w:sz w:val="18"/>
                <w:szCs w:val="18"/>
              </w:rPr>
            </w:pPr>
            <w:r>
              <w:rPr>
                <w:rFonts w:hint="eastAsia"/>
                <w:kern w:val="0"/>
                <w:sz w:val="18"/>
                <w:szCs w:val="18"/>
              </w:rPr>
              <w:t>应符合</w:t>
            </w:r>
            <w:r>
              <w:rPr>
                <w:kern w:val="0"/>
                <w:sz w:val="18"/>
                <w:szCs w:val="18"/>
              </w:rPr>
              <w:t>GB 27742</w:t>
            </w:r>
            <w:r>
              <w:rPr>
                <w:rFonts w:hint="eastAsia"/>
                <w:kern w:val="0"/>
                <w:sz w:val="18"/>
                <w:szCs w:val="18"/>
              </w:rPr>
              <w:t>中相关规定</w:t>
            </w:r>
          </w:p>
        </w:tc>
        <w:tc>
          <w:tcPr>
            <w:tcW w:w="565" w:type="pct"/>
            <w:vAlign w:val="center"/>
          </w:tcPr>
          <w:p>
            <w:pPr>
              <w:adjustRightInd w:val="0"/>
              <w:snapToGrid w:val="0"/>
              <w:spacing w:line="312" w:lineRule="auto"/>
              <w:jc w:val="center"/>
              <w:rPr>
                <w:rFonts w:hAnsi="宋体"/>
                <w:sz w:val="18"/>
                <w:szCs w:val="18"/>
              </w:rPr>
            </w:pPr>
            <w:r>
              <w:rPr>
                <w:rFonts w:hAnsi="宋体"/>
                <w:sz w:val="18"/>
                <w:szCs w:val="18"/>
              </w:rPr>
              <w:t>现场</w:t>
            </w:r>
            <w:r>
              <w:rPr>
                <w:rFonts w:hint="eastAsia" w:hAnsi="宋体"/>
                <w:sz w:val="18"/>
                <w:szCs w:val="18"/>
              </w:rPr>
              <w:t>检测</w:t>
            </w:r>
            <w:r>
              <w:rPr>
                <w:rFonts w:hAnsi="宋体"/>
                <w:sz w:val="18"/>
                <w:szCs w:val="18"/>
              </w:rPr>
              <w:t>数据或分析检验结果</w:t>
            </w:r>
          </w:p>
        </w:tc>
        <w:tc>
          <w:tcPr>
            <w:tcW w:w="357" w:type="pct"/>
            <w:vMerge w:val="continue"/>
            <w:vAlign w:val="center"/>
          </w:tcPr>
          <w:p>
            <w:pPr>
              <w:adjustRightInd w:val="0"/>
              <w:snapToGrid w:val="0"/>
              <w:spacing w:line="312"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固体产品酸溶除杂过程固废</w:t>
            </w:r>
            <w:r>
              <w:rPr>
                <w:rFonts w:hint="eastAsia" w:ascii="宋体" w:hAnsi="宋体"/>
                <w:sz w:val="18"/>
                <w:szCs w:val="18"/>
                <w:vertAlign w:val="superscript"/>
              </w:rPr>
              <w:t>⑤</w:t>
            </w:r>
            <w:r>
              <w:rPr>
                <w:rFonts w:hint="eastAsia" w:hAnsi="宋体"/>
                <w:kern w:val="0"/>
                <w:sz w:val="18"/>
                <w:szCs w:val="18"/>
              </w:rPr>
              <w:t>产生量</w:t>
            </w:r>
          </w:p>
        </w:tc>
        <w:tc>
          <w:tcPr>
            <w:tcW w:w="350" w:type="pct"/>
            <w:vAlign w:val="center"/>
          </w:tcPr>
          <w:p>
            <w:pPr>
              <w:adjustRightInd w:val="0"/>
              <w:snapToGrid w:val="0"/>
              <w:spacing w:line="312" w:lineRule="auto"/>
              <w:jc w:val="center"/>
              <w:rPr>
                <w:sz w:val="18"/>
                <w:szCs w:val="18"/>
              </w:rPr>
            </w:pPr>
            <w:r>
              <w:rPr>
                <w:rFonts w:hint="eastAsia"/>
                <w:sz w:val="18"/>
                <w:szCs w:val="18"/>
              </w:rPr>
              <w:t>kg</w:t>
            </w:r>
            <w:r>
              <w:rPr>
                <w:sz w:val="18"/>
                <w:szCs w:val="18"/>
              </w:rPr>
              <w:t>/t-REO</w:t>
            </w:r>
          </w:p>
        </w:tc>
        <w:tc>
          <w:tcPr>
            <w:tcW w:w="826" w:type="pct"/>
            <w:vAlign w:val="center"/>
          </w:tcPr>
          <w:p>
            <w:pPr>
              <w:adjustRightInd w:val="0"/>
              <w:snapToGrid w:val="0"/>
              <w:spacing w:line="312" w:lineRule="auto"/>
              <w:jc w:val="center"/>
              <w:rPr>
                <w:kern w:val="0"/>
                <w:sz w:val="18"/>
                <w:szCs w:val="18"/>
              </w:rPr>
            </w:pPr>
            <w:r>
              <w:rPr>
                <w:rFonts w:hint="eastAsia" w:hAnsi="宋体"/>
                <w:kern w:val="0"/>
                <w:sz w:val="18"/>
                <w:szCs w:val="18"/>
              </w:rPr>
              <w:t>≤</w:t>
            </w:r>
            <w:r>
              <w:rPr>
                <w:sz w:val="18"/>
                <w:szCs w:val="18"/>
              </w:rPr>
              <w:t>80</w:t>
            </w:r>
          </w:p>
        </w:tc>
        <w:tc>
          <w:tcPr>
            <w:tcW w:w="826" w:type="pct"/>
            <w:vAlign w:val="center"/>
          </w:tcPr>
          <w:p>
            <w:pPr>
              <w:adjustRightInd w:val="0"/>
              <w:snapToGrid w:val="0"/>
              <w:spacing w:line="312" w:lineRule="auto"/>
              <w:jc w:val="center"/>
              <w:rPr>
                <w:rFonts w:hAnsi="宋体"/>
                <w:sz w:val="18"/>
                <w:szCs w:val="18"/>
              </w:rPr>
            </w:pPr>
            <w:r>
              <w:rPr>
                <w:rFonts w:hint="eastAsia" w:hAnsi="宋体"/>
                <w:kern w:val="0"/>
                <w:sz w:val="18"/>
                <w:szCs w:val="18"/>
              </w:rPr>
              <w:t>≤</w:t>
            </w:r>
            <w:r>
              <w:rPr>
                <w:sz w:val="18"/>
                <w:szCs w:val="18"/>
              </w:rPr>
              <w:t>90</w:t>
            </w:r>
          </w:p>
        </w:tc>
        <w:tc>
          <w:tcPr>
            <w:tcW w:w="826" w:type="pct"/>
            <w:vAlign w:val="center"/>
          </w:tcPr>
          <w:p>
            <w:pPr>
              <w:adjustRightInd w:val="0"/>
              <w:snapToGrid w:val="0"/>
              <w:spacing w:line="312" w:lineRule="auto"/>
              <w:jc w:val="center"/>
              <w:rPr>
                <w:rFonts w:hAnsi="宋体"/>
                <w:sz w:val="18"/>
                <w:szCs w:val="18"/>
              </w:rPr>
            </w:pPr>
            <w:r>
              <w:rPr>
                <w:rFonts w:hint="eastAsia" w:hAnsi="宋体"/>
                <w:kern w:val="0"/>
                <w:sz w:val="18"/>
                <w:szCs w:val="18"/>
              </w:rPr>
              <w:t>≤</w:t>
            </w:r>
            <w:r>
              <w:rPr>
                <w:sz w:val="18"/>
                <w:szCs w:val="18"/>
              </w:rPr>
              <w:t>100</w:t>
            </w:r>
          </w:p>
        </w:tc>
        <w:tc>
          <w:tcPr>
            <w:tcW w:w="565" w:type="pct"/>
            <w:vAlign w:val="center"/>
          </w:tcPr>
          <w:p>
            <w:pPr>
              <w:adjustRightInd w:val="0"/>
              <w:snapToGrid w:val="0"/>
              <w:spacing w:line="312" w:lineRule="auto"/>
              <w:jc w:val="center"/>
              <w:rPr>
                <w:rFonts w:hAnsi="宋体"/>
                <w:sz w:val="18"/>
                <w:szCs w:val="18"/>
              </w:rPr>
            </w:pPr>
            <w:r>
              <w:rPr>
                <w:rFonts w:hAnsi="宋体"/>
                <w:sz w:val="18"/>
                <w:szCs w:val="18"/>
              </w:rPr>
              <w:t>现场数据</w:t>
            </w:r>
          </w:p>
        </w:tc>
        <w:tc>
          <w:tcPr>
            <w:tcW w:w="357" w:type="pct"/>
            <w:vMerge w:val="continue"/>
            <w:vAlign w:val="center"/>
          </w:tcPr>
          <w:p>
            <w:pPr>
              <w:adjustRightInd w:val="0"/>
              <w:snapToGrid w:val="0"/>
              <w:spacing w:line="312"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固体产品酸溶除杂后所得氯化稀土溶液中总放射性比活度</w:t>
            </w:r>
          </w:p>
        </w:tc>
        <w:tc>
          <w:tcPr>
            <w:tcW w:w="350" w:type="pct"/>
            <w:vAlign w:val="center"/>
          </w:tcPr>
          <w:p>
            <w:pPr>
              <w:adjustRightInd w:val="0"/>
              <w:snapToGrid w:val="0"/>
              <w:spacing w:line="312" w:lineRule="auto"/>
              <w:jc w:val="center"/>
              <w:rPr>
                <w:sz w:val="18"/>
                <w:szCs w:val="18"/>
              </w:rPr>
            </w:pPr>
            <w:r>
              <w:rPr>
                <w:sz w:val="18"/>
                <w:szCs w:val="18"/>
              </w:rPr>
              <w:t>—</w:t>
            </w:r>
          </w:p>
        </w:tc>
        <w:tc>
          <w:tcPr>
            <w:tcW w:w="2478" w:type="pct"/>
            <w:gridSpan w:val="3"/>
            <w:vAlign w:val="center"/>
          </w:tcPr>
          <w:p>
            <w:pPr>
              <w:adjustRightInd w:val="0"/>
              <w:snapToGrid w:val="0"/>
              <w:spacing w:line="312" w:lineRule="auto"/>
              <w:jc w:val="center"/>
              <w:rPr>
                <w:rFonts w:hAnsi="宋体"/>
                <w:sz w:val="18"/>
                <w:szCs w:val="18"/>
              </w:rPr>
            </w:pPr>
            <w:r>
              <w:rPr>
                <w:rFonts w:hint="eastAsia"/>
                <w:kern w:val="0"/>
                <w:sz w:val="18"/>
                <w:szCs w:val="18"/>
              </w:rPr>
              <w:t>应符合XB</w:t>
            </w:r>
            <w:r>
              <w:rPr>
                <w:kern w:val="0"/>
                <w:sz w:val="18"/>
                <w:szCs w:val="18"/>
              </w:rPr>
              <w:t>/T 235</w:t>
            </w:r>
            <w:r>
              <w:rPr>
                <w:rFonts w:hint="eastAsia"/>
                <w:kern w:val="0"/>
                <w:sz w:val="18"/>
                <w:szCs w:val="18"/>
              </w:rPr>
              <w:t>中相关规定</w:t>
            </w:r>
          </w:p>
        </w:tc>
        <w:tc>
          <w:tcPr>
            <w:tcW w:w="565" w:type="pct"/>
            <w:vAlign w:val="center"/>
          </w:tcPr>
          <w:p>
            <w:pPr>
              <w:adjustRightInd w:val="0"/>
              <w:snapToGrid w:val="0"/>
              <w:spacing w:line="312" w:lineRule="auto"/>
              <w:jc w:val="center"/>
              <w:rPr>
                <w:rFonts w:hAnsi="宋体"/>
                <w:sz w:val="18"/>
                <w:szCs w:val="18"/>
              </w:rPr>
            </w:pPr>
            <w:r>
              <w:rPr>
                <w:rFonts w:hAnsi="宋体"/>
                <w:sz w:val="18"/>
                <w:szCs w:val="18"/>
              </w:rPr>
              <w:t>现场</w:t>
            </w:r>
            <w:r>
              <w:rPr>
                <w:rFonts w:hint="eastAsia" w:hAnsi="宋体"/>
                <w:sz w:val="18"/>
                <w:szCs w:val="18"/>
              </w:rPr>
              <w:t>检测</w:t>
            </w:r>
            <w:r>
              <w:rPr>
                <w:rFonts w:hAnsi="宋体"/>
                <w:sz w:val="18"/>
                <w:szCs w:val="18"/>
              </w:rPr>
              <w:t>数据或分析检验结果</w:t>
            </w:r>
          </w:p>
        </w:tc>
        <w:tc>
          <w:tcPr>
            <w:tcW w:w="357" w:type="pct"/>
            <w:vMerge w:val="continue"/>
            <w:vAlign w:val="center"/>
          </w:tcPr>
          <w:p>
            <w:pPr>
              <w:adjustRightInd w:val="0"/>
              <w:snapToGrid w:val="0"/>
              <w:spacing w:line="312"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 w:type="pct"/>
            <w:vMerge w:val="continue"/>
            <w:vAlign w:val="center"/>
          </w:tcPr>
          <w:p>
            <w:pPr>
              <w:adjustRightInd w:val="0"/>
              <w:snapToGrid w:val="0"/>
              <w:spacing w:line="312" w:lineRule="auto"/>
              <w:jc w:val="center"/>
              <w:rPr>
                <w:rFonts w:hAnsi="宋体"/>
                <w:sz w:val="18"/>
                <w:szCs w:val="18"/>
              </w:rPr>
            </w:pPr>
          </w:p>
        </w:tc>
        <w:tc>
          <w:tcPr>
            <w:tcW w:w="994" w:type="pct"/>
            <w:vAlign w:val="center"/>
          </w:tcPr>
          <w:p>
            <w:pPr>
              <w:adjustRightInd w:val="0"/>
              <w:snapToGrid w:val="0"/>
              <w:spacing w:line="312" w:lineRule="auto"/>
              <w:jc w:val="center"/>
              <w:rPr>
                <w:rFonts w:hAnsi="宋体"/>
                <w:kern w:val="0"/>
                <w:sz w:val="18"/>
                <w:szCs w:val="18"/>
              </w:rPr>
            </w:pPr>
            <w:r>
              <w:rPr>
                <w:rFonts w:hint="eastAsia" w:hAnsi="宋体"/>
                <w:kern w:val="0"/>
                <w:sz w:val="18"/>
                <w:szCs w:val="18"/>
              </w:rPr>
              <w:t>产品合格率</w:t>
            </w:r>
          </w:p>
        </w:tc>
        <w:tc>
          <w:tcPr>
            <w:tcW w:w="350" w:type="pct"/>
            <w:vAlign w:val="center"/>
          </w:tcPr>
          <w:p>
            <w:pPr>
              <w:adjustRightInd w:val="0"/>
              <w:snapToGrid w:val="0"/>
              <w:spacing w:line="312" w:lineRule="auto"/>
              <w:jc w:val="center"/>
              <w:rPr>
                <w:sz w:val="18"/>
                <w:szCs w:val="18"/>
              </w:rPr>
            </w:pPr>
            <w:r>
              <w:rPr>
                <w:rFonts w:hint="eastAsia"/>
                <w:sz w:val="18"/>
                <w:szCs w:val="18"/>
              </w:rPr>
              <w:t>%</w:t>
            </w:r>
          </w:p>
        </w:tc>
        <w:tc>
          <w:tcPr>
            <w:tcW w:w="826" w:type="pct"/>
            <w:vAlign w:val="center"/>
          </w:tcPr>
          <w:p>
            <w:pPr>
              <w:adjustRightInd w:val="0"/>
              <w:snapToGrid w:val="0"/>
              <w:spacing w:line="312" w:lineRule="auto"/>
              <w:jc w:val="center"/>
              <w:rPr>
                <w:kern w:val="0"/>
                <w:sz w:val="18"/>
                <w:szCs w:val="18"/>
              </w:rPr>
            </w:pPr>
            <w:r>
              <w:rPr>
                <w:rFonts w:hint="eastAsia"/>
                <w:kern w:val="0"/>
                <w:sz w:val="18"/>
                <w:szCs w:val="18"/>
              </w:rPr>
              <w:t>≥9</w:t>
            </w:r>
            <w:r>
              <w:rPr>
                <w:kern w:val="0"/>
                <w:sz w:val="18"/>
                <w:szCs w:val="18"/>
              </w:rPr>
              <w:t>9.0</w:t>
            </w:r>
          </w:p>
        </w:tc>
        <w:tc>
          <w:tcPr>
            <w:tcW w:w="826" w:type="pct"/>
            <w:vAlign w:val="center"/>
          </w:tcPr>
          <w:p>
            <w:pPr>
              <w:adjustRightInd w:val="0"/>
              <w:snapToGrid w:val="0"/>
              <w:spacing w:line="312" w:lineRule="auto"/>
              <w:jc w:val="center"/>
              <w:rPr>
                <w:rFonts w:hAnsi="宋体"/>
                <w:sz w:val="18"/>
                <w:szCs w:val="18"/>
              </w:rPr>
            </w:pPr>
            <w:r>
              <w:rPr>
                <w:rFonts w:hint="eastAsia"/>
                <w:kern w:val="0"/>
                <w:sz w:val="18"/>
                <w:szCs w:val="18"/>
              </w:rPr>
              <w:t>≥9</w:t>
            </w:r>
            <w:r>
              <w:rPr>
                <w:kern w:val="0"/>
                <w:sz w:val="18"/>
                <w:szCs w:val="18"/>
              </w:rPr>
              <w:t>8.5</w:t>
            </w:r>
          </w:p>
        </w:tc>
        <w:tc>
          <w:tcPr>
            <w:tcW w:w="826" w:type="pct"/>
            <w:vAlign w:val="center"/>
          </w:tcPr>
          <w:p>
            <w:pPr>
              <w:adjustRightInd w:val="0"/>
              <w:snapToGrid w:val="0"/>
              <w:spacing w:line="312" w:lineRule="auto"/>
              <w:jc w:val="center"/>
              <w:rPr>
                <w:rFonts w:hAnsi="宋体"/>
                <w:sz w:val="18"/>
                <w:szCs w:val="18"/>
              </w:rPr>
            </w:pPr>
            <w:r>
              <w:rPr>
                <w:rFonts w:hint="eastAsia"/>
                <w:kern w:val="0"/>
                <w:sz w:val="18"/>
                <w:szCs w:val="18"/>
              </w:rPr>
              <w:t>≥9</w:t>
            </w:r>
            <w:r>
              <w:rPr>
                <w:kern w:val="0"/>
                <w:sz w:val="18"/>
                <w:szCs w:val="18"/>
              </w:rPr>
              <w:t>8.0</w:t>
            </w:r>
          </w:p>
        </w:tc>
        <w:tc>
          <w:tcPr>
            <w:tcW w:w="565" w:type="pct"/>
            <w:vAlign w:val="center"/>
          </w:tcPr>
          <w:p>
            <w:pPr>
              <w:adjustRightInd w:val="0"/>
              <w:snapToGrid w:val="0"/>
              <w:spacing w:line="312" w:lineRule="auto"/>
              <w:jc w:val="center"/>
              <w:rPr>
                <w:kern w:val="0"/>
                <w:sz w:val="18"/>
                <w:szCs w:val="18"/>
              </w:rPr>
            </w:pPr>
            <w:r>
              <w:rPr>
                <w:rFonts w:hAnsi="宋体"/>
                <w:sz w:val="18"/>
                <w:szCs w:val="18"/>
              </w:rPr>
              <w:t>现场数据或分析检验结果</w:t>
            </w:r>
          </w:p>
        </w:tc>
        <w:tc>
          <w:tcPr>
            <w:tcW w:w="357" w:type="pct"/>
            <w:vMerge w:val="continue"/>
            <w:vAlign w:val="center"/>
          </w:tcPr>
          <w:p>
            <w:pPr>
              <w:adjustRightInd w:val="0"/>
              <w:snapToGrid w:val="0"/>
              <w:spacing w:line="312"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00" w:type="pct"/>
            <w:gridSpan w:val="8"/>
          </w:tcPr>
          <w:p>
            <w:pPr>
              <w:adjustRightInd w:val="0"/>
              <w:snapToGrid w:val="0"/>
              <w:spacing w:line="312" w:lineRule="auto"/>
              <w:ind w:firstLine="360" w:firstLineChars="200"/>
              <w:jc w:val="left"/>
              <w:rPr>
                <w:rFonts w:hAnsi="宋体"/>
                <w:kern w:val="0"/>
                <w:sz w:val="18"/>
                <w:szCs w:val="18"/>
              </w:rPr>
            </w:pPr>
            <w:r>
              <w:rPr>
                <w:rFonts w:hint="eastAsia"/>
                <w:sz w:val="18"/>
                <w:szCs w:val="18"/>
              </w:rPr>
              <w:t>注：</w:t>
            </w:r>
            <w:r>
              <w:rPr>
                <w:rFonts w:hint="eastAsia" w:ascii="宋体" w:hAnsi="宋体"/>
                <w:sz w:val="18"/>
                <w:szCs w:val="18"/>
              </w:rPr>
              <w:t xml:space="preserve">① </w:t>
            </w:r>
            <w:r>
              <w:rPr>
                <w:rFonts w:hint="eastAsia" w:hAnsi="宋体"/>
                <w:kern w:val="0"/>
                <w:sz w:val="18"/>
                <w:szCs w:val="18"/>
              </w:rPr>
              <w:t>矿区</w:t>
            </w:r>
            <w:r>
              <w:rPr>
                <w:rFonts w:hAnsi="宋体"/>
                <w:kern w:val="0"/>
                <w:sz w:val="18"/>
                <w:szCs w:val="18"/>
              </w:rPr>
              <w:t>污染物</w:t>
            </w:r>
            <w:r>
              <w:rPr>
                <w:rFonts w:hint="eastAsia" w:hAnsi="宋体"/>
                <w:kern w:val="0"/>
                <w:sz w:val="18"/>
                <w:szCs w:val="18"/>
              </w:rPr>
              <w:t>有组织排放</w:t>
            </w:r>
            <w:r>
              <w:rPr>
                <w:rFonts w:hAnsi="宋体"/>
                <w:kern w:val="0"/>
                <w:sz w:val="18"/>
                <w:szCs w:val="18"/>
              </w:rPr>
              <w:t>指标</w:t>
            </w:r>
            <w:r>
              <w:rPr>
                <w:rFonts w:hint="eastAsia" w:hAnsi="宋体"/>
                <w:kern w:val="0"/>
                <w:sz w:val="18"/>
                <w:szCs w:val="18"/>
              </w:rPr>
              <w:t>是指以实际开采矿区（不是整个采矿权区域）为界限，向矿区外有组织排放的污染物浓度限值；有组织排放是指向实际开采矿区外1</w:t>
            </w:r>
            <w:r>
              <w:rPr>
                <w:rFonts w:hAnsi="宋体"/>
                <w:kern w:val="0"/>
                <w:sz w:val="18"/>
                <w:szCs w:val="18"/>
              </w:rPr>
              <w:t xml:space="preserve">00 </w:t>
            </w:r>
            <w:r>
              <w:rPr>
                <w:rFonts w:hint="eastAsia" w:hAnsi="宋体"/>
                <w:kern w:val="0"/>
                <w:sz w:val="18"/>
                <w:szCs w:val="18"/>
              </w:rPr>
              <w:t>m地表水系排放污染物，且不破坏当地水体功能。</w:t>
            </w:r>
          </w:p>
          <w:p>
            <w:pPr>
              <w:adjustRightInd w:val="0"/>
              <w:snapToGrid w:val="0"/>
              <w:spacing w:line="312" w:lineRule="auto"/>
              <w:ind w:firstLine="360" w:firstLineChars="200"/>
              <w:jc w:val="left"/>
              <w:rPr>
                <w:rFonts w:ascii="宋体" w:hAnsi="宋体"/>
                <w:sz w:val="18"/>
                <w:szCs w:val="18"/>
              </w:rPr>
            </w:pPr>
            <w:r>
              <w:rPr>
                <w:rFonts w:hint="eastAsia" w:ascii="宋体" w:hAnsi="宋体"/>
                <w:sz w:val="18"/>
                <w:szCs w:val="18"/>
              </w:rPr>
              <w:t>② 矿区外环境质量管理指标是指实际开采矿区外</w:t>
            </w:r>
            <w:r>
              <w:rPr>
                <w:rFonts w:hint="eastAsia" w:hAnsi="宋体"/>
                <w:kern w:val="0"/>
                <w:sz w:val="18"/>
                <w:szCs w:val="18"/>
              </w:rPr>
              <w:t>1</w:t>
            </w:r>
            <w:r>
              <w:rPr>
                <w:rFonts w:hAnsi="宋体"/>
                <w:kern w:val="0"/>
                <w:sz w:val="18"/>
                <w:szCs w:val="18"/>
              </w:rPr>
              <w:t xml:space="preserve">00 </w:t>
            </w:r>
            <w:r>
              <w:rPr>
                <w:rFonts w:hint="eastAsia" w:hAnsi="宋体"/>
                <w:kern w:val="0"/>
                <w:sz w:val="18"/>
                <w:szCs w:val="18"/>
              </w:rPr>
              <w:t>m</w:t>
            </w:r>
            <w:r>
              <w:rPr>
                <w:rFonts w:hint="eastAsia" w:ascii="宋体" w:hAnsi="宋体"/>
                <w:sz w:val="18"/>
                <w:szCs w:val="18"/>
              </w:rPr>
              <w:t>自然环境中污染物浓度限值，不包括有组织排放的管路或水路（即混合断面区域）。</w:t>
            </w:r>
          </w:p>
          <w:p>
            <w:pPr>
              <w:adjustRightInd w:val="0"/>
              <w:snapToGrid w:val="0"/>
              <w:spacing w:line="312" w:lineRule="auto"/>
              <w:ind w:firstLine="360" w:firstLineChars="200"/>
              <w:jc w:val="left"/>
              <w:rPr>
                <w:rFonts w:hAnsi="宋体"/>
                <w:kern w:val="0"/>
                <w:sz w:val="18"/>
                <w:szCs w:val="18"/>
              </w:rPr>
            </w:pPr>
            <w:r>
              <w:rPr>
                <w:rFonts w:hint="eastAsia" w:ascii="宋体" w:hAnsi="宋体"/>
                <w:sz w:val="18"/>
                <w:szCs w:val="18"/>
              </w:rPr>
              <w:t xml:space="preserve">③ </w:t>
            </w:r>
            <w:r>
              <w:rPr>
                <w:rFonts w:hint="eastAsia"/>
                <w:sz w:val="18"/>
                <w:szCs w:val="18"/>
              </w:rPr>
              <w:t>若矿区固废中</w:t>
            </w:r>
            <w:r>
              <w:rPr>
                <w:rFonts w:hint="eastAsia" w:hAnsi="宋体"/>
                <w:kern w:val="0"/>
                <w:sz w:val="18"/>
                <w:szCs w:val="18"/>
              </w:rPr>
              <w:t>放射性核素活度浓度不符合GB 27742中相关规定，应按照GB 18599、GB 18871中有关规定进行处置。</w:t>
            </w:r>
          </w:p>
          <w:p>
            <w:pPr>
              <w:adjustRightInd w:val="0"/>
              <w:snapToGrid w:val="0"/>
              <w:spacing w:line="312" w:lineRule="auto"/>
              <w:ind w:firstLine="360" w:firstLineChars="200"/>
              <w:jc w:val="left"/>
              <w:rPr>
                <w:rFonts w:ascii="宋体" w:hAnsi="宋体"/>
                <w:sz w:val="18"/>
                <w:szCs w:val="18"/>
              </w:rPr>
            </w:pPr>
            <w:r>
              <w:rPr>
                <w:rFonts w:hint="eastAsia"/>
                <w:sz w:val="18"/>
                <w:szCs w:val="18"/>
              </w:rPr>
              <w:t xml:space="preserve">④ </w:t>
            </w:r>
            <w:r>
              <w:rPr>
                <w:rFonts w:hint="eastAsia" w:ascii="宋体" w:hAnsi="宋体"/>
                <w:sz w:val="18"/>
                <w:szCs w:val="18"/>
              </w:rPr>
              <w:t>烧成物是指离子型稀土矿碳酸稀土</w:t>
            </w:r>
            <w:r>
              <w:rPr>
                <w:rFonts w:hint="eastAsia"/>
                <w:sz w:val="18"/>
                <w:szCs w:val="18"/>
              </w:rPr>
              <w:t>、氢氧化稀土、</w:t>
            </w:r>
            <w:r>
              <w:rPr>
                <w:sz w:val="18"/>
                <w:szCs w:val="18"/>
              </w:rPr>
              <w:t>碳酸</w:t>
            </w:r>
            <w:r>
              <w:rPr>
                <w:rFonts w:hint="eastAsia"/>
                <w:sz w:val="18"/>
                <w:szCs w:val="18"/>
              </w:rPr>
              <w:t>稀土与氢氧化稀土混合物</w:t>
            </w:r>
            <w:r>
              <w:rPr>
                <w:rFonts w:hint="eastAsia" w:ascii="宋体" w:hAnsi="宋体"/>
                <w:sz w:val="18"/>
                <w:szCs w:val="18"/>
              </w:rPr>
              <w:t>经灼减后烧成的离子型稀土矿混合稀土氧化物。</w:t>
            </w:r>
          </w:p>
          <w:p>
            <w:pPr>
              <w:adjustRightInd w:val="0"/>
              <w:snapToGrid w:val="0"/>
              <w:spacing w:line="312" w:lineRule="auto"/>
              <w:ind w:firstLine="360" w:firstLineChars="200"/>
              <w:jc w:val="left"/>
              <w:rPr>
                <w:sz w:val="18"/>
                <w:szCs w:val="18"/>
              </w:rPr>
            </w:pPr>
            <w:r>
              <w:rPr>
                <w:rFonts w:hint="eastAsia"/>
                <w:sz w:val="18"/>
                <w:szCs w:val="18"/>
              </w:rPr>
              <w:t>⑤ 若固体</w:t>
            </w:r>
            <w:r>
              <w:rPr>
                <w:rFonts w:hint="eastAsia" w:hAnsi="宋体"/>
                <w:kern w:val="0"/>
                <w:sz w:val="18"/>
                <w:szCs w:val="18"/>
              </w:rPr>
              <w:t>产品酸溶除杂过程产生固废中放射性核素活度浓度不符合GB 27742中相关规定，应按照GB 18599、GB 18871中有关规定进行处置。</w:t>
            </w:r>
          </w:p>
        </w:tc>
      </w:tr>
    </w:tbl>
    <w:p>
      <w:pPr>
        <w:spacing w:line="360" w:lineRule="exact"/>
        <w:jc w:val="center"/>
        <w:rPr>
          <w:rFonts w:ascii="黑体" w:eastAsia="黑体"/>
          <w:color w:val="000000"/>
          <w:szCs w:val="21"/>
        </w:rPr>
        <w:sectPr>
          <w:pgSz w:w="16838" w:h="11906" w:orient="landscape"/>
          <w:pgMar w:top="1418" w:right="1418" w:bottom="1134" w:left="1418" w:header="1418" w:footer="1134" w:gutter="0"/>
          <w:cols w:space="720" w:num="1"/>
          <w:docGrid w:linePitch="312" w:charSpace="0"/>
        </w:sectPr>
      </w:pPr>
    </w:p>
    <w:p>
      <w:pPr>
        <w:spacing w:line="360" w:lineRule="exact"/>
        <w:jc w:val="center"/>
        <w:rPr>
          <w:rFonts w:ascii="黑体" w:eastAsia="黑体"/>
          <w:color w:val="000000"/>
          <w:szCs w:val="21"/>
        </w:rPr>
      </w:pPr>
    </w:p>
    <w:p>
      <w:pPr>
        <w:spacing w:line="360" w:lineRule="exact"/>
        <w:jc w:val="center"/>
        <w:rPr>
          <w:rFonts w:ascii="黑体" w:eastAsia="黑体"/>
        </w:rPr>
      </w:pPr>
      <w:r>
        <w:rPr>
          <w:rFonts w:ascii="黑体" w:eastAsia="黑体"/>
        </w:rPr>
        <w:t>表</w:t>
      </w:r>
      <w:r>
        <w:rPr>
          <w:rFonts w:hint="eastAsia" w:ascii="黑体" w:eastAsia="黑体"/>
        </w:rPr>
        <w:t>2</w:t>
      </w:r>
      <w:r>
        <w:rPr>
          <w:rFonts w:ascii="黑体" w:eastAsia="黑体"/>
        </w:rPr>
        <w:t xml:space="preserve">  </w:t>
      </w:r>
      <w:r>
        <w:rPr>
          <w:rFonts w:hint="eastAsia" w:ascii="黑体" w:eastAsia="黑体"/>
        </w:rPr>
        <w:t>离子型稀土矿产品（液体产品）</w:t>
      </w:r>
      <w:r>
        <w:rPr>
          <w:rFonts w:ascii="黑体" w:eastAsia="黑体"/>
        </w:rPr>
        <w:t>评价指标</w:t>
      </w:r>
      <w:r>
        <w:rPr>
          <w:rFonts w:hint="eastAsia" w:ascii="黑体" w:eastAsia="黑体"/>
        </w:rPr>
        <w:t>权重</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3"/>
        <w:gridCol w:w="1663"/>
        <w:gridCol w:w="3954"/>
        <w:gridCol w:w="1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612"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一级指标</w:t>
            </w:r>
          </w:p>
        </w:tc>
        <w:tc>
          <w:tcPr>
            <w:tcW w:w="976"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一级指标权重</w:t>
            </w:r>
            <w:r>
              <w:rPr>
                <w:rFonts w:hAnsi="宋体"/>
                <w:color w:val="000000"/>
                <w:kern w:val="0"/>
                <w:sz w:val="18"/>
                <w:szCs w:val="18"/>
              </w:rPr>
              <w:t>/%</w:t>
            </w:r>
          </w:p>
        </w:tc>
        <w:tc>
          <w:tcPr>
            <w:tcW w:w="2320"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二级指标</w:t>
            </w:r>
          </w:p>
        </w:tc>
        <w:tc>
          <w:tcPr>
            <w:tcW w:w="1092"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二级指标权重</w:t>
            </w:r>
            <w:r>
              <w:rPr>
                <w:rFonts w:hAnsi="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Merge w:val="continue"/>
            <w:vAlign w:val="center"/>
          </w:tcPr>
          <w:p>
            <w:pPr>
              <w:widowControl/>
              <w:adjustRightInd w:val="0"/>
              <w:snapToGrid w:val="0"/>
              <w:spacing w:line="312" w:lineRule="auto"/>
              <w:jc w:val="left"/>
              <w:rPr>
                <w:rFonts w:hAnsi="宋体"/>
                <w:color w:val="000000"/>
                <w:kern w:val="0"/>
                <w:sz w:val="18"/>
                <w:szCs w:val="18"/>
              </w:rPr>
            </w:pPr>
          </w:p>
        </w:tc>
        <w:tc>
          <w:tcPr>
            <w:tcW w:w="1092" w:type="pct"/>
            <w:vMerge w:val="continue"/>
            <w:vAlign w:val="center"/>
          </w:tcPr>
          <w:p>
            <w:pPr>
              <w:widowControl/>
              <w:adjustRightInd w:val="0"/>
              <w:snapToGrid w:val="0"/>
              <w:spacing w:line="312" w:lineRule="auto"/>
              <w:jc w:val="left"/>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资源属性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int="eastAsia" w:hAnsi="宋体"/>
                <w:kern w:val="0"/>
                <w:sz w:val="18"/>
                <w:szCs w:val="18"/>
              </w:rPr>
              <w:t>原矿</w:t>
            </w:r>
            <w:r>
              <w:rPr>
                <w:rFonts w:hAnsi="宋体"/>
                <w:kern w:val="0"/>
                <w:sz w:val="18"/>
                <w:szCs w:val="18"/>
              </w:rPr>
              <w:t>到</w:t>
            </w:r>
            <w:r>
              <w:rPr>
                <w:rFonts w:hint="eastAsia" w:hAnsi="宋体"/>
                <w:kern w:val="0"/>
                <w:sz w:val="18"/>
                <w:szCs w:val="18"/>
              </w:rPr>
              <w:t>离子型稀土矿浸出液的离子相</w:t>
            </w:r>
            <w:r>
              <w:rPr>
                <w:rFonts w:hAnsi="宋体"/>
                <w:kern w:val="0"/>
                <w:sz w:val="18"/>
                <w:szCs w:val="18"/>
              </w:rPr>
              <w:t>稀土回收率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int="eastAsia" w:hAnsi="宋体"/>
                <w:kern w:val="0"/>
                <w:sz w:val="18"/>
                <w:szCs w:val="18"/>
              </w:rPr>
              <w:t>矿浸出液</w:t>
            </w:r>
            <w:r>
              <w:rPr>
                <w:rFonts w:hAnsi="宋体"/>
                <w:kern w:val="0"/>
                <w:sz w:val="18"/>
                <w:szCs w:val="18"/>
              </w:rPr>
              <w:t>到</w:t>
            </w:r>
            <w:r>
              <w:rPr>
                <w:rFonts w:hint="eastAsia" w:hAnsi="宋体"/>
                <w:kern w:val="0"/>
                <w:sz w:val="18"/>
                <w:szCs w:val="18"/>
              </w:rPr>
              <w:t>离子型稀土矿产品</w:t>
            </w:r>
            <w:r>
              <w:rPr>
                <w:rFonts w:hAnsi="宋体"/>
                <w:kern w:val="0"/>
                <w:sz w:val="18"/>
                <w:szCs w:val="18"/>
              </w:rPr>
              <w:t>的稀土回收率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稀土总回收率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2</w:t>
            </w: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水重复利用率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环境属性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矿区</w:t>
            </w:r>
            <w:r>
              <w:rPr>
                <w:rFonts w:hAnsi="宋体"/>
                <w:kern w:val="0"/>
                <w:sz w:val="18"/>
                <w:szCs w:val="18"/>
              </w:rPr>
              <w:t>污染物</w:t>
            </w:r>
            <w:r>
              <w:rPr>
                <w:rFonts w:hint="eastAsia" w:hAnsi="宋体"/>
                <w:kern w:val="0"/>
                <w:sz w:val="18"/>
                <w:szCs w:val="18"/>
              </w:rPr>
              <w:t>有组织排放</w:t>
            </w:r>
            <w:r>
              <w:rPr>
                <w:rFonts w:hAnsi="宋体"/>
                <w:kern w:val="0"/>
                <w:sz w:val="18"/>
                <w:szCs w:val="18"/>
              </w:rPr>
              <w:t>指标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center"/>
              <w:rPr>
                <w:rFonts w:hAnsi="宋体"/>
                <w:color w:val="000000"/>
                <w:kern w:val="0"/>
                <w:sz w:val="18"/>
                <w:szCs w:val="18"/>
              </w:rPr>
            </w:pPr>
          </w:p>
        </w:tc>
        <w:tc>
          <w:tcPr>
            <w:tcW w:w="976" w:type="pct"/>
            <w:vMerge w:val="continue"/>
            <w:vAlign w:val="center"/>
          </w:tcPr>
          <w:p>
            <w:pPr>
              <w:widowControl/>
              <w:adjustRightInd w:val="0"/>
              <w:snapToGrid w:val="0"/>
              <w:spacing w:line="312" w:lineRule="auto"/>
              <w:jc w:val="center"/>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矿区外环境质量管理指标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矿区固废产生量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能源属性</w:t>
            </w:r>
          </w:p>
        </w:tc>
        <w:tc>
          <w:tcPr>
            <w:tcW w:w="976"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w:t>
            </w: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单位产品综合能耗</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产品属性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产品中稀土含量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产品中氧化铝含量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产品中氧化铁含量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产品中二氧化硅含量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产品中硫酸根含量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产品中氨氮含量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液体产品中总放射性比活度</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产品合格率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bl>
    <w:p>
      <w:pPr>
        <w:spacing w:line="360" w:lineRule="exact"/>
        <w:jc w:val="center"/>
        <w:rPr>
          <w:rFonts w:ascii="黑体" w:eastAsia="黑体"/>
        </w:rPr>
      </w:pPr>
    </w:p>
    <w:p>
      <w:pPr>
        <w:spacing w:line="360" w:lineRule="exact"/>
        <w:jc w:val="center"/>
        <w:rPr>
          <w:rFonts w:ascii="黑体" w:eastAsia="黑体"/>
        </w:rPr>
      </w:pPr>
      <w:r>
        <w:rPr>
          <w:rFonts w:ascii="黑体" w:eastAsia="黑体"/>
        </w:rPr>
        <w:t>表</w:t>
      </w:r>
      <w:r>
        <w:rPr>
          <w:rFonts w:hint="eastAsia" w:ascii="黑体" w:eastAsia="黑体"/>
        </w:rPr>
        <w:t>3</w:t>
      </w:r>
      <w:r>
        <w:rPr>
          <w:rFonts w:ascii="黑体" w:eastAsia="黑体"/>
        </w:rPr>
        <w:t xml:space="preserve">  </w:t>
      </w:r>
      <w:r>
        <w:rPr>
          <w:rFonts w:hint="eastAsia" w:ascii="黑体" w:eastAsia="黑体"/>
        </w:rPr>
        <w:t>离子型稀土矿产品（固体产品）</w:t>
      </w:r>
      <w:r>
        <w:rPr>
          <w:rFonts w:ascii="黑体" w:eastAsia="黑体"/>
        </w:rPr>
        <w:t>评价指标</w:t>
      </w:r>
      <w:r>
        <w:rPr>
          <w:rFonts w:hint="eastAsia" w:ascii="黑体" w:eastAsia="黑体"/>
        </w:rPr>
        <w:t>权重</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3"/>
        <w:gridCol w:w="1663"/>
        <w:gridCol w:w="3954"/>
        <w:gridCol w:w="1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612"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一级指标</w:t>
            </w:r>
          </w:p>
        </w:tc>
        <w:tc>
          <w:tcPr>
            <w:tcW w:w="976"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一级指标权重</w:t>
            </w:r>
            <w:r>
              <w:rPr>
                <w:rFonts w:hAnsi="宋体"/>
                <w:color w:val="000000"/>
                <w:kern w:val="0"/>
                <w:sz w:val="18"/>
                <w:szCs w:val="18"/>
              </w:rPr>
              <w:t>/%</w:t>
            </w:r>
          </w:p>
        </w:tc>
        <w:tc>
          <w:tcPr>
            <w:tcW w:w="2320"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二级指标</w:t>
            </w:r>
          </w:p>
        </w:tc>
        <w:tc>
          <w:tcPr>
            <w:tcW w:w="1092" w:type="pct"/>
            <w:vMerge w:val="restart"/>
            <w:vAlign w:val="center"/>
          </w:tcPr>
          <w:p>
            <w:pPr>
              <w:widowControl/>
              <w:tabs>
                <w:tab w:val="center" w:pos="4153"/>
                <w:tab w:val="right" w:pos="8306"/>
              </w:tabs>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二级指标权重</w:t>
            </w:r>
            <w:r>
              <w:rPr>
                <w:rFonts w:hAnsi="宋体"/>
                <w:color w:val="000000"/>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Merge w:val="continue"/>
            <w:vAlign w:val="center"/>
          </w:tcPr>
          <w:p>
            <w:pPr>
              <w:widowControl/>
              <w:adjustRightInd w:val="0"/>
              <w:snapToGrid w:val="0"/>
              <w:spacing w:line="312" w:lineRule="auto"/>
              <w:jc w:val="left"/>
              <w:rPr>
                <w:rFonts w:hAnsi="宋体"/>
                <w:color w:val="000000"/>
                <w:kern w:val="0"/>
                <w:sz w:val="18"/>
                <w:szCs w:val="18"/>
              </w:rPr>
            </w:pPr>
          </w:p>
        </w:tc>
        <w:tc>
          <w:tcPr>
            <w:tcW w:w="1092" w:type="pct"/>
            <w:vMerge w:val="continue"/>
            <w:vAlign w:val="center"/>
          </w:tcPr>
          <w:p>
            <w:pPr>
              <w:widowControl/>
              <w:adjustRightInd w:val="0"/>
              <w:snapToGrid w:val="0"/>
              <w:spacing w:line="312" w:lineRule="auto"/>
              <w:jc w:val="left"/>
              <w:rPr>
                <w:rFonts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资源属性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int="eastAsia" w:hAnsi="宋体"/>
                <w:kern w:val="0"/>
                <w:sz w:val="18"/>
                <w:szCs w:val="18"/>
              </w:rPr>
              <w:t>原矿</w:t>
            </w:r>
            <w:r>
              <w:rPr>
                <w:rFonts w:hAnsi="宋体"/>
                <w:kern w:val="0"/>
                <w:sz w:val="18"/>
                <w:szCs w:val="18"/>
              </w:rPr>
              <w:t>到</w:t>
            </w:r>
            <w:r>
              <w:rPr>
                <w:rFonts w:hint="eastAsia" w:hAnsi="宋体"/>
                <w:kern w:val="0"/>
                <w:sz w:val="18"/>
                <w:szCs w:val="18"/>
              </w:rPr>
              <w:t>离子型稀土矿浸出液的离子相</w:t>
            </w:r>
            <w:r>
              <w:rPr>
                <w:rFonts w:hAnsi="宋体"/>
                <w:kern w:val="0"/>
                <w:sz w:val="18"/>
                <w:szCs w:val="18"/>
              </w:rPr>
              <w:t>稀土回收率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从离子型稀土</w:t>
            </w:r>
            <w:r>
              <w:rPr>
                <w:rFonts w:hint="eastAsia" w:hAnsi="宋体"/>
                <w:kern w:val="0"/>
                <w:sz w:val="18"/>
                <w:szCs w:val="18"/>
              </w:rPr>
              <w:t>矿浸出液</w:t>
            </w:r>
            <w:r>
              <w:rPr>
                <w:rFonts w:hAnsi="宋体"/>
                <w:kern w:val="0"/>
                <w:sz w:val="18"/>
                <w:szCs w:val="18"/>
              </w:rPr>
              <w:t>到</w:t>
            </w:r>
            <w:r>
              <w:rPr>
                <w:rFonts w:hint="eastAsia" w:hAnsi="宋体"/>
                <w:kern w:val="0"/>
                <w:sz w:val="18"/>
                <w:szCs w:val="18"/>
              </w:rPr>
              <w:t>离子型稀土矿产品</w:t>
            </w:r>
            <w:r>
              <w:rPr>
                <w:rFonts w:hAnsi="宋体"/>
                <w:kern w:val="0"/>
                <w:sz w:val="18"/>
                <w:szCs w:val="18"/>
              </w:rPr>
              <w:t>的稀土回收率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稀土总回收率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2</w:t>
            </w: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Ansi="宋体"/>
                <w:kern w:val="0"/>
                <w:sz w:val="18"/>
                <w:szCs w:val="18"/>
              </w:rPr>
              <w:t>水重复利用率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环境属性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35</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矿区</w:t>
            </w:r>
            <w:r>
              <w:rPr>
                <w:rFonts w:hAnsi="宋体"/>
                <w:kern w:val="0"/>
                <w:sz w:val="18"/>
                <w:szCs w:val="18"/>
              </w:rPr>
              <w:t>污染物</w:t>
            </w:r>
            <w:r>
              <w:rPr>
                <w:rFonts w:hint="eastAsia" w:hAnsi="宋体"/>
                <w:kern w:val="0"/>
                <w:sz w:val="18"/>
                <w:szCs w:val="18"/>
              </w:rPr>
              <w:t>有组织排放</w:t>
            </w:r>
            <w:r>
              <w:rPr>
                <w:rFonts w:hAnsi="宋体"/>
                <w:kern w:val="0"/>
                <w:sz w:val="18"/>
                <w:szCs w:val="18"/>
              </w:rPr>
              <w:t>指标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center"/>
              <w:rPr>
                <w:rFonts w:hAnsi="宋体"/>
                <w:color w:val="000000"/>
                <w:kern w:val="0"/>
                <w:sz w:val="18"/>
                <w:szCs w:val="18"/>
              </w:rPr>
            </w:pPr>
          </w:p>
        </w:tc>
        <w:tc>
          <w:tcPr>
            <w:tcW w:w="976" w:type="pct"/>
            <w:vMerge w:val="continue"/>
            <w:vAlign w:val="center"/>
          </w:tcPr>
          <w:p>
            <w:pPr>
              <w:widowControl/>
              <w:adjustRightInd w:val="0"/>
              <w:snapToGrid w:val="0"/>
              <w:spacing w:line="312" w:lineRule="auto"/>
              <w:jc w:val="center"/>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矿区外环境质量管理指标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矿区固废产生量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能源属性</w:t>
            </w:r>
          </w:p>
        </w:tc>
        <w:tc>
          <w:tcPr>
            <w:tcW w:w="976"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w:t>
            </w: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单位产品综合能耗</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restar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产品属性</w:t>
            </w:r>
          </w:p>
        </w:tc>
        <w:tc>
          <w:tcPr>
            <w:tcW w:w="976" w:type="pct"/>
            <w:vMerge w:val="restar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30</w:t>
            </w: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产品中稀土含量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产品中氧化铝含量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产品中氧化铁含量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产品中二氧化硅含量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产品中硫酸根含量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产品中氨氮含量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1</w:t>
            </w: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固体产品中放射性核素活度浓度</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1</w:t>
            </w:r>
            <w:r>
              <w:rPr>
                <w:rFonts w:hint="eastAsia" w:hAnsi="宋体"/>
                <w:color w:val="000000"/>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固体产品酸溶除杂过程固废产生量</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kern w:val="0"/>
                <w:sz w:val="18"/>
                <w:szCs w:val="18"/>
              </w:rPr>
            </w:pPr>
            <w:r>
              <w:rPr>
                <w:rFonts w:hint="eastAsia" w:hAnsi="宋体"/>
                <w:kern w:val="0"/>
                <w:sz w:val="18"/>
                <w:szCs w:val="18"/>
              </w:rPr>
              <w:t>固体产品酸溶除杂后所得氯化稀土溶液中总放射性比活度</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int="eastAsia" w:hAnsi="宋体"/>
                <w:color w:val="000000"/>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12" w:type="pct"/>
            <w:vMerge w:val="continue"/>
            <w:vAlign w:val="center"/>
          </w:tcPr>
          <w:p>
            <w:pPr>
              <w:widowControl/>
              <w:adjustRightInd w:val="0"/>
              <w:snapToGrid w:val="0"/>
              <w:spacing w:line="312" w:lineRule="auto"/>
              <w:jc w:val="left"/>
              <w:rPr>
                <w:rFonts w:hAnsi="宋体"/>
                <w:color w:val="000000"/>
                <w:kern w:val="0"/>
                <w:sz w:val="18"/>
                <w:szCs w:val="18"/>
              </w:rPr>
            </w:pPr>
          </w:p>
        </w:tc>
        <w:tc>
          <w:tcPr>
            <w:tcW w:w="976" w:type="pct"/>
            <w:vMerge w:val="continue"/>
            <w:vAlign w:val="center"/>
          </w:tcPr>
          <w:p>
            <w:pPr>
              <w:widowControl/>
              <w:adjustRightInd w:val="0"/>
              <w:snapToGrid w:val="0"/>
              <w:spacing w:line="312" w:lineRule="auto"/>
              <w:jc w:val="left"/>
              <w:rPr>
                <w:rFonts w:hAnsi="宋体"/>
                <w:color w:val="000000"/>
                <w:kern w:val="0"/>
                <w:sz w:val="18"/>
                <w:szCs w:val="18"/>
              </w:rPr>
            </w:pPr>
          </w:p>
        </w:tc>
        <w:tc>
          <w:tcPr>
            <w:tcW w:w="2320" w:type="pct"/>
            <w:vAlign w:val="center"/>
          </w:tcPr>
          <w:p>
            <w:pPr>
              <w:widowControl/>
              <w:adjustRightInd w:val="0"/>
              <w:snapToGrid w:val="0"/>
              <w:spacing w:line="312" w:lineRule="auto"/>
              <w:jc w:val="center"/>
              <w:rPr>
                <w:rFonts w:hAnsi="宋体"/>
                <w:color w:val="000000"/>
                <w:kern w:val="0"/>
                <w:sz w:val="18"/>
                <w:szCs w:val="18"/>
              </w:rPr>
            </w:pPr>
            <w:r>
              <w:rPr>
                <w:rFonts w:hint="eastAsia" w:hAnsi="宋体"/>
                <w:kern w:val="0"/>
                <w:sz w:val="18"/>
                <w:szCs w:val="18"/>
              </w:rPr>
              <w:t>产品合格率</w:t>
            </w:r>
          </w:p>
        </w:tc>
        <w:tc>
          <w:tcPr>
            <w:tcW w:w="1092" w:type="pct"/>
            <w:vAlign w:val="center"/>
          </w:tcPr>
          <w:p>
            <w:pPr>
              <w:widowControl/>
              <w:adjustRightInd w:val="0"/>
              <w:snapToGrid w:val="0"/>
              <w:spacing w:line="312" w:lineRule="auto"/>
              <w:jc w:val="center"/>
              <w:rPr>
                <w:rFonts w:hAnsi="宋体"/>
                <w:color w:val="000000"/>
                <w:kern w:val="0"/>
                <w:sz w:val="18"/>
                <w:szCs w:val="18"/>
              </w:rPr>
            </w:pPr>
            <w:r>
              <w:rPr>
                <w:rFonts w:hAnsi="宋体"/>
                <w:color w:val="000000"/>
                <w:kern w:val="0"/>
                <w:sz w:val="18"/>
                <w:szCs w:val="18"/>
              </w:rPr>
              <w:t>5</w:t>
            </w:r>
          </w:p>
        </w:tc>
      </w:tr>
    </w:tbl>
    <w:p>
      <w:pPr>
        <w:spacing w:line="360" w:lineRule="exact"/>
        <w:jc w:val="center"/>
        <w:rPr>
          <w:rFonts w:ascii="黑体" w:eastAsia="黑体"/>
        </w:rPr>
      </w:pPr>
    </w:p>
    <w:p>
      <w:pPr>
        <w:spacing w:line="360" w:lineRule="auto"/>
        <w:rPr>
          <w:rFonts w:ascii="黑体" w:hAnsi="黑体" w:eastAsia="黑体"/>
          <w:szCs w:val="21"/>
        </w:rPr>
      </w:pPr>
      <w:r>
        <w:rPr>
          <w:rFonts w:hint="eastAsia" w:ascii="黑体" w:hAnsi="黑体" w:eastAsia="黑体"/>
          <w:szCs w:val="21"/>
        </w:rPr>
        <w:t>3.1主要技术指标确定的依据</w:t>
      </w:r>
    </w:p>
    <w:p>
      <w:pPr>
        <w:spacing w:line="360" w:lineRule="auto"/>
        <w:ind w:firstLine="420" w:firstLineChars="200"/>
        <w:rPr>
          <w:rFonts w:eastAsiaTheme="minorEastAsia"/>
          <w:szCs w:val="21"/>
        </w:rPr>
      </w:pPr>
      <w:r>
        <w:rPr>
          <w:rFonts w:hint="eastAsia" w:hAnsiTheme="minorEastAsia" w:eastAsiaTheme="minorEastAsia"/>
          <w:szCs w:val="21"/>
        </w:rPr>
        <w:t>参考《生态设计产品评价通则》（GB/T 32161-2015），结合离子型稀土矿实际生产应用情况，</w:t>
      </w:r>
      <w:r>
        <w:rPr>
          <w:rFonts w:hAnsiTheme="minorEastAsia" w:eastAsiaTheme="minorEastAsia"/>
          <w:szCs w:val="21"/>
        </w:rPr>
        <w:t>制</w:t>
      </w:r>
      <w:r>
        <w:rPr>
          <w:rFonts w:hint="eastAsia" w:hAnsiTheme="minorEastAsia" w:eastAsiaTheme="minorEastAsia"/>
          <w:szCs w:val="21"/>
        </w:rPr>
        <w:t>订</w:t>
      </w:r>
      <w:r>
        <w:rPr>
          <w:rFonts w:hAnsiTheme="minorEastAsia" w:eastAsiaTheme="minorEastAsia"/>
          <w:szCs w:val="21"/>
        </w:rPr>
        <w:t>了</w:t>
      </w:r>
      <w:r>
        <w:rPr>
          <w:rFonts w:hint="eastAsia" w:hAnsiTheme="minorEastAsia" w:eastAsiaTheme="minorEastAsia"/>
          <w:szCs w:val="21"/>
        </w:rPr>
        <w:t>本标准</w:t>
      </w:r>
      <w:r>
        <w:rPr>
          <w:rFonts w:hAnsiTheme="minorEastAsia" w:eastAsiaTheme="minorEastAsia"/>
          <w:szCs w:val="21"/>
        </w:rPr>
        <w:t>《</w:t>
      </w:r>
      <w:r>
        <w:rPr>
          <w:rFonts w:hint="eastAsia" w:hAnsiTheme="minorEastAsia" w:eastAsiaTheme="minorEastAsia"/>
          <w:szCs w:val="21"/>
        </w:rPr>
        <w:t>绿色设计产品评价技术规范 离子型稀土矿产品</w:t>
      </w:r>
      <w:r>
        <w:rPr>
          <w:rFonts w:hAnsiTheme="minorEastAsia" w:eastAsiaTheme="minorEastAsia"/>
          <w:szCs w:val="21"/>
        </w:rPr>
        <w:t>》，主要内容说明如下：</w:t>
      </w:r>
    </w:p>
    <w:p>
      <w:pPr>
        <w:spacing w:line="360"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int="eastAsia" w:hAnsiTheme="minorEastAsia" w:eastAsiaTheme="minorEastAsia"/>
          <w:szCs w:val="21"/>
        </w:rPr>
        <w:t>规定</w:t>
      </w:r>
      <w:r>
        <w:rPr>
          <w:rFonts w:hAnsiTheme="minorEastAsia" w:eastAsiaTheme="minorEastAsia"/>
          <w:szCs w:val="21"/>
        </w:rPr>
        <w:t>了</w:t>
      </w:r>
      <w:r>
        <w:rPr>
          <w:rFonts w:hint="eastAsia" w:hAnsiTheme="minorEastAsia" w:eastAsiaTheme="minorEastAsia"/>
          <w:szCs w:val="21"/>
        </w:rPr>
        <w:t>本标准适用于采用溶液浸矿方式浸取离子型稀土原矿，再采用萃取、沉淀等化学方法富集生产的离子型稀土矿产品的绿色设计产品评价。</w:t>
      </w:r>
    </w:p>
    <w:p>
      <w:pPr>
        <w:spacing w:line="360"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AnsiTheme="minorEastAsia" w:eastAsiaTheme="minorEastAsia"/>
          <w:szCs w:val="21"/>
        </w:rPr>
        <w:t>规定了</w:t>
      </w:r>
      <w:r>
        <w:rPr>
          <w:rFonts w:hint="eastAsia" w:hAnsiTheme="minorEastAsia" w:eastAsiaTheme="minorEastAsia"/>
          <w:szCs w:val="21"/>
        </w:rPr>
        <w:t>离子型稀土矿绿色设计产品的评价要求，主要包括基本要求、评价指标要求和数据来源</w:t>
      </w:r>
      <w:r>
        <w:rPr>
          <w:rFonts w:hAnsiTheme="minorEastAsia" w:eastAsiaTheme="minorEastAsia"/>
          <w:szCs w:val="21"/>
        </w:rPr>
        <w:t>。</w:t>
      </w:r>
      <w:r>
        <w:rPr>
          <w:rFonts w:hint="eastAsia" w:hAnsiTheme="minorEastAsia" w:eastAsiaTheme="minorEastAsia"/>
          <w:szCs w:val="21"/>
        </w:rPr>
        <w:t>评价指标分为一级指标和二级指标；一级指标包括资源属性指标、环境属性指标和产品属性指标；二级指标是对一级指标的具体化，明确规定所要达到的具体数值。</w:t>
      </w:r>
    </w:p>
    <w:p>
      <w:pPr>
        <w:spacing w:line="360"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AnsiTheme="minorEastAsia" w:eastAsiaTheme="minorEastAsia"/>
          <w:szCs w:val="21"/>
        </w:rPr>
        <w:t>规定了</w:t>
      </w:r>
      <w:r>
        <w:rPr>
          <w:rFonts w:hint="eastAsia" w:hAnsiTheme="minorEastAsia" w:eastAsiaTheme="minorEastAsia"/>
          <w:szCs w:val="21"/>
        </w:rPr>
        <w:t>离子型稀土矿产品具体的评价方法和流程</w:t>
      </w:r>
      <w:r>
        <w:rPr>
          <w:rFonts w:hAnsiTheme="minorEastAsia" w:eastAsiaTheme="minorEastAsia"/>
          <w:szCs w:val="21"/>
        </w:rPr>
        <w:t>。</w:t>
      </w:r>
    </w:p>
    <w:p>
      <w:pPr>
        <w:spacing w:line="360"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AnsiTheme="minorEastAsia" w:eastAsiaTheme="minorEastAsia"/>
          <w:szCs w:val="21"/>
        </w:rPr>
        <w:t>规定了</w:t>
      </w:r>
      <w:r>
        <w:rPr>
          <w:rFonts w:hint="eastAsia" w:hAnsiTheme="minorEastAsia" w:eastAsiaTheme="minorEastAsia"/>
          <w:szCs w:val="21"/>
        </w:rPr>
        <w:t>离子型稀土矿产品生命周期评价报告编制方法，主要包括方法和报告内容框架。</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四、标准水平分析</w:t>
      </w:r>
    </w:p>
    <w:p>
      <w:pPr>
        <w:adjustRightInd w:val="0"/>
        <w:snapToGrid w:val="0"/>
        <w:spacing w:line="360" w:lineRule="auto"/>
        <w:ind w:firstLine="417" w:firstLineChars="199"/>
        <w:rPr>
          <w:szCs w:val="21"/>
        </w:rPr>
      </w:pPr>
      <w:r>
        <w:rPr>
          <w:rFonts w:hint="eastAsia"/>
          <w:szCs w:val="21"/>
        </w:rPr>
        <w:t>本标准可与相关联的《稀土工业污染物排放标准》（GB 26451-2011）、《排污许可证申请与核发技术规范 稀有稀土金属冶炼》（HJ 1125-2020）、《绿色设计产品评价技术规范 稀土湿法冶炼分离产品》（T/CNIA 0005-2018）等标准相互补充，组成一个有机全面的稀土标准体系，属于我国第一项关于离子型稀土矿产品的绿色设计产品评价技术规范。</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五、与现行相关法律、法规、规章及相关标准的协调性</w:t>
      </w:r>
    </w:p>
    <w:p>
      <w:pPr>
        <w:adjustRightInd w:val="0"/>
        <w:snapToGrid w:val="0"/>
        <w:spacing w:line="360" w:lineRule="auto"/>
        <w:ind w:firstLine="417" w:firstLineChars="199"/>
        <w:rPr>
          <w:szCs w:val="21"/>
        </w:rPr>
      </w:pPr>
      <w:r>
        <w:rPr>
          <w:rFonts w:hint="eastAsia"/>
          <w:szCs w:val="21"/>
        </w:rPr>
        <w:t>离子型稀土矿广泛分布于我国南方八省、东南亚（如缅甸、越南等）和美洲（如巴西等）等国家。针对其特点，我国开创了硫酸铵浸取-碳酸氢铵沉淀富集的独特生产工艺，技术处于国际领先水平，但存在稀土收率低、氨氮废水和含放射性废渣污染等问题。近年来，有研集团、成都地矿所、赣州有色冶金研究所、武汉工程大学、南昌大学、中科院过程所等单位开展了清洁工艺研究，取得了较大进展，相继开发了离子型稀土矿绿色高效浸萃一体化新工艺、稀土矿山绿色安全渗控开采工程技术、低浓度稀土大相比鼓泡油膜萃取技术等。</w:t>
      </w:r>
    </w:p>
    <w:p>
      <w:pPr>
        <w:adjustRightInd w:val="0"/>
        <w:snapToGrid w:val="0"/>
        <w:spacing w:line="360" w:lineRule="auto"/>
        <w:ind w:firstLine="417" w:firstLineChars="199"/>
        <w:rPr>
          <w:szCs w:val="21"/>
        </w:rPr>
      </w:pPr>
      <w:r>
        <w:rPr>
          <w:rFonts w:hint="eastAsia"/>
          <w:szCs w:val="21"/>
        </w:rPr>
        <w:t>在离子型稀土矿产品标准制定方面，我国仅有《离子型稀土矿混合稀土氧化物》、《离子型稀土矿碳酸稀土》两项国家标准和《离子型稀土矿混合氯化稀土溶液》一项行业标准，但这三项标准未提及绿色产品生产的评价手段和方法。《生态设计产品评价通则》（GB/T 32161-2015）是生态（绿色）设计产品评价规范编制的指导原则，可为本标准的制订提供了基本准则和依据，但尚不能满足离子型稀土矿产品绿色制造体系建设需求。</w:t>
      </w:r>
    </w:p>
    <w:p>
      <w:pPr>
        <w:adjustRightInd w:val="0"/>
        <w:snapToGrid w:val="0"/>
        <w:spacing w:line="360" w:lineRule="auto"/>
        <w:ind w:firstLine="417" w:firstLineChars="199"/>
        <w:rPr>
          <w:rFonts w:hAnsi="宋体"/>
          <w:color w:val="000000"/>
          <w:szCs w:val="21"/>
        </w:rPr>
      </w:pPr>
      <w:r>
        <w:rPr>
          <w:rFonts w:hint="eastAsia"/>
          <w:szCs w:val="21"/>
        </w:rPr>
        <w:t>此外，该标准可以与相关联的《稀土工业污染物排放标准》（GB 26451-2011）、《排污许可证申请与核发技术规范 稀有稀土金属冶炼》（HJ 1125-2020）、《绿色设计产品评价技术规范 稀土湿法冶炼分离产品》（T/CNIA 0005-2018）等标准相互补充，组成一个有机的稀土标准体系。</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六、是否涉及专利及知识产权的说明</w:t>
      </w:r>
    </w:p>
    <w:p>
      <w:pPr>
        <w:adjustRightInd w:val="0"/>
        <w:snapToGrid w:val="0"/>
        <w:spacing w:beforeLines="50" w:afterLines="50" w:line="360" w:lineRule="auto"/>
        <w:ind w:firstLine="420" w:firstLineChars="200"/>
        <w:rPr>
          <w:szCs w:val="21"/>
        </w:rPr>
      </w:pPr>
      <w:r>
        <w:rPr>
          <w:rFonts w:hint="eastAsia"/>
          <w:szCs w:val="21"/>
        </w:rPr>
        <w:t>本文件制订过程中未检索到专利和知识产权问题。</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七、重大分歧意见的处理过程</w:t>
      </w:r>
    </w:p>
    <w:p>
      <w:pPr>
        <w:adjustRightInd w:val="0"/>
        <w:snapToGrid w:val="0"/>
        <w:spacing w:beforeLines="50" w:afterLines="50"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本标准属于有色金属领域专业基础标准，编制组根据编写前确定的编制原则进行标准编制，在标准草案征求意见过程中未发生重大分歧意见。</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八、作为强制性、推荐性国家标准的建议</w:t>
      </w:r>
    </w:p>
    <w:p>
      <w:pPr>
        <w:adjustRightInd w:val="0"/>
        <w:snapToGrid w:val="0"/>
        <w:spacing w:beforeLines="50" w:afterLines="50" w:line="360" w:lineRule="auto"/>
        <w:ind w:firstLine="480"/>
        <w:rPr>
          <w:szCs w:val="21"/>
        </w:rPr>
      </w:pPr>
      <w:r>
        <w:rPr>
          <w:rFonts w:hint="eastAsia"/>
          <w:szCs w:val="21"/>
        </w:rPr>
        <w:t>建议本标准作为推荐性行业标准发布实施。</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九、贯彻标准的要求和措施建议</w:t>
      </w:r>
    </w:p>
    <w:p>
      <w:pPr>
        <w:adjustRightInd w:val="0"/>
        <w:snapToGrid w:val="0"/>
        <w:spacing w:beforeLines="50" w:afterLines="50" w:line="360" w:lineRule="auto"/>
        <w:ind w:firstLine="420" w:firstLineChars="200"/>
        <w:rPr>
          <w:szCs w:val="21"/>
        </w:rPr>
      </w:pPr>
      <w:r>
        <w:rPr>
          <w:rFonts w:hint="eastAsia"/>
          <w:szCs w:val="21"/>
        </w:rPr>
        <w:t>制订后的标准颁布实施后，需要国家有关部门组织大力宣传和贯彻，主办各种形式的培训班，以促进离子型稀土矿企业及相关贸易单位充分认识和理解本标准条款，进而加以应用。</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十、废止现行有关标准的建议</w:t>
      </w:r>
    </w:p>
    <w:p>
      <w:pPr>
        <w:spacing w:line="360" w:lineRule="auto"/>
        <w:ind w:firstLine="420" w:firstLineChars="200"/>
        <w:rPr>
          <w:szCs w:val="21"/>
        </w:rPr>
      </w:pPr>
      <w:r>
        <w:rPr>
          <w:rFonts w:hint="eastAsia"/>
          <w:szCs w:val="21"/>
        </w:rPr>
        <w:t>本标准为我国第一项关于离子型稀土矿产品的绿色产品设计技术规范，无废止其他标准建议。</w:t>
      </w:r>
    </w:p>
    <w:p>
      <w:pPr>
        <w:tabs>
          <w:tab w:val="left" w:pos="522"/>
        </w:tabs>
        <w:adjustRightInd w:val="0"/>
        <w:snapToGrid w:val="0"/>
        <w:spacing w:beforeLines="50" w:afterLines="50" w:line="360" w:lineRule="auto"/>
        <w:jc w:val="left"/>
        <w:rPr>
          <w:rFonts w:hint="eastAsia" w:eastAsia="黑体"/>
          <w:szCs w:val="21"/>
        </w:rPr>
      </w:pPr>
      <w:r>
        <w:rPr>
          <w:rFonts w:hint="eastAsia" w:eastAsia="黑体"/>
          <w:szCs w:val="21"/>
        </w:rPr>
        <w:t>十一、技术先进性、创新性、标准实施的预期作用和效益</w:t>
      </w:r>
    </w:p>
    <w:p>
      <w:pPr>
        <w:tabs>
          <w:tab w:val="left" w:pos="522"/>
        </w:tabs>
        <w:adjustRightInd w:val="0"/>
        <w:snapToGrid w:val="0"/>
        <w:spacing w:line="360" w:lineRule="auto"/>
        <w:ind w:firstLine="420" w:firstLineChars="200"/>
        <w:rPr>
          <w:szCs w:val="21"/>
        </w:rPr>
      </w:pPr>
      <w:r>
        <w:rPr>
          <w:rFonts w:hint="eastAsia"/>
          <w:szCs w:val="21"/>
        </w:rPr>
        <w:t>根据制备方法的不同，离子型稀土矿产品可以分为：①萃取富集法制备</w:t>
      </w:r>
      <w:r>
        <w:rPr>
          <w:rFonts w:hint="eastAsia"/>
          <w:szCs w:val="22"/>
        </w:rPr>
        <w:t>离子型稀土矿产品（液体产品）</w:t>
      </w:r>
      <w:r>
        <w:rPr>
          <w:rFonts w:hint="eastAsia"/>
          <w:szCs w:val="21"/>
        </w:rPr>
        <w:t>，包括混合氯化稀土溶液等；②沉淀富集法制备</w:t>
      </w:r>
      <w:r>
        <w:rPr>
          <w:rFonts w:hint="eastAsia"/>
          <w:szCs w:val="22"/>
        </w:rPr>
        <w:t>离子型稀土矿产品（固体产品）</w:t>
      </w:r>
      <w:r>
        <w:rPr>
          <w:rFonts w:hint="eastAsia"/>
          <w:szCs w:val="21"/>
        </w:rPr>
        <w:t>，包括混合稀土碳酸盐产品、混合稀土氧化物产品等。</w:t>
      </w:r>
    </w:p>
    <w:p>
      <w:pPr>
        <w:tabs>
          <w:tab w:val="left" w:pos="522"/>
        </w:tabs>
        <w:adjustRightInd w:val="0"/>
        <w:snapToGrid w:val="0"/>
        <w:spacing w:line="360" w:lineRule="auto"/>
        <w:ind w:firstLine="420" w:firstLineChars="200"/>
        <w:rPr>
          <w:szCs w:val="21"/>
        </w:rPr>
      </w:pPr>
      <w:r>
        <w:rPr>
          <w:rFonts w:hint="eastAsia"/>
          <w:szCs w:val="21"/>
        </w:rPr>
        <w:t>目前，我国离子型稀土矿产品主要采用常规硫酸铵浸取-碳酸氢铵沉淀富集工艺进行生产，由于工艺流程冗长，稀土总收率不足70%。生产1吨离子型稀土（以REO计）消耗7～12吨硫酸铵、5～7吨碳酸氢铵，消耗的铵盐全部进入矿区土壤和地表/地下水，导致矿区环境水系氨氮处于100 mg/L左右，超标数十倍；浸出液中放射性核素随稀土沉淀富集，经酸溶、除放后，产生约0.1吨酸溶渣，其总放射性比活度达1×10</w:t>
      </w:r>
      <w:r>
        <w:rPr>
          <w:rFonts w:hint="eastAsia"/>
          <w:szCs w:val="21"/>
          <w:vertAlign w:val="superscript"/>
        </w:rPr>
        <w:t>5</w:t>
      </w:r>
      <w:r>
        <w:rPr>
          <w:rFonts w:hint="eastAsia"/>
          <w:szCs w:val="21"/>
        </w:rPr>
        <w:t xml:space="preserve"> Bq/kg，超标上百倍，处置困难，致使每个分离厂需建立专用渣库，存在严重安全隐患。</w:t>
      </w:r>
    </w:p>
    <w:p>
      <w:pPr>
        <w:tabs>
          <w:tab w:val="left" w:pos="522"/>
        </w:tabs>
        <w:adjustRightInd w:val="0"/>
        <w:snapToGrid w:val="0"/>
        <w:spacing w:line="360" w:lineRule="auto"/>
        <w:ind w:firstLine="420" w:firstLineChars="200"/>
        <w:rPr>
          <w:szCs w:val="21"/>
        </w:rPr>
      </w:pPr>
      <w:r>
        <w:rPr>
          <w:rFonts w:hint="eastAsia"/>
          <w:szCs w:val="21"/>
        </w:rPr>
        <w:t>本标准实施后，按离子型稀土矿产品产量为2万吨/年估算，采用萃取富集法或沉淀富集法生产离子型稀土矿产品，减少氨氮废水和含放射性废渣污染，年度氨氮废水减排量可达4000万m</w:t>
      </w:r>
      <w:r>
        <w:rPr>
          <w:rFonts w:hint="eastAsia"/>
          <w:szCs w:val="21"/>
          <w:vertAlign w:val="superscript"/>
        </w:rPr>
        <w:t>3</w:t>
      </w:r>
      <w:r>
        <w:rPr>
          <w:rFonts w:hint="eastAsia"/>
          <w:szCs w:val="21"/>
        </w:rPr>
        <w:t>左右（吨水处理成本按20元计，每年可减少废水处理费用8亿元），含放射性废渣减排量可达2000吨左右（无需建立专用渣库），增加离子型稀土回收量可达2000吨左右（离子型稀土矿产品价格按12万元/吨计算，每年可增加收益2亿元以上）。</w:t>
      </w:r>
    </w:p>
    <w:p>
      <w:pPr>
        <w:tabs>
          <w:tab w:val="left" w:pos="522"/>
        </w:tabs>
        <w:adjustRightInd w:val="0"/>
        <w:snapToGrid w:val="0"/>
        <w:spacing w:line="360" w:lineRule="auto"/>
        <w:ind w:firstLine="420" w:firstLineChars="200"/>
        <w:rPr>
          <w:szCs w:val="21"/>
        </w:rPr>
      </w:pPr>
      <w:r>
        <w:rPr>
          <w:rFonts w:hint="eastAsia"/>
          <w:szCs w:val="21"/>
        </w:rPr>
        <w:t>此外，随着本标准实施，企业将强化绿色制造意识，在企业发展和规划中将优选绿色生产工艺和节能装备，淘汰高污染工艺和落后装备，不仅有利于提升企业自身产品品质，提高企业竞争力，同时也有利于整个稀土行业向绿色节能方向发展。</w:t>
      </w:r>
    </w:p>
    <w:p>
      <w:pPr>
        <w:tabs>
          <w:tab w:val="left" w:pos="522"/>
        </w:tabs>
        <w:adjustRightInd w:val="0"/>
        <w:snapToGrid w:val="0"/>
        <w:spacing w:line="360" w:lineRule="auto"/>
        <w:ind w:firstLine="420" w:firstLineChars="200"/>
        <w:rPr>
          <w:szCs w:val="21"/>
        </w:rPr>
      </w:pPr>
    </w:p>
    <w:p>
      <w:pPr>
        <w:tabs>
          <w:tab w:val="left" w:pos="522"/>
        </w:tabs>
        <w:adjustRightInd w:val="0"/>
        <w:snapToGrid w:val="0"/>
        <w:spacing w:line="360" w:lineRule="auto"/>
        <w:ind w:firstLine="420" w:firstLineChars="200"/>
        <w:rPr>
          <w:szCs w:val="21"/>
        </w:rPr>
      </w:pPr>
    </w:p>
    <w:p>
      <w:pPr>
        <w:tabs>
          <w:tab w:val="left" w:pos="522"/>
        </w:tabs>
        <w:adjustRightInd w:val="0"/>
        <w:snapToGrid w:val="0"/>
        <w:spacing w:line="360" w:lineRule="auto"/>
        <w:ind w:firstLine="420" w:firstLineChars="200"/>
        <w:rPr>
          <w:szCs w:val="21"/>
        </w:rPr>
      </w:pPr>
    </w:p>
    <w:p>
      <w:pPr>
        <w:tabs>
          <w:tab w:val="left" w:pos="522"/>
        </w:tabs>
        <w:adjustRightInd w:val="0"/>
        <w:snapToGrid w:val="0"/>
        <w:spacing w:line="360" w:lineRule="auto"/>
        <w:jc w:val="right"/>
        <w:rPr>
          <w:szCs w:val="21"/>
        </w:rPr>
      </w:pPr>
      <w:r>
        <w:rPr>
          <w:rFonts w:hint="eastAsia"/>
          <w:szCs w:val="21"/>
        </w:rPr>
        <w:t>有研稀土新材料股份有限公司</w:t>
      </w:r>
    </w:p>
    <w:p>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 xml:space="preserve">   20</w:t>
      </w:r>
      <w:r>
        <w:rPr>
          <w:szCs w:val="21"/>
        </w:rPr>
        <w:t>20</w:t>
      </w:r>
      <w:r>
        <w:rPr>
          <w:rFonts w:hint="eastAsia"/>
          <w:szCs w:val="21"/>
        </w:rPr>
        <w:t>年</w:t>
      </w:r>
      <w:r>
        <w:rPr>
          <w:szCs w:val="21"/>
        </w:rPr>
        <w:t>9</w:t>
      </w:r>
      <w:r>
        <w:rPr>
          <w:rFonts w:hint="eastAsia"/>
          <w:szCs w:val="21"/>
        </w:rPr>
        <w:t>月</w:t>
      </w:r>
      <w:r>
        <w:rPr>
          <w:szCs w:val="21"/>
        </w:rPr>
        <w:t>26</w:t>
      </w:r>
      <w:r>
        <w:rPr>
          <w:rFonts w:hint="eastAsia"/>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FzBookMaker8DlFont80536871322">
    <w:altName w:val="Cambria"/>
    <w:panose1 w:val="00000000000000000000"/>
    <w:charset w:val="00"/>
    <w:family w:val="roman"/>
    <w:pitch w:val="default"/>
    <w:sig w:usb0="00000000" w:usb1="00000000" w:usb2="00000000" w:usb3="00000000" w:csb0="00040001"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FzBookMaker6DlFont60536871319">
    <w:altName w:val="Cambria"/>
    <w:panose1 w:val="00000000000000000000"/>
    <w:charset w:val="00"/>
    <w:family w:val="roman"/>
    <w:pitch w:val="default"/>
    <w:sig w:usb0="00000000" w:usb1="00000000" w:usb2="00000000" w:usb3="00000000" w:csb0="00040001" w:csb1="00000000"/>
  </w:font>
  <w:font w:name="TimesNewRomanPS-ItalicMT">
    <w:altName w:val="微软雅黑"/>
    <w:panose1 w:val="00000000000000000000"/>
    <w:charset w:val="00"/>
    <w:family w:val="roman"/>
    <w:pitch w:val="default"/>
    <w:sig w:usb0="00000000" w:usb1="00000000" w:usb2="0000001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791"/>
    <w:multiLevelType w:val="multilevel"/>
    <w:tmpl w:val="5C6857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46260FA"/>
    <w:multiLevelType w:val="multilevel"/>
    <w:tmpl w:val="646260FA"/>
    <w:lvl w:ilvl="0" w:tentative="0">
      <w:start w:val="1"/>
      <w:numFmt w:val="decimal"/>
      <w:pStyle w:val="5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24EE3"/>
    <w:rsid w:val="0000458F"/>
    <w:rsid w:val="000068F3"/>
    <w:rsid w:val="0000789C"/>
    <w:rsid w:val="00015F3B"/>
    <w:rsid w:val="00016EEE"/>
    <w:rsid w:val="0002067C"/>
    <w:rsid w:val="00020B5C"/>
    <w:rsid w:val="00021F64"/>
    <w:rsid w:val="00022BBF"/>
    <w:rsid w:val="00024E05"/>
    <w:rsid w:val="00025F6C"/>
    <w:rsid w:val="0002715F"/>
    <w:rsid w:val="000272FF"/>
    <w:rsid w:val="00032BA9"/>
    <w:rsid w:val="00034CC0"/>
    <w:rsid w:val="00036B3D"/>
    <w:rsid w:val="00042AD7"/>
    <w:rsid w:val="000453C7"/>
    <w:rsid w:val="00051FD3"/>
    <w:rsid w:val="0005348E"/>
    <w:rsid w:val="00053B98"/>
    <w:rsid w:val="00053D8F"/>
    <w:rsid w:val="000544EF"/>
    <w:rsid w:val="00055684"/>
    <w:rsid w:val="00061A26"/>
    <w:rsid w:val="00061EFC"/>
    <w:rsid w:val="00061F9A"/>
    <w:rsid w:val="00062295"/>
    <w:rsid w:val="00062445"/>
    <w:rsid w:val="00063C30"/>
    <w:rsid w:val="00063D52"/>
    <w:rsid w:val="00064C56"/>
    <w:rsid w:val="00066388"/>
    <w:rsid w:val="00066E5B"/>
    <w:rsid w:val="000705B1"/>
    <w:rsid w:val="00070930"/>
    <w:rsid w:val="00070BE5"/>
    <w:rsid w:val="00075BF5"/>
    <w:rsid w:val="00082F84"/>
    <w:rsid w:val="00092963"/>
    <w:rsid w:val="00095518"/>
    <w:rsid w:val="000961D9"/>
    <w:rsid w:val="000A0B9A"/>
    <w:rsid w:val="000A59B8"/>
    <w:rsid w:val="000A74FC"/>
    <w:rsid w:val="000A7A64"/>
    <w:rsid w:val="000B3449"/>
    <w:rsid w:val="000B537A"/>
    <w:rsid w:val="000B7E21"/>
    <w:rsid w:val="000C227F"/>
    <w:rsid w:val="000C28DC"/>
    <w:rsid w:val="000C64CC"/>
    <w:rsid w:val="000C69C3"/>
    <w:rsid w:val="000C7DCF"/>
    <w:rsid w:val="000D338A"/>
    <w:rsid w:val="000D6DD3"/>
    <w:rsid w:val="000D787C"/>
    <w:rsid w:val="000E0CFC"/>
    <w:rsid w:val="000E15A9"/>
    <w:rsid w:val="000E3F8A"/>
    <w:rsid w:val="000E592D"/>
    <w:rsid w:val="000F4750"/>
    <w:rsid w:val="000F6CA2"/>
    <w:rsid w:val="000F73DF"/>
    <w:rsid w:val="00102B52"/>
    <w:rsid w:val="00115890"/>
    <w:rsid w:val="00115A7C"/>
    <w:rsid w:val="00121F3A"/>
    <w:rsid w:val="00122B67"/>
    <w:rsid w:val="00123CFA"/>
    <w:rsid w:val="00124315"/>
    <w:rsid w:val="0012667C"/>
    <w:rsid w:val="00127060"/>
    <w:rsid w:val="00132351"/>
    <w:rsid w:val="00132A05"/>
    <w:rsid w:val="00137CFB"/>
    <w:rsid w:val="00140586"/>
    <w:rsid w:val="001418DE"/>
    <w:rsid w:val="00141C2B"/>
    <w:rsid w:val="00141E18"/>
    <w:rsid w:val="001424C5"/>
    <w:rsid w:val="00143031"/>
    <w:rsid w:val="001469AF"/>
    <w:rsid w:val="001471A2"/>
    <w:rsid w:val="00150C80"/>
    <w:rsid w:val="0015527C"/>
    <w:rsid w:val="00156CCF"/>
    <w:rsid w:val="00157861"/>
    <w:rsid w:val="00163E5B"/>
    <w:rsid w:val="0016485E"/>
    <w:rsid w:val="00165011"/>
    <w:rsid w:val="00165546"/>
    <w:rsid w:val="001655F5"/>
    <w:rsid w:val="00171E80"/>
    <w:rsid w:val="00172A27"/>
    <w:rsid w:val="00176B60"/>
    <w:rsid w:val="00187387"/>
    <w:rsid w:val="00187DB1"/>
    <w:rsid w:val="00194EA3"/>
    <w:rsid w:val="0019618F"/>
    <w:rsid w:val="001A0FD1"/>
    <w:rsid w:val="001A1C6F"/>
    <w:rsid w:val="001A53AB"/>
    <w:rsid w:val="001A6676"/>
    <w:rsid w:val="001A6D1E"/>
    <w:rsid w:val="001B1A39"/>
    <w:rsid w:val="001B3766"/>
    <w:rsid w:val="001B397E"/>
    <w:rsid w:val="001B43BA"/>
    <w:rsid w:val="001B755B"/>
    <w:rsid w:val="001C110F"/>
    <w:rsid w:val="001C2D64"/>
    <w:rsid w:val="001C5503"/>
    <w:rsid w:val="001C654C"/>
    <w:rsid w:val="001C7864"/>
    <w:rsid w:val="001D0944"/>
    <w:rsid w:val="001D18A5"/>
    <w:rsid w:val="001D2EDB"/>
    <w:rsid w:val="001D5293"/>
    <w:rsid w:val="001D76EB"/>
    <w:rsid w:val="001E0F1F"/>
    <w:rsid w:val="001E25DF"/>
    <w:rsid w:val="001E2A76"/>
    <w:rsid w:val="001E2B3C"/>
    <w:rsid w:val="001E4A2E"/>
    <w:rsid w:val="001E51C9"/>
    <w:rsid w:val="001E5816"/>
    <w:rsid w:val="001E5E5C"/>
    <w:rsid w:val="001F4455"/>
    <w:rsid w:val="001F4677"/>
    <w:rsid w:val="001F6638"/>
    <w:rsid w:val="001F671A"/>
    <w:rsid w:val="002008BA"/>
    <w:rsid w:val="002021A9"/>
    <w:rsid w:val="00211BD6"/>
    <w:rsid w:val="00213408"/>
    <w:rsid w:val="002141D8"/>
    <w:rsid w:val="002145B9"/>
    <w:rsid w:val="002147A4"/>
    <w:rsid w:val="00220C8F"/>
    <w:rsid w:val="00220FC0"/>
    <w:rsid w:val="0022261F"/>
    <w:rsid w:val="0022726D"/>
    <w:rsid w:val="00227D7B"/>
    <w:rsid w:val="00236D7B"/>
    <w:rsid w:val="00240480"/>
    <w:rsid w:val="00243BEB"/>
    <w:rsid w:val="00244038"/>
    <w:rsid w:val="00244753"/>
    <w:rsid w:val="00246992"/>
    <w:rsid w:val="00251963"/>
    <w:rsid w:val="00253648"/>
    <w:rsid w:val="002541F9"/>
    <w:rsid w:val="0025420B"/>
    <w:rsid w:val="00257FDA"/>
    <w:rsid w:val="00263390"/>
    <w:rsid w:val="00263E81"/>
    <w:rsid w:val="00265F29"/>
    <w:rsid w:val="002665B7"/>
    <w:rsid w:val="00271040"/>
    <w:rsid w:val="002716E0"/>
    <w:rsid w:val="00272F54"/>
    <w:rsid w:val="00282D45"/>
    <w:rsid w:val="002830C9"/>
    <w:rsid w:val="002860A5"/>
    <w:rsid w:val="00290ED0"/>
    <w:rsid w:val="00292F58"/>
    <w:rsid w:val="002933F6"/>
    <w:rsid w:val="00295D0B"/>
    <w:rsid w:val="002A10B5"/>
    <w:rsid w:val="002A2913"/>
    <w:rsid w:val="002A67C5"/>
    <w:rsid w:val="002A75EF"/>
    <w:rsid w:val="002A7752"/>
    <w:rsid w:val="002B15AB"/>
    <w:rsid w:val="002B1B78"/>
    <w:rsid w:val="002B3E7E"/>
    <w:rsid w:val="002C0F6C"/>
    <w:rsid w:val="002C479F"/>
    <w:rsid w:val="002C5698"/>
    <w:rsid w:val="002C67F6"/>
    <w:rsid w:val="002C6E8C"/>
    <w:rsid w:val="002C7596"/>
    <w:rsid w:val="002D0501"/>
    <w:rsid w:val="002D0E55"/>
    <w:rsid w:val="002D1A64"/>
    <w:rsid w:val="002E0651"/>
    <w:rsid w:val="002E13C9"/>
    <w:rsid w:val="002E3734"/>
    <w:rsid w:val="002F291A"/>
    <w:rsid w:val="002F3483"/>
    <w:rsid w:val="002F3760"/>
    <w:rsid w:val="002F5232"/>
    <w:rsid w:val="002F5E4B"/>
    <w:rsid w:val="00301A18"/>
    <w:rsid w:val="00302994"/>
    <w:rsid w:val="0030354A"/>
    <w:rsid w:val="0030556A"/>
    <w:rsid w:val="00312BC0"/>
    <w:rsid w:val="00313100"/>
    <w:rsid w:val="003134D8"/>
    <w:rsid w:val="00314468"/>
    <w:rsid w:val="00315EAA"/>
    <w:rsid w:val="0032181F"/>
    <w:rsid w:val="003277B8"/>
    <w:rsid w:val="0033038A"/>
    <w:rsid w:val="00330571"/>
    <w:rsid w:val="003307B6"/>
    <w:rsid w:val="003311A6"/>
    <w:rsid w:val="00331F03"/>
    <w:rsid w:val="00334652"/>
    <w:rsid w:val="00334CD4"/>
    <w:rsid w:val="00335E93"/>
    <w:rsid w:val="0033679A"/>
    <w:rsid w:val="00337978"/>
    <w:rsid w:val="003409AD"/>
    <w:rsid w:val="00341BDB"/>
    <w:rsid w:val="003425C9"/>
    <w:rsid w:val="00344AB8"/>
    <w:rsid w:val="003454C1"/>
    <w:rsid w:val="0034602A"/>
    <w:rsid w:val="00346096"/>
    <w:rsid w:val="00346B25"/>
    <w:rsid w:val="00347A96"/>
    <w:rsid w:val="003525EB"/>
    <w:rsid w:val="00353127"/>
    <w:rsid w:val="0035450B"/>
    <w:rsid w:val="003561BB"/>
    <w:rsid w:val="0035732E"/>
    <w:rsid w:val="0036025C"/>
    <w:rsid w:val="00362F7C"/>
    <w:rsid w:val="00367ECF"/>
    <w:rsid w:val="00370A9E"/>
    <w:rsid w:val="00372508"/>
    <w:rsid w:val="003745B0"/>
    <w:rsid w:val="00376574"/>
    <w:rsid w:val="00377B50"/>
    <w:rsid w:val="00383D33"/>
    <w:rsid w:val="0038542F"/>
    <w:rsid w:val="00390D74"/>
    <w:rsid w:val="00393046"/>
    <w:rsid w:val="003942EE"/>
    <w:rsid w:val="0039541F"/>
    <w:rsid w:val="00397A13"/>
    <w:rsid w:val="00397CF1"/>
    <w:rsid w:val="00397F41"/>
    <w:rsid w:val="003A0485"/>
    <w:rsid w:val="003A0DDB"/>
    <w:rsid w:val="003A1752"/>
    <w:rsid w:val="003A2487"/>
    <w:rsid w:val="003A3221"/>
    <w:rsid w:val="003A3874"/>
    <w:rsid w:val="003A3C24"/>
    <w:rsid w:val="003A4CA5"/>
    <w:rsid w:val="003A50FF"/>
    <w:rsid w:val="003A584D"/>
    <w:rsid w:val="003A6A6D"/>
    <w:rsid w:val="003B162C"/>
    <w:rsid w:val="003B1F76"/>
    <w:rsid w:val="003B216A"/>
    <w:rsid w:val="003B21E7"/>
    <w:rsid w:val="003B2679"/>
    <w:rsid w:val="003B26C5"/>
    <w:rsid w:val="003B3F0A"/>
    <w:rsid w:val="003B5A77"/>
    <w:rsid w:val="003B763D"/>
    <w:rsid w:val="003C31F7"/>
    <w:rsid w:val="003D6ACE"/>
    <w:rsid w:val="003E1C30"/>
    <w:rsid w:val="003E460B"/>
    <w:rsid w:val="003E4EBA"/>
    <w:rsid w:val="003E7894"/>
    <w:rsid w:val="003F282A"/>
    <w:rsid w:val="003F7FD1"/>
    <w:rsid w:val="00403E29"/>
    <w:rsid w:val="004048B7"/>
    <w:rsid w:val="00411D9B"/>
    <w:rsid w:val="004139C3"/>
    <w:rsid w:val="00416BC6"/>
    <w:rsid w:val="00420289"/>
    <w:rsid w:val="00422516"/>
    <w:rsid w:val="00424E1A"/>
    <w:rsid w:val="00426D67"/>
    <w:rsid w:val="004272BE"/>
    <w:rsid w:val="0042743E"/>
    <w:rsid w:val="00427898"/>
    <w:rsid w:val="00427AD8"/>
    <w:rsid w:val="0043215C"/>
    <w:rsid w:val="00441AE0"/>
    <w:rsid w:val="004438BB"/>
    <w:rsid w:val="00443ABB"/>
    <w:rsid w:val="004458EB"/>
    <w:rsid w:val="00450CAD"/>
    <w:rsid w:val="00451802"/>
    <w:rsid w:val="00452B02"/>
    <w:rsid w:val="00452C24"/>
    <w:rsid w:val="004531FE"/>
    <w:rsid w:val="00453244"/>
    <w:rsid w:val="00461899"/>
    <w:rsid w:val="00461DBC"/>
    <w:rsid w:val="00462876"/>
    <w:rsid w:val="00463373"/>
    <w:rsid w:val="00463FC4"/>
    <w:rsid w:val="00464194"/>
    <w:rsid w:val="00464F9E"/>
    <w:rsid w:val="004650FC"/>
    <w:rsid w:val="00465874"/>
    <w:rsid w:val="0046752E"/>
    <w:rsid w:val="0046769D"/>
    <w:rsid w:val="00470694"/>
    <w:rsid w:val="00471AD3"/>
    <w:rsid w:val="00473345"/>
    <w:rsid w:val="00475613"/>
    <w:rsid w:val="00480684"/>
    <w:rsid w:val="00480D63"/>
    <w:rsid w:val="0048336D"/>
    <w:rsid w:val="00483CAF"/>
    <w:rsid w:val="00496365"/>
    <w:rsid w:val="004A0ACF"/>
    <w:rsid w:val="004A1939"/>
    <w:rsid w:val="004A4A84"/>
    <w:rsid w:val="004A6C35"/>
    <w:rsid w:val="004A7590"/>
    <w:rsid w:val="004B07BB"/>
    <w:rsid w:val="004B1055"/>
    <w:rsid w:val="004B1D5D"/>
    <w:rsid w:val="004B1EF2"/>
    <w:rsid w:val="004B42D7"/>
    <w:rsid w:val="004B4369"/>
    <w:rsid w:val="004B6F73"/>
    <w:rsid w:val="004B7AFF"/>
    <w:rsid w:val="004C0924"/>
    <w:rsid w:val="004C3214"/>
    <w:rsid w:val="004C63D1"/>
    <w:rsid w:val="004C66C5"/>
    <w:rsid w:val="004D2415"/>
    <w:rsid w:val="004D3884"/>
    <w:rsid w:val="004D3D19"/>
    <w:rsid w:val="004D4251"/>
    <w:rsid w:val="004D44BC"/>
    <w:rsid w:val="004D654C"/>
    <w:rsid w:val="004D7B48"/>
    <w:rsid w:val="004E192A"/>
    <w:rsid w:val="004E23AA"/>
    <w:rsid w:val="004E5412"/>
    <w:rsid w:val="004E694E"/>
    <w:rsid w:val="004F0280"/>
    <w:rsid w:val="004F606C"/>
    <w:rsid w:val="004F6996"/>
    <w:rsid w:val="0050364C"/>
    <w:rsid w:val="005042EF"/>
    <w:rsid w:val="00504F95"/>
    <w:rsid w:val="00506004"/>
    <w:rsid w:val="00506ACA"/>
    <w:rsid w:val="005147AD"/>
    <w:rsid w:val="00517554"/>
    <w:rsid w:val="00517E7E"/>
    <w:rsid w:val="00521F66"/>
    <w:rsid w:val="00523175"/>
    <w:rsid w:val="00526B03"/>
    <w:rsid w:val="00532066"/>
    <w:rsid w:val="00534433"/>
    <w:rsid w:val="00534C42"/>
    <w:rsid w:val="00537B7A"/>
    <w:rsid w:val="005446AE"/>
    <w:rsid w:val="005461E0"/>
    <w:rsid w:val="00546FFF"/>
    <w:rsid w:val="00552E51"/>
    <w:rsid w:val="00556C7E"/>
    <w:rsid w:val="005604BA"/>
    <w:rsid w:val="00560948"/>
    <w:rsid w:val="0056115B"/>
    <w:rsid w:val="00561ABD"/>
    <w:rsid w:val="00563527"/>
    <w:rsid w:val="0056568A"/>
    <w:rsid w:val="005665E9"/>
    <w:rsid w:val="00570684"/>
    <w:rsid w:val="0057234F"/>
    <w:rsid w:val="00572D29"/>
    <w:rsid w:val="00573D23"/>
    <w:rsid w:val="0057607E"/>
    <w:rsid w:val="005817F5"/>
    <w:rsid w:val="0058474E"/>
    <w:rsid w:val="00585B29"/>
    <w:rsid w:val="00591DB3"/>
    <w:rsid w:val="00593EBC"/>
    <w:rsid w:val="00595F58"/>
    <w:rsid w:val="005A162A"/>
    <w:rsid w:val="005A3C7B"/>
    <w:rsid w:val="005A4CA5"/>
    <w:rsid w:val="005B23FE"/>
    <w:rsid w:val="005B3579"/>
    <w:rsid w:val="005B40B3"/>
    <w:rsid w:val="005B4DA0"/>
    <w:rsid w:val="005B6491"/>
    <w:rsid w:val="005C0666"/>
    <w:rsid w:val="005C459C"/>
    <w:rsid w:val="005C645A"/>
    <w:rsid w:val="005C7F47"/>
    <w:rsid w:val="005D1E94"/>
    <w:rsid w:val="005D22FC"/>
    <w:rsid w:val="005D2EB9"/>
    <w:rsid w:val="005D2FE2"/>
    <w:rsid w:val="005D54D3"/>
    <w:rsid w:val="005E19E0"/>
    <w:rsid w:val="005E1E98"/>
    <w:rsid w:val="005E4B23"/>
    <w:rsid w:val="005E5075"/>
    <w:rsid w:val="005E7093"/>
    <w:rsid w:val="005F149F"/>
    <w:rsid w:val="005F5119"/>
    <w:rsid w:val="005F6262"/>
    <w:rsid w:val="00600612"/>
    <w:rsid w:val="006015CD"/>
    <w:rsid w:val="0060244D"/>
    <w:rsid w:val="00603810"/>
    <w:rsid w:val="00611B63"/>
    <w:rsid w:val="00615159"/>
    <w:rsid w:val="00615225"/>
    <w:rsid w:val="006202C4"/>
    <w:rsid w:val="00621670"/>
    <w:rsid w:val="00622EEF"/>
    <w:rsid w:val="00623406"/>
    <w:rsid w:val="006264C9"/>
    <w:rsid w:val="00626EC8"/>
    <w:rsid w:val="00630604"/>
    <w:rsid w:val="00630C4E"/>
    <w:rsid w:val="00631CDC"/>
    <w:rsid w:val="00633494"/>
    <w:rsid w:val="00634800"/>
    <w:rsid w:val="006357CD"/>
    <w:rsid w:val="006366B1"/>
    <w:rsid w:val="0063717E"/>
    <w:rsid w:val="0064035D"/>
    <w:rsid w:val="00640F15"/>
    <w:rsid w:val="006410C6"/>
    <w:rsid w:val="00642247"/>
    <w:rsid w:val="0064601B"/>
    <w:rsid w:val="006524EA"/>
    <w:rsid w:val="0065503D"/>
    <w:rsid w:val="00656AB9"/>
    <w:rsid w:val="00656B89"/>
    <w:rsid w:val="00662BF5"/>
    <w:rsid w:val="00675647"/>
    <w:rsid w:val="006765B7"/>
    <w:rsid w:val="006770B2"/>
    <w:rsid w:val="00677819"/>
    <w:rsid w:val="006821B1"/>
    <w:rsid w:val="00684E95"/>
    <w:rsid w:val="00684EB5"/>
    <w:rsid w:val="006851CD"/>
    <w:rsid w:val="00687C23"/>
    <w:rsid w:val="006908B1"/>
    <w:rsid w:val="00690E42"/>
    <w:rsid w:val="00695E1C"/>
    <w:rsid w:val="006A01BF"/>
    <w:rsid w:val="006A235A"/>
    <w:rsid w:val="006A2BC4"/>
    <w:rsid w:val="006A3648"/>
    <w:rsid w:val="006A4E50"/>
    <w:rsid w:val="006A5671"/>
    <w:rsid w:val="006B141B"/>
    <w:rsid w:val="006B146E"/>
    <w:rsid w:val="006B250E"/>
    <w:rsid w:val="006B3521"/>
    <w:rsid w:val="006B38C6"/>
    <w:rsid w:val="006B3A90"/>
    <w:rsid w:val="006B5317"/>
    <w:rsid w:val="006B60FD"/>
    <w:rsid w:val="006B65A1"/>
    <w:rsid w:val="006B6E30"/>
    <w:rsid w:val="006B7036"/>
    <w:rsid w:val="006C31D4"/>
    <w:rsid w:val="006C449C"/>
    <w:rsid w:val="006C730A"/>
    <w:rsid w:val="006D7786"/>
    <w:rsid w:val="006E0B61"/>
    <w:rsid w:val="006E547C"/>
    <w:rsid w:val="006E5707"/>
    <w:rsid w:val="006F1016"/>
    <w:rsid w:val="006F1E88"/>
    <w:rsid w:val="006F3463"/>
    <w:rsid w:val="006F401C"/>
    <w:rsid w:val="006F4BCE"/>
    <w:rsid w:val="006F51D0"/>
    <w:rsid w:val="006F549D"/>
    <w:rsid w:val="006F6268"/>
    <w:rsid w:val="006F758D"/>
    <w:rsid w:val="0070074E"/>
    <w:rsid w:val="007111BB"/>
    <w:rsid w:val="00712FAD"/>
    <w:rsid w:val="00720A7F"/>
    <w:rsid w:val="0072459A"/>
    <w:rsid w:val="00725414"/>
    <w:rsid w:val="007271C9"/>
    <w:rsid w:val="007303F6"/>
    <w:rsid w:val="00731652"/>
    <w:rsid w:val="00732039"/>
    <w:rsid w:val="007320A7"/>
    <w:rsid w:val="007323E6"/>
    <w:rsid w:val="00737BEE"/>
    <w:rsid w:val="00741943"/>
    <w:rsid w:val="00743A4D"/>
    <w:rsid w:val="00744253"/>
    <w:rsid w:val="007443CD"/>
    <w:rsid w:val="00752F43"/>
    <w:rsid w:val="00754024"/>
    <w:rsid w:val="00754926"/>
    <w:rsid w:val="007552F5"/>
    <w:rsid w:val="00755B61"/>
    <w:rsid w:val="00760985"/>
    <w:rsid w:val="00761B8D"/>
    <w:rsid w:val="00763B36"/>
    <w:rsid w:val="00764BA6"/>
    <w:rsid w:val="00767622"/>
    <w:rsid w:val="00773708"/>
    <w:rsid w:val="007740FC"/>
    <w:rsid w:val="007745DB"/>
    <w:rsid w:val="00780170"/>
    <w:rsid w:val="0078037C"/>
    <w:rsid w:val="00781281"/>
    <w:rsid w:val="0078162D"/>
    <w:rsid w:val="007819FB"/>
    <w:rsid w:val="0078277B"/>
    <w:rsid w:val="007845B5"/>
    <w:rsid w:val="00784C82"/>
    <w:rsid w:val="0079163F"/>
    <w:rsid w:val="0079218A"/>
    <w:rsid w:val="00793550"/>
    <w:rsid w:val="00793621"/>
    <w:rsid w:val="00797517"/>
    <w:rsid w:val="007A10C4"/>
    <w:rsid w:val="007A1BB2"/>
    <w:rsid w:val="007A7D79"/>
    <w:rsid w:val="007B0E3F"/>
    <w:rsid w:val="007B144A"/>
    <w:rsid w:val="007B1654"/>
    <w:rsid w:val="007B2323"/>
    <w:rsid w:val="007B4DF2"/>
    <w:rsid w:val="007B631B"/>
    <w:rsid w:val="007B63CD"/>
    <w:rsid w:val="007C4066"/>
    <w:rsid w:val="007C421E"/>
    <w:rsid w:val="007C7CC5"/>
    <w:rsid w:val="007D0A97"/>
    <w:rsid w:val="007D2D76"/>
    <w:rsid w:val="007D5096"/>
    <w:rsid w:val="007E104D"/>
    <w:rsid w:val="007E5212"/>
    <w:rsid w:val="007E5C85"/>
    <w:rsid w:val="007F2710"/>
    <w:rsid w:val="007F2F4F"/>
    <w:rsid w:val="007F5F9A"/>
    <w:rsid w:val="007F6042"/>
    <w:rsid w:val="007F66E9"/>
    <w:rsid w:val="00800FE6"/>
    <w:rsid w:val="008060B4"/>
    <w:rsid w:val="00806A36"/>
    <w:rsid w:val="00810355"/>
    <w:rsid w:val="00810583"/>
    <w:rsid w:val="008110D6"/>
    <w:rsid w:val="00811F72"/>
    <w:rsid w:val="00813035"/>
    <w:rsid w:val="00813F14"/>
    <w:rsid w:val="0081466F"/>
    <w:rsid w:val="008168B7"/>
    <w:rsid w:val="00817225"/>
    <w:rsid w:val="00820567"/>
    <w:rsid w:val="008213E1"/>
    <w:rsid w:val="00822776"/>
    <w:rsid w:val="00824158"/>
    <w:rsid w:val="00824167"/>
    <w:rsid w:val="00824F7D"/>
    <w:rsid w:val="00826C66"/>
    <w:rsid w:val="008304E1"/>
    <w:rsid w:val="00836AE2"/>
    <w:rsid w:val="00840F46"/>
    <w:rsid w:val="008436B5"/>
    <w:rsid w:val="00843C62"/>
    <w:rsid w:val="008445D1"/>
    <w:rsid w:val="0084567F"/>
    <w:rsid w:val="008468DB"/>
    <w:rsid w:val="00852450"/>
    <w:rsid w:val="00853D66"/>
    <w:rsid w:val="00854852"/>
    <w:rsid w:val="0086008F"/>
    <w:rsid w:val="00861F87"/>
    <w:rsid w:val="00865FD2"/>
    <w:rsid w:val="00866933"/>
    <w:rsid w:val="008672E3"/>
    <w:rsid w:val="00867E50"/>
    <w:rsid w:val="008745EC"/>
    <w:rsid w:val="00874E89"/>
    <w:rsid w:val="00877EFF"/>
    <w:rsid w:val="00880697"/>
    <w:rsid w:val="00891FBD"/>
    <w:rsid w:val="00892AE3"/>
    <w:rsid w:val="00893416"/>
    <w:rsid w:val="008939B9"/>
    <w:rsid w:val="00895A90"/>
    <w:rsid w:val="008A066A"/>
    <w:rsid w:val="008A0C50"/>
    <w:rsid w:val="008A422D"/>
    <w:rsid w:val="008A4747"/>
    <w:rsid w:val="008A5293"/>
    <w:rsid w:val="008A596A"/>
    <w:rsid w:val="008A7139"/>
    <w:rsid w:val="008B0163"/>
    <w:rsid w:val="008B1E5E"/>
    <w:rsid w:val="008B21B0"/>
    <w:rsid w:val="008B2D74"/>
    <w:rsid w:val="008B304B"/>
    <w:rsid w:val="008B3219"/>
    <w:rsid w:val="008B33B7"/>
    <w:rsid w:val="008B3A04"/>
    <w:rsid w:val="008B6076"/>
    <w:rsid w:val="008C12B1"/>
    <w:rsid w:val="008D1D84"/>
    <w:rsid w:val="008D61BE"/>
    <w:rsid w:val="008D61DA"/>
    <w:rsid w:val="008E2938"/>
    <w:rsid w:val="008E2CB0"/>
    <w:rsid w:val="008E6783"/>
    <w:rsid w:val="008E6A49"/>
    <w:rsid w:val="008F0FF0"/>
    <w:rsid w:val="008F337D"/>
    <w:rsid w:val="008F69CB"/>
    <w:rsid w:val="008F7158"/>
    <w:rsid w:val="008F77C5"/>
    <w:rsid w:val="00900726"/>
    <w:rsid w:val="00901061"/>
    <w:rsid w:val="00901DEA"/>
    <w:rsid w:val="00902565"/>
    <w:rsid w:val="00903848"/>
    <w:rsid w:val="009058C3"/>
    <w:rsid w:val="00905A04"/>
    <w:rsid w:val="00907816"/>
    <w:rsid w:val="00910850"/>
    <w:rsid w:val="00913CE7"/>
    <w:rsid w:val="009151D3"/>
    <w:rsid w:val="00915758"/>
    <w:rsid w:val="00916151"/>
    <w:rsid w:val="00916CA7"/>
    <w:rsid w:val="00920DE5"/>
    <w:rsid w:val="00922078"/>
    <w:rsid w:val="00923D6C"/>
    <w:rsid w:val="00924EE3"/>
    <w:rsid w:val="00925367"/>
    <w:rsid w:val="0093188F"/>
    <w:rsid w:val="00937AAF"/>
    <w:rsid w:val="009422E8"/>
    <w:rsid w:val="00942C92"/>
    <w:rsid w:val="00947830"/>
    <w:rsid w:val="00954525"/>
    <w:rsid w:val="00954B05"/>
    <w:rsid w:val="00955975"/>
    <w:rsid w:val="00957E40"/>
    <w:rsid w:val="009620F9"/>
    <w:rsid w:val="009634DE"/>
    <w:rsid w:val="0096358C"/>
    <w:rsid w:val="00963D32"/>
    <w:rsid w:val="00963E94"/>
    <w:rsid w:val="00975129"/>
    <w:rsid w:val="00976CEC"/>
    <w:rsid w:val="00976DF5"/>
    <w:rsid w:val="00977A63"/>
    <w:rsid w:val="00980A00"/>
    <w:rsid w:val="00985BB4"/>
    <w:rsid w:val="0098760F"/>
    <w:rsid w:val="00990B04"/>
    <w:rsid w:val="009949E8"/>
    <w:rsid w:val="009951FB"/>
    <w:rsid w:val="00995982"/>
    <w:rsid w:val="009A25A1"/>
    <w:rsid w:val="009A5215"/>
    <w:rsid w:val="009A6150"/>
    <w:rsid w:val="009A6D70"/>
    <w:rsid w:val="009B0873"/>
    <w:rsid w:val="009B4294"/>
    <w:rsid w:val="009B67AE"/>
    <w:rsid w:val="009C108E"/>
    <w:rsid w:val="009C4F05"/>
    <w:rsid w:val="009C5312"/>
    <w:rsid w:val="009C5880"/>
    <w:rsid w:val="009D025E"/>
    <w:rsid w:val="009D1274"/>
    <w:rsid w:val="009E51B6"/>
    <w:rsid w:val="009E72BD"/>
    <w:rsid w:val="009E78DE"/>
    <w:rsid w:val="009E7F54"/>
    <w:rsid w:val="009F2CFC"/>
    <w:rsid w:val="009F4510"/>
    <w:rsid w:val="009F7775"/>
    <w:rsid w:val="009F7CB8"/>
    <w:rsid w:val="00A010DD"/>
    <w:rsid w:val="00A035F8"/>
    <w:rsid w:val="00A03671"/>
    <w:rsid w:val="00A135E2"/>
    <w:rsid w:val="00A136C1"/>
    <w:rsid w:val="00A14B5C"/>
    <w:rsid w:val="00A173B2"/>
    <w:rsid w:val="00A2143E"/>
    <w:rsid w:val="00A2256E"/>
    <w:rsid w:val="00A2395B"/>
    <w:rsid w:val="00A24341"/>
    <w:rsid w:val="00A24B7A"/>
    <w:rsid w:val="00A27F8E"/>
    <w:rsid w:val="00A331DD"/>
    <w:rsid w:val="00A343FA"/>
    <w:rsid w:val="00A34AEE"/>
    <w:rsid w:val="00A363B8"/>
    <w:rsid w:val="00A40290"/>
    <w:rsid w:val="00A40620"/>
    <w:rsid w:val="00A40B3B"/>
    <w:rsid w:val="00A467F1"/>
    <w:rsid w:val="00A469EA"/>
    <w:rsid w:val="00A511C0"/>
    <w:rsid w:val="00A52A15"/>
    <w:rsid w:val="00A565EA"/>
    <w:rsid w:val="00A620CC"/>
    <w:rsid w:val="00A625FF"/>
    <w:rsid w:val="00A630DD"/>
    <w:rsid w:val="00A631A1"/>
    <w:rsid w:val="00A673EB"/>
    <w:rsid w:val="00A72CD3"/>
    <w:rsid w:val="00A77514"/>
    <w:rsid w:val="00A82DBB"/>
    <w:rsid w:val="00A85FF2"/>
    <w:rsid w:val="00A94C08"/>
    <w:rsid w:val="00A963BA"/>
    <w:rsid w:val="00AA04E7"/>
    <w:rsid w:val="00AA4ED6"/>
    <w:rsid w:val="00AA5CD9"/>
    <w:rsid w:val="00AA65D3"/>
    <w:rsid w:val="00AA6BFD"/>
    <w:rsid w:val="00AA6EB5"/>
    <w:rsid w:val="00AA7830"/>
    <w:rsid w:val="00AB13E1"/>
    <w:rsid w:val="00AB23B2"/>
    <w:rsid w:val="00AB298F"/>
    <w:rsid w:val="00AB3C0B"/>
    <w:rsid w:val="00AB3D8F"/>
    <w:rsid w:val="00AB6DB9"/>
    <w:rsid w:val="00AC11A0"/>
    <w:rsid w:val="00AC1E77"/>
    <w:rsid w:val="00AC6917"/>
    <w:rsid w:val="00AC6C15"/>
    <w:rsid w:val="00AD417A"/>
    <w:rsid w:val="00AD7376"/>
    <w:rsid w:val="00AD7F42"/>
    <w:rsid w:val="00AE00EB"/>
    <w:rsid w:val="00AE0301"/>
    <w:rsid w:val="00AE0394"/>
    <w:rsid w:val="00AE0B6E"/>
    <w:rsid w:val="00AE4443"/>
    <w:rsid w:val="00AF0E32"/>
    <w:rsid w:val="00AF1C4E"/>
    <w:rsid w:val="00AF2C9D"/>
    <w:rsid w:val="00AF43A9"/>
    <w:rsid w:val="00AF4F59"/>
    <w:rsid w:val="00AF52D5"/>
    <w:rsid w:val="00B00296"/>
    <w:rsid w:val="00B00DE6"/>
    <w:rsid w:val="00B05183"/>
    <w:rsid w:val="00B05889"/>
    <w:rsid w:val="00B1142B"/>
    <w:rsid w:val="00B130B0"/>
    <w:rsid w:val="00B1313D"/>
    <w:rsid w:val="00B1642F"/>
    <w:rsid w:val="00B20668"/>
    <w:rsid w:val="00B20B50"/>
    <w:rsid w:val="00B227D6"/>
    <w:rsid w:val="00B22E49"/>
    <w:rsid w:val="00B23CA6"/>
    <w:rsid w:val="00B2575C"/>
    <w:rsid w:val="00B260AD"/>
    <w:rsid w:val="00B26180"/>
    <w:rsid w:val="00B269B8"/>
    <w:rsid w:val="00B302B0"/>
    <w:rsid w:val="00B41D00"/>
    <w:rsid w:val="00B43039"/>
    <w:rsid w:val="00B508EB"/>
    <w:rsid w:val="00B512F3"/>
    <w:rsid w:val="00B52C64"/>
    <w:rsid w:val="00B5334D"/>
    <w:rsid w:val="00B56F18"/>
    <w:rsid w:val="00B62D04"/>
    <w:rsid w:val="00B6426A"/>
    <w:rsid w:val="00B652AC"/>
    <w:rsid w:val="00B66189"/>
    <w:rsid w:val="00B700F8"/>
    <w:rsid w:val="00B715E4"/>
    <w:rsid w:val="00B749C6"/>
    <w:rsid w:val="00B825EE"/>
    <w:rsid w:val="00B82DD1"/>
    <w:rsid w:val="00B91232"/>
    <w:rsid w:val="00B91B30"/>
    <w:rsid w:val="00B9261B"/>
    <w:rsid w:val="00B93499"/>
    <w:rsid w:val="00B94140"/>
    <w:rsid w:val="00B9479A"/>
    <w:rsid w:val="00BA0E79"/>
    <w:rsid w:val="00BA3D4B"/>
    <w:rsid w:val="00BB1240"/>
    <w:rsid w:val="00BB59F2"/>
    <w:rsid w:val="00BC1ACD"/>
    <w:rsid w:val="00BC30C7"/>
    <w:rsid w:val="00BC43AF"/>
    <w:rsid w:val="00BC6212"/>
    <w:rsid w:val="00BC7363"/>
    <w:rsid w:val="00BD097F"/>
    <w:rsid w:val="00BD63AD"/>
    <w:rsid w:val="00BD7BA8"/>
    <w:rsid w:val="00BE3190"/>
    <w:rsid w:val="00BE3D9D"/>
    <w:rsid w:val="00BE4166"/>
    <w:rsid w:val="00BE6850"/>
    <w:rsid w:val="00BE7928"/>
    <w:rsid w:val="00BF1C46"/>
    <w:rsid w:val="00BF3F40"/>
    <w:rsid w:val="00BF7DBC"/>
    <w:rsid w:val="00C0121A"/>
    <w:rsid w:val="00C01AF9"/>
    <w:rsid w:val="00C01B63"/>
    <w:rsid w:val="00C02C4B"/>
    <w:rsid w:val="00C02E20"/>
    <w:rsid w:val="00C0617A"/>
    <w:rsid w:val="00C0715D"/>
    <w:rsid w:val="00C07EE2"/>
    <w:rsid w:val="00C11E1B"/>
    <w:rsid w:val="00C15D37"/>
    <w:rsid w:val="00C162F7"/>
    <w:rsid w:val="00C17495"/>
    <w:rsid w:val="00C178C6"/>
    <w:rsid w:val="00C2200F"/>
    <w:rsid w:val="00C2400B"/>
    <w:rsid w:val="00C2439B"/>
    <w:rsid w:val="00C26916"/>
    <w:rsid w:val="00C3079D"/>
    <w:rsid w:val="00C31C7D"/>
    <w:rsid w:val="00C31F56"/>
    <w:rsid w:val="00C332E5"/>
    <w:rsid w:val="00C344DF"/>
    <w:rsid w:val="00C4061E"/>
    <w:rsid w:val="00C40B06"/>
    <w:rsid w:val="00C41196"/>
    <w:rsid w:val="00C416B7"/>
    <w:rsid w:val="00C44BEB"/>
    <w:rsid w:val="00C536F7"/>
    <w:rsid w:val="00C57B36"/>
    <w:rsid w:val="00C6168F"/>
    <w:rsid w:val="00C62C08"/>
    <w:rsid w:val="00C650EA"/>
    <w:rsid w:val="00C651AF"/>
    <w:rsid w:val="00C72B93"/>
    <w:rsid w:val="00C76678"/>
    <w:rsid w:val="00C81834"/>
    <w:rsid w:val="00C81BA2"/>
    <w:rsid w:val="00C82886"/>
    <w:rsid w:val="00C85BCA"/>
    <w:rsid w:val="00C86540"/>
    <w:rsid w:val="00C867F2"/>
    <w:rsid w:val="00C867FA"/>
    <w:rsid w:val="00C92630"/>
    <w:rsid w:val="00C95F9D"/>
    <w:rsid w:val="00C9662C"/>
    <w:rsid w:val="00CA27F8"/>
    <w:rsid w:val="00CA2968"/>
    <w:rsid w:val="00CA332A"/>
    <w:rsid w:val="00CB3F0F"/>
    <w:rsid w:val="00CC1E05"/>
    <w:rsid w:val="00CC276C"/>
    <w:rsid w:val="00CC523D"/>
    <w:rsid w:val="00CC5999"/>
    <w:rsid w:val="00CC5B7F"/>
    <w:rsid w:val="00CD105A"/>
    <w:rsid w:val="00CD2E6F"/>
    <w:rsid w:val="00CD4E6A"/>
    <w:rsid w:val="00CD68F4"/>
    <w:rsid w:val="00CE05D2"/>
    <w:rsid w:val="00CE060C"/>
    <w:rsid w:val="00CE480F"/>
    <w:rsid w:val="00CF1DE2"/>
    <w:rsid w:val="00CF25B6"/>
    <w:rsid w:val="00CF2AC0"/>
    <w:rsid w:val="00CF2F21"/>
    <w:rsid w:val="00CF3E3F"/>
    <w:rsid w:val="00CF4763"/>
    <w:rsid w:val="00CF56FB"/>
    <w:rsid w:val="00CF71BB"/>
    <w:rsid w:val="00CF7726"/>
    <w:rsid w:val="00D05424"/>
    <w:rsid w:val="00D10A26"/>
    <w:rsid w:val="00D10C93"/>
    <w:rsid w:val="00D1369D"/>
    <w:rsid w:val="00D13BB8"/>
    <w:rsid w:val="00D14391"/>
    <w:rsid w:val="00D2080F"/>
    <w:rsid w:val="00D23F91"/>
    <w:rsid w:val="00D243BB"/>
    <w:rsid w:val="00D25426"/>
    <w:rsid w:val="00D3016C"/>
    <w:rsid w:val="00D31515"/>
    <w:rsid w:val="00D3509C"/>
    <w:rsid w:val="00D36F5A"/>
    <w:rsid w:val="00D378E3"/>
    <w:rsid w:val="00D41EAC"/>
    <w:rsid w:val="00D42457"/>
    <w:rsid w:val="00D4361A"/>
    <w:rsid w:val="00D43E1F"/>
    <w:rsid w:val="00D51E7B"/>
    <w:rsid w:val="00D533AA"/>
    <w:rsid w:val="00D55867"/>
    <w:rsid w:val="00D611A7"/>
    <w:rsid w:val="00D620E1"/>
    <w:rsid w:val="00D663D7"/>
    <w:rsid w:val="00D6745B"/>
    <w:rsid w:val="00D677F5"/>
    <w:rsid w:val="00D67C3D"/>
    <w:rsid w:val="00D7489B"/>
    <w:rsid w:val="00D77267"/>
    <w:rsid w:val="00D77557"/>
    <w:rsid w:val="00D802BF"/>
    <w:rsid w:val="00D81443"/>
    <w:rsid w:val="00D8193C"/>
    <w:rsid w:val="00D82990"/>
    <w:rsid w:val="00D83A8F"/>
    <w:rsid w:val="00D86202"/>
    <w:rsid w:val="00D86C90"/>
    <w:rsid w:val="00D91472"/>
    <w:rsid w:val="00D93031"/>
    <w:rsid w:val="00DA0816"/>
    <w:rsid w:val="00DA1177"/>
    <w:rsid w:val="00DA20E4"/>
    <w:rsid w:val="00DA3800"/>
    <w:rsid w:val="00DA3B2A"/>
    <w:rsid w:val="00DA47CE"/>
    <w:rsid w:val="00DB0D43"/>
    <w:rsid w:val="00DB25AD"/>
    <w:rsid w:val="00DB3494"/>
    <w:rsid w:val="00DB439B"/>
    <w:rsid w:val="00DB5A24"/>
    <w:rsid w:val="00DB6253"/>
    <w:rsid w:val="00DB7113"/>
    <w:rsid w:val="00DC0CE4"/>
    <w:rsid w:val="00DC60F5"/>
    <w:rsid w:val="00DC6A8B"/>
    <w:rsid w:val="00DD1A82"/>
    <w:rsid w:val="00DD2678"/>
    <w:rsid w:val="00DD26C5"/>
    <w:rsid w:val="00DD4037"/>
    <w:rsid w:val="00DD4FB9"/>
    <w:rsid w:val="00DD53B2"/>
    <w:rsid w:val="00DD5BE6"/>
    <w:rsid w:val="00DE0697"/>
    <w:rsid w:val="00DE0A88"/>
    <w:rsid w:val="00DE0BE9"/>
    <w:rsid w:val="00DE38EA"/>
    <w:rsid w:val="00DE53B3"/>
    <w:rsid w:val="00DE59E0"/>
    <w:rsid w:val="00DE70C2"/>
    <w:rsid w:val="00DF143D"/>
    <w:rsid w:val="00DF26B2"/>
    <w:rsid w:val="00DF4264"/>
    <w:rsid w:val="00DF7139"/>
    <w:rsid w:val="00DF77BE"/>
    <w:rsid w:val="00E001C9"/>
    <w:rsid w:val="00E053D2"/>
    <w:rsid w:val="00E06571"/>
    <w:rsid w:val="00E073E0"/>
    <w:rsid w:val="00E11CA3"/>
    <w:rsid w:val="00E122A5"/>
    <w:rsid w:val="00E1281B"/>
    <w:rsid w:val="00E155DE"/>
    <w:rsid w:val="00E24788"/>
    <w:rsid w:val="00E26762"/>
    <w:rsid w:val="00E267F0"/>
    <w:rsid w:val="00E271D8"/>
    <w:rsid w:val="00E329C9"/>
    <w:rsid w:val="00E3410D"/>
    <w:rsid w:val="00E34B02"/>
    <w:rsid w:val="00E35467"/>
    <w:rsid w:val="00E3601D"/>
    <w:rsid w:val="00E439F4"/>
    <w:rsid w:val="00E46269"/>
    <w:rsid w:val="00E46280"/>
    <w:rsid w:val="00E51ADC"/>
    <w:rsid w:val="00E522CA"/>
    <w:rsid w:val="00E52CE1"/>
    <w:rsid w:val="00E54EDF"/>
    <w:rsid w:val="00E565E7"/>
    <w:rsid w:val="00E569B4"/>
    <w:rsid w:val="00E56F33"/>
    <w:rsid w:val="00E5732E"/>
    <w:rsid w:val="00E61FE0"/>
    <w:rsid w:val="00E64339"/>
    <w:rsid w:val="00E67E77"/>
    <w:rsid w:val="00E701DF"/>
    <w:rsid w:val="00E708E8"/>
    <w:rsid w:val="00E8072A"/>
    <w:rsid w:val="00E808C6"/>
    <w:rsid w:val="00E813DE"/>
    <w:rsid w:val="00E82339"/>
    <w:rsid w:val="00E82B78"/>
    <w:rsid w:val="00E82CAF"/>
    <w:rsid w:val="00E82F79"/>
    <w:rsid w:val="00E85126"/>
    <w:rsid w:val="00E8724A"/>
    <w:rsid w:val="00E87EC3"/>
    <w:rsid w:val="00E922BA"/>
    <w:rsid w:val="00E94355"/>
    <w:rsid w:val="00E96B1A"/>
    <w:rsid w:val="00EA25A5"/>
    <w:rsid w:val="00EA2D1A"/>
    <w:rsid w:val="00EA70FA"/>
    <w:rsid w:val="00EB1A49"/>
    <w:rsid w:val="00EB1F66"/>
    <w:rsid w:val="00EB4623"/>
    <w:rsid w:val="00EB68D2"/>
    <w:rsid w:val="00EC1FFF"/>
    <w:rsid w:val="00EC2D64"/>
    <w:rsid w:val="00EC2E80"/>
    <w:rsid w:val="00EC5159"/>
    <w:rsid w:val="00EC58A5"/>
    <w:rsid w:val="00ED06E0"/>
    <w:rsid w:val="00ED291E"/>
    <w:rsid w:val="00ED2A03"/>
    <w:rsid w:val="00ED3977"/>
    <w:rsid w:val="00ED4F6B"/>
    <w:rsid w:val="00EE0314"/>
    <w:rsid w:val="00EE10FA"/>
    <w:rsid w:val="00EE25DC"/>
    <w:rsid w:val="00EE32D3"/>
    <w:rsid w:val="00EF210D"/>
    <w:rsid w:val="00EF6EC6"/>
    <w:rsid w:val="00F02634"/>
    <w:rsid w:val="00F11ADC"/>
    <w:rsid w:val="00F129EA"/>
    <w:rsid w:val="00F13CEB"/>
    <w:rsid w:val="00F16918"/>
    <w:rsid w:val="00F209E5"/>
    <w:rsid w:val="00F22943"/>
    <w:rsid w:val="00F254CA"/>
    <w:rsid w:val="00F26816"/>
    <w:rsid w:val="00F268DF"/>
    <w:rsid w:val="00F30659"/>
    <w:rsid w:val="00F31162"/>
    <w:rsid w:val="00F362E0"/>
    <w:rsid w:val="00F44EF4"/>
    <w:rsid w:val="00F45D3E"/>
    <w:rsid w:val="00F465F1"/>
    <w:rsid w:val="00F4736A"/>
    <w:rsid w:val="00F47514"/>
    <w:rsid w:val="00F47F09"/>
    <w:rsid w:val="00F50097"/>
    <w:rsid w:val="00F5638B"/>
    <w:rsid w:val="00F57B08"/>
    <w:rsid w:val="00F60014"/>
    <w:rsid w:val="00F626D0"/>
    <w:rsid w:val="00F62AFD"/>
    <w:rsid w:val="00F645E0"/>
    <w:rsid w:val="00F64AEB"/>
    <w:rsid w:val="00F65BE9"/>
    <w:rsid w:val="00F7037E"/>
    <w:rsid w:val="00F71037"/>
    <w:rsid w:val="00F7286C"/>
    <w:rsid w:val="00F7442F"/>
    <w:rsid w:val="00F74DD0"/>
    <w:rsid w:val="00F80B5F"/>
    <w:rsid w:val="00F80D19"/>
    <w:rsid w:val="00F814A3"/>
    <w:rsid w:val="00F87851"/>
    <w:rsid w:val="00F91637"/>
    <w:rsid w:val="00F95B1C"/>
    <w:rsid w:val="00FA04C3"/>
    <w:rsid w:val="00FA1D47"/>
    <w:rsid w:val="00FA2C02"/>
    <w:rsid w:val="00FA6B10"/>
    <w:rsid w:val="00FA741B"/>
    <w:rsid w:val="00FB093E"/>
    <w:rsid w:val="00FB33A8"/>
    <w:rsid w:val="00FB35A0"/>
    <w:rsid w:val="00FC18A8"/>
    <w:rsid w:val="00FC2D29"/>
    <w:rsid w:val="00FC33DA"/>
    <w:rsid w:val="00FC45C4"/>
    <w:rsid w:val="00FC4BF6"/>
    <w:rsid w:val="00FC4DF2"/>
    <w:rsid w:val="00FC6D9A"/>
    <w:rsid w:val="00FC70B4"/>
    <w:rsid w:val="00FD0BFB"/>
    <w:rsid w:val="00FD3315"/>
    <w:rsid w:val="00FD4EF5"/>
    <w:rsid w:val="00FD526B"/>
    <w:rsid w:val="00FD5827"/>
    <w:rsid w:val="00FD5E1F"/>
    <w:rsid w:val="00FD6650"/>
    <w:rsid w:val="00FD6E6F"/>
    <w:rsid w:val="00FD7A72"/>
    <w:rsid w:val="00FE026E"/>
    <w:rsid w:val="00FE06B1"/>
    <w:rsid w:val="00FE3DB5"/>
    <w:rsid w:val="00FF5124"/>
    <w:rsid w:val="4A5664DB"/>
    <w:rsid w:val="501A7148"/>
    <w:rsid w:val="6D1F7F55"/>
    <w:rsid w:val="6F33543B"/>
    <w:rsid w:val="7C071C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sdException w:qFormat="1" w:unhideWhenUsed="0" w:uiPriority="9"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semiHidden="0" w:name="toc 1" w:locked="1"/>
    <w:lsdException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0" w:semiHidden="0" w:name="Body Text Indent 2" w:locked="1"/>
    <w:lsdException w:uiPriority="99" w:name="Body Text Indent 3" w:locked="1"/>
    <w:lsdException w:uiPriority="99" w:name="Block Text" w:locked="1"/>
    <w:lsdException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ocked="1"/>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1"/>
    <w:qFormat/>
    <w:locked/>
    <w:uiPriority w:val="9"/>
    <w:pPr>
      <w:keepNext/>
      <w:keepLines/>
      <w:spacing w:beforeLines="100" w:afterLines="100" w:line="360" w:lineRule="exact"/>
      <w:outlineLvl w:val="0"/>
    </w:pPr>
    <w:rPr>
      <w:rFonts w:ascii="黑体" w:eastAsia="黑体"/>
      <w:bCs/>
      <w:kern w:val="44"/>
      <w:sz w:val="20"/>
      <w:szCs w:val="44"/>
    </w:rPr>
  </w:style>
  <w:style w:type="paragraph" w:styleId="3">
    <w:name w:val="heading 2"/>
    <w:basedOn w:val="1"/>
    <w:next w:val="1"/>
    <w:link w:val="62"/>
    <w:unhideWhenUsed/>
    <w:qFormat/>
    <w:locked/>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63"/>
    <w:qFormat/>
    <w:locked/>
    <w:uiPriority w:val="9"/>
    <w:pPr>
      <w:keepNext/>
      <w:spacing w:line="440" w:lineRule="exact"/>
      <w:outlineLvl w:val="3"/>
    </w:pPr>
    <w:rPr>
      <w:b/>
      <w:bCs/>
      <w:sz w:val="32"/>
      <w:szCs w:val="24"/>
    </w:rPr>
  </w:style>
  <w:style w:type="paragraph" w:styleId="6">
    <w:name w:val="heading 5"/>
    <w:basedOn w:val="1"/>
    <w:next w:val="1"/>
    <w:link w:val="64"/>
    <w:unhideWhenUsed/>
    <w:qFormat/>
    <w:locked/>
    <w:uiPriority w:val="9"/>
    <w:pPr>
      <w:keepNext/>
      <w:keepLines/>
      <w:spacing w:before="280" w:after="290" w:line="376" w:lineRule="auto"/>
      <w:outlineLvl w:val="4"/>
    </w:pPr>
    <w:rPr>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82"/>
    <w:unhideWhenUsed/>
    <w:qFormat/>
    <w:locked/>
    <w:uiPriority w:val="99"/>
    <w:pPr>
      <w:spacing w:line="360" w:lineRule="exact"/>
      <w:ind w:firstLine="200" w:firstLineChars="200"/>
    </w:pPr>
    <w:rPr>
      <w:rFonts w:ascii="宋体"/>
      <w:kern w:val="0"/>
      <w:sz w:val="18"/>
      <w:szCs w:val="18"/>
    </w:rPr>
  </w:style>
  <w:style w:type="paragraph" w:styleId="8">
    <w:name w:val="annotation text"/>
    <w:basedOn w:val="1"/>
    <w:link w:val="35"/>
    <w:qFormat/>
    <w:uiPriority w:val="99"/>
    <w:pPr>
      <w:jc w:val="left"/>
    </w:pPr>
  </w:style>
  <w:style w:type="paragraph" w:styleId="9">
    <w:name w:val="Body Text Indent"/>
    <w:basedOn w:val="1"/>
    <w:link w:val="32"/>
    <w:uiPriority w:val="0"/>
    <w:pPr>
      <w:spacing w:after="120"/>
      <w:ind w:left="200" w:leftChars="200"/>
    </w:pPr>
    <w:rPr>
      <w:rFonts w:ascii="宋体" w:hAnsi="宋体"/>
      <w:kern w:val="0"/>
      <w:sz w:val="20"/>
    </w:rPr>
  </w:style>
  <w:style w:type="paragraph" w:styleId="10">
    <w:name w:val="toc 3"/>
    <w:basedOn w:val="1"/>
    <w:next w:val="1"/>
    <w:unhideWhenUsed/>
    <w:qFormat/>
    <w:locked/>
    <w:uiPriority w:val="39"/>
    <w:pPr>
      <w:spacing w:line="360" w:lineRule="exact"/>
      <w:ind w:left="840" w:leftChars="400" w:firstLine="200" w:firstLineChars="200"/>
    </w:pPr>
    <w:rPr>
      <w:rFonts w:ascii="宋体"/>
      <w:szCs w:val="22"/>
    </w:rPr>
  </w:style>
  <w:style w:type="paragraph" w:styleId="11">
    <w:name w:val="Date"/>
    <w:basedOn w:val="1"/>
    <w:next w:val="1"/>
    <w:link w:val="36"/>
    <w:uiPriority w:val="99"/>
    <w:pPr>
      <w:ind w:left="100" w:leftChars="2500"/>
    </w:pPr>
    <w:rPr>
      <w:rFonts w:ascii="宋体" w:hAnsi="宋体"/>
      <w:sz w:val="28"/>
    </w:rPr>
  </w:style>
  <w:style w:type="paragraph" w:styleId="12">
    <w:name w:val="Body Text Indent 2"/>
    <w:basedOn w:val="1"/>
    <w:link w:val="73"/>
    <w:locked/>
    <w:uiPriority w:val="0"/>
    <w:pPr>
      <w:spacing w:line="440" w:lineRule="exact"/>
      <w:ind w:firstLine="420" w:firstLineChars="200"/>
    </w:pPr>
    <w:rPr>
      <w:szCs w:val="24"/>
    </w:rPr>
  </w:style>
  <w:style w:type="paragraph" w:styleId="13">
    <w:name w:val="Balloon Text"/>
    <w:basedOn w:val="1"/>
    <w:link w:val="38"/>
    <w:uiPriority w:val="99"/>
    <w:rPr>
      <w:sz w:val="18"/>
    </w:rPr>
  </w:style>
  <w:style w:type="paragraph" w:styleId="14">
    <w:name w:val="footer"/>
    <w:basedOn w:val="1"/>
    <w:link w:val="29"/>
    <w:qFormat/>
    <w:uiPriority w:val="99"/>
    <w:pPr>
      <w:tabs>
        <w:tab w:val="center" w:pos="4153"/>
        <w:tab w:val="right" w:pos="8306"/>
      </w:tabs>
      <w:snapToGrid w:val="0"/>
      <w:jc w:val="left"/>
    </w:pPr>
    <w:rPr>
      <w:sz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unhideWhenUsed/>
    <w:locked/>
    <w:uiPriority w:val="39"/>
    <w:pPr>
      <w:tabs>
        <w:tab w:val="right" w:leader="dot" w:pos="9344"/>
      </w:tabs>
      <w:spacing w:line="360" w:lineRule="auto"/>
      <w:jc w:val="left"/>
    </w:pPr>
    <w:rPr>
      <w:rFonts w:ascii="宋体"/>
      <w:szCs w:val="22"/>
    </w:rPr>
  </w:style>
  <w:style w:type="paragraph" w:styleId="17">
    <w:name w:val="toc 2"/>
    <w:basedOn w:val="1"/>
    <w:next w:val="1"/>
    <w:unhideWhenUsed/>
    <w:locked/>
    <w:uiPriority w:val="39"/>
    <w:pPr>
      <w:spacing w:line="360" w:lineRule="exact"/>
      <w:ind w:left="420" w:leftChars="200" w:firstLine="200" w:firstLineChars="200"/>
    </w:pPr>
    <w:rPr>
      <w:rFonts w:ascii="宋体"/>
      <w:szCs w:val="22"/>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31"/>
    <w:qFormat/>
    <w:uiPriority w:val="99"/>
    <w:rPr>
      <w:b/>
      <w:bCs/>
    </w:rPr>
  </w:style>
  <w:style w:type="table" w:styleId="21">
    <w:name w:val="Table Grid"/>
    <w:basedOn w:val="20"/>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locked/>
    <w:uiPriority w:val="22"/>
    <w:rPr>
      <w:b/>
      <w:bCs/>
    </w:rPr>
  </w:style>
  <w:style w:type="character" w:styleId="24">
    <w:name w:val="page number"/>
    <w:basedOn w:val="22"/>
    <w:locked/>
    <w:uiPriority w:val="0"/>
  </w:style>
  <w:style w:type="character" w:styleId="25">
    <w:name w:val="Emphasis"/>
    <w:qFormat/>
    <w:locked/>
    <w:uiPriority w:val="20"/>
    <w:rPr>
      <w:color w:val="CC0000"/>
    </w:rPr>
  </w:style>
  <w:style w:type="character" w:styleId="26">
    <w:name w:val="Hyperlink"/>
    <w:unhideWhenUsed/>
    <w:locked/>
    <w:uiPriority w:val="99"/>
    <w:rPr>
      <w:color w:val="0000FF"/>
      <w:u w:val="single"/>
    </w:rPr>
  </w:style>
  <w:style w:type="character" w:styleId="27">
    <w:name w:val="annotation reference"/>
    <w:basedOn w:val="22"/>
    <w:uiPriority w:val="99"/>
    <w:rPr>
      <w:rFonts w:cs="Times New Roman"/>
      <w:sz w:val="21"/>
    </w:rPr>
  </w:style>
  <w:style w:type="character" w:customStyle="1" w:styleId="28">
    <w:name w:val="标题 3 Char"/>
    <w:basedOn w:val="22"/>
    <w:link w:val="4"/>
    <w:qFormat/>
    <w:uiPriority w:val="9"/>
    <w:rPr>
      <w:b/>
      <w:bCs/>
      <w:sz w:val="32"/>
      <w:szCs w:val="32"/>
    </w:rPr>
  </w:style>
  <w:style w:type="character" w:customStyle="1" w:styleId="29">
    <w:name w:val="页脚 Char"/>
    <w:link w:val="14"/>
    <w:qFormat/>
    <w:locked/>
    <w:uiPriority w:val="99"/>
    <w:rPr>
      <w:kern w:val="2"/>
      <w:sz w:val="18"/>
    </w:rPr>
  </w:style>
  <w:style w:type="character" w:customStyle="1" w:styleId="30">
    <w:name w:val="页眉 Char"/>
    <w:link w:val="15"/>
    <w:locked/>
    <w:uiPriority w:val="99"/>
    <w:rPr>
      <w:kern w:val="2"/>
      <w:sz w:val="18"/>
    </w:rPr>
  </w:style>
  <w:style w:type="character" w:customStyle="1" w:styleId="31">
    <w:name w:val="批注主题 Char"/>
    <w:link w:val="19"/>
    <w:qFormat/>
    <w:locked/>
    <w:uiPriority w:val="99"/>
    <w:rPr>
      <w:b/>
      <w:kern w:val="2"/>
      <w:sz w:val="21"/>
    </w:rPr>
  </w:style>
  <w:style w:type="character" w:customStyle="1" w:styleId="32">
    <w:name w:val="正文文本缩进 Char"/>
    <w:link w:val="9"/>
    <w:locked/>
    <w:uiPriority w:val="0"/>
    <w:rPr>
      <w:rFonts w:ascii="宋体" w:hAnsi="宋体" w:eastAsia="宋体"/>
    </w:rPr>
  </w:style>
  <w:style w:type="character" w:customStyle="1" w:styleId="33">
    <w:name w:val="段 Char"/>
    <w:link w:val="34"/>
    <w:qFormat/>
    <w:locked/>
    <w:uiPriority w:val="0"/>
    <w:rPr>
      <w:rFonts w:ascii="宋体"/>
      <w:sz w:val="21"/>
      <w:lang w:val="en-US" w:eastAsia="zh-CN"/>
    </w:rPr>
  </w:style>
  <w:style w:type="paragraph" w:customStyle="1" w:styleId="34">
    <w:name w:val="段"/>
    <w:link w:val="3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5">
    <w:name w:val="批注文字 Char"/>
    <w:link w:val="8"/>
    <w:qFormat/>
    <w:locked/>
    <w:uiPriority w:val="99"/>
    <w:rPr>
      <w:kern w:val="2"/>
      <w:sz w:val="21"/>
    </w:rPr>
  </w:style>
  <w:style w:type="character" w:customStyle="1" w:styleId="36">
    <w:name w:val="日期 Char"/>
    <w:basedOn w:val="22"/>
    <w:link w:val="11"/>
    <w:qFormat/>
    <w:uiPriority w:val="99"/>
    <w:rPr>
      <w:szCs w:val="20"/>
    </w:rPr>
  </w:style>
  <w:style w:type="character" w:customStyle="1" w:styleId="37">
    <w:name w:val="Footer Char1"/>
    <w:basedOn w:val="22"/>
    <w:semiHidden/>
    <w:uiPriority w:val="99"/>
    <w:rPr>
      <w:sz w:val="18"/>
      <w:szCs w:val="18"/>
    </w:rPr>
  </w:style>
  <w:style w:type="character" w:customStyle="1" w:styleId="38">
    <w:name w:val="批注框文本 Char"/>
    <w:basedOn w:val="22"/>
    <w:link w:val="13"/>
    <w:semiHidden/>
    <w:qFormat/>
    <w:uiPriority w:val="99"/>
    <w:rPr>
      <w:sz w:val="0"/>
      <w:szCs w:val="0"/>
    </w:rPr>
  </w:style>
  <w:style w:type="character" w:customStyle="1" w:styleId="39">
    <w:name w:val="Body Text Indent Char1"/>
    <w:basedOn w:val="22"/>
    <w:semiHidden/>
    <w:uiPriority w:val="99"/>
    <w:rPr>
      <w:szCs w:val="20"/>
    </w:rPr>
  </w:style>
  <w:style w:type="paragraph" w:customStyle="1" w:styleId="40">
    <w:name w:val="发布部门"/>
    <w:next w:val="1"/>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41">
    <w:name w:val="四级条标题"/>
    <w:basedOn w:val="42"/>
    <w:next w:val="34"/>
    <w:qFormat/>
    <w:uiPriority w:val="99"/>
    <w:pPr>
      <w:tabs>
        <w:tab w:val="left" w:pos="1418"/>
      </w:tabs>
      <w:outlineLvl w:val="5"/>
    </w:pPr>
  </w:style>
  <w:style w:type="paragraph" w:customStyle="1" w:styleId="42">
    <w:name w:val="三级条标题"/>
    <w:basedOn w:val="43"/>
    <w:next w:val="34"/>
    <w:uiPriority w:val="99"/>
    <w:pPr>
      <w:tabs>
        <w:tab w:val="left" w:pos="1418"/>
      </w:tabs>
      <w:outlineLvl w:val="4"/>
    </w:pPr>
  </w:style>
  <w:style w:type="paragraph" w:customStyle="1" w:styleId="43">
    <w:name w:val="二级条标题"/>
    <w:basedOn w:val="44"/>
    <w:next w:val="34"/>
    <w:uiPriority w:val="99"/>
    <w:pPr>
      <w:tabs>
        <w:tab w:val="left" w:pos="1418"/>
      </w:tabs>
      <w:outlineLvl w:val="3"/>
    </w:pPr>
  </w:style>
  <w:style w:type="paragraph" w:customStyle="1" w:styleId="44">
    <w:name w:val="一级条标题"/>
    <w:basedOn w:val="1"/>
    <w:next w:val="34"/>
    <w:uiPriority w:val="0"/>
    <w:pPr>
      <w:widowControl/>
      <w:tabs>
        <w:tab w:val="left" w:pos="1418"/>
      </w:tabs>
      <w:outlineLvl w:val="2"/>
    </w:pPr>
    <w:rPr>
      <w:rFonts w:ascii="黑体" w:eastAsia="黑体"/>
      <w:kern w:val="0"/>
    </w:rPr>
  </w:style>
  <w:style w:type="character" w:customStyle="1" w:styleId="45">
    <w:name w:val="Comment Text Char1"/>
    <w:basedOn w:val="22"/>
    <w:semiHidden/>
    <w:qFormat/>
    <w:uiPriority w:val="99"/>
    <w:rPr>
      <w:szCs w:val="20"/>
    </w:rPr>
  </w:style>
  <w:style w:type="paragraph" w:customStyle="1" w:styleId="4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47">
    <w:name w:val="Comment Subject Char1"/>
    <w:basedOn w:val="35"/>
    <w:semiHidden/>
    <w:qFormat/>
    <w:uiPriority w:val="99"/>
    <w:rPr>
      <w:b/>
      <w:bCs/>
      <w:kern w:val="2"/>
      <w:sz w:val="21"/>
      <w:szCs w:val="20"/>
    </w:rPr>
  </w:style>
  <w:style w:type="character" w:customStyle="1" w:styleId="48">
    <w:name w:val="Header Char1"/>
    <w:basedOn w:val="22"/>
    <w:semiHidden/>
    <w:qFormat/>
    <w:uiPriority w:val="99"/>
    <w:rPr>
      <w:sz w:val="18"/>
      <w:szCs w:val="18"/>
    </w:rPr>
  </w:style>
  <w:style w:type="paragraph" w:customStyle="1" w:styleId="49">
    <w:name w:val="前言、引言标题"/>
    <w:next w:val="1"/>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0">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51">
    <w:name w:val="Char Char Char Char1"/>
    <w:basedOn w:val="1"/>
    <w:uiPriority w:val="99"/>
    <w:pPr>
      <w:widowControl/>
      <w:spacing w:after="160" w:line="240" w:lineRule="exact"/>
      <w:jc w:val="left"/>
    </w:pPr>
    <w:rPr>
      <w:rFonts w:ascii="Verdana" w:hAnsi="Verdana"/>
      <w:kern w:val="0"/>
      <w:sz w:val="18"/>
      <w:lang w:eastAsia="en-US"/>
    </w:rPr>
  </w:style>
  <w:style w:type="paragraph" w:customStyle="1" w:styleId="52">
    <w:name w:val="正文表标题"/>
    <w:next w:val="34"/>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53">
    <w:name w:val="章标题"/>
    <w:next w:val="34"/>
    <w:uiPriority w:val="99"/>
    <w:pPr>
      <w:spacing w:before="50" w:after="50"/>
      <w:jc w:val="both"/>
      <w:outlineLvl w:val="1"/>
    </w:pPr>
    <w:rPr>
      <w:rFonts w:ascii="黑体" w:hAnsi="Times New Roman" w:eastAsia="黑体" w:cs="Times New Roman"/>
      <w:kern w:val="0"/>
      <w:sz w:val="21"/>
      <w:szCs w:val="20"/>
      <w:lang w:val="en-US" w:eastAsia="zh-CN" w:bidi="ar-SA"/>
    </w:rPr>
  </w:style>
  <w:style w:type="paragraph" w:customStyle="1" w:styleId="54">
    <w:name w:val="五级条标题"/>
    <w:basedOn w:val="41"/>
    <w:next w:val="34"/>
    <w:uiPriority w:val="99"/>
    <w:pPr>
      <w:outlineLvl w:val="6"/>
    </w:pPr>
  </w:style>
  <w:style w:type="paragraph" w:customStyle="1" w:styleId="55">
    <w:name w:val="Char Char Char Char"/>
    <w:basedOn w:val="1"/>
    <w:uiPriority w:val="99"/>
    <w:pPr>
      <w:widowControl/>
      <w:spacing w:after="160" w:line="240" w:lineRule="exact"/>
      <w:jc w:val="left"/>
    </w:pPr>
    <w:rPr>
      <w:rFonts w:ascii="Verdana" w:hAnsi="Verdana"/>
      <w:kern w:val="0"/>
      <w:sz w:val="18"/>
      <w:lang w:eastAsia="en-US"/>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标准"/>
    <w:basedOn w:val="1"/>
    <w:uiPriority w:val="99"/>
    <w:pPr>
      <w:adjustRightInd w:val="0"/>
      <w:spacing w:line="312" w:lineRule="atLeast"/>
      <w:jc w:val="center"/>
      <w:textAlignment w:val="baseline"/>
    </w:pPr>
    <w:rPr>
      <w:kern w:val="0"/>
    </w:rPr>
  </w:style>
  <w:style w:type="paragraph" w:customStyle="1" w:styleId="58">
    <w:name w:val="列出段落1"/>
    <w:basedOn w:val="1"/>
    <w:uiPriority w:val="99"/>
    <w:pPr>
      <w:ind w:firstLine="420" w:firstLineChars="200"/>
    </w:pPr>
    <w:rPr>
      <w:rFonts w:ascii="Calibri" w:hAnsi="Calibri"/>
      <w:szCs w:val="22"/>
    </w:rPr>
  </w:style>
  <w:style w:type="paragraph" w:customStyle="1" w:styleId="59">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60">
    <w:name w:val="Revision"/>
    <w:hidden/>
    <w:uiPriority w:val="99"/>
    <w:rPr>
      <w:rFonts w:ascii="Times New Roman" w:hAnsi="Times New Roman" w:eastAsia="宋体" w:cs="Times New Roman"/>
      <w:kern w:val="2"/>
      <w:sz w:val="21"/>
      <w:szCs w:val="20"/>
      <w:lang w:val="en-US" w:eastAsia="zh-CN" w:bidi="ar-SA"/>
    </w:rPr>
  </w:style>
  <w:style w:type="character" w:customStyle="1" w:styleId="61">
    <w:name w:val="标题 1 Char"/>
    <w:basedOn w:val="22"/>
    <w:link w:val="2"/>
    <w:qFormat/>
    <w:uiPriority w:val="9"/>
    <w:rPr>
      <w:rFonts w:ascii="黑体" w:eastAsia="黑体"/>
      <w:bCs/>
      <w:kern w:val="44"/>
      <w:sz w:val="20"/>
      <w:szCs w:val="44"/>
    </w:rPr>
  </w:style>
  <w:style w:type="character" w:customStyle="1" w:styleId="62">
    <w:name w:val="标题 2 Char"/>
    <w:basedOn w:val="22"/>
    <w:link w:val="3"/>
    <w:qFormat/>
    <w:uiPriority w:val="9"/>
    <w:rPr>
      <w:rFonts w:ascii="等线 Light" w:hAnsi="等线 Light" w:eastAsia="等线 Light"/>
      <w:b/>
      <w:bCs/>
      <w:sz w:val="32"/>
      <w:szCs w:val="32"/>
    </w:rPr>
  </w:style>
  <w:style w:type="character" w:customStyle="1" w:styleId="63">
    <w:name w:val="标题 4 Char"/>
    <w:basedOn w:val="22"/>
    <w:link w:val="5"/>
    <w:qFormat/>
    <w:uiPriority w:val="9"/>
    <w:rPr>
      <w:b/>
      <w:bCs/>
      <w:sz w:val="32"/>
      <w:szCs w:val="24"/>
    </w:rPr>
  </w:style>
  <w:style w:type="character" w:customStyle="1" w:styleId="64">
    <w:name w:val="标题 5 Char"/>
    <w:basedOn w:val="22"/>
    <w:link w:val="6"/>
    <w:qFormat/>
    <w:uiPriority w:val="9"/>
    <w:rPr>
      <w:b/>
      <w:bCs/>
      <w:sz w:val="28"/>
      <w:szCs w:val="28"/>
    </w:rPr>
  </w:style>
  <w:style w:type="character" w:customStyle="1" w:styleId="65">
    <w:name w:val="发布"/>
    <w:uiPriority w:val="0"/>
    <w:rPr>
      <w:rFonts w:ascii="黑体" w:eastAsia="黑体"/>
      <w:spacing w:val="22"/>
      <w:w w:val="100"/>
      <w:position w:val="3"/>
      <w:sz w:val="28"/>
    </w:rPr>
  </w:style>
  <w:style w:type="character" w:customStyle="1" w:styleId="66">
    <w:name w:val="high-light-bg"/>
    <w:basedOn w:val="22"/>
    <w:uiPriority w:val="0"/>
  </w:style>
  <w:style w:type="character" w:customStyle="1" w:styleId="67">
    <w:name w:val="apple-converted-space"/>
    <w:basedOn w:val="22"/>
    <w:uiPriority w:val="0"/>
  </w:style>
  <w:style w:type="paragraph" w:customStyle="1" w:styleId="68">
    <w:name w:val="实施日期"/>
    <w:basedOn w:val="69"/>
    <w:qFormat/>
    <w:uiPriority w:val="99"/>
    <w:pPr>
      <w:jc w:val="right"/>
    </w:pPr>
  </w:style>
  <w:style w:type="paragraph" w:customStyle="1" w:styleId="69">
    <w:name w:val="发布日期"/>
    <w:qFormat/>
    <w:uiPriority w:val="99"/>
    <w:rPr>
      <w:rFonts w:ascii="Times New Roman" w:hAnsi="Times New Roman" w:eastAsia="黑体" w:cs="Times New Roman"/>
      <w:kern w:val="0"/>
      <w:sz w:val="28"/>
      <w:szCs w:val="20"/>
      <w:lang w:val="en-US" w:eastAsia="zh-CN" w:bidi="ar-SA"/>
    </w:rPr>
  </w:style>
  <w:style w:type="paragraph" w:customStyle="1" w:styleId="70">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71">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2">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character" w:customStyle="1" w:styleId="73">
    <w:name w:val="正文文本缩进 2 Char"/>
    <w:basedOn w:val="22"/>
    <w:link w:val="12"/>
    <w:uiPriority w:val="0"/>
    <w:rPr>
      <w:szCs w:val="24"/>
    </w:rPr>
  </w:style>
  <w:style w:type="paragraph" w:customStyle="1" w:styleId="74">
    <w:name w:val="标准书脚_偶数页"/>
    <w:uiPriority w:val="0"/>
    <w:pPr>
      <w:spacing w:before="120"/>
    </w:pPr>
    <w:rPr>
      <w:rFonts w:ascii="Times New Roman" w:hAnsi="Times New Roman" w:eastAsia="宋体" w:cs="Times New Roman"/>
      <w:kern w:val="0"/>
      <w:sz w:val="18"/>
      <w:szCs w:val="20"/>
      <w:lang w:val="en-US" w:eastAsia="zh-CN" w:bidi="ar-SA"/>
    </w:rPr>
  </w:style>
  <w:style w:type="paragraph" w:customStyle="1" w:styleId="75">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6">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77">
    <w:name w:val="文献分类号"/>
    <w:qFormat/>
    <w:uiPriority w:val="99"/>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78">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7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80">
    <w:name w:val="标准书眉_偶数页"/>
    <w:basedOn w:val="75"/>
    <w:next w:val="1"/>
    <w:qFormat/>
    <w:uiPriority w:val="0"/>
    <w:pPr>
      <w:jc w:val="left"/>
    </w:pPr>
  </w:style>
  <w:style w:type="paragraph" w:customStyle="1" w:styleId="81">
    <w:name w:val="标准书脚_奇数页"/>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82">
    <w:name w:val="文档结构图 Char"/>
    <w:basedOn w:val="22"/>
    <w:link w:val="7"/>
    <w:uiPriority w:val="99"/>
    <w:rPr>
      <w:rFonts w:ascii="宋体"/>
      <w:kern w:val="0"/>
      <w:sz w:val="18"/>
      <w:szCs w:val="18"/>
    </w:rPr>
  </w:style>
  <w:style w:type="character" w:customStyle="1" w:styleId="83">
    <w:name w:val="fontstyle61"/>
    <w:qFormat/>
    <w:uiPriority w:val="0"/>
    <w:rPr>
      <w:rFonts w:hint="default" w:ascii="FzBookMaker8DlFont80536871322" w:hAnsi="FzBookMaker8DlFont80536871322"/>
      <w:color w:val="000000"/>
      <w:sz w:val="16"/>
      <w:szCs w:val="16"/>
    </w:rPr>
  </w:style>
  <w:style w:type="character" w:customStyle="1" w:styleId="84">
    <w:name w:val="fontstyle71"/>
    <w:qFormat/>
    <w:uiPriority w:val="0"/>
    <w:rPr>
      <w:rFonts w:hint="default" w:ascii="E-BZ-PK7482d0-Identity-H" w:hAnsi="E-BZ-PK7482d0-Identity-H"/>
      <w:color w:val="000000"/>
      <w:sz w:val="16"/>
      <w:szCs w:val="16"/>
    </w:rPr>
  </w:style>
  <w:style w:type="character" w:customStyle="1" w:styleId="85">
    <w:name w:val="fontstyle41"/>
    <w:qFormat/>
    <w:uiPriority w:val="0"/>
    <w:rPr>
      <w:rFonts w:hint="default" w:ascii="TimesNewRomanPSMT" w:hAnsi="TimesNewRomanPSMT"/>
      <w:color w:val="000000"/>
      <w:sz w:val="22"/>
      <w:szCs w:val="22"/>
    </w:rPr>
  </w:style>
  <w:style w:type="character" w:customStyle="1" w:styleId="86">
    <w:name w:val="fontstyle01"/>
    <w:qFormat/>
    <w:uiPriority w:val="0"/>
    <w:rPr>
      <w:rFonts w:hint="eastAsia" w:ascii="黑体" w:hAnsi="黑体" w:eastAsia="黑体"/>
      <w:color w:val="000000"/>
      <w:sz w:val="32"/>
      <w:szCs w:val="32"/>
    </w:rPr>
  </w:style>
  <w:style w:type="character" w:customStyle="1" w:styleId="87">
    <w:name w:val="fontstyle21"/>
    <w:qFormat/>
    <w:uiPriority w:val="0"/>
    <w:rPr>
      <w:rFonts w:hint="eastAsia" w:ascii="宋体" w:hAnsi="宋体" w:eastAsia="宋体"/>
      <w:color w:val="000000"/>
      <w:sz w:val="22"/>
      <w:szCs w:val="22"/>
    </w:rPr>
  </w:style>
  <w:style w:type="character" w:customStyle="1" w:styleId="88">
    <w:name w:val="fontstyle81"/>
    <w:qFormat/>
    <w:uiPriority w:val="0"/>
    <w:rPr>
      <w:rFonts w:hint="default" w:ascii="FzBookMaker6DlFont60536871319" w:hAnsi="FzBookMaker6DlFont60536871319"/>
      <w:color w:val="000000"/>
      <w:sz w:val="16"/>
      <w:szCs w:val="16"/>
    </w:rPr>
  </w:style>
  <w:style w:type="character" w:customStyle="1" w:styleId="89">
    <w:name w:val="fontstyle31"/>
    <w:uiPriority w:val="0"/>
    <w:rPr>
      <w:rFonts w:hint="default" w:ascii="TimesNewRomanPSMT" w:hAnsi="TimesNewRomanPSMT"/>
      <w:color w:val="000000"/>
      <w:sz w:val="22"/>
      <w:szCs w:val="22"/>
    </w:rPr>
  </w:style>
  <w:style w:type="character" w:customStyle="1" w:styleId="90">
    <w:name w:val="fontstyle51"/>
    <w:uiPriority w:val="0"/>
    <w:rPr>
      <w:rFonts w:hint="default" w:ascii="TimesNewRomanPS-ItalicMT" w:hAnsi="TimesNewRomanPS-ItalicMT"/>
      <w:i/>
      <w:iCs/>
      <w:color w:val="000000"/>
      <w:sz w:val="24"/>
      <w:szCs w:val="24"/>
    </w:rPr>
  </w:style>
  <w:style w:type="character" w:customStyle="1" w:styleId="91">
    <w:name w:val="fontstyle11"/>
    <w:qFormat/>
    <w:uiPriority w:val="0"/>
    <w:rPr>
      <w:rFonts w:hint="eastAsia" w:ascii="黑体" w:hAnsi="黑体" w:eastAsia="黑体"/>
      <w:color w:val="000000"/>
      <w:sz w:val="22"/>
      <w:szCs w:val="22"/>
    </w:rPr>
  </w:style>
  <w:style w:type="paragraph" w:customStyle="1" w:styleId="92">
    <w:name w:val="标题 2-标准"/>
    <w:basedOn w:val="3"/>
    <w:qFormat/>
    <w:uiPriority w:val="0"/>
    <w:pPr>
      <w:adjustRightInd w:val="0"/>
      <w:snapToGrid w:val="0"/>
      <w:spacing w:beforeLines="50" w:afterLines="50" w:line="360" w:lineRule="exact"/>
    </w:pPr>
    <w:rPr>
      <w:rFonts w:ascii="Times New Roman" w:hAnsi="Times New Roman" w:eastAsia="黑体"/>
      <w:b w:val="0"/>
      <w:color w:val="000000"/>
      <w:kern w:val="0"/>
      <w:sz w:val="21"/>
    </w:rPr>
  </w:style>
  <w:style w:type="paragraph" w:customStyle="1" w:styleId="93">
    <w:name w:val="标题 1-标准"/>
    <w:basedOn w:val="2"/>
    <w:qFormat/>
    <w:uiPriority w:val="0"/>
    <w:pPr>
      <w:spacing w:before="240" w:after="240"/>
    </w:pPr>
    <w:rPr>
      <w:rFonts w:ascii="Times New Roman"/>
      <w:color w:val="000000"/>
      <w:sz w:val="21"/>
    </w:rPr>
  </w:style>
  <w:style w:type="paragraph" w:customStyle="1" w:styleId="94">
    <w:name w:val="修订1"/>
    <w:semiHidden/>
    <w:uiPriority w:val="99"/>
    <w:rPr>
      <w:rFonts w:ascii="Times New Roman" w:hAnsi="Times New Roman" w:eastAsia="宋体" w:cs="Times New Roman"/>
      <w:kern w:val="2"/>
      <w:sz w:val="24"/>
      <w:szCs w:val="22"/>
      <w:lang w:val="en-US" w:eastAsia="zh-CN" w:bidi="ar-SA"/>
    </w:rPr>
  </w:style>
  <w:style w:type="paragraph" w:customStyle="1" w:styleId="9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97">
    <w:name w:val="TOC 标题1"/>
    <w:basedOn w:val="2"/>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98">
    <w:name w:val="封面标准号2"/>
    <w:basedOn w:val="96"/>
    <w:qFormat/>
    <w:uiPriority w:val="0"/>
    <w:pPr>
      <w:framePr w:w="9138" w:h="1244" w:hRule="exact" w:wrap="around" w:vAnchor="page" w:hAnchor="margin" w:y="2908"/>
      <w:adjustRightInd w:val="0"/>
      <w:spacing w:before="357" w:line="280" w:lineRule="exact"/>
    </w:pPr>
  </w:style>
  <w:style w:type="paragraph" w:customStyle="1" w:styleId="99">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00">
    <w:name w:val="标题 3-标准"/>
    <w:basedOn w:val="4"/>
    <w:qFormat/>
    <w:uiPriority w:val="0"/>
    <w:pPr>
      <w:keepNext/>
      <w:keepLines/>
      <w:widowControl w:val="0"/>
      <w:spacing w:beforeLines="50" w:beforeAutospacing="0" w:afterLines="50" w:afterAutospacing="0" w:line="360" w:lineRule="exact"/>
      <w:jc w:val="both"/>
    </w:pPr>
    <w:rPr>
      <w:rFonts w:ascii="Times New Roman" w:hAnsi="Times New Roman" w:eastAsia="黑体" w:cs="Times New Roman"/>
      <w:b w:val="0"/>
      <w:color w:val="000000"/>
      <w:sz w:val="21"/>
      <w:szCs w:val="32"/>
    </w:rPr>
  </w:style>
  <w:style w:type="table" w:customStyle="1" w:styleId="101">
    <w:name w:val="网格表 1 浅色1"/>
    <w:basedOn w:val="20"/>
    <w:uiPriority w:val="46"/>
    <w:rPr>
      <w:rFonts w:ascii="等线" w:hAnsi="等线" w:eastAsia="等线"/>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styleId="102">
    <w:name w:val="Placeholder Text"/>
    <w:unhideWhenUsed/>
    <w:qFormat/>
    <w:uiPriority w:val="99"/>
    <w:rPr>
      <w:color w:val="808080"/>
    </w:rPr>
  </w:style>
  <w:style w:type="paragraph" w:customStyle="1" w:styleId="103">
    <w:name w:val="TOC Heading"/>
    <w:basedOn w:val="2"/>
    <w:next w:val="1"/>
    <w:unhideWhenUsed/>
    <w:qFormat/>
    <w:uiPriority w:val="39"/>
    <w:pPr>
      <w:widowControl/>
      <w:spacing w:beforeLines="0" w:afterLines="0" w:line="259" w:lineRule="auto"/>
      <w:jc w:val="left"/>
      <w:outlineLvl w:val="9"/>
    </w:pPr>
    <w:rPr>
      <w:rFonts w:ascii="等线 Light" w:hAnsi="等线 Light" w:eastAsia="等线 Light"/>
      <w:bCs w:val="0"/>
      <w:color w:val="2F5496"/>
      <w:kern w:val="0"/>
      <w:sz w:val="32"/>
      <w:szCs w:val="32"/>
    </w:rPr>
  </w:style>
  <w:style w:type="character" w:customStyle="1" w:styleId="104">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Company>微软中国</Company>
  <Pages>10</Pages>
  <Words>1336</Words>
  <Characters>7621</Characters>
  <Lines>63</Lines>
  <Paragraphs>17</Paragraphs>
  <TotalTime>699</TotalTime>
  <ScaleCrop>false</ScaleCrop>
  <LinksUpToDate>false</LinksUpToDate>
  <CharactersWithSpaces>8940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2018-11-26T00:41:00Z</dcterms:created>
  <dc:creator>MiaoRuiying</dc:creator>
  <cp:lastModifiedBy>高兰</cp:lastModifiedBy>
  <cp:lastPrinted>2018-11-22T08:25:00Z</cp:lastPrinted>
  <dcterms:modified xsi:type="dcterms:W3CDTF">2020-10-16T01:33:14Z</dcterms:modified>
  <dc:title>国家标准《钕镁合金》编制说明</dc:title>
  <cp:revision>1101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