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50"/>
        <w:jc w:val="center"/>
        <w:rPr>
          <w:rFonts w:ascii="黑体" w:hAnsi="黑体" w:eastAsia="黑体"/>
          <w:sz w:val="32"/>
          <w:szCs w:val="32"/>
        </w:rPr>
      </w:pPr>
      <w:r>
        <w:rPr>
          <w:rFonts w:hint="eastAsia" w:ascii="黑体" w:hAnsi="黑体" w:eastAsia="黑体"/>
          <w:sz w:val="32"/>
          <w:szCs w:val="32"/>
        </w:rPr>
        <w:t>稀土行业标准《钕铁硼生产加工回收料回收利用技术规范》（</w:t>
      </w:r>
      <w:r>
        <w:rPr>
          <w:rFonts w:hint="eastAsia" w:ascii="黑体" w:hAnsi="黑体" w:eastAsia="黑体"/>
          <w:sz w:val="32"/>
          <w:szCs w:val="32"/>
          <w:lang w:eastAsia="zh-CN"/>
        </w:rPr>
        <w:t>预</w:t>
      </w:r>
      <w:r>
        <w:rPr>
          <w:rFonts w:hint="eastAsia" w:ascii="黑体" w:hAnsi="黑体" w:eastAsia="黑体"/>
          <w:sz w:val="32"/>
          <w:szCs w:val="32"/>
        </w:rPr>
        <w:t>审稿）编制说明</w:t>
      </w:r>
    </w:p>
    <w:p>
      <w:pPr>
        <w:pStyle w:val="23"/>
        <w:numPr>
          <w:ilvl w:val="0"/>
          <w:numId w:val="2"/>
        </w:numPr>
        <w:adjustRightInd w:val="0"/>
        <w:snapToGrid w:val="0"/>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工作简况</w:t>
      </w:r>
    </w:p>
    <w:p>
      <w:pPr>
        <w:pStyle w:val="26"/>
        <w:numPr>
          <w:ilvl w:val="1"/>
          <w:numId w:val="3"/>
        </w:numPr>
        <w:adjustRightInd w:val="0"/>
        <w:snapToGrid w:val="0"/>
        <w:spacing w:beforeLines="50" w:afterLines="50" w:line="360" w:lineRule="auto"/>
        <w:jc w:val="left"/>
        <w:rPr>
          <w:rFonts w:ascii="黑体" w:hAnsi="黑体" w:eastAsia="黑体" w:cs="黑体"/>
        </w:rPr>
      </w:pPr>
      <w:r>
        <w:rPr>
          <w:rFonts w:ascii="黑体" w:hAnsi="黑体" w:eastAsia="黑体" w:cs="黑体"/>
        </w:rPr>
        <w:t xml:space="preserve"> </w:t>
      </w:r>
      <w:r>
        <w:rPr>
          <w:rFonts w:hint="eastAsia" w:ascii="黑体" w:hAnsi="黑体" w:eastAsia="黑体" w:cs="黑体"/>
        </w:rPr>
        <w:t>任务背景</w:t>
      </w:r>
    </w:p>
    <w:p>
      <w:pPr>
        <w:adjustRightInd w:val="0"/>
        <w:snapToGrid w:val="0"/>
        <w:spacing w:line="360" w:lineRule="auto"/>
        <w:ind w:firstLine="420" w:firstLineChars="200"/>
        <w:rPr>
          <w:szCs w:val="21"/>
        </w:rPr>
      </w:pPr>
      <w:r>
        <w:rPr>
          <w:rFonts w:hint="eastAsia"/>
          <w:szCs w:val="21"/>
        </w:rPr>
        <w:t>钕铁硼材料是高性能稀土永磁材料，从电子行业到汽车、家电、医疗等行业，具有非常广阔的发展前景，是</w:t>
      </w:r>
      <w:r>
        <w:rPr>
          <w:szCs w:val="21"/>
        </w:rPr>
        <w:t>21</w:t>
      </w:r>
      <w:r>
        <w:rPr>
          <w:rFonts w:hint="eastAsia"/>
          <w:szCs w:val="21"/>
        </w:rPr>
        <w:t>世纪新兴产业发展中必不可少的关键材料。生产或加工钕铁硼永磁体的过程中会不可避免地产生相当于钕铁硼合金总产量的</w:t>
      </w:r>
      <w:r>
        <w:rPr>
          <w:szCs w:val="21"/>
        </w:rPr>
        <w:t>20%—50%</w:t>
      </w:r>
      <w:r>
        <w:rPr>
          <w:rFonts w:hint="eastAsia"/>
          <w:szCs w:val="21"/>
        </w:rPr>
        <w:t>的钕铁硼磁体废料。《绿色制造工程实施指南（</w:t>
      </w:r>
      <w:r>
        <w:rPr>
          <w:szCs w:val="21"/>
        </w:rPr>
        <w:t>2016-2020</w:t>
      </w:r>
      <w:r>
        <w:rPr>
          <w:rFonts w:hint="eastAsia"/>
          <w:szCs w:val="21"/>
        </w:rPr>
        <w:t>年）》提出产业绿色协同发展，建立一批报废机电设备等协同利用示范基地，建设一批稀土等资源深度利用示范项目，其中主要涉及了钕铁硼磁体废料。</w:t>
      </w:r>
    </w:p>
    <w:p>
      <w:pPr>
        <w:adjustRightInd w:val="0"/>
        <w:snapToGrid w:val="0"/>
        <w:spacing w:line="360" w:lineRule="auto"/>
        <w:ind w:firstLine="420" w:firstLineChars="200"/>
        <w:rPr>
          <w:szCs w:val="21"/>
        </w:rPr>
      </w:pPr>
      <w:r>
        <w:rPr>
          <w:rFonts w:hint="eastAsia"/>
          <w:szCs w:val="21"/>
        </w:rPr>
        <w:t>回收企业采用先进适用的高效节能技术装备，降低水、电等能源消耗，转变传统“高投入、高排放、</w:t>
      </w:r>
      <w:bookmarkStart w:id="3" w:name="_GoBack"/>
      <w:bookmarkEnd w:id="3"/>
      <w:r>
        <w:rPr>
          <w:rFonts w:hint="eastAsia"/>
          <w:szCs w:val="21"/>
        </w:rPr>
        <w:t>低效率”的增长方式，推动稀土回收产业节能与绿色发展。</w:t>
      </w:r>
      <w:r>
        <w:rPr>
          <w:szCs w:val="21"/>
        </w:rPr>
        <w:t>建设生态文明</w:t>
      </w:r>
      <w:r>
        <w:rPr>
          <w:rFonts w:hint="eastAsia"/>
          <w:szCs w:val="21"/>
        </w:rPr>
        <w:t>、</w:t>
      </w:r>
      <w:r>
        <w:rPr>
          <w:szCs w:val="21"/>
        </w:rPr>
        <w:t>壮大资源循环利用产业，积极响应国家推动“无废城市”和资源循环利用基地建设的工作要求</w:t>
      </w:r>
      <w:r>
        <w:rPr>
          <w:rFonts w:hint="eastAsia"/>
          <w:szCs w:val="21"/>
        </w:rPr>
        <w:t>，加快构建回收再利用产业链。</w:t>
      </w:r>
    </w:p>
    <w:p>
      <w:pPr>
        <w:adjustRightInd w:val="0"/>
        <w:snapToGrid w:val="0"/>
        <w:spacing w:line="360" w:lineRule="auto"/>
        <w:ind w:firstLine="420" w:firstLineChars="200"/>
        <w:rPr>
          <w:szCs w:val="21"/>
        </w:rPr>
      </w:pPr>
      <w:r>
        <w:rPr>
          <w:szCs w:val="21"/>
        </w:rPr>
        <w:t>本标准着眼于规范</w:t>
      </w:r>
      <w:r>
        <w:rPr>
          <w:rFonts w:hint="eastAsia"/>
          <w:szCs w:val="21"/>
        </w:rPr>
        <w:t>钕铁硼生产加工回收料中有价元素回收利用技术，符合《绿色制造标准体系建设指南》（工信部联节〔2016〕304号）、《工业和通信业节能与综合利用领域技术标准体系建设方案》（工信厅节〔2014〕149号）确定的工业节能与综合利用及绿色制造标准体系。</w:t>
      </w:r>
      <w:r>
        <w:rPr>
          <w:szCs w:val="21"/>
        </w:rPr>
        <w:t>本</w:t>
      </w:r>
      <w:r>
        <w:rPr>
          <w:rFonts w:hint="eastAsia"/>
          <w:szCs w:val="21"/>
        </w:rPr>
        <w:t>标准</w:t>
      </w:r>
      <w:r>
        <w:rPr>
          <w:szCs w:val="21"/>
        </w:rPr>
        <w:t>旨在发挥</w:t>
      </w:r>
      <w:r>
        <w:rPr>
          <w:rFonts w:hint="eastAsia"/>
          <w:szCs w:val="21"/>
        </w:rPr>
        <w:t>钕铁硼生产加工回收料</w:t>
      </w:r>
      <w:r>
        <w:rPr>
          <w:szCs w:val="21"/>
        </w:rPr>
        <w:t>回收利用领域规范企业的引领作用，凝聚行业力量，提升科技水平，开展企业自律，推动行业规范健康发展。</w:t>
      </w:r>
      <w:r>
        <w:rPr>
          <w:rFonts w:hint="eastAsia"/>
          <w:szCs w:val="21"/>
        </w:rPr>
        <w:t xml:space="preserve"> </w:t>
      </w:r>
    </w:p>
    <w:p>
      <w:pPr>
        <w:adjustRightInd w:val="0"/>
        <w:snapToGrid w:val="0"/>
        <w:spacing w:line="360" w:lineRule="auto"/>
        <w:rPr>
          <w:rFonts w:ascii="黑体" w:hAnsi="黑体" w:eastAsia="黑体" w:cs="黑体"/>
        </w:rPr>
      </w:pPr>
      <w:r>
        <w:rPr>
          <w:rFonts w:ascii="黑体" w:hAnsi="黑体" w:eastAsia="黑体" w:cs="黑体"/>
        </w:rPr>
        <w:t xml:space="preserve">1.2  </w:t>
      </w:r>
      <w:r>
        <w:rPr>
          <w:rFonts w:hint="eastAsia" w:ascii="黑体" w:hAnsi="黑体" w:eastAsia="黑体" w:cs="黑体"/>
        </w:rPr>
        <w:t>任务来源</w:t>
      </w:r>
    </w:p>
    <w:p>
      <w:pPr>
        <w:adjustRightInd w:val="0"/>
        <w:snapToGrid w:val="0"/>
        <w:spacing w:line="360" w:lineRule="auto"/>
        <w:ind w:firstLine="420" w:firstLineChars="200"/>
        <w:rPr>
          <w:szCs w:val="21"/>
        </w:rPr>
      </w:pPr>
      <w:bookmarkStart w:id="0" w:name="OLE_LINK1"/>
      <w:bookmarkStart w:id="1" w:name="OLE_LINK2"/>
      <w:r>
        <w:rPr>
          <w:rFonts w:hint="eastAsia"/>
          <w:szCs w:val="21"/>
        </w:rPr>
        <w:t>根据“关于征集2019年度全国稀土标准化技术委员会年会论证的标准计划项目的通知”（稀土标委[2019]48号），虔东稀土集团股份有限公司提出《钕铁硼废料有价元素回收利用技术规范》标准项目。在11月13日~15日，泉州年会上对该标准进行了论证。2020年8月24日，全国稀土标准化技术委员会在陕西省西安市召开了2020年第4次稀土标准工作会议（ [2020]26号）”，《钕铁硼废料有价元素回收利用技术规范》行业标准计划正式下达，计划编号为</w:t>
      </w:r>
      <w:r>
        <w:rPr>
          <w:szCs w:val="21"/>
        </w:rPr>
        <w:t>2020-0465T-XB</w:t>
      </w:r>
      <w:r>
        <w:rPr>
          <w:rFonts w:hint="eastAsia"/>
          <w:szCs w:val="21"/>
        </w:rPr>
        <w:t>，完成年限为2020年，由虔东稀土集团股份有限公司牵头起草</w:t>
      </w:r>
      <w:bookmarkEnd w:id="0"/>
      <w:bookmarkEnd w:id="1"/>
      <w:r>
        <w:rPr>
          <w:rFonts w:hint="eastAsia"/>
          <w:szCs w:val="21"/>
        </w:rPr>
        <w:t>，会上确定了项目参与单位，包括中化地质矿山总局浙江地质勘查院、国家钨与稀土产品质量监督检测中心、江西泰斯特新材料测试评价中心有限公司、赣州稀土友力科技开发有限公司、中稀天马新材料科技股份有限公司、江苏南方永磁科技有限公司、包头稀土研究院、有研稀土新材料股份有限公司、福建省长汀金龙稀土有限公司、赣州有色冶金研究所、赣州步莱铽新资源有限公司、赣州湛海新材料科技有限公司、广东省稀土产业集团有限公司、河北雄安稀土功能材料创新中心有限公司、中铝广西有色稀土开发有限公司、甘肃稀土新材料股份有限公司为报名参与单位。</w:t>
      </w:r>
    </w:p>
    <w:p>
      <w:pPr>
        <w:pStyle w:val="26"/>
        <w:adjustRightInd w:val="0"/>
        <w:snapToGrid w:val="0"/>
        <w:spacing w:beforeLines="50" w:afterLines="50" w:line="360" w:lineRule="auto"/>
        <w:ind w:firstLine="0"/>
        <w:jc w:val="left"/>
        <w:rPr>
          <w:rFonts w:ascii="黑体" w:hAnsi="黑体" w:eastAsia="黑体" w:cs="黑体"/>
        </w:rPr>
      </w:pPr>
      <w:r>
        <w:rPr>
          <w:rFonts w:ascii="黑体" w:hAnsi="黑体" w:eastAsia="黑体" w:cs="黑体"/>
        </w:rPr>
        <w:t xml:space="preserve">1.3 </w:t>
      </w:r>
      <w:r>
        <w:rPr>
          <w:rFonts w:hint="eastAsia" w:ascii="黑体" w:hAnsi="黑体" w:eastAsia="黑体" w:cs="黑体"/>
        </w:rPr>
        <w:t>标准项目编制工作组单位简况</w:t>
      </w:r>
    </w:p>
    <w:p>
      <w:pPr>
        <w:autoSpaceDE w:val="0"/>
        <w:autoSpaceDN w:val="0"/>
        <w:adjustRightInd w:val="0"/>
        <w:spacing w:line="360" w:lineRule="auto"/>
        <w:ind w:firstLine="420" w:firstLineChars="200"/>
        <w:jc w:val="left"/>
      </w:pPr>
      <w:r>
        <w:rPr>
          <w:rFonts w:hint="eastAsia"/>
        </w:rPr>
        <w:t>标准起草组共包括虔东稀土集团股份有限公司、中化地质矿山总局浙江地质勘查院、国家钨与稀土产品质量监督检测中心、江西泰斯特新材料测试评价中心有限公司、赣州稀土友力科技开发有限公司、中稀天马新材料科技股份有限公司、江苏南方永磁科技有限公司、包头稀土研究院、有研稀土新材料股份有限公司、福建省长汀金龙稀土有限公司、赣州有色冶金研究所、赣州步莱铽新资源有限公司、赣州湛海新材料科技有限公司、广东省稀土产业集团有限公司、河北雄安稀土功能材料创新中心有限公司、中铝广西有色稀土开发有限公司、</w:t>
      </w:r>
      <w:bookmarkStart w:id="2" w:name="OLE_LINK3"/>
      <w:r>
        <w:rPr>
          <w:rFonts w:hint="eastAsia"/>
        </w:rPr>
        <w:t>甘肃稀土新材料股份有限公司</w:t>
      </w:r>
      <w:bookmarkEnd w:id="2"/>
      <w:r>
        <w:rPr>
          <w:rFonts w:hint="eastAsia"/>
        </w:rPr>
        <w:t>17家单位，其中钕铁硼回收料生产企业6家，用户企业5家，研究院所6家，涵盖了钕铁硼加工回收料的产业链，能够充分保证标准研制的行业代表性。</w:t>
      </w:r>
    </w:p>
    <w:p>
      <w:pPr>
        <w:pStyle w:val="25"/>
        <w:adjustRightInd w:val="0"/>
        <w:snapToGrid w:val="0"/>
        <w:spacing w:line="360" w:lineRule="auto"/>
        <w:ind w:firstLine="420"/>
        <w:jc w:val="left"/>
        <w:rPr>
          <w:rFonts w:ascii="Times New Roman" w:hAnsi="Times New Roman" w:cs="Times New Roman"/>
        </w:rPr>
      </w:pPr>
      <w:r>
        <w:rPr>
          <w:rFonts w:hint="eastAsia" w:ascii="Times New Roman" w:hAnsi="Times New Roman" w:cs="Times New Roman"/>
        </w:rPr>
        <w:t>虔东稀土集团股份有限公司（以下简称虔东集团），是一家专业从事稀土各类产品生产经营的民营企业。经过30年的快速发展，虔东集团由最初的金属冶炼企业发展成为一家集稀土基础材料、稀土功能材料、稀土应用产品开发和稀土加工装备制造为一体的稀土开发综合性企业集团，旗下拥有赣州科力稀土新材料有限公司、东利高技术、科瑞精密磁材、力赛科等</w:t>
      </w:r>
      <w:r>
        <w:rPr>
          <w:rFonts w:ascii="Times New Roman" w:hAnsi="Times New Roman" w:cs="Times New Roman"/>
        </w:rPr>
        <w:t>1</w:t>
      </w:r>
      <w:r>
        <w:rPr>
          <w:rFonts w:hint="eastAsia" w:ascii="Times New Roman" w:hAnsi="Times New Roman" w:cs="Times New Roman"/>
        </w:rPr>
        <w:t>0多家子公司和控股公司。</w:t>
      </w:r>
      <w:r>
        <w:rPr>
          <w:rFonts w:hint="eastAsia" w:ascii="Times New Roman" w:hAnsi="Times New Roman" w:cs="Times New Roman"/>
          <w:kern w:val="0"/>
        </w:rPr>
        <w:t>公司已初步建立了完整的科研、试验、生产、检测体系和具有国内先进水平的稀土分离、稀土金属、稀土磁性材料、稀土结构陶瓷、稀土发光材料、稀土催化剂、稀土资源回收、稀土加工设备制造等生产线。主要生产稀土化合物、稀土金属、稀土合金、磁性材料、荧光粉、钇锆结构陶瓷、稀土催化剂和稀土深加工设备等</w:t>
      </w:r>
      <w:r>
        <w:rPr>
          <w:rFonts w:ascii="Times New Roman" w:hAnsi="Times New Roman" w:cs="Times New Roman"/>
          <w:kern w:val="0"/>
        </w:rPr>
        <w:t>60</w:t>
      </w:r>
      <w:r>
        <w:rPr>
          <w:rFonts w:hint="eastAsia" w:ascii="Times New Roman" w:hAnsi="Times New Roman" w:cs="Times New Roman"/>
          <w:kern w:val="0"/>
        </w:rPr>
        <w:t>余种产品。公司自</w:t>
      </w:r>
      <w:r>
        <w:rPr>
          <w:rFonts w:ascii="Times New Roman" w:hAnsi="Times New Roman" w:cs="Times New Roman"/>
          <w:kern w:val="0"/>
        </w:rPr>
        <w:t>1988</w:t>
      </w:r>
      <w:r>
        <w:rPr>
          <w:rFonts w:hint="eastAsia" w:ascii="Times New Roman" w:hAnsi="Times New Roman" w:cs="Times New Roman"/>
          <w:kern w:val="0"/>
        </w:rPr>
        <w:t>年创办以来，紧紧依靠科技进步，先后组织实施了</w:t>
      </w:r>
      <w:r>
        <w:rPr>
          <w:rFonts w:ascii="Times New Roman" w:hAnsi="Times New Roman" w:cs="Times New Roman"/>
          <w:kern w:val="0"/>
        </w:rPr>
        <w:t>1</w:t>
      </w:r>
      <w:r>
        <w:rPr>
          <w:rFonts w:hint="eastAsia" w:ascii="Times New Roman" w:hAnsi="Times New Roman" w:cs="Times New Roman"/>
          <w:kern w:val="0"/>
        </w:rPr>
        <w:t>个国家“</w:t>
      </w:r>
      <w:r>
        <w:rPr>
          <w:rFonts w:ascii="Times New Roman" w:hAnsi="Times New Roman" w:cs="Times New Roman"/>
          <w:kern w:val="0"/>
        </w:rPr>
        <w:t>863</w:t>
      </w:r>
      <w:r>
        <w:rPr>
          <w:rFonts w:hint="eastAsia" w:ascii="Times New Roman" w:hAnsi="Times New Roman" w:cs="Times New Roman"/>
          <w:kern w:val="0"/>
        </w:rPr>
        <w:t>计划”项目、</w:t>
      </w:r>
      <w:r>
        <w:rPr>
          <w:rFonts w:ascii="Times New Roman" w:hAnsi="Times New Roman" w:cs="Times New Roman"/>
          <w:kern w:val="0"/>
        </w:rPr>
        <w:t>3</w:t>
      </w:r>
      <w:r>
        <w:rPr>
          <w:rFonts w:hint="eastAsia" w:ascii="Times New Roman" w:hAnsi="Times New Roman" w:cs="Times New Roman"/>
          <w:kern w:val="0"/>
        </w:rPr>
        <w:t>个国家“星火计划”项目、</w:t>
      </w:r>
      <w:r>
        <w:rPr>
          <w:rFonts w:ascii="Times New Roman" w:hAnsi="Times New Roman" w:cs="Times New Roman"/>
          <w:kern w:val="0"/>
        </w:rPr>
        <w:t>3</w:t>
      </w:r>
      <w:r>
        <w:rPr>
          <w:rFonts w:hint="eastAsia" w:ascii="Times New Roman" w:hAnsi="Times New Roman" w:cs="Times New Roman"/>
          <w:kern w:val="0"/>
        </w:rPr>
        <w:t>个国家“火炬计划”项目、</w:t>
      </w:r>
      <w:r>
        <w:rPr>
          <w:rFonts w:ascii="Times New Roman" w:hAnsi="Times New Roman" w:cs="Times New Roman"/>
          <w:kern w:val="0"/>
        </w:rPr>
        <w:t>1</w:t>
      </w:r>
      <w:r>
        <w:rPr>
          <w:rFonts w:hint="eastAsia" w:ascii="Times New Roman" w:hAnsi="Times New Roman" w:cs="Times New Roman"/>
          <w:kern w:val="0"/>
        </w:rPr>
        <w:t>个国家“重点新产品”项目、</w:t>
      </w:r>
      <w:r>
        <w:rPr>
          <w:rFonts w:ascii="Times New Roman" w:hAnsi="Times New Roman" w:cs="Times New Roman"/>
          <w:kern w:val="0"/>
        </w:rPr>
        <w:t>1</w:t>
      </w:r>
      <w:r>
        <w:rPr>
          <w:rFonts w:hint="eastAsia" w:ascii="Times New Roman" w:hAnsi="Times New Roman" w:cs="Times New Roman"/>
          <w:kern w:val="0"/>
        </w:rPr>
        <w:t>个</w:t>
      </w:r>
      <w:r>
        <w:rPr>
          <w:rFonts w:hint="eastAsia" w:ascii="Times New Roman" w:hAnsi="Times New Roman" w:cs="Times New Roman"/>
        </w:rPr>
        <w:t>国家“创新基金计划”项目等</w:t>
      </w:r>
      <w:r>
        <w:rPr>
          <w:rFonts w:ascii="Times New Roman" w:hAnsi="Times New Roman" w:cs="Times New Roman"/>
        </w:rPr>
        <w:t>70</w:t>
      </w:r>
      <w:r>
        <w:rPr>
          <w:rFonts w:hint="eastAsia" w:ascii="Times New Roman" w:hAnsi="Times New Roman" w:cs="Times New Roman"/>
        </w:rPr>
        <w:t>多个国家、省、市级新产品的研制和开发。公司的稀土资源综合利用项目“年处理8000吨稀土磁材边角磨料”是赣州市的重点项目。该项目具有高价值元素回收率高、产品质量好、生产成本低、综合利用好、绿色环保等特点。2018年11月6日，工信部办公厅在官网上公布了第三批绿色制造名单，虔东集团名列其中，此次入选对虔东集团绿色制造所做的工作给予了莫大鼓励。</w:t>
      </w:r>
    </w:p>
    <w:p>
      <w:pPr>
        <w:widowControl/>
        <w:adjustRightInd w:val="0"/>
        <w:snapToGrid w:val="0"/>
        <w:spacing w:line="360" w:lineRule="auto"/>
        <w:ind w:firstLine="420"/>
        <w:jc w:val="left"/>
        <w:rPr>
          <w:kern w:val="0"/>
          <w:szCs w:val="21"/>
        </w:rPr>
      </w:pPr>
      <w:r>
        <w:rPr>
          <w:rFonts w:hint="eastAsia"/>
          <w:kern w:val="0"/>
          <w:szCs w:val="21"/>
        </w:rPr>
        <w:t>近年来虔东集团主持制修订了多项标准：《钕铁硼生产加工回收料》、《稀土采、选、冶行业绿色工厂评价导则》、《稀土废渣废水化学分析方法》、《钕铁硼废料化学分析方法》、《金属铈》、《镨钕氧化物》、《金属钐》、《钕铁硼合金化学分析方法》等等，参与了多项标准的起草及验证工作，在稀土标准的制修订方面，累积了丰富的经验。</w:t>
      </w:r>
    </w:p>
    <w:p>
      <w:pPr>
        <w:pStyle w:val="26"/>
        <w:adjustRightInd w:val="0"/>
        <w:snapToGrid w:val="0"/>
        <w:spacing w:beforeLines="50" w:afterLines="50" w:line="360" w:lineRule="auto"/>
        <w:ind w:firstLine="0"/>
        <w:jc w:val="left"/>
        <w:rPr>
          <w:rFonts w:ascii="黑体" w:hAnsi="黑体" w:eastAsia="黑体" w:cs="黑体"/>
        </w:rPr>
      </w:pPr>
      <w:r>
        <w:rPr>
          <w:rFonts w:ascii="黑体" w:hAnsi="黑体" w:eastAsia="黑体" w:cs="黑体"/>
        </w:rPr>
        <w:t xml:space="preserve">1.4 </w:t>
      </w:r>
      <w:r>
        <w:rPr>
          <w:rFonts w:hint="eastAsia" w:ascii="黑体" w:hAnsi="黑体" w:eastAsia="黑体" w:cs="黑体"/>
        </w:rPr>
        <w:t>主要工作过程</w:t>
      </w:r>
    </w:p>
    <w:p>
      <w:pPr>
        <w:widowControl/>
        <w:spacing w:line="360" w:lineRule="auto"/>
        <w:rPr>
          <w:rFonts w:eastAsia="黑体"/>
          <w:kern w:val="0"/>
          <w:szCs w:val="21"/>
        </w:rPr>
      </w:pPr>
      <w:r>
        <w:rPr>
          <w:rFonts w:hint="eastAsia" w:eastAsia="黑体"/>
          <w:kern w:val="0"/>
          <w:szCs w:val="21"/>
        </w:rPr>
        <w:t>1.4.1 制订的可行性研究</w:t>
      </w:r>
    </w:p>
    <w:p>
      <w:pPr>
        <w:adjustRightInd w:val="0"/>
        <w:snapToGrid w:val="0"/>
        <w:spacing w:line="360" w:lineRule="auto"/>
        <w:ind w:firstLine="420" w:firstLineChars="200"/>
        <w:rPr>
          <w:szCs w:val="21"/>
        </w:rPr>
      </w:pPr>
      <w:r>
        <w:rPr>
          <w:rFonts w:hint="eastAsia"/>
          <w:szCs w:val="21"/>
        </w:rPr>
        <w:t>本标准符合《绿色制造标准体系建设指南》（工信部联节〔2016〕304号）、《工业和通信业节能与综合利用领域技术标准体系建设方案》（工信厅节〔2014〕149号）确定的工业节能与综合利用及绿色制造标准体系。该标准的制定推动稀土回收产业节能与绿色发展，为企业带来良好的经济效益同时创造良好的社会效益和环境效益。</w:t>
      </w:r>
      <w:r>
        <w:rPr>
          <w:szCs w:val="21"/>
        </w:rPr>
        <w:t xml:space="preserve"> </w:t>
      </w:r>
    </w:p>
    <w:p>
      <w:pPr>
        <w:widowControl/>
        <w:spacing w:line="360" w:lineRule="auto"/>
        <w:rPr>
          <w:rFonts w:eastAsia="黑体"/>
          <w:kern w:val="0"/>
          <w:szCs w:val="21"/>
        </w:rPr>
      </w:pPr>
      <w:r>
        <w:rPr>
          <w:rFonts w:hint="eastAsia"/>
          <w:kern w:val="0"/>
          <w:szCs w:val="21"/>
        </w:rPr>
        <w:t xml:space="preserve">1.4.2 </w:t>
      </w:r>
      <w:r>
        <w:rPr>
          <w:rFonts w:hint="eastAsia" w:eastAsia="黑体"/>
          <w:kern w:val="0"/>
          <w:szCs w:val="21"/>
        </w:rPr>
        <w:t>意见征集</w:t>
      </w:r>
    </w:p>
    <w:p>
      <w:pPr>
        <w:widowControl/>
        <w:adjustRightInd w:val="0"/>
        <w:snapToGrid w:val="0"/>
        <w:spacing w:line="360" w:lineRule="auto"/>
        <w:ind w:firstLine="420" w:firstLineChars="200"/>
        <w:rPr>
          <w:kern w:val="0"/>
          <w:szCs w:val="21"/>
        </w:rPr>
      </w:pPr>
      <w:r>
        <w:rPr>
          <w:rFonts w:hint="eastAsia"/>
          <w:kern w:val="0"/>
          <w:szCs w:val="21"/>
        </w:rPr>
        <w:t>2020年9月27日，发送标准征求意见稿</w:t>
      </w:r>
      <w:r>
        <w:rPr>
          <w:rFonts w:hint="eastAsia" w:ascii="宋体" w:hAnsi="宋体"/>
          <w:kern w:val="0"/>
          <w:szCs w:val="21"/>
        </w:rPr>
        <w:t>Ⅰ</w:t>
      </w:r>
      <w:r>
        <w:rPr>
          <w:rFonts w:hint="eastAsia"/>
          <w:kern w:val="0"/>
          <w:szCs w:val="21"/>
        </w:rPr>
        <w:t>并，10月X号完成意见汇总。我单位共发出征求意见稿X份，其中非委员单位占X份。</w:t>
      </w:r>
    </w:p>
    <w:p>
      <w:pPr>
        <w:pStyle w:val="26"/>
        <w:adjustRightInd w:val="0"/>
        <w:snapToGrid w:val="0"/>
        <w:spacing w:beforeLines="50" w:afterLines="50" w:line="360" w:lineRule="auto"/>
        <w:ind w:firstLine="0"/>
        <w:jc w:val="left"/>
        <w:rPr>
          <w:rFonts w:ascii="黑体" w:hAnsi="黑体" w:eastAsia="黑体" w:cs="黑体"/>
        </w:rPr>
      </w:pPr>
      <w:r>
        <w:rPr>
          <w:rFonts w:ascii="黑体" w:hAnsi="黑体" w:eastAsia="黑体" w:cs="黑体"/>
        </w:rPr>
        <w:t>1.</w:t>
      </w:r>
      <w:r>
        <w:rPr>
          <w:rFonts w:hint="eastAsia" w:ascii="黑体" w:hAnsi="黑体" w:eastAsia="黑体" w:cs="黑体"/>
        </w:rPr>
        <w:t>5标准工作会议情况</w:t>
      </w:r>
    </w:p>
    <w:p>
      <w:pPr>
        <w:widowControl/>
        <w:adjustRightInd w:val="0"/>
        <w:snapToGrid w:val="0"/>
        <w:spacing w:line="360" w:lineRule="auto"/>
        <w:rPr>
          <w:kern w:val="0"/>
          <w:szCs w:val="21"/>
        </w:rPr>
      </w:pPr>
      <w:r>
        <w:rPr>
          <w:rFonts w:hint="eastAsia"/>
          <w:kern w:val="0"/>
          <w:szCs w:val="21"/>
        </w:rPr>
        <w:t>1.5.1第一次工作会议（任务落实和讨论会）</w:t>
      </w:r>
    </w:p>
    <w:p>
      <w:pPr>
        <w:widowControl/>
        <w:adjustRightInd w:val="0"/>
        <w:snapToGrid w:val="0"/>
        <w:spacing w:line="360" w:lineRule="auto"/>
        <w:ind w:firstLine="420" w:firstLineChars="200"/>
        <w:rPr>
          <w:kern w:val="0"/>
          <w:szCs w:val="21"/>
        </w:rPr>
      </w:pPr>
      <w:r>
        <w:rPr>
          <w:rFonts w:hint="eastAsia"/>
          <w:kern w:val="0"/>
          <w:szCs w:val="21"/>
        </w:rPr>
        <w:t>2020年8月24日至27日于浙江宁波召开“2020年第四次稀土工作会议”，会上确定了项目参与单位，并初步确定了《钕铁硼废料有价元素回收利用技术规范》标准时间安排，与会代表对标准草案稿进行了讨论，给出意见。</w:t>
      </w:r>
    </w:p>
    <w:p>
      <w:pPr>
        <w:widowControl/>
        <w:adjustRightInd w:val="0"/>
        <w:snapToGrid w:val="0"/>
        <w:spacing w:line="360" w:lineRule="auto"/>
        <w:rPr>
          <w:color w:val="C00000"/>
          <w:kern w:val="0"/>
          <w:szCs w:val="21"/>
        </w:rPr>
      </w:pPr>
      <w:r>
        <w:rPr>
          <w:rFonts w:hint="eastAsia"/>
          <w:color w:val="C00000"/>
          <w:kern w:val="0"/>
          <w:szCs w:val="21"/>
        </w:rPr>
        <w:t>1.5.2第二次工作会议（预审会）</w:t>
      </w:r>
    </w:p>
    <w:p>
      <w:pPr>
        <w:widowControl/>
        <w:adjustRightInd w:val="0"/>
        <w:snapToGrid w:val="0"/>
        <w:spacing w:line="360" w:lineRule="auto"/>
        <w:ind w:firstLine="420" w:firstLineChars="200"/>
        <w:rPr>
          <w:color w:val="C00000"/>
          <w:kern w:val="0"/>
          <w:szCs w:val="21"/>
        </w:rPr>
      </w:pPr>
    </w:p>
    <w:p>
      <w:pPr>
        <w:widowControl/>
        <w:numPr>
          <w:ilvl w:val="0"/>
          <w:numId w:val="4"/>
        </w:numPr>
        <w:adjustRightInd w:val="0"/>
        <w:snapToGrid w:val="0"/>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标准编制原则和标准主要内容</w:t>
      </w:r>
    </w:p>
    <w:p>
      <w:pPr>
        <w:widowControl/>
        <w:adjustRightInd w:val="0"/>
        <w:snapToGrid w:val="0"/>
        <w:spacing w:line="360" w:lineRule="auto"/>
        <w:jc w:val="left"/>
        <w:rPr>
          <w:kern w:val="0"/>
          <w:szCs w:val="21"/>
        </w:rPr>
      </w:pPr>
      <w:r>
        <w:rPr>
          <w:rFonts w:hint="eastAsia"/>
          <w:kern w:val="0"/>
          <w:szCs w:val="21"/>
        </w:rPr>
        <w:t>2.1 编制原则</w:t>
      </w:r>
    </w:p>
    <w:p>
      <w:pPr>
        <w:widowControl/>
        <w:adjustRightInd w:val="0"/>
        <w:snapToGrid w:val="0"/>
        <w:spacing w:line="360" w:lineRule="auto"/>
        <w:ind w:firstLine="420" w:firstLineChars="200"/>
        <w:jc w:val="left"/>
        <w:rPr>
          <w:kern w:val="0"/>
          <w:szCs w:val="21"/>
        </w:rPr>
      </w:pPr>
      <w:r>
        <w:rPr>
          <w:rFonts w:hint="eastAsia"/>
          <w:kern w:val="0"/>
          <w:szCs w:val="21"/>
        </w:rPr>
        <w:t>标准文本主要按照GB/T 1.1的原则来起草。</w:t>
      </w:r>
    </w:p>
    <w:p>
      <w:pPr>
        <w:widowControl/>
        <w:adjustRightInd w:val="0"/>
        <w:snapToGrid w:val="0"/>
        <w:spacing w:line="360" w:lineRule="auto"/>
        <w:ind w:firstLine="420" w:firstLineChars="200"/>
        <w:jc w:val="left"/>
        <w:rPr>
          <w:kern w:val="0"/>
          <w:szCs w:val="21"/>
        </w:rPr>
      </w:pPr>
      <w:r>
        <w:rPr>
          <w:rFonts w:hint="eastAsia"/>
          <w:kern w:val="0"/>
          <w:szCs w:val="21"/>
        </w:rPr>
        <w:t>标准制定的技术内容主要基于行业需求的原则。</w:t>
      </w:r>
    </w:p>
    <w:p>
      <w:pPr>
        <w:widowControl/>
        <w:adjustRightInd w:val="0"/>
        <w:snapToGrid w:val="0"/>
        <w:spacing w:beforeLines="50" w:afterLines="50" w:line="360" w:lineRule="auto"/>
        <w:rPr>
          <w:kern w:val="0"/>
          <w:szCs w:val="21"/>
        </w:rPr>
      </w:pPr>
      <w:r>
        <w:rPr>
          <w:rFonts w:hint="eastAsia"/>
          <w:kern w:val="0"/>
          <w:szCs w:val="21"/>
        </w:rPr>
        <w:t>2.2标准主要技术内容</w:t>
      </w:r>
    </w:p>
    <w:p>
      <w:pPr>
        <w:widowControl/>
        <w:adjustRightInd w:val="0"/>
        <w:snapToGrid w:val="0"/>
        <w:spacing w:beforeLines="50" w:afterLines="50" w:line="360" w:lineRule="auto"/>
        <w:ind w:firstLine="420" w:firstLineChars="200"/>
        <w:rPr>
          <w:rFonts w:hAnsi="宋体"/>
          <w:szCs w:val="21"/>
        </w:rPr>
      </w:pPr>
      <w:r>
        <w:rPr>
          <w:szCs w:val="21"/>
        </w:rPr>
        <w:t>本</w:t>
      </w:r>
      <w:r>
        <w:rPr>
          <w:rFonts w:hint="eastAsia"/>
          <w:szCs w:val="21"/>
        </w:rPr>
        <w:t>文件</w:t>
      </w:r>
      <w:r>
        <w:rPr>
          <w:szCs w:val="21"/>
        </w:rPr>
        <w:t>规定了</w:t>
      </w:r>
      <w:r>
        <w:rPr>
          <w:rFonts w:hint="eastAsia"/>
          <w:szCs w:val="21"/>
        </w:rPr>
        <w:t>钕铁硼生产加工回收料中有价元素回收利用的总体要求、收集、分类、储存及运输、采样与检测、利用途径及环保要求。</w:t>
      </w:r>
      <w:r>
        <w:rPr>
          <w:color w:val="000000"/>
          <w:szCs w:val="21"/>
        </w:rPr>
        <w:t>适用于</w:t>
      </w:r>
      <w:r>
        <w:rPr>
          <w:rFonts w:hint="eastAsia"/>
          <w:color w:val="000000"/>
          <w:szCs w:val="21"/>
        </w:rPr>
        <w:t>钕铁硼生产加工回收料中有价元素</w:t>
      </w:r>
      <w:r>
        <w:rPr>
          <w:color w:val="000000"/>
          <w:szCs w:val="21"/>
        </w:rPr>
        <w:t>的</w:t>
      </w:r>
      <w:r>
        <w:rPr>
          <w:rFonts w:hint="eastAsia"/>
          <w:color w:val="000000"/>
          <w:szCs w:val="21"/>
        </w:rPr>
        <w:t>化学法回收利用</w:t>
      </w:r>
      <w:r>
        <w:rPr>
          <w:rFonts w:hint="eastAsia" w:hAnsi="宋体"/>
          <w:szCs w:val="21"/>
        </w:rPr>
        <w:t>。钕铁硼生产加工回收料采用湿法工艺，主要处理流程图如下：</w:t>
      </w:r>
    </w:p>
    <w:p>
      <w:pPr>
        <w:widowControl/>
        <w:adjustRightInd w:val="0"/>
        <w:snapToGrid w:val="0"/>
        <w:spacing w:beforeLines="50" w:afterLines="50" w:line="360" w:lineRule="auto"/>
        <w:ind w:firstLine="420" w:firstLineChars="200"/>
        <w:rPr>
          <w:rFonts w:hAnsi="宋体"/>
          <w:szCs w:val="21"/>
        </w:rPr>
      </w:pPr>
      <w:r>
        <w:rPr>
          <w:rFonts w:hAnsi="宋体"/>
          <w:szCs w:val="21"/>
        </w:rPr>
        <w:drawing>
          <wp:inline distT="0" distB="0" distL="0" distR="0">
            <wp:extent cx="5486400" cy="2775585"/>
            <wp:effectExtent l="19050" t="0" r="0" b="0"/>
            <wp:docPr id="1" name="图片 1" descr="钕铁硼回收技术规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钕铁硼回收技术规范.png"/>
                    <pic:cNvPicPr>
                      <a:picLocks noChangeAspect="1"/>
                    </pic:cNvPicPr>
                  </pic:nvPicPr>
                  <pic:blipFill>
                    <a:blip r:embed="rId5"/>
                    <a:srcRect/>
                    <a:stretch>
                      <a:fillRect/>
                    </a:stretch>
                  </pic:blipFill>
                  <pic:spPr>
                    <a:xfrm>
                      <a:off x="0" y="0"/>
                      <a:ext cx="5486400" cy="2775585"/>
                    </a:xfrm>
                    <a:prstGeom prst="rect">
                      <a:avLst/>
                    </a:prstGeom>
                    <a:noFill/>
                    <a:ln w="9525">
                      <a:noFill/>
                      <a:miter lim="800000"/>
                      <a:headEnd/>
                      <a:tailEnd/>
                    </a:ln>
                  </pic:spPr>
                </pic:pic>
              </a:graphicData>
            </a:graphic>
          </wp:inline>
        </w:drawing>
      </w:r>
    </w:p>
    <w:p>
      <w:pPr>
        <w:widowControl/>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 xml:space="preserve">三、标准制定的主要技术内容及依据 </w:t>
      </w:r>
    </w:p>
    <w:p>
      <w:pPr>
        <w:widowControl/>
        <w:spacing w:beforeLines="50" w:afterLines="50" w:line="360" w:lineRule="auto"/>
        <w:ind w:firstLine="420" w:firstLineChars="200"/>
        <w:rPr>
          <w:rFonts w:hAnsi="宋体"/>
          <w:szCs w:val="21"/>
        </w:rPr>
      </w:pPr>
      <w:r>
        <w:rPr>
          <w:rFonts w:hint="eastAsia" w:hAnsi="宋体"/>
          <w:szCs w:val="21"/>
        </w:rPr>
        <w:t>本标准包括范围，规范性引用文件，术语与定义，总体要求，收集、分类、储存及运输，采样与检测，有价元素识别及工艺设计要求，环保要求八个内容。</w:t>
      </w:r>
    </w:p>
    <w:p>
      <w:pPr>
        <w:widowControl/>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四、标准水平分析</w:t>
      </w:r>
    </w:p>
    <w:p>
      <w:pPr>
        <w:snapToGrid w:val="0"/>
        <w:spacing w:line="360" w:lineRule="auto"/>
        <w:ind w:firstLine="420" w:firstLineChars="200"/>
        <w:rPr>
          <w:rFonts w:hAnsi="宋体"/>
          <w:szCs w:val="21"/>
        </w:rPr>
      </w:pPr>
      <w:r>
        <w:rPr>
          <w:rFonts w:hint="eastAsia" w:hAnsi="宋体"/>
          <w:szCs w:val="21"/>
        </w:rPr>
        <w:t>本标准在编制过程中进行了大量的数据收集和讨论工作，同时兼顾了全国大部分钕铁硼生产加工回收料贸易的现状。通过文献检索，网上查询，国内目前无国家标准，国外无相关标准。</w:t>
      </w:r>
      <w:r>
        <w:rPr>
          <w:szCs w:val="21"/>
        </w:rPr>
        <w:t>本标准着眼于规范</w:t>
      </w:r>
      <w:r>
        <w:rPr>
          <w:rFonts w:hint="eastAsia"/>
          <w:szCs w:val="21"/>
        </w:rPr>
        <w:t>钕铁硼生产加工回收料中有价元素回收利用技术，符合《绿色制造标准体系建设指南》（工信部联节〔2016〕304号）、《工业和通信业节能与综合利用领域技术标准体系建设方案》（工信厅节〔2014〕149号）确定的工业节能与综合利用及绿色制造标准体系。</w:t>
      </w:r>
      <w:r>
        <w:rPr>
          <w:rFonts w:hint="eastAsia" w:hAnsi="宋体"/>
          <w:szCs w:val="21"/>
        </w:rPr>
        <w:t>所以本标准处于国际先进水平，对国内生产企业及相关行业的绿色发展产生积极的推动作用。</w:t>
      </w:r>
    </w:p>
    <w:p>
      <w:pPr>
        <w:widowControl/>
        <w:spacing w:beforeLines="50" w:afterLines="50" w:line="360" w:lineRule="auto"/>
        <w:rPr>
          <w:rFonts w:eastAsia="黑体"/>
          <w:kern w:val="0"/>
          <w:sz w:val="24"/>
          <w:szCs w:val="24"/>
        </w:rPr>
      </w:pPr>
      <w:r>
        <w:rPr>
          <w:rFonts w:hint="eastAsia" w:ascii="黑体" w:hAnsi="黑体" w:eastAsia="黑体" w:cs="黑体"/>
          <w:kern w:val="0"/>
          <w:sz w:val="24"/>
          <w:szCs w:val="24"/>
        </w:rPr>
        <w:t>五、与现行相关法律、法规、规章及相关标准，特别是强制性标准的协调性</w:t>
      </w:r>
    </w:p>
    <w:p>
      <w:pPr>
        <w:snapToGrid w:val="0"/>
        <w:spacing w:line="360" w:lineRule="auto"/>
        <w:ind w:firstLine="420" w:firstLineChars="200"/>
        <w:rPr>
          <w:kern w:val="0"/>
          <w:sz w:val="24"/>
          <w:szCs w:val="24"/>
        </w:rPr>
      </w:pPr>
      <w:r>
        <w:rPr>
          <w:rFonts w:hint="eastAsia" w:hAnsi="宋体"/>
          <w:szCs w:val="21"/>
        </w:rPr>
        <w:t>本标准与环保法及其他相关法律、法规无冲突，符合相关规定，确定能涵盖其特性及共性的技术内容。</w:t>
      </w:r>
    </w:p>
    <w:p>
      <w:pPr>
        <w:widowControl/>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六、标准中如涉及专利，应有明确的知识产权说明</w:t>
      </w:r>
    </w:p>
    <w:p>
      <w:pPr>
        <w:snapToGrid w:val="0"/>
        <w:spacing w:line="360" w:lineRule="auto"/>
        <w:ind w:firstLine="420" w:firstLineChars="200"/>
        <w:rPr>
          <w:rFonts w:ascii="黑体" w:hAnsi="黑体" w:eastAsia="黑体" w:cs="黑体"/>
          <w:kern w:val="0"/>
          <w:sz w:val="24"/>
          <w:szCs w:val="24"/>
        </w:rPr>
      </w:pPr>
      <w:r>
        <w:rPr>
          <w:rFonts w:hint="eastAsia" w:hAnsi="宋体"/>
          <w:szCs w:val="21"/>
        </w:rPr>
        <w:t>本标准制定过程中，没有检索到专利和知识产权问题。</w:t>
      </w:r>
    </w:p>
    <w:p>
      <w:pPr>
        <w:widowControl/>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七、重大分歧意见的处理经过和依据</w:t>
      </w:r>
    </w:p>
    <w:p>
      <w:pPr>
        <w:widowControl/>
        <w:spacing w:line="360" w:lineRule="auto"/>
        <w:ind w:firstLine="420" w:firstLineChars="200"/>
        <w:rPr>
          <w:kern w:val="0"/>
          <w:szCs w:val="21"/>
        </w:rPr>
      </w:pPr>
      <w:r>
        <w:rPr>
          <w:rFonts w:hint="eastAsia"/>
          <w:kern w:val="0"/>
          <w:szCs w:val="21"/>
        </w:rPr>
        <w:t>暂无重大分歧意见。</w:t>
      </w:r>
    </w:p>
    <w:p>
      <w:pPr>
        <w:widowControl/>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八、标准作为强制性或推荐性国家（或行业）标准的建议</w:t>
      </w:r>
    </w:p>
    <w:p>
      <w:pPr>
        <w:widowControl/>
        <w:spacing w:line="360" w:lineRule="auto"/>
        <w:ind w:firstLine="420" w:firstLineChars="200"/>
        <w:rPr>
          <w:kern w:val="0"/>
          <w:szCs w:val="21"/>
        </w:rPr>
      </w:pPr>
      <w:r>
        <w:rPr>
          <w:rFonts w:hint="eastAsia"/>
          <w:kern w:val="0"/>
          <w:szCs w:val="21"/>
        </w:rPr>
        <w:t>本标准是根据我国实际生产使用情况修订的，其整体内容达到国际先进水平，建议作为推荐性行业标准来制定。</w:t>
      </w:r>
    </w:p>
    <w:p>
      <w:pPr>
        <w:widowControl/>
        <w:spacing w:line="360" w:lineRule="auto"/>
        <w:rPr>
          <w:rFonts w:ascii="黑体" w:hAnsi="黑体" w:eastAsia="黑体" w:cs="黑体"/>
          <w:kern w:val="0"/>
          <w:sz w:val="24"/>
          <w:szCs w:val="24"/>
        </w:rPr>
      </w:pPr>
      <w:r>
        <w:rPr>
          <w:rFonts w:hint="eastAsia" w:ascii="黑体" w:hAnsi="黑体" w:eastAsia="黑体" w:cs="黑体"/>
          <w:kern w:val="0"/>
          <w:sz w:val="24"/>
          <w:szCs w:val="24"/>
        </w:rPr>
        <w:t>九、贯彻标准的要求和措施建议，包括：</w:t>
      </w:r>
    </w:p>
    <w:p>
      <w:pPr>
        <w:widowControl/>
        <w:spacing w:line="360" w:lineRule="auto"/>
        <w:ind w:firstLine="420" w:firstLineChars="200"/>
        <w:rPr>
          <w:kern w:val="0"/>
          <w:szCs w:val="21"/>
        </w:rPr>
      </w:pPr>
      <w:r>
        <w:rPr>
          <w:rFonts w:hint="eastAsia"/>
          <w:kern w:val="0"/>
          <w:szCs w:val="21"/>
        </w:rPr>
        <w:t>——组织措施</w:t>
      </w:r>
    </w:p>
    <w:p>
      <w:pPr>
        <w:widowControl/>
        <w:spacing w:line="360" w:lineRule="auto"/>
        <w:ind w:firstLine="420" w:firstLineChars="200"/>
        <w:rPr>
          <w:kern w:val="0"/>
          <w:szCs w:val="21"/>
        </w:rPr>
      </w:pPr>
      <w:r>
        <w:rPr>
          <w:rFonts w:hint="eastAsia"/>
          <w:kern w:val="0"/>
          <w:szCs w:val="21"/>
        </w:rPr>
        <w:t>本标准是针对资源综合利用而制定的，与生产及环境息息相关。根据工信部发布的《稀土行业发展规划（2016-2020年）》，坚持绿色发展是稀土行业发展的基本原则之一，要加快资源综合利用技术研发和清洁生产改造，推广绿色低碳发展模式，发展循环经济，减少污染物产生和排放，提高资源能源利用率，拓展稀土材料在节能环保领域应用。标准颁布实施后，需要国家有关部门组织大力宣传和贯彻，使相关企业及相关贸易单位能够主动地解读标准内容，充分认识和理解制订的标准条款，进而加以应用。</w:t>
      </w:r>
    </w:p>
    <w:p>
      <w:pPr>
        <w:widowControl/>
        <w:spacing w:line="360" w:lineRule="auto"/>
        <w:ind w:firstLine="420" w:firstLineChars="200"/>
        <w:rPr>
          <w:kern w:val="0"/>
          <w:szCs w:val="21"/>
        </w:rPr>
      </w:pPr>
      <w:r>
        <w:rPr>
          <w:rFonts w:hint="eastAsia"/>
          <w:kern w:val="0"/>
          <w:szCs w:val="21"/>
        </w:rPr>
        <w:t>——技术措施</w:t>
      </w:r>
    </w:p>
    <w:p>
      <w:pPr>
        <w:widowControl/>
        <w:spacing w:line="360" w:lineRule="auto"/>
        <w:ind w:firstLine="420" w:firstLineChars="200"/>
        <w:rPr>
          <w:kern w:val="0"/>
          <w:szCs w:val="21"/>
        </w:rPr>
      </w:pPr>
      <w:r>
        <w:rPr>
          <w:rFonts w:hint="eastAsia"/>
          <w:kern w:val="0"/>
          <w:szCs w:val="21"/>
        </w:rPr>
        <w:t>钕铁硼生产加工回收料中有价元素回收利用技术规范标准的制定，将为钕铁硼生产加工回收利用企业起到很好的指导作用。钕铁硼生产加工回收料来源于钕铁硼磁性材料，是宝贵的二次资源，具有巨大的潜在经济价值。该标准综合考虑了生产过程能耗、环境保护要求，相关企业参照使用本标准时，应对该标准有充分的了解，应认真解读该产品标准。</w:t>
      </w:r>
    </w:p>
    <w:p>
      <w:pPr>
        <w:widowControl/>
        <w:spacing w:line="360" w:lineRule="auto"/>
        <w:rPr>
          <w:rFonts w:ascii="黑体" w:hAnsi="黑体" w:eastAsia="黑体" w:cs="黑体"/>
          <w:kern w:val="0"/>
          <w:sz w:val="24"/>
          <w:szCs w:val="24"/>
        </w:rPr>
      </w:pPr>
      <w:r>
        <w:rPr>
          <w:rFonts w:hint="eastAsia" w:ascii="黑体" w:hAnsi="黑体" w:eastAsia="黑体" w:cs="黑体"/>
          <w:kern w:val="0"/>
          <w:sz w:val="24"/>
          <w:szCs w:val="24"/>
        </w:rPr>
        <w:t>十、废止现行有关标准的建议</w:t>
      </w:r>
    </w:p>
    <w:p>
      <w:pPr>
        <w:widowControl/>
        <w:spacing w:line="360" w:lineRule="auto"/>
        <w:ind w:firstLine="420" w:firstLineChars="200"/>
        <w:rPr>
          <w:kern w:val="0"/>
          <w:szCs w:val="21"/>
        </w:rPr>
      </w:pPr>
      <w:r>
        <w:rPr>
          <w:rFonts w:hint="eastAsia"/>
          <w:kern w:val="0"/>
          <w:szCs w:val="21"/>
        </w:rPr>
        <w:t>无</w:t>
      </w:r>
    </w:p>
    <w:p>
      <w:pPr>
        <w:widowControl/>
        <w:spacing w:line="360" w:lineRule="auto"/>
        <w:rPr>
          <w:rFonts w:ascii="黑体" w:hAnsi="黑体" w:eastAsia="黑体" w:cs="黑体"/>
          <w:kern w:val="0"/>
          <w:sz w:val="24"/>
          <w:szCs w:val="24"/>
        </w:rPr>
      </w:pPr>
      <w:r>
        <w:rPr>
          <w:rFonts w:hint="eastAsia" w:ascii="黑体" w:hAnsi="黑体" w:eastAsia="黑体" w:cs="黑体"/>
          <w:kern w:val="0"/>
          <w:sz w:val="24"/>
          <w:szCs w:val="24"/>
        </w:rPr>
        <w:t>十一、其他予以说明的事项</w:t>
      </w:r>
    </w:p>
    <w:p>
      <w:pPr>
        <w:adjustRightInd w:val="0"/>
        <w:snapToGrid w:val="0"/>
        <w:spacing w:line="360" w:lineRule="auto"/>
        <w:ind w:firstLine="420" w:firstLineChars="200"/>
        <w:rPr>
          <w:szCs w:val="21"/>
        </w:rPr>
      </w:pPr>
      <w:r>
        <w:rPr>
          <w:rFonts w:hint="eastAsia"/>
          <w:kern w:val="0"/>
          <w:szCs w:val="21"/>
        </w:rPr>
        <w:t>该标准的建立，</w:t>
      </w:r>
      <w:r>
        <w:rPr>
          <w:rFonts w:hint="eastAsia"/>
          <w:szCs w:val="21"/>
        </w:rPr>
        <w:t>推动稀土回收产业节能与绿色发展，为企业带来良好的经济效益同时创造良好的社会效益和环境效益。</w:t>
      </w:r>
      <w:r>
        <w:rPr>
          <w:szCs w:val="21"/>
        </w:rPr>
        <w:t xml:space="preserve"> </w:t>
      </w:r>
      <w:r>
        <w:rPr>
          <w:rFonts w:hint="eastAsia"/>
          <w:szCs w:val="21"/>
        </w:rPr>
        <w:t xml:space="preserve"> </w:t>
      </w:r>
    </w:p>
    <w:p>
      <w:pPr>
        <w:rPr>
          <w:sz w:val="24"/>
          <w:szCs w:val="24"/>
        </w:rPr>
      </w:pPr>
    </w:p>
    <w:p>
      <w:pPr>
        <w:rPr>
          <w:szCs w:val="21"/>
        </w:rPr>
      </w:pPr>
    </w:p>
    <w:p>
      <w:pPr>
        <w:spacing w:line="360" w:lineRule="auto"/>
        <w:ind w:left="4200" w:leftChars="2000" w:firstLine="1365" w:firstLineChars="650"/>
        <w:rPr>
          <w:szCs w:val="21"/>
        </w:rPr>
      </w:pPr>
      <w:r>
        <w:rPr>
          <w:rFonts w:hint="eastAsia"/>
          <w:szCs w:val="21"/>
        </w:rPr>
        <w:t>虔东稀土集团股份有限公司</w:t>
      </w:r>
    </w:p>
    <w:p>
      <w:pPr>
        <w:spacing w:line="360" w:lineRule="auto"/>
        <w:ind w:firstLine="5985" w:firstLineChars="2850"/>
        <w:rPr>
          <w:szCs w:val="21"/>
        </w:rPr>
      </w:pPr>
      <w:r>
        <w:rPr>
          <w:rFonts w:hint="eastAsia"/>
          <w:szCs w:val="21"/>
        </w:rPr>
        <w:t>二〇二〇年九月</w:t>
      </w:r>
    </w:p>
    <w:sectPr>
      <w:foot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Text Box 1" o:spid="_x0000_s2049" o:spt="202" type="#_x0000_t202" style="position:absolute;left:0pt;margin-top:0pt;height:10.35pt;width:4.55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&#1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7"/>
      <w:suff w:val="nothing"/>
      <w:lvlText w:val="%1　"/>
      <w:lvlJc w:val="left"/>
      <w:rPr>
        <w:rFonts w:hint="eastAsia" w:ascii="黑体" w:hAnsi="Times New Roman" w:eastAsia="黑体" w:cs="Times New Roman"/>
        <w:b w:val="0"/>
        <w:i w:val="0"/>
        <w:sz w:val="21"/>
        <w:szCs w:val="21"/>
      </w:rPr>
    </w:lvl>
    <w:lvl w:ilvl="1" w:tentative="0">
      <w:start w:val="1"/>
      <w:numFmt w:val="decimal"/>
      <w:suff w:val="nothing"/>
      <w:lvlText w:val="%1.%2　"/>
      <w:lvlJc w:val="left"/>
      <w:rPr>
        <w:rFonts w:hint="eastAsia" w:ascii="黑体" w:hAnsi="Times New Roman" w:eastAsia="黑体" w:cs="Times New Roman"/>
        <w:b w:val="0"/>
        <w:bCs w:val="0"/>
        <w:i w:val="0"/>
        <w:iCs w:val="0"/>
        <w:caps w:val="0"/>
        <w:strike w:val="0"/>
        <w:dstrike w:val="0"/>
        <w:color w:val="000000"/>
        <w:spacing w:val="0"/>
        <w:kern w:val="0"/>
        <w:position w:val="0"/>
        <w:sz w:val="21"/>
        <w:szCs w:val="21"/>
        <w:u w:val="none"/>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5588B29C"/>
    <w:multiLevelType w:val="singleLevel"/>
    <w:tmpl w:val="5588B29C"/>
    <w:lvl w:ilvl="0" w:tentative="0">
      <w:start w:val="2"/>
      <w:numFmt w:val="chineseCounting"/>
      <w:suff w:val="nothing"/>
      <w:lvlText w:val="%1、"/>
      <w:lvlJc w:val="left"/>
      <w:rPr>
        <w:rFonts w:cs="Times New Roman"/>
      </w:rPr>
    </w:lvl>
  </w:abstractNum>
  <w:abstractNum w:abstractNumId="2">
    <w:nsid w:val="57340E3A"/>
    <w:multiLevelType w:val="multilevel"/>
    <w:tmpl w:val="57340E3A"/>
    <w:lvl w:ilvl="0" w:tentative="0">
      <w:start w:val="1"/>
      <w:numFmt w:val="chineseCounting"/>
      <w:suff w:val="nothing"/>
      <w:lvlText w:val="%1、"/>
      <w:lvlJc w:val="left"/>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3">
    <w:nsid w:val="58685D03"/>
    <w:multiLevelType w:val="multilevel"/>
    <w:tmpl w:val="58685D03"/>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 w:numId="2">
    <w:abstractNumId w:val="2"/>
    <w:lvlOverride w:ilvl="0">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2"/>
  </w:compat>
  <w:rsids>
    <w:rsidRoot w:val="00CB6F6D"/>
    <w:rsid w:val="0001281F"/>
    <w:rsid w:val="00017EBE"/>
    <w:rsid w:val="00024EC1"/>
    <w:rsid w:val="00026608"/>
    <w:rsid w:val="000316C6"/>
    <w:rsid w:val="00034ABD"/>
    <w:rsid w:val="000369E1"/>
    <w:rsid w:val="00037CE3"/>
    <w:rsid w:val="00045E4C"/>
    <w:rsid w:val="00047C11"/>
    <w:rsid w:val="00051843"/>
    <w:rsid w:val="00053BFB"/>
    <w:rsid w:val="000672A2"/>
    <w:rsid w:val="00080425"/>
    <w:rsid w:val="0008576D"/>
    <w:rsid w:val="0009179F"/>
    <w:rsid w:val="000967AD"/>
    <w:rsid w:val="000977F3"/>
    <w:rsid w:val="000A0F6C"/>
    <w:rsid w:val="000C5B54"/>
    <w:rsid w:val="000C6E32"/>
    <w:rsid w:val="000D439F"/>
    <w:rsid w:val="000D6594"/>
    <w:rsid w:val="000E02F2"/>
    <w:rsid w:val="000E1EEA"/>
    <w:rsid w:val="000E586F"/>
    <w:rsid w:val="000F07E7"/>
    <w:rsid w:val="00103344"/>
    <w:rsid w:val="001044D0"/>
    <w:rsid w:val="00112191"/>
    <w:rsid w:val="00112C92"/>
    <w:rsid w:val="0012058B"/>
    <w:rsid w:val="00120E9F"/>
    <w:rsid w:val="00124D08"/>
    <w:rsid w:val="00125C04"/>
    <w:rsid w:val="001310A1"/>
    <w:rsid w:val="0013486B"/>
    <w:rsid w:val="00136C8D"/>
    <w:rsid w:val="001409D2"/>
    <w:rsid w:val="001447F5"/>
    <w:rsid w:val="001452F8"/>
    <w:rsid w:val="00165549"/>
    <w:rsid w:val="00172E10"/>
    <w:rsid w:val="00174983"/>
    <w:rsid w:val="001800E9"/>
    <w:rsid w:val="00182451"/>
    <w:rsid w:val="0018292C"/>
    <w:rsid w:val="00185266"/>
    <w:rsid w:val="00190713"/>
    <w:rsid w:val="001A3CD8"/>
    <w:rsid w:val="001B1403"/>
    <w:rsid w:val="001D559E"/>
    <w:rsid w:val="001D7327"/>
    <w:rsid w:val="001E176D"/>
    <w:rsid w:val="001F0222"/>
    <w:rsid w:val="001F1A7E"/>
    <w:rsid w:val="001F3E91"/>
    <w:rsid w:val="001F65C2"/>
    <w:rsid w:val="002036D2"/>
    <w:rsid w:val="0020399F"/>
    <w:rsid w:val="002341A6"/>
    <w:rsid w:val="00235DE7"/>
    <w:rsid w:val="00243227"/>
    <w:rsid w:val="00246DBF"/>
    <w:rsid w:val="00257FAE"/>
    <w:rsid w:val="00281229"/>
    <w:rsid w:val="002823A2"/>
    <w:rsid w:val="002829AD"/>
    <w:rsid w:val="0028504E"/>
    <w:rsid w:val="002850E2"/>
    <w:rsid w:val="002926B3"/>
    <w:rsid w:val="00295017"/>
    <w:rsid w:val="00297E57"/>
    <w:rsid w:val="002A7648"/>
    <w:rsid w:val="002B428B"/>
    <w:rsid w:val="002C26D6"/>
    <w:rsid w:val="002C3F7E"/>
    <w:rsid w:val="002D2CD3"/>
    <w:rsid w:val="002D46BE"/>
    <w:rsid w:val="002D58A5"/>
    <w:rsid w:val="002E1D1D"/>
    <w:rsid w:val="002E65BE"/>
    <w:rsid w:val="002E6902"/>
    <w:rsid w:val="002F0263"/>
    <w:rsid w:val="0030130D"/>
    <w:rsid w:val="00307CEA"/>
    <w:rsid w:val="003153A0"/>
    <w:rsid w:val="003206EE"/>
    <w:rsid w:val="0032219C"/>
    <w:rsid w:val="00324285"/>
    <w:rsid w:val="00325E76"/>
    <w:rsid w:val="003276FB"/>
    <w:rsid w:val="00333647"/>
    <w:rsid w:val="00336370"/>
    <w:rsid w:val="00340C92"/>
    <w:rsid w:val="00353C8D"/>
    <w:rsid w:val="00356187"/>
    <w:rsid w:val="0036227F"/>
    <w:rsid w:val="00380034"/>
    <w:rsid w:val="00380140"/>
    <w:rsid w:val="00381EF3"/>
    <w:rsid w:val="00387C2B"/>
    <w:rsid w:val="00387C6E"/>
    <w:rsid w:val="003A0C77"/>
    <w:rsid w:val="003A284E"/>
    <w:rsid w:val="003B1F34"/>
    <w:rsid w:val="003B4803"/>
    <w:rsid w:val="003C66CB"/>
    <w:rsid w:val="003D445C"/>
    <w:rsid w:val="003D6017"/>
    <w:rsid w:val="003E0204"/>
    <w:rsid w:val="003E1567"/>
    <w:rsid w:val="003E7497"/>
    <w:rsid w:val="003F4591"/>
    <w:rsid w:val="003F7DE5"/>
    <w:rsid w:val="00416461"/>
    <w:rsid w:val="00422F25"/>
    <w:rsid w:val="0043152B"/>
    <w:rsid w:val="00440181"/>
    <w:rsid w:val="00441B01"/>
    <w:rsid w:val="004554CA"/>
    <w:rsid w:val="0046174A"/>
    <w:rsid w:val="004636AE"/>
    <w:rsid w:val="00464E68"/>
    <w:rsid w:val="00466EA2"/>
    <w:rsid w:val="00475935"/>
    <w:rsid w:val="00477C47"/>
    <w:rsid w:val="00480068"/>
    <w:rsid w:val="00484F3A"/>
    <w:rsid w:val="00486492"/>
    <w:rsid w:val="004930F4"/>
    <w:rsid w:val="004943FF"/>
    <w:rsid w:val="00494C78"/>
    <w:rsid w:val="004A3E8F"/>
    <w:rsid w:val="004A4AB6"/>
    <w:rsid w:val="004C28F3"/>
    <w:rsid w:val="004C7EDD"/>
    <w:rsid w:val="004D6CFD"/>
    <w:rsid w:val="00511255"/>
    <w:rsid w:val="00532AB6"/>
    <w:rsid w:val="0053756B"/>
    <w:rsid w:val="005470E2"/>
    <w:rsid w:val="0055438D"/>
    <w:rsid w:val="0057499C"/>
    <w:rsid w:val="00574D5E"/>
    <w:rsid w:val="00584120"/>
    <w:rsid w:val="00595CBC"/>
    <w:rsid w:val="005969A8"/>
    <w:rsid w:val="005B0106"/>
    <w:rsid w:val="005B1697"/>
    <w:rsid w:val="005B281B"/>
    <w:rsid w:val="005B38B3"/>
    <w:rsid w:val="005B5B0C"/>
    <w:rsid w:val="005B6C84"/>
    <w:rsid w:val="005C12FF"/>
    <w:rsid w:val="005C7103"/>
    <w:rsid w:val="005D2911"/>
    <w:rsid w:val="005E1AE2"/>
    <w:rsid w:val="005E48EF"/>
    <w:rsid w:val="00600784"/>
    <w:rsid w:val="006227DC"/>
    <w:rsid w:val="00626AB9"/>
    <w:rsid w:val="006273D1"/>
    <w:rsid w:val="0063560A"/>
    <w:rsid w:val="0063583C"/>
    <w:rsid w:val="00644677"/>
    <w:rsid w:val="006478BD"/>
    <w:rsid w:val="00647EC9"/>
    <w:rsid w:val="0065050D"/>
    <w:rsid w:val="00652568"/>
    <w:rsid w:val="00655741"/>
    <w:rsid w:val="0066004C"/>
    <w:rsid w:val="00660E01"/>
    <w:rsid w:val="006632D1"/>
    <w:rsid w:val="00663764"/>
    <w:rsid w:val="00665798"/>
    <w:rsid w:val="00686788"/>
    <w:rsid w:val="006956AF"/>
    <w:rsid w:val="00695B81"/>
    <w:rsid w:val="006B0B66"/>
    <w:rsid w:val="006B305E"/>
    <w:rsid w:val="006B3E93"/>
    <w:rsid w:val="006B7E13"/>
    <w:rsid w:val="006C1880"/>
    <w:rsid w:val="006C3736"/>
    <w:rsid w:val="006C3F09"/>
    <w:rsid w:val="006D08E2"/>
    <w:rsid w:val="006D5E97"/>
    <w:rsid w:val="006D726C"/>
    <w:rsid w:val="006E71E3"/>
    <w:rsid w:val="006F00CA"/>
    <w:rsid w:val="006F6C3C"/>
    <w:rsid w:val="00701A7B"/>
    <w:rsid w:val="0071679C"/>
    <w:rsid w:val="00716EFD"/>
    <w:rsid w:val="00720C38"/>
    <w:rsid w:val="00735264"/>
    <w:rsid w:val="00740E4C"/>
    <w:rsid w:val="00757173"/>
    <w:rsid w:val="00772F88"/>
    <w:rsid w:val="00792C48"/>
    <w:rsid w:val="00792CC9"/>
    <w:rsid w:val="007933F9"/>
    <w:rsid w:val="00796D56"/>
    <w:rsid w:val="007A0D3A"/>
    <w:rsid w:val="007A24CD"/>
    <w:rsid w:val="007A48E3"/>
    <w:rsid w:val="007C2F95"/>
    <w:rsid w:val="007C41DB"/>
    <w:rsid w:val="007C7DA1"/>
    <w:rsid w:val="007D203C"/>
    <w:rsid w:val="007D7BA3"/>
    <w:rsid w:val="007E0B50"/>
    <w:rsid w:val="008013E0"/>
    <w:rsid w:val="00810690"/>
    <w:rsid w:val="0081381C"/>
    <w:rsid w:val="0083133F"/>
    <w:rsid w:val="00836EE6"/>
    <w:rsid w:val="00837688"/>
    <w:rsid w:val="008674C7"/>
    <w:rsid w:val="00880DE1"/>
    <w:rsid w:val="00883D8B"/>
    <w:rsid w:val="0088591E"/>
    <w:rsid w:val="00885B44"/>
    <w:rsid w:val="0088648F"/>
    <w:rsid w:val="00897F5D"/>
    <w:rsid w:val="008A5DCE"/>
    <w:rsid w:val="008A7B28"/>
    <w:rsid w:val="008B68A2"/>
    <w:rsid w:val="008C0AB3"/>
    <w:rsid w:val="008C74C5"/>
    <w:rsid w:val="008D4E3D"/>
    <w:rsid w:val="008D5D90"/>
    <w:rsid w:val="008F5E39"/>
    <w:rsid w:val="008F672E"/>
    <w:rsid w:val="009136EB"/>
    <w:rsid w:val="00917098"/>
    <w:rsid w:val="00917CEC"/>
    <w:rsid w:val="00921441"/>
    <w:rsid w:val="00943DAA"/>
    <w:rsid w:val="00946A32"/>
    <w:rsid w:val="009640D8"/>
    <w:rsid w:val="009644CB"/>
    <w:rsid w:val="00966FBB"/>
    <w:rsid w:val="0096761B"/>
    <w:rsid w:val="00971315"/>
    <w:rsid w:val="00971FEE"/>
    <w:rsid w:val="009735AC"/>
    <w:rsid w:val="00983E1F"/>
    <w:rsid w:val="00985EDA"/>
    <w:rsid w:val="0099096F"/>
    <w:rsid w:val="00996106"/>
    <w:rsid w:val="009A64B2"/>
    <w:rsid w:val="009B27AF"/>
    <w:rsid w:val="009D2345"/>
    <w:rsid w:val="009D3EDA"/>
    <w:rsid w:val="009E201F"/>
    <w:rsid w:val="009E5D4C"/>
    <w:rsid w:val="009E6FAB"/>
    <w:rsid w:val="00A27C50"/>
    <w:rsid w:val="00A31672"/>
    <w:rsid w:val="00A32F60"/>
    <w:rsid w:val="00A341D2"/>
    <w:rsid w:val="00A35C43"/>
    <w:rsid w:val="00A46EF0"/>
    <w:rsid w:val="00A568D3"/>
    <w:rsid w:val="00A56AB3"/>
    <w:rsid w:val="00A570A2"/>
    <w:rsid w:val="00A62D08"/>
    <w:rsid w:val="00A63A91"/>
    <w:rsid w:val="00A67C61"/>
    <w:rsid w:val="00A8134E"/>
    <w:rsid w:val="00A81771"/>
    <w:rsid w:val="00A82C89"/>
    <w:rsid w:val="00A85D3C"/>
    <w:rsid w:val="00A91B2E"/>
    <w:rsid w:val="00A979F9"/>
    <w:rsid w:val="00AB3856"/>
    <w:rsid w:val="00AC0780"/>
    <w:rsid w:val="00AD0ED1"/>
    <w:rsid w:val="00AD6AE4"/>
    <w:rsid w:val="00AF1D91"/>
    <w:rsid w:val="00AF1E15"/>
    <w:rsid w:val="00AF6397"/>
    <w:rsid w:val="00B061FC"/>
    <w:rsid w:val="00B10BF4"/>
    <w:rsid w:val="00B16F8C"/>
    <w:rsid w:val="00B2013D"/>
    <w:rsid w:val="00B22C13"/>
    <w:rsid w:val="00B41792"/>
    <w:rsid w:val="00B45289"/>
    <w:rsid w:val="00B511AB"/>
    <w:rsid w:val="00B52167"/>
    <w:rsid w:val="00B5363D"/>
    <w:rsid w:val="00B6070A"/>
    <w:rsid w:val="00B61C05"/>
    <w:rsid w:val="00B713BB"/>
    <w:rsid w:val="00B736F5"/>
    <w:rsid w:val="00B806E8"/>
    <w:rsid w:val="00B86F6C"/>
    <w:rsid w:val="00B92AF9"/>
    <w:rsid w:val="00B94307"/>
    <w:rsid w:val="00BA2B94"/>
    <w:rsid w:val="00BB0FD1"/>
    <w:rsid w:val="00BC2F88"/>
    <w:rsid w:val="00BC5848"/>
    <w:rsid w:val="00BC777F"/>
    <w:rsid w:val="00BD5020"/>
    <w:rsid w:val="00BD7EDD"/>
    <w:rsid w:val="00BE0E80"/>
    <w:rsid w:val="00BF08F8"/>
    <w:rsid w:val="00BF2C37"/>
    <w:rsid w:val="00C312F1"/>
    <w:rsid w:val="00C33B19"/>
    <w:rsid w:val="00C4399F"/>
    <w:rsid w:val="00C44BCA"/>
    <w:rsid w:val="00C46454"/>
    <w:rsid w:val="00C5341B"/>
    <w:rsid w:val="00C53A7A"/>
    <w:rsid w:val="00C6316A"/>
    <w:rsid w:val="00C67619"/>
    <w:rsid w:val="00C7303C"/>
    <w:rsid w:val="00C744B6"/>
    <w:rsid w:val="00C8141E"/>
    <w:rsid w:val="00C81A2D"/>
    <w:rsid w:val="00C82851"/>
    <w:rsid w:val="00C84994"/>
    <w:rsid w:val="00C909DE"/>
    <w:rsid w:val="00C93847"/>
    <w:rsid w:val="00C94341"/>
    <w:rsid w:val="00C95B82"/>
    <w:rsid w:val="00CB5B81"/>
    <w:rsid w:val="00CB6F6D"/>
    <w:rsid w:val="00CB7942"/>
    <w:rsid w:val="00CD4937"/>
    <w:rsid w:val="00CF3942"/>
    <w:rsid w:val="00D05314"/>
    <w:rsid w:val="00D16A06"/>
    <w:rsid w:val="00D16CF7"/>
    <w:rsid w:val="00D1754A"/>
    <w:rsid w:val="00D22E53"/>
    <w:rsid w:val="00D22EA0"/>
    <w:rsid w:val="00D30FCF"/>
    <w:rsid w:val="00D352AA"/>
    <w:rsid w:val="00D505EB"/>
    <w:rsid w:val="00D51417"/>
    <w:rsid w:val="00D52BBE"/>
    <w:rsid w:val="00D53E47"/>
    <w:rsid w:val="00D65601"/>
    <w:rsid w:val="00D67C96"/>
    <w:rsid w:val="00D76B8D"/>
    <w:rsid w:val="00D77957"/>
    <w:rsid w:val="00D873F1"/>
    <w:rsid w:val="00D9707F"/>
    <w:rsid w:val="00DB2731"/>
    <w:rsid w:val="00DB31C6"/>
    <w:rsid w:val="00DC21CA"/>
    <w:rsid w:val="00DD04C0"/>
    <w:rsid w:val="00DD437A"/>
    <w:rsid w:val="00DD4C13"/>
    <w:rsid w:val="00DE08D8"/>
    <w:rsid w:val="00DE4854"/>
    <w:rsid w:val="00DE4CC2"/>
    <w:rsid w:val="00DE6245"/>
    <w:rsid w:val="00DF3032"/>
    <w:rsid w:val="00DF47EB"/>
    <w:rsid w:val="00E019BE"/>
    <w:rsid w:val="00E06C8A"/>
    <w:rsid w:val="00E137DF"/>
    <w:rsid w:val="00E14EFA"/>
    <w:rsid w:val="00E26A83"/>
    <w:rsid w:val="00E47A44"/>
    <w:rsid w:val="00E511B0"/>
    <w:rsid w:val="00E562EE"/>
    <w:rsid w:val="00E6371A"/>
    <w:rsid w:val="00E654F5"/>
    <w:rsid w:val="00E73764"/>
    <w:rsid w:val="00E742C4"/>
    <w:rsid w:val="00E778C5"/>
    <w:rsid w:val="00EA05B6"/>
    <w:rsid w:val="00EA0804"/>
    <w:rsid w:val="00EB766A"/>
    <w:rsid w:val="00EC1D87"/>
    <w:rsid w:val="00EC387C"/>
    <w:rsid w:val="00EC5B5D"/>
    <w:rsid w:val="00EE081E"/>
    <w:rsid w:val="00EF6909"/>
    <w:rsid w:val="00F01116"/>
    <w:rsid w:val="00F06863"/>
    <w:rsid w:val="00F12BA4"/>
    <w:rsid w:val="00F26401"/>
    <w:rsid w:val="00F55F63"/>
    <w:rsid w:val="00F62DA4"/>
    <w:rsid w:val="00F662E9"/>
    <w:rsid w:val="00F90EC7"/>
    <w:rsid w:val="00F9118E"/>
    <w:rsid w:val="00F95BF9"/>
    <w:rsid w:val="00F97ADA"/>
    <w:rsid w:val="00FA7085"/>
    <w:rsid w:val="00FB3CA4"/>
    <w:rsid w:val="00FC2D92"/>
    <w:rsid w:val="00FC4386"/>
    <w:rsid w:val="00FD1CC3"/>
    <w:rsid w:val="00FF008F"/>
    <w:rsid w:val="00FF0183"/>
    <w:rsid w:val="00FF18B5"/>
    <w:rsid w:val="00FF1BCD"/>
    <w:rsid w:val="09F1027A"/>
    <w:rsid w:val="1FC66C3F"/>
    <w:rsid w:val="20CD7F69"/>
    <w:rsid w:val="2971794E"/>
    <w:rsid w:val="2AC90642"/>
    <w:rsid w:val="2CC92609"/>
    <w:rsid w:val="36BC10C8"/>
    <w:rsid w:val="38236848"/>
    <w:rsid w:val="3CCB46CA"/>
    <w:rsid w:val="443470DA"/>
    <w:rsid w:val="44AE53D4"/>
    <w:rsid w:val="47B10D1F"/>
    <w:rsid w:val="503B0CA9"/>
    <w:rsid w:val="59AE28B0"/>
    <w:rsid w:val="5ADE016E"/>
    <w:rsid w:val="5D536AF0"/>
    <w:rsid w:val="5F457D18"/>
    <w:rsid w:val="61496462"/>
    <w:rsid w:val="63B338C3"/>
    <w:rsid w:val="6B7E37DD"/>
    <w:rsid w:val="72EE5E38"/>
    <w:rsid w:val="750F1D83"/>
    <w:rsid w:val="76B344CD"/>
    <w:rsid w:val="78FE0A5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nhideWhenUsed="0" w:uiPriority="0" w:semiHidden="0"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17"/>
    <w:qFormat/>
    <w:uiPriority w:val="99"/>
    <w:pPr>
      <w:keepNext/>
      <w:keepLines/>
      <w:spacing w:before="140" w:after="140" w:line="360" w:lineRule="auto"/>
      <w:jc w:val="left"/>
      <w:outlineLvl w:val="2"/>
    </w:pPr>
    <w:rPr>
      <w:rFonts w:ascii="Arial" w:hAnsi="Arial"/>
      <w:b/>
      <w:color w:val="000000"/>
      <w:kern w:val="0"/>
      <w:sz w:val="28"/>
    </w:rPr>
  </w:style>
  <w:style w:type="paragraph" w:styleId="3">
    <w:name w:val="heading 4"/>
    <w:basedOn w:val="1"/>
    <w:next w:val="1"/>
    <w:link w:val="18"/>
    <w:qFormat/>
    <w:uiPriority w:val="99"/>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42"/>
    <w:uiPriority w:val="0"/>
    <w:pPr>
      <w:jc w:val="left"/>
    </w:pPr>
    <w:rPr>
      <w:szCs w:val="24"/>
    </w:rPr>
  </w:style>
  <w:style w:type="paragraph" w:styleId="5">
    <w:name w:val="Body Text"/>
    <w:basedOn w:val="1"/>
    <w:link w:val="39"/>
    <w:semiHidden/>
    <w:unhideWhenUsed/>
    <w:uiPriority w:val="99"/>
    <w:pPr>
      <w:spacing w:after="120"/>
    </w:pPr>
  </w:style>
  <w:style w:type="paragraph" w:styleId="6">
    <w:name w:val="Plain Text"/>
    <w:basedOn w:val="1"/>
    <w:link w:val="36"/>
    <w:uiPriority w:val="99"/>
    <w:rPr>
      <w:rFonts w:ascii="宋体" w:hAnsi="Courier New"/>
    </w:rPr>
  </w:style>
  <w:style w:type="paragraph" w:styleId="7">
    <w:name w:val="Date"/>
    <w:basedOn w:val="1"/>
    <w:next w:val="1"/>
    <w:link w:val="35"/>
    <w:semiHidden/>
    <w:unhideWhenUsed/>
    <w:uiPriority w:val="99"/>
    <w:pPr>
      <w:ind w:left="100" w:leftChars="2500"/>
    </w:pPr>
  </w:style>
  <w:style w:type="paragraph" w:styleId="8">
    <w:name w:val="Balloon Text"/>
    <w:basedOn w:val="1"/>
    <w:link w:val="37"/>
    <w:semiHidden/>
    <w:unhideWhenUsed/>
    <w:uiPriority w:val="99"/>
    <w:rPr>
      <w:sz w:val="18"/>
      <w:szCs w:val="18"/>
    </w:rPr>
  </w:style>
  <w:style w:type="paragraph" w:styleId="9">
    <w:name w:val="footer"/>
    <w:basedOn w:val="1"/>
    <w:link w:val="19"/>
    <w:uiPriority w:val="99"/>
    <w:pPr>
      <w:tabs>
        <w:tab w:val="center" w:pos="4153"/>
        <w:tab w:val="right" w:pos="8306"/>
      </w:tabs>
      <w:snapToGrid w:val="0"/>
      <w:jc w:val="left"/>
    </w:pPr>
    <w:rPr>
      <w:sz w:val="18"/>
      <w:szCs w:val="18"/>
    </w:rPr>
  </w:style>
  <w:style w:type="paragraph" w:styleId="10">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First Indent"/>
    <w:basedOn w:val="5"/>
    <w:link w:val="40"/>
    <w:uiPriority w:val="0"/>
    <w:pPr>
      <w:ind w:firstLine="420" w:firstLineChars="100"/>
    </w:pPr>
    <w:rPr>
      <w:szCs w:val="24"/>
    </w:rPr>
  </w:style>
  <w:style w:type="character" w:styleId="14">
    <w:name w:val="page number"/>
    <w:basedOn w:val="13"/>
    <w:uiPriority w:val="99"/>
    <w:rPr>
      <w:rFonts w:ascii="Times New Roman" w:hAnsi="Times New Roman" w:eastAsia="宋体" w:cs="Times New Roman"/>
      <w:sz w:val="18"/>
    </w:rPr>
  </w:style>
  <w:style w:type="character" w:styleId="15">
    <w:name w:val="Hyperlink"/>
    <w:basedOn w:val="13"/>
    <w:uiPriority w:val="99"/>
    <w:rPr>
      <w:rFonts w:cs="Times New Roman"/>
      <w:color w:val="0000FF"/>
      <w:u w:val="single"/>
    </w:rPr>
  </w:style>
  <w:style w:type="character" w:styleId="16">
    <w:name w:val="annotation reference"/>
    <w:uiPriority w:val="0"/>
    <w:rPr>
      <w:sz w:val="21"/>
      <w:szCs w:val="21"/>
    </w:rPr>
  </w:style>
  <w:style w:type="character" w:customStyle="1" w:styleId="17">
    <w:name w:val="标题 3 Char"/>
    <w:basedOn w:val="13"/>
    <w:link w:val="2"/>
    <w:semiHidden/>
    <w:locked/>
    <w:uiPriority w:val="99"/>
    <w:rPr>
      <w:rFonts w:ascii="Arial" w:hAnsi="Arial" w:eastAsia="宋体"/>
      <w:b/>
      <w:color w:val="000000"/>
      <w:sz w:val="28"/>
    </w:rPr>
  </w:style>
  <w:style w:type="character" w:customStyle="1" w:styleId="18">
    <w:name w:val="标题 4 Char"/>
    <w:basedOn w:val="13"/>
    <w:link w:val="3"/>
    <w:semiHidden/>
    <w:uiPriority w:val="9"/>
    <w:rPr>
      <w:rFonts w:ascii="Cambria" w:hAnsi="Cambria" w:eastAsia="宋体" w:cs="Times New Roman"/>
      <w:b/>
      <w:bCs/>
      <w:sz w:val="28"/>
      <w:szCs w:val="28"/>
    </w:rPr>
  </w:style>
  <w:style w:type="character" w:customStyle="1" w:styleId="19">
    <w:name w:val="页脚 Char"/>
    <w:basedOn w:val="13"/>
    <w:link w:val="9"/>
    <w:semiHidden/>
    <w:uiPriority w:val="99"/>
    <w:rPr>
      <w:sz w:val="18"/>
      <w:szCs w:val="18"/>
    </w:rPr>
  </w:style>
  <w:style w:type="character" w:customStyle="1" w:styleId="20">
    <w:name w:val="页眉 Char"/>
    <w:basedOn w:val="13"/>
    <w:link w:val="10"/>
    <w:semiHidden/>
    <w:uiPriority w:val="99"/>
    <w:rPr>
      <w:sz w:val="18"/>
      <w:szCs w:val="18"/>
    </w:rPr>
  </w:style>
  <w:style w:type="paragraph" w:customStyle="1" w:styleId="21">
    <w:name w:val="标题4"/>
    <w:basedOn w:val="3"/>
    <w:uiPriority w:val="99"/>
    <w:pPr>
      <w:spacing w:before="40" w:after="50"/>
    </w:pPr>
    <w:rPr>
      <w:rFonts w:eastAsia="宋体"/>
      <w:color w:val="000000"/>
    </w:rPr>
  </w:style>
  <w:style w:type="paragraph" w:customStyle="1" w:styleId="22">
    <w:name w:val="日期1"/>
    <w:basedOn w:val="1"/>
    <w:next w:val="1"/>
    <w:link w:val="34"/>
    <w:uiPriority w:val="99"/>
    <w:pPr>
      <w:ind w:left="100" w:leftChars="2500"/>
    </w:pPr>
  </w:style>
  <w:style w:type="paragraph" w:customStyle="1" w:styleId="23">
    <w:name w:val="p16"/>
    <w:basedOn w:val="1"/>
    <w:uiPriority w:val="99"/>
    <w:pPr>
      <w:widowControl/>
    </w:pPr>
    <w:rPr>
      <w:rFonts w:ascii="Calibri" w:hAnsi="Calibri" w:cs="宋体"/>
      <w:kern w:val="0"/>
      <w:szCs w:val="21"/>
    </w:rPr>
  </w:style>
  <w:style w:type="paragraph" w:customStyle="1" w:styleId="24">
    <w:name w:val="列出段落1"/>
    <w:basedOn w:val="1"/>
    <w:uiPriority w:val="99"/>
    <w:pPr>
      <w:ind w:firstLine="420" w:firstLineChars="200"/>
    </w:pPr>
  </w:style>
  <w:style w:type="paragraph" w:customStyle="1" w:styleId="25">
    <w:name w:val="p0"/>
    <w:basedOn w:val="1"/>
    <w:uiPriority w:val="99"/>
    <w:rPr>
      <w:rFonts w:ascii="Calibri" w:hAnsi="Calibri" w:cs="宋体"/>
      <w:szCs w:val="21"/>
    </w:rPr>
  </w:style>
  <w:style w:type="paragraph" w:customStyle="1" w:styleId="26">
    <w:name w:val="p15"/>
    <w:basedOn w:val="1"/>
    <w:uiPriority w:val="99"/>
    <w:pPr>
      <w:widowControl/>
      <w:ind w:firstLine="420"/>
    </w:pPr>
    <w:rPr>
      <w:rFonts w:ascii="Calibri" w:hAnsi="Calibri" w:cs="宋体"/>
      <w:kern w:val="0"/>
      <w:szCs w:val="21"/>
    </w:rPr>
  </w:style>
  <w:style w:type="paragraph" w:customStyle="1" w:styleId="27">
    <w:name w:val="章标题"/>
    <w:next w:val="28"/>
    <w:qFormat/>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8">
    <w:name w:val="段"/>
    <w:link w:val="3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9">
    <w:name w:val="标准"/>
    <w:basedOn w:val="1"/>
    <w:qFormat/>
    <w:uiPriority w:val="99"/>
    <w:pPr>
      <w:adjustRightInd w:val="0"/>
      <w:spacing w:line="312" w:lineRule="atLeast"/>
      <w:jc w:val="center"/>
      <w:textAlignment w:val="baseline"/>
    </w:pPr>
    <w:rPr>
      <w:kern w:val="0"/>
    </w:rPr>
  </w:style>
  <w:style w:type="paragraph" w:customStyle="1" w:styleId="30">
    <w:name w:val="Default"/>
    <w:qFormat/>
    <w:uiPriority w:val="99"/>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31">
    <w:name w:val="Normal+2"/>
    <w:basedOn w:val="30"/>
    <w:next w:val="30"/>
    <w:qFormat/>
    <w:uiPriority w:val="99"/>
  </w:style>
  <w:style w:type="paragraph" w:customStyle="1" w:styleId="32">
    <w:name w:val="标准书脚_偶数页"/>
    <w:qFormat/>
    <w:uiPriority w:val="99"/>
    <w:pPr>
      <w:spacing w:before="120"/>
    </w:pPr>
    <w:rPr>
      <w:rFonts w:ascii="Times New Roman" w:hAnsi="Times New Roman" w:eastAsia="宋体" w:cs="Times New Roman"/>
      <w:sz w:val="18"/>
      <w:lang w:val="en-US" w:eastAsia="zh-CN" w:bidi="ar-SA"/>
    </w:rPr>
  </w:style>
  <w:style w:type="paragraph" w:customStyle="1" w:styleId="33">
    <w:name w:val="标准书脚_奇数页"/>
    <w:qFormat/>
    <w:uiPriority w:val="99"/>
    <w:pPr>
      <w:spacing w:before="120"/>
      <w:jc w:val="right"/>
    </w:pPr>
    <w:rPr>
      <w:rFonts w:ascii="Times New Roman" w:hAnsi="Times New Roman" w:eastAsia="宋体" w:cs="Times New Roman"/>
      <w:sz w:val="18"/>
      <w:lang w:val="en-US" w:eastAsia="zh-CN" w:bidi="ar-SA"/>
    </w:rPr>
  </w:style>
  <w:style w:type="character" w:customStyle="1" w:styleId="34">
    <w:name w:val="日期 Char"/>
    <w:basedOn w:val="13"/>
    <w:link w:val="22"/>
    <w:semiHidden/>
    <w:qFormat/>
    <w:locked/>
    <w:uiPriority w:val="99"/>
    <w:rPr>
      <w:rFonts w:cs="Times New Roman"/>
      <w:kern w:val="2"/>
      <w:sz w:val="21"/>
    </w:rPr>
  </w:style>
  <w:style w:type="character" w:customStyle="1" w:styleId="35">
    <w:name w:val="日期 Char1"/>
    <w:basedOn w:val="13"/>
    <w:link w:val="7"/>
    <w:semiHidden/>
    <w:qFormat/>
    <w:uiPriority w:val="99"/>
    <w:rPr>
      <w:szCs w:val="20"/>
    </w:rPr>
  </w:style>
  <w:style w:type="character" w:customStyle="1" w:styleId="36">
    <w:name w:val="纯文本 Char"/>
    <w:basedOn w:val="13"/>
    <w:link w:val="6"/>
    <w:qFormat/>
    <w:uiPriority w:val="99"/>
    <w:rPr>
      <w:rFonts w:ascii="宋体" w:hAnsi="Courier New"/>
      <w:szCs w:val="20"/>
    </w:rPr>
  </w:style>
  <w:style w:type="character" w:customStyle="1" w:styleId="37">
    <w:name w:val="批注框文本 Char"/>
    <w:basedOn w:val="13"/>
    <w:link w:val="8"/>
    <w:semiHidden/>
    <w:qFormat/>
    <w:uiPriority w:val="99"/>
    <w:rPr>
      <w:kern w:val="2"/>
      <w:sz w:val="18"/>
      <w:szCs w:val="18"/>
    </w:rPr>
  </w:style>
  <w:style w:type="character" w:customStyle="1" w:styleId="38">
    <w:name w:val="段 Char"/>
    <w:link w:val="28"/>
    <w:qFormat/>
    <w:locked/>
    <w:uiPriority w:val="0"/>
    <w:rPr>
      <w:rFonts w:ascii="宋体"/>
      <w:sz w:val="21"/>
      <w:lang w:bidi="ar-SA"/>
    </w:rPr>
  </w:style>
  <w:style w:type="character" w:customStyle="1" w:styleId="39">
    <w:name w:val="正文文本 Char"/>
    <w:basedOn w:val="13"/>
    <w:link w:val="5"/>
    <w:semiHidden/>
    <w:qFormat/>
    <w:uiPriority w:val="99"/>
    <w:rPr>
      <w:kern w:val="2"/>
      <w:sz w:val="21"/>
    </w:rPr>
  </w:style>
  <w:style w:type="character" w:customStyle="1" w:styleId="40">
    <w:name w:val="正文首行缩进 Char"/>
    <w:basedOn w:val="39"/>
    <w:link w:val="11"/>
    <w:qFormat/>
    <w:uiPriority w:val="0"/>
    <w:rPr>
      <w:kern w:val="2"/>
      <w:sz w:val="21"/>
      <w:szCs w:val="24"/>
    </w:rPr>
  </w:style>
  <w:style w:type="paragraph" w:styleId="41">
    <w:name w:val="List Paragraph"/>
    <w:basedOn w:val="1"/>
    <w:qFormat/>
    <w:uiPriority w:val="34"/>
    <w:pPr>
      <w:ind w:firstLine="420" w:firstLineChars="200"/>
    </w:pPr>
    <w:rPr>
      <w:rFonts w:ascii="Calibri" w:hAnsi="Calibri"/>
      <w:szCs w:val="22"/>
    </w:rPr>
  </w:style>
  <w:style w:type="character" w:customStyle="1" w:styleId="42">
    <w:name w:val="批注文字 Char"/>
    <w:basedOn w:val="13"/>
    <w:link w:val="4"/>
    <w:qFormat/>
    <w:uiPriority w:val="0"/>
    <w:rPr>
      <w:kern w:val="2"/>
      <w:sz w:val="21"/>
      <w:szCs w:val="24"/>
    </w:rPr>
  </w:style>
  <w:style w:type="character" w:customStyle="1" w:styleId="43">
    <w:name w:val="bjh-p"/>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BC7DBF-3502-4AB7-8C25-596A4011415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582</Words>
  <Characters>3322</Characters>
  <Lines>27</Lines>
  <Paragraphs>7</Paragraphs>
  <TotalTime>407</TotalTime>
  <ScaleCrop>false</ScaleCrop>
  <LinksUpToDate>false</LinksUpToDate>
  <CharactersWithSpaces>3897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2020-05-21T03:28:00Z</dcterms:created>
  <dc:creator>虔东</dc:creator>
  <cp:lastModifiedBy>高兰</cp:lastModifiedBy>
  <cp:lastPrinted>2018-12-26T01:15:00Z</cp:lastPrinted>
  <dcterms:modified xsi:type="dcterms:W3CDTF">2020-10-15T02:20:54Z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