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jc w:val="center"/>
        <w:rPr>
          <w:rFonts w:eastAsia="黑体"/>
          <w:b/>
          <w:snapToGrid w:val="0"/>
          <w:kern w:val="0"/>
          <w:sz w:val="32"/>
          <w:szCs w:val="32"/>
        </w:rPr>
      </w:pPr>
      <w:r>
        <w:rPr>
          <w:rFonts w:hint="eastAsia" w:eastAsia="黑体"/>
          <w:b/>
          <w:snapToGrid w:val="0"/>
          <w:kern w:val="0"/>
          <w:sz w:val="32"/>
          <w:szCs w:val="32"/>
        </w:rPr>
        <w:t>行业标准《铈锆复合氧化物》（</w:t>
      </w:r>
      <w:r>
        <w:rPr>
          <w:rFonts w:hint="eastAsia" w:eastAsia="黑体"/>
          <w:b/>
          <w:snapToGrid w:val="0"/>
          <w:kern w:val="0"/>
          <w:sz w:val="32"/>
          <w:szCs w:val="32"/>
          <w:lang w:eastAsia="zh-CN"/>
        </w:rPr>
        <w:t>送审</w:t>
      </w:r>
      <w:bookmarkStart w:id="6" w:name="_GoBack"/>
      <w:bookmarkEnd w:id="6"/>
      <w:r>
        <w:rPr>
          <w:rFonts w:hint="eastAsia" w:eastAsia="黑体"/>
          <w:b/>
          <w:snapToGrid w:val="0"/>
          <w:kern w:val="0"/>
          <w:sz w:val="32"/>
          <w:szCs w:val="32"/>
        </w:rPr>
        <w:t>稿）</w:t>
      </w:r>
    </w:p>
    <w:p>
      <w:pPr>
        <w:adjustRightInd w:val="0"/>
        <w:snapToGrid w:val="0"/>
        <w:spacing w:line="800" w:lineRule="exact"/>
        <w:jc w:val="center"/>
        <w:rPr>
          <w:rFonts w:eastAsia="黑体"/>
          <w:b/>
          <w:snapToGrid w:val="0"/>
          <w:kern w:val="0"/>
          <w:sz w:val="32"/>
          <w:szCs w:val="32"/>
        </w:rPr>
      </w:pPr>
      <w:r>
        <w:rPr>
          <w:rFonts w:hint="eastAsia" w:eastAsia="黑体"/>
          <w:b/>
          <w:snapToGrid w:val="0"/>
          <w:kern w:val="0"/>
          <w:sz w:val="32"/>
          <w:szCs w:val="32"/>
        </w:rPr>
        <w:t>编制说明</w:t>
      </w:r>
    </w:p>
    <w:p>
      <w:pPr>
        <w:spacing w:beforeLines="50" w:line="360" w:lineRule="auto"/>
        <w:rPr>
          <w:rFonts w:eastAsia="黑体"/>
          <w:bCs/>
          <w:color w:val="000000"/>
          <w:szCs w:val="21"/>
        </w:rPr>
      </w:pPr>
      <w:r>
        <w:rPr>
          <w:rFonts w:hint="eastAsia" w:eastAsia="黑体"/>
          <w:bCs/>
          <w:color w:val="000000"/>
          <w:szCs w:val="21"/>
        </w:rPr>
        <w:t>一、工作简况</w:t>
      </w:r>
    </w:p>
    <w:p>
      <w:pPr>
        <w:spacing w:beforeLines="50" w:line="360" w:lineRule="auto"/>
        <w:rPr>
          <w:rFonts w:eastAsia="黑体"/>
          <w:bCs/>
          <w:color w:val="000000"/>
          <w:szCs w:val="21"/>
        </w:rPr>
      </w:pPr>
      <w:r>
        <w:rPr>
          <w:rFonts w:eastAsia="黑体"/>
          <w:bCs/>
          <w:color w:val="000000"/>
          <w:szCs w:val="21"/>
        </w:rPr>
        <w:t>1.1 标准项目所涉及的产品或方法</w:t>
      </w:r>
      <w:r>
        <w:fldChar w:fldCharType="begin"/>
      </w:r>
      <w:r>
        <w:instrText xml:space="preserve">HYPERLINK </w:instrText>
      </w:r>
      <w:r>
        <w:rPr>
          <w:rFonts w:hint="eastAsia"/>
        </w:rPr>
        <w:instrText xml:space="preserve">"D:\\2019年科研\\标准申请\\铈锆复合氧化物\\征求意见稿\\意见返回\\终稿\\各单位返回意见\\预审稿-提交版\\铈锆复合氧化物标准预审材料-稀标委\\宁波会材料\\审订稿\\条款示例\\标准概况及立项目的示例.docx"</w:instrText>
      </w:r>
      <w:r>
        <w:fldChar w:fldCharType="separate"/>
      </w:r>
      <w:r>
        <w:rPr>
          <w:rFonts w:hint="eastAsia" w:eastAsia="黑体"/>
          <w:bCs/>
          <w:color w:val="000000"/>
          <w:szCs w:val="21"/>
        </w:rPr>
        <w:t>概</w:t>
      </w:r>
      <w:r>
        <w:rPr>
          <w:rFonts w:eastAsia="黑体"/>
          <w:bCs/>
          <w:color w:val="000000"/>
          <w:szCs w:val="21"/>
        </w:rPr>
        <w:t>况</w:t>
      </w:r>
      <w:r>
        <w:rPr>
          <w:rFonts w:hint="eastAsia" w:eastAsia="黑体"/>
          <w:bCs/>
          <w:color w:val="000000"/>
          <w:szCs w:val="21"/>
        </w:rPr>
        <w:t>和立项目的</w:t>
      </w:r>
      <w:r>
        <w:rPr>
          <w:rFonts w:eastAsia="黑体"/>
          <w:bCs/>
          <w:color w:val="000000"/>
          <w:szCs w:val="21"/>
        </w:rPr>
        <w:fldChar w:fldCharType="end"/>
      </w:r>
    </w:p>
    <w:p>
      <w:pPr>
        <w:spacing w:beforeLines="50" w:line="360" w:lineRule="auto"/>
        <w:rPr>
          <w:b/>
          <w:bCs/>
          <w:szCs w:val="21"/>
        </w:rPr>
      </w:pPr>
      <w:r>
        <w:rPr>
          <w:rFonts w:hint="eastAsia" w:eastAsia="黑体"/>
          <w:bCs/>
          <w:color w:val="000000"/>
          <w:szCs w:val="21"/>
        </w:rPr>
        <w:t>1</w:t>
      </w:r>
      <w:r>
        <w:rPr>
          <w:rFonts w:eastAsia="黑体"/>
          <w:bCs/>
          <w:color w:val="000000"/>
          <w:szCs w:val="21"/>
        </w:rPr>
        <w:t>.1.1</w:t>
      </w:r>
      <w:r>
        <w:rPr>
          <w:rFonts w:hint="eastAsia" w:eastAsia="黑体"/>
          <w:bCs/>
          <w:color w:val="000000"/>
          <w:szCs w:val="21"/>
        </w:rPr>
        <w:t>项目的必要性</w:t>
      </w:r>
    </w:p>
    <w:p>
      <w:pPr>
        <w:spacing w:line="360" w:lineRule="auto"/>
        <w:ind w:firstLine="420" w:firstLineChars="200"/>
        <w:rPr>
          <w:szCs w:val="21"/>
        </w:rPr>
      </w:pPr>
      <w:r>
        <w:rPr>
          <w:szCs w:val="21"/>
        </w:rPr>
        <w:t>铈锆复合氧化物产品由于具有良好的储放氧性能，目前在</w:t>
      </w:r>
      <w:r>
        <w:rPr>
          <w:rFonts w:hint="eastAsia"/>
          <w:szCs w:val="21"/>
        </w:rPr>
        <w:t>机动</w:t>
      </w:r>
      <w:r>
        <w:rPr>
          <w:szCs w:val="21"/>
        </w:rPr>
        <w:t>车尾气净化催化剂</w:t>
      </w:r>
      <w:r>
        <w:rPr>
          <w:rFonts w:hint="eastAsia"/>
          <w:szCs w:val="21"/>
        </w:rPr>
        <w:t>、有机废气净化催化剂</w:t>
      </w:r>
      <w:r>
        <w:rPr>
          <w:szCs w:val="21"/>
        </w:rPr>
        <w:t>中广泛应用，并已成为一种必不可少的关键活性涂层材料。铈锆复合氧化物不仅可有效拓宽</w:t>
      </w:r>
      <w:r>
        <w:rPr>
          <w:rFonts w:hint="eastAsia"/>
          <w:szCs w:val="21"/>
        </w:rPr>
        <w:t>机动车</w:t>
      </w:r>
      <w:r>
        <w:rPr>
          <w:szCs w:val="21"/>
        </w:rPr>
        <w:t>尾气</w:t>
      </w:r>
      <w:r>
        <w:rPr>
          <w:rFonts w:hint="eastAsia"/>
          <w:szCs w:val="21"/>
        </w:rPr>
        <w:t>净化</w:t>
      </w:r>
      <w:r>
        <w:rPr>
          <w:szCs w:val="21"/>
        </w:rPr>
        <w:t>催化剂的空燃比操作窗口，大幅提升催化剂性能，提高催化剂高温稳定性；而且可促进贵金属催化粒子的高效分散，降低贵金属用量。因此铈锆复合氧化物产品在某种程度上决定着</w:t>
      </w:r>
      <w:r>
        <w:rPr>
          <w:rFonts w:hint="eastAsia"/>
          <w:szCs w:val="21"/>
        </w:rPr>
        <w:t>机动</w:t>
      </w:r>
      <w:r>
        <w:rPr>
          <w:szCs w:val="21"/>
        </w:rPr>
        <w:t>车尾气</w:t>
      </w:r>
      <w:r>
        <w:rPr>
          <w:rFonts w:hint="eastAsia"/>
          <w:szCs w:val="21"/>
        </w:rPr>
        <w:t>净化</w:t>
      </w:r>
      <w:r>
        <w:rPr>
          <w:szCs w:val="21"/>
        </w:rPr>
        <w:t>催化剂的性能和使用寿命。铈锆复合氧化物材料于2017</w:t>
      </w:r>
      <w:r>
        <w:rPr>
          <w:rFonts w:hint="eastAsia"/>
          <w:szCs w:val="21"/>
        </w:rPr>
        <w:t>年</w:t>
      </w:r>
      <w:r>
        <w:rPr>
          <w:szCs w:val="21"/>
        </w:rPr>
        <w:t>已列入工信部新材料产业产品和服务统计指导目录。</w:t>
      </w:r>
      <w:r>
        <w:rPr>
          <w:rFonts w:hint="eastAsia"/>
          <w:szCs w:val="21"/>
        </w:rPr>
        <w:t>《中国制造</w:t>
      </w:r>
      <w:r>
        <w:rPr>
          <w:szCs w:val="21"/>
        </w:rPr>
        <w:t>2025</w:t>
      </w:r>
      <w:r>
        <w:rPr>
          <w:rFonts w:hint="eastAsia"/>
          <w:szCs w:val="21"/>
        </w:rPr>
        <w:t>》重点领域技术路线图中指出关键战略材料包括稀土功能材料，是实现战略新兴产业创新驱动发展战略的重要物质基础。铈锆复合氧化物、机动车尾气净化催化剂、有机废气净化催化剂等是重要的稀土功能材料。</w:t>
      </w:r>
    </w:p>
    <w:p>
      <w:pPr>
        <w:spacing w:line="360" w:lineRule="auto"/>
        <w:rPr>
          <w:szCs w:val="21"/>
        </w:rPr>
      </w:pPr>
      <w:r>
        <w:rPr>
          <w:szCs w:val="21"/>
        </w:rPr>
        <w:t xml:space="preserve">    </w:t>
      </w:r>
      <w:r>
        <w:rPr>
          <w:rFonts w:hint="eastAsia"/>
          <w:szCs w:val="21"/>
        </w:rPr>
        <w:t>目前国家还没有关于铈锆复合氧化物产品的相关标准，铈锆生产企业的技术要求、下游催化应用企业的技术要求没有统一规范衔接，各自按照自己的需求建立不同的技术要求，极大影响了铈锆复合氧化物产品的开发、生产、销售和应用。</w:t>
      </w:r>
    </w:p>
    <w:p>
      <w:pPr>
        <w:spacing w:line="360" w:lineRule="auto"/>
        <w:rPr>
          <w:szCs w:val="21"/>
        </w:rPr>
      </w:pPr>
      <w:r>
        <w:rPr>
          <w:szCs w:val="21"/>
        </w:rPr>
        <w:t xml:space="preserve">    </w:t>
      </w:r>
      <w:r>
        <w:rPr>
          <w:rFonts w:hint="eastAsia"/>
          <w:szCs w:val="21"/>
        </w:rPr>
        <w:t>为此，建立铈锆复合氧化物材料行业标准，将对铈锆、汽车尾气净化催化剂、有机废气净化催化剂等生产、销售和应用起到良好的规范和促进作用。</w:t>
      </w:r>
    </w:p>
    <w:p>
      <w:pPr>
        <w:spacing w:beforeLines="50" w:line="360" w:lineRule="auto"/>
        <w:rPr>
          <w:rFonts w:eastAsia="黑体"/>
          <w:bCs/>
          <w:color w:val="000000"/>
          <w:szCs w:val="21"/>
        </w:rPr>
      </w:pPr>
      <w:r>
        <w:rPr>
          <w:rFonts w:eastAsia="黑体"/>
          <w:bCs/>
          <w:color w:val="000000"/>
          <w:szCs w:val="21"/>
        </w:rPr>
        <w:t>1.1.1</w:t>
      </w:r>
      <w:r>
        <w:rPr>
          <w:rFonts w:hint="eastAsia" w:eastAsia="黑体"/>
          <w:bCs/>
          <w:color w:val="000000"/>
          <w:szCs w:val="21"/>
        </w:rPr>
        <w:t>适用范围</w:t>
      </w:r>
    </w:p>
    <w:p>
      <w:pPr>
        <w:spacing w:line="360" w:lineRule="auto"/>
        <w:ind w:firstLine="420" w:firstLineChars="200"/>
        <w:rPr>
          <w:szCs w:val="21"/>
        </w:rPr>
      </w:pPr>
      <w:r>
        <w:rPr>
          <w:rFonts w:hint="eastAsia"/>
          <w:szCs w:val="21"/>
        </w:rPr>
        <w:t>本标准拟建立起铈锆复合氧化物材料的标准规范，主要从铈锆材料产品物化性能方面进行限定，如化学成分、杂质控制、比表面、粒度、热稳定性能等。另外还对铈锆复合氧化物的检验、</w:t>
      </w:r>
      <w:r>
        <w:rPr>
          <w:szCs w:val="21"/>
        </w:rPr>
        <w:t>标识、包装、运输、贮存</w:t>
      </w:r>
      <w:r>
        <w:rPr>
          <w:rFonts w:hint="eastAsia"/>
          <w:szCs w:val="21"/>
        </w:rPr>
        <w:t>等方面进行规范</w:t>
      </w:r>
      <w:r>
        <w:rPr>
          <w:szCs w:val="21"/>
        </w:rPr>
        <w:t>。</w:t>
      </w:r>
    </w:p>
    <w:p>
      <w:pPr>
        <w:spacing w:beforeLines="50" w:line="360" w:lineRule="auto"/>
        <w:rPr>
          <w:rFonts w:eastAsia="黑体"/>
          <w:bCs/>
          <w:color w:val="000000"/>
          <w:szCs w:val="21"/>
        </w:rPr>
      </w:pPr>
      <w:r>
        <w:rPr>
          <w:rFonts w:eastAsia="黑体"/>
          <w:bCs/>
          <w:color w:val="000000"/>
          <w:szCs w:val="21"/>
        </w:rPr>
        <w:t xml:space="preserve">1.1.3 </w:t>
      </w:r>
      <w:r>
        <w:rPr>
          <w:rFonts w:hint="eastAsia" w:eastAsia="黑体"/>
          <w:bCs/>
          <w:color w:val="000000"/>
          <w:szCs w:val="21"/>
        </w:rPr>
        <w:t>可行性</w:t>
      </w:r>
    </w:p>
    <w:p>
      <w:pPr>
        <w:spacing w:line="360" w:lineRule="auto"/>
        <w:ind w:firstLine="420"/>
        <w:rPr>
          <w:color w:val="000000"/>
          <w:kern w:val="0"/>
          <w:szCs w:val="21"/>
        </w:rPr>
      </w:pPr>
      <w:r>
        <w:rPr>
          <w:color w:val="000000"/>
          <w:kern w:val="0"/>
          <w:szCs w:val="21"/>
        </w:rPr>
        <w:t>有研稀土自2001年开始一直从事铈锆复合氧化物材料的研究与开发，</w:t>
      </w:r>
      <w:r>
        <w:rPr>
          <w:rFonts w:hint="eastAsia"/>
          <w:color w:val="000000"/>
          <w:kern w:val="0"/>
          <w:szCs w:val="21"/>
        </w:rPr>
        <w:t>成功研发出铈锆复合氧化物绿色制备产业化技术，申请发明专利1</w:t>
      </w:r>
      <w:r>
        <w:rPr>
          <w:color w:val="000000"/>
          <w:kern w:val="0"/>
          <w:szCs w:val="21"/>
        </w:rPr>
        <w:t>3</w:t>
      </w:r>
      <w:r>
        <w:rPr>
          <w:rFonts w:hint="eastAsia"/>
          <w:color w:val="000000"/>
          <w:kern w:val="0"/>
          <w:szCs w:val="21"/>
        </w:rPr>
        <w:t>项，国际P</w:t>
      </w:r>
      <w:r>
        <w:rPr>
          <w:color w:val="000000"/>
          <w:kern w:val="0"/>
          <w:szCs w:val="21"/>
        </w:rPr>
        <w:t>CT</w:t>
      </w:r>
      <w:r>
        <w:rPr>
          <w:rFonts w:hint="eastAsia"/>
          <w:color w:val="000000"/>
          <w:kern w:val="0"/>
          <w:szCs w:val="21"/>
        </w:rPr>
        <w:t>专利1项。在江苏建立了年产8</w:t>
      </w:r>
      <w:r>
        <w:rPr>
          <w:color w:val="000000"/>
          <w:kern w:val="0"/>
          <w:szCs w:val="21"/>
        </w:rPr>
        <w:t>00</w:t>
      </w:r>
      <w:r>
        <w:rPr>
          <w:rFonts w:hint="eastAsia"/>
          <w:color w:val="000000"/>
          <w:kern w:val="0"/>
          <w:szCs w:val="21"/>
        </w:rPr>
        <w:t>吨规模的铈锆复合氧化物生产线，实现批产。铈锆产品已在昆明贵研、宁波科森等多家催化剂企业推广应用。有研稀土拥有先进的铈锆复合氧化物产品物化性能和催化性能测试设备，如美国康塔全自动四站比表面和孔径分析仪、全自动化学吸附仪、美国</w:t>
      </w:r>
      <w:r>
        <w:rPr>
          <w:color w:val="000000"/>
          <w:kern w:val="0"/>
          <w:szCs w:val="21"/>
        </w:rPr>
        <w:t>MKS</w:t>
      </w:r>
      <w:r>
        <w:rPr>
          <w:rFonts w:hint="eastAsia"/>
          <w:color w:val="000000"/>
          <w:kern w:val="0"/>
          <w:szCs w:val="21"/>
        </w:rPr>
        <w:t>汽车尾气红外分析仪等。</w:t>
      </w:r>
    </w:p>
    <w:p>
      <w:pPr>
        <w:spacing w:beforeLines="50" w:line="360" w:lineRule="auto"/>
        <w:rPr>
          <w:rFonts w:eastAsia="黑体"/>
          <w:bCs/>
          <w:color w:val="000000"/>
          <w:szCs w:val="21"/>
        </w:rPr>
      </w:pPr>
      <w:r>
        <w:rPr>
          <w:rFonts w:hint="eastAsia" w:eastAsia="黑体"/>
          <w:bCs/>
          <w:color w:val="000000"/>
          <w:szCs w:val="21"/>
        </w:rPr>
        <w:t>1</w:t>
      </w:r>
      <w:r>
        <w:rPr>
          <w:rFonts w:eastAsia="黑体"/>
          <w:bCs/>
          <w:color w:val="000000"/>
          <w:szCs w:val="21"/>
        </w:rPr>
        <w:t xml:space="preserve">.1.4 </w:t>
      </w:r>
      <w:r>
        <w:rPr>
          <w:rFonts w:hint="eastAsia" w:eastAsia="黑体"/>
          <w:bCs/>
          <w:color w:val="000000"/>
          <w:szCs w:val="21"/>
        </w:rPr>
        <w:t>拟要解决的主要问题</w:t>
      </w:r>
    </w:p>
    <w:p>
      <w:pPr>
        <w:spacing w:line="360" w:lineRule="auto"/>
        <w:rPr>
          <w:szCs w:val="21"/>
        </w:rPr>
      </w:pPr>
      <w:r>
        <w:rPr>
          <w:rFonts w:hint="eastAsia"/>
          <w:color w:val="000000"/>
          <w:kern w:val="0"/>
          <w:szCs w:val="21"/>
        </w:rPr>
        <w:t xml:space="preserve"> </w:t>
      </w:r>
      <w:r>
        <w:rPr>
          <w:color w:val="000000"/>
          <w:kern w:val="0"/>
          <w:szCs w:val="21"/>
        </w:rPr>
        <w:t xml:space="preserve">   </w:t>
      </w:r>
      <w:r>
        <w:rPr>
          <w:rFonts w:hint="eastAsia"/>
          <w:szCs w:val="21"/>
        </w:rPr>
        <w:t>该项铈锆复合氧化物行业标准是国内第一个产品标准，填补国内空白。目前铈锆生产企业的技术要求、下游催化应用企业的技术要求没有统一规范衔接，极大影响了铈锆复合氧化物产品的开发、生产、销售和应用。该项铈锆复合氧化物行业标准制订，将起到良好的行业规范，促进铈锆复合氧化物的下游应用。</w:t>
      </w:r>
    </w:p>
    <w:p>
      <w:pPr>
        <w:spacing w:line="360" w:lineRule="auto"/>
        <w:rPr>
          <w:szCs w:val="21"/>
        </w:rPr>
      </w:pPr>
      <w:r>
        <w:rPr>
          <w:szCs w:val="21"/>
        </w:rPr>
        <w:t xml:space="preserve">    </w:t>
      </w:r>
      <w:r>
        <w:rPr>
          <w:rFonts w:hint="eastAsia"/>
          <w:szCs w:val="21"/>
        </w:rPr>
        <w:t>为此，建立铈锆复合氧化物材料行业标准，将对铈锆、汽车尾气净化催化剂、有机废气净化催化剂等生产、销售和应用起到良好的规范和促进作用。</w:t>
      </w:r>
    </w:p>
    <w:p>
      <w:pPr>
        <w:spacing w:beforeLines="50" w:line="360" w:lineRule="auto"/>
        <w:rPr>
          <w:rFonts w:eastAsia="黑体"/>
          <w:bCs/>
          <w:color w:val="000000"/>
          <w:szCs w:val="21"/>
        </w:rPr>
      </w:pPr>
      <w:r>
        <w:rPr>
          <w:rFonts w:eastAsia="黑体"/>
          <w:bCs/>
          <w:color w:val="000000"/>
          <w:szCs w:val="21"/>
        </w:rPr>
        <w:t>1.2</w:t>
      </w:r>
      <w:r>
        <w:rPr>
          <w:rFonts w:hint="eastAsia" w:eastAsia="黑体"/>
          <w:bCs/>
          <w:color w:val="000000"/>
          <w:szCs w:val="21"/>
        </w:rPr>
        <w:t xml:space="preserve"> 任务来源</w:t>
      </w:r>
    </w:p>
    <w:p>
      <w:pPr>
        <w:spacing w:beforeLines="50" w:line="360" w:lineRule="auto"/>
        <w:ind w:firstLine="420" w:firstLineChars="200"/>
        <w:rPr>
          <w:szCs w:val="18"/>
        </w:rPr>
      </w:pPr>
      <w:r>
        <w:rPr>
          <w:szCs w:val="21"/>
        </w:rPr>
        <w:t>根据稀土标委[2019] 42号文件</w:t>
      </w:r>
      <w:r>
        <w:rPr>
          <w:rFonts w:hint="eastAsia"/>
          <w:szCs w:val="21"/>
        </w:rPr>
        <w:t>“</w:t>
      </w:r>
      <w:r>
        <w:rPr>
          <w:szCs w:val="21"/>
        </w:rPr>
        <w:t>关于</w:t>
      </w:r>
      <w:r>
        <w:rPr>
          <w:rFonts w:hint="eastAsia"/>
          <w:szCs w:val="21"/>
        </w:rPr>
        <w:t>发送《铬酸镧高温电热元件》等</w:t>
      </w:r>
      <w:r>
        <w:rPr>
          <w:szCs w:val="21"/>
        </w:rPr>
        <w:t>9</w:t>
      </w:r>
      <w:r>
        <w:rPr>
          <w:rFonts w:hint="eastAsia"/>
          <w:szCs w:val="21"/>
        </w:rPr>
        <w:t>项国、行标计划任务落实会议纪要的通知”</w:t>
      </w:r>
      <w:r>
        <w:rPr>
          <w:szCs w:val="21"/>
        </w:rPr>
        <w:t>，</w:t>
      </w:r>
      <w:r>
        <w:rPr>
          <w:rFonts w:hint="eastAsia"/>
          <w:szCs w:val="21"/>
        </w:rPr>
        <w:t>《铈锆复合氧化物》行业标准计划正式下达，计划号为</w:t>
      </w:r>
      <w:r>
        <w:rPr>
          <w:szCs w:val="21"/>
        </w:rPr>
        <w:t>2019-0199T-XB</w:t>
      </w:r>
      <w:r>
        <w:rPr>
          <w:rFonts w:hint="eastAsia"/>
          <w:szCs w:val="21"/>
        </w:rPr>
        <w:t>，完成年限为</w:t>
      </w:r>
      <w:r>
        <w:rPr>
          <w:szCs w:val="21"/>
        </w:rPr>
        <w:t>2020</w:t>
      </w:r>
      <w:r>
        <w:rPr>
          <w:rFonts w:hint="eastAsia"/>
          <w:szCs w:val="21"/>
        </w:rPr>
        <w:t>年。根据文件要求，有研稀土新材料股份有限公司填报了《标准制（修）订项目落实任务书》。</w:t>
      </w:r>
      <w:r>
        <w:rPr>
          <w:rFonts w:hint="eastAsia"/>
          <w:szCs w:val="18"/>
        </w:rPr>
        <w:t>本标准制订任务由有研稀土新材料股份有限公司负责牵头起草，参与起草单位包括：江苏国盛新材料有限公司、昆明贵研催化剂有限责任公司、无锡威孚环保催化剂有限公司、包头稀土研究院、虔东稀土集团股份有限公司、河北雄安稀土功能材料创新中心有限公司、江西泰斯特新材料测试评价中心有限公司、湖南稀土金属材料研究院、淄博加华新材料资源有限公司、江阴加华新材料资源有限公司、山东国瓷功能材料股份有限公司、中国北方稀土（集团）高科技股份有限公司、中化地质矿山总局浙江地质勘查院、浙江达峰汽车技术有限公司。</w:t>
      </w:r>
    </w:p>
    <w:p>
      <w:pPr>
        <w:spacing w:beforeLines="50" w:line="360" w:lineRule="auto"/>
        <w:rPr>
          <w:rFonts w:eastAsia="黑体"/>
          <w:bCs/>
          <w:color w:val="000000"/>
          <w:szCs w:val="21"/>
        </w:rPr>
      </w:pPr>
      <w:r>
        <w:rPr>
          <w:rFonts w:eastAsia="黑体"/>
          <w:bCs/>
          <w:color w:val="000000"/>
          <w:szCs w:val="21"/>
        </w:rPr>
        <w:t xml:space="preserve">1.3 </w:t>
      </w:r>
      <w:r>
        <w:rPr>
          <w:rFonts w:hint="eastAsia" w:eastAsia="黑体"/>
          <w:bCs/>
          <w:color w:val="000000"/>
          <w:szCs w:val="21"/>
        </w:rPr>
        <w:t>标准项目编制单位、起草人及其所作工作</w:t>
      </w:r>
    </w:p>
    <w:p>
      <w:pPr>
        <w:adjustRightInd w:val="0"/>
        <w:snapToGrid w:val="0"/>
        <w:spacing w:line="360" w:lineRule="auto"/>
        <w:ind w:firstLine="420" w:firstLineChars="200"/>
        <w:rPr>
          <w:color w:val="000000"/>
          <w:kern w:val="0"/>
          <w:szCs w:val="21"/>
        </w:rPr>
      </w:pPr>
      <w:r>
        <w:rPr>
          <w:rFonts w:hint="eastAsia"/>
          <w:szCs w:val="18"/>
        </w:rPr>
        <w:t>有研稀土新材料股份有限公司（简称有研稀土）是</w:t>
      </w:r>
      <w:r>
        <w:rPr>
          <w:szCs w:val="18"/>
        </w:rPr>
        <w:t>2001</w:t>
      </w:r>
      <w:r>
        <w:rPr>
          <w:rFonts w:hint="eastAsia"/>
          <w:szCs w:val="18"/>
        </w:rPr>
        <w:t>年由北京有色金属研究总院作为主发起人对“稀土材料国家工程研究中心”进行整体改制而设立的股份公司，是首家在中关村科技园区德胜科技园的注册高新技术企业，被评为中关村国家自主创新示范区“十百千工程”重点培育企业。有研稀土是我国最早从事稀土研究开发的单位之一，是国内外著名的全方位从事稀土冶炼分离、提纯工</w:t>
      </w:r>
      <w:r>
        <w:rPr>
          <w:rFonts w:hint="eastAsia"/>
          <w:color w:val="000000"/>
          <w:kern w:val="0"/>
          <w:szCs w:val="21"/>
        </w:rPr>
        <w:t>艺技术和稀土磁、光、电、生物、催化等功能材料制备技术的研究、工程化和产业化技术开发的单位。拥有一支创新能力较强的高素质研究开发队伍，其中中国工程院院士</w:t>
      </w:r>
      <w:r>
        <w:rPr>
          <w:color w:val="000000"/>
          <w:kern w:val="0"/>
          <w:szCs w:val="21"/>
        </w:rPr>
        <w:t>2</w:t>
      </w:r>
      <w:r>
        <w:rPr>
          <w:rFonts w:hint="eastAsia"/>
          <w:color w:val="000000"/>
          <w:kern w:val="0"/>
          <w:szCs w:val="21"/>
        </w:rPr>
        <w:t>名；高级职称以上人员</w:t>
      </w:r>
      <w:r>
        <w:rPr>
          <w:color w:val="000000"/>
          <w:kern w:val="0"/>
          <w:szCs w:val="21"/>
        </w:rPr>
        <w:t>49</w:t>
      </w:r>
      <w:r>
        <w:rPr>
          <w:rFonts w:hint="eastAsia"/>
          <w:color w:val="000000"/>
          <w:kern w:val="0"/>
          <w:szCs w:val="21"/>
        </w:rPr>
        <w:t>人，工程师</w:t>
      </w:r>
      <w:r>
        <w:rPr>
          <w:color w:val="000000"/>
          <w:kern w:val="0"/>
          <w:szCs w:val="21"/>
        </w:rPr>
        <w:t>38</w:t>
      </w:r>
      <w:r>
        <w:rPr>
          <w:rFonts w:hint="eastAsia"/>
          <w:color w:val="000000"/>
          <w:kern w:val="0"/>
          <w:szCs w:val="21"/>
        </w:rPr>
        <w:t>人，博士</w:t>
      </w:r>
      <w:r>
        <w:rPr>
          <w:color w:val="000000"/>
          <w:kern w:val="0"/>
          <w:szCs w:val="21"/>
        </w:rPr>
        <w:t>24</w:t>
      </w:r>
      <w:r>
        <w:rPr>
          <w:rFonts w:hint="eastAsia"/>
          <w:color w:val="000000"/>
          <w:kern w:val="0"/>
          <w:szCs w:val="21"/>
        </w:rPr>
        <w:t>人，硕士</w:t>
      </w:r>
      <w:r>
        <w:rPr>
          <w:color w:val="000000"/>
          <w:kern w:val="0"/>
          <w:szCs w:val="21"/>
        </w:rPr>
        <w:t>62</w:t>
      </w:r>
      <w:r>
        <w:rPr>
          <w:rFonts w:hint="eastAsia"/>
          <w:color w:val="000000"/>
          <w:kern w:val="0"/>
          <w:szCs w:val="21"/>
        </w:rPr>
        <w:t>人，是一支理论基础扎实、工作经验丰富、知识结构合理的创新型研发团队。有研稀土及其前身在稀土领域先后承担了</w:t>
      </w:r>
      <w:r>
        <w:rPr>
          <w:color w:val="000000"/>
          <w:kern w:val="0"/>
          <w:szCs w:val="21"/>
        </w:rPr>
        <w:t>300</w:t>
      </w:r>
      <w:r>
        <w:rPr>
          <w:rFonts w:hint="eastAsia"/>
          <w:color w:val="000000"/>
          <w:kern w:val="0"/>
          <w:szCs w:val="21"/>
        </w:rPr>
        <w:t>多项国家、省部级项目</w:t>
      </w:r>
      <w:r>
        <w:rPr>
          <w:color w:val="000000"/>
          <w:kern w:val="0"/>
          <w:szCs w:val="21"/>
        </w:rPr>
        <w:t>/</w:t>
      </w:r>
      <w:r>
        <w:rPr>
          <w:rFonts w:hint="eastAsia"/>
          <w:color w:val="000000"/>
          <w:kern w:val="0"/>
          <w:szCs w:val="21"/>
        </w:rPr>
        <w:t>课题，获得国家级、省部级奖励</w:t>
      </w:r>
      <w:r>
        <w:rPr>
          <w:color w:val="000000"/>
          <w:kern w:val="0"/>
          <w:szCs w:val="21"/>
        </w:rPr>
        <w:t>162</w:t>
      </w:r>
      <w:r>
        <w:rPr>
          <w:rFonts w:hint="eastAsia"/>
          <w:color w:val="000000"/>
          <w:kern w:val="0"/>
          <w:szCs w:val="21"/>
        </w:rPr>
        <w:t>项（其中国家级奖励</w:t>
      </w:r>
      <w:r>
        <w:rPr>
          <w:color w:val="000000"/>
          <w:kern w:val="0"/>
          <w:szCs w:val="21"/>
        </w:rPr>
        <w:t>40</w:t>
      </w:r>
      <w:r>
        <w:rPr>
          <w:rFonts w:hint="eastAsia"/>
          <w:color w:val="000000"/>
          <w:kern w:val="0"/>
          <w:szCs w:val="21"/>
        </w:rPr>
        <w:t>项），研究成果</w:t>
      </w:r>
      <w:r>
        <w:rPr>
          <w:color w:val="000000"/>
          <w:kern w:val="0"/>
          <w:szCs w:val="21"/>
        </w:rPr>
        <w:t>50%</w:t>
      </w:r>
      <w:r>
        <w:rPr>
          <w:rFonts w:hint="eastAsia"/>
          <w:color w:val="000000"/>
          <w:kern w:val="0"/>
          <w:szCs w:val="21"/>
        </w:rPr>
        <w:t>以上应用于工业生产，申请发明专利</w:t>
      </w:r>
      <w:r>
        <w:rPr>
          <w:color w:val="000000"/>
          <w:kern w:val="0"/>
          <w:szCs w:val="21"/>
        </w:rPr>
        <w:t>440</w:t>
      </w:r>
      <w:r>
        <w:rPr>
          <w:rFonts w:hint="eastAsia"/>
          <w:color w:val="000000"/>
          <w:kern w:val="0"/>
          <w:szCs w:val="21"/>
        </w:rPr>
        <w:t>多项（国外</w:t>
      </w:r>
      <w:r>
        <w:rPr>
          <w:color w:val="000000"/>
          <w:kern w:val="0"/>
          <w:szCs w:val="21"/>
        </w:rPr>
        <w:t>78</w:t>
      </w:r>
      <w:r>
        <w:rPr>
          <w:rFonts w:hint="eastAsia"/>
          <w:color w:val="000000"/>
          <w:kern w:val="0"/>
          <w:szCs w:val="21"/>
        </w:rPr>
        <w:t>项，授权</w:t>
      </w:r>
      <w:r>
        <w:rPr>
          <w:color w:val="000000"/>
          <w:kern w:val="0"/>
          <w:szCs w:val="21"/>
        </w:rPr>
        <w:t>210</w:t>
      </w:r>
      <w:r>
        <w:rPr>
          <w:rFonts w:hint="eastAsia"/>
          <w:color w:val="000000"/>
          <w:kern w:val="0"/>
          <w:szCs w:val="21"/>
        </w:rPr>
        <w:t>项），并向国内外转让了</w:t>
      </w:r>
      <w:r>
        <w:rPr>
          <w:color w:val="000000"/>
          <w:kern w:val="0"/>
          <w:szCs w:val="21"/>
        </w:rPr>
        <w:t>70</w:t>
      </w:r>
      <w:r>
        <w:rPr>
          <w:rFonts w:hint="eastAsia"/>
          <w:color w:val="000000"/>
          <w:kern w:val="0"/>
          <w:szCs w:val="21"/>
        </w:rPr>
        <w:t>余项（</w:t>
      </w:r>
      <w:r>
        <w:rPr>
          <w:color w:val="000000"/>
          <w:kern w:val="0"/>
          <w:szCs w:val="21"/>
        </w:rPr>
        <w:t>170</w:t>
      </w:r>
      <w:r>
        <w:rPr>
          <w:rFonts w:hint="eastAsia"/>
          <w:color w:val="000000"/>
          <w:kern w:val="0"/>
          <w:szCs w:val="21"/>
        </w:rPr>
        <w:t>余次）先进的稀土冶炼分离及化合物材料制备技术，支援建设了数家稀土骨干企业，为我国稀土工业体系的建立和发展作出了重大贡献。全世界生产的</w:t>
      </w:r>
      <w:r>
        <w:rPr>
          <w:color w:val="000000"/>
          <w:kern w:val="0"/>
          <w:szCs w:val="21"/>
        </w:rPr>
        <w:t>60%</w:t>
      </w:r>
      <w:r>
        <w:rPr>
          <w:rFonts w:hint="eastAsia"/>
          <w:color w:val="000000"/>
          <w:kern w:val="0"/>
          <w:szCs w:val="21"/>
        </w:rPr>
        <w:t>以上的稀土产品采用有研稀土的技术。</w:t>
      </w:r>
    </w:p>
    <w:p>
      <w:pPr>
        <w:spacing w:line="360" w:lineRule="auto"/>
        <w:rPr>
          <w:color w:val="000000"/>
          <w:kern w:val="0"/>
          <w:szCs w:val="21"/>
        </w:rPr>
      </w:pPr>
      <w:r>
        <w:rPr>
          <w:color w:val="000000"/>
          <w:kern w:val="0"/>
          <w:szCs w:val="21"/>
        </w:rPr>
        <w:t xml:space="preserve">    有研稀土自2001年开始一直从事铈锆复合氧化物材料的研究与开发，</w:t>
      </w:r>
      <w:r>
        <w:rPr>
          <w:rFonts w:hint="eastAsia"/>
          <w:color w:val="000000"/>
          <w:kern w:val="0"/>
          <w:szCs w:val="21"/>
        </w:rPr>
        <w:t>从事</w:t>
      </w:r>
      <w:r>
        <w:rPr>
          <w:color w:val="000000"/>
          <w:kern w:val="0"/>
          <w:szCs w:val="21"/>
        </w:rPr>
        <w:t>铈锆复合氧化物材料</w:t>
      </w:r>
      <w:r>
        <w:rPr>
          <w:rFonts w:hint="eastAsia"/>
          <w:color w:val="000000"/>
          <w:kern w:val="0"/>
          <w:szCs w:val="21"/>
        </w:rPr>
        <w:t>研发人员</w:t>
      </w:r>
      <w:r>
        <w:rPr>
          <w:color w:val="000000"/>
          <w:kern w:val="0"/>
          <w:szCs w:val="21"/>
        </w:rPr>
        <w:t>12</w:t>
      </w:r>
      <w:r>
        <w:rPr>
          <w:rFonts w:hint="eastAsia"/>
          <w:color w:val="000000"/>
          <w:kern w:val="0"/>
          <w:szCs w:val="21"/>
        </w:rPr>
        <w:t>名，其中包括工程院院士</w:t>
      </w:r>
      <w:r>
        <w:rPr>
          <w:color w:val="000000"/>
          <w:kern w:val="0"/>
          <w:szCs w:val="21"/>
        </w:rPr>
        <w:t>1</w:t>
      </w:r>
      <w:r>
        <w:rPr>
          <w:rFonts w:hint="eastAsia"/>
          <w:color w:val="000000"/>
          <w:kern w:val="0"/>
          <w:szCs w:val="21"/>
        </w:rPr>
        <w:t>名，教授级高级工程师</w:t>
      </w:r>
      <w:r>
        <w:rPr>
          <w:color w:val="000000"/>
          <w:kern w:val="0"/>
          <w:szCs w:val="21"/>
        </w:rPr>
        <w:t>4</w:t>
      </w:r>
      <w:r>
        <w:rPr>
          <w:rFonts w:hint="eastAsia"/>
          <w:color w:val="000000"/>
          <w:kern w:val="0"/>
          <w:szCs w:val="21"/>
        </w:rPr>
        <w:t>名，高级工程师</w:t>
      </w:r>
      <w:r>
        <w:rPr>
          <w:color w:val="000000"/>
          <w:kern w:val="0"/>
          <w:szCs w:val="21"/>
        </w:rPr>
        <w:t>1</w:t>
      </w:r>
      <w:r>
        <w:rPr>
          <w:rFonts w:hint="eastAsia"/>
          <w:color w:val="000000"/>
          <w:kern w:val="0"/>
          <w:szCs w:val="21"/>
        </w:rPr>
        <w:t>名，具有博士学位</w:t>
      </w:r>
      <w:r>
        <w:rPr>
          <w:color w:val="000000"/>
          <w:kern w:val="0"/>
          <w:szCs w:val="21"/>
        </w:rPr>
        <w:t>4</w:t>
      </w:r>
      <w:r>
        <w:rPr>
          <w:rFonts w:hint="eastAsia"/>
          <w:color w:val="000000"/>
          <w:kern w:val="0"/>
          <w:szCs w:val="21"/>
        </w:rPr>
        <w:t>名，</w:t>
      </w:r>
      <w:r>
        <w:rPr>
          <w:color w:val="000000"/>
          <w:kern w:val="0"/>
          <w:szCs w:val="21"/>
        </w:rPr>
        <w:t>2人次入选北京市优秀人才</w:t>
      </w:r>
      <w:r>
        <w:rPr>
          <w:rFonts w:hint="eastAsia"/>
          <w:color w:val="000000"/>
          <w:kern w:val="0"/>
          <w:szCs w:val="21"/>
        </w:rPr>
        <w:t>。</w:t>
      </w:r>
      <w:r>
        <w:rPr>
          <w:color w:val="000000"/>
          <w:kern w:val="0"/>
          <w:szCs w:val="21"/>
        </w:rPr>
        <w:t>整个团队成员结构配置合理，拥有从理论指导、技术指导到研发执行等的标准梯队</w:t>
      </w:r>
      <w:r>
        <w:rPr>
          <w:rFonts w:hint="eastAsia"/>
          <w:color w:val="000000"/>
          <w:kern w:val="0"/>
          <w:szCs w:val="21"/>
        </w:rPr>
        <w:t>。</w:t>
      </w:r>
      <w:r>
        <w:rPr>
          <w:color w:val="000000"/>
          <w:kern w:val="0"/>
          <w:szCs w:val="21"/>
        </w:rPr>
        <w:t>目前已形成比较成熟的铈锆复合氧化物材料绿色制备产业化技术，并在江苏国盛新材料有限公司建立了一条年产800吨规模的铈锆材料生产线。</w:t>
      </w:r>
      <w:r>
        <w:rPr>
          <w:rFonts w:hint="eastAsia"/>
          <w:color w:val="000000"/>
          <w:kern w:val="0"/>
          <w:szCs w:val="21"/>
        </w:rPr>
        <w:t>产品已在多家下游催化剂企业得到应用</w:t>
      </w:r>
      <w:r>
        <w:rPr>
          <w:color w:val="000000"/>
          <w:kern w:val="0"/>
          <w:szCs w:val="21"/>
        </w:rPr>
        <w:t>。</w:t>
      </w:r>
    </w:p>
    <w:p>
      <w:pPr>
        <w:spacing w:line="360" w:lineRule="auto"/>
        <w:rPr>
          <w:color w:val="000000"/>
          <w:kern w:val="0"/>
          <w:szCs w:val="21"/>
        </w:rPr>
      </w:pPr>
      <w:r>
        <w:rPr>
          <w:color w:val="000000"/>
          <w:kern w:val="0"/>
          <w:szCs w:val="21"/>
        </w:rPr>
        <w:t xml:space="preserve">    </w:t>
      </w:r>
      <w:r>
        <w:rPr>
          <w:rFonts w:hint="eastAsia"/>
          <w:color w:val="000000"/>
          <w:kern w:val="0"/>
          <w:szCs w:val="21"/>
        </w:rPr>
        <w:t>有研稀土拥有美国康塔仪器公司生产的全自动四站比表面和孔径分析仪、全自动化学吸附仪等进口设备，可进行铈锆材料比表面、氧化还原、储氧能力等测试；拥有美国</w:t>
      </w:r>
      <w:r>
        <w:rPr>
          <w:color w:val="000000"/>
          <w:kern w:val="0"/>
          <w:szCs w:val="21"/>
        </w:rPr>
        <w:t>MKS</w:t>
      </w:r>
      <w:r>
        <w:rPr>
          <w:rFonts w:hint="eastAsia"/>
          <w:color w:val="000000"/>
          <w:kern w:val="0"/>
          <w:szCs w:val="21"/>
        </w:rPr>
        <w:t>汽车尾气红外分析仪和尾气测试装置，可用于铈锆及汽车尾气净化催化剂的性能评价；拥有欧美科激光粒度仪，</w:t>
      </w:r>
      <w:r>
        <w:rPr>
          <w:color w:val="000000"/>
          <w:kern w:val="0"/>
          <w:szCs w:val="21"/>
        </w:rPr>
        <w:t>ICP</w:t>
      </w:r>
      <w:r>
        <w:rPr>
          <w:rFonts w:hint="eastAsia"/>
          <w:color w:val="000000"/>
          <w:kern w:val="0"/>
          <w:szCs w:val="21"/>
        </w:rPr>
        <w:t>分析仪等，可对铈锆产品进行粒度、杂质等测试分析。</w:t>
      </w:r>
    </w:p>
    <w:p>
      <w:pPr>
        <w:spacing w:line="360" w:lineRule="auto"/>
        <w:ind w:firstLine="420" w:firstLineChars="200"/>
        <w:rPr>
          <w:color w:val="000000"/>
          <w:kern w:val="0"/>
          <w:szCs w:val="21"/>
        </w:rPr>
      </w:pPr>
      <w:r>
        <w:rPr>
          <w:rFonts w:hint="eastAsia"/>
          <w:color w:val="000000"/>
          <w:kern w:val="0"/>
          <w:szCs w:val="21"/>
        </w:rPr>
        <w:t>有研稀土一直积极参与标准的制修订工作，先后牵头</w:t>
      </w:r>
      <w:r>
        <w:rPr>
          <w:color w:val="000000"/>
          <w:kern w:val="0"/>
          <w:szCs w:val="21"/>
        </w:rPr>
        <w:t>/</w:t>
      </w:r>
      <w:r>
        <w:rPr>
          <w:rFonts w:hint="eastAsia"/>
          <w:color w:val="000000"/>
          <w:kern w:val="0"/>
          <w:szCs w:val="21"/>
        </w:rPr>
        <w:t>参与制定了《轻型汽油车排气净化催化剂》、《稀土术语</w:t>
      </w:r>
      <w:r>
        <w:rPr>
          <w:color w:val="000000"/>
          <w:kern w:val="0"/>
          <w:szCs w:val="21"/>
        </w:rPr>
        <w:t>-</w:t>
      </w:r>
      <w:r>
        <w:rPr>
          <w:rFonts w:hint="eastAsia"/>
          <w:color w:val="000000"/>
          <w:kern w:val="0"/>
          <w:szCs w:val="21"/>
        </w:rPr>
        <w:t>稀土金属及合金》、《稀土术语</w:t>
      </w:r>
      <w:r>
        <w:rPr>
          <w:color w:val="000000"/>
          <w:kern w:val="0"/>
          <w:szCs w:val="21"/>
        </w:rPr>
        <w:t>-</w:t>
      </w:r>
      <w:r>
        <w:rPr>
          <w:rFonts w:hint="eastAsia"/>
          <w:color w:val="000000"/>
          <w:kern w:val="0"/>
          <w:szCs w:val="21"/>
        </w:rPr>
        <w:t>稀土矿产品及化合物》、《快淬钕铁硼永磁粉》、《粘结钕铁硼永磁材料》、《钕铁硼速凝薄片合金》、《稀土工业污染物排放标准》、《钇铝合金》、《金属钬》、《高纯金属镝》、《高纯金属铽》等</w:t>
      </w:r>
      <w:r>
        <w:rPr>
          <w:color w:val="000000"/>
          <w:kern w:val="0"/>
          <w:szCs w:val="21"/>
        </w:rPr>
        <w:t>60</w:t>
      </w:r>
      <w:r>
        <w:rPr>
          <w:rFonts w:hint="eastAsia"/>
          <w:color w:val="000000"/>
          <w:kern w:val="0"/>
          <w:szCs w:val="21"/>
        </w:rPr>
        <w:t>多项稀土国际标准、国家标准、行业标准。</w:t>
      </w:r>
    </w:p>
    <w:p>
      <w:pPr>
        <w:spacing w:beforeLines="50" w:line="360" w:lineRule="auto"/>
        <w:ind w:firstLine="420"/>
        <w:rPr>
          <w:szCs w:val="18"/>
        </w:rPr>
      </w:pPr>
      <w:r>
        <w:rPr>
          <w:rFonts w:hint="eastAsia"/>
          <w:szCs w:val="18"/>
        </w:rPr>
        <w:t>标准参与单位包括江苏国盛、山东国瓷、淄博加华国内铈锆复合氧化物代表性生产企业；包括无锡威孚、昆明贵研、浙江达峰国内典型的汽车尾气净化催化剂生产企业，是铈锆复合氧化物下游的催化剂用户，其中无锡威孚、昆明贵研是国内第一、第二大汽车尾气催化剂生产企业。包括包头稀土研究院、虔东稀土、雄安稀土、湖南稀土研究院、北方稀土、江阴加华等稀土功能材料研发单位；包括江西泰斯特、中化地质矿山等分析测试及研发单位。各参与单位及其主要起草人均对铈锆复合氧化物标准提出了宝贵修改意见。</w:t>
      </w:r>
    </w:p>
    <w:p>
      <w:pPr>
        <w:spacing w:beforeLines="50" w:line="360" w:lineRule="auto"/>
        <w:rPr>
          <w:rFonts w:eastAsia="黑体"/>
          <w:bCs/>
          <w:color w:val="000000"/>
          <w:szCs w:val="21"/>
        </w:rPr>
      </w:pPr>
      <w:r>
        <w:rPr>
          <w:rFonts w:eastAsia="黑体"/>
          <w:bCs/>
          <w:color w:val="000000"/>
          <w:szCs w:val="21"/>
        </w:rPr>
        <w:t xml:space="preserve">1.4 </w:t>
      </w:r>
      <w:r>
        <w:rPr>
          <w:rFonts w:hint="eastAsia" w:eastAsia="黑体"/>
          <w:bCs/>
          <w:color w:val="000000"/>
          <w:szCs w:val="21"/>
        </w:rPr>
        <w:t>主要工作过程</w:t>
      </w:r>
    </w:p>
    <w:p>
      <w:pPr>
        <w:spacing w:beforeLines="50" w:line="360" w:lineRule="auto"/>
        <w:ind w:firstLine="420" w:firstLineChars="200"/>
        <w:rPr>
          <w:szCs w:val="18"/>
        </w:rPr>
      </w:pPr>
      <w:r>
        <w:rPr>
          <w:szCs w:val="18"/>
        </w:rPr>
        <w:t>2019</w:t>
      </w:r>
      <w:r>
        <w:rPr>
          <w:rFonts w:hint="eastAsia"/>
          <w:szCs w:val="18"/>
        </w:rPr>
        <w:t>年8月1</w:t>
      </w:r>
      <w:r>
        <w:rPr>
          <w:szCs w:val="18"/>
        </w:rPr>
        <w:t>4</w:t>
      </w:r>
      <w:r>
        <w:rPr>
          <w:rFonts w:hint="eastAsia"/>
          <w:szCs w:val="18"/>
        </w:rPr>
        <w:t>日~</w:t>
      </w:r>
      <w:r>
        <w:rPr>
          <w:szCs w:val="18"/>
        </w:rPr>
        <w:t>16</w:t>
      </w:r>
      <w:r>
        <w:rPr>
          <w:rFonts w:hint="eastAsia"/>
          <w:szCs w:val="18"/>
        </w:rPr>
        <w:t>日，在江西赣州召开了“2</w:t>
      </w:r>
      <w:r>
        <w:rPr>
          <w:szCs w:val="18"/>
        </w:rPr>
        <w:t>019</w:t>
      </w:r>
      <w:r>
        <w:rPr>
          <w:rFonts w:hint="eastAsia"/>
          <w:szCs w:val="18"/>
        </w:rPr>
        <w:t>年第五次稀土标准制修订工作会”，会上对铈锆复合氧化物标准进行了任务落实。2</w:t>
      </w:r>
      <w:r>
        <w:rPr>
          <w:szCs w:val="18"/>
        </w:rPr>
        <w:t>019</w:t>
      </w:r>
      <w:r>
        <w:rPr>
          <w:rFonts w:hint="eastAsia"/>
          <w:szCs w:val="18"/>
        </w:rPr>
        <w:t>年9月4日，稀标委下发了稀土标委[</w:t>
      </w:r>
      <w:r>
        <w:rPr>
          <w:szCs w:val="18"/>
        </w:rPr>
        <w:t>2019]42</w:t>
      </w:r>
      <w:r>
        <w:rPr>
          <w:rFonts w:hint="eastAsia"/>
          <w:szCs w:val="18"/>
        </w:rPr>
        <w:t>号文件“关于发送《铬酸镧高温电热元件》等9项国、行标计划任务落实会议纪要的通知”。有研稀土接到上述通知后，有研稀土与各参与单位进行联系，确立了各参与单位标准联系人、起草人等信息。根据稀标委通知要求，填写了铈锆复合氧化物标准任务书，并签字、盖章进行了备案。</w:t>
      </w:r>
    </w:p>
    <w:p>
      <w:pPr>
        <w:spacing w:line="360" w:lineRule="auto"/>
        <w:ind w:firstLine="420" w:firstLineChars="200"/>
        <w:rPr>
          <w:szCs w:val="21"/>
        </w:rPr>
      </w:pPr>
      <w:r>
        <w:rPr>
          <w:rFonts w:hint="eastAsia"/>
          <w:szCs w:val="21"/>
        </w:rPr>
        <w:t>任务下达后，铈锆复合氧化物标准编制组制订了进度计划：</w:t>
      </w:r>
    </w:p>
    <w:p>
      <w:pPr>
        <w:spacing w:line="360" w:lineRule="auto"/>
        <w:ind w:firstLine="420" w:firstLineChars="200"/>
        <w:rPr>
          <w:color w:val="000000"/>
          <w:szCs w:val="21"/>
        </w:rPr>
      </w:pPr>
      <w:r>
        <w:rPr>
          <w:color w:val="000000"/>
          <w:szCs w:val="21"/>
        </w:rPr>
        <w:t>2019.11~2020.01：调研、查阅资料，了解国内关于</w:t>
      </w:r>
      <w:r>
        <w:rPr>
          <w:rFonts w:hint="eastAsia"/>
          <w:color w:val="000000"/>
          <w:szCs w:val="21"/>
        </w:rPr>
        <w:t>铈锆复合氧化物产品</w:t>
      </w:r>
      <w:r>
        <w:rPr>
          <w:color w:val="000000"/>
          <w:szCs w:val="21"/>
        </w:rPr>
        <w:t>的生产动态及</w:t>
      </w:r>
      <w:r>
        <w:rPr>
          <w:rFonts w:hint="eastAsia"/>
          <w:color w:val="000000"/>
          <w:szCs w:val="21"/>
        </w:rPr>
        <w:t>市场</w:t>
      </w:r>
      <w:r>
        <w:rPr>
          <w:color w:val="000000"/>
          <w:szCs w:val="21"/>
        </w:rPr>
        <w:t>应用</w:t>
      </w:r>
      <w:r>
        <w:rPr>
          <w:rFonts w:hint="eastAsia"/>
          <w:color w:val="000000"/>
          <w:szCs w:val="21"/>
        </w:rPr>
        <w:t>情况</w:t>
      </w:r>
      <w:r>
        <w:rPr>
          <w:color w:val="000000"/>
          <w:szCs w:val="21"/>
        </w:rPr>
        <w:t>，</w:t>
      </w:r>
      <w:r>
        <w:rPr>
          <w:rFonts w:hint="eastAsia"/>
          <w:color w:val="000000"/>
          <w:szCs w:val="21"/>
        </w:rPr>
        <w:t>并对相关资料进行</w:t>
      </w:r>
      <w:r>
        <w:rPr>
          <w:color w:val="000000"/>
          <w:szCs w:val="21"/>
        </w:rPr>
        <w:t>消化吸收，编</w:t>
      </w:r>
      <w:r>
        <w:rPr>
          <w:rFonts w:hint="eastAsia"/>
          <w:color w:val="000000"/>
          <w:szCs w:val="21"/>
        </w:rPr>
        <w:t>制出</w:t>
      </w:r>
      <w:r>
        <w:rPr>
          <w:color w:val="000000"/>
          <w:szCs w:val="21"/>
        </w:rPr>
        <w:t>《</w:t>
      </w:r>
      <w:r>
        <w:rPr>
          <w:rFonts w:hint="eastAsia"/>
          <w:color w:val="000000"/>
          <w:szCs w:val="21"/>
        </w:rPr>
        <w:t>铈锆复合氧化物</w:t>
      </w:r>
      <w:r>
        <w:rPr>
          <w:color w:val="000000"/>
          <w:szCs w:val="21"/>
        </w:rPr>
        <w:t>》标准初稿、编制说明</w:t>
      </w:r>
      <w:r>
        <w:rPr>
          <w:rFonts w:hint="eastAsia"/>
          <w:color w:val="000000"/>
          <w:szCs w:val="21"/>
        </w:rPr>
        <w:t>等</w:t>
      </w:r>
      <w:r>
        <w:rPr>
          <w:color w:val="000000"/>
          <w:szCs w:val="21"/>
        </w:rPr>
        <w:t>，组织相关人员进行讨论，对标准初稿进行完善；</w:t>
      </w:r>
    </w:p>
    <w:p>
      <w:pPr>
        <w:spacing w:line="360" w:lineRule="auto"/>
        <w:ind w:firstLine="420" w:firstLineChars="200"/>
        <w:rPr>
          <w:color w:val="000000"/>
          <w:szCs w:val="21"/>
        </w:rPr>
      </w:pPr>
      <w:r>
        <w:rPr>
          <w:color w:val="000000"/>
          <w:szCs w:val="21"/>
        </w:rPr>
        <w:t>2020.02~03：发出《</w:t>
      </w:r>
      <w:r>
        <w:rPr>
          <w:rFonts w:hint="eastAsia"/>
          <w:color w:val="000000"/>
          <w:szCs w:val="21"/>
        </w:rPr>
        <w:t>铈锆复合氧化物</w:t>
      </w:r>
      <w:r>
        <w:rPr>
          <w:color w:val="000000"/>
          <w:szCs w:val="21"/>
        </w:rPr>
        <w:t>》标准的征求意见稿，根据反馈回来的意见和建议，完善标准的征求意见稿，修定后形成预审稿；</w:t>
      </w:r>
    </w:p>
    <w:p>
      <w:pPr>
        <w:spacing w:line="360" w:lineRule="auto"/>
        <w:ind w:firstLine="420" w:firstLineChars="200"/>
        <w:rPr>
          <w:color w:val="000000"/>
          <w:szCs w:val="21"/>
        </w:rPr>
      </w:pPr>
      <w:r>
        <w:rPr>
          <w:color w:val="000000"/>
          <w:szCs w:val="21"/>
        </w:rPr>
        <w:t>2020.04~08：完成预审，</w:t>
      </w:r>
      <w:r>
        <w:rPr>
          <w:rFonts w:hint="eastAsia"/>
          <w:color w:val="000000"/>
          <w:szCs w:val="21"/>
        </w:rPr>
        <w:t>结合</w:t>
      </w:r>
      <w:r>
        <w:rPr>
          <w:color w:val="000000"/>
          <w:szCs w:val="21"/>
        </w:rPr>
        <w:t>预审会</w:t>
      </w:r>
      <w:r>
        <w:rPr>
          <w:rFonts w:hint="eastAsia"/>
          <w:color w:val="000000"/>
          <w:szCs w:val="21"/>
        </w:rPr>
        <w:t>问题和意见对标准</w:t>
      </w:r>
      <w:r>
        <w:rPr>
          <w:color w:val="000000"/>
          <w:szCs w:val="21"/>
        </w:rPr>
        <w:t>进一步验证</w:t>
      </w:r>
      <w:r>
        <w:rPr>
          <w:rFonts w:hint="eastAsia"/>
          <w:color w:val="000000"/>
          <w:szCs w:val="21"/>
        </w:rPr>
        <w:t>、完善</w:t>
      </w:r>
      <w:r>
        <w:rPr>
          <w:color w:val="000000"/>
          <w:szCs w:val="21"/>
        </w:rPr>
        <w:t>，形成送审稿；</w:t>
      </w:r>
    </w:p>
    <w:p>
      <w:pPr>
        <w:spacing w:line="360" w:lineRule="auto"/>
        <w:ind w:firstLine="420" w:firstLineChars="200"/>
        <w:rPr>
          <w:color w:val="000000"/>
          <w:szCs w:val="21"/>
        </w:rPr>
      </w:pPr>
      <w:r>
        <w:rPr>
          <w:color w:val="000000"/>
          <w:szCs w:val="21"/>
        </w:rPr>
        <w:t>2020.09~10：根据稀标委的安排，参加送审稿的讨论，完成《</w:t>
      </w:r>
      <w:r>
        <w:rPr>
          <w:rFonts w:hint="eastAsia"/>
          <w:color w:val="000000"/>
          <w:szCs w:val="21"/>
        </w:rPr>
        <w:t>铈锆复合氧化物</w:t>
      </w:r>
      <w:r>
        <w:rPr>
          <w:color w:val="000000"/>
          <w:szCs w:val="21"/>
        </w:rPr>
        <w:t>》标准终审。</w:t>
      </w:r>
    </w:p>
    <w:p>
      <w:pPr>
        <w:spacing w:line="360" w:lineRule="auto"/>
        <w:ind w:firstLine="420" w:firstLineChars="200"/>
        <w:rPr>
          <w:szCs w:val="18"/>
        </w:rPr>
      </w:pPr>
      <w:r>
        <w:rPr>
          <w:rFonts w:hint="eastAsia"/>
          <w:szCs w:val="18"/>
        </w:rPr>
        <w:t>有研稀土随后深入调研国内铈锆生产企业、催化剂企业等在铈锆复合氧化物产品生产、市场及应用技术情况，关注铈锆复合氧化物产品生产控制、产品质量等技术指标要求，关注机动车尾气催化剂、有机废气净化催化剂等对铈锆复合氧化物的技术指标要求等。结合有研稀土在铈锆复合氧化物产品的技术研发及产业化研究基础，结合铈锆复合氧化物企业、催化剂企业的调研情况，有研稀土进行了铈锆复合氧化物标准的起草、制订等工作。</w:t>
      </w:r>
    </w:p>
    <w:p>
      <w:pPr>
        <w:spacing w:line="360" w:lineRule="auto"/>
        <w:ind w:firstLine="420" w:firstLineChars="200"/>
        <w:rPr>
          <w:szCs w:val="18"/>
        </w:rPr>
      </w:pPr>
      <w:r>
        <w:rPr>
          <w:rFonts w:hint="eastAsia"/>
          <w:szCs w:val="18"/>
        </w:rPr>
        <w:t>2</w:t>
      </w:r>
      <w:r>
        <w:rPr>
          <w:szCs w:val="18"/>
        </w:rPr>
        <w:t>019</w:t>
      </w:r>
      <w:r>
        <w:rPr>
          <w:rFonts w:hint="eastAsia"/>
          <w:szCs w:val="18"/>
        </w:rPr>
        <w:t>年1</w:t>
      </w:r>
      <w:r>
        <w:rPr>
          <w:szCs w:val="18"/>
        </w:rPr>
        <w:t>2</w:t>
      </w:r>
      <w:r>
        <w:rPr>
          <w:rFonts w:hint="eastAsia"/>
          <w:szCs w:val="18"/>
        </w:rPr>
        <w:t>月4日，有研稀土邀请昆明贵研催化剂公司、四川大学、浙江大学相关专家对铈锆复合氧化物标准文本进行了专门研讨。昆明贵研是国内第二大汽车催化剂生产企业，四川大学、浙江大学是多年从事铈锆复合氧化物、催化剂技术的研发单位。会上各专家对铈锆复合氧化物标准提出了宝贵的修改意见。后来，有研稀土又经过进一步调研，对铈锆复合氧化物标准进行了进一步修改、完善，并形成了铈锆复合氧化物标准征求意见稿。</w:t>
      </w:r>
    </w:p>
    <w:p>
      <w:pPr>
        <w:spacing w:line="360" w:lineRule="auto"/>
        <w:ind w:firstLine="420" w:firstLineChars="200"/>
        <w:rPr>
          <w:szCs w:val="18"/>
        </w:rPr>
      </w:pPr>
      <w:r>
        <w:rPr>
          <w:rFonts w:hint="eastAsia"/>
          <w:szCs w:val="18"/>
        </w:rPr>
        <w:t>2</w:t>
      </w:r>
      <w:r>
        <w:rPr>
          <w:szCs w:val="18"/>
        </w:rPr>
        <w:t>020</w:t>
      </w:r>
      <w:r>
        <w:rPr>
          <w:rFonts w:hint="eastAsia"/>
          <w:szCs w:val="18"/>
        </w:rPr>
        <w:t>年2月2</w:t>
      </w:r>
      <w:r>
        <w:rPr>
          <w:szCs w:val="18"/>
        </w:rPr>
        <w:t>4</w:t>
      </w:r>
      <w:r>
        <w:rPr>
          <w:rFonts w:hint="eastAsia"/>
          <w:szCs w:val="18"/>
        </w:rPr>
        <w:t>日，有研稀土将铈锆复合氧化物标准征求意见稿向各参与单位及铈锆复合氧化物、催化剂等研发单位进行外送，进一步征求专家意见。外送征求意见单位一共2</w:t>
      </w:r>
      <w:r>
        <w:rPr>
          <w:szCs w:val="18"/>
        </w:rPr>
        <w:t>5</w:t>
      </w:r>
      <w:r>
        <w:rPr>
          <w:rFonts w:hint="eastAsia"/>
          <w:szCs w:val="18"/>
        </w:rPr>
        <w:t>家，其中标准参与单位之外的单位有1</w:t>
      </w:r>
      <w:r>
        <w:rPr>
          <w:szCs w:val="18"/>
        </w:rPr>
        <w:t>2</w:t>
      </w:r>
      <w:r>
        <w:rPr>
          <w:rFonts w:hint="eastAsia"/>
          <w:szCs w:val="18"/>
        </w:rPr>
        <w:t>家。征求意见单位中铈锆复合氧化物生产企业占比1</w:t>
      </w:r>
      <w:r>
        <w:rPr>
          <w:szCs w:val="18"/>
        </w:rPr>
        <w:t>2</w:t>
      </w:r>
      <w:r>
        <w:rPr>
          <w:rFonts w:hint="eastAsia"/>
          <w:szCs w:val="18"/>
        </w:rPr>
        <w:t>%，催化剂生产企业占比2</w:t>
      </w:r>
      <w:r>
        <w:rPr>
          <w:szCs w:val="18"/>
        </w:rPr>
        <w:t>0</w:t>
      </w:r>
      <w:r>
        <w:rPr>
          <w:rFonts w:hint="eastAsia"/>
          <w:szCs w:val="18"/>
        </w:rPr>
        <w:t>%，铈锆复合氧化物、催化剂等研发单位占比3</w:t>
      </w:r>
      <w:r>
        <w:rPr>
          <w:szCs w:val="18"/>
        </w:rPr>
        <w:t>6</w:t>
      </w:r>
      <w:r>
        <w:rPr>
          <w:rFonts w:hint="eastAsia"/>
          <w:szCs w:val="18"/>
        </w:rPr>
        <w:t>%，其他单位占比3</w:t>
      </w:r>
      <w:r>
        <w:rPr>
          <w:szCs w:val="18"/>
        </w:rPr>
        <w:t>2</w:t>
      </w:r>
      <w:r>
        <w:rPr>
          <w:rFonts w:hint="eastAsia"/>
          <w:szCs w:val="18"/>
        </w:rPr>
        <w:t>%。此次征求意见2</w:t>
      </w:r>
      <w:r>
        <w:rPr>
          <w:szCs w:val="18"/>
        </w:rPr>
        <w:t>5</w:t>
      </w:r>
      <w:r>
        <w:rPr>
          <w:rFonts w:hint="eastAsia"/>
          <w:szCs w:val="18"/>
        </w:rPr>
        <w:t>家外送单位全部反馈了意见，其中反馈“无意见”单位6家。此次广泛征求意见，共收到反馈意见7</w:t>
      </w:r>
      <w:r>
        <w:rPr>
          <w:szCs w:val="18"/>
        </w:rPr>
        <w:t>3</w:t>
      </w:r>
      <w:r>
        <w:rPr>
          <w:rFonts w:hint="eastAsia"/>
          <w:szCs w:val="18"/>
        </w:rPr>
        <w:t>条，后经过梳理和分析，反馈意见采纳3</w:t>
      </w:r>
      <w:r>
        <w:rPr>
          <w:szCs w:val="18"/>
        </w:rPr>
        <w:t>1</w:t>
      </w:r>
      <w:r>
        <w:rPr>
          <w:rFonts w:hint="eastAsia"/>
          <w:szCs w:val="18"/>
        </w:rPr>
        <w:t>条，部分采纳</w:t>
      </w:r>
      <w:r>
        <w:rPr>
          <w:szCs w:val="18"/>
        </w:rPr>
        <w:t>7</w:t>
      </w:r>
      <w:r>
        <w:rPr>
          <w:rFonts w:hint="eastAsia"/>
          <w:szCs w:val="18"/>
        </w:rPr>
        <w:t>条，进一步完善了铈锆复合氧化物标准文本，形成了铈锆复合氧化物标准预审会送审稿。</w:t>
      </w:r>
    </w:p>
    <w:p>
      <w:pPr>
        <w:spacing w:line="360" w:lineRule="auto"/>
        <w:ind w:firstLine="420" w:firstLineChars="200"/>
        <w:rPr>
          <w:szCs w:val="18"/>
        </w:rPr>
      </w:pPr>
      <w:r>
        <w:rPr>
          <w:rFonts w:hint="eastAsia"/>
          <w:szCs w:val="18"/>
        </w:rPr>
        <w:t>2</w:t>
      </w:r>
      <w:r>
        <w:rPr>
          <w:szCs w:val="18"/>
        </w:rPr>
        <w:t>020</w:t>
      </w:r>
      <w:r>
        <w:rPr>
          <w:rFonts w:hint="eastAsia"/>
          <w:szCs w:val="18"/>
        </w:rPr>
        <w:t>年8月2</w:t>
      </w:r>
      <w:r>
        <w:rPr>
          <w:szCs w:val="18"/>
        </w:rPr>
        <w:t>4</w:t>
      </w:r>
      <w:r>
        <w:rPr>
          <w:rFonts w:hint="eastAsia"/>
          <w:szCs w:val="18"/>
        </w:rPr>
        <w:t>~</w:t>
      </w:r>
      <w:r>
        <w:rPr>
          <w:szCs w:val="18"/>
        </w:rPr>
        <w:t>27</w:t>
      </w:r>
      <w:r>
        <w:rPr>
          <w:rFonts w:hint="eastAsia"/>
          <w:szCs w:val="18"/>
        </w:rPr>
        <w:t>日在浙江宁波召开了</w:t>
      </w:r>
      <w:r>
        <w:rPr>
          <w:szCs w:val="18"/>
        </w:rPr>
        <w:t>2020年第四次稀土标准工作会议，</w:t>
      </w:r>
      <w:r>
        <w:rPr>
          <w:rFonts w:hint="eastAsia"/>
          <w:szCs w:val="18"/>
        </w:rPr>
        <w:t>2</w:t>
      </w:r>
      <w:r>
        <w:rPr>
          <w:szCs w:val="18"/>
        </w:rPr>
        <w:t>6</w:t>
      </w:r>
      <w:r>
        <w:rPr>
          <w:rFonts w:hint="eastAsia"/>
          <w:szCs w:val="18"/>
        </w:rPr>
        <w:t>日对铈锆复合氧化物标准进行了预审，与会专家对标准预审稿进行现场质询、交流及讨论，会后结合专家意见及讨论情况，对标准文本又进行了认真修改、完善，形成了铈锆复合氧化物标准第二次征求意见稿。</w:t>
      </w:r>
    </w:p>
    <w:p>
      <w:pPr>
        <w:spacing w:line="360" w:lineRule="auto"/>
        <w:ind w:firstLine="420" w:firstLineChars="200"/>
        <w:rPr>
          <w:szCs w:val="18"/>
        </w:rPr>
      </w:pPr>
      <w:r>
        <w:rPr>
          <w:rFonts w:hint="eastAsia"/>
          <w:szCs w:val="18"/>
        </w:rPr>
        <w:t>2</w:t>
      </w:r>
      <w:r>
        <w:rPr>
          <w:szCs w:val="18"/>
        </w:rPr>
        <w:t>020</w:t>
      </w:r>
      <w:r>
        <w:rPr>
          <w:rFonts w:hint="eastAsia"/>
          <w:szCs w:val="18"/>
        </w:rPr>
        <w:t>年9月1</w:t>
      </w:r>
      <w:r>
        <w:rPr>
          <w:szCs w:val="18"/>
        </w:rPr>
        <w:t>1</w:t>
      </w:r>
      <w:r>
        <w:rPr>
          <w:rFonts w:hint="eastAsia"/>
          <w:szCs w:val="18"/>
        </w:rPr>
        <w:t>日，将铈锆复合氧化物标准第二次征求意见稿外送2</w:t>
      </w:r>
      <w:r>
        <w:rPr>
          <w:szCs w:val="18"/>
        </w:rPr>
        <w:t>6</w:t>
      </w:r>
      <w:r>
        <w:rPr>
          <w:rFonts w:hint="eastAsia"/>
          <w:szCs w:val="18"/>
        </w:rPr>
        <w:t>家单位进行征求意见，</w:t>
      </w:r>
      <w:r>
        <w:rPr>
          <w:szCs w:val="18"/>
        </w:rPr>
        <w:t>收到反馈意见26家单位</w:t>
      </w:r>
      <w:r>
        <w:rPr>
          <w:rFonts w:hint="eastAsia"/>
          <w:szCs w:val="18"/>
        </w:rPr>
        <w:t>，</w:t>
      </w:r>
      <w:r>
        <w:rPr>
          <w:szCs w:val="18"/>
        </w:rPr>
        <w:t>其中反馈“无意见”单位17家。</w:t>
      </w:r>
      <w:r>
        <w:rPr>
          <w:rFonts w:hint="eastAsia"/>
          <w:szCs w:val="18"/>
        </w:rPr>
        <w:t>2</w:t>
      </w:r>
      <w:r>
        <w:rPr>
          <w:szCs w:val="18"/>
        </w:rPr>
        <w:t>6</w:t>
      </w:r>
      <w:r>
        <w:rPr>
          <w:rFonts w:hint="eastAsia"/>
          <w:szCs w:val="18"/>
        </w:rPr>
        <w:t>家单位中标准参加单位外的单位有1</w:t>
      </w:r>
      <w:r>
        <w:rPr>
          <w:szCs w:val="18"/>
        </w:rPr>
        <w:t>2</w:t>
      </w:r>
      <w:r>
        <w:rPr>
          <w:rFonts w:hint="eastAsia"/>
          <w:szCs w:val="18"/>
        </w:rPr>
        <w:t>家。</w:t>
      </w:r>
      <w:r>
        <w:rPr>
          <w:szCs w:val="18"/>
        </w:rPr>
        <w:t xml:space="preserve"> </w:t>
      </w:r>
      <w:r>
        <w:rPr>
          <w:rFonts w:hint="eastAsia"/>
          <w:szCs w:val="18"/>
        </w:rPr>
        <w:t>共</w:t>
      </w:r>
      <w:r>
        <w:rPr>
          <w:szCs w:val="18"/>
        </w:rPr>
        <w:t>收到反馈意见25条，经过梳理和分析，反馈意见采纳14条。</w:t>
      </w:r>
      <w:r>
        <w:rPr>
          <w:rFonts w:hint="eastAsia"/>
          <w:szCs w:val="18"/>
        </w:rPr>
        <w:t>结合单位意见反馈，对铈锆复合氧化物标准文本又进行了认真修改、完善，形成了铈锆复合氧化物标准审订稿。</w:t>
      </w:r>
    </w:p>
    <w:p>
      <w:pPr>
        <w:spacing w:line="360" w:lineRule="auto"/>
        <w:rPr>
          <w:rFonts w:eastAsia="黑体"/>
          <w:bCs/>
          <w:color w:val="000000"/>
          <w:szCs w:val="21"/>
        </w:rPr>
      </w:pPr>
      <w:r>
        <w:rPr>
          <w:rFonts w:hint="eastAsia" w:eastAsia="黑体"/>
          <w:bCs/>
          <w:color w:val="000000"/>
          <w:szCs w:val="21"/>
        </w:rPr>
        <w:t>二、</w:t>
      </w:r>
      <w:r>
        <w:rPr>
          <w:rFonts w:eastAsia="黑体"/>
          <w:bCs/>
          <w:color w:val="000000"/>
          <w:szCs w:val="21"/>
        </w:rPr>
        <w:t xml:space="preserve"> </w:t>
      </w:r>
      <w:r>
        <w:rPr>
          <w:rFonts w:hint="eastAsia" w:eastAsia="黑体"/>
          <w:bCs/>
          <w:color w:val="000000"/>
          <w:szCs w:val="21"/>
        </w:rPr>
        <w:t>标准编制原则</w:t>
      </w:r>
    </w:p>
    <w:p>
      <w:pPr>
        <w:adjustRightInd w:val="0"/>
        <w:snapToGrid w:val="0"/>
        <w:spacing w:line="360" w:lineRule="auto"/>
        <w:ind w:firstLine="420" w:firstLineChars="200"/>
        <w:rPr>
          <w:szCs w:val="21"/>
        </w:rPr>
      </w:pPr>
      <w:r>
        <w:rPr>
          <w:rFonts w:hint="eastAsia"/>
          <w:szCs w:val="21"/>
        </w:rPr>
        <w:t>标准牵头起草单位在任务落实会上广泛征求与会专家和代表的意见，会后确定了制订方案、标准起草原则、主要内容框架和依据：</w:t>
      </w:r>
    </w:p>
    <w:p>
      <w:pPr>
        <w:adjustRightInd w:val="0"/>
        <w:snapToGrid w:val="0"/>
        <w:spacing w:line="360" w:lineRule="auto"/>
        <w:ind w:firstLine="420" w:firstLineChars="200"/>
        <w:rPr>
          <w:szCs w:val="21"/>
        </w:rPr>
      </w:pPr>
      <w:r>
        <w:rPr>
          <w:rFonts w:hint="eastAsia" w:eastAsiaTheme="minorEastAsia"/>
          <w:szCs w:val="21"/>
        </w:rPr>
        <w:t>●</w:t>
      </w:r>
      <w:r>
        <w:rPr>
          <w:rFonts w:hint="eastAsia"/>
          <w:szCs w:val="21"/>
        </w:rPr>
        <w:t>依据国家相关的法律、法规；</w:t>
      </w:r>
    </w:p>
    <w:p>
      <w:pPr>
        <w:adjustRightInd w:val="0"/>
        <w:snapToGrid w:val="0"/>
        <w:spacing w:line="360" w:lineRule="auto"/>
        <w:ind w:firstLine="420" w:firstLineChars="200"/>
        <w:rPr>
          <w:szCs w:val="21"/>
        </w:rPr>
      </w:pPr>
      <w:r>
        <w:rPr>
          <w:rFonts w:hint="eastAsia" w:eastAsiaTheme="minorEastAsia"/>
          <w:szCs w:val="21"/>
        </w:rPr>
        <w:t>●</w:t>
      </w:r>
      <w:r>
        <w:rPr>
          <w:rFonts w:hint="eastAsia"/>
          <w:szCs w:val="21"/>
        </w:rPr>
        <w:t>查询相关标准和收集国内外客户的相关技术要求，特别是参考一些典型代表企业相关技术要求，努力做到标准的先进性；</w:t>
      </w:r>
    </w:p>
    <w:p>
      <w:pPr>
        <w:adjustRightInd w:val="0"/>
        <w:snapToGrid w:val="0"/>
        <w:spacing w:line="360" w:lineRule="auto"/>
        <w:ind w:firstLine="420" w:firstLineChars="200"/>
        <w:rPr>
          <w:szCs w:val="21"/>
        </w:rPr>
      </w:pPr>
      <w:r>
        <w:rPr>
          <w:rFonts w:hint="eastAsia" w:eastAsiaTheme="minorEastAsia"/>
          <w:szCs w:val="21"/>
        </w:rPr>
        <w:t>●</w:t>
      </w:r>
      <w:r>
        <w:rPr>
          <w:rFonts w:hint="eastAsia"/>
          <w:szCs w:val="21"/>
        </w:rPr>
        <w:t>根据目前国内铈锆复合氧化物生产及市场应用具体情况，并结合实际现状，力求做到标准的合理性、实用性，与时俱进；</w:t>
      </w:r>
    </w:p>
    <w:p>
      <w:pPr>
        <w:adjustRightInd w:val="0"/>
        <w:snapToGrid w:val="0"/>
        <w:spacing w:line="360" w:lineRule="auto"/>
        <w:ind w:firstLine="420" w:firstLineChars="200"/>
        <w:rPr>
          <w:szCs w:val="21"/>
        </w:rPr>
      </w:pPr>
      <w:r>
        <w:rPr>
          <w:rFonts w:hint="eastAsia" w:eastAsiaTheme="minorEastAsia"/>
          <w:szCs w:val="21"/>
        </w:rPr>
        <w:t>●</w:t>
      </w:r>
      <w:r>
        <w:rPr>
          <w:rFonts w:hint="eastAsia"/>
          <w:szCs w:val="21"/>
        </w:rPr>
        <w:t>按照《标准化工作导则》（</w:t>
      </w:r>
      <w:r>
        <w:rPr>
          <w:szCs w:val="21"/>
        </w:rPr>
        <w:t>GB/T 1.1-2009</w:t>
      </w:r>
      <w:r>
        <w:rPr>
          <w:rFonts w:hint="eastAsia"/>
          <w:szCs w:val="21"/>
        </w:rPr>
        <w:t>），稀土标准和国家标准编写示例的要求进行格式和结构编写。</w:t>
      </w:r>
    </w:p>
    <w:p>
      <w:pPr>
        <w:spacing w:line="360" w:lineRule="auto"/>
        <w:ind w:firstLine="420" w:firstLineChars="200"/>
        <w:rPr>
          <w:szCs w:val="21"/>
        </w:rPr>
      </w:pPr>
      <w:r>
        <w:rPr>
          <w:rFonts w:hint="eastAsia"/>
          <w:color w:val="000000"/>
        </w:rPr>
        <w:t>为了使铈锆复合氧化物生产企业的生产得到规范，保证产品生产质量，为了下游催化剂企业对铈锆复合氧化物原材料技术指标有所借鉴，制订该项铈锆复合氧化物行业标准。</w:t>
      </w:r>
      <w:r>
        <w:rPr>
          <w:rFonts w:hint="eastAsia"/>
          <w:szCs w:val="21"/>
        </w:rPr>
        <w:t>本标准属于新制订行业标准，预期目标是研究制订出合理、实用、与时俱进的铈锆复合氧化物标准，本标准适用于采用化学法生产的铈锆复合氧化物，</w:t>
      </w:r>
      <w:bookmarkStart w:id="0" w:name="_Hlk33190663"/>
      <w:r>
        <w:rPr>
          <w:rFonts w:hint="eastAsia"/>
          <w:szCs w:val="21"/>
        </w:rPr>
        <w:t>铈锆复合氧化物主要应用于机动车尾气净化催化剂、可挥发性有机废气净化催化剂等</w:t>
      </w:r>
      <w:bookmarkEnd w:id="0"/>
      <w:r>
        <w:rPr>
          <w:rFonts w:hint="eastAsia"/>
          <w:szCs w:val="21"/>
        </w:rPr>
        <w:t>，具有良好的行业应用性。</w:t>
      </w:r>
    </w:p>
    <w:p>
      <w:pPr>
        <w:spacing w:line="360" w:lineRule="auto"/>
        <w:rPr>
          <w:rFonts w:eastAsia="黑体"/>
          <w:bCs/>
          <w:color w:val="000000"/>
          <w:szCs w:val="21"/>
        </w:rPr>
      </w:pPr>
      <w:r>
        <w:rPr>
          <w:rFonts w:hint="eastAsia" w:eastAsia="黑体"/>
          <w:bCs/>
          <w:color w:val="000000"/>
          <w:szCs w:val="21"/>
        </w:rPr>
        <w:t>三、</w:t>
      </w:r>
      <w:r>
        <w:rPr>
          <w:rFonts w:eastAsia="黑体"/>
          <w:bCs/>
          <w:color w:val="000000"/>
          <w:szCs w:val="21"/>
        </w:rPr>
        <w:t xml:space="preserve"> </w:t>
      </w:r>
      <w:r>
        <w:rPr>
          <w:rFonts w:hint="eastAsia" w:eastAsia="黑体"/>
          <w:bCs/>
          <w:color w:val="000000"/>
          <w:szCs w:val="21"/>
        </w:rPr>
        <w:t>标准主要内容的确定依据</w:t>
      </w:r>
    </w:p>
    <w:p>
      <w:pPr>
        <w:adjustRightInd w:val="0"/>
        <w:snapToGrid w:val="0"/>
        <w:spacing w:beforeLines="50" w:line="360" w:lineRule="auto"/>
        <w:rPr>
          <w:rFonts w:eastAsia="黑体"/>
          <w:szCs w:val="21"/>
        </w:rPr>
      </w:pPr>
      <w:r>
        <w:rPr>
          <w:rFonts w:eastAsia="黑体"/>
          <w:szCs w:val="21"/>
        </w:rPr>
        <w:t xml:space="preserve">3.1 </w:t>
      </w:r>
      <w:r>
        <w:rPr>
          <w:rFonts w:hint="eastAsia" w:eastAsia="黑体"/>
          <w:szCs w:val="21"/>
        </w:rPr>
        <w:t>标准主要内容</w:t>
      </w:r>
    </w:p>
    <w:p>
      <w:pPr>
        <w:spacing w:line="360" w:lineRule="auto"/>
        <w:ind w:firstLine="420" w:firstLineChars="200"/>
        <w:rPr>
          <w:szCs w:val="21"/>
        </w:rPr>
      </w:pPr>
      <w:r>
        <w:rPr>
          <w:rFonts w:hint="eastAsia"/>
        </w:rPr>
        <w:t>本标准规定了</w:t>
      </w:r>
      <w:r>
        <w:rPr>
          <w:rFonts w:hint="eastAsia"/>
          <w:szCs w:val="21"/>
        </w:rPr>
        <w:t>铈锆复合氧化物产品的要求、试验方法、检验规则和标志、包装、运输、贮存及质量证明书等。</w:t>
      </w:r>
    </w:p>
    <w:p>
      <w:pPr>
        <w:widowControl/>
        <w:tabs>
          <w:tab w:val="left" w:pos="5954"/>
        </w:tabs>
        <w:autoSpaceDE w:val="0"/>
        <w:autoSpaceDN w:val="0"/>
        <w:spacing w:beforeLines="50" w:line="360" w:lineRule="auto"/>
        <w:textAlignment w:val="bottom"/>
        <w:rPr>
          <w:rFonts w:eastAsia="黑体"/>
          <w:szCs w:val="21"/>
        </w:rPr>
      </w:pPr>
      <w:r>
        <w:rPr>
          <w:rFonts w:eastAsia="黑体"/>
          <w:szCs w:val="21"/>
        </w:rPr>
        <w:t xml:space="preserve">3.2 </w:t>
      </w:r>
      <w:r>
        <w:rPr>
          <w:rFonts w:hint="eastAsia" w:eastAsia="黑体"/>
          <w:szCs w:val="21"/>
        </w:rPr>
        <w:t>产品分类及论据</w:t>
      </w:r>
    </w:p>
    <w:p>
      <w:pPr>
        <w:widowControl/>
        <w:tabs>
          <w:tab w:val="left" w:pos="5954"/>
        </w:tabs>
        <w:autoSpaceDE w:val="0"/>
        <w:autoSpaceDN w:val="0"/>
        <w:spacing w:line="500" w:lineRule="exact"/>
        <w:ind w:firstLine="420" w:firstLineChars="200"/>
        <w:textAlignment w:val="bottom"/>
        <w:rPr>
          <w:color w:val="000000" w:themeColor="text1"/>
          <w:szCs w:val="21"/>
        </w:rPr>
      </w:pPr>
      <w:r>
        <w:rPr>
          <w:rFonts w:hint="eastAsia"/>
          <w:color w:val="000000" w:themeColor="text1"/>
          <w:szCs w:val="21"/>
        </w:rPr>
        <w:t>本标准产品分类主要依据铈锆复合氧化物产品化学成分，按照其中铈含量的高低分为：高铈铈锆（</w:t>
      </w:r>
      <w:r>
        <w:rPr>
          <w:szCs w:val="21"/>
        </w:rPr>
        <w:t>CZCO-HC-60</w:t>
      </w:r>
      <w:r>
        <w:rPr>
          <w:rFonts w:hint="eastAsia"/>
          <w:color w:val="000000" w:themeColor="text1"/>
          <w:szCs w:val="21"/>
        </w:rPr>
        <w:t>）、中铈铈锆（</w:t>
      </w:r>
      <w:r>
        <w:rPr>
          <w:szCs w:val="21"/>
        </w:rPr>
        <w:t>CZCO-MC-50</w:t>
      </w:r>
      <w:r>
        <w:rPr>
          <w:rFonts w:hint="eastAsia"/>
          <w:color w:val="000000" w:themeColor="text1"/>
          <w:szCs w:val="21"/>
        </w:rPr>
        <w:t>）、低铈铈锆（</w:t>
      </w:r>
      <w:r>
        <w:rPr>
          <w:szCs w:val="21"/>
        </w:rPr>
        <w:t>CZCO-</w:t>
      </w:r>
      <w:r>
        <w:rPr>
          <w:rFonts w:hint="eastAsia"/>
          <w:szCs w:val="21"/>
        </w:rPr>
        <w:t>LC</w:t>
      </w:r>
      <w:r>
        <w:rPr>
          <w:szCs w:val="21"/>
        </w:rPr>
        <w:t>-40</w:t>
      </w:r>
      <w:r>
        <w:rPr>
          <w:rFonts w:hint="eastAsia"/>
          <w:color w:val="000000" w:themeColor="text1"/>
          <w:szCs w:val="21"/>
        </w:rPr>
        <w:t>）</w:t>
      </w:r>
      <w:r>
        <w:rPr>
          <w:color w:val="000000" w:themeColor="text1"/>
          <w:szCs w:val="21"/>
        </w:rPr>
        <w:t>3</w:t>
      </w:r>
      <w:r>
        <w:rPr>
          <w:rFonts w:hint="eastAsia"/>
          <w:color w:val="000000" w:themeColor="text1"/>
          <w:szCs w:val="21"/>
        </w:rPr>
        <w:t>类牌号，分别适用于不同用途、不同质量要求的下游催化剂产品。</w:t>
      </w:r>
      <w:r>
        <w:rPr>
          <w:rFonts w:hint="eastAsia"/>
          <w:szCs w:val="20"/>
        </w:rPr>
        <w:t>根据</w:t>
      </w:r>
      <w:r>
        <w:rPr>
          <w:szCs w:val="20"/>
        </w:rPr>
        <w:t xml:space="preserve">GB/T 17803, </w:t>
      </w:r>
      <w:r>
        <w:rPr>
          <w:rFonts w:hint="eastAsia"/>
          <w:szCs w:val="20"/>
        </w:rPr>
        <w:t>铈锆复合氧化物牌号标识由铈锆复合氧化物英文首字母、铈锆含量高低和数字组成，共分三个层次，其中第一层次表示铈锆复合氧化物产品名称，用其英文首字母“</w:t>
      </w:r>
      <w:r>
        <w:rPr>
          <w:szCs w:val="20"/>
        </w:rPr>
        <w:t>CZCO”表示</w:t>
      </w:r>
      <w:r>
        <w:rPr>
          <w:rFonts w:hint="eastAsia"/>
          <w:szCs w:val="20"/>
        </w:rPr>
        <w:t>；第二层次表示该产品的铈含量高低，分别用高铈（</w:t>
      </w:r>
      <w:r>
        <w:rPr>
          <w:szCs w:val="20"/>
        </w:rPr>
        <w:t>HC</w:t>
      </w:r>
      <w:r>
        <w:rPr>
          <w:rFonts w:hint="eastAsia"/>
          <w:szCs w:val="20"/>
        </w:rPr>
        <w:t>）、中铈</w:t>
      </w:r>
      <w:r>
        <w:rPr>
          <w:szCs w:val="20"/>
        </w:rPr>
        <w:t>(MC)</w:t>
      </w:r>
      <w:r>
        <w:rPr>
          <w:rFonts w:hint="eastAsia"/>
          <w:szCs w:val="20"/>
        </w:rPr>
        <w:t>、低铈</w:t>
      </w:r>
      <w:r>
        <w:rPr>
          <w:szCs w:val="20"/>
        </w:rPr>
        <w:t>(</w:t>
      </w:r>
      <w:r>
        <w:rPr>
          <w:rFonts w:hint="eastAsia"/>
          <w:szCs w:val="20"/>
        </w:rPr>
        <w:t>LC</w:t>
      </w:r>
      <w:r>
        <w:rPr>
          <w:szCs w:val="20"/>
        </w:rPr>
        <w:t>)</w:t>
      </w:r>
      <w:r>
        <w:rPr>
          <w:rFonts w:hint="eastAsia"/>
          <w:szCs w:val="20"/>
        </w:rPr>
        <w:t>英文首字母表示；第三层次表示该产品铈含量范围数值，分别以高铈（</w:t>
      </w:r>
      <w:r>
        <w:rPr>
          <w:szCs w:val="20"/>
        </w:rPr>
        <w:t>60</w:t>
      </w:r>
      <w:r>
        <w:rPr>
          <w:rFonts w:hint="eastAsia"/>
          <w:szCs w:val="20"/>
        </w:rPr>
        <w:t>）、中铈（</w:t>
      </w:r>
      <w:r>
        <w:rPr>
          <w:szCs w:val="20"/>
        </w:rPr>
        <w:t>50</w:t>
      </w:r>
      <w:r>
        <w:rPr>
          <w:rFonts w:hint="eastAsia"/>
          <w:szCs w:val="20"/>
        </w:rPr>
        <w:t>）、低铈（</w:t>
      </w:r>
      <w:r>
        <w:rPr>
          <w:szCs w:val="20"/>
        </w:rPr>
        <w:t>40</w:t>
      </w:r>
      <w:r>
        <w:rPr>
          <w:rFonts w:hint="eastAsia"/>
          <w:szCs w:val="20"/>
        </w:rPr>
        <w:t>）表示。</w:t>
      </w:r>
      <w:r>
        <w:rPr>
          <w:rFonts w:hint="eastAsia"/>
          <w:color w:val="000000" w:themeColor="text1"/>
          <w:szCs w:val="21"/>
        </w:rPr>
        <w:t>这种分类可以包括目前市场上所有铈锆产品种类，具有普适性和代表性。本标准的分类旨在为铈锆复合氧化物生产企业、下游催化剂企业等提供良好的指导意见，有利于技术创新，提高生产效率和产品质量。</w:t>
      </w:r>
    </w:p>
    <w:p>
      <w:pPr>
        <w:widowControl/>
        <w:tabs>
          <w:tab w:val="left" w:pos="5954"/>
        </w:tabs>
        <w:autoSpaceDE w:val="0"/>
        <w:autoSpaceDN w:val="0"/>
        <w:spacing w:beforeLines="50" w:line="360" w:lineRule="auto"/>
        <w:textAlignment w:val="bottom"/>
        <w:rPr>
          <w:rFonts w:eastAsia="黑体"/>
          <w:szCs w:val="21"/>
        </w:rPr>
      </w:pPr>
      <w:r>
        <w:rPr>
          <w:rFonts w:eastAsia="黑体"/>
          <w:szCs w:val="21"/>
        </w:rPr>
        <w:t xml:space="preserve">3.3 </w:t>
      </w:r>
      <w:r>
        <w:rPr>
          <w:rFonts w:hint="eastAsia" w:eastAsia="黑体"/>
          <w:szCs w:val="21"/>
        </w:rPr>
        <w:t>主要技术内容及论据</w:t>
      </w:r>
    </w:p>
    <w:p>
      <w:pPr>
        <w:spacing w:line="360" w:lineRule="auto"/>
        <w:ind w:firstLine="420" w:firstLineChars="200"/>
        <w:rPr>
          <w:szCs w:val="21"/>
        </w:rPr>
      </w:pPr>
      <w:r>
        <w:rPr>
          <w:rFonts w:hint="eastAsia"/>
          <w:szCs w:val="21"/>
        </w:rPr>
        <w:t>为了使铈锆复合氧化物生产企业或下游催化剂使用单位的产品质量得到保证和更大提升，本标准编制组进行了相关企业调研，并征求了诸多相关单位意见，既要考虑到技术的先进性、生产企业和用户的广泛性，又考虑到标准的实用性及可操作性的原则，以保证本标准具有技术先进性的要求。</w:t>
      </w:r>
    </w:p>
    <w:p>
      <w:pPr>
        <w:spacing w:beforeLines="50" w:line="360" w:lineRule="auto"/>
        <w:rPr>
          <w:rFonts w:eastAsia="黑体"/>
          <w:szCs w:val="21"/>
        </w:rPr>
      </w:pPr>
      <w:r>
        <w:rPr>
          <w:rFonts w:eastAsia="黑体"/>
          <w:szCs w:val="21"/>
        </w:rPr>
        <w:t>3.3.1</w:t>
      </w:r>
      <w:r>
        <w:rPr>
          <w:rFonts w:hint="eastAsia" w:eastAsia="黑体"/>
          <w:szCs w:val="21"/>
        </w:rPr>
        <w:t>产品化学成分和杂质的规定</w:t>
      </w:r>
    </w:p>
    <w:p>
      <w:pPr>
        <w:spacing w:line="360" w:lineRule="auto"/>
        <w:ind w:firstLine="420" w:firstLineChars="200"/>
        <w:rPr>
          <w:szCs w:val="21"/>
        </w:rPr>
      </w:pPr>
      <w:r>
        <w:rPr>
          <w:rFonts w:hint="eastAsia"/>
          <w:szCs w:val="21"/>
        </w:rPr>
        <w:t>铈锆复合氧化物属于催化剂活性涂层材料，其氧化铈、氧化锆及氧化镧、氧化钕等主要化学成分分析目前没有针对铈锆复合氧化物的国家标准，但目前铈锆生产企业和下游催化剂企业通常采用</w:t>
      </w:r>
      <w:r>
        <w:rPr>
          <w:szCs w:val="21"/>
        </w:rPr>
        <w:t>X</w:t>
      </w:r>
      <w:r>
        <w:rPr>
          <w:rFonts w:hint="eastAsia"/>
          <w:szCs w:val="21"/>
        </w:rPr>
        <w:t>荧光光谱</w:t>
      </w:r>
      <w:r>
        <w:rPr>
          <w:szCs w:val="21"/>
        </w:rPr>
        <w:t>XRF</w:t>
      </w:r>
      <w:r>
        <w:rPr>
          <w:rFonts w:hint="eastAsia"/>
          <w:szCs w:val="21"/>
        </w:rPr>
        <w:t>方法进行分析测试。本标准对于氧化铈、氧化锆、其他非铈稀土氧化物的含量分析方法可采用</w:t>
      </w:r>
      <w:r>
        <w:rPr>
          <w:szCs w:val="21"/>
        </w:rPr>
        <w:t>X</w:t>
      </w:r>
      <w:r>
        <w:rPr>
          <w:rFonts w:hint="eastAsia"/>
          <w:szCs w:val="21"/>
        </w:rPr>
        <w:t>射线荧光光谱（</w:t>
      </w:r>
      <w:r>
        <w:rPr>
          <w:szCs w:val="21"/>
        </w:rPr>
        <w:t>XRF</w:t>
      </w:r>
      <w:r>
        <w:rPr>
          <w:rFonts w:hint="eastAsia"/>
          <w:szCs w:val="21"/>
        </w:rPr>
        <w:t>）和电感耦合等离子体光谱（</w:t>
      </w:r>
      <w:r>
        <w:rPr>
          <w:szCs w:val="21"/>
        </w:rPr>
        <w:t>ICP</w:t>
      </w:r>
      <w:r>
        <w:rPr>
          <w:rFonts w:hint="eastAsia"/>
          <w:szCs w:val="21"/>
        </w:rPr>
        <w:t>）测定方法进行测定。其中电感耦合等离子体光谱（</w:t>
      </w:r>
      <w:r>
        <w:rPr>
          <w:szCs w:val="21"/>
        </w:rPr>
        <w:t>ICP</w:t>
      </w:r>
      <w:r>
        <w:rPr>
          <w:rFonts w:hint="eastAsia"/>
          <w:szCs w:val="21"/>
        </w:rPr>
        <w:t>）测定方法按照本标准附录测试方法进行，可用于本标准铈锆复合氧化物表</w:t>
      </w:r>
      <w:r>
        <w:rPr>
          <w:szCs w:val="21"/>
        </w:rPr>
        <w:t>1</w:t>
      </w:r>
      <w:r>
        <w:rPr>
          <w:rFonts w:hint="eastAsia"/>
          <w:szCs w:val="21"/>
        </w:rPr>
        <w:t>中氧化铈、氧化锆、其他非铈稀土氧化物的准确含量测定。</w:t>
      </w:r>
      <w:r>
        <w:rPr>
          <w:szCs w:val="21"/>
        </w:rPr>
        <w:t>X</w:t>
      </w:r>
      <w:r>
        <w:rPr>
          <w:rFonts w:hint="eastAsia"/>
          <w:szCs w:val="21"/>
        </w:rPr>
        <w:t>射线荧光光谱（</w:t>
      </w:r>
      <w:r>
        <w:rPr>
          <w:szCs w:val="21"/>
        </w:rPr>
        <w:t>XRF</w:t>
      </w:r>
      <w:r>
        <w:rPr>
          <w:rFonts w:hint="eastAsia"/>
          <w:szCs w:val="21"/>
        </w:rPr>
        <w:t>）测试参照</w:t>
      </w:r>
      <w:r>
        <w:rPr>
          <w:szCs w:val="21"/>
        </w:rPr>
        <w:t>XB/T 607</w:t>
      </w:r>
      <w:r>
        <w:rPr>
          <w:rFonts w:hint="eastAsia"/>
          <w:szCs w:val="21"/>
        </w:rPr>
        <w:t>规定的方法进行。具体情况，供需双方可进行协商选用。</w:t>
      </w:r>
      <w:r>
        <w:rPr>
          <w:rFonts w:hint="eastAsia" w:eastAsiaTheme="minorEastAsia"/>
          <w:szCs w:val="21"/>
        </w:rPr>
        <w:t>本标准</w:t>
      </w:r>
      <w:r>
        <w:rPr>
          <w:rFonts w:hint="eastAsia" w:eastAsiaTheme="minorEastAsia"/>
        </w:rPr>
        <w:t>对于铈锆复合氧化物水分、灼减、非稀土杂质含量（如</w:t>
      </w:r>
      <w:r>
        <w:rPr>
          <w:rFonts w:eastAsiaTheme="minorEastAsia"/>
        </w:rPr>
        <w:t>Fe</w:t>
      </w:r>
      <w:r>
        <w:rPr>
          <w:rFonts w:eastAsiaTheme="minorEastAsia"/>
          <w:vertAlign w:val="subscript"/>
        </w:rPr>
        <w:t>2</w:t>
      </w:r>
      <w:r>
        <w:rPr>
          <w:rFonts w:eastAsiaTheme="minorEastAsia"/>
        </w:rPr>
        <w:t>O</w:t>
      </w:r>
      <w:r>
        <w:rPr>
          <w:rFonts w:eastAsiaTheme="minorEastAsia"/>
          <w:vertAlign w:val="subscript"/>
        </w:rPr>
        <w:t>3</w:t>
      </w:r>
      <w:r>
        <w:rPr>
          <w:rFonts w:hint="eastAsia" w:eastAsiaTheme="minorEastAsia"/>
        </w:rPr>
        <w:t>、</w:t>
      </w:r>
      <w:r>
        <w:rPr>
          <w:rFonts w:eastAsiaTheme="minorEastAsia"/>
        </w:rPr>
        <w:t>SiO</w:t>
      </w:r>
      <w:r>
        <w:rPr>
          <w:rFonts w:eastAsiaTheme="minorEastAsia"/>
          <w:vertAlign w:val="subscript"/>
        </w:rPr>
        <w:t>2</w:t>
      </w:r>
      <w:r>
        <w:rPr>
          <w:rFonts w:hint="eastAsia" w:eastAsiaTheme="minorEastAsia"/>
        </w:rPr>
        <w:t>、</w:t>
      </w:r>
      <w:r>
        <w:rPr>
          <w:rFonts w:eastAsiaTheme="minorEastAsia"/>
        </w:rPr>
        <w:t>CaO</w:t>
      </w:r>
      <w:r>
        <w:rPr>
          <w:rFonts w:hint="eastAsia" w:eastAsiaTheme="minorEastAsia"/>
        </w:rPr>
        <w:t>、</w:t>
      </w:r>
      <w:r>
        <w:rPr>
          <w:rFonts w:eastAsiaTheme="minorEastAsia"/>
        </w:rPr>
        <w:t>ZnO</w:t>
      </w:r>
      <w:r>
        <w:rPr>
          <w:rFonts w:hint="eastAsia" w:eastAsiaTheme="minorEastAsia"/>
        </w:rPr>
        <w:t>、</w:t>
      </w:r>
      <w:r>
        <w:rPr>
          <w:rFonts w:eastAsiaTheme="minorEastAsia"/>
        </w:rPr>
        <w:t>Al</w:t>
      </w:r>
      <w:r>
        <w:rPr>
          <w:rFonts w:eastAsiaTheme="minorEastAsia"/>
          <w:vertAlign w:val="subscript"/>
        </w:rPr>
        <w:t>2</w:t>
      </w:r>
      <w:r>
        <w:rPr>
          <w:rFonts w:eastAsiaTheme="minorEastAsia"/>
        </w:rPr>
        <w:t>O</w:t>
      </w:r>
      <w:r>
        <w:rPr>
          <w:rFonts w:eastAsiaTheme="minorEastAsia"/>
          <w:vertAlign w:val="subscript"/>
        </w:rPr>
        <w:t>3</w:t>
      </w:r>
      <w:r>
        <w:rPr>
          <w:rFonts w:hint="eastAsia" w:eastAsiaTheme="minorEastAsia"/>
        </w:rPr>
        <w:t>、</w:t>
      </w:r>
      <w:r>
        <w:rPr>
          <w:rFonts w:eastAsiaTheme="minorEastAsia"/>
        </w:rPr>
        <w:t>Na</w:t>
      </w:r>
      <w:r>
        <w:rPr>
          <w:rFonts w:eastAsiaTheme="minorEastAsia"/>
          <w:vertAlign w:val="subscript"/>
        </w:rPr>
        <w:t>2</w:t>
      </w:r>
      <w:r>
        <w:rPr>
          <w:rFonts w:eastAsiaTheme="minorEastAsia"/>
        </w:rPr>
        <w:t>O</w:t>
      </w:r>
      <w:r>
        <w:rPr>
          <w:rFonts w:hint="eastAsia" w:eastAsiaTheme="minorEastAsia"/>
        </w:rPr>
        <w:t>、</w:t>
      </w:r>
      <w:r>
        <w:rPr>
          <w:rFonts w:eastAsiaTheme="minorEastAsia"/>
        </w:rPr>
        <w:t>Cl</w:t>
      </w:r>
      <w:r>
        <w:rPr>
          <w:rFonts w:eastAsiaTheme="minorEastAsia"/>
          <w:vertAlign w:val="superscript"/>
        </w:rPr>
        <w:t>-</w:t>
      </w:r>
      <w:r>
        <w:rPr>
          <w:rFonts w:hint="eastAsia" w:eastAsiaTheme="minorEastAsia"/>
        </w:rPr>
        <w:t>、</w:t>
      </w:r>
      <w:r>
        <w:rPr>
          <w:rFonts w:eastAsiaTheme="minorEastAsia"/>
        </w:rPr>
        <w:t>SO4</w:t>
      </w:r>
      <w:r>
        <w:rPr>
          <w:rFonts w:eastAsiaTheme="minorEastAsia"/>
          <w:vertAlign w:val="superscript"/>
        </w:rPr>
        <w:t>2+</w:t>
      </w:r>
      <w:r>
        <w:rPr>
          <w:rFonts w:hint="eastAsia" w:eastAsiaTheme="minorEastAsia"/>
        </w:rPr>
        <w:t>、</w:t>
      </w:r>
      <w:r>
        <w:rPr>
          <w:rFonts w:eastAsiaTheme="minorEastAsia"/>
        </w:rPr>
        <w:t>PbO</w:t>
      </w:r>
      <w:r>
        <w:rPr>
          <w:rFonts w:hint="eastAsia" w:eastAsiaTheme="minorEastAsia"/>
        </w:rPr>
        <w:t>等）测试参照</w:t>
      </w:r>
      <w:r>
        <w:rPr>
          <w:rFonts w:hint="eastAsia"/>
          <w:szCs w:val="21"/>
        </w:rPr>
        <w:t>相关国家标准分析方法进行。在本标准中，铈锆复合氧化物产品的主要化学成分、杂质、（水分</w:t>
      </w:r>
      <w:r>
        <w:rPr>
          <w:szCs w:val="21"/>
        </w:rPr>
        <w:t>+</w:t>
      </w:r>
      <w:r>
        <w:rPr>
          <w:rFonts w:hint="eastAsia"/>
          <w:szCs w:val="21"/>
        </w:rPr>
        <w:t>灼减）总量等应符合表</w:t>
      </w:r>
      <w:r>
        <w:rPr>
          <w:szCs w:val="21"/>
        </w:rPr>
        <w:t>1</w:t>
      </w:r>
      <w:r>
        <w:rPr>
          <w:rFonts w:hint="eastAsia"/>
          <w:szCs w:val="21"/>
        </w:rPr>
        <w:t>的规定。如需方对产品有特殊要求，供需双方也可以另行协商确定。</w:t>
      </w:r>
    </w:p>
    <w:p>
      <w:pPr>
        <w:adjustRightInd w:val="0"/>
        <w:snapToGrid w:val="0"/>
        <w:spacing w:line="360" w:lineRule="auto"/>
        <w:jc w:val="center"/>
      </w:pPr>
      <w:r>
        <w:rPr>
          <w:rFonts w:hint="eastAsia"/>
        </w:rPr>
        <w:t>表</w:t>
      </w:r>
      <w:r>
        <w:t xml:space="preserve">1 </w:t>
      </w:r>
      <w:r>
        <w:rPr>
          <w:rFonts w:hint="eastAsia"/>
        </w:rPr>
        <w:t>产品的化学成分</w:t>
      </w:r>
    </w:p>
    <w:tbl>
      <w:tblPr>
        <w:tblStyle w:val="1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699"/>
        <w:gridCol w:w="993"/>
        <w:gridCol w:w="1275"/>
        <w:gridCol w:w="1707"/>
        <w:gridCol w:w="1837"/>
        <w:gridCol w:w="170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2967" w:type="dxa"/>
            <w:gridSpan w:val="3"/>
            <w:tcBorders>
              <w:top w:val="single" w:color="auto" w:sz="12" w:space="0"/>
              <w:bottom w:val="single" w:color="auto" w:sz="4" w:space="0"/>
              <w:right w:val="single" w:color="auto" w:sz="12" w:space="0"/>
            </w:tcBorders>
            <w:vAlign w:val="center"/>
          </w:tcPr>
          <w:p>
            <w:pPr>
              <w:spacing w:line="360" w:lineRule="auto"/>
              <w:jc w:val="center"/>
              <w:rPr>
                <w:szCs w:val="21"/>
              </w:rPr>
            </w:pPr>
            <w:bookmarkStart w:id="1" w:name="_Hlk33120913"/>
            <w:r>
              <w:rPr>
                <w:rFonts w:hint="eastAsia"/>
                <w:szCs w:val="21"/>
              </w:rPr>
              <w:t>产品牌号</w:t>
            </w:r>
          </w:p>
        </w:tc>
        <w:tc>
          <w:tcPr>
            <w:tcW w:w="1707"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szCs w:val="21"/>
              </w:rPr>
            </w:pPr>
            <w:r>
              <w:rPr>
                <w:szCs w:val="21"/>
              </w:rPr>
              <w:t>CZCO-HC-60</w:t>
            </w:r>
          </w:p>
        </w:tc>
        <w:tc>
          <w:tcPr>
            <w:tcW w:w="1837"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CZCO-MC-50</w:t>
            </w:r>
          </w:p>
        </w:tc>
        <w:tc>
          <w:tcPr>
            <w:tcW w:w="1701"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szCs w:val="21"/>
              </w:rPr>
            </w:pPr>
            <w:r>
              <w:rPr>
                <w:szCs w:val="21"/>
              </w:rPr>
              <w:t>CZCO-LC-40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699" w:type="dxa"/>
            <w:vMerge w:val="restart"/>
            <w:tcBorders>
              <w:top w:val="single" w:color="auto" w:sz="4" w:space="0"/>
              <w:bottom w:val="single" w:color="auto" w:sz="4" w:space="0"/>
              <w:right w:val="single" w:color="auto" w:sz="4" w:space="0"/>
            </w:tcBorders>
            <w:vAlign w:val="center"/>
          </w:tcPr>
          <w:p>
            <w:pPr>
              <w:spacing w:line="360" w:lineRule="auto"/>
              <w:rPr>
                <w:szCs w:val="21"/>
              </w:rPr>
            </w:pPr>
            <w:r>
              <w:rPr>
                <w:rFonts w:hint="eastAsia"/>
                <w:szCs w:val="21"/>
              </w:rPr>
              <w:t>化学成分</w:t>
            </w:r>
            <w:r>
              <w:rPr>
                <w:szCs w:val="21"/>
              </w:rPr>
              <w:t>/wt%</w:t>
            </w:r>
          </w:p>
        </w:tc>
        <w:tc>
          <w:tcPr>
            <w:tcW w:w="2268"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jc w:val="center"/>
              <w:rPr>
                <w:szCs w:val="21"/>
              </w:rPr>
            </w:pPr>
            <w:r>
              <w:rPr>
                <w:szCs w:val="21"/>
              </w:rPr>
              <w:t>CeO</w:t>
            </w:r>
            <w:r>
              <w:rPr>
                <w:szCs w:val="21"/>
                <w:vertAlign w:val="subscript"/>
              </w:rPr>
              <w:t>2</w:t>
            </w:r>
          </w:p>
        </w:tc>
        <w:tc>
          <w:tcPr>
            <w:tcW w:w="1707"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szCs w:val="21"/>
              </w:rPr>
            </w:pPr>
            <w:r>
              <w:rPr>
                <w:rFonts w:hint="eastAsia"/>
                <w:szCs w:val="21"/>
              </w:rPr>
              <w:t>＞</w:t>
            </w:r>
            <w:r>
              <w:rPr>
                <w:szCs w:val="21"/>
              </w:rPr>
              <w:t>60</w:t>
            </w:r>
          </w:p>
        </w:tc>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szCs w:val="21"/>
              </w:rPr>
            </w:pPr>
            <w:r>
              <w:rPr>
                <w:szCs w:val="21"/>
              </w:rPr>
              <w:t>40~60</w:t>
            </w:r>
          </w:p>
        </w:tc>
        <w:tc>
          <w:tcPr>
            <w:tcW w:w="1701"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szCs w:val="21"/>
              </w:rPr>
            </w:pPr>
            <w:r>
              <w:rPr>
                <w:rFonts w:hint="eastAsia"/>
                <w:szCs w:val="21"/>
              </w:rPr>
              <w:t>＜</w:t>
            </w:r>
            <w:r>
              <w:rPr>
                <w:szCs w:val="21"/>
              </w:rPr>
              <w:t>40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699" w:type="dxa"/>
            <w:vMerge w:val="continue"/>
            <w:tcBorders>
              <w:top w:val="single" w:color="auto" w:sz="4" w:space="0"/>
              <w:bottom w:val="single" w:color="auto" w:sz="4" w:space="0"/>
              <w:right w:val="single" w:color="auto" w:sz="4" w:space="0"/>
            </w:tcBorders>
            <w:vAlign w:val="center"/>
          </w:tcPr>
          <w:p>
            <w:pPr>
              <w:spacing w:line="360" w:lineRule="auto"/>
              <w:ind w:firstLine="420" w:firstLineChars="200"/>
              <w:jc w:val="center"/>
              <w:rPr>
                <w:szCs w:val="21"/>
              </w:rPr>
            </w:pPr>
          </w:p>
        </w:tc>
        <w:tc>
          <w:tcPr>
            <w:tcW w:w="2268"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jc w:val="center"/>
              <w:rPr>
                <w:szCs w:val="21"/>
              </w:rPr>
            </w:pPr>
            <w:r>
              <w:rPr>
                <w:szCs w:val="21"/>
              </w:rPr>
              <w:t>ZrO</w:t>
            </w:r>
            <w:r>
              <w:rPr>
                <w:szCs w:val="21"/>
                <w:vertAlign w:val="subscript"/>
              </w:rPr>
              <w:t>2</w:t>
            </w:r>
            <w:r>
              <w:rPr>
                <w:szCs w:val="21"/>
              </w:rPr>
              <w:t>+HfO</w:t>
            </w:r>
            <w:r>
              <w:rPr>
                <w:szCs w:val="21"/>
                <w:vertAlign w:val="subscript"/>
              </w:rPr>
              <w:t>2</w:t>
            </w:r>
          </w:p>
        </w:tc>
        <w:tc>
          <w:tcPr>
            <w:tcW w:w="1707"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szCs w:val="21"/>
              </w:rPr>
            </w:pPr>
            <w:r>
              <w:rPr>
                <w:rFonts w:hint="eastAsia"/>
                <w:szCs w:val="21"/>
              </w:rPr>
              <w:t>＜</w:t>
            </w:r>
            <w:r>
              <w:rPr>
                <w:szCs w:val="21"/>
              </w:rPr>
              <w:t>40</w:t>
            </w:r>
          </w:p>
        </w:tc>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40~60</w:t>
            </w:r>
          </w:p>
        </w:tc>
        <w:tc>
          <w:tcPr>
            <w:tcW w:w="1701"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szCs w:val="21"/>
              </w:rPr>
            </w:pPr>
            <w:r>
              <w:rPr>
                <w:rFonts w:hint="eastAsia"/>
                <w:szCs w:val="21"/>
              </w:rPr>
              <w:t>＞</w:t>
            </w:r>
            <w:r>
              <w:rPr>
                <w:szCs w:val="21"/>
              </w:rPr>
              <w:t>60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699" w:type="dxa"/>
            <w:vMerge w:val="continue"/>
            <w:tcBorders>
              <w:top w:val="single" w:color="auto" w:sz="4" w:space="0"/>
              <w:bottom w:val="single" w:color="auto" w:sz="4" w:space="0"/>
              <w:right w:val="single" w:color="auto" w:sz="4" w:space="0"/>
            </w:tcBorders>
            <w:vAlign w:val="center"/>
          </w:tcPr>
          <w:p>
            <w:pPr>
              <w:spacing w:line="360" w:lineRule="auto"/>
              <w:ind w:firstLine="420" w:firstLineChars="200"/>
              <w:jc w:val="center"/>
              <w:rPr>
                <w:szCs w:val="21"/>
                <w:lang w:val="pt-BR"/>
              </w:rPr>
            </w:pPr>
          </w:p>
        </w:tc>
        <w:tc>
          <w:tcPr>
            <w:tcW w:w="2268"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jc w:val="center"/>
              <w:rPr>
                <w:szCs w:val="21"/>
                <w:lang w:val="pt-BR"/>
              </w:rPr>
            </w:pPr>
            <w:r>
              <w:rPr>
                <w:szCs w:val="21"/>
                <w:lang w:val="pt-BR"/>
              </w:rPr>
              <w:t>其他非铈</w:t>
            </w:r>
          </w:p>
          <w:p>
            <w:pPr>
              <w:spacing w:line="360" w:lineRule="auto"/>
              <w:jc w:val="center"/>
              <w:rPr>
                <w:szCs w:val="21"/>
                <w:lang w:val="pt-BR"/>
              </w:rPr>
            </w:pPr>
            <w:r>
              <w:rPr>
                <w:rFonts w:hint="eastAsia"/>
                <w:szCs w:val="21"/>
                <w:lang w:val="pt-BR"/>
              </w:rPr>
              <w:t>稀土氧化物合量</w:t>
            </w:r>
          </w:p>
        </w:tc>
        <w:tc>
          <w:tcPr>
            <w:tcW w:w="1707"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szCs w:val="21"/>
              </w:rPr>
            </w:pPr>
            <w:r>
              <w:rPr>
                <w:rFonts w:hint="eastAsia"/>
                <w:szCs w:val="21"/>
              </w:rPr>
              <w:t>≤</w:t>
            </w:r>
            <w:r>
              <w:rPr>
                <w:szCs w:val="21"/>
              </w:rPr>
              <w:t>20</w:t>
            </w:r>
          </w:p>
        </w:tc>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w:t>
            </w:r>
            <w:r>
              <w:rPr>
                <w:szCs w:val="21"/>
              </w:rPr>
              <w:t>20</w:t>
            </w:r>
          </w:p>
        </w:tc>
        <w:tc>
          <w:tcPr>
            <w:tcW w:w="1701"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szCs w:val="21"/>
              </w:rPr>
            </w:pPr>
            <w:r>
              <w:rPr>
                <w:rFonts w:hint="eastAsia"/>
                <w:szCs w:val="21"/>
              </w:rPr>
              <w:t>≤</w:t>
            </w:r>
            <w:r>
              <w:rPr>
                <w:szCs w:val="21"/>
              </w:rPr>
              <w:t>20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699" w:type="dxa"/>
            <w:vMerge w:val="continue"/>
            <w:tcBorders>
              <w:top w:val="single" w:color="auto" w:sz="4" w:space="0"/>
              <w:bottom w:val="single" w:color="auto" w:sz="4" w:space="0"/>
              <w:right w:val="single" w:color="auto" w:sz="4" w:space="0"/>
            </w:tcBorders>
            <w:vAlign w:val="center"/>
          </w:tcPr>
          <w:p>
            <w:pPr>
              <w:spacing w:line="360" w:lineRule="auto"/>
              <w:ind w:firstLine="420" w:firstLineChars="200"/>
              <w:jc w:val="center"/>
              <w:rPr>
                <w:szCs w:val="21"/>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szCs w:val="21"/>
              </w:rPr>
              <w:t>非稀土</w:t>
            </w:r>
            <w:r>
              <w:rPr>
                <w:rFonts w:hint="eastAsia"/>
                <w:szCs w:val="21"/>
              </w:rPr>
              <w:t>杂质含量</w:t>
            </w:r>
            <w:r>
              <w:rPr>
                <w:szCs w:val="21"/>
              </w:rPr>
              <w:t>不大于</w:t>
            </w:r>
          </w:p>
        </w:tc>
        <w:tc>
          <w:tcPr>
            <w:tcW w:w="1275"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szCs w:val="21"/>
              </w:rPr>
            </w:pPr>
            <w:r>
              <w:rPr>
                <w:szCs w:val="21"/>
              </w:rPr>
              <w:t>Fe</w:t>
            </w:r>
            <w:r>
              <w:rPr>
                <w:szCs w:val="21"/>
                <w:vertAlign w:val="subscript"/>
              </w:rPr>
              <w:t>2</w:t>
            </w:r>
            <w:r>
              <w:rPr>
                <w:szCs w:val="21"/>
              </w:rPr>
              <w:t>O</w:t>
            </w:r>
            <w:r>
              <w:rPr>
                <w:szCs w:val="21"/>
                <w:vertAlign w:val="subscript"/>
              </w:rPr>
              <w:t>3</w:t>
            </w:r>
          </w:p>
        </w:tc>
        <w:tc>
          <w:tcPr>
            <w:tcW w:w="5245" w:type="dxa"/>
            <w:gridSpan w:val="3"/>
            <w:tcBorders>
              <w:top w:val="single" w:color="auto" w:sz="4" w:space="0"/>
              <w:left w:val="single" w:color="auto" w:sz="12" w:space="0"/>
              <w:bottom w:val="single" w:color="auto" w:sz="4" w:space="0"/>
              <w:right w:val="single" w:color="auto" w:sz="12" w:space="0"/>
            </w:tcBorders>
            <w:vAlign w:val="center"/>
          </w:tcPr>
          <w:p>
            <w:pPr>
              <w:spacing w:line="360" w:lineRule="auto"/>
              <w:jc w:val="center"/>
              <w:rPr>
                <w:szCs w:val="21"/>
              </w:rPr>
            </w:pPr>
            <w:r>
              <w:rPr>
                <w:szCs w:val="21"/>
              </w:rPr>
              <w: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699" w:type="dxa"/>
            <w:vMerge w:val="continue"/>
            <w:tcBorders>
              <w:top w:val="single" w:color="auto" w:sz="4" w:space="0"/>
              <w:bottom w:val="single" w:color="auto" w:sz="4" w:space="0"/>
              <w:right w:val="single" w:color="auto" w:sz="4" w:space="0"/>
            </w:tcBorders>
            <w:vAlign w:val="center"/>
          </w:tcPr>
          <w:p>
            <w:pPr>
              <w:spacing w:line="360" w:lineRule="auto"/>
              <w:ind w:firstLine="420" w:firstLineChars="200"/>
              <w:jc w:val="center"/>
              <w:rPr>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szCs w:val="21"/>
              </w:rPr>
            </w:pPr>
          </w:p>
        </w:tc>
        <w:tc>
          <w:tcPr>
            <w:tcW w:w="1275"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szCs w:val="21"/>
              </w:rPr>
            </w:pPr>
            <w:r>
              <w:rPr>
                <w:szCs w:val="21"/>
              </w:rPr>
              <w:t>SiO</w:t>
            </w:r>
            <w:r>
              <w:rPr>
                <w:szCs w:val="21"/>
                <w:vertAlign w:val="subscript"/>
              </w:rPr>
              <w:t>2</w:t>
            </w:r>
          </w:p>
        </w:tc>
        <w:tc>
          <w:tcPr>
            <w:tcW w:w="5245" w:type="dxa"/>
            <w:gridSpan w:val="3"/>
            <w:tcBorders>
              <w:top w:val="single" w:color="auto" w:sz="4" w:space="0"/>
              <w:left w:val="single" w:color="auto" w:sz="12" w:space="0"/>
              <w:bottom w:val="single" w:color="auto" w:sz="4" w:space="0"/>
              <w:right w:val="single" w:color="auto" w:sz="12" w:space="0"/>
            </w:tcBorders>
            <w:vAlign w:val="center"/>
          </w:tcPr>
          <w:p>
            <w:pPr>
              <w:spacing w:line="360" w:lineRule="auto"/>
              <w:jc w:val="center"/>
              <w:rPr>
                <w:szCs w:val="21"/>
              </w:rPr>
            </w:pPr>
            <w:r>
              <w:rPr>
                <w:szCs w:val="21"/>
              </w:rPr>
              <w:t>0.02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699" w:type="dxa"/>
            <w:vMerge w:val="continue"/>
            <w:tcBorders>
              <w:top w:val="single" w:color="auto" w:sz="4" w:space="0"/>
              <w:bottom w:val="single" w:color="auto" w:sz="4" w:space="0"/>
              <w:right w:val="single" w:color="auto" w:sz="4" w:space="0"/>
            </w:tcBorders>
            <w:vAlign w:val="center"/>
          </w:tcPr>
          <w:p>
            <w:pPr>
              <w:spacing w:line="360" w:lineRule="auto"/>
              <w:ind w:firstLine="420" w:firstLineChars="200"/>
              <w:jc w:val="center"/>
              <w:rPr>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szCs w:val="21"/>
              </w:rPr>
            </w:pPr>
          </w:p>
        </w:tc>
        <w:tc>
          <w:tcPr>
            <w:tcW w:w="1275"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szCs w:val="21"/>
              </w:rPr>
            </w:pPr>
            <w:r>
              <w:rPr>
                <w:szCs w:val="21"/>
              </w:rPr>
              <w:t>CaO</w:t>
            </w:r>
          </w:p>
        </w:tc>
        <w:tc>
          <w:tcPr>
            <w:tcW w:w="5245" w:type="dxa"/>
            <w:gridSpan w:val="3"/>
            <w:tcBorders>
              <w:top w:val="single" w:color="auto" w:sz="4" w:space="0"/>
              <w:left w:val="single" w:color="auto" w:sz="12" w:space="0"/>
              <w:bottom w:val="single" w:color="auto" w:sz="4" w:space="0"/>
              <w:right w:val="single" w:color="auto" w:sz="12" w:space="0"/>
            </w:tcBorders>
            <w:vAlign w:val="center"/>
          </w:tcPr>
          <w:p>
            <w:pPr>
              <w:spacing w:line="360" w:lineRule="auto"/>
              <w:jc w:val="center"/>
              <w:rPr>
                <w:szCs w:val="21"/>
              </w:rPr>
            </w:pPr>
            <w:r>
              <w:rPr>
                <w:szCs w:val="21"/>
              </w:rPr>
              <w: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699" w:type="dxa"/>
            <w:vMerge w:val="continue"/>
            <w:tcBorders>
              <w:top w:val="single" w:color="auto" w:sz="4" w:space="0"/>
              <w:bottom w:val="single" w:color="auto" w:sz="4" w:space="0"/>
              <w:right w:val="single" w:color="auto" w:sz="4" w:space="0"/>
            </w:tcBorders>
            <w:vAlign w:val="center"/>
          </w:tcPr>
          <w:p>
            <w:pPr>
              <w:spacing w:line="360" w:lineRule="auto"/>
              <w:ind w:firstLine="420" w:firstLineChars="200"/>
              <w:jc w:val="center"/>
              <w:rPr>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szCs w:val="21"/>
              </w:rPr>
            </w:pPr>
          </w:p>
        </w:tc>
        <w:tc>
          <w:tcPr>
            <w:tcW w:w="1275"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szCs w:val="21"/>
              </w:rPr>
            </w:pPr>
            <w:r>
              <w:rPr>
                <w:szCs w:val="21"/>
              </w:rPr>
              <w:t>ZnO</w:t>
            </w:r>
          </w:p>
        </w:tc>
        <w:tc>
          <w:tcPr>
            <w:tcW w:w="5245" w:type="dxa"/>
            <w:gridSpan w:val="3"/>
            <w:tcBorders>
              <w:top w:val="single" w:color="auto" w:sz="4" w:space="0"/>
              <w:left w:val="single" w:color="auto" w:sz="12" w:space="0"/>
              <w:bottom w:val="single" w:color="auto" w:sz="4" w:space="0"/>
              <w:right w:val="single" w:color="auto" w:sz="12" w:space="0"/>
            </w:tcBorders>
            <w:vAlign w:val="center"/>
          </w:tcPr>
          <w:p>
            <w:pPr>
              <w:spacing w:line="360" w:lineRule="auto"/>
              <w:jc w:val="center"/>
              <w:rPr>
                <w:szCs w:val="21"/>
              </w:rPr>
            </w:pPr>
            <w:r>
              <w:rPr>
                <w:szCs w:val="21"/>
              </w:rPr>
              <w:t>0.005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699" w:type="dxa"/>
            <w:vMerge w:val="continue"/>
            <w:tcBorders>
              <w:top w:val="single" w:color="auto" w:sz="4" w:space="0"/>
              <w:bottom w:val="single" w:color="auto" w:sz="4" w:space="0"/>
              <w:right w:val="single" w:color="auto" w:sz="4" w:space="0"/>
            </w:tcBorders>
          </w:tcPr>
          <w:p>
            <w:pPr>
              <w:spacing w:line="360" w:lineRule="auto"/>
              <w:ind w:firstLine="420" w:firstLineChars="200"/>
              <w:jc w:val="center"/>
              <w:rPr>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szCs w:val="21"/>
              </w:rPr>
            </w:pPr>
          </w:p>
        </w:tc>
        <w:tc>
          <w:tcPr>
            <w:tcW w:w="1275"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szCs w:val="21"/>
              </w:rPr>
            </w:pPr>
            <w:r>
              <w:rPr>
                <w:szCs w:val="21"/>
              </w:rPr>
              <w:t>Al</w:t>
            </w:r>
            <w:r>
              <w:rPr>
                <w:szCs w:val="21"/>
                <w:vertAlign w:val="subscript"/>
              </w:rPr>
              <w:t>2</w:t>
            </w:r>
            <w:r>
              <w:rPr>
                <w:szCs w:val="21"/>
              </w:rPr>
              <w:t>O</w:t>
            </w:r>
            <w:r>
              <w:rPr>
                <w:szCs w:val="21"/>
                <w:vertAlign w:val="subscript"/>
              </w:rPr>
              <w:t>3</w:t>
            </w:r>
          </w:p>
        </w:tc>
        <w:tc>
          <w:tcPr>
            <w:tcW w:w="5245" w:type="dxa"/>
            <w:gridSpan w:val="3"/>
            <w:tcBorders>
              <w:top w:val="single" w:color="auto" w:sz="4" w:space="0"/>
              <w:left w:val="single" w:color="auto" w:sz="12" w:space="0"/>
              <w:bottom w:val="single" w:color="auto" w:sz="4" w:space="0"/>
              <w:right w:val="single" w:color="auto" w:sz="12" w:space="0"/>
            </w:tcBorders>
            <w:vAlign w:val="center"/>
          </w:tcPr>
          <w:p>
            <w:pPr>
              <w:spacing w:line="360" w:lineRule="auto"/>
              <w:jc w:val="center"/>
              <w:rPr>
                <w:szCs w:val="21"/>
              </w:rPr>
            </w:pPr>
            <w:r>
              <w:rPr>
                <w:szCs w:val="21"/>
              </w:rPr>
              <w:t>0.02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699" w:type="dxa"/>
            <w:vMerge w:val="continue"/>
            <w:tcBorders>
              <w:top w:val="single" w:color="auto" w:sz="4" w:space="0"/>
              <w:bottom w:val="single" w:color="auto" w:sz="4" w:space="0"/>
              <w:right w:val="single" w:color="auto" w:sz="4" w:space="0"/>
            </w:tcBorders>
          </w:tcPr>
          <w:p>
            <w:pPr>
              <w:spacing w:line="360" w:lineRule="auto"/>
              <w:ind w:firstLine="420" w:firstLineChars="200"/>
              <w:jc w:val="center"/>
              <w:rPr>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szCs w:val="21"/>
              </w:rPr>
            </w:pPr>
          </w:p>
        </w:tc>
        <w:tc>
          <w:tcPr>
            <w:tcW w:w="1275"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szCs w:val="21"/>
              </w:rPr>
            </w:pPr>
            <w:r>
              <w:rPr>
                <w:szCs w:val="21"/>
              </w:rPr>
              <w:t>Na</w:t>
            </w:r>
            <w:r>
              <w:rPr>
                <w:szCs w:val="21"/>
                <w:vertAlign w:val="subscript"/>
              </w:rPr>
              <w:t>2</w:t>
            </w:r>
            <w:r>
              <w:rPr>
                <w:szCs w:val="21"/>
              </w:rPr>
              <w:t>O</w:t>
            </w:r>
          </w:p>
        </w:tc>
        <w:tc>
          <w:tcPr>
            <w:tcW w:w="5245" w:type="dxa"/>
            <w:gridSpan w:val="3"/>
            <w:tcBorders>
              <w:top w:val="single" w:color="auto" w:sz="4" w:space="0"/>
              <w:left w:val="single" w:color="auto" w:sz="12" w:space="0"/>
              <w:bottom w:val="single" w:color="auto" w:sz="4" w:space="0"/>
              <w:right w:val="single" w:color="auto" w:sz="12" w:space="0"/>
            </w:tcBorders>
            <w:vAlign w:val="center"/>
          </w:tcPr>
          <w:p>
            <w:pPr>
              <w:spacing w:line="360" w:lineRule="auto"/>
              <w:jc w:val="center"/>
              <w:rPr>
                <w:szCs w:val="21"/>
              </w:rPr>
            </w:pPr>
            <w:r>
              <w:rPr>
                <w:szCs w:val="21"/>
              </w:rPr>
              <w:t>0.02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699" w:type="dxa"/>
            <w:vMerge w:val="continue"/>
            <w:tcBorders>
              <w:top w:val="single" w:color="auto" w:sz="4" w:space="0"/>
              <w:bottom w:val="single" w:color="auto" w:sz="4" w:space="0"/>
              <w:right w:val="single" w:color="auto" w:sz="4" w:space="0"/>
            </w:tcBorders>
          </w:tcPr>
          <w:p>
            <w:pPr>
              <w:spacing w:line="360" w:lineRule="auto"/>
              <w:ind w:firstLine="420" w:firstLineChars="200"/>
              <w:jc w:val="center"/>
              <w:rPr>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szCs w:val="21"/>
              </w:rPr>
            </w:pPr>
          </w:p>
        </w:tc>
        <w:tc>
          <w:tcPr>
            <w:tcW w:w="1275"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szCs w:val="21"/>
              </w:rPr>
            </w:pPr>
            <w:r>
              <w:rPr>
                <w:szCs w:val="21"/>
              </w:rPr>
              <w:t>Cl</w:t>
            </w:r>
            <w:r>
              <w:rPr>
                <w:szCs w:val="21"/>
                <w:vertAlign w:val="superscript"/>
              </w:rPr>
              <w:t>-</w:t>
            </w:r>
          </w:p>
        </w:tc>
        <w:tc>
          <w:tcPr>
            <w:tcW w:w="5245" w:type="dxa"/>
            <w:gridSpan w:val="3"/>
            <w:tcBorders>
              <w:top w:val="single" w:color="auto" w:sz="4" w:space="0"/>
              <w:left w:val="single" w:color="auto" w:sz="12" w:space="0"/>
              <w:bottom w:val="single" w:color="auto" w:sz="4" w:space="0"/>
              <w:right w:val="single" w:color="auto" w:sz="12" w:space="0"/>
            </w:tcBorders>
            <w:vAlign w:val="center"/>
          </w:tcPr>
          <w:p>
            <w:pPr>
              <w:spacing w:line="360" w:lineRule="auto"/>
              <w:jc w:val="center"/>
              <w:rPr>
                <w:szCs w:val="21"/>
              </w:rPr>
            </w:pPr>
            <w:r>
              <w:rPr>
                <w:szCs w:val="21"/>
              </w:rPr>
              <w: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699" w:type="dxa"/>
            <w:vMerge w:val="continue"/>
            <w:tcBorders>
              <w:top w:val="single" w:color="auto" w:sz="4" w:space="0"/>
              <w:bottom w:val="single" w:color="auto" w:sz="4" w:space="0"/>
              <w:right w:val="single" w:color="auto" w:sz="4" w:space="0"/>
            </w:tcBorders>
          </w:tcPr>
          <w:p>
            <w:pPr>
              <w:spacing w:line="360" w:lineRule="auto"/>
              <w:ind w:firstLine="420" w:firstLineChars="200"/>
              <w:jc w:val="center"/>
              <w:rPr>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szCs w:val="21"/>
              </w:rPr>
            </w:pPr>
          </w:p>
        </w:tc>
        <w:tc>
          <w:tcPr>
            <w:tcW w:w="1275"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szCs w:val="21"/>
              </w:rPr>
            </w:pPr>
            <w:r>
              <w:rPr>
                <w:szCs w:val="21"/>
              </w:rPr>
              <w:t>SO</w:t>
            </w:r>
            <w:r>
              <w:rPr>
                <w:szCs w:val="21"/>
                <w:vertAlign w:val="subscript"/>
              </w:rPr>
              <w:t>4</w:t>
            </w:r>
            <w:r>
              <w:rPr>
                <w:szCs w:val="21"/>
                <w:vertAlign w:val="superscript"/>
              </w:rPr>
              <w:t>2-</w:t>
            </w:r>
          </w:p>
        </w:tc>
        <w:tc>
          <w:tcPr>
            <w:tcW w:w="5245" w:type="dxa"/>
            <w:gridSpan w:val="3"/>
            <w:tcBorders>
              <w:top w:val="single" w:color="auto" w:sz="4" w:space="0"/>
              <w:left w:val="single" w:color="auto" w:sz="12" w:space="0"/>
              <w:bottom w:val="single" w:color="auto" w:sz="4" w:space="0"/>
              <w:right w:val="single" w:color="auto" w:sz="12" w:space="0"/>
            </w:tcBorders>
            <w:vAlign w:val="center"/>
          </w:tcPr>
          <w:p>
            <w:pPr>
              <w:spacing w:line="360" w:lineRule="auto"/>
              <w:jc w:val="center"/>
              <w:rPr>
                <w:szCs w:val="21"/>
              </w:rPr>
            </w:pPr>
            <w:r>
              <w:rPr>
                <w:szCs w:val="21"/>
              </w:rPr>
              <w:t>0.03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699" w:type="dxa"/>
            <w:vMerge w:val="continue"/>
            <w:tcBorders>
              <w:top w:val="single" w:color="auto" w:sz="4" w:space="0"/>
              <w:bottom w:val="single" w:color="auto" w:sz="4" w:space="0"/>
              <w:right w:val="single" w:color="auto" w:sz="4" w:space="0"/>
            </w:tcBorders>
          </w:tcPr>
          <w:p>
            <w:pPr>
              <w:spacing w:line="360" w:lineRule="auto"/>
              <w:ind w:firstLine="420" w:firstLineChars="200"/>
              <w:jc w:val="center"/>
              <w:rPr>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szCs w:val="21"/>
              </w:rPr>
            </w:pPr>
          </w:p>
        </w:tc>
        <w:tc>
          <w:tcPr>
            <w:tcW w:w="1275"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szCs w:val="21"/>
              </w:rPr>
            </w:pPr>
            <w:r>
              <w:rPr>
                <w:szCs w:val="21"/>
              </w:rPr>
              <w:t>PbO</w:t>
            </w:r>
          </w:p>
        </w:tc>
        <w:tc>
          <w:tcPr>
            <w:tcW w:w="5245" w:type="dxa"/>
            <w:gridSpan w:val="3"/>
            <w:tcBorders>
              <w:top w:val="single" w:color="auto" w:sz="4" w:space="0"/>
              <w:left w:val="single" w:color="auto" w:sz="12" w:space="0"/>
              <w:bottom w:val="single" w:color="auto" w:sz="4" w:space="0"/>
              <w:right w:val="single" w:color="auto" w:sz="12" w:space="0"/>
            </w:tcBorders>
            <w:vAlign w:val="center"/>
          </w:tcPr>
          <w:p>
            <w:pPr>
              <w:spacing w:line="360" w:lineRule="auto"/>
              <w:jc w:val="center"/>
              <w:rPr>
                <w:szCs w:val="21"/>
              </w:rPr>
            </w:pPr>
            <w:r>
              <w:rPr>
                <w:szCs w:val="21"/>
              </w:rPr>
              <w:t>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2967" w:type="dxa"/>
            <w:gridSpan w:val="3"/>
            <w:tcBorders>
              <w:top w:val="single" w:color="auto" w:sz="4" w:space="0"/>
              <w:bottom w:val="single" w:color="auto" w:sz="12" w:space="0"/>
              <w:right w:val="single" w:color="auto" w:sz="12" w:space="0"/>
            </w:tcBorders>
            <w:vAlign w:val="center"/>
          </w:tcPr>
          <w:p>
            <w:pPr>
              <w:spacing w:line="360" w:lineRule="auto"/>
              <w:jc w:val="center"/>
              <w:rPr>
                <w:szCs w:val="21"/>
              </w:rPr>
            </w:pPr>
            <w:r>
              <w:rPr>
                <w:rFonts w:hint="eastAsia"/>
                <w:szCs w:val="22"/>
              </w:rPr>
              <w:t>（水分</w:t>
            </w:r>
            <w:r>
              <w:rPr>
                <w:szCs w:val="22"/>
              </w:rPr>
              <w:t>+</w:t>
            </w:r>
            <w:r>
              <w:rPr>
                <w:rFonts w:hint="eastAsia"/>
                <w:szCs w:val="22"/>
              </w:rPr>
              <w:t>灼减）合量</w:t>
            </w:r>
            <w:r>
              <w:rPr>
                <w:szCs w:val="22"/>
              </w:rPr>
              <w:t>/wt%</w:t>
            </w:r>
          </w:p>
        </w:tc>
        <w:tc>
          <w:tcPr>
            <w:tcW w:w="5245" w:type="dxa"/>
            <w:gridSpan w:val="3"/>
            <w:tcBorders>
              <w:top w:val="single" w:color="auto" w:sz="4" w:space="0"/>
              <w:left w:val="single" w:color="auto" w:sz="12" w:space="0"/>
              <w:bottom w:val="single" w:color="auto" w:sz="12" w:space="0"/>
              <w:right w:val="single" w:color="auto" w:sz="12" w:space="0"/>
            </w:tcBorders>
            <w:vAlign w:val="center"/>
          </w:tcPr>
          <w:p>
            <w:pPr>
              <w:spacing w:line="360" w:lineRule="auto"/>
              <w:jc w:val="center"/>
              <w:rPr>
                <w:szCs w:val="21"/>
              </w:rPr>
            </w:pPr>
            <w:r>
              <w:rPr>
                <w:rFonts w:hint="eastAsia"/>
                <w:szCs w:val="21"/>
              </w:rPr>
              <w:t>≤</w:t>
            </w:r>
            <w:r>
              <w:rPr>
                <w:szCs w:val="21"/>
              </w:rPr>
              <w:t>4</w:t>
            </w:r>
          </w:p>
        </w:tc>
      </w:tr>
      <w:bookmarkEnd w:id="1"/>
    </w:tbl>
    <w:p>
      <w:pPr>
        <w:spacing w:line="360" w:lineRule="auto"/>
        <w:rPr>
          <w:rFonts w:eastAsia="黑体"/>
          <w:szCs w:val="21"/>
        </w:rPr>
      </w:pPr>
      <w:r>
        <w:rPr>
          <w:rFonts w:eastAsia="黑体"/>
          <w:szCs w:val="21"/>
        </w:rPr>
        <w:t xml:space="preserve">3.3.2 </w:t>
      </w:r>
      <w:r>
        <w:rPr>
          <w:rFonts w:hint="eastAsia" w:eastAsia="黑体"/>
          <w:szCs w:val="21"/>
        </w:rPr>
        <w:t>产品比表面积和粒度的确定</w:t>
      </w:r>
    </w:p>
    <w:p>
      <w:pPr>
        <w:spacing w:line="360" w:lineRule="auto"/>
        <w:ind w:firstLine="420" w:firstLineChars="200"/>
      </w:pPr>
      <w:r>
        <w:rPr>
          <w:rFonts w:hint="eastAsia"/>
          <w:szCs w:val="21"/>
        </w:rPr>
        <w:t>比表面积和粒度是铈锆复合氧化物生产企业和下游催化剂应用企业较为关注的技术指标，机动车尾气净化催化剂和有机废气净化催化剂等应用领域使用的铈锆复合氧化物新鲜比表面积需大于</w:t>
      </w:r>
      <w:r>
        <w:rPr>
          <w:szCs w:val="21"/>
        </w:rPr>
        <w:t>50m</w:t>
      </w:r>
      <w:r>
        <w:rPr>
          <w:szCs w:val="21"/>
          <w:vertAlign w:val="superscript"/>
        </w:rPr>
        <w:t>2</w:t>
      </w:r>
      <w:r>
        <w:rPr>
          <w:szCs w:val="21"/>
        </w:rPr>
        <w:t>/g</w:t>
      </w:r>
      <w:r>
        <w:rPr>
          <w:rFonts w:hint="eastAsia"/>
          <w:szCs w:val="21"/>
        </w:rPr>
        <w:t>，粒度</w:t>
      </w:r>
      <w:r>
        <w:rPr>
          <w:szCs w:val="21"/>
        </w:rPr>
        <w:t>D</w:t>
      </w:r>
      <w:r>
        <w:rPr>
          <w:szCs w:val="21"/>
          <w:vertAlign w:val="subscript"/>
        </w:rPr>
        <w:t>50</w:t>
      </w:r>
      <w:r>
        <w:rPr>
          <w:rFonts w:hint="eastAsia"/>
          <w:szCs w:val="21"/>
        </w:rPr>
        <w:t>为</w:t>
      </w:r>
      <w:r>
        <w:rPr>
          <w:szCs w:val="21"/>
        </w:rPr>
        <w:t>1~10µm</w:t>
      </w:r>
      <w:r>
        <w:rPr>
          <w:rFonts w:hint="eastAsia"/>
          <w:szCs w:val="21"/>
        </w:rPr>
        <w:t>，</w:t>
      </w:r>
      <w:r>
        <w:rPr>
          <w:szCs w:val="21"/>
        </w:rPr>
        <w:t>1000</w:t>
      </w:r>
      <w:r>
        <w:rPr>
          <w:rFonts w:hint="eastAsia" w:eastAsia="微软雅黑"/>
          <w:szCs w:val="21"/>
        </w:rPr>
        <w:t>℃</w:t>
      </w:r>
      <w:r>
        <w:rPr>
          <w:rFonts w:hint="eastAsia"/>
          <w:szCs w:val="21"/>
        </w:rPr>
        <w:t>，</w:t>
      </w:r>
      <w:r>
        <w:rPr>
          <w:szCs w:val="21"/>
        </w:rPr>
        <w:t>10</w:t>
      </w:r>
      <w:r>
        <w:rPr>
          <w:rFonts w:hint="eastAsia"/>
          <w:szCs w:val="21"/>
        </w:rPr>
        <w:t>小时高温老化后比表面积大于</w:t>
      </w:r>
      <w:r>
        <w:rPr>
          <w:szCs w:val="21"/>
        </w:rPr>
        <w:t>35m</w:t>
      </w:r>
      <w:r>
        <w:rPr>
          <w:szCs w:val="21"/>
          <w:vertAlign w:val="superscript"/>
        </w:rPr>
        <w:t>2</w:t>
      </w:r>
      <w:r>
        <w:rPr>
          <w:szCs w:val="21"/>
        </w:rPr>
        <w:t>/g</w:t>
      </w:r>
      <w:r>
        <w:rPr>
          <w:rFonts w:hint="eastAsia"/>
          <w:szCs w:val="21"/>
        </w:rPr>
        <w:t>。</w:t>
      </w:r>
      <w:r>
        <w:rPr>
          <w:rFonts w:hint="eastAsia"/>
        </w:rPr>
        <w:t>铈锆复合氧化物产品的比表面积和粒度应符合表</w:t>
      </w:r>
      <w:r>
        <w:t>2</w:t>
      </w:r>
      <w:r>
        <w:rPr>
          <w:rFonts w:hint="eastAsia"/>
        </w:rPr>
        <w:t>的规定。需方如有特殊要求，供需双方可另行协议。</w:t>
      </w:r>
    </w:p>
    <w:p>
      <w:pPr>
        <w:spacing w:line="360" w:lineRule="auto"/>
        <w:ind w:firstLine="420" w:firstLineChars="200"/>
        <w:jc w:val="center"/>
        <w:rPr>
          <w:rFonts w:eastAsia="黑体"/>
        </w:rPr>
      </w:pPr>
      <w:r>
        <w:rPr>
          <w:rFonts w:hint="eastAsia" w:eastAsia="黑体"/>
        </w:rPr>
        <w:t>表</w:t>
      </w:r>
      <w:r>
        <w:rPr>
          <w:rFonts w:eastAsia="黑体"/>
        </w:rPr>
        <w:t>2</w:t>
      </w:r>
      <w:r>
        <w:rPr>
          <w:rFonts w:hint="eastAsia" w:eastAsia="黑体"/>
        </w:rPr>
        <w:t>比表面积和粒度</w:t>
      </w:r>
    </w:p>
    <w:tbl>
      <w:tblPr>
        <w:tblStyle w:val="1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967"/>
        <w:gridCol w:w="1843"/>
        <w:gridCol w:w="1701"/>
        <w:gridCol w:w="170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2967" w:type="dxa"/>
            <w:tcBorders>
              <w:top w:val="single" w:color="auto" w:sz="12" w:space="0"/>
              <w:bottom w:val="single" w:color="auto" w:sz="4" w:space="0"/>
              <w:right w:val="single" w:color="auto" w:sz="12" w:space="0"/>
            </w:tcBorders>
            <w:vAlign w:val="center"/>
          </w:tcPr>
          <w:p>
            <w:pPr>
              <w:spacing w:line="360" w:lineRule="auto"/>
              <w:jc w:val="center"/>
              <w:rPr>
                <w:szCs w:val="21"/>
              </w:rPr>
            </w:pPr>
            <w:r>
              <w:rPr>
                <w:rFonts w:hint="eastAsia"/>
                <w:szCs w:val="21"/>
              </w:rPr>
              <w:t>产品牌号</w:t>
            </w:r>
          </w:p>
        </w:tc>
        <w:tc>
          <w:tcPr>
            <w:tcW w:w="1843"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szCs w:val="21"/>
              </w:rPr>
            </w:pPr>
            <w:bookmarkStart w:id="2" w:name="_Hlk33121987"/>
            <w:r>
              <w:rPr>
                <w:szCs w:val="21"/>
              </w:rPr>
              <w:t>CZCO-HC-60</w:t>
            </w:r>
            <w:bookmarkEnd w:id="2"/>
          </w:p>
        </w:tc>
        <w:tc>
          <w:tcPr>
            <w:tcW w:w="1701"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szCs w:val="21"/>
              </w:rPr>
            </w:pPr>
            <w:bookmarkStart w:id="3" w:name="_Hlk33122008"/>
            <w:r>
              <w:rPr>
                <w:szCs w:val="21"/>
              </w:rPr>
              <w:t>CZCO-MC-</w:t>
            </w:r>
            <w:bookmarkEnd w:id="3"/>
            <w:r>
              <w:rPr>
                <w:szCs w:val="21"/>
              </w:rPr>
              <w:t>50</w:t>
            </w:r>
          </w:p>
        </w:tc>
        <w:tc>
          <w:tcPr>
            <w:tcW w:w="1701"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szCs w:val="21"/>
              </w:rPr>
            </w:pPr>
            <w:bookmarkStart w:id="4" w:name="_Hlk33122020"/>
            <w:r>
              <w:rPr>
                <w:szCs w:val="21"/>
              </w:rPr>
              <w:t>CZCO-LC-40</w:t>
            </w:r>
            <w:bookmarkEnd w:id="4"/>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2967" w:type="dxa"/>
            <w:tcBorders>
              <w:top w:val="single" w:color="auto" w:sz="4" w:space="0"/>
              <w:bottom w:val="single" w:color="auto" w:sz="4" w:space="0"/>
              <w:right w:val="single" w:color="auto" w:sz="12" w:space="0"/>
            </w:tcBorders>
            <w:vAlign w:val="center"/>
          </w:tcPr>
          <w:p>
            <w:pPr>
              <w:spacing w:line="360" w:lineRule="auto"/>
              <w:jc w:val="center"/>
              <w:rPr>
                <w:szCs w:val="21"/>
              </w:rPr>
            </w:pPr>
            <w:r>
              <w:rPr>
                <w:rFonts w:hint="eastAsia"/>
                <w:szCs w:val="21"/>
              </w:rPr>
              <w:t>新鲜比表面积</w:t>
            </w:r>
            <w:r>
              <w:rPr>
                <w:szCs w:val="21"/>
              </w:rPr>
              <w:t>/m</w:t>
            </w:r>
            <w:r>
              <w:rPr>
                <w:szCs w:val="21"/>
                <w:vertAlign w:val="superscript"/>
              </w:rPr>
              <w:t>2</w:t>
            </w:r>
            <w:r>
              <w:rPr>
                <w:szCs w:val="21"/>
              </w:rPr>
              <w:t>/g</w:t>
            </w:r>
          </w:p>
        </w:tc>
        <w:tc>
          <w:tcPr>
            <w:tcW w:w="1843"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szCs w:val="21"/>
              </w:rPr>
            </w:pPr>
            <w:r>
              <w:rPr>
                <w:rFonts w:hint="eastAsia"/>
                <w:szCs w:val="21"/>
              </w:rPr>
              <w:t>＞</w:t>
            </w:r>
            <w:r>
              <w:rPr>
                <w:szCs w:val="21"/>
              </w:rPr>
              <w:t>60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w:t>
            </w:r>
            <w:r>
              <w:rPr>
                <w:szCs w:val="21"/>
              </w:rPr>
              <w:t>50</w:t>
            </w:r>
          </w:p>
        </w:tc>
        <w:tc>
          <w:tcPr>
            <w:tcW w:w="1701"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szCs w:val="21"/>
              </w:rPr>
            </w:pPr>
            <w:r>
              <w:rPr>
                <w:rFonts w:hint="eastAsia"/>
                <w:szCs w:val="21"/>
              </w:rPr>
              <w:t>＞</w:t>
            </w:r>
            <w:r>
              <w:rPr>
                <w:szCs w:val="21"/>
              </w:rPr>
              <w:t>50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2967" w:type="dxa"/>
            <w:tcBorders>
              <w:top w:val="single" w:color="auto" w:sz="4" w:space="0"/>
              <w:bottom w:val="single" w:color="auto" w:sz="4" w:space="0"/>
              <w:right w:val="single" w:color="auto" w:sz="12" w:space="0"/>
            </w:tcBorders>
            <w:vAlign w:val="center"/>
          </w:tcPr>
          <w:p>
            <w:pPr>
              <w:spacing w:line="360" w:lineRule="auto"/>
              <w:jc w:val="center"/>
              <w:rPr>
                <w:szCs w:val="21"/>
              </w:rPr>
            </w:pPr>
            <w:r>
              <w:rPr>
                <w:szCs w:val="21"/>
              </w:rPr>
              <w:t>老化后比表面</w:t>
            </w:r>
            <w:r>
              <w:rPr>
                <w:rFonts w:hint="eastAsia"/>
                <w:szCs w:val="21"/>
              </w:rPr>
              <w:t>积</w:t>
            </w:r>
            <w:r>
              <w:rPr>
                <w:szCs w:val="21"/>
              </w:rPr>
              <w:t>/m</w:t>
            </w:r>
            <w:r>
              <w:rPr>
                <w:szCs w:val="21"/>
                <w:vertAlign w:val="superscript"/>
              </w:rPr>
              <w:t>2</w:t>
            </w:r>
            <w:r>
              <w:rPr>
                <w:szCs w:val="21"/>
              </w:rPr>
              <w:t>/g</w:t>
            </w:r>
          </w:p>
        </w:tc>
        <w:tc>
          <w:tcPr>
            <w:tcW w:w="1843"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szCs w:val="21"/>
              </w:rPr>
            </w:pPr>
            <w:r>
              <w:rPr>
                <w:rFonts w:hint="eastAsia"/>
                <w:szCs w:val="21"/>
              </w:rPr>
              <w:t>≥</w:t>
            </w:r>
            <w:r>
              <w:rPr>
                <w:szCs w:val="21"/>
              </w:rPr>
              <w:t>35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w:t>
            </w:r>
            <w:r>
              <w:rPr>
                <w:szCs w:val="21"/>
              </w:rPr>
              <w:t>40</w:t>
            </w:r>
          </w:p>
        </w:tc>
        <w:tc>
          <w:tcPr>
            <w:tcW w:w="1701"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szCs w:val="21"/>
              </w:rPr>
            </w:pPr>
            <w:r>
              <w:rPr>
                <w:rFonts w:hint="eastAsia"/>
                <w:szCs w:val="21"/>
              </w:rPr>
              <w:t>≥</w:t>
            </w:r>
            <w:r>
              <w:rPr>
                <w:szCs w:val="21"/>
              </w:rPr>
              <w:t>40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2967" w:type="dxa"/>
            <w:tcBorders>
              <w:top w:val="single" w:color="auto" w:sz="4" w:space="0"/>
              <w:bottom w:val="single" w:color="auto" w:sz="4" w:space="0"/>
              <w:right w:val="single" w:color="auto" w:sz="12" w:space="0"/>
            </w:tcBorders>
            <w:vAlign w:val="center"/>
          </w:tcPr>
          <w:p>
            <w:pPr>
              <w:spacing w:line="360" w:lineRule="auto"/>
              <w:jc w:val="center"/>
              <w:rPr>
                <w:szCs w:val="21"/>
              </w:rPr>
            </w:pPr>
            <w:r>
              <w:rPr>
                <w:rFonts w:hint="eastAsia"/>
                <w:szCs w:val="21"/>
              </w:rPr>
              <w:t>粒度</w:t>
            </w:r>
            <w:r>
              <w:rPr>
                <w:szCs w:val="21"/>
              </w:rPr>
              <w:t>D</w:t>
            </w:r>
            <w:r>
              <w:rPr>
                <w:szCs w:val="21"/>
                <w:vertAlign w:val="subscript"/>
              </w:rPr>
              <w:t>50</w:t>
            </w:r>
            <w:r>
              <w:rPr>
                <w:szCs w:val="21"/>
              </w:rPr>
              <w:t>/µm</w:t>
            </w:r>
          </w:p>
        </w:tc>
        <w:tc>
          <w:tcPr>
            <w:tcW w:w="5245" w:type="dxa"/>
            <w:gridSpan w:val="3"/>
            <w:tcBorders>
              <w:top w:val="single" w:color="auto" w:sz="4" w:space="0"/>
              <w:left w:val="single" w:color="auto" w:sz="12" w:space="0"/>
              <w:bottom w:val="single" w:color="auto" w:sz="4" w:space="0"/>
              <w:right w:val="single" w:color="auto" w:sz="12" w:space="0"/>
            </w:tcBorders>
            <w:vAlign w:val="center"/>
          </w:tcPr>
          <w:p>
            <w:pPr>
              <w:spacing w:line="360" w:lineRule="auto"/>
              <w:jc w:val="center"/>
              <w:rPr>
                <w:szCs w:val="21"/>
              </w:rPr>
            </w:pPr>
            <w:r>
              <w:rPr>
                <w:szCs w:val="21"/>
              </w:rPr>
              <w:t>1~10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2967" w:type="dxa"/>
            <w:tcBorders>
              <w:top w:val="single" w:color="auto" w:sz="4" w:space="0"/>
              <w:bottom w:val="single" w:color="auto" w:sz="12" w:space="0"/>
              <w:right w:val="single" w:color="auto" w:sz="12" w:space="0"/>
            </w:tcBorders>
            <w:vAlign w:val="center"/>
          </w:tcPr>
          <w:p>
            <w:pPr>
              <w:spacing w:line="360" w:lineRule="auto"/>
              <w:jc w:val="center"/>
              <w:rPr>
                <w:szCs w:val="21"/>
              </w:rPr>
            </w:pPr>
            <w:r>
              <w:rPr>
                <w:rFonts w:hint="eastAsia"/>
                <w:szCs w:val="21"/>
              </w:rPr>
              <w:t>粒度</w:t>
            </w:r>
            <w:r>
              <w:rPr>
                <w:szCs w:val="21"/>
              </w:rPr>
              <w:t>D</w:t>
            </w:r>
            <w:r>
              <w:rPr>
                <w:szCs w:val="21"/>
                <w:vertAlign w:val="subscript"/>
              </w:rPr>
              <w:t>90</w:t>
            </w:r>
            <w:r>
              <w:rPr>
                <w:szCs w:val="21"/>
              </w:rPr>
              <w:t>/µm</w:t>
            </w:r>
          </w:p>
        </w:tc>
        <w:tc>
          <w:tcPr>
            <w:tcW w:w="5245" w:type="dxa"/>
            <w:gridSpan w:val="3"/>
            <w:tcBorders>
              <w:top w:val="single" w:color="auto" w:sz="4" w:space="0"/>
              <w:left w:val="single" w:color="auto" w:sz="12" w:space="0"/>
              <w:bottom w:val="single" w:color="auto" w:sz="12" w:space="0"/>
              <w:right w:val="single" w:color="auto" w:sz="12" w:space="0"/>
            </w:tcBorders>
            <w:vAlign w:val="center"/>
          </w:tcPr>
          <w:p>
            <w:pPr>
              <w:spacing w:line="360" w:lineRule="auto"/>
              <w:jc w:val="center"/>
              <w:rPr>
                <w:szCs w:val="21"/>
              </w:rPr>
            </w:pPr>
            <w:r>
              <w:rPr>
                <w:rFonts w:hint="eastAsia"/>
                <w:szCs w:val="21"/>
              </w:rPr>
              <w:t>＜</w:t>
            </w:r>
            <w:r>
              <w:rPr>
                <w:szCs w:val="21"/>
              </w:rPr>
              <w:t>30</w:t>
            </w:r>
          </w:p>
        </w:tc>
      </w:tr>
    </w:tbl>
    <w:p>
      <w:pPr>
        <w:spacing w:line="360" w:lineRule="auto"/>
        <w:ind w:firstLine="420" w:firstLineChars="200"/>
        <w:rPr>
          <w:szCs w:val="21"/>
        </w:rPr>
      </w:pPr>
      <w:r>
        <w:rPr>
          <w:rFonts w:hint="eastAsia"/>
          <w:szCs w:val="21"/>
        </w:rPr>
        <w:t>注：老化条件：</w:t>
      </w:r>
      <w:r>
        <w:rPr>
          <w:szCs w:val="21"/>
        </w:rPr>
        <w:t>1000</w:t>
      </w:r>
      <w:r>
        <w:rPr>
          <w:rFonts w:hint="eastAsia"/>
          <w:szCs w:val="21"/>
        </w:rPr>
        <w:t>℃，</w:t>
      </w:r>
      <w:r>
        <w:rPr>
          <w:szCs w:val="21"/>
        </w:rPr>
        <w:t>10</w:t>
      </w:r>
      <w:r>
        <w:rPr>
          <w:rFonts w:hint="eastAsia"/>
          <w:szCs w:val="21"/>
        </w:rPr>
        <w:t>小时空气气氛下高温老化</w:t>
      </w:r>
    </w:p>
    <w:p>
      <w:pPr>
        <w:spacing w:before="156" w:line="360" w:lineRule="auto"/>
        <w:rPr>
          <w:rFonts w:eastAsia="黑体"/>
          <w:szCs w:val="21"/>
        </w:rPr>
      </w:pPr>
      <w:r>
        <w:rPr>
          <w:rFonts w:eastAsia="黑体"/>
          <w:szCs w:val="21"/>
        </w:rPr>
        <w:t>3.3.2</w:t>
      </w:r>
      <w:r>
        <w:rPr>
          <w:rFonts w:hint="eastAsia" w:eastAsia="黑体"/>
          <w:szCs w:val="21"/>
        </w:rPr>
        <w:t>其他内容规定</w:t>
      </w:r>
    </w:p>
    <w:p>
      <w:pPr>
        <w:spacing w:line="360" w:lineRule="auto"/>
        <w:ind w:firstLine="420" w:firstLineChars="200"/>
        <w:rPr>
          <w:rFonts w:eastAsiaTheme="minorEastAsia"/>
          <w:szCs w:val="21"/>
        </w:rPr>
      </w:pPr>
      <w:r>
        <w:rPr>
          <w:rFonts w:hint="eastAsia"/>
          <w:szCs w:val="21"/>
        </w:rPr>
        <w:t>本标准还规定了外观，铈锆复合氧化物为固体粉末，产品为固体粉末，根据配分不同呈现出不同颜色，如黄色、棕色。</w:t>
      </w:r>
      <w:r>
        <w:rPr>
          <w:rFonts w:hint="eastAsia"/>
        </w:rPr>
        <w:t>产品应该洁净，无目视可见的夹杂物。规定了试验方法、数值修约、</w:t>
      </w:r>
      <w:r>
        <w:rPr>
          <w:rFonts w:hint="eastAsia" w:eastAsiaTheme="minorEastAsia"/>
          <w:szCs w:val="21"/>
        </w:rPr>
        <w:t>检验规格以及标志、包装、运输、贮存及质量证明书等。</w:t>
      </w:r>
    </w:p>
    <w:p>
      <w:pPr>
        <w:widowControl/>
        <w:tabs>
          <w:tab w:val="left" w:pos="5954"/>
        </w:tabs>
        <w:autoSpaceDE w:val="0"/>
        <w:autoSpaceDN w:val="0"/>
        <w:spacing w:beforeLines="50" w:line="360" w:lineRule="auto"/>
        <w:textAlignment w:val="bottom"/>
        <w:rPr>
          <w:rFonts w:eastAsia="黑体"/>
          <w:szCs w:val="21"/>
        </w:rPr>
      </w:pPr>
      <w:r>
        <w:rPr>
          <w:rFonts w:hint="eastAsia" w:eastAsiaTheme="minorEastAsia"/>
          <w:szCs w:val="21"/>
        </w:rPr>
        <w:t>3</w:t>
      </w:r>
      <w:r>
        <w:rPr>
          <w:rFonts w:eastAsiaTheme="minorEastAsia"/>
          <w:szCs w:val="21"/>
        </w:rPr>
        <w:t>.</w:t>
      </w:r>
      <w:r>
        <w:rPr>
          <w:rFonts w:hint="eastAsia" w:eastAsiaTheme="minorEastAsia"/>
          <w:szCs w:val="21"/>
        </w:rPr>
        <w:t>3</w:t>
      </w:r>
      <w:r>
        <w:rPr>
          <w:rFonts w:eastAsiaTheme="minorEastAsia"/>
          <w:szCs w:val="21"/>
        </w:rPr>
        <w:t xml:space="preserve">.3 </w:t>
      </w:r>
      <w:r>
        <w:rPr>
          <w:rFonts w:hint="eastAsia" w:eastAsia="黑体"/>
          <w:szCs w:val="21"/>
        </w:rPr>
        <w:t>参考的相关标准和资料</w:t>
      </w:r>
    </w:p>
    <w:p>
      <w:pPr>
        <w:pStyle w:val="25"/>
        <w:spacing w:line="360" w:lineRule="auto"/>
        <w:rPr>
          <w:rFonts w:ascii="Times New Roman" w:eastAsiaTheme="minorEastAsia"/>
        </w:rPr>
      </w:pPr>
      <w:r>
        <w:rPr>
          <w:rFonts w:ascii="Times New Roman" w:eastAsiaTheme="minorEastAsia"/>
        </w:rPr>
        <w:t xml:space="preserve">GB/T 8170  </w:t>
      </w:r>
      <w:r>
        <w:rPr>
          <w:rFonts w:hint="eastAsia" w:ascii="Times New Roman" w:eastAsiaTheme="minorEastAsia"/>
        </w:rPr>
        <w:t>数值修约规则与极限数值的表示和判定</w:t>
      </w:r>
    </w:p>
    <w:p>
      <w:pPr>
        <w:pStyle w:val="25"/>
        <w:spacing w:line="360" w:lineRule="auto"/>
        <w:rPr>
          <w:rFonts w:ascii="Times New Roman" w:eastAsiaTheme="minorEastAsia"/>
        </w:rPr>
      </w:pPr>
      <w:r>
        <w:rPr>
          <w:rFonts w:ascii="Times New Roman" w:eastAsiaTheme="minorEastAsia"/>
        </w:rPr>
        <w:t xml:space="preserve">GB/T 12690  </w:t>
      </w:r>
      <w:r>
        <w:rPr>
          <w:rFonts w:hint="eastAsia" w:ascii="Times New Roman" w:eastAsiaTheme="minorEastAsia"/>
        </w:rPr>
        <w:t>稀土金属及其氧化物中非稀土杂质化学分析方法</w:t>
      </w:r>
    </w:p>
    <w:p>
      <w:pPr>
        <w:spacing w:line="360" w:lineRule="auto"/>
        <w:ind w:firstLine="420" w:firstLineChars="200"/>
      </w:pPr>
      <w:r>
        <w:t xml:space="preserve">GB/T 15676  </w:t>
      </w:r>
      <w:r>
        <w:rPr>
          <w:rFonts w:hint="eastAsia"/>
        </w:rPr>
        <w:t>稀土术语</w:t>
      </w:r>
    </w:p>
    <w:p>
      <w:pPr>
        <w:pStyle w:val="25"/>
        <w:spacing w:line="360" w:lineRule="auto"/>
        <w:rPr>
          <w:rFonts w:ascii="Times New Roman" w:eastAsiaTheme="minorEastAsia"/>
        </w:rPr>
      </w:pPr>
      <w:r>
        <w:rPr>
          <w:rFonts w:ascii="Times New Roman" w:eastAsiaTheme="minorEastAsia"/>
        </w:rPr>
        <w:t>GB/T 16484.12</w:t>
      </w:r>
      <w:r>
        <w:rPr>
          <w:rFonts w:hint="eastAsia" w:ascii="Times New Roman" w:eastAsiaTheme="minorEastAsia"/>
        </w:rPr>
        <w:t>氯化稀土、碳酸轻稀土化学分析方法</w:t>
      </w:r>
      <w:r>
        <w:rPr>
          <w:rFonts w:ascii="Times New Roman" w:eastAsiaTheme="minorEastAsia"/>
        </w:rPr>
        <w:t xml:space="preserve"> </w:t>
      </w:r>
      <w:r>
        <w:rPr>
          <w:rFonts w:hint="eastAsia" w:ascii="Times New Roman" w:eastAsiaTheme="minorEastAsia"/>
        </w:rPr>
        <w:t>第</w:t>
      </w:r>
      <w:r>
        <w:rPr>
          <w:rFonts w:ascii="Times New Roman" w:eastAsiaTheme="minorEastAsia"/>
        </w:rPr>
        <w:t>12</w:t>
      </w:r>
      <w:r>
        <w:rPr>
          <w:rFonts w:hint="eastAsia" w:ascii="Times New Roman" w:eastAsiaTheme="minorEastAsia"/>
        </w:rPr>
        <w:t>部分：硫酸根量的测定</w:t>
      </w:r>
      <w:r>
        <w:rPr>
          <w:rFonts w:ascii="Times New Roman" w:eastAsiaTheme="minorEastAsia"/>
        </w:rPr>
        <w:t xml:space="preserve"> </w:t>
      </w:r>
    </w:p>
    <w:p>
      <w:pPr>
        <w:spacing w:line="360" w:lineRule="auto"/>
        <w:ind w:firstLine="420" w:firstLineChars="200"/>
      </w:pPr>
      <w:r>
        <w:t xml:space="preserve">GB/T 17803  </w:t>
      </w:r>
      <w:r>
        <w:rPr>
          <w:rFonts w:hint="eastAsia"/>
        </w:rPr>
        <w:t>稀土产品牌号表示方法</w:t>
      </w:r>
    </w:p>
    <w:p>
      <w:pPr>
        <w:spacing w:line="360" w:lineRule="auto"/>
        <w:ind w:firstLine="420" w:firstLineChars="200"/>
      </w:pPr>
      <w:r>
        <w:t xml:space="preserve">GB/T 20170.1 </w:t>
      </w:r>
      <w:r>
        <w:rPr>
          <w:rFonts w:hint="eastAsia"/>
        </w:rPr>
        <w:t>稀土金属及其化合物物理性能测定方法</w:t>
      </w:r>
      <w:r>
        <w:t xml:space="preserve"> </w:t>
      </w:r>
      <w:r>
        <w:rPr>
          <w:rFonts w:hint="eastAsia"/>
        </w:rPr>
        <w:t>稀土化合物粒度分布的测定</w:t>
      </w:r>
    </w:p>
    <w:p>
      <w:pPr>
        <w:tabs>
          <w:tab w:val="left" w:pos="2160"/>
        </w:tabs>
        <w:spacing w:line="360" w:lineRule="auto"/>
        <w:ind w:firstLine="420" w:firstLineChars="200"/>
      </w:pPr>
      <w:r>
        <w:t>GB/T 20170.2</w:t>
      </w:r>
      <w:r>
        <w:rPr>
          <w:rFonts w:hint="eastAsia"/>
        </w:rPr>
        <w:t>稀土金属及其化合物物理性能测定方法</w:t>
      </w:r>
      <w:r>
        <w:t xml:space="preserve"> </w:t>
      </w:r>
      <w:r>
        <w:rPr>
          <w:rFonts w:hint="eastAsia"/>
        </w:rPr>
        <w:t>稀土化合物比表面积的测定</w:t>
      </w:r>
    </w:p>
    <w:p>
      <w:pPr>
        <w:pStyle w:val="25"/>
        <w:spacing w:line="360" w:lineRule="auto"/>
        <w:rPr>
          <w:rFonts w:ascii="Times New Roman" w:eastAsiaTheme="minorEastAsia"/>
        </w:rPr>
      </w:pPr>
      <w:r>
        <w:rPr>
          <w:rFonts w:ascii="Times New Roman" w:eastAsiaTheme="minorEastAsia"/>
        </w:rPr>
        <w:t xml:space="preserve">XB/T 607   </w:t>
      </w:r>
      <w:r>
        <w:rPr>
          <w:rFonts w:hint="eastAsia" w:ascii="Times New Roman" w:eastAsiaTheme="minorEastAsia"/>
        </w:rPr>
        <w:t>汽油车排气净化催化剂涂层材料试验方法</w:t>
      </w:r>
    </w:p>
    <w:p>
      <w:pPr>
        <w:pStyle w:val="25"/>
        <w:spacing w:line="360" w:lineRule="auto"/>
        <w:rPr>
          <w:rFonts w:ascii="Times New Roman" w:eastAsiaTheme="minorEastAsia"/>
        </w:rPr>
      </w:pPr>
      <w:r>
        <w:rPr>
          <w:rFonts w:hint="eastAsia" w:ascii="Times New Roman" w:eastAsiaTheme="minorEastAsia"/>
        </w:rPr>
        <w:t>其中铈锆复合氧化物氧化铈、氧化锆及氧化镧、氧化钕等主成分含量测试是参考稀土行业标准</w:t>
      </w:r>
      <w:r>
        <w:rPr>
          <w:rFonts w:ascii="Times New Roman" w:eastAsiaTheme="minorEastAsia"/>
        </w:rPr>
        <w:t>XB/T607</w:t>
      </w:r>
      <w:r>
        <w:rPr>
          <w:rFonts w:hint="eastAsia" w:ascii="Times New Roman" w:eastAsiaTheme="minorEastAsia"/>
        </w:rPr>
        <w:t>汽油车排气净化催化剂涂层材料试验方法进行，该标准催化剂涂层材料包括铈锆复合氧化物成分。</w:t>
      </w:r>
    </w:p>
    <w:p>
      <w:pPr>
        <w:spacing w:line="360" w:lineRule="auto"/>
        <w:rPr>
          <w:rFonts w:eastAsia="黑体"/>
          <w:szCs w:val="21"/>
        </w:rPr>
      </w:pPr>
      <w:r>
        <w:rPr>
          <w:rFonts w:hint="eastAsia" w:eastAsia="黑体"/>
          <w:szCs w:val="21"/>
        </w:rPr>
        <w:t>四、</w:t>
      </w:r>
      <w:r>
        <w:rPr>
          <w:rFonts w:eastAsia="黑体"/>
          <w:szCs w:val="21"/>
        </w:rPr>
        <w:t xml:space="preserve"> </w:t>
      </w:r>
      <w:r>
        <w:rPr>
          <w:rFonts w:hint="eastAsia" w:eastAsia="黑体"/>
          <w:szCs w:val="21"/>
        </w:rPr>
        <w:t>标准水平分析</w:t>
      </w:r>
    </w:p>
    <w:p>
      <w:pPr>
        <w:spacing w:line="360" w:lineRule="auto"/>
        <w:rPr>
          <w:szCs w:val="21"/>
        </w:rPr>
      </w:pPr>
      <w:r>
        <w:rPr>
          <w:rFonts w:hint="eastAsia"/>
          <w:szCs w:val="21"/>
        </w:rPr>
        <w:t xml:space="preserve"> </w:t>
      </w:r>
      <w:r>
        <w:rPr>
          <w:szCs w:val="21"/>
        </w:rPr>
        <w:t xml:space="preserve">  </w:t>
      </w:r>
      <w:bookmarkStart w:id="5" w:name="_Hlk51673166"/>
      <w:r>
        <w:rPr>
          <w:szCs w:val="21"/>
        </w:rPr>
        <w:t xml:space="preserve"> </w:t>
      </w:r>
      <w:r>
        <w:rPr>
          <w:rFonts w:hint="eastAsia"/>
          <w:szCs w:val="21"/>
        </w:rPr>
        <w:t>铈锆复合氧化物标准目前国内外无相关规范标准，因此该标准制订可填补相关空白，并对铈锆复合氧化物生产企业、机动车尾气净化催化剂、有机废气净化催化剂等下游企业起到良好的规范作用。本标准经过查阅大量国内外文献资料，并走访、调研国内主要铈锆复合氧化物生产企业、催化剂生产企业等，并经过专家会议讨论、征求意见稿外送征求意见等环节，是综合了国内专家的意见后，进行完善、修改、制订的，因此标准水平处于国内领先、国际先进。</w:t>
      </w:r>
    </w:p>
    <w:bookmarkEnd w:id="5"/>
    <w:p>
      <w:pPr>
        <w:tabs>
          <w:tab w:val="left" w:pos="1260"/>
        </w:tabs>
        <w:spacing w:line="500" w:lineRule="exact"/>
        <w:rPr>
          <w:rFonts w:eastAsia="黑体"/>
          <w:szCs w:val="21"/>
        </w:rPr>
      </w:pPr>
      <w:r>
        <w:rPr>
          <w:rFonts w:hint="eastAsia" w:eastAsia="黑体"/>
          <w:szCs w:val="21"/>
        </w:rPr>
        <w:t>五、</w:t>
      </w:r>
      <w:r>
        <w:rPr>
          <w:rFonts w:eastAsia="黑体"/>
          <w:szCs w:val="21"/>
        </w:rPr>
        <w:t xml:space="preserve"> </w:t>
      </w:r>
      <w:r>
        <w:rPr>
          <w:rFonts w:hint="eastAsia" w:eastAsia="黑体"/>
          <w:szCs w:val="21"/>
        </w:rPr>
        <w:t>与现行法律、法规、强制性国家标准及相关标准协调配套情况</w:t>
      </w:r>
    </w:p>
    <w:p>
      <w:pPr>
        <w:spacing w:line="360" w:lineRule="auto"/>
        <w:rPr>
          <w:rFonts w:eastAsiaTheme="minorEastAsia"/>
          <w:szCs w:val="21"/>
        </w:rPr>
      </w:pPr>
      <w:r>
        <w:rPr>
          <w:rFonts w:hint="eastAsia" w:eastAsia="黑体"/>
          <w:szCs w:val="21"/>
        </w:rPr>
        <w:t xml:space="preserve"> </w:t>
      </w:r>
      <w:r>
        <w:rPr>
          <w:rFonts w:eastAsia="黑体"/>
          <w:szCs w:val="21"/>
        </w:rPr>
        <w:t xml:space="preserve">   </w:t>
      </w:r>
      <w:r>
        <w:rPr>
          <w:rFonts w:hint="eastAsia" w:eastAsiaTheme="minorEastAsia"/>
          <w:szCs w:val="21"/>
        </w:rPr>
        <w:t>无</w:t>
      </w:r>
    </w:p>
    <w:p>
      <w:pPr>
        <w:spacing w:line="360" w:lineRule="auto"/>
        <w:rPr>
          <w:rFonts w:eastAsia="黑体"/>
          <w:szCs w:val="21"/>
        </w:rPr>
      </w:pPr>
      <w:r>
        <w:rPr>
          <w:rFonts w:hint="eastAsia" w:eastAsia="黑体"/>
          <w:szCs w:val="21"/>
        </w:rPr>
        <w:t>六、是否涉及专利及知识产权的说明</w:t>
      </w:r>
    </w:p>
    <w:p>
      <w:pPr>
        <w:spacing w:line="360" w:lineRule="auto"/>
        <w:ind w:firstLine="420" w:firstLineChars="200"/>
        <w:rPr>
          <w:szCs w:val="21"/>
        </w:rPr>
      </w:pPr>
      <w:r>
        <w:rPr>
          <w:rFonts w:hint="eastAsia"/>
          <w:szCs w:val="21"/>
        </w:rPr>
        <w:t>截至目前，尚未发现与本标准内容相关的知识产权的问题。</w:t>
      </w:r>
    </w:p>
    <w:p>
      <w:pPr>
        <w:spacing w:line="360" w:lineRule="auto"/>
        <w:rPr>
          <w:rFonts w:eastAsia="黑体"/>
          <w:szCs w:val="21"/>
        </w:rPr>
      </w:pPr>
      <w:r>
        <w:rPr>
          <w:rFonts w:hint="eastAsia" w:eastAsia="黑体"/>
          <w:szCs w:val="21"/>
        </w:rPr>
        <w:t>七、</w:t>
      </w:r>
      <w:r>
        <w:rPr>
          <w:rFonts w:eastAsia="黑体"/>
          <w:szCs w:val="21"/>
        </w:rPr>
        <w:t xml:space="preserve"> </w:t>
      </w:r>
      <w:r>
        <w:rPr>
          <w:rFonts w:hint="eastAsia" w:eastAsia="黑体"/>
          <w:szCs w:val="21"/>
        </w:rPr>
        <w:t>重大分歧意见的处理经过和依据</w:t>
      </w:r>
    </w:p>
    <w:p>
      <w:pPr>
        <w:spacing w:line="360" w:lineRule="auto"/>
        <w:rPr>
          <w:szCs w:val="21"/>
        </w:rPr>
      </w:pPr>
      <w:r>
        <w:rPr>
          <w:rFonts w:eastAsia="黑体"/>
          <w:szCs w:val="21"/>
        </w:rPr>
        <w:t xml:space="preserve">     </w:t>
      </w:r>
      <w:r>
        <w:rPr>
          <w:rFonts w:hint="eastAsia"/>
          <w:szCs w:val="21"/>
        </w:rPr>
        <w:t>无</w:t>
      </w:r>
    </w:p>
    <w:p>
      <w:pPr>
        <w:spacing w:line="360" w:lineRule="auto"/>
        <w:rPr>
          <w:rFonts w:eastAsia="黑体"/>
          <w:szCs w:val="21"/>
        </w:rPr>
      </w:pPr>
      <w:r>
        <w:rPr>
          <w:rFonts w:hint="eastAsia" w:eastAsia="黑体"/>
          <w:szCs w:val="21"/>
        </w:rPr>
        <w:t>八、标准作为强制性或推荐性国家（或行业）标准的建议</w:t>
      </w:r>
    </w:p>
    <w:p>
      <w:pPr>
        <w:spacing w:line="360" w:lineRule="auto"/>
        <w:rPr>
          <w:rFonts w:eastAsiaTheme="minorEastAsia"/>
          <w:szCs w:val="21"/>
        </w:rPr>
      </w:pPr>
      <w:r>
        <w:rPr>
          <w:rFonts w:hint="eastAsia" w:eastAsia="黑体"/>
          <w:szCs w:val="21"/>
        </w:rPr>
        <w:t xml:space="preserve"> </w:t>
      </w:r>
      <w:r>
        <w:rPr>
          <w:rFonts w:eastAsia="黑体"/>
          <w:szCs w:val="21"/>
        </w:rPr>
        <w:t xml:space="preserve">   </w:t>
      </w:r>
      <w:r>
        <w:rPr>
          <w:rFonts w:hint="eastAsia" w:eastAsiaTheme="minorEastAsia"/>
          <w:szCs w:val="21"/>
        </w:rPr>
        <w:t>铈锆复合氧化物是机动车尾气净化催化剂、工业有机废气净化催化剂等的关键活性涂层材料，是目前我国的卡脖子关键技术。铈锆复合氧化物标准对于铈锆复合氧化物生产企业、机动车尾气净化催化剂、有机废气净化催化剂等下游应用企业对产品质量控制、行业规范等起到良好的作用。因此建议该标准做为强制性国家标准。</w:t>
      </w:r>
    </w:p>
    <w:p>
      <w:pPr>
        <w:spacing w:line="500" w:lineRule="exact"/>
        <w:rPr>
          <w:rFonts w:eastAsia="黑体"/>
          <w:szCs w:val="21"/>
        </w:rPr>
      </w:pPr>
      <w:r>
        <w:rPr>
          <w:rFonts w:hint="eastAsia" w:eastAsia="黑体"/>
          <w:szCs w:val="21"/>
        </w:rPr>
        <w:t>九、</w:t>
      </w:r>
      <w:r>
        <w:rPr>
          <w:rFonts w:eastAsia="黑体"/>
          <w:szCs w:val="21"/>
        </w:rPr>
        <w:t xml:space="preserve"> </w:t>
      </w:r>
      <w:r>
        <w:rPr>
          <w:rFonts w:hint="eastAsia" w:eastAsia="黑体"/>
          <w:szCs w:val="21"/>
        </w:rPr>
        <w:t>贯彻标准的要求和措施建议，包括：</w:t>
      </w:r>
    </w:p>
    <w:p>
      <w:pPr>
        <w:spacing w:line="500" w:lineRule="exact"/>
        <w:ind w:firstLine="420"/>
        <w:rPr>
          <w:rFonts w:eastAsiaTheme="minorEastAsia"/>
          <w:szCs w:val="21"/>
        </w:rPr>
      </w:pPr>
      <w:r>
        <w:rPr>
          <w:rFonts w:eastAsiaTheme="minorEastAsia"/>
          <w:szCs w:val="21"/>
        </w:rPr>
        <w:t>1</w:t>
      </w:r>
      <w:r>
        <w:rPr>
          <w:rFonts w:hint="eastAsia" w:eastAsiaTheme="minorEastAsia"/>
          <w:szCs w:val="21"/>
        </w:rPr>
        <w:t>）引导铈锆复合氧化物生产企业、催化剂应用企业进行标准贯彻执行；</w:t>
      </w:r>
    </w:p>
    <w:p>
      <w:pPr>
        <w:spacing w:line="500" w:lineRule="exact"/>
        <w:ind w:firstLine="420"/>
        <w:rPr>
          <w:rFonts w:eastAsiaTheme="minorEastAsia"/>
          <w:szCs w:val="21"/>
        </w:rPr>
      </w:pPr>
      <w:r>
        <w:rPr>
          <w:rFonts w:eastAsiaTheme="minorEastAsia"/>
          <w:szCs w:val="21"/>
        </w:rPr>
        <w:t>2</w:t>
      </w:r>
      <w:r>
        <w:rPr>
          <w:rFonts w:hint="eastAsia" w:eastAsiaTheme="minorEastAsia"/>
          <w:szCs w:val="21"/>
        </w:rPr>
        <w:t>）经过使用一段时期后，可再进行修订完善。</w:t>
      </w:r>
    </w:p>
    <w:p>
      <w:pPr>
        <w:spacing w:line="500" w:lineRule="exact"/>
        <w:rPr>
          <w:rFonts w:eastAsia="黑体"/>
          <w:szCs w:val="21"/>
        </w:rPr>
      </w:pPr>
      <w:r>
        <w:rPr>
          <w:rFonts w:hint="eastAsia" w:eastAsia="黑体"/>
          <w:szCs w:val="21"/>
        </w:rPr>
        <w:t>十、废止现行有关标准的建议</w:t>
      </w:r>
    </w:p>
    <w:p>
      <w:pPr>
        <w:spacing w:line="360" w:lineRule="auto"/>
        <w:rPr>
          <w:szCs w:val="21"/>
        </w:rPr>
      </w:pPr>
      <w:r>
        <w:rPr>
          <w:rFonts w:hint="eastAsia" w:eastAsia="黑体"/>
          <w:szCs w:val="21"/>
        </w:rPr>
        <w:t xml:space="preserve"> </w:t>
      </w:r>
      <w:r>
        <w:rPr>
          <w:rFonts w:eastAsia="黑体"/>
          <w:szCs w:val="21"/>
        </w:rPr>
        <w:t xml:space="preserve">        </w:t>
      </w:r>
      <w:r>
        <w:rPr>
          <w:rFonts w:hint="eastAsia"/>
          <w:szCs w:val="21"/>
        </w:rPr>
        <w:t>无</w:t>
      </w:r>
    </w:p>
    <w:p>
      <w:pPr>
        <w:spacing w:line="360" w:lineRule="auto"/>
        <w:rPr>
          <w:rFonts w:eastAsia="黑体"/>
          <w:szCs w:val="21"/>
        </w:rPr>
      </w:pPr>
      <w:r>
        <w:rPr>
          <w:rFonts w:hint="eastAsia" w:eastAsia="黑体"/>
          <w:szCs w:val="21"/>
        </w:rPr>
        <w:t>十一、</w:t>
      </w:r>
      <w:r>
        <w:rPr>
          <w:rFonts w:eastAsia="黑体"/>
          <w:szCs w:val="21"/>
        </w:rPr>
        <w:fldChar w:fldCharType="begin"/>
      </w:r>
      <w:r>
        <w:rPr>
          <w:rFonts w:eastAsia="黑体"/>
          <w:szCs w:val="21"/>
        </w:rPr>
        <w:instrText xml:space="preserve">HYPERLINK </w:instrText>
      </w:r>
      <w:r>
        <w:rPr>
          <w:rFonts w:hint="eastAsia" w:eastAsia="黑体"/>
          <w:szCs w:val="21"/>
        </w:rPr>
        <w:instrText xml:space="preserve">"D:\\2019年科研\\标准申请\\铈锆复合氧化物\\征求意见稿\\意见返回\\终稿\\各单位返回意见\\预审稿-提交版\\铈锆复合氧化物标准预审材料-稀标委\\宁波会材料\\审订稿\\条款示例\\先进性、创新性，预期应用效果示例.docx"</w:instrText>
      </w:r>
      <w:r>
        <w:rPr>
          <w:rFonts w:eastAsia="黑体"/>
          <w:szCs w:val="21"/>
        </w:rPr>
        <w:fldChar w:fldCharType="separate"/>
      </w:r>
      <w:r>
        <w:rPr>
          <w:rFonts w:hint="eastAsia" w:eastAsia="黑体"/>
          <w:szCs w:val="21"/>
        </w:rPr>
        <w:t>技术先进性、创新性、标准实施的预期作用和效益</w:t>
      </w:r>
    </w:p>
    <w:p>
      <w:pPr>
        <w:spacing w:line="360" w:lineRule="auto"/>
        <w:rPr>
          <w:szCs w:val="21"/>
        </w:rPr>
      </w:pPr>
      <w:r>
        <w:rPr>
          <w:rFonts w:eastAsia="黑体"/>
          <w:szCs w:val="21"/>
        </w:rPr>
        <w:fldChar w:fldCharType="end"/>
      </w:r>
      <w:r>
        <w:rPr>
          <w:rFonts w:eastAsia="黑体"/>
          <w:szCs w:val="21"/>
        </w:rPr>
        <w:t xml:space="preserve">    </w:t>
      </w:r>
      <w:r>
        <w:rPr>
          <w:rFonts w:hint="eastAsia"/>
          <w:szCs w:val="21"/>
        </w:rPr>
        <w:t>铈锆复合氧化物标准制订可填补国内外空白，并对铈锆复合氧化物生产企业、机动车尾气净化催化剂、有机废气净化催化剂等下游企业起到良好的规范作用。本标准经过查阅大量国内外文献资料，并走访、调研国内主要铈锆复合氧化物生产企业、催化剂生产企业等，并经过专家会议讨论、综合相关专家的意见后，进行制订的，本标准具有良好的技术先进性、创新性，处于国内领先、国际先进水平。</w:t>
      </w:r>
    </w:p>
    <w:p>
      <w:pPr>
        <w:spacing w:line="360" w:lineRule="auto"/>
        <w:rPr>
          <w:szCs w:val="21"/>
        </w:rPr>
      </w:pPr>
      <w:r>
        <w:rPr>
          <w:rFonts w:hint="eastAsia" w:eastAsia="黑体"/>
          <w:szCs w:val="21"/>
        </w:rPr>
        <w:t xml:space="preserve"> </w:t>
      </w:r>
      <w:r>
        <w:rPr>
          <w:rFonts w:eastAsia="黑体"/>
          <w:szCs w:val="21"/>
        </w:rPr>
        <w:t xml:space="preserve">   </w:t>
      </w:r>
      <w:r>
        <w:rPr>
          <w:rFonts w:hint="eastAsia"/>
          <w:szCs w:val="21"/>
        </w:rPr>
        <w:t>铈锆复合氧化物是机动车尾气净化催化剂、有机废气净化催化剂等关键活性涂层材料，具有储放氧功能，可有效拓宽催化剂空燃比窗口，而且提高贵金属分散度，降低贵金属用量，并大幅提高催化剂性能。铈锆复合氧化物是机动车尾气净化催化剂必不可少的关键材料，目前全球机动车尾气净化催化剂方面铈锆复合氧化物年用量达到1</w:t>
      </w:r>
      <w:r>
        <w:rPr>
          <w:szCs w:val="21"/>
        </w:rPr>
        <w:t>6000</w:t>
      </w:r>
      <w:r>
        <w:rPr>
          <w:rFonts w:hint="eastAsia"/>
          <w:szCs w:val="21"/>
        </w:rPr>
        <w:t>吨，国内年用量达到4</w:t>
      </w:r>
      <w:r>
        <w:rPr>
          <w:szCs w:val="21"/>
        </w:rPr>
        <w:t>300</w:t>
      </w:r>
      <w:r>
        <w:rPr>
          <w:rFonts w:hint="eastAsia"/>
          <w:szCs w:val="21"/>
        </w:rPr>
        <w:t>吨，铈锆复合氧化物标准的制订及行业应用，将对铈锆复合氧化物生产企业、机动车尾气净化催化剂、有机废气净化催化剂等下游企业起到良好的规范作用，对产品质量控制、产品销售、推广应用等起到良好促进作用，必将产生巨大的经济效益和环境效益。</w:t>
      </w:r>
    </w:p>
    <w:p>
      <w:pPr>
        <w:widowControl/>
        <w:tabs>
          <w:tab w:val="left" w:pos="5954"/>
        </w:tabs>
        <w:autoSpaceDE w:val="0"/>
        <w:autoSpaceDN w:val="0"/>
        <w:spacing w:beforeLines="50" w:line="360" w:lineRule="auto"/>
        <w:ind w:right="480" w:firstLine="880" w:firstLineChars="200"/>
        <w:jc w:val="right"/>
        <w:textAlignment w:val="bottom"/>
        <w:rPr>
          <w:rFonts w:ascii="仿宋" w:hAnsi="仿宋" w:eastAsia="仿宋"/>
          <w:color w:val="FF0000"/>
          <w:sz w:val="44"/>
          <w:szCs w:val="44"/>
        </w:rPr>
      </w:pPr>
    </w:p>
    <w:p>
      <w:pPr>
        <w:widowControl/>
        <w:tabs>
          <w:tab w:val="left" w:pos="5954"/>
        </w:tabs>
        <w:autoSpaceDE w:val="0"/>
        <w:autoSpaceDN w:val="0"/>
        <w:spacing w:beforeLines="50" w:line="360" w:lineRule="auto"/>
        <w:ind w:right="480" w:firstLine="482" w:firstLineChars="200"/>
        <w:jc w:val="right"/>
        <w:textAlignment w:val="bottom"/>
        <w:rPr>
          <w:b/>
          <w:bCs/>
          <w:sz w:val="24"/>
        </w:rPr>
      </w:pPr>
      <w:r>
        <w:rPr>
          <w:rFonts w:hint="eastAsia"/>
          <w:b/>
          <w:bCs/>
          <w:sz w:val="24"/>
        </w:rPr>
        <w:t>有研稀土新材料股份有限公司</w:t>
      </w:r>
    </w:p>
    <w:p>
      <w:pPr>
        <w:widowControl/>
        <w:tabs>
          <w:tab w:val="left" w:pos="5954"/>
        </w:tabs>
        <w:autoSpaceDE w:val="0"/>
        <w:autoSpaceDN w:val="0"/>
        <w:spacing w:beforeLines="50" w:line="360" w:lineRule="auto"/>
        <w:ind w:right="960" w:firstLine="482" w:firstLineChars="200"/>
        <w:jc w:val="center"/>
        <w:textAlignment w:val="bottom"/>
        <w:rPr>
          <w:b/>
          <w:bCs/>
        </w:rPr>
      </w:pPr>
      <w:r>
        <w:rPr>
          <w:b/>
          <w:bCs/>
          <w:color w:val="000000"/>
          <w:sz w:val="24"/>
        </w:rPr>
        <w:t xml:space="preserve">                                        2020</w:t>
      </w:r>
      <w:r>
        <w:rPr>
          <w:rFonts w:hint="eastAsia"/>
          <w:b/>
          <w:bCs/>
          <w:color w:val="000000"/>
          <w:sz w:val="24"/>
        </w:rPr>
        <w:t>年</w:t>
      </w:r>
      <w:r>
        <w:rPr>
          <w:b/>
          <w:bCs/>
          <w:color w:val="000000"/>
          <w:sz w:val="24"/>
        </w:rPr>
        <w:t>9</w:t>
      </w:r>
      <w:r>
        <w:rPr>
          <w:rFonts w:hint="eastAsia"/>
          <w:b/>
          <w:bCs/>
          <w:color w:val="000000"/>
          <w:sz w:val="24"/>
        </w:rPr>
        <w:t>月</w:t>
      </w:r>
      <w:r>
        <w:rPr>
          <w:b/>
          <w:bCs/>
          <w:color w:val="000000"/>
          <w:sz w:val="24"/>
        </w:rPr>
        <w:t>30</w:t>
      </w:r>
      <w:r>
        <w:rPr>
          <w:rFonts w:hint="eastAsia"/>
          <w:b/>
          <w:bCs/>
          <w:color w:val="000000"/>
          <w:sz w:val="24"/>
        </w:rPr>
        <w:t>日</w:t>
      </w:r>
    </w:p>
    <w:sectPr>
      <w:footerReference r:id="rId4" w:type="first"/>
      <w:footerReference r:id="rId3" w:type="default"/>
      <w:pgSz w:w="11906" w:h="16838"/>
      <w:pgMar w:top="1440" w:right="1588" w:bottom="1440"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6594652"/>
      <w:docPartObj>
        <w:docPartGallery w:val="AutoText"/>
      </w:docPartObj>
    </w:sdtPr>
    <w:sdtContent>
      <w:p>
        <w:pPr>
          <w:pStyle w:val="9"/>
          <w:jc w:val="center"/>
        </w:pPr>
        <w:r>
          <w:fldChar w:fldCharType="begin"/>
        </w:r>
        <w:r>
          <w:instrText xml:space="preserve">PAGE   \* MERGEFORMAT</w:instrText>
        </w:r>
        <w:r>
          <w:fldChar w:fldCharType="separate"/>
        </w:r>
        <w:r>
          <w:rPr>
            <w:lang w:val="zh-CN"/>
          </w:rPr>
          <w:t>8</w:t>
        </w:r>
        <w:r>
          <w:rPr>
            <w:lang w:val="zh-CN"/>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8267935"/>
      <w:docPartObj>
        <w:docPartGallery w:val="AutoText"/>
      </w:docPartObj>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250DF"/>
    <w:rsid w:val="00020A99"/>
    <w:rsid w:val="00020F91"/>
    <w:rsid w:val="000236A1"/>
    <w:rsid w:val="0005197F"/>
    <w:rsid w:val="00057FF4"/>
    <w:rsid w:val="0006793C"/>
    <w:rsid w:val="00075EA3"/>
    <w:rsid w:val="00083334"/>
    <w:rsid w:val="000C125A"/>
    <w:rsid w:val="000C6CF6"/>
    <w:rsid w:val="000D0DCB"/>
    <w:rsid w:val="000F6409"/>
    <w:rsid w:val="001209DF"/>
    <w:rsid w:val="001250DF"/>
    <w:rsid w:val="00131860"/>
    <w:rsid w:val="00145C8F"/>
    <w:rsid w:val="00151467"/>
    <w:rsid w:val="00153C0B"/>
    <w:rsid w:val="0017293E"/>
    <w:rsid w:val="0018074A"/>
    <w:rsid w:val="0018105E"/>
    <w:rsid w:val="001A7F5B"/>
    <w:rsid w:val="001C10BF"/>
    <w:rsid w:val="001C4475"/>
    <w:rsid w:val="001D31AB"/>
    <w:rsid w:val="00213953"/>
    <w:rsid w:val="002144D3"/>
    <w:rsid w:val="0022571B"/>
    <w:rsid w:val="00255B0A"/>
    <w:rsid w:val="002971C2"/>
    <w:rsid w:val="002C26F5"/>
    <w:rsid w:val="002C610C"/>
    <w:rsid w:val="002D28A2"/>
    <w:rsid w:val="002D3E5E"/>
    <w:rsid w:val="002E54AB"/>
    <w:rsid w:val="002F7C09"/>
    <w:rsid w:val="00317388"/>
    <w:rsid w:val="0031759F"/>
    <w:rsid w:val="00324EC1"/>
    <w:rsid w:val="003421FA"/>
    <w:rsid w:val="003455BA"/>
    <w:rsid w:val="00374D77"/>
    <w:rsid w:val="003777EA"/>
    <w:rsid w:val="00383933"/>
    <w:rsid w:val="00386D8C"/>
    <w:rsid w:val="003A2CC8"/>
    <w:rsid w:val="003A5FDA"/>
    <w:rsid w:val="003B0197"/>
    <w:rsid w:val="003B1ACC"/>
    <w:rsid w:val="003C1065"/>
    <w:rsid w:val="003C7BA2"/>
    <w:rsid w:val="003D557E"/>
    <w:rsid w:val="003F3A0E"/>
    <w:rsid w:val="0040271E"/>
    <w:rsid w:val="00413A28"/>
    <w:rsid w:val="00416A85"/>
    <w:rsid w:val="00417593"/>
    <w:rsid w:val="0042080D"/>
    <w:rsid w:val="004242DC"/>
    <w:rsid w:val="004347D6"/>
    <w:rsid w:val="00455C53"/>
    <w:rsid w:val="00461D77"/>
    <w:rsid w:val="004640D2"/>
    <w:rsid w:val="004A18D8"/>
    <w:rsid w:val="004A24F0"/>
    <w:rsid w:val="004B54E8"/>
    <w:rsid w:val="004E7501"/>
    <w:rsid w:val="004F4AFD"/>
    <w:rsid w:val="004F67BB"/>
    <w:rsid w:val="00513C5D"/>
    <w:rsid w:val="00524940"/>
    <w:rsid w:val="00555021"/>
    <w:rsid w:val="005945CF"/>
    <w:rsid w:val="005A237F"/>
    <w:rsid w:val="005C6267"/>
    <w:rsid w:val="005E7980"/>
    <w:rsid w:val="005F3ACC"/>
    <w:rsid w:val="00615663"/>
    <w:rsid w:val="00616FD2"/>
    <w:rsid w:val="0062101E"/>
    <w:rsid w:val="00623734"/>
    <w:rsid w:val="00635397"/>
    <w:rsid w:val="00653A86"/>
    <w:rsid w:val="00691310"/>
    <w:rsid w:val="00692B04"/>
    <w:rsid w:val="006A30B7"/>
    <w:rsid w:val="006D1DBB"/>
    <w:rsid w:val="006E6364"/>
    <w:rsid w:val="006F5549"/>
    <w:rsid w:val="00704B2E"/>
    <w:rsid w:val="00714D31"/>
    <w:rsid w:val="00747153"/>
    <w:rsid w:val="00763CEC"/>
    <w:rsid w:val="00780CBC"/>
    <w:rsid w:val="007953C9"/>
    <w:rsid w:val="007A3FAA"/>
    <w:rsid w:val="007A5D58"/>
    <w:rsid w:val="007B0845"/>
    <w:rsid w:val="007B22A2"/>
    <w:rsid w:val="007B3DCB"/>
    <w:rsid w:val="007C5E66"/>
    <w:rsid w:val="007C7C3E"/>
    <w:rsid w:val="007E2B32"/>
    <w:rsid w:val="007F2255"/>
    <w:rsid w:val="007F25EF"/>
    <w:rsid w:val="00804D82"/>
    <w:rsid w:val="008165EF"/>
    <w:rsid w:val="00816D74"/>
    <w:rsid w:val="00823057"/>
    <w:rsid w:val="00834391"/>
    <w:rsid w:val="00872EAB"/>
    <w:rsid w:val="008839EA"/>
    <w:rsid w:val="008855DE"/>
    <w:rsid w:val="00892506"/>
    <w:rsid w:val="008B04C3"/>
    <w:rsid w:val="008B06F9"/>
    <w:rsid w:val="008B41C1"/>
    <w:rsid w:val="008E4B6B"/>
    <w:rsid w:val="008F1756"/>
    <w:rsid w:val="0090212F"/>
    <w:rsid w:val="00932969"/>
    <w:rsid w:val="009404D4"/>
    <w:rsid w:val="009433F5"/>
    <w:rsid w:val="00954D1C"/>
    <w:rsid w:val="00955717"/>
    <w:rsid w:val="0098100F"/>
    <w:rsid w:val="0099265C"/>
    <w:rsid w:val="009D58F5"/>
    <w:rsid w:val="009D7C1B"/>
    <w:rsid w:val="00A21940"/>
    <w:rsid w:val="00A30977"/>
    <w:rsid w:val="00A54321"/>
    <w:rsid w:val="00AB3FF0"/>
    <w:rsid w:val="00AB4B3F"/>
    <w:rsid w:val="00AC44DE"/>
    <w:rsid w:val="00AC7D16"/>
    <w:rsid w:val="00AF4355"/>
    <w:rsid w:val="00B05AA1"/>
    <w:rsid w:val="00B067F7"/>
    <w:rsid w:val="00B0720C"/>
    <w:rsid w:val="00B27E4F"/>
    <w:rsid w:val="00B37FB2"/>
    <w:rsid w:val="00B4316E"/>
    <w:rsid w:val="00B53C81"/>
    <w:rsid w:val="00B557D6"/>
    <w:rsid w:val="00B57208"/>
    <w:rsid w:val="00B608E1"/>
    <w:rsid w:val="00B614F4"/>
    <w:rsid w:val="00B61EE8"/>
    <w:rsid w:val="00B64C00"/>
    <w:rsid w:val="00B86442"/>
    <w:rsid w:val="00BC731E"/>
    <w:rsid w:val="00BD1947"/>
    <w:rsid w:val="00BD313B"/>
    <w:rsid w:val="00BD6B41"/>
    <w:rsid w:val="00BE3425"/>
    <w:rsid w:val="00C00091"/>
    <w:rsid w:val="00C245A8"/>
    <w:rsid w:val="00C252BE"/>
    <w:rsid w:val="00C3208A"/>
    <w:rsid w:val="00C32153"/>
    <w:rsid w:val="00C369DB"/>
    <w:rsid w:val="00C50451"/>
    <w:rsid w:val="00C509C7"/>
    <w:rsid w:val="00C551B0"/>
    <w:rsid w:val="00C5708C"/>
    <w:rsid w:val="00C57A64"/>
    <w:rsid w:val="00C63FF9"/>
    <w:rsid w:val="00CA1B39"/>
    <w:rsid w:val="00CB7280"/>
    <w:rsid w:val="00CC0645"/>
    <w:rsid w:val="00CC1490"/>
    <w:rsid w:val="00CD147D"/>
    <w:rsid w:val="00D03DFC"/>
    <w:rsid w:val="00D23D75"/>
    <w:rsid w:val="00D348B5"/>
    <w:rsid w:val="00D365B3"/>
    <w:rsid w:val="00D453D9"/>
    <w:rsid w:val="00D51109"/>
    <w:rsid w:val="00D60A22"/>
    <w:rsid w:val="00D61AF4"/>
    <w:rsid w:val="00D7560F"/>
    <w:rsid w:val="00D92F92"/>
    <w:rsid w:val="00D93370"/>
    <w:rsid w:val="00D95F9B"/>
    <w:rsid w:val="00D97FD8"/>
    <w:rsid w:val="00DA50B5"/>
    <w:rsid w:val="00DC26B4"/>
    <w:rsid w:val="00DD0254"/>
    <w:rsid w:val="00DD1EBD"/>
    <w:rsid w:val="00DD3A12"/>
    <w:rsid w:val="00DF4116"/>
    <w:rsid w:val="00DF540B"/>
    <w:rsid w:val="00E06852"/>
    <w:rsid w:val="00E12B8E"/>
    <w:rsid w:val="00E14267"/>
    <w:rsid w:val="00E15134"/>
    <w:rsid w:val="00E16A2C"/>
    <w:rsid w:val="00E25E29"/>
    <w:rsid w:val="00E401D3"/>
    <w:rsid w:val="00E41722"/>
    <w:rsid w:val="00E54609"/>
    <w:rsid w:val="00E60A41"/>
    <w:rsid w:val="00E64F48"/>
    <w:rsid w:val="00E7110D"/>
    <w:rsid w:val="00EB0F4B"/>
    <w:rsid w:val="00EC5319"/>
    <w:rsid w:val="00ED096B"/>
    <w:rsid w:val="00ED1684"/>
    <w:rsid w:val="00ED5437"/>
    <w:rsid w:val="00EE4ACD"/>
    <w:rsid w:val="00F0771B"/>
    <w:rsid w:val="00F17DC1"/>
    <w:rsid w:val="00F30875"/>
    <w:rsid w:val="00F33A57"/>
    <w:rsid w:val="00F53AFE"/>
    <w:rsid w:val="00F6643C"/>
    <w:rsid w:val="00F87B5B"/>
    <w:rsid w:val="00FA5277"/>
    <w:rsid w:val="00FB6405"/>
    <w:rsid w:val="00FD6368"/>
    <w:rsid w:val="00FD69F8"/>
    <w:rsid w:val="00FE4F3C"/>
    <w:rsid w:val="00FF727F"/>
    <w:rsid w:val="45861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23"/>
    <w:qFormat/>
    <w:uiPriority w:val="0"/>
    <w:pPr>
      <w:keepLines/>
      <w:adjustRightInd w:val="0"/>
      <w:spacing w:before="100" w:beforeAutospacing="1" w:line="360" w:lineRule="auto"/>
      <w:jc w:val="left"/>
      <w:textAlignment w:val="baseline"/>
      <w:outlineLvl w:val="0"/>
    </w:pPr>
    <w:rPr>
      <w:rFonts w:ascii="黑体" w:hAnsi="Verdana" w:eastAsia="黑体"/>
      <w:kern w:val="0"/>
      <w:sz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First Indent"/>
    <w:basedOn w:val="4"/>
    <w:link w:val="20"/>
    <w:uiPriority w:val="0"/>
    <w:pPr>
      <w:adjustRightInd w:val="0"/>
      <w:spacing w:after="0" w:line="320" w:lineRule="exact"/>
      <w:jc w:val="center"/>
      <w:textAlignment w:val="baseline"/>
    </w:pPr>
    <w:rPr>
      <w:kern w:val="0"/>
      <w:szCs w:val="21"/>
    </w:rPr>
  </w:style>
  <w:style w:type="paragraph" w:styleId="4">
    <w:name w:val="Body Text"/>
    <w:basedOn w:val="1"/>
    <w:link w:val="19"/>
    <w:semiHidden/>
    <w:unhideWhenUsed/>
    <w:uiPriority w:val="99"/>
    <w:pPr>
      <w:spacing w:after="120"/>
    </w:pPr>
  </w:style>
  <w:style w:type="paragraph" w:styleId="5">
    <w:name w:val="annotation text"/>
    <w:basedOn w:val="1"/>
    <w:link w:val="29"/>
    <w:semiHidden/>
    <w:unhideWhenUsed/>
    <w:uiPriority w:val="99"/>
    <w:pPr>
      <w:jc w:val="left"/>
    </w:pPr>
  </w:style>
  <w:style w:type="paragraph" w:styleId="6">
    <w:name w:val="Body Text Indent"/>
    <w:basedOn w:val="1"/>
    <w:link w:val="21"/>
    <w:semiHidden/>
    <w:unhideWhenUsed/>
    <w:uiPriority w:val="99"/>
    <w:pPr>
      <w:spacing w:after="120"/>
      <w:ind w:left="420" w:leftChars="200"/>
    </w:pPr>
  </w:style>
  <w:style w:type="paragraph" w:styleId="7">
    <w:name w:val="Date"/>
    <w:basedOn w:val="1"/>
    <w:next w:val="1"/>
    <w:link w:val="28"/>
    <w:semiHidden/>
    <w:unhideWhenUsed/>
    <w:uiPriority w:val="99"/>
    <w:pPr>
      <w:ind w:left="100" w:leftChars="2500"/>
    </w:pPr>
  </w:style>
  <w:style w:type="paragraph" w:styleId="8">
    <w:name w:val="Balloon Text"/>
    <w:basedOn w:val="1"/>
    <w:link w:val="27"/>
    <w:semiHidden/>
    <w:unhideWhenUsed/>
    <w:uiPriority w:val="99"/>
    <w:rPr>
      <w:sz w:val="18"/>
      <w:szCs w:val="18"/>
    </w:rPr>
  </w:style>
  <w:style w:type="paragraph" w:styleId="9">
    <w:name w:val="footer"/>
    <w:basedOn w:val="1"/>
    <w:link w:val="17"/>
    <w:unhideWhenUsed/>
    <w:uiPriority w:val="99"/>
    <w:pPr>
      <w:tabs>
        <w:tab w:val="center" w:pos="4153"/>
        <w:tab w:val="right" w:pos="8306"/>
      </w:tabs>
      <w:snapToGrid w:val="0"/>
      <w:jc w:val="left"/>
    </w:pPr>
    <w:rPr>
      <w:sz w:val="18"/>
      <w:szCs w:val="18"/>
    </w:rPr>
  </w:style>
  <w:style w:type="paragraph" w:styleId="10">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30"/>
    <w:semiHidden/>
    <w:unhideWhenUsed/>
    <w:uiPriority w:val="99"/>
    <w:rPr>
      <w:b/>
      <w:bCs/>
    </w:rPr>
  </w:style>
  <w:style w:type="character" w:styleId="14">
    <w:name w:val="Hyperlink"/>
    <w:uiPriority w:val="0"/>
    <w:rPr>
      <w:color w:val="0000FF"/>
      <w:u w:val="single"/>
    </w:rPr>
  </w:style>
  <w:style w:type="character" w:styleId="15">
    <w:name w:val="annotation reference"/>
    <w:basedOn w:val="13"/>
    <w:semiHidden/>
    <w:unhideWhenUsed/>
    <w:qFormat/>
    <w:uiPriority w:val="99"/>
    <w:rPr>
      <w:sz w:val="21"/>
      <w:szCs w:val="21"/>
    </w:rPr>
  </w:style>
  <w:style w:type="character" w:customStyle="1" w:styleId="16">
    <w:name w:val="页眉 Char"/>
    <w:basedOn w:val="13"/>
    <w:link w:val="10"/>
    <w:uiPriority w:val="99"/>
    <w:rPr>
      <w:sz w:val="18"/>
      <w:szCs w:val="18"/>
    </w:rPr>
  </w:style>
  <w:style w:type="character" w:customStyle="1" w:styleId="17">
    <w:name w:val="页脚 Char"/>
    <w:basedOn w:val="13"/>
    <w:link w:val="9"/>
    <w:uiPriority w:val="99"/>
    <w:rPr>
      <w:sz w:val="18"/>
      <w:szCs w:val="18"/>
    </w:rPr>
  </w:style>
  <w:style w:type="paragraph" w:customStyle="1" w:styleId="18">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9">
    <w:name w:val="正文文本 Char"/>
    <w:basedOn w:val="13"/>
    <w:link w:val="4"/>
    <w:semiHidden/>
    <w:uiPriority w:val="99"/>
    <w:rPr>
      <w:rFonts w:ascii="Times New Roman" w:hAnsi="Times New Roman" w:eastAsia="宋体" w:cs="Times New Roman"/>
      <w:szCs w:val="24"/>
    </w:rPr>
  </w:style>
  <w:style w:type="character" w:customStyle="1" w:styleId="20">
    <w:name w:val="正文首行缩进 Char"/>
    <w:basedOn w:val="19"/>
    <w:link w:val="3"/>
    <w:uiPriority w:val="0"/>
    <w:rPr>
      <w:rFonts w:ascii="Times New Roman" w:hAnsi="Times New Roman" w:eastAsia="宋体" w:cs="Times New Roman"/>
      <w:kern w:val="0"/>
      <w:szCs w:val="21"/>
    </w:rPr>
  </w:style>
  <w:style w:type="character" w:customStyle="1" w:styleId="21">
    <w:name w:val="正文文本缩进 Char"/>
    <w:basedOn w:val="13"/>
    <w:link w:val="6"/>
    <w:semiHidden/>
    <w:uiPriority w:val="99"/>
    <w:rPr>
      <w:rFonts w:ascii="Times New Roman" w:hAnsi="Times New Roman" w:eastAsia="宋体" w:cs="Times New Roman"/>
      <w:szCs w:val="24"/>
    </w:rPr>
  </w:style>
  <w:style w:type="paragraph" w:customStyle="1" w:styleId="22">
    <w:name w:val="前言、引言标题"/>
    <w:next w:val="1"/>
    <w:uiPriority w:val="0"/>
    <w:pPr>
      <w:shd w:val="clear" w:color="FFFFFF" w:fill="FFFFFF"/>
      <w:tabs>
        <w:tab w:val="left" w:pos="360"/>
      </w:tabs>
      <w:spacing w:before="640" w:after="560"/>
      <w:ind w:left="660" w:hanging="660"/>
      <w:jc w:val="center"/>
      <w:outlineLvl w:val="0"/>
    </w:pPr>
    <w:rPr>
      <w:rFonts w:ascii="黑体" w:hAnsi="Times New Roman" w:eastAsia="黑体" w:cs="Times New Roman"/>
      <w:kern w:val="0"/>
      <w:sz w:val="32"/>
      <w:szCs w:val="20"/>
      <w:lang w:val="en-US" w:eastAsia="zh-CN" w:bidi="ar-SA"/>
    </w:rPr>
  </w:style>
  <w:style w:type="character" w:customStyle="1" w:styleId="23">
    <w:name w:val="标题 1 Char"/>
    <w:basedOn w:val="13"/>
    <w:link w:val="2"/>
    <w:uiPriority w:val="0"/>
    <w:rPr>
      <w:rFonts w:ascii="黑体" w:hAnsi="Verdana" w:eastAsia="黑体" w:cs="Times New Roman"/>
      <w:kern w:val="0"/>
      <w:sz w:val="24"/>
      <w:szCs w:val="24"/>
    </w:rPr>
  </w:style>
  <w:style w:type="paragraph" w:styleId="24">
    <w:name w:val="List Paragraph"/>
    <w:basedOn w:val="1"/>
    <w:qFormat/>
    <w:uiPriority w:val="34"/>
    <w:pPr>
      <w:ind w:firstLine="420" w:firstLineChars="200"/>
    </w:pPr>
  </w:style>
  <w:style w:type="paragraph" w:customStyle="1" w:styleId="25">
    <w:name w:val="段"/>
    <w:link w:val="26"/>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6">
    <w:name w:val="段 Char"/>
    <w:basedOn w:val="13"/>
    <w:link w:val="25"/>
    <w:uiPriority w:val="0"/>
    <w:rPr>
      <w:rFonts w:ascii="宋体" w:hAnsi="Times New Roman" w:eastAsia="宋体" w:cs="Times New Roman"/>
      <w:kern w:val="0"/>
      <w:szCs w:val="20"/>
    </w:rPr>
  </w:style>
  <w:style w:type="character" w:customStyle="1" w:styleId="27">
    <w:name w:val="批注框文本 Char"/>
    <w:basedOn w:val="13"/>
    <w:link w:val="8"/>
    <w:semiHidden/>
    <w:uiPriority w:val="99"/>
    <w:rPr>
      <w:rFonts w:ascii="Times New Roman" w:hAnsi="Times New Roman" w:eastAsia="宋体" w:cs="Times New Roman"/>
      <w:sz w:val="18"/>
      <w:szCs w:val="18"/>
    </w:rPr>
  </w:style>
  <w:style w:type="character" w:customStyle="1" w:styleId="28">
    <w:name w:val="日期 Char"/>
    <w:basedOn w:val="13"/>
    <w:link w:val="7"/>
    <w:semiHidden/>
    <w:uiPriority w:val="99"/>
    <w:rPr>
      <w:rFonts w:ascii="Times New Roman" w:hAnsi="Times New Roman" w:eastAsia="宋体" w:cs="Times New Roman"/>
      <w:szCs w:val="24"/>
    </w:rPr>
  </w:style>
  <w:style w:type="character" w:customStyle="1" w:styleId="29">
    <w:name w:val="批注文字 Char"/>
    <w:basedOn w:val="13"/>
    <w:link w:val="5"/>
    <w:semiHidden/>
    <w:uiPriority w:val="99"/>
    <w:rPr>
      <w:rFonts w:ascii="Times New Roman" w:hAnsi="Times New Roman" w:eastAsia="宋体" w:cs="Times New Roman"/>
      <w:szCs w:val="24"/>
    </w:rPr>
  </w:style>
  <w:style w:type="character" w:customStyle="1" w:styleId="30">
    <w:name w:val="批注主题 Char"/>
    <w:basedOn w:val="29"/>
    <w:link w:val="11"/>
    <w:semiHidden/>
    <w:uiPriority w:val="99"/>
    <w:rPr>
      <w:rFonts w:ascii="Times New Roman" w:hAnsi="Times New Roman" w:eastAsia="宋体" w:cs="Times New Roman"/>
      <w:b/>
      <w:bCs/>
      <w:szCs w:val="24"/>
    </w:rPr>
  </w:style>
  <w:style w:type="paragraph" w:customStyle="1" w:styleId="31">
    <w:name w:val="_Style 30"/>
    <w:basedOn w:val="1"/>
    <w:next w:val="24"/>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07F7DE-D738-466D-9198-D5140AF98C63}">
  <ds:schemaRefs/>
</ds:datastoreItem>
</file>

<file path=docProps/app.xml><?xml version="1.0" encoding="utf-8"?>
<Properties xmlns="http://schemas.openxmlformats.org/officeDocument/2006/extended-properties" xmlns:vt="http://schemas.openxmlformats.org/officeDocument/2006/docPropsVTypes">
  <Template>Normal.dotm</Template>
  <Pages>9</Pages>
  <Words>1262</Words>
  <Characters>7199</Characters>
  <Lines>59</Lines>
  <Paragraphs>16</Paragraphs>
  <TotalTime>68</TotalTime>
  <ScaleCrop>false</ScaleCrop>
  <LinksUpToDate>false</LinksUpToDate>
  <CharactersWithSpaces>8445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2020-10-05T14:07:00Z</dcterms:created>
  <dc:creator>ruixiang ge</dc:creator>
  <cp:lastModifiedBy>高兰</cp:lastModifiedBy>
  <dcterms:modified xsi:type="dcterms:W3CDTF">2020-10-16T01:34:53Z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