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rPr>
          <w:rFonts w:hAnsi="黑体"/>
          <w:color w:val="000000"/>
        </w:rPr>
      </w:pPr>
      <w:bookmarkStart w:id="9" w:name="_GoBack"/>
      <w:bookmarkEnd w:id="9"/>
      <w:r>
        <w:rPr>
          <w:rFonts w:hAnsi="黑体"/>
          <w:color w:val="000000"/>
        </w:rPr>
        <w:t>ICS </w:t>
      </w:r>
      <w:r>
        <w:rPr>
          <w:rFonts w:hAnsi="黑体"/>
          <w:color w:val="000000"/>
        </w:rPr>
        <w:fldChar w:fldCharType="begin">
          <w:ffData>
            <w:name w:val="ICS"/>
            <w:enabled/>
            <w:calcOnExit w:val="0"/>
            <w:helpText w:type="text" w:val="请输入正确的ICS号："/>
            <w:textInput>
              <w:default w:val="点击此处添加ICS号"/>
            </w:textInput>
          </w:ffData>
        </w:fldChar>
      </w:r>
      <w:bookmarkStart w:id="0" w:name="ICS"/>
      <w:r>
        <w:rPr>
          <w:rFonts w:hAnsi="黑体"/>
          <w:color w:val="000000"/>
        </w:rPr>
        <w:instrText xml:space="preserve"> FORMTEXT </w:instrText>
      </w:r>
      <w:r>
        <w:rPr>
          <w:rFonts w:hAnsi="黑体"/>
          <w:color w:val="000000"/>
        </w:rPr>
        <w:fldChar w:fldCharType="separate"/>
      </w:r>
      <w:r>
        <w:rPr>
          <w:rFonts w:hint="eastAsia" w:hAnsi="黑体"/>
          <w:color w:val="000000"/>
        </w:rPr>
        <w:t>29.045</w:t>
      </w:r>
      <w:r>
        <w:rPr>
          <w:rFonts w:hAnsi="黑体"/>
          <w:color w:val="000000"/>
        </w:rPr>
        <w:fldChar w:fldCharType="end"/>
      </w:r>
      <w:bookmarkEnd w:id="0"/>
    </w:p>
    <w:p>
      <w:pPr>
        <w:pStyle w:val="132"/>
        <w:framePr/>
        <w:rPr>
          <w:color w:val="000000"/>
        </w:rPr>
      </w:pPr>
      <w:r>
        <w:rPr>
          <w:rFonts w:hAnsi="黑体"/>
          <w:color w:val="000000"/>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color w:val="000000"/>
        </w:rPr>
        <w:instrText xml:space="preserve"> FORMTEXT </w:instrText>
      </w:r>
      <w:r>
        <w:rPr>
          <w:rFonts w:hAnsi="黑体"/>
          <w:color w:val="000000"/>
        </w:rPr>
        <w:fldChar w:fldCharType="separate"/>
      </w:r>
      <w:r>
        <w:rPr>
          <w:rFonts w:hint="eastAsia" w:hAnsi="黑体"/>
          <w:color w:val="000000"/>
        </w:rPr>
        <w:t>H82</w:t>
      </w:r>
      <w:r>
        <w:rPr>
          <w:rFonts w:hAnsi="黑体"/>
          <w:color w:val="000000"/>
        </w:rPr>
        <w:fldChar w:fldCharType="end"/>
      </w:r>
      <w:bookmarkEnd w:id="1"/>
    </w:p>
    <w:p>
      <w:pPr>
        <w:pStyle w:val="75"/>
        <w:framePr/>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rPr>
          <w:color w:val="000000"/>
        </w:rPr>
      </w:pPr>
      <w:r>
        <w:rPr>
          <w:rFonts w:hint="eastAsia"/>
          <w:color w:val="000000"/>
        </w:rPr>
        <w:t>中华人民共和国国家标准</w:t>
      </w:r>
    </w:p>
    <w:p>
      <w:pPr>
        <w:pStyle w:val="56"/>
        <w:framePr/>
        <w:rPr>
          <w:rFonts w:hAnsi="黑体"/>
          <w:color w:val="000000"/>
        </w:rPr>
      </w:pPr>
      <w:r>
        <w:rPr>
          <w:rFonts w:hAnsi="黑体"/>
          <w:color w:val="000000"/>
        </w:rPr>
        <w:t xml:space="preserve">GB/T </w:t>
      </w:r>
      <w:r>
        <w:rPr>
          <w:rFonts w:hint="eastAsia" w:hAnsi="黑体"/>
          <w:color w:val="000000"/>
        </w:rPr>
        <w:t>12963</w:t>
      </w:r>
      <w:r>
        <w:rPr>
          <w:rFonts w:hAnsi="黑体"/>
          <w:color w:val="000000"/>
        </w:rPr>
        <w:t>—2020</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rPr>
                <w:rFonts w:ascii="黑体" w:hAnsi="黑体" w:eastAsia="黑体"/>
                <w:color w:val="000000"/>
              </w:rPr>
            </w:pPr>
            <w:r>
              <w:rPr>
                <w:rFonts w:hint="eastAsia" w:ascii="黑体" w:hAnsi="黑体" w:eastAsia="黑体"/>
                <w:color w:val="000000"/>
              </w:rPr>
              <w:t>代替 GB/T 12963-2014</w:t>
            </w:r>
          </w:p>
        </w:tc>
      </w:tr>
    </w:tbl>
    <w:p>
      <w:pPr>
        <w:pStyle w:val="56"/>
        <w:framePr/>
        <w:rPr>
          <w:color w:val="000000"/>
        </w:rPr>
      </w:pPr>
    </w:p>
    <w:p>
      <w:pPr>
        <w:pStyle w:val="56"/>
        <w:framePr/>
        <w:rPr>
          <w:color w:val="000000"/>
        </w:rPr>
      </w:pPr>
    </w:p>
    <w:p>
      <w:pPr>
        <w:pStyle w:val="87"/>
        <w:framePr w:x="1126" w:y="6391"/>
        <w:rPr>
          <w:color w:val="000000"/>
        </w:rPr>
      </w:pPr>
      <w:r>
        <w:rPr>
          <w:rFonts w:hint="eastAsia"/>
          <w:color w:val="000000"/>
        </w:rPr>
        <w:t>电子级多晶硅</w:t>
      </w:r>
    </w:p>
    <w:p>
      <w:pPr>
        <w:pStyle w:val="88"/>
        <w:framePr w:x="1126" w:y="6391"/>
        <w:rPr>
          <w:color w:val="000000"/>
        </w:rPr>
      </w:pPr>
      <w:r>
        <w:rPr>
          <w:rFonts w:ascii="黑体" w:hAnsi="黑体"/>
          <w:color w:val="000000"/>
          <w:highlight w:val="white"/>
        </w:rPr>
        <w:t>Electronic-grade polycrystalline silicon</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x="1126" w:y="6391"/>
              <w:rPr>
                <w:color w:val="000000"/>
              </w:rPr>
            </w:pPr>
            <w:r>
              <w:rPr>
                <w:color w:val="000000"/>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WJrpLVAAAACgEAAA8AAAAAAAAAAQAgAAAAIgAAAGRycy9kb3ducmV2LnhtbFBLAQIUABQA&#10;AAAIAIdO4kDeonLE8wEAAN0DAAAOAAAAAAAAAAEAIAAAACQBAABkcnMvZTJvRG9jLnhtbFBLBQYA&#10;AAAABgAGAFkBAACJBQAAAAA=&#10;">
                      <v:fill on="t" focussize="0,0"/>
                      <v:stroke on="f"/>
                      <v:imagedata o:title=""/>
                      <o:lock v:ext="edit" aspectratio="f"/>
                      <v:textbox>
                        <w:txbxContent>
                          <w:p>
                            <w:pPr>
                              <w:jc w:val="center"/>
                            </w:pPr>
                          </w:p>
                        </w:txbxContent>
                      </v:textbox>
                      <w10:anchorlock/>
                    </v:rect>
                  </w:pict>
                </mc:Fallback>
              </mc:AlternateContent>
            </w:r>
            <w:r>
              <w:rPr>
                <w:color w:val="000000"/>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Phi+XWAAAACQEAAA8AAAAAAAAAAQAgAAAAIgAAAGRycy9kb3ducmV2LnhtbFBLAQIUABQA&#10;AAAIAIdO4kB4UkZy8gEAAN0DAAAOAAAAAAAAAAEAIAAAACUBAABkcnMvZTJvRG9jLnhtbFBLBQYA&#10;AAAABgAGAFkBAACJBQAAAAA=&#10;">
                      <v:fill on="t" focussize="0,0"/>
                      <v:stroke on="f"/>
                      <v:imagedata o:title=""/>
                      <o:lock v:ext="edit" aspectratio="f"/>
                      <v:textbox>
                        <w:txbxContent>
                          <w:p>
                            <w:pPr>
                              <w:jc w:val="center"/>
                            </w:pPr>
                          </w:p>
                        </w:txbxContent>
                      </v:textbox>
                    </v:rect>
                  </w:pict>
                </mc:Fallback>
              </mc:AlternateContent>
            </w:r>
            <w:r>
              <w:rPr>
                <w:rFonts w:hint="eastAsia"/>
                <w:color w:val="000000"/>
              </w:rPr>
              <w:t>（讨论稿）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x="1126" w:y="6391"/>
              <w:rPr>
                <w:color w:val="000000"/>
              </w:rPr>
            </w:pPr>
          </w:p>
          <w:p>
            <w:pPr>
              <w:pStyle w:val="91"/>
              <w:framePr w:x="1126" w:y="6391"/>
              <w:rPr>
                <w:color w:val="000000"/>
              </w:rPr>
            </w:pPr>
          </w:p>
          <w:p>
            <w:pPr>
              <w:pStyle w:val="91"/>
              <w:framePr w:x="1126" w:y="6391"/>
              <w:rPr>
                <w:color w:val="000000"/>
              </w:rPr>
            </w:pPr>
            <w:r>
              <w:rPr>
                <w:rFonts w:hint="eastAsia"/>
              </w:rPr>
              <w:t>（在提交反馈意见时，请将您知道的相关专利连同支持性文件一并附上）</w:t>
            </w:r>
          </w:p>
        </w:tc>
      </w:tr>
    </w:tbl>
    <w:p>
      <w:pPr>
        <w:pStyle w:val="139"/>
        <w:framePr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2"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2"/>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3"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4"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rFonts w:hint="eastAsia"/>
          <w:color w:val="000000"/>
        </w:rPr>
        <w:t>发布</w:t>
      </w:r>
      <w:r>
        <w:rPr>
          <w:color w:val="000000"/>
        </w:rPr>
        <mc:AlternateContent>
          <mc:Choice Requires="wps">
            <w:drawing>
              <wp:anchor distT="0" distB="0" distL="114300" distR="114300" simplePos="0" relativeHeight="251655168"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5168;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RIpl9YA&#10;AAALAQAADwAAAAAAAAABACAAAAAiAAAAZHJzL2Rvd25yZXYueG1sUEsBAhQAFAAAAAgAh07iQAks&#10;8YyvAQAAUgMAAA4AAAAAAAAAAQAgAAAAJQEAAGRycy9lMm9Eb2MueG1sUEsFBgAAAAAGAAYAWQEA&#10;AEYFAAAAAA==&#10;">
                <v:fill on="f" focussize="0,0"/>
                <v:stroke color="#000000" joinstyle="round"/>
                <v:imagedata o:title=""/>
                <o:lock v:ext="edit" aspectratio="f"/>
                <w10:anchorlock/>
              </v:line>
            </w:pict>
          </mc:Fallback>
        </mc:AlternateContent>
      </w:r>
    </w:p>
    <w:p>
      <w:pPr>
        <w:pStyle w:val="140"/>
        <w:framePr w:hAnchor="page" w:x="7006" w:y="13906"/>
        <w:ind w:right="140"/>
        <w:rPr>
          <w:color w:val="000000"/>
        </w:rPr>
      </w:pPr>
      <w:r>
        <w:rPr>
          <w:rFonts w:ascii="黑体"/>
          <w:color w:val="000000"/>
        </w:rPr>
        <w:fldChar w:fldCharType="begin">
          <w:ffData>
            <w:name w:val="SY"/>
            <w:enabled/>
            <w:calcOnExit w:val="0"/>
            <w:textInput>
              <w:default w:val="XXXX"/>
              <w:maxLength w:val="4"/>
            </w:textInput>
          </w:ffData>
        </w:fldChar>
      </w:r>
      <w:bookmarkStart w:id="5"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5"/>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6"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7"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7"/>
      <w:r>
        <w:rPr>
          <w:rFonts w:hint="eastAsia"/>
          <w:color w:val="000000"/>
        </w:rPr>
        <w:t>实施</w:t>
      </w:r>
    </w:p>
    <w:p>
      <w:pPr>
        <w:pStyle w:val="83"/>
        <w:framePr/>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Kbt&#10;FMuuAQAAUgMAAA4AAAAAAAAAAQAgAAAAJgEAAGRycy9lMm9Eb2MueG1sUEsFBgAAAAAGAAYAWQEA&#10;AEYFAAAAAA==&#10;">
                <v:fill on="f" focussize="0,0"/>
                <v:stroke color="#000000" joinstyle="round"/>
                <v:imagedata o:title=""/>
                <o:lock v:ext="edit" aspectratio="f"/>
              </v:line>
            </w:pict>
          </mc:Fallback>
        </mc:AlternateContent>
      </w:r>
    </w:p>
    <w:p>
      <w:pPr>
        <w:pStyle w:val="121"/>
        <w:rPr>
          <w:color w:val="000000"/>
        </w:rPr>
      </w:pPr>
      <w:r>
        <w:rPr>
          <w:rFonts w:hint="eastAsia"/>
          <w:color w:val="000000"/>
        </w:rPr>
        <w:t>前</w:t>
      </w:r>
      <w:bookmarkStart w:id="8" w:name="BKQY"/>
      <w:r>
        <w:rPr>
          <w:color w:val="000000"/>
        </w:rPr>
        <w:t>  </w:t>
      </w:r>
      <w:r>
        <w:rPr>
          <w:rFonts w:hint="eastAsia"/>
          <w:color w:val="000000"/>
        </w:rPr>
        <w:t>言</w:t>
      </w:r>
      <w:bookmarkEnd w:id="8"/>
    </w:p>
    <w:p>
      <w:pPr>
        <w:pStyle w:val="3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32"/>
        <w:rPr>
          <w:color w:val="FF0000"/>
          <w:szCs w:val="21"/>
        </w:rPr>
      </w:pPr>
      <w:r>
        <w:rPr>
          <w:color w:val="000000" w:themeColor="text1"/>
          <w:szCs w:val="21"/>
          <w14:textFill>
            <w14:solidFill>
              <w14:schemeClr w14:val="tx1"/>
            </w14:solidFill>
          </w14:textFill>
        </w:rPr>
        <w:t>本</w:t>
      </w:r>
      <w:r>
        <w:rPr>
          <w:rFonts w:hint="eastAsia"/>
          <w:color w:val="000000" w:themeColor="text1"/>
          <w:szCs w:val="21"/>
          <w14:textFill>
            <w14:solidFill>
              <w14:schemeClr w14:val="tx1"/>
            </w14:solidFill>
          </w14:textFill>
        </w:rPr>
        <w:t>文件代替GB/T 12963-2014《电子级</w:t>
      </w:r>
      <w:r>
        <w:rPr>
          <w:color w:val="000000" w:themeColor="text1"/>
          <w:szCs w:val="21"/>
          <w14:textFill>
            <w14:solidFill>
              <w14:schemeClr w14:val="tx1"/>
            </w14:solidFill>
          </w14:textFill>
        </w:rPr>
        <w:t>多晶硅</w:t>
      </w:r>
      <w:r>
        <w:rPr>
          <w:rFonts w:hint="eastAsia"/>
          <w:color w:val="000000" w:themeColor="text1"/>
          <w:szCs w:val="21"/>
          <w14:textFill>
            <w14:solidFill>
              <w14:schemeClr w14:val="tx1"/>
            </w14:solidFill>
          </w14:textFill>
        </w:rPr>
        <w:t>》，与</w:t>
      </w:r>
      <w:r>
        <w:rPr>
          <w:color w:val="000000" w:themeColor="text1"/>
          <w:szCs w:val="21"/>
          <w14:textFill>
            <w14:solidFill>
              <w14:schemeClr w14:val="tx1"/>
            </w14:solidFill>
          </w14:textFill>
        </w:rPr>
        <w:t xml:space="preserve">GB/T </w:t>
      </w:r>
      <w:r>
        <w:rPr>
          <w:rFonts w:hint="eastAsia"/>
          <w:color w:val="000000" w:themeColor="text1"/>
          <w:szCs w:val="21"/>
          <w14:textFill>
            <w14:solidFill>
              <w14:schemeClr w14:val="tx1"/>
            </w14:solidFill>
          </w14:textFill>
        </w:rPr>
        <w:t>12963</w:t>
      </w:r>
      <w:r>
        <w:rPr>
          <w:color w:val="000000" w:themeColor="text1"/>
          <w:szCs w:val="21"/>
          <w14:textFill>
            <w14:solidFill>
              <w14:schemeClr w14:val="tx1"/>
            </w14:solidFill>
          </w14:textFill>
        </w:rPr>
        <w:t>-2014</w:t>
      </w:r>
      <w:r>
        <w:rPr>
          <w:rFonts w:hint="eastAsia"/>
          <w:color w:val="000000" w:themeColor="text1"/>
          <w:szCs w:val="21"/>
          <w14:textFill>
            <w14:solidFill>
              <w14:schemeClr w14:val="tx1"/>
            </w14:solidFill>
          </w14:textFill>
        </w:rPr>
        <w:t>相比，</w:t>
      </w:r>
      <w:r>
        <w:rPr>
          <w:rFonts w:hint="eastAsia" w:hAnsi="宋体"/>
          <w:color w:val="000000" w:themeColor="text1"/>
          <w:szCs w:val="21"/>
          <w14:textFill>
            <w14:solidFill>
              <w14:schemeClr w14:val="tx1"/>
            </w14:solidFill>
          </w14:textFill>
        </w:rPr>
        <w:t>除结构调整和编辑性改动外，</w:t>
      </w:r>
      <w:r>
        <w:rPr>
          <w:rFonts w:hint="eastAsia"/>
          <w:color w:val="000000" w:themeColor="text1"/>
          <w:szCs w:val="21"/>
          <w14:textFill>
            <w14:solidFill>
              <w14:schemeClr w14:val="tx1"/>
            </w14:solidFill>
          </w14:textFill>
        </w:rPr>
        <w:t>主要技术变化如下：</w:t>
      </w:r>
    </w:p>
    <w:p>
      <w:pPr>
        <w:pStyle w:val="168"/>
        <w:numPr>
          <w:ilvl w:val="1"/>
          <w:numId w:val="19"/>
        </w:numPr>
        <w:ind w:firstLineChars="0"/>
        <w:rPr>
          <w:szCs w:val="21"/>
        </w:rPr>
      </w:pPr>
      <w:r>
        <w:rPr>
          <w:rFonts w:hint="eastAsia"/>
          <w:szCs w:val="21"/>
        </w:rPr>
        <w:t>更改了</w:t>
      </w:r>
      <w:r>
        <w:rPr>
          <w:rFonts w:hint="eastAsia" w:ascii="宋体" w:hAnsi="宋体"/>
          <w:szCs w:val="21"/>
        </w:rPr>
        <w:t>范围，将“本标准规定了</w:t>
      </w:r>
      <w:r>
        <w:rPr>
          <w:rFonts w:ascii="宋体" w:hAnsi="宋体"/>
          <w:szCs w:val="21"/>
        </w:rPr>
        <w:t>多晶硅</w:t>
      </w:r>
      <w:r>
        <w:rPr>
          <w:rFonts w:hint="eastAsia" w:ascii="宋体" w:hAnsi="宋体"/>
          <w:szCs w:val="21"/>
        </w:rPr>
        <w:t>的要求”更改为“</w:t>
      </w:r>
      <w:r>
        <w:rPr>
          <w:rFonts w:hint="eastAsia" w:ascii="宋体" w:hAnsi="宋体"/>
        </w:rPr>
        <w:t>本文件规定了</w:t>
      </w:r>
      <w:r>
        <w:rPr>
          <w:rFonts w:ascii="宋体" w:hAnsi="宋体"/>
        </w:rPr>
        <w:t>电子级多晶硅的技术要求</w:t>
      </w:r>
      <w:r>
        <w:rPr>
          <w:rFonts w:hint="eastAsia" w:ascii="宋体" w:hAnsi="宋体"/>
          <w:szCs w:val="21"/>
        </w:rPr>
        <w:t>”，</w:t>
      </w:r>
      <w:r>
        <w:rPr>
          <w:rFonts w:ascii="宋体" w:hAnsi="宋体"/>
          <w:szCs w:val="21"/>
        </w:rPr>
        <w:t>将</w:t>
      </w:r>
      <w:r>
        <w:rPr>
          <w:rFonts w:hint="eastAsia" w:ascii="宋体" w:hAnsi="宋体"/>
          <w:szCs w:val="21"/>
        </w:rPr>
        <w:t>“本标准适用于以</w:t>
      </w:r>
      <w:r>
        <w:rPr>
          <w:rFonts w:ascii="宋体" w:hAnsi="宋体"/>
          <w:szCs w:val="21"/>
        </w:rPr>
        <w:t>氯硅烷、硅烷</w:t>
      </w:r>
      <w:r>
        <w:rPr>
          <w:rFonts w:hint="eastAsia" w:ascii="宋体" w:hAnsi="宋体"/>
          <w:szCs w:val="21"/>
        </w:rPr>
        <w:t>制</w:t>
      </w:r>
      <w:r>
        <w:rPr>
          <w:rFonts w:ascii="宋体" w:hAnsi="宋体"/>
          <w:szCs w:val="21"/>
        </w:rPr>
        <w:t>得的多晶硅</w:t>
      </w:r>
      <w:r>
        <w:rPr>
          <w:rFonts w:hint="eastAsia" w:ascii="宋体" w:hAnsi="宋体"/>
          <w:szCs w:val="21"/>
        </w:rPr>
        <w:t>”更改为“本文件适用</w:t>
      </w:r>
      <w:r>
        <w:rPr>
          <w:rFonts w:ascii="宋体" w:hAnsi="宋体"/>
          <w:szCs w:val="21"/>
        </w:rPr>
        <w:t>于以氯硅烷、硅烷</w:t>
      </w:r>
      <w:r>
        <w:rPr>
          <w:rFonts w:hint="eastAsia" w:ascii="宋体" w:hAnsi="宋体"/>
          <w:szCs w:val="21"/>
        </w:rPr>
        <w:t>制</w:t>
      </w:r>
      <w:r>
        <w:rPr>
          <w:rFonts w:ascii="宋体" w:hAnsi="宋体"/>
          <w:szCs w:val="21"/>
        </w:rPr>
        <w:t>得的</w:t>
      </w:r>
      <w:r>
        <w:rPr>
          <w:rFonts w:hint="eastAsia" w:ascii="宋体" w:hAnsi="宋体"/>
          <w:szCs w:val="21"/>
        </w:rPr>
        <w:t>电子级</w:t>
      </w:r>
      <w:r>
        <w:rPr>
          <w:rFonts w:ascii="宋体" w:hAnsi="宋体"/>
          <w:szCs w:val="21"/>
        </w:rPr>
        <w:t>多晶硅</w:t>
      </w:r>
      <w:r>
        <w:rPr>
          <w:rFonts w:hint="eastAsia" w:ascii="宋体" w:hAnsi="宋体"/>
          <w:szCs w:val="21"/>
        </w:rPr>
        <w:t>”（见第1章，2014年版的第1章）</w:t>
      </w:r>
      <w:r>
        <w:rPr>
          <w:rFonts w:hint="eastAsia" w:ascii="宋体" w:hAnsi="宋体"/>
        </w:rPr>
        <w:t>；</w:t>
      </w:r>
    </w:p>
    <w:p>
      <w:pPr>
        <w:pStyle w:val="168"/>
        <w:numPr>
          <w:ilvl w:val="1"/>
          <w:numId w:val="19"/>
        </w:numPr>
        <w:ind w:firstLineChars="0"/>
        <w:rPr>
          <w:szCs w:val="21"/>
        </w:rPr>
      </w:pPr>
      <w:r>
        <w:rPr>
          <w:rFonts w:hint="eastAsia"/>
          <w:color w:val="000000"/>
          <w:sz w:val="22"/>
          <w:szCs w:val="22"/>
        </w:rPr>
        <w:t>删除了</w:t>
      </w:r>
      <w:r>
        <w:rPr>
          <w:color w:val="000000"/>
          <w:sz w:val="22"/>
          <w:szCs w:val="22"/>
        </w:rPr>
        <w:t>规范性引用文件 GB/T 15</w:t>
      </w:r>
      <w:r>
        <w:rPr>
          <w:color w:val="252525"/>
          <w:sz w:val="22"/>
          <w:szCs w:val="22"/>
        </w:rPr>
        <w:t>5</w:t>
      </w:r>
      <w:r>
        <w:rPr>
          <w:color w:val="000000"/>
          <w:sz w:val="22"/>
          <w:szCs w:val="22"/>
        </w:rPr>
        <w:t>7</w:t>
      </w:r>
      <w:r>
        <w:rPr>
          <w:rFonts w:hint="eastAsia"/>
          <w:color w:val="000000"/>
          <w:sz w:val="22"/>
          <w:szCs w:val="22"/>
        </w:rPr>
        <w:t>、</w:t>
      </w:r>
      <w:r>
        <w:rPr>
          <w:color w:val="000000"/>
          <w:sz w:val="22"/>
          <w:szCs w:val="22"/>
        </w:rPr>
        <w:t>GB/T 15</w:t>
      </w:r>
      <w:r>
        <w:rPr>
          <w:color w:val="252525"/>
          <w:sz w:val="22"/>
          <w:szCs w:val="22"/>
        </w:rPr>
        <w:t>5</w:t>
      </w:r>
      <w:r>
        <w:rPr>
          <w:color w:val="000000"/>
          <w:sz w:val="22"/>
          <w:szCs w:val="22"/>
        </w:rPr>
        <w:t>8</w:t>
      </w:r>
      <w:r>
        <w:rPr>
          <w:rFonts w:hint="eastAsia"/>
          <w:color w:val="000000"/>
          <w:sz w:val="22"/>
          <w:szCs w:val="22"/>
        </w:rPr>
        <w:t>、</w:t>
      </w:r>
      <w:r>
        <w:rPr>
          <w:color w:val="000000"/>
          <w:sz w:val="22"/>
          <w:szCs w:val="22"/>
        </w:rPr>
        <w:t>GB/T 4059</w:t>
      </w:r>
      <w:r>
        <w:rPr>
          <w:rFonts w:hint="eastAsia"/>
          <w:color w:val="000000"/>
          <w:sz w:val="22"/>
          <w:szCs w:val="22"/>
        </w:rPr>
        <w:t>、</w:t>
      </w:r>
      <w:r>
        <w:rPr>
          <w:color w:val="000000"/>
          <w:sz w:val="22"/>
          <w:szCs w:val="22"/>
        </w:rPr>
        <w:t>GB/T 4060</w:t>
      </w:r>
      <w:r>
        <w:rPr>
          <w:rFonts w:hint="eastAsia"/>
          <w:color w:val="000000"/>
          <w:sz w:val="22"/>
          <w:szCs w:val="22"/>
        </w:rPr>
        <w:t>、</w:t>
      </w:r>
      <w:r>
        <w:rPr>
          <w:color w:val="000000"/>
          <w:sz w:val="22"/>
          <w:szCs w:val="22"/>
        </w:rPr>
        <w:t>GB/T 13389</w:t>
      </w:r>
      <w:r>
        <w:rPr>
          <w:rFonts w:hint="eastAsia"/>
          <w:color w:val="000000"/>
          <w:sz w:val="22"/>
          <w:szCs w:val="22"/>
        </w:rPr>
        <w:t>，增加了</w:t>
      </w:r>
      <w:r>
        <w:rPr>
          <w:color w:val="000000"/>
          <w:sz w:val="22"/>
          <w:szCs w:val="22"/>
        </w:rPr>
        <w:t>GB/T 29057</w:t>
      </w:r>
      <w:r>
        <w:rPr>
          <w:rFonts w:hint="eastAsia"/>
          <w:color w:val="000000"/>
          <w:sz w:val="22"/>
          <w:szCs w:val="22"/>
        </w:rPr>
        <w:t>、</w:t>
      </w:r>
      <w:r>
        <w:rPr>
          <w:color w:val="000000"/>
          <w:sz w:val="22"/>
          <w:szCs w:val="22"/>
        </w:rPr>
        <w:t>GB/T 35306</w:t>
      </w:r>
      <w:r>
        <w:rPr>
          <w:rFonts w:hint="eastAsia"/>
          <w:color w:val="000000"/>
          <w:sz w:val="22"/>
          <w:szCs w:val="22"/>
        </w:rPr>
        <w:t>（见第2章，2</w:t>
      </w:r>
      <w:r>
        <w:rPr>
          <w:color w:val="000000"/>
          <w:sz w:val="22"/>
          <w:szCs w:val="22"/>
        </w:rPr>
        <w:t>014</w:t>
      </w:r>
      <w:r>
        <w:rPr>
          <w:rFonts w:hint="eastAsia"/>
          <w:color w:val="000000"/>
          <w:sz w:val="22"/>
          <w:szCs w:val="22"/>
        </w:rPr>
        <w:t>年</w:t>
      </w:r>
      <w:r>
        <w:rPr>
          <w:color w:val="000000"/>
          <w:sz w:val="22"/>
          <w:szCs w:val="22"/>
        </w:rPr>
        <w:t>版的第2章</w:t>
      </w:r>
      <w:r>
        <w:rPr>
          <w:rFonts w:hint="eastAsia"/>
          <w:color w:val="000000"/>
          <w:sz w:val="22"/>
          <w:szCs w:val="22"/>
        </w:rPr>
        <w:t>）；</w:t>
      </w:r>
    </w:p>
    <w:p>
      <w:pPr>
        <w:pStyle w:val="168"/>
        <w:numPr>
          <w:ilvl w:val="1"/>
          <w:numId w:val="19"/>
        </w:numPr>
        <w:ind w:firstLineChars="0"/>
        <w:rPr>
          <w:szCs w:val="21"/>
        </w:rPr>
      </w:pPr>
      <w:r>
        <w:rPr>
          <w:rFonts w:hint="eastAsia"/>
          <w:color w:val="000000"/>
          <w:sz w:val="22"/>
          <w:szCs w:val="22"/>
        </w:rPr>
        <w:t>更改了电子级</w:t>
      </w:r>
      <w:r>
        <w:rPr>
          <w:color w:val="000000"/>
          <w:sz w:val="22"/>
          <w:szCs w:val="22"/>
        </w:rPr>
        <w:t>多晶硅的牌号</w:t>
      </w:r>
      <w:r>
        <w:rPr>
          <w:rFonts w:hint="eastAsia"/>
          <w:color w:val="000000"/>
          <w:sz w:val="22"/>
          <w:szCs w:val="22"/>
        </w:rPr>
        <w:t>，</w:t>
      </w:r>
      <w:r>
        <w:rPr>
          <w:color w:val="000000"/>
          <w:sz w:val="22"/>
          <w:szCs w:val="22"/>
        </w:rPr>
        <w:t>将</w:t>
      </w:r>
      <w:r>
        <w:rPr>
          <w:rFonts w:hint="eastAsia"/>
          <w:color w:val="000000"/>
          <w:sz w:val="22"/>
          <w:szCs w:val="22"/>
        </w:rPr>
        <w:t>“P</w:t>
      </w:r>
      <w:r>
        <w:rPr>
          <w:color w:val="000000"/>
          <w:sz w:val="22"/>
          <w:szCs w:val="22"/>
        </w:rPr>
        <w:t>Si</w:t>
      </w:r>
      <w:r>
        <w:rPr>
          <w:rFonts w:hint="eastAsia"/>
          <w:color w:val="000000"/>
          <w:sz w:val="22"/>
          <w:szCs w:val="22"/>
        </w:rPr>
        <w:t>”更改为</w:t>
      </w:r>
      <w:r>
        <w:rPr>
          <w:color w:val="000000"/>
          <w:sz w:val="22"/>
          <w:szCs w:val="22"/>
        </w:rPr>
        <w:t>“EPSi”</w:t>
      </w:r>
      <w:r>
        <w:rPr>
          <w:rFonts w:hint="eastAsia"/>
          <w:color w:val="000000"/>
          <w:sz w:val="22"/>
          <w:szCs w:val="22"/>
        </w:rPr>
        <w:t>表示</w:t>
      </w:r>
      <w:r>
        <w:rPr>
          <w:color w:val="000000"/>
          <w:sz w:val="22"/>
          <w:szCs w:val="22"/>
        </w:rPr>
        <w:t>电子级多晶硅</w:t>
      </w:r>
      <w:r>
        <w:rPr>
          <w:rFonts w:hint="eastAsia"/>
          <w:color w:val="000000"/>
          <w:sz w:val="22"/>
          <w:szCs w:val="22"/>
        </w:rPr>
        <w:t>（见4.1.1,2014年</w:t>
      </w:r>
      <w:r>
        <w:rPr>
          <w:color w:val="000000"/>
          <w:sz w:val="22"/>
          <w:szCs w:val="22"/>
        </w:rPr>
        <w:t>版</w:t>
      </w:r>
      <w:r>
        <w:rPr>
          <w:rFonts w:hint="eastAsia"/>
          <w:color w:val="000000"/>
          <w:sz w:val="22"/>
          <w:szCs w:val="22"/>
        </w:rPr>
        <w:t>4.1.1）</w:t>
      </w:r>
    </w:p>
    <w:p>
      <w:pPr>
        <w:pStyle w:val="168"/>
        <w:numPr>
          <w:ilvl w:val="1"/>
          <w:numId w:val="19"/>
        </w:numPr>
        <w:ind w:firstLineChars="0"/>
        <w:rPr>
          <w:szCs w:val="21"/>
        </w:rPr>
      </w:pPr>
      <w:r>
        <w:rPr>
          <w:rFonts w:hint="eastAsia"/>
          <w:szCs w:val="21"/>
        </w:rPr>
        <w:t>更改</w:t>
      </w:r>
      <w:r>
        <w:rPr>
          <w:szCs w:val="21"/>
        </w:rPr>
        <w:t>了</w:t>
      </w:r>
      <w:r>
        <w:rPr>
          <w:rFonts w:hint="eastAsia"/>
          <w:szCs w:val="21"/>
        </w:rPr>
        <w:t>电子级</w:t>
      </w:r>
      <w:r>
        <w:rPr>
          <w:szCs w:val="21"/>
        </w:rPr>
        <w:t>多晶硅</w:t>
      </w:r>
      <w:r>
        <w:rPr>
          <w:rFonts w:hint="eastAsia"/>
          <w:szCs w:val="21"/>
        </w:rPr>
        <w:t>根据纯度的</w:t>
      </w:r>
      <w:r>
        <w:rPr>
          <w:szCs w:val="21"/>
        </w:rPr>
        <w:t>分级，将“</w:t>
      </w:r>
      <w:r>
        <w:rPr>
          <w:rFonts w:hint="eastAsia"/>
          <w:szCs w:val="21"/>
        </w:rPr>
        <w:t>根据</w:t>
      </w:r>
      <w:r>
        <w:rPr>
          <w:szCs w:val="21"/>
        </w:rPr>
        <w:t>纯度</w:t>
      </w:r>
      <w:r>
        <w:rPr>
          <w:rFonts w:hint="eastAsia"/>
          <w:szCs w:val="21"/>
        </w:rPr>
        <w:t>的</w:t>
      </w:r>
      <w:r>
        <w:rPr>
          <w:szCs w:val="21"/>
        </w:rPr>
        <w:t>差别</w:t>
      </w:r>
      <w:r>
        <w:rPr>
          <w:rFonts w:hint="eastAsia"/>
          <w:szCs w:val="21"/>
        </w:rPr>
        <w:t>分为3级</w:t>
      </w:r>
      <w:r>
        <w:rPr>
          <w:szCs w:val="21"/>
        </w:rPr>
        <w:t>”</w:t>
      </w:r>
      <w:r>
        <w:rPr>
          <w:rFonts w:hint="eastAsia"/>
          <w:szCs w:val="21"/>
        </w:rPr>
        <w:t>更改</w:t>
      </w:r>
      <w:r>
        <w:rPr>
          <w:szCs w:val="21"/>
        </w:rPr>
        <w:t>为</w:t>
      </w:r>
      <w:r>
        <w:rPr>
          <w:rFonts w:hint="eastAsia"/>
          <w:szCs w:val="21"/>
        </w:rPr>
        <w:t>“直拉用</w:t>
      </w:r>
      <w:r>
        <w:rPr>
          <w:szCs w:val="21"/>
        </w:rPr>
        <w:t>电子级多晶硅</w:t>
      </w:r>
      <w:r>
        <w:rPr>
          <w:rFonts w:hint="eastAsia"/>
          <w:szCs w:val="21"/>
        </w:rPr>
        <w:t>根据纯度</w:t>
      </w:r>
      <w:r>
        <w:rPr>
          <w:szCs w:val="21"/>
        </w:rPr>
        <w:t>的差别</w:t>
      </w:r>
      <w:r>
        <w:rPr>
          <w:rFonts w:hint="eastAsia"/>
          <w:szCs w:val="21"/>
        </w:rPr>
        <w:t>分为2级”</w:t>
      </w:r>
      <w:r>
        <w:rPr>
          <w:rFonts w:hint="eastAsia" w:ascii="宋体" w:hAnsi="宋体"/>
          <w:szCs w:val="21"/>
        </w:rPr>
        <w:t>（见4.1.2，2</w:t>
      </w:r>
      <w:r>
        <w:rPr>
          <w:rFonts w:ascii="宋体" w:hAnsi="宋体"/>
          <w:szCs w:val="21"/>
        </w:rPr>
        <w:t>014</w:t>
      </w:r>
      <w:r>
        <w:rPr>
          <w:rFonts w:hint="eastAsia" w:ascii="宋体" w:hAnsi="宋体"/>
          <w:szCs w:val="21"/>
        </w:rPr>
        <w:t>年版的4.1.2）；</w:t>
      </w:r>
    </w:p>
    <w:p>
      <w:pPr>
        <w:pStyle w:val="168"/>
        <w:numPr>
          <w:ilvl w:val="1"/>
          <w:numId w:val="19"/>
        </w:numPr>
        <w:ind w:firstLineChars="0"/>
        <w:rPr>
          <w:szCs w:val="21"/>
        </w:rPr>
      </w:pPr>
      <w:r>
        <w:rPr>
          <w:rFonts w:hint="eastAsia"/>
          <w:szCs w:val="21"/>
        </w:rPr>
        <w:t>更改了直拉用</w:t>
      </w:r>
      <w:r>
        <w:rPr>
          <w:szCs w:val="21"/>
        </w:rPr>
        <w:t>电子级多晶硅</w:t>
      </w:r>
      <w:r>
        <w:rPr>
          <w:rFonts w:hint="eastAsia"/>
          <w:szCs w:val="21"/>
        </w:rPr>
        <w:t>的施主杂质</w:t>
      </w:r>
      <w:r>
        <w:rPr>
          <w:szCs w:val="21"/>
        </w:rPr>
        <w:t>浓度、</w:t>
      </w:r>
      <w:r>
        <w:rPr>
          <w:rFonts w:hint="eastAsia"/>
          <w:szCs w:val="21"/>
        </w:rPr>
        <w:t>受主</w:t>
      </w:r>
      <w:r>
        <w:rPr>
          <w:szCs w:val="21"/>
        </w:rPr>
        <w:t>杂质浓度、技术指标</w:t>
      </w:r>
      <w:r>
        <w:rPr>
          <w:rFonts w:hint="eastAsia"/>
          <w:szCs w:val="21"/>
        </w:rPr>
        <w:t>，删除了</w:t>
      </w:r>
      <w:r>
        <w:rPr>
          <w:szCs w:val="21"/>
        </w:rPr>
        <w:t>氧</w:t>
      </w:r>
      <w:r>
        <w:rPr>
          <w:rFonts w:hint="eastAsia"/>
          <w:szCs w:val="21"/>
        </w:rPr>
        <w:t>浓度</w:t>
      </w:r>
      <w:r>
        <w:rPr>
          <w:szCs w:val="21"/>
        </w:rPr>
        <w:t>指标要求</w:t>
      </w:r>
      <w:r>
        <w:rPr>
          <w:rFonts w:hint="eastAsia" w:ascii="宋体" w:hAnsi="宋体"/>
          <w:szCs w:val="21"/>
        </w:rPr>
        <w:t>（见表1，2014年版的表1）。</w:t>
      </w:r>
    </w:p>
    <w:p>
      <w:pPr>
        <w:pStyle w:val="168"/>
        <w:numPr>
          <w:ilvl w:val="1"/>
          <w:numId w:val="19"/>
        </w:numPr>
        <w:ind w:firstLineChars="0"/>
        <w:rPr>
          <w:szCs w:val="21"/>
        </w:rPr>
      </w:pPr>
      <w:r>
        <w:rPr>
          <w:rFonts w:hint="eastAsia" w:ascii="宋体" w:hAnsi="宋体"/>
          <w:szCs w:val="21"/>
        </w:rPr>
        <w:t>增加了</w:t>
      </w:r>
      <w:r>
        <w:rPr>
          <w:rFonts w:ascii="宋体" w:hAnsi="宋体"/>
          <w:szCs w:val="21"/>
        </w:rPr>
        <w:t>区熔用电子级多晶硅的</w:t>
      </w:r>
      <w:r>
        <w:rPr>
          <w:rFonts w:hint="eastAsia" w:ascii="宋体" w:hAnsi="宋体"/>
          <w:szCs w:val="21"/>
        </w:rPr>
        <w:t>技术要求（见</w:t>
      </w:r>
      <w:r>
        <w:rPr>
          <w:rFonts w:ascii="宋体" w:hAnsi="宋体"/>
          <w:szCs w:val="21"/>
        </w:rPr>
        <w:t>表</w:t>
      </w:r>
      <w:r>
        <w:rPr>
          <w:rFonts w:hint="eastAsia" w:ascii="宋体" w:hAnsi="宋体"/>
          <w:szCs w:val="21"/>
        </w:rPr>
        <w:t>2）；</w:t>
      </w:r>
    </w:p>
    <w:p>
      <w:pPr>
        <w:pStyle w:val="168"/>
        <w:numPr>
          <w:ilvl w:val="1"/>
          <w:numId w:val="19"/>
        </w:numPr>
        <w:ind w:firstLineChars="0"/>
        <w:rPr>
          <w:szCs w:val="21"/>
        </w:rPr>
      </w:pPr>
      <w:r>
        <w:rPr>
          <w:rFonts w:hint="eastAsia" w:ascii="宋体" w:hAnsi="宋体"/>
          <w:szCs w:val="21"/>
        </w:rPr>
        <w:t>删除了</w:t>
      </w:r>
      <w:r>
        <w:rPr>
          <w:rFonts w:ascii="宋体" w:hAnsi="宋体"/>
          <w:szCs w:val="21"/>
        </w:rPr>
        <w:t>块状多晶硅的尺寸分布</w:t>
      </w:r>
      <w:r>
        <w:rPr>
          <w:rFonts w:hint="eastAsia" w:ascii="宋体" w:hAnsi="宋体"/>
          <w:szCs w:val="21"/>
        </w:rPr>
        <w:t>范围（见2014年</w:t>
      </w:r>
      <w:r>
        <w:rPr>
          <w:rFonts w:ascii="宋体" w:hAnsi="宋体"/>
          <w:szCs w:val="21"/>
        </w:rPr>
        <w:t>版的</w:t>
      </w:r>
      <w:r>
        <w:rPr>
          <w:rFonts w:hint="eastAsia" w:ascii="宋体" w:hAnsi="宋体"/>
          <w:szCs w:val="21"/>
        </w:rPr>
        <w:t>4.3.2）；</w:t>
      </w:r>
    </w:p>
    <w:p>
      <w:pPr>
        <w:pStyle w:val="168"/>
        <w:numPr>
          <w:ilvl w:val="1"/>
          <w:numId w:val="19"/>
        </w:numPr>
        <w:ind w:firstLineChars="0"/>
        <w:rPr>
          <w:szCs w:val="21"/>
        </w:rPr>
      </w:pPr>
      <w:r>
        <w:rPr>
          <w:rFonts w:hint="eastAsia"/>
          <w:szCs w:val="21"/>
        </w:rPr>
        <w:t>更改了多晶硅</w:t>
      </w:r>
      <w:r>
        <w:rPr>
          <w:szCs w:val="21"/>
        </w:rPr>
        <w:t>的试验方法。</w:t>
      </w:r>
      <w:r>
        <w:rPr>
          <w:rFonts w:hint="eastAsia" w:ascii="宋体" w:hAnsi="宋体"/>
          <w:szCs w:val="21"/>
        </w:rPr>
        <w:t>（见第</w:t>
      </w:r>
      <w:r>
        <w:rPr>
          <w:rFonts w:ascii="宋体" w:hAnsi="宋体"/>
          <w:szCs w:val="21"/>
        </w:rPr>
        <w:t>5</w:t>
      </w:r>
      <w:r>
        <w:rPr>
          <w:rFonts w:hint="eastAsia" w:ascii="宋体" w:hAnsi="宋体"/>
          <w:szCs w:val="21"/>
        </w:rPr>
        <w:t>章，</w:t>
      </w:r>
      <w:r>
        <w:rPr>
          <w:rFonts w:ascii="宋体" w:hAnsi="宋体"/>
          <w:szCs w:val="21"/>
        </w:rPr>
        <w:t>2014</w:t>
      </w:r>
      <w:r>
        <w:rPr>
          <w:rFonts w:hint="eastAsia" w:ascii="宋体" w:hAnsi="宋体"/>
          <w:szCs w:val="21"/>
        </w:rPr>
        <w:t>年版的第</w:t>
      </w:r>
      <w:r>
        <w:rPr>
          <w:rFonts w:ascii="宋体" w:hAnsi="宋体"/>
          <w:szCs w:val="21"/>
        </w:rPr>
        <w:t>5</w:t>
      </w:r>
      <w:r>
        <w:rPr>
          <w:rFonts w:hint="eastAsia" w:ascii="宋体" w:hAnsi="宋体"/>
          <w:szCs w:val="21"/>
        </w:rPr>
        <w:t>章）。</w:t>
      </w:r>
    </w:p>
    <w:p>
      <w:pPr>
        <w:ind w:left="420"/>
        <w:rPr>
          <w:szCs w:val="21"/>
        </w:rPr>
      </w:pPr>
      <w:r>
        <w:rPr>
          <w:rFonts w:hint="eastAsia"/>
          <w:szCs w:val="21"/>
        </w:rPr>
        <w:t>请注意本文件</w:t>
      </w:r>
      <w:r>
        <w:rPr>
          <w:szCs w:val="21"/>
        </w:rPr>
        <w:t>的某些内容可能</w:t>
      </w:r>
      <w:r>
        <w:rPr>
          <w:rFonts w:hint="eastAsia"/>
          <w:szCs w:val="21"/>
        </w:rPr>
        <w:t>涉及</w:t>
      </w:r>
      <w:r>
        <w:rPr>
          <w:szCs w:val="21"/>
        </w:rPr>
        <w:t>专利。本文件</w:t>
      </w:r>
      <w:r>
        <w:rPr>
          <w:rFonts w:hint="eastAsia"/>
          <w:szCs w:val="21"/>
        </w:rPr>
        <w:t>的</w:t>
      </w:r>
      <w:r>
        <w:rPr>
          <w:szCs w:val="21"/>
        </w:rPr>
        <w:t>发布机构</w:t>
      </w:r>
      <w:r>
        <w:rPr>
          <w:rFonts w:hint="eastAsia"/>
          <w:szCs w:val="21"/>
        </w:rPr>
        <w:t>不承担</w:t>
      </w:r>
      <w:r>
        <w:rPr>
          <w:szCs w:val="21"/>
        </w:rPr>
        <w:t>识别专利的责任。</w:t>
      </w:r>
    </w:p>
    <w:p>
      <w:pPr>
        <w:pStyle w:val="32"/>
        <w:rPr>
          <w:color w:val="000000"/>
        </w:rPr>
      </w:pPr>
      <w:r>
        <w:rPr>
          <w:rFonts w:hint="eastAsia"/>
          <w:color w:val="000000"/>
        </w:rPr>
        <w:t>本文件由全国半导体设备和材料标准化技术委员会（SAC/TC203）与全国半导体设备和材料标准化技术委员会材料分技术委员会（SAC/TC203/SC2）共同提出并归口。</w:t>
      </w:r>
    </w:p>
    <w:p>
      <w:pPr>
        <w:pStyle w:val="32"/>
        <w:rPr>
          <w:color w:val="000000"/>
        </w:rPr>
      </w:pPr>
      <w:r>
        <w:rPr>
          <w:rFonts w:hint="eastAsia"/>
          <w:color w:val="000000"/>
        </w:rPr>
        <w:t>本文件起草单位：</w:t>
      </w:r>
      <w:r>
        <w:rPr>
          <w:rFonts w:hint="eastAsia"/>
        </w:rPr>
        <w:t>江苏鑫华半导体材料科技有限公司</w:t>
      </w:r>
    </w:p>
    <w:p>
      <w:pPr>
        <w:pStyle w:val="32"/>
        <w:rPr>
          <w:color w:val="000000"/>
        </w:rPr>
      </w:pPr>
      <w:r>
        <w:rPr>
          <w:rFonts w:hint="eastAsia"/>
          <w:color w:val="000000"/>
        </w:rPr>
        <w:t>本文件主要起草人：田新</w:t>
      </w:r>
      <w:r>
        <w:rPr>
          <w:color w:val="000000"/>
        </w:rPr>
        <w:t>、</w:t>
      </w:r>
      <w:r>
        <w:rPr>
          <w:rFonts w:hint="eastAsia"/>
        </w:rPr>
        <w:t>赵培芝、</w:t>
      </w:r>
    </w:p>
    <w:p>
      <w:pPr>
        <w:pStyle w:val="32"/>
      </w:pPr>
      <w:r>
        <w:rPr>
          <w:rFonts w:hint="eastAsia"/>
        </w:rPr>
        <w:t>本文件及其所代替文件的历次版本发布情况为：</w:t>
      </w:r>
    </w:p>
    <w:p>
      <w:pPr>
        <w:pStyle w:val="32"/>
        <w:rPr>
          <w:szCs w:val="21"/>
        </w:rPr>
      </w:pPr>
      <w:r>
        <w:rPr>
          <w:rFonts w:ascii="Times New Roman"/>
          <w:szCs w:val="21"/>
        </w:rPr>
        <w:t>——1991</w:t>
      </w:r>
      <w:r>
        <w:rPr>
          <w:rFonts w:hint="eastAsia" w:ascii="Times New Roman"/>
          <w:szCs w:val="21"/>
        </w:rPr>
        <w:t>年</w:t>
      </w:r>
      <w:r>
        <w:rPr>
          <w:rFonts w:ascii="Times New Roman"/>
          <w:szCs w:val="21"/>
        </w:rPr>
        <w:t>首次发布</w:t>
      </w:r>
      <w:r>
        <w:rPr>
          <w:rFonts w:hint="eastAsia" w:ascii="Times New Roman"/>
          <w:szCs w:val="21"/>
        </w:rPr>
        <w:t>为</w:t>
      </w:r>
      <w:r>
        <w:rPr>
          <w:szCs w:val="21"/>
        </w:rPr>
        <w:t>GB/T 12963-1991</w:t>
      </w:r>
      <w:r>
        <w:rPr>
          <w:rFonts w:hint="eastAsia"/>
          <w:szCs w:val="21"/>
        </w:rPr>
        <w:t>，</w:t>
      </w:r>
      <w:r>
        <w:rPr>
          <w:szCs w:val="21"/>
        </w:rPr>
        <w:t>1996</w:t>
      </w:r>
      <w:r>
        <w:rPr>
          <w:rFonts w:hint="eastAsia"/>
          <w:szCs w:val="21"/>
        </w:rPr>
        <w:t>年</w:t>
      </w:r>
      <w:r>
        <w:rPr>
          <w:szCs w:val="21"/>
        </w:rPr>
        <w:t>第一次修订，2009</w:t>
      </w:r>
      <w:r>
        <w:rPr>
          <w:rFonts w:hint="eastAsia"/>
          <w:szCs w:val="21"/>
        </w:rPr>
        <w:t>年</w:t>
      </w:r>
      <w:r>
        <w:rPr>
          <w:szCs w:val="21"/>
        </w:rPr>
        <w:t>第二次修订</w:t>
      </w:r>
      <w:r>
        <w:rPr>
          <w:rFonts w:hint="eastAsia"/>
          <w:szCs w:val="21"/>
        </w:rPr>
        <w:t>，</w:t>
      </w:r>
      <w:r>
        <w:rPr>
          <w:szCs w:val="21"/>
        </w:rPr>
        <w:t>2014</w:t>
      </w:r>
      <w:r>
        <w:rPr>
          <w:rFonts w:hint="eastAsia"/>
          <w:szCs w:val="21"/>
        </w:rPr>
        <w:t>年</w:t>
      </w:r>
      <w:r>
        <w:rPr>
          <w:szCs w:val="21"/>
        </w:rPr>
        <w:t>第三次修订</w:t>
      </w:r>
      <w:r>
        <w:rPr>
          <w:rFonts w:hint="eastAsia"/>
          <w:szCs w:val="21"/>
        </w:rPr>
        <w:t>。</w:t>
      </w:r>
    </w:p>
    <w:p>
      <w:pPr>
        <w:pStyle w:val="32"/>
        <w:rPr>
          <w:szCs w:val="21"/>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szCs w:val="21"/>
        </w:rPr>
        <w:t>——</w:t>
      </w:r>
      <w:r>
        <w:rPr>
          <w:rFonts w:hint="eastAsia" w:ascii="Times New Roman"/>
          <w:szCs w:val="21"/>
        </w:rPr>
        <w:t>本次</w:t>
      </w:r>
      <w:r>
        <w:rPr>
          <w:rFonts w:ascii="Times New Roman"/>
          <w:szCs w:val="21"/>
        </w:rPr>
        <w:t>为第</w:t>
      </w:r>
      <w:r>
        <w:rPr>
          <w:rFonts w:hint="eastAsia" w:ascii="Times New Roman"/>
          <w:szCs w:val="21"/>
        </w:rPr>
        <w:t>四次</w:t>
      </w:r>
      <w:r>
        <w:rPr>
          <w:rFonts w:ascii="Times New Roman"/>
          <w:szCs w:val="21"/>
        </w:rPr>
        <w:t>修订。</w:t>
      </w:r>
    </w:p>
    <w:p>
      <w:pPr>
        <w:pStyle w:val="59"/>
        <w:rPr>
          <w:color w:val="000000"/>
        </w:rPr>
      </w:pPr>
      <w:r>
        <w:rPr>
          <w:rFonts w:hint="eastAsia"/>
          <w:color w:val="000000"/>
        </w:rPr>
        <w:t>电子级多晶硅</w:t>
      </w:r>
    </w:p>
    <w:p>
      <w:pPr>
        <w:pStyle w:val="54"/>
        <w:spacing w:before="312" w:after="312"/>
        <w:ind w:left="0"/>
        <w:rPr>
          <w:color w:val="000000"/>
        </w:rPr>
      </w:pPr>
      <w:r>
        <w:rPr>
          <w:rFonts w:hint="eastAsia"/>
          <w:color w:val="000000"/>
        </w:rPr>
        <w:t>范围</w:t>
      </w:r>
    </w:p>
    <w:p>
      <w:pPr>
        <w:pStyle w:val="32"/>
        <w:rPr>
          <w:color w:val="000000"/>
        </w:rPr>
      </w:pPr>
      <w:r>
        <w:rPr>
          <w:rFonts w:hint="eastAsia"/>
          <w:color w:val="000000"/>
        </w:rPr>
        <w:t>本文件规定了电子级多晶硅的技术要求、试验方法、检验规则以及标志、包装、运输、储存、质量证明书和订货单</w:t>
      </w:r>
      <w:r>
        <w:rPr>
          <w:color w:val="000000"/>
        </w:rPr>
        <w:t>(</w:t>
      </w:r>
      <w:r>
        <w:rPr>
          <w:rFonts w:hint="eastAsia"/>
          <w:color w:val="000000"/>
        </w:rPr>
        <w:t>或合同</w:t>
      </w:r>
      <w:r>
        <w:rPr>
          <w:color w:val="000000"/>
        </w:rPr>
        <w:t>)</w:t>
      </w:r>
      <w:r>
        <w:rPr>
          <w:rFonts w:hint="eastAsia"/>
          <w:color w:val="000000"/>
        </w:rPr>
        <w:t>内容。</w:t>
      </w:r>
    </w:p>
    <w:p>
      <w:pPr>
        <w:pStyle w:val="32"/>
        <w:rPr>
          <w:sz w:val="9"/>
          <w:szCs w:val="9"/>
        </w:rPr>
      </w:pPr>
      <w:r>
        <w:rPr>
          <w:rFonts w:hint="eastAsia"/>
          <w:color w:val="000000"/>
        </w:rPr>
        <w:t>本文件适用于以氯硅烷、硅烷制得的电子级多晶硅。</w:t>
      </w:r>
    </w:p>
    <w:p>
      <w:pPr>
        <w:pStyle w:val="32"/>
        <w:rPr>
          <w:color w:val="000000"/>
        </w:rPr>
      </w:pPr>
    </w:p>
    <w:p>
      <w:pPr>
        <w:pStyle w:val="54"/>
        <w:spacing w:before="312" w:after="312"/>
        <w:ind w:left="0"/>
        <w:rPr>
          <w:color w:val="000000"/>
        </w:rPr>
      </w:pPr>
      <w:r>
        <w:rPr>
          <w:rFonts w:hint="eastAsia"/>
          <w:color w:val="000000"/>
        </w:rPr>
        <w:t>规范性引用文件</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2"/>
        <w:rPr>
          <w:color w:val="000000"/>
        </w:rPr>
      </w:pPr>
      <w:r>
        <w:rPr>
          <w:color w:val="000000"/>
        </w:rPr>
        <w:t xml:space="preserve">GB/T 1550  </w:t>
      </w:r>
      <w:r>
        <w:rPr>
          <w:rFonts w:hint="eastAsia"/>
          <w:color w:val="000000"/>
        </w:rPr>
        <w:t>非本征半导体材料导电类型测试方法</w:t>
      </w:r>
    </w:p>
    <w:p>
      <w:pPr>
        <w:pStyle w:val="32"/>
        <w:rPr>
          <w:color w:val="000000"/>
        </w:rPr>
      </w:pPr>
      <w:r>
        <w:rPr>
          <w:color w:val="000000"/>
        </w:rPr>
        <w:t xml:space="preserve">GB/T 1551  </w:t>
      </w:r>
      <w:r>
        <w:rPr>
          <w:rFonts w:hint="eastAsia"/>
          <w:color w:val="000000"/>
        </w:rPr>
        <w:t>硅单晶电阻率测定方法</w:t>
      </w:r>
    </w:p>
    <w:p>
      <w:pPr>
        <w:pStyle w:val="32"/>
        <w:rPr>
          <w:ins w:id="0" w:author="作者" w:date=""/>
          <w:color w:val="000000"/>
        </w:rPr>
      </w:pPr>
      <w:r>
        <w:rPr>
          <w:color w:val="000000"/>
        </w:rPr>
        <w:t xml:space="preserve">GB/T 1553  </w:t>
      </w:r>
      <w:r>
        <w:rPr>
          <w:rFonts w:hint="eastAsia"/>
          <w:color w:val="000000"/>
        </w:rPr>
        <w:t>硅和锗体内少数载流子寿命测定光电导衰减法</w:t>
      </w:r>
    </w:p>
    <w:p>
      <w:pPr>
        <w:pStyle w:val="32"/>
        <w:rPr>
          <w:color w:val="000000"/>
        </w:rPr>
      </w:pPr>
      <w:r>
        <w:rPr>
          <w:color w:val="000000"/>
        </w:rPr>
        <w:t xml:space="preserve">GB/T 4061  </w:t>
      </w:r>
      <w:r>
        <w:rPr>
          <w:rFonts w:hint="eastAsia"/>
          <w:color w:val="000000"/>
        </w:rPr>
        <w:t>硅多晶断面夹层化学腐蚀检验方法</w:t>
      </w:r>
    </w:p>
    <w:p>
      <w:pPr>
        <w:pStyle w:val="32"/>
        <w:rPr>
          <w:color w:val="000000"/>
        </w:rPr>
      </w:pPr>
      <w:r>
        <w:rPr>
          <w:color w:val="000000"/>
        </w:rPr>
        <w:t xml:space="preserve">GB/T 14264  </w:t>
      </w:r>
      <w:r>
        <w:rPr>
          <w:rFonts w:hint="eastAsia"/>
          <w:color w:val="000000"/>
        </w:rPr>
        <w:t>半导体材料术语</w:t>
      </w:r>
    </w:p>
    <w:p>
      <w:pPr>
        <w:pStyle w:val="32"/>
        <w:rPr>
          <w:color w:val="000000"/>
        </w:rPr>
      </w:pPr>
      <w:r>
        <w:rPr>
          <w:color w:val="000000"/>
        </w:rPr>
        <w:t xml:space="preserve">GB/T 24574  </w:t>
      </w:r>
      <w:r>
        <w:rPr>
          <w:rFonts w:hint="eastAsia"/>
          <w:color w:val="000000"/>
        </w:rPr>
        <w:t>硅单晶中</w:t>
      </w:r>
      <w:r>
        <w:rPr>
          <w:color w:val="000000"/>
        </w:rPr>
        <w:t>III-V</w:t>
      </w:r>
      <w:r>
        <w:rPr>
          <w:rFonts w:hint="eastAsia"/>
          <w:color w:val="000000"/>
        </w:rPr>
        <w:t>族杂质的光致发光测试方法</w:t>
      </w:r>
    </w:p>
    <w:p>
      <w:pPr>
        <w:pStyle w:val="32"/>
        <w:rPr>
          <w:color w:val="000000"/>
        </w:rPr>
      </w:pPr>
      <w:r>
        <w:rPr>
          <w:color w:val="000000"/>
        </w:rPr>
        <w:t xml:space="preserve">GB/T 24581  </w:t>
      </w:r>
      <w:r>
        <w:rPr>
          <w:rFonts w:hint="eastAsia"/>
          <w:color w:val="000000"/>
        </w:rPr>
        <w:t>低温傅立叶变換红外光谱法测量硅单晶中</w:t>
      </w:r>
      <w:r>
        <w:rPr>
          <w:color w:val="000000"/>
        </w:rPr>
        <w:t>III</w:t>
      </w:r>
      <w:r>
        <w:rPr>
          <w:rFonts w:hint="eastAsia"/>
          <w:color w:val="000000"/>
        </w:rPr>
        <w:t>、</w:t>
      </w:r>
      <w:r>
        <w:rPr>
          <w:color w:val="000000"/>
        </w:rPr>
        <w:t>V</w:t>
      </w:r>
      <w:r>
        <w:rPr>
          <w:rFonts w:hint="eastAsia"/>
          <w:color w:val="000000"/>
        </w:rPr>
        <w:t>族杂质含量的测试方法</w:t>
      </w:r>
    </w:p>
    <w:p>
      <w:pPr>
        <w:pStyle w:val="32"/>
        <w:rPr>
          <w:ins w:id="1" w:author="作者" w:date=""/>
          <w:color w:val="000000"/>
        </w:rPr>
      </w:pPr>
      <w:r>
        <w:rPr>
          <w:color w:val="000000"/>
        </w:rPr>
        <w:t xml:space="preserve">GB/T 24582  </w:t>
      </w:r>
      <w:r>
        <w:rPr>
          <w:rFonts w:hint="eastAsia"/>
          <w:color w:val="000000"/>
        </w:rPr>
        <w:t>酸浸取一电感耦合等离子质谱仪测定多晶硅表面金属杂质</w:t>
      </w:r>
    </w:p>
    <w:p>
      <w:pPr>
        <w:pStyle w:val="32"/>
        <w:rPr>
          <w:color w:val="000000"/>
        </w:rPr>
      </w:pPr>
      <w:r>
        <w:rPr>
          <w:color w:val="000000"/>
        </w:rPr>
        <w:t xml:space="preserve">GB/T 29057  </w:t>
      </w:r>
      <w:r>
        <w:rPr>
          <w:rFonts w:hint="eastAsia"/>
          <w:color w:val="000000"/>
        </w:rPr>
        <w:t>用区熔拉晶法和光谱分析法评价多晶硅棒</w:t>
      </w:r>
    </w:p>
    <w:p>
      <w:pPr>
        <w:pStyle w:val="32"/>
        <w:rPr>
          <w:color w:val="FF0000"/>
          <w:sz w:val="18"/>
          <w:szCs w:val="18"/>
          <w:highlight w:val="yellow"/>
        </w:rPr>
      </w:pPr>
      <w:r>
        <w:rPr>
          <w:color w:val="000000"/>
        </w:rPr>
        <w:t xml:space="preserve">GB/T 35306  </w:t>
      </w:r>
      <w:r>
        <w:rPr>
          <w:rFonts w:hint="eastAsia"/>
          <w:color w:val="000000"/>
        </w:rPr>
        <w:t>硅单晶中碳、氧含量的测定低温傅里叶变换红外光谱法</w:t>
      </w:r>
    </w:p>
    <w:p>
      <w:pPr>
        <w:pStyle w:val="32"/>
      </w:pPr>
    </w:p>
    <w:p>
      <w:pPr>
        <w:pStyle w:val="54"/>
        <w:spacing w:before="312" w:after="312"/>
        <w:ind w:left="0"/>
        <w:rPr>
          <w:color w:val="000000"/>
        </w:rPr>
      </w:pPr>
      <w:r>
        <w:rPr>
          <w:rFonts w:hint="eastAsia"/>
          <w:color w:val="000000"/>
        </w:rPr>
        <w:t>术语和定义</w:t>
      </w:r>
    </w:p>
    <w:p>
      <w:pPr>
        <w:pStyle w:val="32"/>
        <w:rPr>
          <w:color w:val="000000"/>
        </w:rPr>
      </w:pPr>
      <w:r>
        <w:rPr>
          <w:rFonts w:hint="eastAsia"/>
          <w:color w:val="000000"/>
        </w:rPr>
        <w:t>GB/T 14264界定的术语和定义适用于本文件。</w:t>
      </w:r>
    </w:p>
    <w:p>
      <w:pPr>
        <w:pStyle w:val="54"/>
        <w:spacing w:before="312" w:after="312"/>
        <w:ind w:left="0"/>
        <w:rPr>
          <w:color w:val="000000"/>
        </w:rPr>
      </w:pPr>
      <w:r>
        <w:rPr>
          <w:rFonts w:hint="eastAsia"/>
          <w:color w:val="000000"/>
        </w:rPr>
        <w:t>要求</w:t>
      </w:r>
    </w:p>
    <w:p>
      <w:pPr>
        <w:pStyle w:val="168"/>
        <w:widowControl/>
        <w:numPr>
          <w:ilvl w:val="0"/>
          <w:numId w:val="20"/>
        </w:numPr>
        <w:tabs>
          <w:tab w:val="center" w:pos="4201"/>
          <w:tab w:val="right" w:leader="dot" w:pos="9298"/>
        </w:tabs>
        <w:autoSpaceDE w:val="0"/>
        <w:autoSpaceDN w:val="0"/>
        <w:ind w:firstLineChars="0"/>
        <w:rPr>
          <w:rFonts w:ascii="黑体" w:hAnsi="黑体" w:eastAsia="黑体"/>
          <w:vanish/>
          <w:kern w:val="0"/>
          <w:szCs w:val="20"/>
        </w:rPr>
      </w:pPr>
    </w:p>
    <w:p>
      <w:pPr>
        <w:pStyle w:val="168"/>
        <w:widowControl/>
        <w:numPr>
          <w:ilvl w:val="0"/>
          <w:numId w:val="20"/>
        </w:numPr>
        <w:tabs>
          <w:tab w:val="center" w:pos="4201"/>
          <w:tab w:val="right" w:leader="dot" w:pos="9298"/>
        </w:tabs>
        <w:autoSpaceDE w:val="0"/>
        <w:autoSpaceDN w:val="0"/>
        <w:ind w:firstLineChars="0"/>
        <w:rPr>
          <w:rFonts w:ascii="黑体" w:hAnsi="黑体" w:eastAsia="黑体"/>
          <w:vanish/>
          <w:kern w:val="0"/>
          <w:szCs w:val="20"/>
        </w:rPr>
      </w:pPr>
    </w:p>
    <w:p>
      <w:pPr>
        <w:pStyle w:val="168"/>
        <w:widowControl/>
        <w:numPr>
          <w:ilvl w:val="0"/>
          <w:numId w:val="20"/>
        </w:numPr>
        <w:tabs>
          <w:tab w:val="center" w:pos="4201"/>
          <w:tab w:val="right" w:leader="dot" w:pos="9298"/>
        </w:tabs>
        <w:autoSpaceDE w:val="0"/>
        <w:autoSpaceDN w:val="0"/>
        <w:ind w:firstLineChars="0"/>
        <w:rPr>
          <w:rFonts w:ascii="黑体" w:hAnsi="黑体" w:eastAsia="黑体"/>
          <w:vanish/>
          <w:kern w:val="0"/>
          <w:szCs w:val="20"/>
        </w:rPr>
      </w:pPr>
    </w:p>
    <w:p>
      <w:pPr>
        <w:pStyle w:val="168"/>
        <w:widowControl/>
        <w:numPr>
          <w:ilvl w:val="0"/>
          <w:numId w:val="20"/>
        </w:numPr>
        <w:tabs>
          <w:tab w:val="center" w:pos="4201"/>
          <w:tab w:val="right" w:leader="dot" w:pos="9298"/>
        </w:tabs>
        <w:autoSpaceDE w:val="0"/>
        <w:autoSpaceDN w:val="0"/>
        <w:ind w:firstLineChars="0"/>
        <w:rPr>
          <w:rFonts w:ascii="黑体" w:hAnsi="黑体" w:eastAsia="黑体"/>
          <w:vanish/>
          <w:kern w:val="0"/>
          <w:szCs w:val="20"/>
        </w:rPr>
      </w:pPr>
    </w:p>
    <w:p>
      <w:pPr>
        <w:pStyle w:val="32"/>
        <w:numPr>
          <w:ilvl w:val="1"/>
          <w:numId w:val="20"/>
        </w:numPr>
        <w:spacing w:after="156" w:afterLines="50"/>
        <w:ind w:left="578" w:hanging="577" w:hangingChars="275"/>
        <w:rPr>
          <w:rFonts w:ascii="黑体" w:hAnsi="黑体" w:eastAsia="黑体"/>
        </w:rPr>
      </w:pPr>
      <w:r>
        <w:rPr>
          <w:rFonts w:hint="eastAsia" w:ascii="黑体" w:hAnsi="黑体" w:eastAsia="黑体"/>
        </w:rPr>
        <w:t>产品牌号</w:t>
      </w:r>
      <w:r>
        <w:rPr>
          <w:rFonts w:ascii="黑体" w:hAnsi="黑体" w:eastAsia="黑体"/>
        </w:rPr>
        <w:t>及</w:t>
      </w:r>
      <w:r>
        <w:rPr>
          <w:rFonts w:hint="eastAsia" w:ascii="黑体" w:hAnsi="黑体" w:eastAsia="黑体"/>
        </w:rPr>
        <w:t>类别</w:t>
      </w:r>
    </w:p>
    <w:p>
      <w:pPr>
        <w:pStyle w:val="168"/>
        <w:keepNext/>
        <w:keepLines/>
        <w:numPr>
          <w:ilvl w:val="0"/>
          <w:numId w:val="21"/>
        </w:numPr>
        <w:spacing w:before="340" w:after="330" w:line="578" w:lineRule="auto"/>
        <w:ind w:firstLineChars="0"/>
        <w:outlineLvl w:val="0"/>
        <w:rPr>
          <w:b/>
          <w:bCs/>
          <w:vanish/>
          <w:kern w:val="44"/>
          <w:sz w:val="44"/>
          <w:szCs w:val="44"/>
        </w:rPr>
      </w:pPr>
    </w:p>
    <w:p>
      <w:pPr>
        <w:pStyle w:val="168"/>
        <w:keepNext/>
        <w:keepLines/>
        <w:numPr>
          <w:ilvl w:val="0"/>
          <w:numId w:val="21"/>
        </w:numPr>
        <w:spacing w:before="340" w:after="330" w:line="578" w:lineRule="auto"/>
        <w:ind w:firstLineChars="0"/>
        <w:outlineLvl w:val="0"/>
        <w:rPr>
          <w:b/>
          <w:bCs/>
          <w:vanish/>
          <w:kern w:val="44"/>
          <w:sz w:val="44"/>
          <w:szCs w:val="44"/>
        </w:rPr>
      </w:pPr>
    </w:p>
    <w:p>
      <w:pPr>
        <w:pStyle w:val="168"/>
        <w:keepNext/>
        <w:keepLines/>
        <w:numPr>
          <w:ilvl w:val="0"/>
          <w:numId w:val="21"/>
        </w:numPr>
        <w:spacing w:before="340" w:after="330" w:line="578" w:lineRule="auto"/>
        <w:ind w:firstLineChars="0"/>
        <w:outlineLvl w:val="0"/>
        <w:rPr>
          <w:b/>
          <w:bCs/>
          <w:vanish/>
          <w:kern w:val="44"/>
          <w:sz w:val="44"/>
          <w:szCs w:val="44"/>
        </w:rPr>
      </w:pPr>
    </w:p>
    <w:p>
      <w:pPr>
        <w:pStyle w:val="168"/>
        <w:keepNext/>
        <w:keepLines/>
        <w:numPr>
          <w:ilvl w:val="0"/>
          <w:numId w:val="21"/>
        </w:numPr>
        <w:spacing w:before="340" w:after="330" w:line="578" w:lineRule="auto"/>
        <w:ind w:firstLineChars="0"/>
        <w:outlineLvl w:val="0"/>
        <w:rPr>
          <w:b/>
          <w:bCs/>
          <w:vanish/>
          <w:kern w:val="44"/>
          <w:sz w:val="44"/>
          <w:szCs w:val="44"/>
        </w:rPr>
      </w:pPr>
    </w:p>
    <w:p>
      <w:pPr>
        <w:pStyle w:val="168"/>
        <w:keepNext/>
        <w:keepLines/>
        <w:numPr>
          <w:ilvl w:val="1"/>
          <w:numId w:val="21"/>
        </w:numPr>
        <w:spacing w:before="260" w:after="260" w:line="416" w:lineRule="auto"/>
        <w:ind w:firstLineChars="0"/>
        <w:outlineLvl w:val="1"/>
        <w:rPr>
          <w:rFonts w:asciiTheme="majorHAnsi" w:hAnsiTheme="majorHAnsi" w:eastAsiaTheme="majorEastAsia" w:cstheme="majorBidi"/>
          <w:b/>
          <w:bCs/>
          <w:vanish/>
          <w:sz w:val="32"/>
          <w:szCs w:val="32"/>
        </w:rPr>
      </w:pPr>
    </w:p>
    <w:p>
      <w:pPr>
        <w:pStyle w:val="168"/>
        <w:numPr>
          <w:ilvl w:val="0"/>
          <w:numId w:val="22"/>
        </w:numPr>
        <w:ind w:firstLineChars="0"/>
        <w:rPr>
          <w:vanish/>
        </w:rPr>
      </w:pPr>
    </w:p>
    <w:p>
      <w:pPr>
        <w:pStyle w:val="168"/>
        <w:numPr>
          <w:ilvl w:val="0"/>
          <w:numId w:val="22"/>
        </w:numPr>
        <w:ind w:firstLineChars="0"/>
        <w:rPr>
          <w:vanish/>
        </w:rPr>
      </w:pPr>
    </w:p>
    <w:p>
      <w:pPr>
        <w:pStyle w:val="168"/>
        <w:numPr>
          <w:ilvl w:val="0"/>
          <w:numId w:val="22"/>
        </w:numPr>
        <w:ind w:firstLineChars="0"/>
        <w:rPr>
          <w:vanish/>
        </w:rPr>
      </w:pPr>
    </w:p>
    <w:p>
      <w:pPr>
        <w:pStyle w:val="168"/>
        <w:numPr>
          <w:ilvl w:val="0"/>
          <w:numId w:val="22"/>
        </w:numPr>
        <w:ind w:firstLineChars="0"/>
        <w:rPr>
          <w:vanish/>
        </w:rPr>
      </w:pPr>
    </w:p>
    <w:p>
      <w:pPr>
        <w:pStyle w:val="168"/>
        <w:numPr>
          <w:ilvl w:val="1"/>
          <w:numId w:val="22"/>
        </w:numPr>
        <w:ind w:firstLineChars="0"/>
        <w:rPr>
          <w:vanish/>
        </w:rPr>
      </w:pPr>
    </w:p>
    <w:p>
      <w:pPr>
        <w:pStyle w:val="168"/>
        <w:numPr>
          <w:ilvl w:val="2"/>
          <w:numId w:val="22"/>
        </w:numPr>
        <w:ind w:firstLineChars="0"/>
      </w:pPr>
      <w:r>
        <w:rPr>
          <w:rFonts w:hint="eastAsia"/>
        </w:rPr>
        <w:t>电子</w:t>
      </w:r>
      <w:r>
        <w:t>级多晶硅的牌号表示为</w:t>
      </w:r>
    </w:p>
    <w:p>
      <w:pPr>
        <w:pStyle w:val="32"/>
        <w:ind w:left="567" w:firstLine="1470" w:firstLineChars="700"/>
        <w:rPr>
          <w:color w:val="434343"/>
          <w:sz w:val="20"/>
        </w:rPr>
      </w:pPr>
      <w:r>
        <w:rPr>
          <w:color w:val="000000" w:themeColor="text1"/>
          <w:szCs w:val="21"/>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1328420</wp:posOffset>
                </wp:positionH>
                <wp:positionV relativeFrom="paragraph">
                  <wp:posOffset>196215</wp:posOffset>
                </wp:positionV>
                <wp:extent cx="1762125" cy="504825"/>
                <wp:effectExtent l="0" t="0" r="9525" b="28575"/>
                <wp:wrapNone/>
                <wp:docPr id="7" name="肘形连接符 7"/>
                <wp:cNvGraphicFramePr/>
                <a:graphic xmlns:a="http://schemas.openxmlformats.org/drawingml/2006/main">
                  <a:graphicData uri="http://schemas.microsoft.com/office/word/2010/wordprocessingShape">
                    <wps:wsp>
                      <wps:cNvCnPr/>
                      <wps:spPr>
                        <a:xfrm>
                          <a:off x="0" y="0"/>
                          <a:ext cx="1762125" cy="504825"/>
                        </a:xfrm>
                        <a:prstGeom prst="bentConnector3">
                          <a:avLst>
                            <a:gd name="adj1" fmla="val 2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04.6pt;margin-top:15.45pt;height:39.75pt;width:138.75pt;z-index:251656192;mso-width-relative:page;mso-height-relative:page;" filled="f" stroked="t" coordsize="21600,21600" o:gfxdata="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GKSW9gAAAAKAQAA&#10;DwAAAAAAAAABACAAAAAiAAAAZHJzL2Rvd25yZXYueG1sUEsBAhQAFAAAAAgAh07iQGXaF6TgAQAA&#10;hgMAAA4AAAAAAAAAAQAgAAAAJwEAAGRycy9lMm9Eb2MueG1sUEsFBgAAAAAGAAYAWQEAAHkFAAAA&#10;AA==&#10;" adj="57">
                <v:fill on="f" focussize="0,0"/>
                <v:stroke color="#000000 [3213]" joinstyle="round"/>
                <v:imagedata o:title=""/>
                <o:lock v:ext="edit" aspectratio="f"/>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2004695</wp:posOffset>
                </wp:positionH>
                <wp:positionV relativeFrom="paragraph">
                  <wp:posOffset>196215</wp:posOffset>
                </wp:positionV>
                <wp:extent cx="1085850" cy="95250"/>
                <wp:effectExtent l="0" t="0" r="19050" b="19050"/>
                <wp:wrapNone/>
                <wp:docPr id="9" name="肘形连接符 9"/>
                <wp:cNvGraphicFramePr/>
                <a:graphic xmlns:a="http://schemas.openxmlformats.org/drawingml/2006/main">
                  <a:graphicData uri="http://schemas.microsoft.com/office/word/2010/wordprocessingShape">
                    <wps:wsp>
                      <wps:cNvCnPr/>
                      <wps:spPr>
                        <a:xfrm>
                          <a:off x="0" y="0"/>
                          <a:ext cx="1085850" cy="95250"/>
                        </a:xfrm>
                        <a:prstGeom prst="bentConnector3">
                          <a:avLst>
                            <a:gd name="adj1" fmla="val 2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57.85pt;margin-top:15.45pt;height:7.5pt;width:85.5pt;z-index:251659264;mso-width-relative:page;mso-height-relative:page;" filled="f" stroked="t" coordsize="21600,21600" o:gfxdata="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wFJ2dYAAAAJAQAADwAAAAAA&#10;AAABACAAAAAiAAAAZHJzL2Rvd25yZXYueG1sUEsBAhQAFAAAAAgAh07iQN0wu9TcAQAAhQMAAA4A&#10;AAAAAAAAAQAgAAAAJQEAAGRycy9lMm9Eb2MueG1sUEsFBgAAAAAGAAYAWQEAAHMFAAAAAA==&#10;" adj="57">
                <v:fill on="f" focussize="0,0"/>
                <v:stroke color="#000000 [3213]" joinstyle="round"/>
                <v:imagedata o:title=""/>
                <o:lock v:ext="edit" aspectratio="f"/>
              </v:shape>
            </w:pict>
          </mc:Fallback>
        </mc:AlternateContent>
      </w:r>
      <w:r>
        <w:rPr>
          <w:color w:val="0E0E0E"/>
          <w:szCs w:val="21"/>
        </w:rPr>
        <w:t>EPSi</w:t>
      </w:r>
      <w:r>
        <w:rPr>
          <w:rFonts w:hint="eastAsia"/>
          <w:color w:val="0E0E0E"/>
          <w:sz w:val="20"/>
        </w:rPr>
        <w:t>一</w:t>
      </w:r>
      <w:r>
        <w:rPr>
          <w:rFonts w:hint="eastAsia"/>
          <w:color w:val="434343"/>
          <w:szCs w:val="21"/>
        </w:rPr>
        <w:t>口</w:t>
      </w:r>
      <w:r>
        <w:rPr>
          <w:rFonts w:hint="eastAsia"/>
          <w:color w:val="434343"/>
          <w:sz w:val="20"/>
        </w:rPr>
        <w:t>一</w:t>
      </w:r>
      <w:r>
        <w:rPr>
          <w:rFonts w:hint="eastAsia"/>
          <w:color w:val="434343"/>
          <w:szCs w:val="21"/>
        </w:rPr>
        <w:t>口</w:t>
      </w:r>
      <w:r>
        <w:rPr>
          <w:rFonts w:hint="eastAsia"/>
          <w:color w:val="434343"/>
          <w:sz w:val="20"/>
        </w:rPr>
        <w:t xml:space="preserve">                  </w:t>
      </w:r>
    </w:p>
    <w:p>
      <w:pPr>
        <w:pStyle w:val="32"/>
        <w:ind w:left="567" w:firstLine="1470" w:firstLineChars="700"/>
        <w:rPr>
          <w:color w:val="000000"/>
        </w:rPr>
      </w:pPr>
      <w:r>
        <w:rPr>
          <w:color w:val="000000" w:themeColor="text1"/>
          <w:szCs w:val="2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1737995</wp:posOffset>
                </wp:positionH>
                <wp:positionV relativeFrom="paragraph">
                  <wp:posOffset>7620</wp:posOffset>
                </wp:positionV>
                <wp:extent cx="1352550" cy="276225"/>
                <wp:effectExtent l="0" t="0" r="19050" b="28575"/>
                <wp:wrapNone/>
                <wp:docPr id="8" name="肘形连接符 8"/>
                <wp:cNvGraphicFramePr/>
                <a:graphic xmlns:a="http://schemas.openxmlformats.org/drawingml/2006/main">
                  <a:graphicData uri="http://schemas.microsoft.com/office/word/2010/wordprocessingShape">
                    <wps:wsp>
                      <wps:cNvCnPr/>
                      <wps:spPr>
                        <a:xfrm>
                          <a:off x="0" y="0"/>
                          <a:ext cx="1352550" cy="276225"/>
                        </a:xfrm>
                        <a:prstGeom prst="bentConnector3">
                          <a:avLst>
                            <a:gd name="adj1" fmla="val 2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36.85pt;margin-top:0.6pt;height:21.75pt;width:106.5pt;z-index:251658240;mso-width-relative:page;mso-height-relative:page;" filled="f" stroked="t" coordsize="21600,21600" o:gfxdata="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wO4RdUAAAAIAQAADwAA&#10;AAAAAAABACAAAAAiAAAAZHJzL2Rvd25yZXYueG1sUEsBAhQAFAAAAAgAh07iQNRmbvbgAQAAhgMA&#10;AA4AAAAAAAAAAQAgAAAAJAEAAGRycy9lMm9Eb2MueG1sUEsFBgAAAAAGAAYAWQEAAHYFAAAAAA==&#10;" adj="57">
                <v:fill on="f" focussize="0,0"/>
                <v:stroke color="#000000 [3213]" joinstyle="round"/>
                <v:imagedata o:title=""/>
                <o:lock v:ext="edit" aspectratio="f"/>
              </v:shape>
            </w:pict>
          </mc:Fallback>
        </mc:AlternateContent>
      </w:r>
      <w:r>
        <w:rPr>
          <w:color w:val="0E0E0E"/>
          <w:sz w:val="20"/>
        </w:rPr>
        <w:t xml:space="preserve">                             </w:t>
      </w:r>
      <w:r>
        <w:rPr>
          <w:rFonts w:hint="eastAsia"/>
          <w:color w:val="000000"/>
        </w:rPr>
        <w:t>阿拉伯数字表示多晶硅等级</w:t>
      </w:r>
    </w:p>
    <w:p>
      <w:pPr>
        <w:pStyle w:val="32"/>
        <w:ind w:left="567" w:firstLine="4410" w:firstLineChars="2100"/>
        <w:rPr>
          <w:color w:val="000000"/>
        </w:rPr>
      </w:pPr>
      <w:r>
        <w:rPr>
          <w:rFonts w:hint="eastAsia"/>
          <w:color w:val="000000"/>
        </w:rPr>
        <w:t>多晶硅形状</w:t>
      </w:r>
      <w:r>
        <w:rPr>
          <w:color w:val="000000"/>
        </w:rPr>
        <w:t>,I</w:t>
      </w:r>
      <w:r>
        <w:rPr>
          <w:rFonts w:hint="eastAsia"/>
          <w:color w:val="000000"/>
        </w:rPr>
        <w:t>为棒状</w:t>
      </w:r>
      <w:r>
        <w:rPr>
          <w:color w:val="000000"/>
        </w:rPr>
        <w:t>,N</w:t>
      </w:r>
      <w:r>
        <w:rPr>
          <w:rFonts w:hint="eastAsia"/>
          <w:color w:val="000000"/>
        </w:rPr>
        <w:t>为块状</w:t>
      </w:r>
    </w:p>
    <w:p>
      <w:pPr>
        <w:pStyle w:val="32"/>
        <w:ind w:left="567" w:firstLine="1470" w:firstLineChars="700"/>
        <w:rPr>
          <w:color w:val="000000"/>
        </w:rPr>
      </w:pPr>
      <w:r>
        <w:rPr>
          <w:rFonts w:hint="eastAsia"/>
          <w:color w:val="000000"/>
        </w:rPr>
        <w:t xml:space="preserve">                            电子级多晶硅</w:t>
      </w:r>
    </w:p>
    <w:p>
      <w:pPr>
        <w:pStyle w:val="168"/>
        <w:widowControl/>
        <w:numPr>
          <w:ilvl w:val="0"/>
          <w:numId w:val="23"/>
        </w:numPr>
        <w:tabs>
          <w:tab w:val="center" w:pos="4201"/>
          <w:tab w:val="right" w:leader="dot" w:pos="9298"/>
        </w:tabs>
        <w:autoSpaceDE w:val="0"/>
        <w:autoSpaceDN w:val="0"/>
        <w:ind w:firstLineChars="0"/>
        <w:rPr>
          <w:rFonts w:ascii="宋体"/>
          <w:vanish/>
          <w:color w:val="000000"/>
          <w:kern w:val="0"/>
          <w:szCs w:val="20"/>
        </w:rPr>
      </w:pPr>
    </w:p>
    <w:p>
      <w:pPr>
        <w:pStyle w:val="168"/>
        <w:widowControl/>
        <w:numPr>
          <w:ilvl w:val="0"/>
          <w:numId w:val="23"/>
        </w:numPr>
        <w:tabs>
          <w:tab w:val="center" w:pos="4201"/>
          <w:tab w:val="right" w:leader="dot" w:pos="9298"/>
        </w:tabs>
        <w:autoSpaceDE w:val="0"/>
        <w:autoSpaceDN w:val="0"/>
        <w:ind w:firstLineChars="0"/>
        <w:rPr>
          <w:rFonts w:ascii="宋体"/>
          <w:vanish/>
          <w:color w:val="000000"/>
          <w:kern w:val="0"/>
          <w:szCs w:val="20"/>
        </w:rPr>
      </w:pPr>
    </w:p>
    <w:p>
      <w:pPr>
        <w:pStyle w:val="168"/>
        <w:widowControl/>
        <w:numPr>
          <w:ilvl w:val="0"/>
          <w:numId w:val="23"/>
        </w:numPr>
        <w:tabs>
          <w:tab w:val="center" w:pos="4201"/>
          <w:tab w:val="right" w:leader="dot" w:pos="9298"/>
        </w:tabs>
        <w:autoSpaceDE w:val="0"/>
        <w:autoSpaceDN w:val="0"/>
        <w:ind w:firstLineChars="0"/>
        <w:rPr>
          <w:rFonts w:ascii="宋体"/>
          <w:vanish/>
          <w:color w:val="000000"/>
          <w:kern w:val="0"/>
          <w:szCs w:val="20"/>
        </w:rPr>
      </w:pPr>
    </w:p>
    <w:p>
      <w:pPr>
        <w:pStyle w:val="168"/>
        <w:widowControl/>
        <w:numPr>
          <w:ilvl w:val="0"/>
          <w:numId w:val="23"/>
        </w:numPr>
        <w:tabs>
          <w:tab w:val="center" w:pos="4201"/>
          <w:tab w:val="right" w:leader="dot" w:pos="9298"/>
        </w:tabs>
        <w:autoSpaceDE w:val="0"/>
        <w:autoSpaceDN w:val="0"/>
        <w:ind w:firstLineChars="0"/>
        <w:rPr>
          <w:rFonts w:ascii="宋体"/>
          <w:vanish/>
          <w:color w:val="000000"/>
          <w:kern w:val="0"/>
          <w:szCs w:val="20"/>
        </w:rPr>
      </w:pPr>
    </w:p>
    <w:p>
      <w:pPr>
        <w:pStyle w:val="168"/>
        <w:widowControl/>
        <w:numPr>
          <w:ilvl w:val="1"/>
          <w:numId w:val="23"/>
        </w:numPr>
        <w:tabs>
          <w:tab w:val="center" w:pos="4201"/>
          <w:tab w:val="right" w:leader="dot" w:pos="9298"/>
        </w:tabs>
        <w:autoSpaceDE w:val="0"/>
        <w:autoSpaceDN w:val="0"/>
        <w:ind w:firstLineChars="0"/>
        <w:rPr>
          <w:rFonts w:ascii="宋体"/>
          <w:vanish/>
          <w:color w:val="000000"/>
          <w:kern w:val="0"/>
          <w:szCs w:val="20"/>
        </w:rPr>
      </w:pPr>
    </w:p>
    <w:p>
      <w:pPr>
        <w:pStyle w:val="168"/>
        <w:widowControl/>
        <w:numPr>
          <w:ilvl w:val="2"/>
          <w:numId w:val="23"/>
        </w:numPr>
        <w:tabs>
          <w:tab w:val="center" w:pos="4201"/>
          <w:tab w:val="right" w:leader="dot" w:pos="9298"/>
        </w:tabs>
        <w:autoSpaceDE w:val="0"/>
        <w:autoSpaceDN w:val="0"/>
        <w:ind w:firstLineChars="0"/>
        <w:rPr>
          <w:rFonts w:ascii="宋体"/>
          <w:vanish/>
          <w:color w:val="000000"/>
          <w:kern w:val="0"/>
          <w:szCs w:val="20"/>
        </w:rPr>
      </w:pPr>
    </w:p>
    <w:p>
      <w:pPr>
        <w:pStyle w:val="32"/>
        <w:numPr>
          <w:ilvl w:val="2"/>
          <w:numId w:val="23"/>
        </w:numPr>
        <w:spacing w:after="156" w:afterLines="50"/>
        <w:ind w:hangingChars="343"/>
        <w:rPr>
          <w:color w:val="000000"/>
        </w:rPr>
      </w:pPr>
      <w:r>
        <w:rPr>
          <w:rFonts w:hint="eastAsia"/>
          <w:color w:val="000000"/>
        </w:rPr>
        <w:t>电子级多晶硅按外形分为块状多晶硅和棒状多晶硅</w:t>
      </w:r>
      <w:r>
        <w:rPr>
          <w:color w:val="000000"/>
        </w:rPr>
        <w:t>,</w:t>
      </w:r>
      <w:r>
        <w:rPr>
          <w:rFonts w:hint="eastAsia"/>
          <w:color w:val="000000"/>
        </w:rPr>
        <w:t>根据导电类型分为</w:t>
      </w:r>
      <w:r>
        <w:rPr>
          <w:color w:val="000000"/>
        </w:rPr>
        <w:t>N</w:t>
      </w:r>
      <w:r>
        <w:rPr>
          <w:rFonts w:hint="eastAsia"/>
          <w:color w:val="000000"/>
        </w:rPr>
        <w:t>型和</w:t>
      </w:r>
      <w:r>
        <w:rPr>
          <w:color w:val="000000"/>
        </w:rPr>
        <w:t>P</w:t>
      </w:r>
      <w:r>
        <w:rPr>
          <w:rFonts w:hint="eastAsia"/>
          <w:color w:val="000000"/>
        </w:rPr>
        <w:t>型</w:t>
      </w:r>
      <w:r>
        <w:rPr>
          <w:color w:val="000000"/>
        </w:rPr>
        <w:t>,</w:t>
      </w:r>
      <w:r>
        <w:rPr>
          <w:rFonts w:hint="eastAsia"/>
          <w:color w:val="000000"/>
        </w:rPr>
        <w:t>直拉用</w:t>
      </w:r>
      <w:r>
        <w:rPr>
          <w:color w:val="000000"/>
        </w:rPr>
        <w:t>电子级多晶硅</w:t>
      </w:r>
      <w:r>
        <w:rPr>
          <w:rFonts w:hint="eastAsia"/>
          <w:color w:val="000000"/>
        </w:rPr>
        <w:t>根据纯度的</w:t>
      </w:r>
      <w:r>
        <w:rPr>
          <w:color w:val="000000"/>
        </w:rPr>
        <w:t>差别分为2</w:t>
      </w:r>
      <w:r>
        <w:rPr>
          <w:rFonts w:hint="eastAsia"/>
          <w:color w:val="000000"/>
        </w:rPr>
        <w:t>级</w:t>
      </w:r>
      <w:r>
        <w:rPr>
          <w:color w:val="000000"/>
        </w:rPr>
        <w:t>。</w:t>
      </w:r>
    </w:p>
    <w:p>
      <w:pPr>
        <w:pStyle w:val="168"/>
        <w:widowControl/>
        <w:numPr>
          <w:ilvl w:val="0"/>
          <w:numId w:val="24"/>
        </w:numPr>
        <w:tabs>
          <w:tab w:val="center" w:pos="4201"/>
          <w:tab w:val="right" w:leader="dot" w:pos="9298"/>
        </w:tabs>
        <w:autoSpaceDE w:val="0"/>
        <w:autoSpaceDN w:val="0"/>
        <w:ind w:firstLineChars="0"/>
        <w:rPr>
          <w:rFonts w:ascii="宋体"/>
          <w:vanish/>
          <w:color w:val="000000"/>
          <w:kern w:val="0"/>
          <w:szCs w:val="21"/>
        </w:rPr>
      </w:pPr>
    </w:p>
    <w:p>
      <w:pPr>
        <w:pStyle w:val="168"/>
        <w:widowControl/>
        <w:numPr>
          <w:ilvl w:val="0"/>
          <w:numId w:val="24"/>
        </w:numPr>
        <w:tabs>
          <w:tab w:val="center" w:pos="4201"/>
          <w:tab w:val="right" w:leader="dot" w:pos="9298"/>
        </w:tabs>
        <w:autoSpaceDE w:val="0"/>
        <w:autoSpaceDN w:val="0"/>
        <w:ind w:firstLineChars="0"/>
        <w:rPr>
          <w:rFonts w:ascii="宋体"/>
          <w:vanish/>
          <w:color w:val="000000"/>
          <w:kern w:val="0"/>
          <w:szCs w:val="21"/>
        </w:rPr>
      </w:pPr>
    </w:p>
    <w:p>
      <w:pPr>
        <w:pStyle w:val="168"/>
        <w:widowControl/>
        <w:numPr>
          <w:ilvl w:val="0"/>
          <w:numId w:val="24"/>
        </w:numPr>
        <w:tabs>
          <w:tab w:val="center" w:pos="4201"/>
          <w:tab w:val="right" w:leader="dot" w:pos="9298"/>
        </w:tabs>
        <w:autoSpaceDE w:val="0"/>
        <w:autoSpaceDN w:val="0"/>
        <w:ind w:firstLineChars="0"/>
        <w:rPr>
          <w:rFonts w:ascii="宋体"/>
          <w:vanish/>
          <w:color w:val="000000"/>
          <w:kern w:val="0"/>
          <w:szCs w:val="21"/>
        </w:rPr>
      </w:pPr>
    </w:p>
    <w:p>
      <w:pPr>
        <w:pStyle w:val="168"/>
        <w:widowControl/>
        <w:numPr>
          <w:ilvl w:val="0"/>
          <w:numId w:val="24"/>
        </w:numPr>
        <w:tabs>
          <w:tab w:val="center" w:pos="4201"/>
          <w:tab w:val="right" w:leader="dot" w:pos="9298"/>
        </w:tabs>
        <w:autoSpaceDE w:val="0"/>
        <w:autoSpaceDN w:val="0"/>
        <w:ind w:firstLineChars="0"/>
        <w:rPr>
          <w:rFonts w:ascii="宋体"/>
          <w:vanish/>
          <w:color w:val="000000"/>
          <w:kern w:val="0"/>
          <w:szCs w:val="21"/>
        </w:rPr>
      </w:pPr>
    </w:p>
    <w:p>
      <w:pPr>
        <w:pStyle w:val="168"/>
        <w:widowControl/>
        <w:numPr>
          <w:ilvl w:val="1"/>
          <w:numId w:val="24"/>
        </w:numPr>
        <w:tabs>
          <w:tab w:val="center" w:pos="4201"/>
          <w:tab w:val="right" w:leader="dot" w:pos="9298"/>
        </w:tabs>
        <w:autoSpaceDE w:val="0"/>
        <w:autoSpaceDN w:val="0"/>
        <w:ind w:firstLineChars="0"/>
        <w:rPr>
          <w:rFonts w:ascii="宋体"/>
          <w:vanish/>
          <w:color w:val="000000"/>
          <w:kern w:val="0"/>
          <w:szCs w:val="21"/>
        </w:rPr>
      </w:pPr>
    </w:p>
    <w:p>
      <w:pPr>
        <w:pStyle w:val="32"/>
        <w:numPr>
          <w:ilvl w:val="1"/>
          <w:numId w:val="24"/>
        </w:numPr>
        <w:spacing w:before="156" w:beforeLines="50" w:after="156" w:afterLines="50"/>
        <w:ind w:left="578" w:hanging="577" w:hangingChars="275"/>
        <w:rPr>
          <w:rFonts w:ascii="黑体" w:hAnsi="黑体" w:eastAsia="黑体"/>
          <w:color w:val="000000"/>
          <w:szCs w:val="21"/>
        </w:rPr>
      </w:pPr>
      <w:r>
        <w:rPr>
          <w:rFonts w:hint="eastAsia" w:ascii="黑体" w:hAnsi="黑体" w:eastAsia="黑体"/>
          <w:color w:val="000000"/>
          <w:szCs w:val="21"/>
        </w:rPr>
        <w:t>等级</w:t>
      </w:r>
    </w:p>
    <w:p>
      <w:pPr>
        <w:ind w:firstLine="420" w:firstLineChars="200"/>
        <w:rPr>
          <w:rFonts w:asciiTheme="minorEastAsia" w:hAnsiTheme="minorEastAsia" w:eastAsiaTheme="minorEastAsia"/>
          <w:color w:val="020202"/>
          <w:kern w:val="0"/>
          <w:szCs w:val="21"/>
        </w:rPr>
      </w:pPr>
      <w:r>
        <w:rPr>
          <w:rFonts w:hint="eastAsia" w:asciiTheme="minorEastAsia" w:hAnsiTheme="minorEastAsia" w:eastAsiaTheme="minorEastAsia"/>
          <w:color w:val="020202"/>
          <w:szCs w:val="21"/>
        </w:rPr>
        <w:t>直拉用电子级多晶硅</w:t>
      </w:r>
      <w:r>
        <w:rPr>
          <w:rFonts w:asciiTheme="minorEastAsia" w:hAnsiTheme="minorEastAsia" w:eastAsiaTheme="minorEastAsia"/>
          <w:color w:val="020202"/>
          <w:szCs w:val="21"/>
        </w:rPr>
        <w:t>的等级及</w:t>
      </w:r>
      <w:r>
        <w:rPr>
          <w:rFonts w:hint="eastAsia" w:asciiTheme="minorEastAsia" w:hAnsiTheme="minorEastAsia" w:eastAsiaTheme="minorEastAsia"/>
          <w:color w:val="020202"/>
          <w:szCs w:val="21"/>
        </w:rPr>
        <w:t>相关</w:t>
      </w:r>
      <w:r>
        <w:rPr>
          <w:rFonts w:asciiTheme="minorEastAsia" w:hAnsiTheme="minorEastAsia" w:eastAsiaTheme="minorEastAsia"/>
          <w:color w:val="020202"/>
          <w:szCs w:val="21"/>
        </w:rPr>
        <w:t>技术指标应符合表</w:t>
      </w:r>
      <w:r>
        <w:rPr>
          <w:rFonts w:hint="eastAsia" w:asciiTheme="minorEastAsia" w:hAnsiTheme="minorEastAsia" w:eastAsiaTheme="minorEastAsia"/>
          <w:color w:val="020202"/>
          <w:szCs w:val="21"/>
        </w:rPr>
        <w:t>1的</w:t>
      </w:r>
      <w:r>
        <w:rPr>
          <w:rFonts w:asciiTheme="minorEastAsia" w:hAnsiTheme="minorEastAsia" w:eastAsiaTheme="minorEastAsia"/>
          <w:color w:val="020202"/>
          <w:szCs w:val="21"/>
        </w:rPr>
        <w:t>规定，</w:t>
      </w:r>
      <w:r>
        <w:rPr>
          <w:rFonts w:hint="eastAsia" w:asciiTheme="minorEastAsia" w:hAnsiTheme="minorEastAsia" w:eastAsiaTheme="minorEastAsia"/>
          <w:color w:val="020202"/>
          <w:kern w:val="0"/>
          <w:szCs w:val="21"/>
        </w:rPr>
        <w:t>区熔用电子级多晶硅的等级及相关技术指标应符合表2的规定。</w:t>
      </w:r>
    </w:p>
    <w:p>
      <w:pPr>
        <w:spacing w:before="100" w:beforeAutospacing="1" w:line="190" w:lineRule="exact"/>
        <w:ind w:left="-4" w:leftChars="-2" w:right="-108" w:firstLine="2937"/>
        <w:rPr>
          <w:rFonts w:ascii="黑体" w:hAnsi="黑体" w:eastAsia="黑体"/>
          <w:szCs w:val="21"/>
        </w:rPr>
      </w:pPr>
      <w:r>
        <w:rPr>
          <w:rFonts w:hint="eastAsia" w:ascii="黑体" w:hAnsi="黑体" w:eastAsia="黑体"/>
          <w:color w:val="010101"/>
          <w:szCs w:val="21"/>
        </w:rPr>
        <w:t>表1  直拉用电子级多晶硅等级及技术要求</w:t>
      </w:r>
    </w:p>
    <w:tbl>
      <w:tblPr>
        <w:tblStyle w:val="41"/>
        <w:tblpPr w:leftFromText="1002" w:rightFromText="1244" w:topFromText="253" w:vertAnchor="text" w:horzAnchor="page" w:tblpX="1493" w:tblpY="25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85"/>
        <w:gridCol w:w="3270"/>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exact"/>
        </w:trPr>
        <w:tc>
          <w:tcPr>
            <w:tcW w:w="1220" w:type="pct"/>
            <w:vMerge w:val="restart"/>
          </w:tcPr>
          <w:p>
            <w:pPr>
              <w:spacing w:before="241" w:line="168" w:lineRule="exact"/>
              <w:ind w:left="-4" w:leftChars="-2" w:firstLine="933"/>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3780" w:type="pct"/>
            <w:gridSpan w:val="2"/>
            <w:vAlign w:val="center"/>
          </w:tcPr>
          <w:p>
            <w:pPr>
              <w:spacing w:before="68" w:line="162" w:lineRule="exact"/>
              <w:jc w:val="center"/>
              <w:rPr>
                <w:rFonts w:asciiTheme="minorEastAsia" w:hAnsiTheme="minorEastAsia" w:eastAsiaTheme="minorEastAsia"/>
                <w:color w:val="101010"/>
                <w:sz w:val="18"/>
                <w:szCs w:val="18"/>
              </w:rPr>
            </w:pPr>
            <w:r>
              <w:rPr>
                <w:rFonts w:hint="eastAsia" w:asciiTheme="minorEastAsia" w:hAnsiTheme="minorEastAsia" w:eastAsiaTheme="minorEastAsia"/>
                <w:color w:val="101010"/>
                <w:sz w:val="18"/>
                <w:szCs w:val="18"/>
              </w:rPr>
              <w:t>技术</w:t>
            </w:r>
            <w:r>
              <w:rPr>
                <w:rFonts w:asciiTheme="minorEastAsia" w:hAnsiTheme="minorEastAsia" w:eastAsiaTheme="minorEastAsia"/>
                <w:color w:val="101010"/>
                <w:sz w:val="18"/>
                <w:szCs w:val="1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exact"/>
        </w:trPr>
        <w:tc>
          <w:tcPr>
            <w:tcW w:w="1220" w:type="pct"/>
            <w:vMerge w:val="continue"/>
          </w:tcPr>
          <w:p>
            <w:pPr>
              <w:spacing w:before="241" w:line="168" w:lineRule="exact"/>
              <w:ind w:left="-4" w:leftChars="-2" w:firstLine="933"/>
              <w:rPr>
                <w:rFonts w:asciiTheme="minorEastAsia" w:hAnsiTheme="minorEastAsia" w:eastAsiaTheme="minorEastAsia"/>
                <w:sz w:val="18"/>
                <w:szCs w:val="18"/>
              </w:rPr>
            </w:pPr>
          </w:p>
        </w:tc>
        <w:tc>
          <w:tcPr>
            <w:tcW w:w="1746" w:type="pct"/>
            <w:vAlign w:val="center"/>
          </w:tcPr>
          <w:p>
            <w:pPr>
              <w:spacing w:before="66" w:line="164" w:lineRule="exact"/>
              <w:jc w:val="center"/>
              <w:rPr>
                <w:rFonts w:asciiTheme="minorEastAsia" w:hAnsiTheme="minorEastAsia" w:eastAsiaTheme="minorEastAsia"/>
                <w:sz w:val="18"/>
                <w:szCs w:val="18"/>
              </w:rPr>
            </w:pPr>
            <w:r>
              <w:rPr>
                <w:rFonts w:hint="eastAsia" w:asciiTheme="minorEastAsia" w:hAnsiTheme="minorEastAsia" w:eastAsiaTheme="minorEastAsia"/>
                <w:color w:val="101010"/>
                <w:sz w:val="18"/>
                <w:szCs w:val="18"/>
              </w:rPr>
              <w:t>电子</w:t>
            </w:r>
            <w:r>
              <w:rPr>
                <w:rFonts w:asciiTheme="minorEastAsia" w:hAnsiTheme="minorEastAsia" w:eastAsiaTheme="minorEastAsia"/>
                <w:color w:val="101010"/>
                <w:sz w:val="18"/>
                <w:szCs w:val="18"/>
              </w:rPr>
              <w:t>1</w:t>
            </w:r>
            <w:r>
              <w:rPr>
                <w:rFonts w:hint="eastAsia" w:asciiTheme="minorEastAsia" w:hAnsiTheme="minorEastAsia" w:eastAsiaTheme="minorEastAsia"/>
                <w:color w:val="101010"/>
                <w:sz w:val="18"/>
                <w:szCs w:val="18"/>
              </w:rPr>
              <w:t>级</w:t>
            </w:r>
          </w:p>
        </w:tc>
        <w:tc>
          <w:tcPr>
            <w:tcW w:w="2034" w:type="pct"/>
            <w:vAlign w:val="center"/>
          </w:tcPr>
          <w:p>
            <w:pPr>
              <w:spacing w:before="68" w:line="162" w:lineRule="exact"/>
              <w:jc w:val="center"/>
              <w:rPr>
                <w:rFonts w:asciiTheme="minorEastAsia" w:hAnsiTheme="minorEastAsia" w:eastAsiaTheme="minorEastAsia"/>
                <w:sz w:val="18"/>
                <w:szCs w:val="18"/>
              </w:rPr>
            </w:pPr>
            <w:r>
              <w:rPr>
                <w:rFonts w:hint="eastAsia" w:asciiTheme="minorEastAsia" w:hAnsiTheme="minorEastAsia" w:eastAsiaTheme="minorEastAsia"/>
                <w:color w:val="101010"/>
                <w:sz w:val="18"/>
                <w:szCs w:val="18"/>
              </w:rPr>
              <w:t>电子</w:t>
            </w:r>
            <w:r>
              <w:rPr>
                <w:rFonts w:asciiTheme="minorEastAsia" w:hAnsiTheme="minorEastAsia" w:eastAsiaTheme="minorEastAsia"/>
                <w:color w:val="101010"/>
                <w:sz w:val="18"/>
                <w:szCs w:val="18"/>
              </w:rPr>
              <w:t>2</w:t>
            </w:r>
            <w:r>
              <w:rPr>
                <w:rFonts w:hint="eastAsia" w:asciiTheme="minorEastAsia" w:hAnsiTheme="minorEastAsia" w:eastAsiaTheme="minorEastAsia"/>
                <w:color w:val="10101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exact"/>
        </w:trPr>
        <w:tc>
          <w:tcPr>
            <w:tcW w:w="1220" w:type="pct"/>
          </w:tcPr>
          <w:p>
            <w:pPr>
              <w:spacing w:before="68" w:line="168" w:lineRule="exact"/>
              <w:ind w:left="-4" w:leftChars="-2"/>
              <w:rPr>
                <w:rFonts w:asciiTheme="minorEastAsia" w:hAnsiTheme="minorEastAsia" w:eastAsiaTheme="minorEastAsia"/>
                <w:sz w:val="18"/>
                <w:szCs w:val="18"/>
              </w:rPr>
            </w:pPr>
            <w:r>
              <w:rPr>
                <w:rFonts w:hint="eastAsia" w:asciiTheme="minorEastAsia" w:hAnsiTheme="minorEastAsia" w:eastAsiaTheme="minorEastAsia"/>
                <w:color w:val="181818"/>
                <w:sz w:val="18"/>
                <w:szCs w:val="18"/>
              </w:rPr>
              <w:t>施主杂质浓度，</w:t>
            </w:r>
            <w:r>
              <w:rPr>
                <w:rFonts w:asciiTheme="minorEastAsia" w:hAnsiTheme="minorEastAsia" w:eastAsiaTheme="minorEastAsia"/>
                <w:color w:val="181818"/>
                <w:sz w:val="18"/>
                <w:szCs w:val="18"/>
              </w:rPr>
              <w:t>ppta</w:t>
            </w:r>
          </w:p>
        </w:tc>
        <w:tc>
          <w:tcPr>
            <w:tcW w:w="1746" w:type="pct"/>
            <w:vAlign w:val="center"/>
          </w:tcPr>
          <w:p>
            <w:pPr>
              <w:spacing w:before="66" w:line="164" w:lineRule="exact"/>
              <w:jc w:val="center"/>
              <w:rPr>
                <w:rFonts w:asciiTheme="minorEastAsia" w:hAnsiTheme="minorEastAsia" w:eastAsiaTheme="minorEastAsia"/>
                <w:sz w:val="18"/>
                <w:szCs w:val="18"/>
              </w:rPr>
            </w:pPr>
            <w:r>
              <w:rPr>
                <w:rFonts w:hint="eastAsia" w:asciiTheme="minorEastAsia" w:hAnsiTheme="minorEastAsia" w:eastAsiaTheme="minorEastAsia"/>
                <w:color w:val="121212"/>
                <w:sz w:val="18"/>
                <w:szCs w:val="18"/>
              </w:rPr>
              <w:t>≤</w:t>
            </w:r>
            <w:r>
              <w:rPr>
                <w:rFonts w:asciiTheme="minorEastAsia" w:hAnsiTheme="minorEastAsia" w:eastAsiaTheme="minorEastAsia"/>
                <w:color w:val="121212"/>
                <w:sz w:val="18"/>
                <w:szCs w:val="18"/>
              </w:rPr>
              <w:t>50</w:t>
            </w:r>
          </w:p>
        </w:tc>
        <w:tc>
          <w:tcPr>
            <w:tcW w:w="2034" w:type="pct"/>
            <w:vAlign w:val="center"/>
          </w:tcPr>
          <w:p>
            <w:pPr>
              <w:spacing w:before="66" w:line="164" w:lineRule="exact"/>
              <w:jc w:val="center"/>
              <w:rPr>
                <w:rFonts w:asciiTheme="minorEastAsia" w:hAnsiTheme="minorEastAsia" w:eastAsiaTheme="minorEastAsia"/>
                <w:sz w:val="18"/>
                <w:szCs w:val="18"/>
              </w:rPr>
            </w:pP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exact"/>
        </w:trPr>
        <w:tc>
          <w:tcPr>
            <w:tcW w:w="1220" w:type="pct"/>
          </w:tcPr>
          <w:p>
            <w:pPr>
              <w:spacing w:before="72" w:line="164" w:lineRule="exact"/>
              <w:ind w:left="-4" w:leftChars="-2"/>
              <w:rPr>
                <w:rFonts w:asciiTheme="minorEastAsia" w:hAnsiTheme="minorEastAsia" w:eastAsiaTheme="minorEastAsia"/>
                <w:sz w:val="18"/>
                <w:szCs w:val="18"/>
              </w:rPr>
            </w:pPr>
            <w:r>
              <w:rPr>
                <w:rFonts w:hint="eastAsia" w:asciiTheme="minorEastAsia" w:hAnsiTheme="minorEastAsia" w:eastAsiaTheme="minorEastAsia"/>
                <w:color w:val="181818"/>
                <w:sz w:val="18"/>
                <w:szCs w:val="18"/>
              </w:rPr>
              <w:t>受主杂质浓度</w:t>
            </w:r>
            <w:r>
              <w:rPr>
                <w:rFonts w:asciiTheme="minorEastAsia" w:hAnsiTheme="minorEastAsia" w:eastAsiaTheme="minorEastAsia"/>
                <w:color w:val="181818"/>
                <w:sz w:val="18"/>
                <w:szCs w:val="18"/>
              </w:rPr>
              <w:t>, ppta</w:t>
            </w:r>
          </w:p>
        </w:tc>
        <w:tc>
          <w:tcPr>
            <w:tcW w:w="1746" w:type="pct"/>
            <w:vAlign w:val="center"/>
          </w:tcPr>
          <w:p>
            <w:pPr>
              <w:spacing w:before="66" w:line="164" w:lineRule="exact"/>
              <w:jc w:val="center"/>
              <w:rPr>
                <w:rFonts w:asciiTheme="minorEastAsia" w:hAnsiTheme="minorEastAsia" w:eastAsiaTheme="minorEastAsia"/>
                <w:sz w:val="18"/>
                <w:szCs w:val="18"/>
              </w:rPr>
            </w:pPr>
            <w:r>
              <w:rPr>
                <w:rFonts w:hint="eastAsia" w:asciiTheme="minorEastAsia" w:hAnsiTheme="minorEastAsia" w:eastAsiaTheme="minorEastAsia"/>
                <w:color w:val="111111"/>
                <w:sz w:val="18"/>
                <w:szCs w:val="18"/>
              </w:rPr>
              <w:t>≤</w:t>
            </w:r>
            <w:r>
              <w:rPr>
                <w:rFonts w:asciiTheme="minorEastAsia" w:hAnsiTheme="minorEastAsia" w:eastAsiaTheme="minorEastAsia"/>
                <w:color w:val="111111"/>
                <w:sz w:val="18"/>
                <w:szCs w:val="18"/>
              </w:rPr>
              <w:t>10</w:t>
            </w:r>
          </w:p>
        </w:tc>
        <w:tc>
          <w:tcPr>
            <w:tcW w:w="2034" w:type="pct"/>
            <w:vAlign w:val="center"/>
          </w:tcPr>
          <w:p>
            <w:pPr>
              <w:spacing w:before="66" w:line="164" w:lineRule="exact"/>
              <w:jc w:val="center"/>
              <w:rPr>
                <w:rFonts w:asciiTheme="minorEastAsia" w:hAnsiTheme="minorEastAsia" w:eastAsiaTheme="minorEastAsia"/>
                <w:sz w:val="18"/>
                <w:szCs w:val="18"/>
              </w:rPr>
            </w:pPr>
            <w:r>
              <w:rPr>
                <w:rFonts w:hint="eastAsia" w:asciiTheme="minorEastAsia" w:hAnsiTheme="minorEastAsia" w:eastAsiaTheme="minorEastAsia"/>
                <w:color w:val="0F0F0F"/>
                <w:sz w:val="18"/>
                <w:szCs w:val="18"/>
              </w:rPr>
              <w:t>≤</w:t>
            </w:r>
            <w:r>
              <w:rPr>
                <w:rFonts w:asciiTheme="minorEastAsia" w:hAnsiTheme="minorEastAsia" w:eastAsiaTheme="minorEastAsia"/>
                <w:color w:val="0F0F0F"/>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trPr>
        <w:tc>
          <w:tcPr>
            <w:tcW w:w="1220" w:type="pct"/>
          </w:tcPr>
          <w:p>
            <w:pPr>
              <w:spacing w:before="72" w:line="164" w:lineRule="exact"/>
              <w:ind w:left="-4" w:leftChars="-2"/>
              <w:rPr>
                <w:rFonts w:asciiTheme="minorEastAsia" w:hAnsiTheme="minorEastAsia" w:eastAsiaTheme="minorEastAsia"/>
                <w:color w:val="181818"/>
                <w:sz w:val="18"/>
                <w:szCs w:val="18"/>
              </w:rPr>
            </w:pPr>
            <w:r>
              <w:rPr>
                <w:rFonts w:hint="eastAsia" w:asciiTheme="minorEastAsia" w:hAnsiTheme="minorEastAsia" w:eastAsiaTheme="minorEastAsia"/>
                <w:color w:val="181818"/>
                <w:sz w:val="18"/>
                <w:szCs w:val="18"/>
              </w:rPr>
              <w:t>少数载流</w:t>
            </w:r>
            <w:r>
              <w:rPr>
                <w:rFonts w:asciiTheme="minorEastAsia" w:hAnsiTheme="minorEastAsia" w:eastAsiaTheme="minorEastAsia"/>
                <w:color w:val="181818"/>
                <w:sz w:val="18"/>
                <w:szCs w:val="18"/>
              </w:rPr>
              <w:t>子寿命</w:t>
            </w:r>
          </w:p>
          <w:p>
            <w:pPr>
              <w:tabs>
                <w:tab w:val="left" w:pos="795"/>
              </w:tabs>
              <w:spacing w:before="72" w:line="164" w:lineRule="exact"/>
              <w:ind w:left="-4" w:leftChars="-2"/>
              <w:rPr>
                <w:rFonts w:asciiTheme="minorEastAsia" w:hAnsiTheme="minorEastAsia" w:eastAsiaTheme="minorEastAsia"/>
                <w:color w:val="181818"/>
                <w:sz w:val="18"/>
                <w:szCs w:val="18"/>
              </w:rPr>
            </w:pPr>
            <w:r>
              <w:rPr>
                <w:rFonts w:hint="eastAsia" w:asciiTheme="minorEastAsia" w:hAnsiTheme="minorEastAsia" w:eastAsiaTheme="minorEastAsia"/>
                <w:color w:val="181818"/>
                <w:sz w:val="18"/>
                <w:szCs w:val="18"/>
              </w:rPr>
              <w:t>μ</w:t>
            </w:r>
            <w:r>
              <w:rPr>
                <w:rFonts w:asciiTheme="minorEastAsia" w:hAnsiTheme="minorEastAsia" w:eastAsiaTheme="minorEastAsia"/>
                <w:color w:val="181818"/>
                <w:sz w:val="18"/>
                <w:szCs w:val="18"/>
              </w:rPr>
              <w:t>s</w:t>
            </w:r>
            <w:r>
              <w:rPr>
                <w:rFonts w:asciiTheme="minorEastAsia" w:hAnsiTheme="minorEastAsia" w:eastAsiaTheme="minorEastAsia"/>
                <w:color w:val="181818"/>
                <w:sz w:val="18"/>
                <w:szCs w:val="18"/>
              </w:rPr>
              <w:tab/>
            </w:r>
          </w:p>
        </w:tc>
        <w:tc>
          <w:tcPr>
            <w:tcW w:w="1746" w:type="pct"/>
            <w:vAlign w:val="center"/>
          </w:tcPr>
          <w:p>
            <w:pPr>
              <w:spacing w:before="66" w:line="164" w:lineRule="exact"/>
              <w:jc w:val="center"/>
              <w:rPr>
                <w:rFonts w:asciiTheme="minorEastAsia" w:hAnsiTheme="minorEastAsia" w:eastAsiaTheme="minorEastAsia"/>
                <w:color w:val="111111"/>
                <w:sz w:val="18"/>
                <w:szCs w:val="18"/>
              </w:rPr>
            </w:pPr>
            <w:r>
              <w:rPr>
                <w:rFonts w:asciiTheme="minorEastAsia" w:hAnsiTheme="minorEastAsia" w:eastAsiaTheme="minorEastAsia"/>
                <w:color w:val="111111"/>
                <w:sz w:val="18"/>
                <w:szCs w:val="18"/>
              </w:rPr>
              <w:t>≥2000</w:t>
            </w:r>
          </w:p>
        </w:tc>
        <w:tc>
          <w:tcPr>
            <w:tcW w:w="2034" w:type="pct"/>
            <w:vAlign w:val="center"/>
          </w:tcPr>
          <w:p>
            <w:pPr>
              <w:spacing w:before="66" w:line="164" w:lineRule="exact"/>
              <w:jc w:val="center"/>
              <w:rPr>
                <w:rFonts w:asciiTheme="minorEastAsia" w:hAnsiTheme="minorEastAsia" w:eastAsiaTheme="minorEastAsia"/>
                <w:color w:val="0F0F0F"/>
                <w:sz w:val="18"/>
                <w:szCs w:val="18"/>
              </w:rPr>
            </w:pPr>
            <w:r>
              <w:rPr>
                <w:rFonts w:asciiTheme="minorEastAsia" w:hAnsiTheme="minorEastAsia" w:eastAsiaTheme="minorEastAsia"/>
                <w:color w:val="111111"/>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exact"/>
        </w:trPr>
        <w:tc>
          <w:tcPr>
            <w:tcW w:w="1220" w:type="pct"/>
          </w:tcPr>
          <w:p>
            <w:pPr>
              <w:spacing w:before="53" w:line="166" w:lineRule="exact"/>
              <w:ind w:left="-4" w:leftChars="-2"/>
              <w:rPr>
                <w:rFonts w:asciiTheme="minorEastAsia" w:hAnsiTheme="minorEastAsia" w:eastAsiaTheme="minorEastAsia"/>
                <w:sz w:val="18"/>
                <w:szCs w:val="18"/>
              </w:rPr>
            </w:pPr>
            <w:r>
              <w:rPr>
                <w:rFonts w:hint="eastAsia" w:asciiTheme="minorEastAsia" w:hAnsiTheme="minorEastAsia" w:eastAsiaTheme="minorEastAsia"/>
                <w:color w:val="252525"/>
                <w:sz w:val="18"/>
                <w:szCs w:val="18"/>
              </w:rPr>
              <w:t>碳浓度，</w:t>
            </w:r>
            <w:r>
              <w:rPr>
                <w:rFonts w:asciiTheme="minorEastAsia" w:hAnsiTheme="minorEastAsia" w:eastAsiaTheme="minorEastAsia"/>
                <w:color w:val="252525"/>
                <w:sz w:val="18"/>
                <w:szCs w:val="18"/>
              </w:rPr>
              <w:t>ppba</w:t>
            </w:r>
          </w:p>
        </w:tc>
        <w:tc>
          <w:tcPr>
            <w:tcW w:w="1746" w:type="pct"/>
            <w:vAlign w:val="center"/>
          </w:tcPr>
          <w:p>
            <w:pPr>
              <w:spacing w:before="66" w:line="164" w:lineRule="exact"/>
              <w:jc w:val="center"/>
              <w:rPr>
                <w:rFonts w:asciiTheme="minorEastAsia" w:hAnsiTheme="minorEastAsia" w:eastAsiaTheme="minorEastAsia"/>
                <w:sz w:val="18"/>
                <w:szCs w:val="18"/>
              </w:rPr>
            </w:pPr>
            <w:r>
              <w:rPr>
                <w:rFonts w:asciiTheme="minorEastAsia" w:hAnsiTheme="minorEastAsia" w:eastAsiaTheme="minorEastAsia"/>
                <w:color w:val="111111"/>
                <w:sz w:val="18"/>
                <w:szCs w:val="18"/>
              </w:rPr>
              <w:t>≤20</w:t>
            </w:r>
          </w:p>
        </w:tc>
        <w:tc>
          <w:tcPr>
            <w:tcW w:w="2034" w:type="pct"/>
            <w:vAlign w:val="center"/>
          </w:tcPr>
          <w:p>
            <w:pPr>
              <w:spacing w:before="66" w:line="164" w:lineRule="exact"/>
              <w:jc w:val="center"/>
              <w:rPr>
                <w:rFonts w:asciiTheme="minorEastAsia" w:hAnsiTheme="minorEastAsia" w:eastAsiaTheme="minorEastAsia"/>
                <w:sz w:val="18"/>
                <w:szCs w:val="18"/>
              </w:rPr>
            </w:pPr>
            <w:r>
              <w:rPr>
                <w:rFonts w:asciiTheme="minorEastAsia" w:hAnsiTheme="minorEastAsia" w:eastAsiaTheme="minorEastAsia"/>
                <w:color w:val="111111"/>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exact"/>
        </w:trPr>
        <w:tc>
          <w:tcPr>
            <w:tcW w:w="1220" w:type="pct"/>
          </w:tcPr>
          <w:p>
            <w:pPr>
              <w:spacing w:before="212" w:line="168" w:lineRule="exact"/>
              <w:ind w:left="-4" w:leftChars="-2"/>
              <w:rPr>
                <w:rFonts w:asciiTheme="minorEastAsia" w:hAnsiTheme="minorEastAsia" w:eastAsiaTheme="minorEastAsia"/>
                <w:sz w:val="18"/>
                <w:szCs w:val="18"/>
              </w:rPr>
            </w:pPr>
            <w:r>
              <w:rPr>
                <w:rFonts w:hint="eastAsia" w:asciiTheme="minorEastAsia" w:hAnsiTheme="minorEastAsia" w:eastAsiaTheme="minorEastAsia"/>
                <w:color w:val="1D1D1D"/>
                <w:sz w:val="18"/>
                <w:szCs w:val="18"/>
              </w:rPr>
              <w:t>基体金属杂质浓度</w:t>
            </w:r>
            <w:r>
              <w:rPr>
                <w:rFonts w:asciiTheme="minorEastAsia" w:hAnsiTheme="minorEastAsia" w:eastAsiaTheme="minorEastAsia"/>
                <w:color w:val="1D1D1D"/>
                <w:sz w:val="18"/>
                <w:szCs w:val="18"/>
              </w:rPr>
              <w:t>,ppbw</w:t>
            </w:r>
          </w:p>
        </w:tc>
        <w:tc>
          <w:tcPr>
            <w:tcW w:w="1746" w:type="pct"/>
            <w:vAlign w:val="center"/>
          </w:tcPr>
          <w:p>
            <w:pPr>
              <w:spacing w:before="35" w:line="172" w:lineRule="exact"/>
              <w:ind w:left="-4" w:leftChars="-2"/>
              <w:rPr>
                <w:rFonts w:asciiTheme="minorEastAsia" w:hAnsiTheme="minorEastAsia" w:eastAsiaTheme="minorEastAsia"/>
                <w:sz w:val="18"/>
                <w:szCs w:val="18"/>
              </w:rPr>
            </w:pPr>
            <w:r>
              <w:rPr>
                <w:rFonts w:asciiTheme="minorEastAsia" w:hAnsiTheme="minorEastAsia" w:eastAsiaTheme="minorEastAsia"/>
                <w:color w:val="0E0E0E"/>
                <w:sz w:val="18"/>
                <w:szCs w:val="18"/>
              </w:rPr>
              <w:t>Fe</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Cr</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Ni</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Cu</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Zn</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Na</w:t>
            </w:r>
            <w:r>
              <w:rPr>
                <w:rFonts w:hint="eastAsia" w:asciiTheme="minorEastAsia" w:hAnsiTheme="minorEastAsia" w:eastAsiaTheme="minorEastAsia"/>
                <w:color w:val="1C1C1C"/>
                <w:sz w:val="18"/>
                <w:szCs w:val="18"/>
              </w:rPr>
              <w:t>总金属杂质含量</w:t>
            </w:r>
            <w:r>
              <w:rPr>
                <w:rFonts w:asciiTheme="minorEastAsia" w:hAnsiTheme="minorEastAsia" w:eastAsiaTheme="minorEastAsia"/>
                <w:color w:val="000000"/>
                <w:sz w:val="18"/>
                <w:szCs w:val="18"/>
              </w:rPr>
              <w:t>:</w:t>
            </w:r>
            <w:r>
              <w:rPr>
                <w:rFonts w:hint="eastAsia" w:asciiTheme="minorEastAsia" w:hAnsiTheme="minorEastAsia" w:eastAsiaTheme="minorEastAsia"/>
                <w:color w:val="1C1C1C"/>
                <w:sz w:val="18"/>
                <w:szCs w:val="18"/>
              </w:rPr>
              <w:t>≤</w:t>
            </w:r>
            <w:r>
              <w:rPr>
                <w:rFonts w:asciiTheme="minorEastAsia" w:hAnsiTheme="minorEastAsia" w:eastAsiaTheme="minorEastAsia"/>
                <w:color w:val="1C1C1C"/>
                <w:sz w:val="18"/>
                <w:szCs w:val="18"/>
              </w:rPr>
              <w:t>0.1</w:t>
            </w:r>
          </w:p>
        </w:tc>
        <w:tc>
          <w:tcPr>
            <w:tcW w:w="2034" w:type="pct"/>
            <w:vAlign w:val="center"/>
          </w:tcPr>
          <w:p>
            <w:pPr>
              <w:spacing w:before="35" w:line="172" w:lineRule="exact"/>
              <w:ind w:left="-4" w:leftChars="-2"/>
              <w:rPr>
                <w:rFonts w:asciiTheme="minorEastAsia" w:hAnsiTheme="minorEastAsia" w:eastAsiaTheme="minorEastAsia"/>
                <w:sz w:val="18"/>
                <w:szCs w:val="18"/>
              </w:rPr>
            </w:pPr>
            <w:r>
              <w:rPr>
                <w:rFonts w:asciiTheme="minorEastAsia" w:hAnsiTheme="minorEastAsia" w:eastAsiaTheme="minorEastAsia"/>
                <w:color w:val="0E0E0E"/>
                <w:sz w:val="18"/>
                <w:szCs w:val="18"/>
              </w:rPr>
              <w:t>Fe</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Cr</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Ni</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Cu</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Zn</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Na</w:t>
            </w:r>
            <w:r>
              <w:rPr>
                <w:rFonts w:hint="eastAsia" w:asciiTheme="minorEastAsia" w:hAnsiTheme="minorEastAsia" w:eastAsiaTheme="minorEastAsia"/>
                <w:color w:val="0E0E0E"/>
                <w:sz w:val="18"/>
                <w:szCs w:val="18"/>
              </w:rPr>
              <w:t>总金属杂质含量</w:t>
            </w:r>
            <w:r>
              <w:rPr>
                <w:rFonts w:asciiTheme="minorEastAsia" w:hAnsiTheme="minorEastAsia" w:eastAsiaTheme="minorEastAsia"/>
                <w:color w:val="0E0E0E"/>
                <w:sz w:val="18"/>
                <w:szCs w:val="18"/>
              </w:rPr>
              <w:t>:</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exact"/>
        </w:trPr>
        <w:tc>
          <w:tcPr>
            <w:tcW w:w="1220" w:type="pct"/>
            <w:tcBorders>
              <w:bottom w:val="single" w:color="auto" w:sz="4" w:space="0"/>
            </w:tcBorders>
          </w:tcPr>
          <w:p>
            <w:pPr>
              <w:spacing w:before="208" w:line="166" w:lineRule="exact"/>
              <w:ind w:left="-4" w:leftChars="-2"/>
              <w:rPr>
                <w:rFonts w:asciiTheme="minorEastAsia" w:hAnsiTheme="minorEastAsia" w:eastAsiaTheme="minorEastAsia"/>
                <w:sz w:val="18"/>
                <w:szCs w:val="18"/>
              </w:rPr>
            </w:pPr>
            <w:r>
              <w:rPr>
                <w:rFonts w:hint="eastAsia" w:asciiTheme="minorEastAsia" w:hAnsiTheme="minorEastAsia" w:eastAsiaTheme="minorEastAsia"/>
                <w:color w:val="1C1C1C"/>
                <w:sz w:val="18"/>
                <w:szCs w:val="18"/>
              </w:rPr>
              <w:t>表面金属杂质浓度</w:t>
            </w:r>
            <w:r>
              <w:rPr>
                <w:rFonts w:asciiTheme="minorEastAsia" w:hAnsiTheme="minorEastAsia" w:eastAsiaTheme="minorEastAsia"/>
                <w:color w:val="1C1C1C"/>
                <w:sz w:val="18"/>
                <w:szCs w:val="18"/>
              </w:rPr>
              <w:t>,</w:t>
            </w:r>
            <w:r>
              <w:rPr>
                <w:rFonts w:asciiTheme="minorEastAsia" w:hAnsiTheme="minorEastAsia" w:eastAsiaTheme="minorEastAsia"/>
                <w:color w:val="1D1D1D"/>
                <w:sz w:val="18"/>
                <w:szCs w:val="18"/>
              </w:rPr>
              <w:t xml:space="preserve"> ppbw</w:t>
            </w:r>
          </w:p>
        </w:tc>
        <w:tc>
          <w:tcPr>
            <w:tcW w:w="1746" w:type="pct"/>
            <w:tcBorders>
              <w:bottom w:val="single" w:color="auto" w:sz="4" w:space="0"/>
            </w:tcBorders>
            <w:vAlign w:val="center"/>
          </w:tcPr>
          <w:p>
            <w:pPr>
              <w:spacing w:before="35" w:line="172" w:lineRule="exact"/>
              <w:ind w:left="-4" w:leftChars="-2"/>
              <w:rPr>
                <w:rFonts w:asciiTheme="minorEastAsia" w:hAnsiTheme="minorEastAsia" w:eastAsiaTheme="minorEastAsia"/>
                <w:sz w:val="18"/>
                <w:szCs w:val="18"/>
              </w:rPr>
            </w:pPr>
            <w:r>
              <w:rPr>
                <w:rFonts w:asciiTheme="minorEastAsia" w:hAnsiTheme="minorEastAsia" w:eastAsiaTheme="minorEastAsia"/>
                <w:color w:val="0E0E0E"/>
                <w:sz w:val="18"/>
                <w:szCs w:val="18"/>
              </w:rPr>
              <w:t>Fe</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Cr</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Ni</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Cu</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Zn</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A1</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K</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Na</w:t>
            </w:r>
            <w:r>
              <w:rPr>
                <w:rFonts w:hint="eastAsia" w:asciiTheme="minorEastAsia" w:hAnsiTheme="minorEastAsia" w:eastAsiaTheme="minorEastAsia"/>
                <w:color w:val="0E0E0E"/>
                <w:sz w:val="18"/>
                <w:szCs w:val="18"/>
              </w:rPr>
              <w:t>总金属杂质含量</w:t>
            </w:r>
            <w:r>
              <w:rPr>
                <w:rFonts w:asciiTheme="minorEastAsia" w:hAnsiTheme="minorEastAsia" w:eastAsiaTheme="minorEastAsia"/>
                <w:color w:val="0E0E0E"/>
                <w:sz w:val="18"/>
                <w:szCs w:val="18"/>
              </w:rPr>
              <w:t>:</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0.1</w:t>
            </w:r>
          </w:p>
        </w:tc>
        <w:tc>
          <w:tcPr>
            <w:tcW w:w="2034" w:type="pct"/>
            <w:tcBorders>
              <w:bottom w:val="single" w:color="auto" w:sz="4" w:space="0"/>
            </w:tcBorders>
            <w:vAlign w:val="center"/>
          </w:tcPr>
          <w:p>
            <w:pPr>
              <w:spacing w:before="35" w:line="172" w:lineRule="exact"/>
              <w:ind w:left="-4" w:leftChars="-2"/>
              <w:rPr>
                <w:rFonts w:asciiTheme="minorEastAsia" w:hAnsiTheme="minorEastAsia" w:eastAsiaTheme="minorEastAsia"/>
                <w:sz w:val="18"/>
                <w:szCs w:val="18"/>
              </w:rPr>
            </w:pPr>
            <w:r>
              <w:rPr>
                <w:rFonts w:asciiTheme="minorEastAsia" w:hAnsiTheme="minorEastAsia" w:eastAsiaTheme="minorEastAsia"/>
                <w:color w:val="0E0E0E"/>
                <w:sz w:val="18"/>
                <w:szCs w:val="18"/>
              </w:rPr>
              <w:t>Fe</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Cr</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Ni</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Cu</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Zn</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A1</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K</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Na</w:t>
            </w:r>
            <w:r>
              <w:rPr>
                <w:rFonts w:hint="eastAsia" w:asciiTheme="minorEastAsia" w:hAnsiTheme="minorEastAsia" w:eastAsiaTheme="minorEastAsia"/>
                <w:color w:val="0E0E0E"/>
                <w:sz w:val="18"/>
                <w:szCs w:val="18"/>
              </w:rPr>
              <w:t>总金属杂质含量</w:t>
            </w:r>
            <w:r>
              <w:rPr>
                <w:rFonts w:asciiTheme="minorEastAsia" w:hAnsiTheme="minorEastAsia" w:eastAsiaTheme="minorEastAsia"/>
                <w:color w:val="0E0E0E"/>
                <w:sz w:val="18"/>
                <w:szCs w:val="18"/>
              </w:rPr>
              <w:t>:</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exact"/>
        </w:trPr>
        <w:tc>
          <w:tcPr>
            <w:tcW w:w="5000" w:type="pct"/>
            <w:gridSpan w:val="3"/>
            <w:tcBorders>
              <w:bottom w:val="single" w:color="auto" w:sz="4" w:space="0"/>
            </w:tcBorders>
            <w:vAlign w:val="center"/>
          </w:tcPr>
          <w:p>
            <w:pPr>
              <w:spacing w:before="35" w:line="172" w:lineRule="exact"/>
              <w:ind w:left="-4" w:leftChars="-2"/>
              <w:rPr>
                <w:rFonts w:asciiTheme="minorEastAsia" w:hAnsiTheme="minorEastAsia" w:eastAsiaTheme="minorEastAsia"/>
                <w:color w:val="0E0E0E"/>
                <w:sz w:val="18"/>
                <w:szCs w:val="18"/>
              </w:rPr>
            </w:pPr>
            <w:r>
              <w:rPr>
                <w:rFonts w:hint="eastAsia" w:asciiTheme="minorEastAsia" w:hAnsiTheme="minorEastAsia" w:eastAsiaTheme="minorEastAsia"/>
                <w:color w:val="111111"/>
                <w:sz w:val="18"/>
                <w:szCs w:val="18"/>
              </w:rPr>
              <w:t>注</w:t>
            </w:r>
            <w:r>
              <w:rPr>
                <w:rFonts w:asciiTheme="minorEastAsia" w:hAnsiTheme="minorEastAsia" w:eastAsiaTheme="minorEastAsia"/>
                <w:color w:val="111111"/>
                <w:sz w:val="18"/>
                <w:szCs w:val="18"/>
              </w:rPr>
              <w:t>:</w:t>
            </w:r>
            <w:r>
              <w:rPr>
                <w:rFonts w:hint="eastAsia" w:asciiTheme="minorEastAsia" w:hAnsiTheme="minorEastAsia" w:eastAsiaTheme="minorEastAsia"/>
                <w:color w:val="111111"/>
                <w:sz w:val="18"/>
                <w:szCs w:val="18"/>
              </w:rPr>
              <w:t>电阻率</w:t>
            </w:r>
            <w:r>
              <w:rPr>
                <w:rFonts w:asciiTheme="minorEastAsia" w:hAnsiTheme="minorEastAsia" w:eastAsiaTheme="minorEastAsia"/>
                <w:color w:val="111111"/>
                <w:sz w:val="18"/>
                <w:szCs w:val="18"/>
              </w:rPr>
              <w:t>和</w:t>
            </w:r>
            <w:r>
              <w:rPr>
                <w:rFonts w:hint="eastAsia" w:asciiTheme="minorEastAsia" w:hAnsiTheme="minorEastAsia" w:eastAsiaTheme="minorEastAsia"/>
                <w:color w:val="111111"/>
                <w:sz w:val="18"/>
                <w:szCs w:val="18"/>
              </w:rPr>
              <w:t>氧含量值由供需双方协商确定。</w:t>
            </w:r>
          </w:p>
        </w:tc>
      </w:tr>
    </w:tbl>
    <w:p>
      <w:pPr>
        <w:rPr>
          <w:rFonts w:ascii="黑体" w:hAnsi="黑体" w:eastAsia="黑体"/>
          <w:color w:val="020202"/>
          <w:kern w:val="0"/>
          <w:szCs w:val="21"/>
        </w:rPr>
      </w:pPr>
    </w:p>
    <w:p>
      <w:pPr>
        <w:jc w:val="center"/>
        <w:rPr>
          <w:rFonts w:ascii="黑体" w:hAnsi="黑体" w:eastAsia="黑体"/>
          <w:color w:val="020202"/>
          <w:kern w:val="0"/>
          <w:szCs w:val="21"/>
        </w:rPr>
      </w:pPr>
      <w:r>
        <w:rPr>
          <w:rFonts w:hint="eastAsia" w:ascii="黑体" w:hAnsi="黑体" w:eastAsia="黑体"/>
          <w:color w:val="020202"/>
          <w:kern w:val="0"/>
          <w:szCs w:val="21"/>
        </w:rPr>
        <w:t>表2 区熔用电子级多晶硅技术要求</w:t>
      </w:r>
    </w:p>
    <w:tbl>
      <w:tblPr>
        <w:tblStyle w:val="42"/>
        <w:tblpPr w:leftFromText="180" w:rightFromText="180" w:vertAnchor="text" w:tblpX="250" w:tblpY="1"/>
        <w:tblOverlap w:val="never"/>
        <w:tblW w:w="486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43"/>
        <w:gridCol w:w="2835"/>
        <w:gridCol w:w="3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9" w:type="pct"/>
          </w:tcPr>
          <w:p>
            <w:pPr>
              <w:jc w:val="center"/>
              <w:rPr>
                <w:rFonts w:ascii="宋体"/>
                <w:color w:val="020202"/>
                <w:kern w:val="0"/>
                <w:sz w:val="18"/>
                <w:szCs w:val="18"/>
              </w:rPr>
            </w:pPr>
            <w:r>
              <w:rPr>
                <w:rFonts w:hint="eastAsia" w:ascii="宋体"/>
                <w:color w:val="020202"/>
                <w:kern w:val="0"/>
                <w:sz w:val="18"/>
                <w:szCs w:val="18"/>
              </w:rPr>
              <w:t>项目</w:t>
            </w:r>
          </w:p>
        </w:tc>
        <w:tc>
          <w:tcPr>
            <w:tcW w:w="1521" w:type="pct"/>
          </w:tcPr>
          <w:p>
            <w:pPr>
              <w:jc w:val="center"/>
              <w:rPr>
                <w:rFonts w:ascii="宋体"/>
                <w:color w:val="020202"/>
                <w:kern w:val="0"/>
                <w:sz w:val="18"/>
                <w:szCs w:val="18"/>
              </w:rPr>
            </w:pPr>
            <w:r>
              <w:rPr>
                <w:rFonts w:hint="eastAsia" w:ascii="宋体"/>
                <w:color w:val="020202"/>
                <w:kern w:val="0"/>
                <w:sz w:val="18"/>
                <w:szCs w:val="18"/>
              </w:rPr>
              <w:t>单位</w:t>
            </w:r>
          </w:p>
        </w:tc>
        <w:tc>
          <w:tcPr>
            <w:tcW w:w="1900" w:type="pct"/>
          </w:tcPr>
          <w:p>
            <w:pPr>
              <w:jc w:val="center"/>
              <w:rPr>
                <w:rFonts w:ascii="宋体"/>
                <w:color w:val="020202"/>
                <w:kern w:val="0"/>
                <w:sz w:val="18"/>
                <w:szCs w:val="18"/>
              </w:rPr>
            </w:pPr>
            <w:r>
              <w:rPr>
                <w:rFonts w:hint="eastAsia" w:ascii="宋体"/>
                <w:color w:val="020202"/>
                <w:kern w:val="0"/>
                <w:sz w:val="18"/>
                <w:szCs w:val="18"/>
              </w:rPr>
              <w:t>技术指标要求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9" w:type="pct"/>
          </w:tcPr>
          <w:p>
            <w:pPr>
              <w:jc w:val="center"/>
              <w:rPr>
                <w:rFonts w:ascii="宋体"/>
                <w:color w:val="020202"/>
                <w:kern w:val="0"/>
                <w:sz w:val="18"/>
                <w:szCs w:val="18"/>
              </w:rPr>
            </w:pPr>
            <w:r>
              <w:rPr>
                <w:rFonts w:hint="eastAsia" w:ascii="宋体"/>
                <w:color w:val="020202"/>
                <w:kern w:val="0"/>
                <w:sz w:val="18"/>
                <w:szCs w:val="18"/>
              </w:rPr>
              <w:t>电阻率</w:t>
            </w:r>
          </w:p>
        </w:tc>
        <w:tc>
          <w:tcPr>
            <w:tcW w:w="1521" w:type="pct"/>
          </w:tcPr>
          <w:p>
            <w:pPr>
              <w:jc w:val="center"/>
              <w:rPr>
                <w:rFonts w:ascii="宋体"/>
                <w:color w:val="020202"/>
                <w:kern w:val="0"/>
                <w:sz w:val="18"/>
                <w:szCs w:val="18"/>
              </w:rPr>
            </w:pPr>
            <w:r>
              <w:rPr>
                <w:rFonts w:hint="eastAsia" w:ascii="宋体"/>
                <w:color w:val="020202"/>
                <w:kern w:val="0"/>
                <w:sz w:val="18"/>
                <w:szCs w:val="18"/>
              </w:rPr>
              <w:t>Ω</w:t>
            </w:r>
            <w:r>
              <w:rPr>
                <w:rFonts w:ascii="宋体"/>
                <w:color w:val="020202"/>
                <w:kern w:val="0"/>
                <w:sz w:val="18"/>
                <w:szCs w:val="18"/>
              </w:rPr>
              <w:t>*cm</w:t>
            </w:r>
          </w:p>
        </w:tc>
        <w:tc>
          <w:tcPr>
            <w:tcW w:w="1900" w:type="pct"/>
          </w:tcPr>
          <w:p>
            <w:pPr>
              <w:jc w:val="center"/>
              <w:rPr>
                <w:rFonts w:ascii="宋体"/>
                <w:color w:val="020202"/>
                <w:kern w:val="0"/>
                <w:sz w:val="18"/>
                <w:szCs w:val="18"/>
              </w:rPr>
            </w:pPr>
            <w:r>
              <w:rPr>
                <w:rFonts w:hint="eastAsia" w:ascii="宋体"/>
                <w:color w:val="020202"/>
                <w:kern w:val="0"/>
                <w:sz w:val="18"/>
                <w:szCs w:val="18"/>
              </w:rPr>
              <w:t>≥</w:t>
            </w:r>
            <w:r>
              <w:rPr>
                <w:rFonts w:ascii="宋体"/>
                <w:color w:val="020202"/>
                <w:kern w:val="0"/>
                <w:sz w:val="18"/>
                <w:szCs w:val="18"/>
              </w:rPr>
              <w:t>2</w:t>
            </w:r>
            <w:r>
              <w:rPr>
                <w:rFonts w:hint="eastAsia" w:ascii="宋体"/>
                <w:color w:val="020202"/>
                <w:kern w:val="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9" w:type="pct"/>
          </w:tcPr>
          <w:p>
            <w:pPr>
              <w:jc w:val="center"/>
              <w:rPr>
                <w:rFonts w:ascii="宋体"/>
                <w:color w:val="020202"/>
                <w:kern w:val="0"/>
                <w:sz w:val="18"/>
                <w:szCs w:val="18"/>
              </w:rPr>
            </w:pPr>
            <w:r>
              <w:rPr>
                <w:rFonts w:hint="eastAsia" w:ascii="宋体"/>
                <w:color w:val="020202"/>
                <w:kern w:val="0"/>
                <w:sz w:val="18"/>
                <w:szCs w:val="18"/>
              </w:rPr>
              <w:t>施主杂质</w:t>
            </w:r>
            <w:r>
              <w:rPr>
                <w:rFonts w:ascii="宋体"/>
                <w:color w:val="020202"/>
                <w:kern w:val="0"/>
                <w:sz w:val="18"/>
                <w:szCs w:val="18"/>
              </w:rPr>
              <w:t>浓度</w:t>
            </w:r>
          </w:p>
        </w:tc>
        <w:tc>
          <w:tcPr>
            <w:tcW w:w="1521" w:type="pct"/>
          </w:tcPr>
          <w:p>
            <w:pPr>
              <w:jc w:val="center"/>
              <w:rPr>
                <w:rFonts w:ascii="宋体"/>
                <w:color w:val="020202"/>
                <w:kern w:val="0"/>
                <w:sz w:val="18"/>
                <w:szCs w:val="18"/>
              </w:rPr>
            </w:pPr>
            <w:r>
              <w:rPr>
                <w:rFonts w:hint="eastAsia" w:ascii="宋体"/>
                <w:color w:val="020202"/>
                <w:kern w:val="0"/>
                <w:sz w:val="18"/>
                <w:szCs w:val="18"/>
              </w:rPr>
              <w:t>ppta</w:t>
            </w:r>
          </w:p>
        </w:tc>
        <w:tc>
          <w:tcPr>
            <w:tcW w:w="1900" w:type="pct"/>
          </w:tcPr>
          <w:p>
            <w:pPr>
              <w:jc w:val="center"/>
              <w:rPr>
                <w:rFonts w:ascii="宋体"/>
                <w:color w:val="020202"/>
                <w:kern w:val="0"/>
                <w:sz w:val="18"/>
                <w:szCs w:val="18"/>
              </w:rPr>
            </w:pPr>
            <w:r>
              <w:rPr>
                <w:rFonts w:hint="eastAsia" w:ascii="宋体"/>
                <w:color w:val="020202"/>
                <w:kern w:val="0"/>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9" w:type="pct"/>
          </w:tcPr>
          <w:p>
            <w:pPr>
              <w:jc w:val="center"/>
              <w:rPr>
                <w:rFonts w:ascii="宋体"/>
                <w:color w:val="020202"/>
                <w:kern w:val="0"/>
                <w:sz w:val="18"/>
                <w:szCs w:val="18"/>
              </w:rPr>
            </w:pPr>
            <w:r>
              <w:rPr>
                <w:rFonts w:hint="eastAsia" w:ascii="宋体"/>
                <w:color w:val="020202"/>
                <w:kern w:val="0"/>
                <w:sz w:val="18"/>
                <w:szCs w:val="18"/>
              </w:rPr>
              <w:t>受主杂质</w:t>
            </w:r>
            <w:r>
              <w:rPr>
                <w:rFonts w:ascii="宋体"/>
                <w:color w:val="020202"/>
                <w:kern w:val="0"/>
                <w:sz w:val="18"/>
                <w:szCs w:val="18"/>
              </w:rPr>
              <w:t>浓度</w:t>
            </w:r>
          </w:p>
        </w:tc>
        <w:tc>
          <w:tcPr>
            <w:tcW w:w="1521" w:type="pct"/>
          </w:tcPr>
          <w:p>
            <w:pPr>
              <w:jc w:val="center"/>
              <w:rPr>
                <w:rFonts w:ascii="宋体"/>
                <w:color w:val="020202"/>
                <w:kern w:val="0"/>
                <w:sz w:val="18"/>
                <w:szCs w:val="18"/>
              </w:rPr>
            </w:pPr>
            <w:r>
              <w:rPr>
                <w:rFonts w:hint="eastAsia" w:ascii="宋体"/>
                <w:color w:val="020202"/>
                <w:kern w:val="0"/>
                <w:sz w:val="18"/>
                <w:szCs w:val="18"/>
              </w:rPr>
              <w:t>ppta</w:t>
            </w:r>
          </w:p>
        </w:tc>
        <w:tc>
          <w:tcPr>
            <w:tcW w:w="1900" w:type="pct"/>
          </w:tcPr>
          <w:p>
            <w:pPr>
              <w:jc w:val="center"/>
              <w:rPr>
                <w:rFonts w:ascii="宋体"/>
                <w:color w:val="020202"/>
                <w:kern w:val="0"/>
                <w:sz w:val="18"/>
                <w:szCs w:val="18"/>
              </w:rPr>
            </w:pPr>
            <w:r>
              <w:rPr>
                <w:rFonts w:hint="eastAsia" w:ascii="宋体"/>
                <w:color w:val="020202"/>
                <w:kern w:val="0"/>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9" w:type="pct"/>
          </w:tcPr>
          <w:p>
            <w:pPr>
              <w:jc w:val="center"/>
              <w:rPr>
                <w:rFonts w:ascii="宋体"/>
                <w:color w:val="020202"/>
                <w:kern w:val="0"/>
                <w:sz w:val="18"/>
                <w:szCs w:val="18"/>
              </w:rPr>
            </w:pPr>
            <w:r>
              <w:rPr>
                <w:rFonts w:hint="eastAsia" w:ascii="宋体"/>
                <w:color w:val="020202"/>
                <w:kern w:val="0"/>
                <w:sz w:val="18"/>
                <w:szCs w:val="18"/>
              </w:rPr>
              <w:t>碳浓度</w:t>
            </w:r>
          </w:p>
        </w:tc>
        <w:tc>
          <w:tcPr>
            <w:tcW w:w="1521" w:type="pct"/>
          </w:tcPr>
          <w:p>
            <w:pPr>
              <w:jc w:val="center"/>
              <w:rPr>
                <w:rFonts w:ascii="宋体"/>
                <w:color w:val="020202"/>
                <w:kern w:val="0"/>
                <w:sz w:val="18"/>
                <w:szCs w:val="18"/>
              </w:rPr>
            </w:pPr>
            <w:r>
              <w:rPr>
                <w:rFonts w:hint="eastAsia" w:ascii="宋体"/>
                <w:color w:val="020202"/>
                <w:kern w:val="0"/>
                <w:sz w:val="18"/>
                <w:szCs w:val="18"/>
              </w:rPr>
              <w:t>pp</w:t>
            </w:r>
            <w:r>
              <w:rPr>
                <w:rFonts w:ascii="宋体"/>
                <w:color w:val="020202"/>
                <w:kern w:val="0"/>
                <w:sz w:val="18"/>
                <w:szCs w:val="18"/>
              </w:rPr>
              <w:t>b</w:t>
            </w:r>
            <w:r>
              <w:rPr>
                <w:rFonts w:hint="eastAsia" w:ascii="宋体"/>
                <w:color w:val="020202"/>
                <w:kern w:val="0"/>
                <w:sz w:val="18"/>
                <w:szCs w:val="18"/>
              </w:rPr>
              <w:t>a</w:t>
            </w:r>
          </w:p>
        </w:tc>
        <w:tc>
          <w:tcPr>
            <w:tcW w:w="1900" w:type="pct"/>
          </w:tcPr>
          <w:p>
            <w:pPr>
              <w:jc w:val="center"/>
              <w:rPr>
                <w:rFonts w:ascii="宋体"/>
                <w:color w:val="020202"/>
                <w:kern w:val="0"/>
                <w:sz w:val="18"/>
                <w:szCs w:val="18"/>
              </w:rPr>
            </w:pPr>
            <w:r>
              <w:rPr>
                <w:rFonts w:hint="eastAsia" w:ascii="宋体"/>
                <w:color w:val="020202"/>
                <w:kern w:val="0"/>
                <w:sz w:val="18"/>
                <w:szCs w:val="18"/>
              </w:rPr>
              <w:t>≤</w:t>
            </w:r>
            <w:r>
              <w:rPr>
                <w:rFonts w:ascii="宋体"/>
                <w:color w:val="020202"/>
                <w:kern w:val="0"/>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9" w:type="pct"/>
          </w:tcPr>
          <w:p>
            <w:pPr>
              <w:jc w:val="center"/>
              <w:rPr>
                <w:rFonts w:ascii="宋体"/>
                <w:color w:val="020202"/>
                <w:kern w:val="0"/>
                <w:sz w:val="18"/>
                <w:szCs w:val="18"/>
              </w:rPr>
            </w:pPr>
            <w:r>
              <w:rPr>
                <w:rFonts w:hint="eastAsia" w:ascii="宋体"/>
                <w:color w:val="020202"/>
                <w:kern w:val="0"/>
                <w:sz w:val="18"/>
                <w:szCs w:val="18"/>
              </w:rPr>
              <w:t>氧浓度</w:t>
            </w:r>
          </w:p>
        </w:tc>
        <w:tc>
          <w:tcPr>
            <w:tcW w:w="1521" w:type="pct"/>
          </w:tcPr>
          <w:p>
            <w:pPr>
              <w:jc w:val="center"/>
              <w:rPr>
                <w:rFonts w:ascii="宋体"/>
                <w:color w:val="020202"/>
                <w:kern w:val="0"/>
                <w:sz w:val="18"/>
                <w:szCs w:val="18"/>
              </w:rPr>
            </w:pPr>
            <w:r>
              <w:rPr>
                <w:rFonts w:hint="eastAsia" w:ascii="宋体"/>
                <w:color w:val="020202"/>
                <w:kern w:val="0"/>
                <w:sz w:val="18"/>
                <w:szCs w:val="18"/>
              </w:rPr>
              <w:t>pp</w:t>
            </w:r>
            <w:r>
              <w:rPr>
                <w:rFonts w:ascii="宋体"/>
                <w:color w:val="020202"/>
                <w:kern w:val="0"/>
                <w:sz w:val="18"/>
                <w:szCs w:val="18"/>
              </w:rPr>
              <w:t>b</w:t>
            </w:r>
            <w:r>
              <w:rPr>
                <w:rFonts w:hint="eastAsia" w:ascii="宋体"/>
                <w:color w:val="020202"/>
                <w:kern w:val="0"/>
                <w:sz w:val="18"/>
                <w:szCs w:val="18"/>
              </w:rPr>
              <w:t>a</w:t>
            </w:r>
          </w:p>
        </w:tc>
        <w:tc>
          <w:tcPr>
            <w:tcW w:w="1900" w:type="pct"/>
          </w:tcPr>
          <w:p>
            <w:pPr>
              <w:jc w:val="center"/>
              <w:rPr>
                <w:rFonts w:ascii="宋体"/>
                <w:color w:val="020202"/>
                <w:kern w:val="0"/>
                <w:sz w:val="18"/>
                <w:szCs w:val="18"/>
              </w:rPr>
            </w:pPr>
            <w:r>
              <w:rPr>
                <w:rFonts w:hint="eastAsia" w:ascii="宋体"/>
                <w:color w:val="020202"/>
                <w:kern w:val="0"/>
                <w:sz w:val="18"/>
                <w:szCs w:val="18"/>
              </w:rPr>
              <w:t>≤</w:t>
            </w:r>
            <w:r>
              <w:rPr>
                <w:rFonts w:ascii="宋体"/>
                <w:color w:val="020202"/>
                <w:kern w:val="0"/>
                <w:sz w:val="18"/>
                <w:szCs w:val="18"/>
              </w:rPr>
              <w:t>50</w:t>
            </w:r>
          </w:p>
        </w:tc>
      </w:tr>
    </w:tbl>
    <w:p>
      <w:pPr>
        <w:pStyle w:val="168"/>
        <w:numPr>
          <w:ilvl w:val="1"/>
          <w:numId w:val="24"/>
        </w:numPr>
        <w:spacing w:before="156" w:beforeLines="50" w:after="156" w:afterLines="50"/>
        <w:ind w:left="578" w:hanging="577" w:hangingChars="275"/>
        <w:rPr>
          <w:rFonts w:ascii="黑体" w:hAnsi="黑体" w:eastAsia="黑体"/>
          <w:color w:val="020202"/>
          <w:kern w:val="0"/>
          <w:szCs w:val="21"/>
        </w:rPr>
      </w:pPr>
      <w:r>
        <w:rPr>
          <w:rFonts w:hint="eastAsia" w:ascii="黑体" w:hAnsi="黑体" w:eastAsia="黑体"/>
          <w:color w:val="020202"/>
          <w:kern w:val="0"/>
          <w:szCs w:val="21"/>
        </w:rPr>
        <w:t>块状料尺寸及允许偏差</w:t>
      </w:r>
    </w:p>
    <w:p>
      <w:pPr>
        <w:pStyle w:val="168"/>
        <w:numPr>
          <w:ilvl w:val="0"/>
          <w:numId w:val="25"/>
        </w:numPr>
        <w:ind w:firstLineChars="0"/>
        <w:rPr>
          <w:rFonts w:ascii="宋体"/>
          <w:vanish/>
          <w:color w:val="020202"/>
          <w:kern w:val="0"/>
          <w:szCs w:val="21"/>
        </w:rPr>
      </w:pPr>
    </w:p>
    <w:p>
      <w:pPr>
        <w:pStyle w:val="168"/>
        <w:numPr>
          <w:ilvl w:val="0"/>
          <w:numId w:val="25"/>
        </w:numPr>
        <w:ind w:firstLineChars="0"/>
        <w:rPr>
          <w:rFonts w:ascii="宋体"/>
          <w:vanish/>
          <w:color w:val="020202"/>
          <w:kern w:val="0"/>
          <w:szCs w:val="21"/>
        </w:rPr>
      </w:pPr>
    </w:p>
    <w:p>
      <w:pPr>
        <w:pStyle w:val="168"/>
        <w:numPr>
          <w:ilvl w:val="0"/>
          <w:numId w:val="25"/>
        </w:numPr>
        <w:ind w:firstLineChars="0"/>
        <w:rPr>
          <w:rFonts w:ascii="宋体"/>
          <w:vanish/>
          <w:color w:val="020202"/>
          <w:kern w:val="0"/>
          <w:szCs w:val="21"/>
        </w:rPr>
      </w:pPr>
    </w:p>
    <w:p>
      <w:pPr>
        <w:pStyle w:val="168"/>
        <w:numPr>
          <w:ilvl w:val="0"/>
          <w:numId w:val="25"/>
        </w:numPr>
        <w:ind w:firstLineChars="0"/>
        <w:rPr>
          <w:rFonts w:ascii="宋体"/>
          <w:vanish/>
          <w:color w:val="020202"/>
          <w:kern w:val="0"/>
          <w:szCs w:val="21"/>
        </w:rPr>
      </w:pPr>
    </w:p>
    <w:p>
      <w:pPr>
        <w:pStyle w:val="168"/>
        <w:numPr>
          <w:ilvl w:val="1"/>
          <w:numId w:val="25"/>
        </w:numPr>
        <w:ind w:firstLineChars="0"/>
        <w:rPr>
          <w:rFonts w:ascii="宋体"/>
          <w:vanish/>
          <w:color w:val="020202"/>
          <w:kern w:val="0"/>
          <w:szCs w:val="21"/>
        </w:rPr>
      </w:pPr>
    </w:p>
    <w:p>
      <w:pPr>
        <w:pStyle w:val="168"/>
        <w:numPr>
          <w:ilvl w:val="1"/>
          <w:numId w:val="25"/>
        </w:numPr>
        <w:ind w:firstLineChars="0"/>
        <w:rPr>
          <w:rFonts w:ascii="宋体"/>
          <w:vanish/>
          <w:color w:val="020202"/>
          <w:kern w:val="0"/>
          <w:szCs w:val="21"/>
        </w:rPr>
      </w:pPr>
    </w:p>
    <w:p>
      <w:pPr>
        <w:pStyle w:val="168"/>
        <w:numPr>
          <w:ilvl w:val="1"/>
          <w:numId w:val="25"/>
        </w:numPr>
        <w:ind w:firstLineChars="0"/>
        <w:rPr>
          <w:rFonts w:ascii="宋体"/>
          <w:vanish/>
          <w:color w:val="020202"/>
          <w:kern w:val="0"/>
          <w:szCs w:val="21"/>
        </w:rPr>
      </w:pPr>
    </w:p>
    <w:p>
      <w:pPr>
        <w:pStyle w:val="168"/>
        <w:numPr>
          <w:ilvl w:val="2"/>
          <w:numId w:val="25"/>
        </w:numPr>
        <w:ind w:firstLineChars="0"/>
        <w:rPr>
          <w:rFonts w:ascii="宋体"/>
          <w:color w:val="020202"/>
          <w:kern w:val="0"/>
          <w:szCs w:val="21"/>
        </w:rPr>
      </w:pPr>
      <w:r>
        <w:rPr>
          <w:rFonts w:hint="eastAsia" w:ascii="宋体"/>
          <w:color w:val="020202"/>
          <w:kern w:val="0"/>
          <w:szCs w:val="21"/>
        </w:rPr>
        <w:t>块状多晶硅具有无规则的形状和随机尺寸分布,其线性尺寸最小为</w:t>
      </w:r>
      <w:r>
        <w:rPr>
          <w:rFonts w:ascii="宋体"/>
          <w:color w:val="020202"/>
          <w:kern w:val="0"/>
          <w:szCs w:val="21"/>
        </w:rPr>
        <w:t>6m</w:t>
      </w:r>
      <w:r>
        <w:rPr>
          <w:rFonts w:hint="eastAsia" w:ascii="宋体"/>
          <w:color w:val="020202"/>
          <w:kern w:val="0"/>
          <w:szCs w:val="21"/>
        </w:rPr>
        <w:t>m,最大为150 mm。</w:t>
      </w:r>
    </w:p>
    <w:p>
      <w:pPr>
        <w:pStyle w:val="168"/>
        <w:numPr>
          <w:ilvl w:val="2"/>
          <w:numId w:val="25"/>
        </w:numPr>
        <w:ind w:firstLineChars="0"/>
        <w:rPr>
          <w:rFonts w:ascii="宋体"/>
          <w:color w:val="020202"/>
          <w:kern w:val="0"/>
          <w:szCs w:val="21"/>
        </w:rPr>
      </w:pPr>
      <w:r>
        <w:rPr>
          <w:rFonts w:hint="eastAsia" w:ascii="宋体"/>
          <w:color w:val="020202"/>
          <w:kern w:val="0"/>
          <w:szCs w:val="21"/>
        </w:rPr>
        <w:t>块状多晶硅的具体尺寸要求可由供需双方协商确定。</w:t>
      </w:r>
    </w:p>
    <w:p>
      <w:pPr>
        <w:pStyle w:val="168"/>
        <w:numPr>
          <w:ilvl w:val="2"/>
          <w:numId w:val="25"/>
        </w:numPr>
        <w:ind w:firstLineChars="0"/>
        <w:rPr>
          <w:rFonts w:ascii="黑体" w:hAnsi="黑体" w:eastAsia="黑体"/>
          <w:color w:val="020202"/>
          <w:szCs w:val="21"/>
        </w:rPr>
      </w:pPr>
      <w:r>
        <w:rPr>
          <w:rFonts w:hint="eastAsia" w:ascii="宋体"/>
          <w:color w:val="020202"/>
          <w:kern w:val="0"/>
          <w:szCs w:val="21"/>
        </w:rPr>
        <w:t>棒状多晶硅的直径及长度由供需双方协商确定。</w:t>
      </w:r>
    </w:p>
    <w:p>
      <w:pPr>
        <w:pStyle w:val="168"/>
        <w:numPr>
          <w:ilvl w:val="1"/>
          <w:numId w:val="25"/>
        </w:numPr>
        <w:spacing w:before="156" w:beforeLines="50" w:after="156" w:afterLines="50"/>
        <w:ind w:firstLineChars="0"/>
        <w:rPr>
          <w:rFonts w:ascii="黑体" w:hAnsi="黑体" w:eastAsia="黑体"/>
          <w:color w:val="020202"/>
          <w:szCs w:val="21"/>
        </w:rPr>
      </w:pPr>
      <w:r>
        <w:rPr>
          <w:rFonts w:hint="eastAsia" w:ascii="黑体" w:hAnsi="黑体" w:eastAsia="黑体"/>
          <w:color w:val="020202"/>
          <w:szCs w:val="21"/>
        </w:rPr>
        <w:t>结构</w:t>
      </w:r>
    </w:p>
    <w:p>
      <w:pPr>
        <w:pStyle w:val="32"/>
        <w:ind w:left="576" w:firstLine="0" w:firstLineChars="0"/>
        <w:rPr>
          <w:color w:val="020202"/>
          <w:szCs w:val="21"/>
        </w:rPr>
      </w:pPr>
      <w:r>
        <w:rPr>
          <w:rFonts w:hint="eastAsia"/>
          <w:color w:val="020202"/>
          <w:szCs w:val="21"/>
        </w:rPr>
        <w:t>多晶硅应无氧化夹层 。</w:t>
      </w:r>
    </w:p>
    <w:p>
      <w:pPr>
        <w:pStyle w:val="32"/>
        <w:numPr>
          <w:ilvl w:val="1"/>
          <w:numId w:val="25"/>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外观质量</w:t>
      </w:r>
    </w:p>
    <w:p>
      <w:pPr>
        <w:pStyle w:val="32"/>
        <w:numPr>
          <w:ilvl w:val="2"/>
          <w:numId w:val="25"/>
        </w:numPr>
        <w:ind w:firstLineChars="0"/>
        <w:rPr>
          <w:color w:val="020202"/>
          <w:szCs w:val="21"/>
        </w:rPr>
      </w:pPr>
      <w:r>
        <w:rPr>
          <w:rFonts w:hint="eastAsia"/>
          <w:color w:val="020202"/>
          <w:szCs w:val="21"/>
        </w:rPr>
        <w:t>多晶硅表面结构应致密、平整(断面边缘颗粒不大于3 mm) 。</w:t>
      </w:r>
    </w:p>
    <w:p>
      <w:pPr>
        <w:pStyle w:val="32"/>
        <w:numPr>
          <w:ilvl w:val="2"/>
          <w:numId w:val="25"/>
        </w:numPr>
        <w:ind w:firstLineChars="0"/>
        <w:rPr>
          <w:color w:val="020202"/>
          <w:szCs w:val="21"/>
        </w:rPr>
      </w:pPr>
      <w:r>
        <w:rPr>
          <w:rFonts w:hint="eastAsia"/>
          <w:color w:val="020202"/>
          <w:szCs w:val="21"/>
        </w:rPr>
        <w:t>多晶硅的外观应无色斑、变色及可见的污染物 。</w:t>
      </w:r>
    </w:p>
    <w:p>
      <w:pPr>
        <w:pStyle w:val="32"/>
        <w:numPr>
          <w:ilvl w:val="0"/>
          <w:numId w:val="25"/>
        </w:numPr>
        <w:spacing w:before="312" w:beforeLines="100" w:after="312" w:afterLines="100"/>
        <w:ind w:left="430" w:hanging="430" w:hangingChars="205"/>
        <w:rPr>
          <w:rFonts w:ascii="黑体" w:hAnsi="黑体" w:eastAsia="黑体"/>
          <w:color w:val="020202"/>
          <w:szCs w:val="21"/>
        </w:rPr>
      </w:pPr>
      <w:r>
        <w:rPr>
          <w:rFonts w:hint="eastAsia" w:ascii="黑体" w:hAnsi="黑体" w:eastAsia="黑体"/>
          <w:color w:val="020202"/>
          <w:szCs w:val="21"/>
        </w:rPr>
        <w:t>试验方法</w:t>
      </w:r>
    </w:p>
    <w:p>
      <w:pPr>
        <w:pStyle w:val="168"/>
        <w:widowControl/>
        <w:numPr>
          <w:ilvl w:val="0"/>
          <w:numId w:val="22"/>
        </w:numPr>
        <w:tabs>
          <w:tab w:val="center" w:pos="4201"/>
          <w:tab w:val="right" w:leader="dot" w:pos="9298"/>
        </w:tabs>
        <w:autoSpaceDE w:val="0"/>
        <w:autoSpaceDN w:val="0"/>
        <w:ind w:firstLineChars="0"/>
        <w:rPr>
          <w:rFonts w:ascii="黑体" w:hAnsi="黑体" w:eastAsia="黑体"/>
          <w:vanish/>
          <w:color w:val="020202"/>
          <w:kern w:val="0"/>
          <w:szCs w:val="21"/>
        </w:rPr>
      </w:pP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多晶硅导电类型检验按 GB/T 1550的规定进行。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多晶硅中的施主杂质浓度、受主杂质浓度的测试按 GB/T 29057、GB/T 24574、 GB/T 24581的规定进行。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多晶硅少数载流子寿命测试按 GB/T 1553 的规定进行。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多晶硅中碳、氧浓度测试按 GB/T 35306 的规定进行。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多晶硅基体金属杂质浓度的测试方法由供需双方协商确定 。</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多晶硅表面金属杂质浓度的测试按 GB/T 24582的规定进行。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块状多晶硅、棒状多晶硅的尺寸及允许偏差用相应精度的量具测量,或由供需双方商定的方法检验。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多晶硅氧化夹层的检验按 GB/T 4061 的规定进行。</w:t>
      </w:r>
    </w:p>
    <w:p>
      <w:pPr>
        <w:pStyle w:val="32"/>
        <w:numPr>
          <w:ilvl w:val="1"/>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多晶硅的外观质量用目视检查。</w:t>
      </w:r>
    </w:p>
    <w:p>
      <w:pPr>
        <w:pStyle w:val="32"/>
        <w:numPr>
          <w:ilvl w:val="0"/>
          <w:numId w:val="22"/>
        </w:numPr>
        <w:spacing w:before="312" w:beforeLines="100" w:after="312" w:afterLines="100"/>
        <w:ind w:left="430" w:hanging="430" w:hangingChars="205"/>
        <w:rPr>
          <w:rFonts w:ascii="黑体" w:hAnsi="黑体" w:eastAsia="黑体"/>
          <w:color w:val="020202"/>
          <w:szCs w:val="21"/>
        </w:rPr>
      </w:pPr>
      <w:r>
        <w:rPr>
          <w:rFonts w:hint="eastAsia" w:ascii="黑体" w:hAnsi="黑体" w:eastAsia="黑体"/>
          <w:color w:val="020202"/>
          <w:szCs w:val="21"/>
        </w:rPr>
        <w:t>检验规则</w:t>
      </w:r>
    </w:p>
    <w:p>
      <w:pPr>
        <w:pStyle w:val="32"/>
        <w:numPr>
          <w:ilvl w:val="1"/>
          <w:numId w:val="22"/>
        </w:numPr>
        <w:spacing w:after="156" w:afterLines="50"/>
        <w:ind w:left="578" w:hanging="577" w:hangingChars="275"/>
        <w:rPr>
          <w:rFonts w:ascii="黑体" w:hAnsi="黑体" w:eastAsia="黑体"/>
          <w:color w:val="020202"/>
          <w:szCs w:val="21"/>
        </w:rPr>
      </w:pPr>
      <w:r>
        <w:rPr>
          <w:rFonts w:hint="eastAsia" w:ascii="黑体" w:hAnsi="黑体" w:eastAsia="黑体"/>
          <w:color w:val="020202"/>
          <w:szCs w:val="21"/>
        </w:rPr>
        <w:t>检査和验收</w:t>
      </w:r>
    </w:p>
    <w:p>
      <w:pPr>
        <w:pStyle w:val="32"/>
        <w:numPr>
          <w:ilvl w:val="2"/>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产品应由供方质量监督部门进行检验,保证产品质量符合本标准及合同的规定,并填写产品质量证明书 。</w:t>
      </w:r>
    </w:p>
    <w:p>
      <w:pPr>
        <w:pStyle w:val="32"/>
        <w:numPr>
          <w:ilvl w:val="2"/>
          <w:numId w:val="22"/>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需方可对收到的产品进行检验 。 若检验结果与本标准或合同的规定不符时,应在收到产品之日起3个月内向供方提出,由供需双方协商解决。</w:t>
      </w:r>
    </w:p>
    <w:p>
      <w:pPr>
        <w:pStyle w:val="32"/>
        <w:numPr>
          <w:ilvl w:val="1"/>
          <w:numId w:val="22"/>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组批</w:t>
      </w:r>
    </w:p>
    <w:p>
      <w:pPr>
        <w:pStyle w:val="32"/>
        <w:ind w:left="720"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产品应成批提交验收,每批应有同一牌号、具有相同纯度等级和特性,以类似工艺生产并可追溯生产条件的同一反应炉次的多晶硅组成。</w:t>
      </w:r>
    </w:p>
    <w:p>
      <w:pPr>
        <w:pStyle w:val="168"/>
        <w:widowControl/>
        <w:numPr>
          <w:ilvl w:val="0"/>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0"/>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0"/>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0"/>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0"/>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0"/>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1"/>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168"/>
        <w:widowControl/>
        <w:numPr>
          <w:ilvl w:val="1"/>
          <w:numId w:val="26"/>
        </w:numPr>
        <w:tabs>
          <w:tab w:val="center" w:pos="4201"/>
          <w:tab w:val="right" w:leader="dot" w:pos="9298"/>
        </w:tabs>
        <w:autoSpaceDE w:val="0"/>
        <w:autoSpaceDN w:val="0"/>
        <w:ind w:firstLineChars="0"/>
        <w:rPr>
          <w:rFonts w:ascii="黑体" w:hAnsi="黑体" w:eastAsia="黑体"/>
          <w:vanish/>
          <w:color w:val="020202"/>
          <w:kern w:val="0"/>
          <w:szCs w:val="21"/>
        </w:rPr>
      </w:pP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检验项目</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每批产品应进行施主杂质浓度、受主杂质浓度、碳浓度、氧浓度、尺寸及允许偏差、结构、外观质量的检验 。 导电类型、少数载流子寿命、电阻率、基体金属杂质浓度、表面金属杂质浓度的检验由供需双方协商 。</w:t>
      </w: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取样与制样</w:t>
      </w:r>
    </w:p>
    <w:p>
      <w:pPr>
        <w:pStyle w:val="32"/>
        <w:numPr>
          <w:ilvl w:val="2"/>
          <w:numId w:val="26"/>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供方取样、制样时,电阻率的取样、制样按 GB/T29057进行,断面氧化夹层取样、制样按 GB/T 4061 进行。 仲裁抽样方案由供需双方商定。</w:t>
      </w:r>
    </w:p>
    <w:p>
      <w:pPr>
        <w:pStyle w:val="32"/>
        <w:numPr>
          <w:ilvl w:val="2"/>
          <w:numId w:val="26"/>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导电类型、施主杂质浓度、受主杂质浓度、少数载流子寿命、碳浓度、氧浓度、尺寸及允许偏差、外观质量、基体金属杂质含量、表面金属杂质含量的取样由供需双方协商确定。</w:t>
      </w: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检验结果的判定</w:t>
      </w:r>
    </w:p>
    <w:p>
      <w:pPr>
        <w:pStyle w:val="32"/>
        <w:numPr>
          <w:ilvl w:val="2"/>
          <w:numId w:val="26"/>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多晶硅的等级由施主杂质浓度、受主杂质浓度、碳浓度、表面金属杂质浓度、基体金属杂质浓度判定。 在判定项目中若检验结果有一项不合格,则加倍取样对该不合格的项目进行重复试验。 对重复试验结果仍不合格的产品,则判该批产品不合格。</w:t>
      </w:r>
    </w:p>
    <w:p>
      <w:pPr>
        <w:pStyle w:val="32"/>
        <w:numPr>
          <w:ilvl w:val="2"/>
          <w:numId w:val="26"/>
        </w:numPr>
        <w:ind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氧浓度、导电类型、少数载流子寿命、电阻率、尺寸及允许偏差、结构、外观质量检验结果的判定由供需双方协商确定。</w:t>
      </w:r>
    </w:p>
    <w:p>
      <w:pPr>
        <w:pStyle w:val="32"/>
        <w:numPr>
          <w:ilvl w:val="0"/>
          <w:numId w:val="26"/>
        </w:numPr>
        <w:spacing w:before="312" w:beforeLines="100" w:after="312" w:afterLines="100"/>
        <w:ind w:left="430" w:hanging="430" w:hangingChars="205"/>
        <w:rPr>
          <w:rFonts w:ascii="黑体" w:hAnsi="黑体" w:eastAsia="黑体"/>
          <w:color w:val="020202"/>
          <w:szCs w:val="21"/>
        </w:rPr>
      </w:pPr>
      <w:r>
        <w:rPr>
          <w:rFonts w:hint="eastAsia" w:ascii="黑体" w:hAnsi="黑体" w:eastAsia="黑体"/>
          <w:color w:val="020202"/>
          <w:szCs w:val="21"/>
        </w:rPr>
        <w:t>标志、包装、运输、贮存及质量证明书</w:t>
      </w:r>
    </w:p>
    <w:p>
      <w:pPr>
        <w:pStyle w:val="32"/>
        <w:numPr>
          <w:ilvl w:val="1"/>
          <w:numId w:val="26"/>
        </w:numPr>
        <w:spacing w:after="156" w:afterLines="50"/>
        <w:ind w:left="578" w:hanging="577" w:hangingChars="275"/>
        <w:rPr>
          <w:rFonts w:ascii="黑体" w:hAnsi="黑体" w:eastAsia="黑体"/>
          <w:color w:val="020202"/>
          <w:szCs w:val="21"/>
        </w:rPr>
      </w:pPr>
      <w:r>
        <w:rPr>
          <w:rFonts w:hint="eastAsia" w:ascii="黑体" w:hAnsi="黑体" w:eastAsia="黑体"/>
          <w:color w:val="020202"/>
          <w:szCs w:val="21"/>
        </w:rPr>
        <w:t>标志</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包装箱外应标有“小心轻放”及“防腐、防潮”字样或标志、并说明:</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a)  需方名称;</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产品名称、牌号;</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产品发货件数、净重;</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d)  供方名称。</w:t>
      </w: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包装</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多晶硅经过洁净处理后,装入高纯洁净的聚乙烯包装袋内,密封 。 包装时应防止聚乙烯包装袋破损,以避免产品外来沾污,并按最佳方法提供良好保护,装入外包装箱 。 多晶硅的包装也可由供需双方协商决定 。</w:t>
      </w: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运输</w:t>
      </w:r>
    </w:p>
    <w:p>
      <w:pPr>
        <w:pStyle w:val="32"/>
        <w:ind w:left="576" w:firstLine="0" w:firstLineChars="0"/>
        <w:rPr>
          <w:rFonts w:ascii="黑体" w:hAnsi="黑体" w:eastAsia="黑体"/>
          <w:color w:val="020202"/>
          <w:szCs w:val="21"/>
        </w:rPr>
      </w:pPr>
      <w:r>
        <w:rPr>
          <w:rFonts w:hint="eastAsia" w:asciiTheme="minorEastAsia" w:hAnsiTheme="minorEastAsia" w:eastAsiaTheme="minorEastAsia"/>
          <w:color w:val="020202"/>
          <w:szCs w:val="21"/>
        </w:rPr>
        <w:t xml:space="preserve">产品在运输过程中应轻装轻卸,勿压勿挤,并采取防震措施 </w:t>
      </w:r>
      <w:r>
        <w:rPr>
          <w:rFonts w:hint="eastAsia" w:ascii="黑体" w:hAnsi="黑体" w:eastAsia="黑体"/>
          <w:color w:val="020202"/>
          <w:szCs w:val="21"/>
        </w:rPr>
        <w:t>。</w:t>
      </w: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贮存</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产品应贮存在清洁、干燥环境中。</w:t>
      </w:r>
    </w:p>
    <w:p>
      <w:pPr>
        <w:pStyle w:val="32"/>
        <w:numPr>
          <w:ilvl w:val="1"/>
          <w:numId w:val="26"/>
        </w:numPr>
        <w:spacing w:before="156" w:beforeLines="50" w:after="156" w:afterLines="50"/>
        <w:ind w:left="578" w:hanging="577" w:hangingChars="275"/>
        <w:rPr>
          <w:rFonts w:ascii="黑体" w:hAnsi="黑体" w:eastAsia="黑体"/>
          <w:color w:val="020202"/>
          <w:szCs w:val="21"/>
        </w:rPr>
      </w:pPr>
      <w:r>
        <w:rPr>
          <w:rFonts w:hint="eastAsia" w:ascii="黑体" w:hAnsi="黑体" w:eastAsia="黑体"/>
          <w:color w:val="020202"/>
          <w:szCs w:val="21"/>
        </w:rPr>
        <w:t>质量证明书</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每批产品应附有质量证明书,其上注明:</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a)  供方名称；</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产品名称及牌号；</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产品批号；</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d)  产品毛重、净重；</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e)  各项检验结果及检验部门印记；</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f)  本标准编号；</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g)   出厂日期。</w:t>
      </w:r>
    </w:p>
    <w:p>
      <w:pPr>
        <w:pStyle w:val="32"/>
        <w:numPr>
          <w:ilvl w:val="0"/>
          <w:numId w:val="26"/>
        </w:numPr>
        <w:spacing w:before="312" w:beforeLines="100" w:after="312" w:afterLines="100"/>
        <w:ind w:left="430" w:hanging="430" w:hangingChars="205"/>
        <w:rPr>
          <w:rFonts w:ascii="黑体" w:hAnsi="黑体" w:eastAsia="黑体"/>
          <w:color w:val="020202"/>
          <w:szCs w:val="21"/>
        </w:rPr>
      </w:pPr>
      <w:r>
        <w:rPr>
          <w:rFonts w:hint="eastAsia" w:ascii="黑体" w:hAnsi="黑体" w:eastAsia="黑体"/>
          <w:color w:val="020202"/>
          <w:szCs w:val="21"/>
        </w:rPr>
        <w:t>订货单(或合同)内容</w:t>
      </w:r>
    </w:p>
    <w:p>
      <w:pPr>
        <w:pStyle w:val="32"/>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 xml:space="preserve">订购本标准所规范产品的订货单内应包括下列内容: </w:t>
      </w:r>
    </w:p>
    <w:p>
      <w:pPr>
        <w:pStyle w:val="32"/>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a)  产品名称、牌号；</w:t>
      </w:r>
    </w:p>
    <w:p>
      <w:pPr>
        <w:pStyle w:val="32"/>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本标准编号；</w:t>
      </w:r>
    </w:p>
    <w:p>
      <w:pPr>
        <w:pStyle w:val="32"/>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本标准中由供需双方协商的内容；</w:t>
      </w:r>
    </w:p>
    <w:p>
      <w:pPr>
        <w:pStyle w:val="32"/>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d)  其他。</w:t>
      </w:r>
    </w:p>
    <w:p>
      <w:pPr>
        <w:pStyle w:val="32"/>
        <w:ind w:left="576" w:firstLine="0" w:firstLineChars="0"/>
        <w:rPr>
          <w:color w:val="020202"/>
          <w:szCs w:val="21"/>
        </w:rPr>
      </w:pPr>
    </w:p>
    <w:p>
      <w:pPr>
        <w:pStyle w:val="32"/>
        <w:ind w:left="720" w:firstLine="0" w:firstLineChars="0"/>
        <w:rPr>
          <w:color w:val="000000"/>
        </w:rPr>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 xml:space="preserve">GB/T </w:t>
    </w:r>
    <w:r>
      <w:rPr>
        <w:rFonts w:hint="eastAsia"/>
      </w:rPr>
      <w:t>12963</w:t>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C1830DF"/>
    <w:multiLevelType w:val="multilevel"/>
    <w:tmpl w:val="0C1830DF"/>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asciiTheme="majorEastAsia" w:hAnsiTheme="majorEastAsia" w:eastAsiaTheme="majorEastAsia"/>
        <w:sz w:val="21"/>
        <w:szCs w:val="21"/>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54"/>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568"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9">
    <w:nsid w:val="32E07D77"/>
    <w:multiLevelType w:val="multilevel"/>
    <w:tmpl w:val="32E07D77"/>
    <w:lvl w:ilvl="0" w:tentative="0">
      <w:start w:val="1"/>
      <w:numFmt w:val="decimal"/>
      <w:lvlText w:val="%1"/>
      <w:lvlJc w:val="left"/>
      <w:pPr>
        <w:ind w:left="432" w:hanging="432"/>
      </w:pPr>
    </w:lvl>
    <w:lvl w:ilvl="1" w:tentative="0">
      <w:start w:val="1"/>
      <w:numFmt w:val="decimal"/>
      <w:lvlText w:val="%1.%2"/>
      <w:lvlJc w:val="left"/>
      <w:pPr>
        <w:ind w:left="576" w:hanging="576"/>
      </w:pPr>
      <w:rPr>
        <w:rFonts w:ascii="黑体" w:hAnsi="黑体" w:eastAsia="黑体"/>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0">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2">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5FEC3A83"/>
    <w:multiLevelType w:val="multilevel"/>
    <w:tmpl w:val="5FEC3A83"/>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asciiTheme="majorEastAsia" w:hAnsiTheme="majorEastAsia" w:eastAsiaTheme="majorEastAsia"/>
        <w:sz w:val="21"/>
        <w:szCs w:val="21"/>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7">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24E1CC2"/>
    <w:multiLevelType w:val="multilevel"/>
    <w:tmpl w:val="624E1CC2"/>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asciiTheme="minorEastAsia" w:hAnsiTheme="minorEastAsia" w:eastAsiaTheme="minorEastAsia"/>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9">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CBE0B8D"/>
    <w:multiLevelType w:val="multilevel"/>
    <w:tmpl w:val="6CBE0B8D"/>
    <w:lvl w:ilvl="0" w:tentative="0">
      <w:start w:val="1"/>
      <w:numFmt w:val="decimal"/>
      <w:lvlText w:val="%1"/>
      <w:lvlJc w:val="left"/>
      <w:pPr>
        <w:ind w:left="432" w:hanging="432"/>
      </w:pPr>
    </w:lvl>
    <w:lvl w:ilvl="1" w:tentative="0">
      <w:start w:val="1"/>
      <w:numFmt w:val="decimal"/>
      <w:lvlText w:val="%1.%2"/>
      <w:lvlJc w:val="left"/>
      <w:pPr>
        <w:ind w:left="576" w:hanging="576"/>
      </w:pPr>
      <w:rPr>
        <w:rFonts w:ascii="黑体" w:hAnsi="黑体" w:eastAsia="黑体"/>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2">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96161FA"/>
    <w:multiLevelType w:val="multilevel"/>
    <w:tmpl w:val="796161FA"/>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1"/>
  </w:num>
  <w:num w:numId="2">
    <w:abstractNumId w:val="10"/>
  </w:num>
  <w:num w:numId="3">
    <w:abstractNumId w:val="6"/>
  </w:num>
  <w:num w:numId="4">
    <w:abstractNumId w:val="8"/>
  </w:num>
  <w:num w:numId="5">
    <w:abstractNumId w:val="2"/>
  </w:num>
  <w:num w:numId="6">
    <w:abstractNumId w:val="12"/>
  </w:num>
  <w:num w:numId="7">
    <w:abstractNumId w:val="23"/>
  </w:num>
  <w:num w:numId="8">
    <w:abstractNumId w:val="0"/>
  </w:num>
  <w:num w:numId="9">
    <w:abstractNumId w:val="13"/>
  </w:num>
  <w:num w:numId="10">
    <w:abstractNumId w:val="5"/>
  </w:num>
  <w:num w:numId="11">
    <w:abstractNumId w:val="20"/>
  </w:num>
  <w:num w:numId="12">
    <w:abstractNumId w:val="17"/>
  </w:num>
  <w:num w:numId="13">
    <w:abstractNumId w:val="22"/>
  </w:num>
  <w:num w:numId="14">
    <w:abstractNumId w:val="7"/>
  </w:num>
  <w:num w:numId="15">
    <w:abstractNumId w:val="1"/>
  </w:num>
  <w:num w:numId="16">
    <w:abstractNumId w:val="4"/>
  </w:num>
  <w:num w:numId="17">
    <w:abstractNumId w:val="19"/>
  </w:num>
  <w:num w:numId="18">
    <w:abstractNumId w:val="15"/>
  </w:num>
  <w:num w:numId="19">
    <w:abstractNumId w:val="14"/>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21"/>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2143C"/>
    <w:rsid w:val="0002193D"/>
    <w:rsid w:val="00025A65"/>
    <w:rsid w:val="00025A9E"/>
    <w:rsid w:val="00026C31"/>
    <w:rsid w:val="00027280"/>
    <w:rsid w:val="00027646"/>
    <w:rsid w:val="00031BDE"/>
    <w:rsid w:val="000320A7"/>
    <w:rsid w:val="00033EAC"/>
    <w:rsid w:val="00035925"/>
    <w:rsid w:val="00035EA5"/>
    <w:rsid w:val="000406F0"/>
    <w:rsid w:val="00045AEA"/>
    <w:rsid w:val="00057C16"/>
    <w:rsid w:val="00067B30"/>
    <w:rsid w:val="00067CDF"/>
    <w:rsid w:val="00072A37"/>
    <w:rsid w:val="000735D3"/>
    <w:rsid w:val="00074FBE"/>
    <w:rsid w:val="00082335"/>
    <w:rsid w:val="00083A09"/>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5E7C"/>
    <w:rsid w:val="000F6B60"/>
    <w:rsid w:val="00102B74"/>
    <w:rsid w:val="001056DE"/>
    <w:rsid w:val="00107C50"/>
    <w:rsid w:val="001124C0"/>
    <w:rsid w:val="00113192"/>
    <w:rsid w:val="001176B7"/>
    <w:rsid w:val="0013175F"/>
    <w:rsid w:val="001512B4"/>
    <w:rsid w:val="001620A5"/>
    <w:rsid w:val="0016370D"/>
    <w:rsid w:val="00164B49"/>
    <w:rsid w:val="00164E53"/>
    <w:rsid w:val="0016699D"/>
    <w:rsid w:val="001723B3"/>
    <w:rsid w:val="00175159"/>
    <w:rsid w:val="00176208"/>
    <w:rsid w:val="00177569"/>
    <w:rsid w:val="001809F2"/>
    <w:rsid w:val="0018211B"/>
    <w:rsid w:val="0018274A"/>
    <w:rsid w:val="001840D3"/>
    <w:rsid w:val="00185132"/>
    <w:rsid w:val="001855C6"/>
    <w:rsid w:val="001900F8"/>
    <w:rsid w:val="001902AE"/>
    <w:rsid w:val="00191258"/>
    <w:rsid w:val="001922DF"/>
    <w:rsid w:val="00192680"/>
    <w:rsid w:val="00193037"/>
    <w:rsid w:val="00193A2C"/>
    <w:rsid w:val="001A288E"/>
    <w:rsid w:val="001A7AB6"/>
    <w:rsid w:val="001B11C3"/>
    <w:rsid w:val="001B6DC2"/>
    <w:rsid w:val="001B79DA"/>
    <w:rsid w:val="001C0D55"/>
    <w:rsid w:val="001C149C"/>
    <w:rsid w:val="001C21AC"/>
    <w:rsid w:val="001C2B54"/>
    <w:rsid w:val="001C47BA"/>
    <w:rsid w:val="001C59EA"/>
    <w:rsid w:val="001D406C"/>
    <w:rsid w:val="001D41EE"/>
    <w:rsid w:val="001E0380"/>
    <w:rsid w:val="001E13B1"/>
    <w:rsid w:val="001E2BE9"/>
    <w:rsid w:val="001E2F7E"/>
    <w:rsid w:val="001E4BE3"/>
    <w:rsid w:val="001F04C8"/>
    <w:rsid w:val="001F2E61"/>
    <w:rsid w:val="001F3A19"/>
    <w:rsid w:val="001F4178"/>
    <w:rsid w:val="001F45BB"/>
    <w:rsid w:val="002076AB"/>
    <w:rsid w:val="00210D13"/>
    <w:rsid w:val="00213EFD"/>
    <w:rsid w:val="00216646"/>
    <w:rsid w:val="00216D2A"/>
    <w:rsid w:val="00221113"/>
    <w:rsid w:val="00234467"/>
    <w:rsid w:val="00237D8D"/>
    <w:rsid w:val="00241DA2"/>
    <w:rsid w:val="00247FEE"/>
    <w:rsid w:val="002503A7"/>
    <w:rsid w:val="00250E7D"/>
    <w:rsid w:val="00252750"/>
    <w:rsid w:val="002565D5"/>
    <w:rsid w:val="00260BCB"/>
    <w:rsid w:val="002622C0"/>
    <w:rsid w:val="00263ECE"/>
    <w:rsid w:val="002674DC"/>
    <w:rsid w:val="00270637"/>
    <w:rsid w:val="002730D5"/>
    <w:rsid w:val="00273653"/>
    <w:rsid w:val="002778AE"/>
    <w:rsid w:val="00280A52"/>
    <w:rsid w:val="0028269A"/>
    <w:rsid w:val="00283590"/>
    <w:rsid w:val="002838FB"/>
    <w:rsid w:val="002847B5"/>
    <w:rsid w:val="00284D2E"/>
    <w:rsid w:val="00286973"/>
    <w:rsid w:val="002927F1"/>
    <w:rsid w:val="00293819"/>
    <w:rsid w:val="00294E70"/>
    <w:rsid w:val="002A07FA"/>
    <w:rsid w:val="002A1528"/>
    <w:rsid w:val="002A1924"/>
    <w:rsid w:val="002A7420"/>
    <w:rsid w:val="002B003B"/>
    <w:rsid w:val="002B023D"/>
    <w:rsid w:val="002B0F12"/>
    <w:rsid w:val="002B1308"/>
    <w:rsid w:val="002B4554"/>
    <w:rsid w:val="002B5A91"/>
    <w:rsid w:val="002C3891"/>
    <w:rsid w:val="002C5773"/>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5A5"/>
    <w:rsid w:val="002F4B8A"/>
    <w:rsid w:val="00301F39"/>
    <w:rsid w:val="00313C8E"/>
    <w:rsid w:val="00316218"/>
    <w:rsid w:val="00320560"/>
    <w:rsid w:val="00325926"/>
    <w:rsid w:val="00327A8A"/>
    <w:rsid w:val="00333B21"/>
    <w:rsid w:val="00336610"/>
    <w:rsid w:val="00343F73"/>
    <w:rsid w:val="00344571"/>
    <w:rsid w:val="00345060"/>
    <w:rsid w:val="00345846"/>
    <w:rsid w:val="0035323B"/>
    <w:rsid w:val="003609D2"/>
    <w:rsid w:val="003632BA"/>
    <w:rsid w:val="00363F22"/>
    <w:rsid w:val="00375564"/>
    <w:rsid w:val="00381344"/>
    <w:rsid w:val="00383191"/>
    <w:rsid w:val="00384A68"/>
    <w:rsid w:val="00386DED"/>
    <w:rsid w:val="0038798C"/>
    <w:rsid w:val="003912E7"/>
    <w:rsid w:val="003927C3"/>
    <w:rsid w:val="00393947"/>
    <w:rsid w:val="003A2275"/>
    <w:rsid w:val="003A6A4F"/>
    <w:rsid w:val="003A7088"/>
    <w:rsid w:val="003A770D"/>
    <w:rsid w:val="003B00DF"/>
    <w:rsid w:val="003B1275"/>
    <w:rsid w:val="003B1778"/>
    <w:rsid w:val="003C11CB"/>
    <w:rsid w:val="003C519A"/>
    <w:rsid w:val="003C75F3"/>
    <w:rsid w:val="003C78A3"/>
    <w:rsid w:val="003D0C53"/>
    <w:rsid w:val="003D75E9"/>
    <w:rsid w:val="003E1867"/>
    <w:rsid w:val="003E361A"/>
    <w:rsid w:val="003E5729"/>
    <w:rsid w:val="003F4EA1"/>
    <w:rsid w:val="003F4EE0"/>
    <w:rsid w:val="00402153"/>
    <w:rsid w:val="00402FC1"/>
    <w:rsid w:val="004058EB"/>
    <w:rsid w:val="00407859"/>
    <w:rsid w:val="004123FB"/>
    <w:rsid w:val="00425082"/>
    <w:rsid w:val="00431DEB"/>
    <w:rsid w:val="00434213"/>
    <w:rsid w:val="004356AF"/>
    <w:rsid w:val="00441961"/>
    <w:rsid w:val="00443AE6"/>
    <w:rsid w:val="0044584E"/>
    <w:rsid w:val="00446B29"/>
    <w:rsid w:val="00450B0B"/>
    <w:rsid w:val="00451865"/>
    <w:rsid w:val="004530CC"/>
    <w:rsid w:val="00453F9A"/>
    <w:rsid w:val="00455125"/>
    <w:rsid w:val="00462CAA"/>
    <w:rsid w:val="00466001"/>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C75C5"/>
    <w:rsid w:val="004D3ACC"/>
    <w:rsid w:val="004D79BF"/>
    <w:rsid w:val="004E045B"/>
    <w:rsid w:val="004E3F0E"/>
    <w:rsid w:val="004E490D"/>
    <w:rsid w:val="004E568C"/>
    <w:rsid w:val="00505295"/>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43AD"/>
    <w:rsid w:val="005474BB"/>
    <w:rsid w:val="00547603"/>
    <w:rsid w:val="00551DBD"/>
    <w:rsid w:val="005533D7"/>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DB5"/>
    <w:rsid w:val="005D0F7E"/>
    <w:rsid w:val="005D677A"/>
    <w:rsid w:val="005E19E7"/>
    <w:rsid w:val="005E1DA2"/>
    <w:rsid w:val="005F068F"/>
    <w:rsid w:val="005F281E"/>
    <w:rsid w:val="005F7580"/>
    <w:rsid w:val="0061571C"/>
    <w:rsid w:val="0061716C"/>
    <w:rsid w:val="006230EA"/>
    <w:rsid w:val="006239DF"/>
    <w:rsid w:val="00623C93"/>
    <w:rsid w:val="006243A1"/>
    <w:rsid w:val="00632E56"/>
    <w:rsid w:val="0063315E"/>
    <w:rsid w:val="00635CBA"/>
    <w:rsid w:val="00637A59"/>
    <w:rsid w:val="0064338B"/>
    <w:rsid w:val="006446D4"/>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8357C"/>
    <w:rsid w:val="00690463"/>
    <w:rsid w:val="00692368"/>
    <w:rsid w:val="006945FB"/>
    <w:rsid w:val="006A2EBC"/>
    <w:rsid w:val="006A5EA0"/>
    <w:rsid w:val="006A6F64"/>
    <w:rsid w:val="006A783B"/>
    <w:rsid w:val="006A78C1"/>
    <w:rsid w:val="006A7B33"/>
    <w:rsid w:val="006B2F7E"/>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3CB4"/>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604B"/>
    <w:rsid w:val="007268BE"/>
    <w:rsid w:val="007419C3"/>
    <w:rsid w:val="007467A7"/>
    <w:rsid w:val="007469DD"/>
    <w:rsid w:val="0074741B"/>
    <w:rsid w:val="0074759E"/>
    <w:rsid w:val="007478EA"/>
    <w:rsid w:val="00750AD1"/>
    <w:rsid w:val="0075415C"/>
    <w:rsid w:val="007572B2"/>
    <w:rsid w:val="00761F71"/>
    <w:rsid w:val="007625E4"/>
    <w:rsid w:val="007626BC"/>
    <w:rsid w:val="00762AAA"/>
    <w:rsid w:val="00763502"/>
    <w:rsid w:val="00774FB3"/>
    <w:rsid w:val="00781056"/>
    <w:rsid w:val="007826C9"/>
    <w:rsid w:val="0078639F"/>
    <w:rsid w:val="00787DD0"/>
    <w:rsid w:val="007913AB"/>
    <w:rsid w:val="007914F7"/>
    <w:rsid w:val="00792BE8"/>
    <w:rsid w:val="007964D0"/>
    <w:rsid w:val="007965B0"/>
    <w:rsid w:val="007A1EFF"/>
    <w:rsid w:val="007A3233"/>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F0025"/>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B52"/>
    <w:rsid w:val="00824CBB"/>
    <w:rsid w:val="00830F44"/>
    <w:rsid w:val="00835DB3"/>
    <w:rsid w:val="00835DE7"/>
    <w:rsid w:val="0083617B"/>
    <w:rsid w:val="008371BD"/>
    <w:rsid w:val="008504A8"/>
    <w:rsid w:val="0085282E"/>
    <w:rsid w:val="00864F47"/>
    <w:rsid w:val="0087198C"/>
    <w:rsid w:val="008724BA"/>
    <w:rsid w:val="00872C1F"/>
    <w:rsid w:val="00873B42"/>
    <w:rsid w:val="008749E4"/>
    <w:rsid w:val="00877D2E"/>
    <w:rsid w:val="008856D8"/>
    <w:rsid w:val="0088792B"/>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60D3"/>
    <w:rsid w:val="00977132"/>
    <w:rsid w:val="00981A4B"/>
    <w:rsid w:val="00982501"/>
    <w:rsid w:val="009877D3"/>
    <w:rsid w:val="00987B50"/>
    <w:rsid w:val="00990A46"/>
    <w:rsid w:val="00994E8F"/>
    <w:rsid w:val="009951DC"/>
    <w:rsid w:val="009959BB"/>
    <w:rsid w:val="00997158"/>
    <w:rsid w:val="009A0785"/>
    <w:rsid w:val="009A3A7C"/>
    <w:rsid w:val="009A5E2C"/>
    <w:rsid w:val="009B2ADB"/>
    <w:rsid w:val="009B3A05"/>
    <w:rsid w:val="009B603A"/>
    <w:rsid w:val="009C0A29"/>
    <w:rsid w:val="009C116A"/>
    <w:rsid w:val="009C2AE0"/>
    <w:rsid w:val="009C2D0E"/>
    <w:rsid w:val="009C3DAC"/>
    <w:rsid w:val="009C4138"/>
    <w:rsid w:val="009C42E0"/>
    <w:rsid w:val="009C669B"/>
    <w:rsid w:val="009C7192"/>
    <w:rsid w:val="009D1F4B"/>
    <w:rsid w:val="009D31DC"/>
    <w:rsid w:val="009D5362"/>
    <w:rsid w:val="009D66FB"/>
    <w:rsid w:val="009E1415"/>
    <w:rsid w:val="009E6116"/>
    <w:rsid w:val="009F0541"/>
    <w:rsid w:val="009F7AF9"/>
    <w:rsid w:val="00A02E43"/>
    <w:rsid w:val="00A0431C"/>
    <w:rsid w:val="00A065F9"/>
    <w:rsid w:val="00A069CB"/>
    <w:rsid w:val="00A07F34"/>
    <w:rsid w:val="00A22154"/>
    <w:rsid w:val="00A23012"/>
    <w:rsid w:val="00A234EE"/>
    <w:rsid w:val="00A25C38"/>
    <w:rsid w:val="00A31629"/>
    <w:rsid w:val="00A35532"/>
    <w:rsid w:val="00A36BBE"/>
    <w:rsid w:val="00A376E9"/>
    <w:rsid w:val="00A4307A"/>
    <w:rsid w:val="00A43806"/>
    <w:rsid w:val="00A4470A"/>
    <w:rsid w:val="00A47EBB"/>
    <w:rsid w:val="00A51CDD"/>
    <w:rsid w:val="00A525C7"/>
    <w:rsid w:val="00A53329"/>
    <w:rsid w:val="00A65874"/>
    <w:rsid w:val="00A6730D"/>
    <w:rsid w:val="00A71625"/>
    <w:rsid w:val="00A71659"/>
    <w:rsid w:val="00A71B9B"/>
    <w:rsid w:val="00A73CDE"/>
    <w:rsid w:val="00A751C7"/>
    <w:rsid w:val="00A7543C"/>
    <w:rsid w:val="00A87844"/>
    <w:rsid w:val="00A92259"/>
    <w:rsid w:val="00A9443E"/>
    <w:rsid w:val="00AA038C"/>
    <w:rsid w:val="00AA3849"/>
    <w:rsid w:val="00AA7A09"/>
    <w:rsid w:val="00AB0858"/>
    <w:rsid w:val="00AB3B50"/>
    <w:rsid w:val="00AB4277"/>
    <w:rsid w:val="00AB5386"/>
    <w:rsid w:val="00AC05B1"/>
    <w:rsid w:val="00AD356C"/>
    <w:rsid w:val="00AE09E2"/>
    <w:rsid w:val="00AE13E1"/>
    <w:rsid w:val="00AE2914"/>
    <w:rsid w:val="00AE6D15"/>
    <w:rsid w:val="00AF04DE"/>
    <w:rsid w:val="00AF2115"/>
    <w:rsid w:val="00AF70C4"/>
    <w:rsid w:val="00B01302"/>
    <w:rsid w:val="00B04182"/>
    <w:rsid w:val="00B07AE3"/>
    <w:rsid w:val="00B11430"/>
    <w:rsid w:val="00B2474C"/>
    <w:rsid w:val="00B253D3"/>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A18"/>
    <w:rsid w:val="00BD6DB2"/>
    <w:rsid w:val="00BE11CF"/>
    <w:rsid w:val="00BE21AB"/>
    <w:rsid w:val="00BE55CB"/>
    <w:rsid w:val="00BF4EC9"/>
    <w:rsid w:val="00BF617A"/>
    <w:rsid w:val="00BF6A2B"/>
    <w:rsid w:val="00C02136"/>
    <w:rsid w:val="00C02915"/>
    <w:rsid w:val="00C0379D"/>
    <w:rsid w:val="00C03931"/>
    <w:rsid w:val="00C05FE3"/>
    <w:rsid w:val="00C1014A"/>
    <w:rsid w:val="00C17BC8"/>
    <w:rsid w:val="00C2136D"/>
    <w:rsid w:val="00C214EE"/>
    <w:rsid w:val="00C2314B"/>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52689"/>
    <w:rsid w:val="00C54C8A"/>
    <w:rsid w:val="00C554F3"/>
    <w:rsid w:val="00C601D2"/>
    <w:rsid w:val="00C654FC"/>
    <w:rsid w:val="00C657AB"/>
    <w:rsid w:val="00C65BCC"/>
    <w:rsid w:val="00C66970"/>
    <w:rsid w:val="00C8691C"/>
    <w:rsid w:val="00C9297E"/>
    <w:rsid w:val="00C92F0B"/>
    <w:rsid w:val="00C94300"/>
    <w:rsid w:val="00C9754B"/>
    <w:rsid w:val="00CA112C"/>
    <w:rsid w:val="00CA168A"/>
    <w:rsid w:val="00CA357E"/>
    <w:rsid w:val="00CA3C44"/>
    <w:rsid w:val="00CA41A0"/>
    <w:rsid w:val="00CA44F9"/>
    <w:rsid w:val="00CA4A69"/>
    <w:rsid w:val="00CB0AFE"/>
    <w:rsid w:val="00CB6135"/>
    <w:rsid w:val="00CC3E0C"/>
    <w:rsid w:val="00CC58D3"/>
    <w:rsid w:val="00CC784D"/>
    <w:rsid w:val="00CD2167"/>
    <w:rsid w:val="00CD6300"/>
    <w:rsid w:val="00CD7B6C"/>
    <w:rsid w:val="00CE2137"/>
    <w:rsid w:val="00CE5ED9"/>
    <w:rsid w:val="00CE6B9D"/>
    <w:rsid w:val="00CF1D1D"/>
    <w:rsid w:val="00D00CDA"/>
    <w:rsid w:val="00D0337B"/>
    <w:rsid w:val="00D079B2"/>
    <w:rsid w:val="00D11478"/>
    <w:rsid w:val="00D114E9"/>
    <w:rsid w:val="00D13C67"/>
    <w:rsid w:val="00D160ED"/>
    <w:rsid w:val="00D20699"/>
    <w:rsid w:val="00D22141"/>
    <w:rsid w:val="00D22845"/>
    <w:rsid w:val="00D24F68"/>
    <w:rsid w:val="00D429C6"/>
    <w:rsid w:val="00D45B96"/>
    <w:rsid w:val="00D47748"/>
    <w:rsid w:val="00D47F36"/>
    <w:rsid w:val="00D51AF0"/>
    <w:rsid w:val="00D5311A"/>
    <w:rsid w:val="00D54CC3"/>
    <w:rsid w:val="00D6041A"/>
    <w:rsid w:val="00D633EB"/>
    <w:rsid w:val="00D67DA6"/>
    <w:rsid w:val="00D72BB1"/>
    <w:rsid w:val="00D72BF8"/>
    <w:rsid w:val="00D82FF7"/>
    <w:rsid w:val="00D847FE"/>
    <w:rsid w:val="00D964EA"/>
    <w:rsid w:val="00D966D0"/>
    <w:rsid w:val="00DA0C59"/>
    <w:rsid w:val="00DA3991"/>
    <w:rsid w:val="00DB7E6C"/>
    <w:rsid w:val="00DC224E"/>
    <w:rsid w:val="00DC5AAD"/>
    <w:rsid w:val="00DC7F2C"/>
    <w:rsid w:val="00DD5A29"/>
    <w:rsid w:val="00DD5D9D"/>
    <w:rsid w:val="00DE2C79"/>
    <w:rsid w:val="00DE35CB"/>
    <w:rsid w:val="00DF13E9"/>
    <w:rsid w:val="00DF1E24"/>
    <w:rsid w:val="00DF21E9"/>
    <w:rsid w:val="00DF4669"/>
    <w:rsid w:val="00DF6822"/>
    <w:rsid w:val="00E00F14"/>
    <w:rsid w:val="00E01F68"/>
    <w:rsid w:val="00E06386"/>
    <w:rsid w:val="00E2398E"/>
    <w:rsid w:val="00E24EB4"/>
    <w:rsid w:val="00E320ED"/>
    <w:rsid w:val="00E33650"/>
    <w:rsid w:val="00E33AFB"/>
    <w:rsid w:val="00E34218"/>
    <w:rsid w:val="00E35F8A"/>
    <w:rsid w:val="00E361EC"/>
    <w:rsid w:val="00E45228"/>
    <w:rsid w:val="00E46282"/>
    <w:rsid w:val="00E5216E"/>
    <w:rsid w:val="00E6480F"/>
    <w:rsid w:val="00E7041C"/>
    <w:rsid w:val="00E82344"/>
    <w:rsid w:val="00E84C82"/>
    <w:rsid w:val="00E84D64"/>
    <w:rsid w:val="00E87408"/>
    <w:rsid w:val="00E914C4"/>
    <w:rsid w:val="00E91CD2"/>
    <w:rsid w:val="00E934F5"/>
    <w:rsid w:val="00E95CAC"/>
    <w:rsid w:val="00E9624E"/>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A7F"/>
    <w:rsid w:val="00EE7133"/>
    <w:rsid w:val="00EE7636"/>
    <w:rsid w:val="00EF2DD3"/>
    <w:rsid w:val="00EF2FAD"/>
    <w:rsid w:val="00EF5CED"/>
    <w:rsid w:val="00EF768F"/>
    <w:rsid w:val="00F00F80"/>
    <w:rsid w:val="00F0124A"/>
    <w:rsid w:val="00F06FC1"/>
    <w:rsid w:val="00F1075A"/>
    <w:rsid w:val="00F10C4D"/>
    <w:rsid w:val="00F11BB5"/>
    <w:rsid w:val="00F11F9F"/>
    <w:rsid w:val="00F1417B"/>
    <w:rsid w:val="00F20323"/>
    <w:rsid w:val="00F31B08"/>
    <w:rsid w:val="00F33816"/>
    <w:rsid w:val="00F34B99"/>
    <w:rsid w:val="00F364DC"/>
    <w:rsid w:val="00F4096E"/>
    <w:rsid w:val="00F43BA1"/>
    <w:rsid w:val="00F52DAB"/>
    <w:rsid w:val="00F53D6E"/>
    <w:rsid w:val="00F543F0"/>
    <w:rsid w:val="00F54BCE"/>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6358"/>
    <w:rsid w:val="00FC7E22"/>
    <w:rsid w:val="00FD2E56"/>
    <w:rsid w:val="00FD320D"/>
    <w:rsid w:val="00FE10CE"/>
    <w:rsid w:val="00FE23DE"/>
    <w:rsid w:val="00FE531F"/>
    <w:rsid w:val="00FF559F"/>
    <w:rsid w:val="00FF6A93"/>
    <w:rsid w:val="7E80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46"/>
    <w:qFormat/>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uiPriority w:val="0"/>
    <w:pPr>
      <w:tabs>
        <w:tab w:val="right" w:leader="dot" w:pos="9241"/>
      </w:tabs>
      <w:ind w:firstLine="300" w:firstLineChars="300"/>
      <w:jc w:val="left"/>
    </w:pPr>
    <w:rPr>
      <w:rFonts w:ascii="宋体"/>
      <w:szCs w:val="21"/>
    </w:rPr>
  </w:style>
  <w:style w:type="paragraph" w:styleId="20">
    <w:name w:val="toc 3"/>
    <w:basedOn w:val="1"/>
    <w:next w:val="1"/>
    <w:semiHidden/>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69"/>
    <w:uiPriority w:val="0"/>
    <w:pPr>
      <w:ind w:left="100" w:leftChars="2500"/>
    </w:pPr>
  </w:style>
  <w:style w:type="paragraph" w:styleId="24">
    <w:name w:val="endnote text"/>
    <w:basedOn w:val="1"/>
    <w:semiHidden/>
    <w:qFormat/>
    <w:uiPriority w:val="0"/>
    <w:pPr>
      <w:snapToGrid w:val="0"/>
      <w:jc w:val="left"/>
    </w:pPr>
  </w:style>
  <w:style w:type="paragraph" w:styleId="25">
    <w:name w:val="Balloon Text"/>
    <w:basedOn w:val="1"/>
    <w:link w:val="148"/>
    <w:qFormat/>
    <w:uiPriority w:val="0"/>
    <w:rPr>
      <w:sz w:val="18"/>
      <w:szCs w:val="18"/>
    </w:rPr>
  </w:style>
  <w:style w:type="paragraph" w:styleId="26">
    <w:name w:val="footer"/>
    <w:basedOn w:val="1"/>
    <w:qFormat/>
    <w:uiPriority w:val="0"/>
    <w:pPr>
      <w:snapToGrid w:val="0"/>
      <w:ind w:right="210" w:rightChars="100"/>
      <w:jc w:val="right"/>
    </w:pPr>
    <w:rPr>
      <w:sz w:val="18"/>
      <w:szCs w:val="18"/>
    </w:rPr>
  </w:style>
  <w:style w:type="paragraph" w:styleId="27">
    <w:name w:val="header"/>
    <w:basedOn w:val="1"/>
    <w:qFormat/>
    <w:uiPriority w:val="0"/>
    <w:pPr>
      <w:snapToGrid w:val="0"/>
      <w:jc w:val="left"/>
    </w:pPr>
    <w:rPr>
      <w:sz w:val="18"/>
      <w:szCs w:val="18"/>
    </w:rPr>
  </w:style>
  <w:style w:type="paragraph" w:styleId="28">
    <w:name w:val="toc 1"/>
    <w:basedOn w:val="1"/>
    <w:next w:val="1"/>
    <w:semiHidden/>
    <w:qFormat/>
    <w:uiPriority w:val="0"/>
    <w:pPr>
      <w:tabs>
        <w:tab w:val="right" w:leader="dot" w:pos="9242"/>
      </w:tabs>
      <w:spacing w:beforeLines="25" w:afterLines="25"/>
      <w:jc w:val="left"/>
    </w:pPr>
    <w:rPr>
      <w:rFonts w:ascii="宋体"/>
      <w:szCs w:val="21"/>
    </w:rPr>
  </w:style>
  <w:style w:type="paragraph" w:styleId="29">
    <w:name w:val="toc 4"/>
    <w:basedOn w:val="1"/>
    <w:next w:val="1"/>
    <w:semiHidden/>
    <w:qFormat/>
    <w:uiPriority w:val="0"/>
    <w:pPr>
      <w:tabs>
        <w:tab w:val="right" w:leader="dot" w:pos="9241"/>
      </w:tabs>
      <w:ind w:firstLine="200"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uiPriority w:val="0"/>
    <w:pPr>
      <w:numPr>
        <w:ilvl w:val="0"/>
        <w:numId w:val="2"/>
      </w:numPr>
      <w:snapToGrid w:val="0"/>
      <w:jc w:val="left"/>
    </w:pPr>
    <w:rPr>
      <w:rFonts w:ascii="宋体"/>
      <w:sz w:val="18"/>
      <w:szCs w:val="18"/>
    </w:rPr>
  </w:style>
  <w:style w:type="paragraph" w:styleId="34">
    <w:name w:val="toc 6"/>
    <w:basedOn w:val="1"/>
    <w:next w:val="1"/>
    <w:semiHidden/>
    <w:qFormat/>
    <w:uiPriority w:val="0"/>
    <w:pPr>
      <w:tabs>
        <w:tab w:val="right" w:leader="dot" w:pos="9241"/>
      </w:tabs>
      <w:ind w:firstLine="400" w:firstLineChars="400"/>
      <w:jc w:val="left"/>
    </w:pPr>
    <w:rPr>
      <w:rFonts w:ascii="宋体"/>
      <w:szCs w:val="21"/>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qFormat/>
    <w:uiPriority w:val="0"/>
    <w:pPr>
      <w:ind w:left="1890" w:hanging="210"/>
      <w:jc w:val="left"/>
    </w:pPr>
    <w:rPr>
      <w:rFonts w:ascii="Calibri" w:hAnsi="Calibri"/>
      <w:sz w:val="20"/>
      <w:szCs w:val="20"/>
    </w:rPr>
  </w:style>
  <w:style w:type="paragraph" w:styleId="37">
    <w:name w:val="toc 2"/>
    <w:basedOn w:val="1"/>
    <w:next w:val="1"/>
    <w:semiHidden/>
    <w:qFormat/>
    <w:uiPriority w:val="0"/>
    <w:pPr>
      <w:tabs>
        <w:tab w:val="right" w:leader="dot" w:pos="9242"/>
      </w:tabs>
    </w:pPr>
    <w:rPr>
      <w:rFonts w:ascii="宋体"/>
      <w:szCs w:val="21"/>
    </w:rPr>
  </w:style>
  <w:style w:type="paragraph" w:styleId="38">
    <w:name w:val="toc 9"/>
    <w:basedOn w:val="1"/>
    <w:next w:val="1"/>
    <w:semiHidden/>
    <w:qFormat/>
    <w:uiPriority w:val="0"/>
    <w:pPr>
      <w:ind w:left="1470"/>
      <w:jc w:val="left"/>
    </w:pPr>
    <w:rPr>
      <w:sz w:val="20"/>
      <w:szCs w:val="20"/>
    </w:rPr>
  </w:style>
  <w:style w:type="paragraph" w:styleId="39">
    <w:name w:val="index 2"/>
    <w:basedOn w:val="1"/>
    <w:next w:val="1"/>
    <w:qFormat/>
    <w:uiPriority w:val="0"/>
    <w:pPr>
      <w:ind w:left="420" w:hanging="210"/>
      <w:jc w:val="left"/>
    </w:pPr>
    <w:rPr>
      <w:rFonts w:ascii="Calibri" w:hAnsi="Calibri"/>
      <w:sz w:val="20"/>
      <w:szCs w:val="20"/>
    </w:rPr>
  </w:style>
  <w:style w:type="paragraph" w:styleId="40">
    <w:name w:val="annotation subject"/>
    <w:basedOn w:val="16"/>
    <w:next w:val="16"/>
    <w:link w:val="147"/>
    <w:qFormat/>
    <w:uiPriority w:val="0"/>
    <w:rPr>
      <w:b/>
      <w:bCs/>
    </w:rPr>
  </w:style>
  <w:style w:type="table" w:styleId="42">
    <w:name w:val="Table Grid"/>
    <w:basedOn w:val="41"/>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endnote reference"/>
    <w:semiHidden/>
    <w:qFormat/>
    <w:uiPriority w:val="0"/>
    <w:rPr>
      <w:vertAlign w:val="superscript"/>
    </w:rPr>
  </w:style>
  <w:style w:type="character" w:styleId="45">
    <w:name w:val="page number"/>
    <w:qFormat/>
    <w:uiPriority w:val="0"/>
    <w:rPr>
      <w:rFonts w:ascii="Times New Roman" w:hAnsi="Times New Roman" w:eastAsia="宋体"/>
      <w:sz w:val="18"/>
    </w:rPr>
  </w:style>
  <w:style w:type="character" w:styleId="46">
    <w:name w:val="FollowedHyperlink"/>
    <w:qFormat/>
    <w:uiPriority w:val="0"/>
    <w:rPr>
      <w:color w:val="800080"/>
      <w:u w:val="single"/>
    </w:rPr>
  </w:style>
  <w:style w:type="character" w:styleId="47">
    <w:name w:val="Hyperlink"/>
    <w:uiPriority w:val="0"/>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qFormat/>
    <w:uiPriority w:val="0"/>
    <w:pPr>
      <w:numPr>
        <w:ilvl w:val="3"/>
      </w:numPr>
      <w:outlineLvl w:val="4"/>
    </w:pPr>
  </w:style>
  <w:style w:type="paragraph" w:customStyle="1" w:styleId="61">
    <w:name w:val="示例"/>
    <w:next w:val="62"/>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qFormat/>
    <w:uiPriority w:val="0"/>
    <w:pPr>
      <w:numPr>
        <w:ilvl w:val="4"/>
      </w:numPr>
      <w:outlineLvl w:val="5"/>
    </w:pPr>
  </w:style>
  <w:style w:type="paragraph" w:customStyle="1" w:styleId="65">
    <w:name w:val="五级条标题"/>
    <w:basedOn w:val="64"/>
    <w:next w:val="32"/>
    <w:qFormat/>
    <w:uiPriority w:val="0"/>
    <w:pPr>
      <w:numPr>
        <w:ilvl w:val="5"/>
      </w:numPr>
      <w:outlineLvl w:val="6"/>
    </w:pPr>
  </w:style>
  <w:style w:type="paragraph" w:customStyle="1" w:styleId="66">
    <w:name w:val="注："/>
    <w:next w:val="32"/>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qFormat/>
    <w:uiPriority w:val="0"/>
    <w:pPr>
      <w:numPr>
        <w:ilvl w:val="2"/>
        <w:numId w:val="4"/>
      </w:numPr>
    </w:pPr>
    <w:rPr>
      <w:rFonts w:ascii="宋体"/>
      <w:szCs w:val="21"/>
    </w:rPr>
  </w:style>
  <w:style w:type="paragraph" w:customStyle="1" w:styleId="70">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qFormat/>
    <w:uiPriority w:val="0"/>
    <w:pPr>
      <w:spacing w:beforeLines="0" w:afterLines="0"/>
    </w:pPr>
    <w:rPr>
      <w:rFonts w:ascii="宋体" w:eastAsia="宋体"/>
    </w:rPr>
  </w:style>
  <w:style w:type="paragraph" w:customStyle="1" w:styleId="73">
    <w:name w:val="注：（正文）"/>
    <w:basedOn w:val="66"/>
    <w:next w:val="32"/>
    <w:qFormat/>
    <w:uiPriority w:val="0"/>
  </w:style>
  <w:style w:type="paragraph" w:customStyle="1" w:styleId="74">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qFormat/>
    <w:uiPriority w:val="0"/>
    <w:rPr>
      <w:rFonts w:ascii="黑体" w:eastAsia="黑体"/>
      <w:spacing w:val="85"/>
      <w:w w:val="100"/>
      <w:position w:val="3"/>
      <w:sz w:val="28"/>
      <w:szCs w:val="28"/>
    </w:rPr>
  </w:style>
  <w:style w:type="paragraph" w:customStyle="1" w:styleId="83">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uiPriority w:val="0"/>
    <w:pPr>
      <w:framePr/>
      <w:spacing w:before="370" w:line="400" w:lineRule="exact"/>
    </w:pPr>
    <w:rPr>
      <w:rFonts w:ascii="Times New Roman"/>
      <w:sz w:val="28"/>
      <w:szCs w:val="28"/>
    </w:rPr>
  </w:style>
  <w:style w:type="paragraph" w:customStyle="1" w:styleId="89">
    <w:name w:val="封面一致性程度标识"/>
    <w:basedOn w:val="88"/>
    <w:uiPriority w:val="0"/>
    <w:pPr>
      <w:framePr/>
      <w:spacing w:before="440"/>
    </w:pPr>
    <w:rPr>
      <w:rFonts w:ascii="宋体" w:eastAsia="宋体"/>
    </w:rPr>
  </w:style>
  <w:style w:type="paragraph" w:customStyle="1" w:styleId="90">
    <w:name w:val="封面标准文稿类别"/>
    <w:basedOn w:val="89"/>
    <w:uiPriority w:val="0"/>
    <w:pPr>
      <w:framePr/>
      <w:spacing w:after="160" w:line="240" w:lineRule="auto"/>
    </w:pPr>
    <w:rPr>
      <w:sz w:val="24"/>
    </w:rPr>
  </w:style>
  <w:style w:type="paragraph" w:customStyle="1" w:styleId="91">
    <w:name w:val="封面标准文稿编辑信息"/>
    <w:basedOn w:val="90"/>
    <w:qFormat/>
    <w:uiPriority w:val="0"/>
    <w:pPr>
      <w:framePr/>
      <w:spacing w:before="180" w:line="180" w:lineRule="exact"/>
    </w:pPr>
    <w:rPr>
      <w:sz w:val="21"/>
    </w:rPr>
  </w:style>
  <w:style w:type="paragraph" w:customStyle="1" w:styleId="92">
    <w:name w:val="封面正文"/>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uiPriority w:val="0"/>
    <w:pPr>
      <w:ind w:firstLine="0" w:firstLineChars="0"/>
      <w:jc w:val="center"/>
    </w:pPr>
    <w:rPr>
      <w:rFonts w:ascii="黑体" w:eastAsia="黑体"/>
    </w:rPr>
  </w:style>
  <w:style w:type="paragraph" w:customStyle="1" w:styleId="95">
    <w:name w:val="附录表标号"/>
    <w:basedOn w:val="1"/>
    <w:next w:val="32"/>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uiPriority w:val="0"/>
    <w:pPr>
      <w:numPr>
        <w:ilvl w:val="4"/>
      </w:numPr>
      <w:outlineLvl w:val="4"/>
    </w:pPr>
  </w:style>
  <w:style w:type="paragraph" w:customStyle="1" w:styleId="103">
    <w:name w:val="附录三级无"/>
    <w:basedOn w:val="102"/>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uiPriority w:val="0"/>
    <w:pPr>
      <w:numPr>
        <w:ilvl w:val="5"/>
      </w:numPr>
      <w:outlineLvl w:val="5"/>
    </w:pPr>
  </w:style>
  <w:style w:type="paragraph" w:customStyle="1" w:styleId="106">
    <w:name w:val="附录四级无"/>
    <w:basedOn w:val="105"/>
    <w:uiPriority w:val="0"/>
    <w:pPr>
      <w:tabs>
        <w:tab w:val="clear" w:pos="360"/>
      </w:tabs>
      <w:spacing w:beforeLines="0" w:afterLines="0"/>
    </w:pPr>
    <w:rPr>
      <w:rFonts w:ascii="宋体" w:eastAsia="宋体"/>
      <w:szCs w:val="21"/>
    </w:rPr>
  </w:style>
  <w:style w:type="paragraph" w:customStyle="1" w:styleId="10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uiPriority w:val="0"/>
    <w:pPr>
      <w:numPr>
        <w:ilvl w:val="6"/>
      </w:numPr>
      <w:outlineLvl w:val="6"/>
    </w:pPr>
  </w:style>
  <w:style w:type="paragraph" w:customStyle="1" w:styleId="110">
    <w:name w:val="附录五级无"/>
    <w:basedOn w:val="109"/>
    <w:qFormat/>
    <w:uiPriority w:val="0"/>
    <w:pPr>
      <w:tabs>
        <w:tab w:val="clear" w:pos="360"/>
      </w:tabs>
      <w:spacing w:beforeLines="0" w:afterLines="0"/>
    </w:pPr>
    <w:rPr>
      <w:rFonts w:ascii="宋体" w:eastAsia="宋体"/>
      <w:szCs w:val="21"/>
    </w:rPr>
  </w:style>
  <w:style w:type="paragraph" w:customStyle="1" w:styleId="111">
    <w:name w:val="附录章标题"/>
    <w:next w:val="32"/>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uiPriority w:val="0"/>
    <w:pPr>
      <w:numPr>
        <w:ilvl w:val="2"/>
      </w:numPr>
      <w:autoSpaceDN w:val="0"/>
      <w:spacing w:beforeLines="50" w:afterLines="50"/>
      <w:outlineLvl w:val="2"/>
    </w:pPr>
  </w:style>
  <w:style w:type="paragraph" w:customStyle="1" w:styleId="113">
    <w:name w:val="附录一级无"/>
    <w:basedOn w:val="112"/>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qFormat/>
    <w:uiPriority w:val="0"/>
    <w:pPr>
      <w:framePr w:w="6101" w:vAnchor="page" w:hAnchor="page" w:x="4673" w:y="942"/>
    </w:pPr>
    <w:rPr>
      <w:w w:val="130"/>
    </w:rPr>
  </w:style>
  <w:style w:type="paragraph" w:customStyle="1" w:styleId="11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uiPriority w:val="0"/>
    <w:pPr>
      <w:framePr w:y="15310"/>
      <w:spacing w:line="0" w:lineRule="atLeast"/>
    </w:pPr>
    <w:rPr>
      <w:rFonts w:ascii="黑体" w:eastAsia="黑体"/>
      <w:b w:val="0"/>
    </w:rPr>
  </w:style>
  <w:style w:type="paragraph" w:customStyle="1" w:styleId="121">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uiPriority w:val="0"/>
    <w:pPr>
      <w:spacing w:beforeLines="0" w:afterLines="0"/>
    </w:pPr>
    <w:rPr>
      <w:rFonts w:ascii="宋体" w:eastAsia="宋体"/>
    </w:rPr>
  </w:style>
  <w:style w:type="paragraph" w:customStyle="1" w:styleId="123">
    <w:name w:val="实施日期"/>
    <w:basedOn w:val="84"/>
    <w:qFormat/>
    <w:uiPriority w:val="0"/>
    <w:pPr>
      <w:framePr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33"/>
    <w:qFormat/>
    <w:uiPriority w:val="0"/>
    <w:pPr>
      <w:numPr>
        <w:numId w:val="0"/>
      </w:numPr>
      <w:jc w:val="both"/>
    </w:pPr>
  </w:style>
  <w:style w:type="paragraph" w:customStyle="1" w:styleId="129">
    <w:name w:val="图标脚注说明"/>
    <w:basedOn w:val="32"/>
    <w:qFormat/>
    <w:uiPriority w:val="0"/>
    <w:pPr>
      <w:ind w:left="840" w:hanging="420" w:firstLineChars="0"/>
    </w:pPr>
    <w:rPr>
      <w:sz w:val="18"/>
      <w:szCs w:val="18"/>
    </w:rPr>
  </w:style>
  <w:style w:type="paragraph" w:customStyle="1" w:styleId="130">
    <w:name w:val="图表脚注说明"/>
    <w:basedOn w:val="1"/>
    <w:qFormat/>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pPr>
      <w:spacing w:beforeLines="0" w:afterLines="0"/>
    </w:pPr>
    <w:rPr>
      <w:rFonts w:ascii="宋体" w:eastAsia="宋体"/>
    </w:rPr>
  </w:style>
  <w:style w:type="paragraph" w:customStyle="1" w:styleId="134">
    <w:name w:val="一级无"/>
    <w:basedOn w:val="51"/>
    <w:qFormat/>
    <w:uiPriority w:val="0"/>
    <w:pPr>
      <w:spacing w:beforeLines="0" w:afterLines="0"/>
    </w:pPr>
    <w:rPr>
      <w:rFonts w:ascii="宋体" w:eastAsia="宋体"/>
    </w:rPr>
  </w:style>
  <w:style w:type="paragraph" w:customStyle="1" w:styleId="135">
    <w:name w:val="正文表标题"/>
    <w:next w:val="3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其他发布日期"/>
    <w:basedOn w:val="84"/>
    <w:qFormat/>
    <w:uiPriority w:val="0"/>
    <w:pPr>
      <w:framePr w:vAnchor="page" w:hAnchor="text" w:x="1419"/>
    </w:pPr>
  </w:style>
  <w:style w:type="paragraph" w:customStyle="1" w:styleId="140">
    <w:name w:val="其他实施日期"/>
    <w:basedOn w:val="123"/>
    <w:qFormat/>
    <w:uiPriority w:val="0"/>
    <w:pPr>
      <w:framePr/>
    </w:pPr>
  </w:style>
  <w:style w:type="paragraph" w:customStyle="1" w:styleId="141">
    <w:name w:val="封面标准名称2"/>
    <w:basedOn w:val="87"/>
    <w:qFormat/>
    <w:uiPriority w:val="0"/>
    <w:pPr>
      <w:framePr w:y="4469"/>
      <w:spacing w:beforeLines="630"/>
    </w:pPr>
  </w:style>
  <w:style w:type="paragraph" w:customStyle="1" w:styleId="142">
    <w:name w:val="封面标准英文名称2"/>
    <w:basedOn w:val="88"/>
    <w:qFormat/>
    <w:uiPriority w:val="0"/>
    <w:pPr>
      <w:framePr w:y="4469"/>
    </w:pPr>
  </w:style>
  <w:style w:type="paragraph" w:customStyle="1" w:styleId="143">
    <w:name w:val="封面一致性程度标识2"/>
    <w:basedOn w:val="89"/>
    <w:qFormat/>
    <w:uiPriority w:val="0"/>
    <w:pPr>
      <w:framePr w:y="4469"/>
    </w:pPr>
  </w:style>
  <w:style w:type="paragraph" w:customStyle="1" w:styleId="144">
    <w:name w:val="封面标准文稿类别2"/>
    <w:basedOn w:val="90"/>
    <w:qFormat/>
    <w:uiPriority w:val="0"/>
    <w:pPr>
      <w:framePr w:y="4469"/>
    </w:pPr>
  </w:style>
  <w:style w:type="paragraph" w:customStyle="1" w:styleId="145">
    <w:name w:val="封面标准文稿编辑信息2"/>
    <w:basedOn w:val="91"/>
    <w:qFormat/>
    <w:uiPriority w:val="0"/>
    <w:pPr>
      <w:framePr w:y="4469"/>
    </w:pPr>
  </w:style>
  <w:style w:type="character" w:customStyle="1" w:styleId="146">
    <w:name w:val="批注文字 字符"/>
    <w:link w:val="16"/>
    <w:qFormat/>
    <w:uiPriority w:val="0"/>
    <w:rPr>
      <w:kern w:val="2"/>
      <w:sz w:val="21"/>
      <w:szCs w:val="24"/>
    </w:rPr>
  </w:style>
  <w:style w:type="character" w:customStyle="1" w:styleId="147">
    <w:name w:val="批注主题 字符"/>
    <w:link w:val="40"/>
    <w:qFormat/>
    <w:uiPriority w:val="0"/>
    <w:rPr>
      <w:b/>
      <w:bCs/>
      <w:kern w:val="2"/>
      <w:sz w:val="21"/>
      <w:szCs w:val="24"/>
    </w:rPr>
  </w:style>
  <w:style w:type="character" w:customStyle="1" w:styleId="148">
    <w:name w:val="批注框文本 字符"/>
    <w:link w:val="25"/>
    <w:qFormat/>
    <w:uiPriority w:val="0"/>
    <w:rPr>
      <w:kern w:val="2"/>
      <w:sz w:val="18"/>
      <w:szCs w:val="18"/>
    </w:rPr>
  </w:style>
  <w:style w:type="paragraph" w:customStyle="1" w:styleId="149">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qFormat/>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locked/>
    <w:uiPriority w:val="0"/>
    <w:rPr>
      <w:lang w:eastAsia="ja-JP"/>
    </w:rPr>
  </w:style>
  <w:style w:type="paragraph" w:customStyle="1" w:styleId="166">
    <w:name w:val="StdsText"/>
    <w:link w:val="165"/>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字符"/>
    <w:basedOn w:val="43"/>
    <w:link w:val="23"/>
    <w:uiPriority w:val="0"/>
    <w:rPr>
      <w:kern w:val="2"/>
      <w:sz w:val="21"/>
      <w:szCs w:val="24"/>
    </w:rPr>
  </w:style>
  <w:style w:type="character" w:customStyle="1" w:styleId="170">
    <w:name w:val="标题 1 字符"/>
    <w:basedOn w:val="43"/>
    <w:link w:val="2"/>
    <w:uiPriority w:val="0"/>
    <w:rPr>
      <w:b/>
      <w:bCs/>
      <w:kern w:val="44"/>
      <w:sz w:val="44"/>
      <w:szCs w:val="44"/>
    </w:rPr>
  </w:style>
  <w:style w:type="character" w:customStyle="1" w:styleId="171">
    <w:name w:val="标题 2 字符"/>
    <w:basedOn w:val="43"/>
    <w:link w:val="3"/>
    <w:uiPriority w:val="0"/>
    <w:rPr>
      <w:rFonts w:asciiTheme="majorHAnsi" w:hAnsiTheme="majorHAnsi" w:eastAsiaTheme="majorEastAsia" w:cstheme="majorBidi"/>
      <w:b/>
      <w:bCs/>
      <w:kern w:val="2"/>
      <w:sz w:val="32"/>
      <w:szCs w:val="32"/>
    </w:rPr>
  </w:style>
  <w:style w:type="character" w:customStyle="1" w:styleId="172">
    <w:name w:val="标题 3 字符"/>
    <w:basedOn w:val="43"/>
    <w:link w:val="4"/>
    <w:uiPriority w:val="0"/>
    <w:rPr>
      <w:b/>
      <w:bCs/>
      <w:kern w:val="2"/>
      <w:sz w:val="32"/>
      <w:szCs w:val="32"/>
    </w:rPr>
  </w:style>
  <w:style w:type="character" w:customStyle="1" w:styleId="173">
    <w:name w:val="标题 4 字符"/>
    <w:basedOn w:val="43"/>
    <w:link w:val="5"/>
    <w:semiHidden/>
    <w:uiPriority w:val="0"/>
    <w:rPr>
      <w:rFonts w:asciiTheme="majorHAnsi" w:hAnsiTheme="majorHAnsi" w:eastAsiaTheme="majorEastAsia" w:cstheme="majorBidi"/>
      <w:b/>
      <w:bCs/>
      <w:kern w:val="2"/>
      <w:sz w:val="28"/>
      <w:szCs w:val="28"/>
    </w:rPr>
  </w:style>
  <w:style w:type="character" w:customStyle="1" w:styleId="174">
    <w:name w:val="标题 5 字符"/>
    <w:basedOn w:val="43"/>
    <w:link w:val="6"/>
    <w:semiHidden/>
    <w:uiPriority w:val="0"/>
    <w:rPr>
      <w:b/>
      <w:bCs/>
      <w:kern w:val="2"/>
      <w:sz w:val="28"/>
      <w:szCs w:val="28"/>
    </w:rPr>
  </w:style>
  <w:style w:type="character" w:customStyle="1" w:styleId="175">
    <w:name w:val="标题 6 字符"/>
    <w:basedOn w:val="43"/>
    <w:link w:val="7"/>
    <w:semiHidden/>
    <w:uiPriority w:val="0"/>
    <w:rPr>
      <w:rFonts w:asciiTheme="majorHAnsi" w:hAnsiTheme="majorHAnsi" w:eastAsiaTheme="majorEastAsia" w:cstheme="majorBidi"/>
      <w:b/>
      <w:bCs/>
      <w:kern w:val="2"/>
      <w:sz w:val="24"/>
      <w:szCs w:val="24"/>
    </w:rPr>
  </w:style>
  <w:style w:type="character" w:customStyle="1" w:styleId="176">
    <w:name w:val="标题 7 字符"/>
    <w:basedOn w:val="43"/>
    <w:link w:val="8"/>
    <w:semiHidden/>
    <w:uiPriority w:val="0"/>
    <w:rPr>
      <w:b/>
      <w:bCs/>
      <w:kern w:val="2"/>
      <w:sz w:val="24"/>
      <w:szCs w:val="24"/>
    </w:rPr>
  </w:style>
  <w:style w:type="character" w:customStyle="1" w:styleId="177">
    <w:name w:val="标题 8 字符"/>
    <w:basedOn w:val="43"/>
    <w:link w:val="9"/>
    <w:semiHidden/>
    <w:uiPriority w:val="0"/>
    <w:rPr>
      <w:rFonts w:asciiTheme="majorHAnsi" w:hAnsiTheme="majorHAnsi" w:eastAsiaTheme="majorEastAsia" w:cstheme="majorBidi"/>
      <w:kern w:val="2"/>
      <w:sz w:val="24"/>
      <w:szCs w:val="24"/>
    </w:rPr>
  </w:style>
  <w:style w:type="character" w:customStyle="1" w:styleId="178">
    <w:name w:val="标题 9 字符"/>
    <w:basedOn w:val="43"/>
    <w:link w:val="10"/>
    <w:semiHidden/>
    <w:uiPriority w:val="0"/>
    <w:rPr>
      <w:rFonts w:asciiTheme="majorHAnsi" w:hAnsiTheme="majorHAnsi" w:eastAsiaTheme="majorEastAsia" w:cstheme="majorBidi"/>
      <w:kern w:val="2"/>
      <w:sz w:val="21"/>
      <w:szCs w:val="21"/>
    </w:rPr>
  </w:style>
  <w:style w:type="table" w:customStyle="1" w:styleId="179">
    <w:name w:val="网格表 41"/>
    <w:basedOn w:val="41"/>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AC1D3-78FE-4441-A810-273971AA8B35}">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6</Pages>
  <Words>601</Words>
  <Characters>3431</Characters>
  <Lines>28</Lines>
  <Paragraphs>8</Paragraphs>
  <TotalTime>0</TotalTime>
  <ScaleCrop>false</ScaleCrop>
  <LinksUpToDate>false</LinksUpToDate>
  <CharactersWithSpaces>4024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2020-10-13T01:06:26Z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