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olor w:val="000000"/>
          <w:sz w:val="28"/>
          <w:szCs w:val="28"/>
        </w:rPr>
      </w:pPr>
      <w:bookmarkStart w:id="32" w:name="_GoBack"/>
      <w:bookmarkEnd w:id="32"/>
      <w:r>
        <w:rPr>
          <w:rFonts w:ascii="Times New Roman" w:hAnsi="Times New Roman"/>
          <w:color w:val="000000"/>
        </w:rPr>
        <mc:AlternateContent>
          <mc:Choice Requires="wps">
            <w:drawing>
              <wp:anchor distT="0" distB="0" distL="114300" distR="114300" simplePos="0" relativeHeight="251653120" behindDoc="0" locked="1" layoutInCell="0" allowOverlap="1">
                <wp:simplePos x="0" y="0"/>
                <wp:positionH relativeFrom="margin">
                  <wp:posOffset>-56515</wp:posOffset>
                </wp:positionH>
                <wp:positionV relativeFrom="margin">
                  <wp:posOffset>85090</wp:posOffset>
                </wp:positionV>
                <wp:extent cx="1089660" cy="555625"/>
                <wp:effectExtent l="0" t="0" r="0" b="0"/>
                <wp:wrapNone/>
                <wp:docPr id="34" name="fmFrame1"/>
                <wp:cNvGraphicFramePr/>
                <a:graphic xmlns:a="http://schemas.openxmlformats.org/drawingml/2006/main">
                  <a:graphicData uri="http://schemas.microsoft.com/office/word/2010/wordprocessingShape">
                    <wps:wsp>
                      <wps:cNvSpPr txBox="1"/>
                      <wps:spPr bwMode="auto">
                        <a:xfrm>
                          <a:off x="0" y="0"/>
                          <a:ext cx="1089660" cy="555625"/>
                        </a:xfrm>
                        <a:prstGeom prst="rect">
                          <a:avLst/>
                        </a:prstGeom>
                        <a:solidFill>
                          <a:srgbClr val="FFFFFF"/>
                        </a:solidFill>
                        <a:ln>
                          <a:noFill/>
                        </a:ln>
                      </wps:spPr>
                      <wps:txbx>
                        <w:txbxContent>
                          <w:p>
                            <w:pPr>
                              <w:pStyle w:val="46"/>
                              <w:adjustRightInd/>
                              <w:rPr>
                                <w:rFonts w:ascii="黑体" w:hAnsi="黑体" w:eastAsia="黑体" w:cs="Times New Roman"/>
                                <w:sz w:val="21"/>
                                <w:szCs w:val="21"/>
                              </w:rPr>
                            </w:pPr>
                            <w:r>
                              <w:rPr>
                                <w:rFonts w:ascii="黑体" w:hAnsi="黑体" w:eastAsia="黑体" w:cs="Times New Roman"/>
                                <w:sz w:val="21"/>
                                <w:szCs w:val="21"/>
                              </w:rPr>
                              <w:t>ICS 77.</w:t>
                            </w:r>
                            <w:r>
                              <w:rPr>
                                <w:rFonts w:hint="eastAsia" w:ascii="黑体" w:hAnsi="黑体" w:eastAsia="黑体" w:cs="Times New Roman"/>
                                <w:sz w:val="21"/>
                                <w:szCs w:val="21"/>
                              </w:rPr>
                              <w:t>1</w:t>
                            </w:r>
                            <w:r>
                              <w:rPr>
                                <w:rFonts w:ascii="黑体" w:hAnsi="黑体" w:eastAsia="黑体" w:cs="Times New Roman"/>
                                <w:sz w:val="21"/>
                                <w:szCs w:val="21"/>
                              </w:rPr>
                              <w:t>2</w:t>
                            </w:r>
                            <w:r>
                              <w:rPr>
                                <w:rFonts w:hint="eastAsia" w:ascii="黑体" w:hAnsi="黑体" w:eastAsia="黑体" w:cs="Times New Roman"/>
                                <w:sz w:val="21"/>
                                <w:szCs w:val="21"/>
                              </w:rPr>
                              <w:t>0.99</w:t>
                            </w:r>
                            <w:r>
                              <w:rPr>
                                <w:rFonts w:ascii="黑体" w:hAnsi="黑体" w:eastAsia="黑体" w:cs="Times New Roman"/>
                                <w:sz w:val="21"/>
                                <w:szCs w:val="21"/>
                              </w:rPr>
                              <w:t xml:space="preserve"> </w:t>
                            </w:r>
                          </w:p>
                          <w:p>
                            <w:pPr>
                              <w:pStyle w:val="46"/>
                              <w:adjustRightInd/>
                              <w:rPr>
                                <w:rFonts w:ascii="黑体" w:hAnsi="黑体" w:eastAsia="黑体" w:cs="Times New Roman"/>
                                <w:sz w:val="21"/>
                                <w:szCs w:val="21"/>
                              </w:rPr>
                            </w:pPr>
                            <w:r>
                              <w:rPr>
                                <w:rFonts w:hint="eastAsia" w:ascii="黑体" w:hAnsi="黑体" w:eastAsia="黑体" w:cs="Times New Roman"/>
                                <w:sz w:val="21"/>
                                <w:szCs w:val="21"/>
                              </w:rPr>
                              <w:t xml:space="preserve">CCS </w:t>
                            </w:r>
                            <w:r>
                              <w:rPr>
                                <w:rFonts w:ascii="黑体" w:hAnsi="黑体" w:eastAsia="黑体" w:cs="Times New Roman"/>
                                <w:sz w:val="21"/>
                                <w:szCs w:val="21"/>
                              </w:rPr>
                              <w:t xml:space="preserve">H </w:t>
                            </w:r>
                            <w:r>
                              <w:rPr>
                                <w:rFonts w:hint="eastAsia" w:ascii="黑体" w:hAnsi="黑体" w:eastAsia="黑体" w:cs="Times New Roman"/>
                                <w:sz w:val="21"/>
                                <w:szCs w:val="21"/>
                              </w:rPr>
                              <w:t>62</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4.45pt;margin-top:6.7pt;height:43.75pt;width:85.8pt;mso-position-horizontal-relative:margin;mso-position-vertical-relative:margin;z-index:251653120;mso-width-relative:page;mso-height-relative:page;" fillcolor="#FFFFFF" filled="t" stroked="f" coordsize="21600,21600" o:allowincell="f" o:gfxdata="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YghyD2AAAAAkBAAAPAAAAAAAA&#10;AAEAIAAAACIAAABkcnMvZG93bnJldi54bWxQSwECFAAUAAAACACHTuJAVbEvd9kBAACuAwAADgAA&#10;AAAAAAABACAAAAAnAQAAZHJzL2Uyb0RvYy54bWxQSwUGAAAAAAYABgBZAQAAcgUAAAAA&#10;">
                <v:fill on="t" focussize="0,0"/>
                <v:stroke on="f"/>
                <v:imagedata o:title=""/>
                <o:lock v:ext="edit" aspectratio="f"/>
                <v:textbox inset="0mm,0mm,0mm,0mm">
                  <w:txbxContent>
                    <w:p>
                      <w:pPr>
                        <w:pStyle w:val="46"/>
                        <w:adjustRightInd/>
                        <w:rPr>
                          <w:rFonts w:ascii="黑体" w:hAnsi="黑体" w:eastAsia="黑体" w:cs="Times New Roman"/>
                          <w:sz w:val="21"/>
                          <w:szCs w:val="21"/>
                        </w:rPr>
                      </w:pPr>
                      <w:r>
                        <w:rPr>
                          <w:rFonts w:ascii="黑体" w:hAnsi="黑体" w:eastAsia="黑体" w:cs="Times New Roman"/>
                          <w:sz w:val="21"/>
                          <w:szCs w:val="21"/>
                        </w:rPr>
                        <w:t>ICS 77.</w:t>
                      </w:r>
                      <w:r>
                        <w:rPr>
                          <w:rFonts w:hint="eastAsia" w:ascii="黑体" w:hAnsi="黑体" w:eastAsia="黑体" w:cs="Times New Roman"/>
                          <w:sz w:val="21"/>
                          <w:szCs w:val="21"/>
                        </w:rPr>
                        <w:t>1</w:t>
                      </w:r>
                      <w:r>
                        <w:rPr>
                          <w:rFonts w:ascii="黑体" w:hAnsi="黑体" w:eastAsia="黑体" w:cs="Times New Roman"/>
                          <w:sz w:val="21"/>
                          <w:szCs w:val="21"/>
                        </w:rPr>
                        <w:t>2</w:t>
                      </w:r>
                      <w:r>
                        <w:rPr>
                          <w:rFonts w:hint="eastAsia" w:ascii="黑体" w:hAnsi="黑体" w:eastAsia="黑体" w:cs="Times New Roman"/>
                          <w:sz w:val="21"/>
                          <w:szCs w:val="21"/>
                        </w:rPr>
                        <w:t>0.99</w:t>
                      </w:r>
                      <w:r>
                        <w:rPr>
                          <w:rFonts w:ascii="黑体" w:hAnsi="黑体" w:eastAsia="黑体" w:cs="Times New Roman"/>
                          <w:sz w:val="21"/>
                          <w:szCs w:val="21"/>
                        </w:rPr>
                        <w:t xml:space="preserve"> </w:t>
                      </w:r>
                    </w:p>
                    <w:p>
                      <w:pPr>
                        <w:pStyle w:val="46"/>
                        <w:adjustRightInd/>
                        <w:rPr>
                          <w:rFonts w:ascii="黑体" w:hAnsi="黑体" w:eastAsia="黑体" w:cs="Times New Roman"/>
                          <w:sz w:val="21"/>
                          <w:szCs w:val="21"/>
                        </w:rPr>
                      </w:pPr>
                      <w:r>
                        <w:rPr>
                          <w:rFonts w:hint="eastAsia" w:ascii="黑体" w:hAnsi="黑体" w:eastAsia="黑体" w:cs="Times New Roman"/>
                          <w:sz w:val="21"/>
                          <w:szCs w:val="21"/>
                        </w:rPr>
                        <w:t xml:space="preserve">CCS </w:t>
                      </w:r>
                      <w:r>
                        <w:rPr>
                          <w:rFonts w:ascii="黑体" w:hAnsi="黑体" w:eastAsia="黑体" w:cs="Times New Roman"/>
                          <w:sz w:val="21"/>
                          <w:szCs w:val="21"/>
                        </w:rPr>
                        <w:t xml:space="preserve">H </w:t>
                      </w:r>
                      <w:r>
                        <w:rPr>
                          <w:rFonts w:hint="eastAsia" w:ascii="黑体" w:hAnsi="黑体" w:eastAsia="黑体" w:cs="Times New Roman"/>
                          <w:sz w:val="21"/>
                          <w:szCs w:val="21"/>
                        </w:rPr>
                        <w:t>62</w:t>
                      </w:r>
                    </w:p>
                  </w:txbxContent>
                </v:textbox>
                <w10:anchorlock/>
              </v:shape>
            </w:pict>
          </mc:Fallback>
        </mc:AlternateContent>
      </w:r>
    </w:p>
    <w:p>
      <w:pPr>
        <w:rPr>
          <w:rFonts w:ascii="Times New Roman" w:hAnsi="Times New Roman"/>
          <w:color w:val="000000"/>
          <w:sz w:val="28"/>
          <w:szCs w:val="28"/>
        </w:rPr>
      </w:pPr>
      <w:r>
        <w:rPr>
          <w:rFonts w:ascii="Times New Roman" w:hAnsi="Times New Roman"/>
          <w:color w:val="000000"/>
          <w:sz w:val="28"/>
          <w:szCs w:val="28"/>
        </w:rPr>
        <w:t xml:space="preserve">                                          </w:t>
      </w:r>
    </w:p>
    <w:p>
      <w:pPr>
        <w:pStyle w:val="46"/>
        <w:adjustRightInd/>
        <w:jc w:val="center"/>
        <w:rPr>
          <w:rFonts w:eastAsia="黑体"/>
          <w:color w:val="auto"/>
          <w:sz w:val="48"/>
          <w:szCs w:val="48"/>
        </w:rPr>
      </w:pPr>
      <w:r>
        <w:rPr>
          <w:rFonts w:eastAsia="黑体"/>
          <w:bCs/>
          <w:color w:val="auto"/>
          <w:sz w:val="84"/>
          <w:szCs w:val="84"/>
        </w:rPr>
        <w:t>团  体  标  准</w:t>
      </w:r>
    </w:p>
    <w:p>
      <w:pPr>
        <w:pStyle w:val="46"/>
        <w:adjustRightInd/>
        <w:jc w:val="center"/>
        <w:rPr>
          <w:rFonts w:ascii="Times New Roman" w:hAnsi="Times New Roman" w:eastAsia="黑体" w:cs="Times New Roman"/>
          <w:color w:val="auto"/>
          <w:sz w:val="48"/>
          <w:szCs w:val="48"/>
        </w:rPr>
      </w:pPr>
      <w:r>
        <mc:AlternateContent>
          <mc:Choice Requires="wps">
            <w:drawing>
              <wp:anchor distT="0" distB="0" distL="114300" distR="114300" simplePos="0" relativeHeight="251664384" behindDoc="0" locked="0" layoutInCell="1" allowOverlap="1">
                <wp:simplePos x="0" y="0"/>
                <wp:positionH relativeFrom="column">
                  <wp:posOffset>-179705</wp:posOffset>
                </wp:positionH>
                <wp:positionV relativeFrom="paragraph">
                  <wp:posOffset>527050</wp:posOffset>
                </wp:positionV>
                <wp:extent cx="6119495" cy="635"/>
                <wp:effectExtent l="0" t="0" r="14605" b="18415"/>
                <wp:wrapTopAndBottom/>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14.15pt;margin-top:41.5pt;height:0.05pt;width:481.85pt;mso-wrap-distance-bottom:0pt;mso-wrap-distance-top:0pt;z-index:251664384;mso-width-relative:page;mso-height-relative:page;" filled="f" stroked="t" coordsize="21600,21600" o:gfxdata="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8Q9yI1wAAAAkBAAAPAAAAAAAAAAEAIAAAACIAAABkcnMvZG93bnJldi54bWxQSwECFAAUAAAA&#10;CACHTuJAdcMOZrYBAABiAwAADgAAAAAAAAABACAAAAAmAQAAZHJzL2Uyb0RvYy54bWxQSwUGAAAA&#10;AAYABgBZAQAATgUAAAAA&#10;">
                <v:fill on="f" focussize="0,0"/>
                <v:stroke weight="1.5pt" color="#000000" joinstyle="round"/>
                <v:imagedata o:title=""/>
                <o:lock v:ext="edit" aspectratio="f"/>
                <w10:wrap type="topAndBottom"/>
              </v:line>
            </w:pict>
          </mc:Fallback>
        </mc:AlternateContent>
      </w:r>
      <w:r>
        <w:rPr>
          <w:rFonts w:eastAsia="黑体"/>
          <w:color w:val="auto"/>
          <w:sz w:val="48"/>
          <w:szCs w:val="48"/>
        </w:rPr>
        <w:t xml:space="preserve">                          </w:t>
      </w:r>
      <w:r>
        <w:rPr>
          <w:rFonts w:ascii="Times New Roman" w:hAnsi="Times New Roman" w:eastAsia="黑体" w:cs="Times New Roman"/>
          <w:color w:val="auto"/>
          <w:sz w:val="28"/>
          <w:szCs w:val="28"/>
        </w:rPr>
        <w:t>T/XXXX  xxxx－2019</w:t>
      </w: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r>
        <w:rPr>
          <w:rFonts w:ascii="Times New Roman" w:hAnsi="Times New Roman"/>
          <w:color w:val="000000"/>
        </w:rPr>
        <mc:AlternateContent>
          <mc:Choice Requires="wps">
            <w:drawing>
              <wp:anchor distT="0" distB="0" distL="114300" distR="114300" simplePos="0" relativeHeight="251656192" behindDoc="0" locked="1" layoutInCell="0" allowOverlap="1">
                <wp:simplePos x="0" y="0"/>
                <wp:positionH relativeFrom="margin">
                  <wp:posOffset>-327660</wp:posOffset>
                </wp:positionH>
                <wp:positionV relativeFrom="margin">
                  <wp:posOffset>2225675</wp:posOffset>
                </wp:positionV>
                <wp:extent cx="5969000" cy="4269740"/>
                <wp:effectExtent l="0" t="0" r="0" b="0"/>
                <wp:wrapNone/>
                <wp:docPr id="29" name="fmFrame4"/>
                <wp:cNvGraphicFramePr/>
                <a:graphic xmlns:a="http://schemas.openxmlformats.org/drawingml/2006/main">
                  <a:graphicData uri="http://schemas.microsoft.com/office/word/2010/wordprocessingShape">
                    <wps:wsp>
                      <wps:cNvSpPr txBox="1"/>
                      <wps:spPr bwMode="auto">
                        <a:xfrm>
                          <a:off x="0" y="0"/>
                          <a:ext cx="5969000" cy="4269740"/>
                        </a:xfrm>
                        <a:prstGeom prst="rect">
                          <a:avLst/>
                        </a:prstGeom>
                        <a:solidFill>
                          <a:srgbClr val="FFFFFF"/>
                        </a:solidFill>
                        <a:ln>
                          <a:noFill/>
                        </a:ln>
                      </wps:spPr>
                      <wps:txbx>
                        <w:txbxContent>
                          <w:p>
                            <w:pPr>
                              <w:pStyle w:val="37"/>
                            </w:pPr>
                          </w:p>
                          <w:p>
                            <w:pPr>
                              <w:pStyle w:val="37"/>
                              <w:spacing w:line="360" w:lineRule="auto"/>
                              <w:rPr>
                                <w:rFonts w:ascii="Times New Roman"/>
                                <w:sz w:val="32"/>
                                <w:szCs w:val="32"/>
                              </w:rPr>
                            </w:pPr>
                          </w:p>
                          <w:p>
                            <w:pPr>
                              <w:pStyle w:val="46"/>
                              <w:adjustRightInd/>
                              <w:jc w:val="center"/>
                              <w:rPr>
                                <w:rFonts w:ascii="Times New Roman" w:hAnsi="Times New Roman" w:eastAsia="黑体" w:cs="Times New Roman"/>
                                <w:bCs/>
                                <w:sz w:val="52"/>
                                <w:szCs w:val="52"/>
                              </w:rPr>
                            </w:pPr>
                            <w:r>
                              <w:rPr>
                                <w:rFonts w:ascii="Times New Roman" w:hAnsi="Times New Roman" w:eastAsia="黑体" w:cs="Times New Roman"/>
                                <w:bCs/>
                                <w:sz w:val="52"/>
                                <w:szCs w:val="52"/>
                              </w:rPr>
                              <w:t xml:space="preserve">绿色设计产品评价技术规范  </w:t>
                            </w:r>
                          </w:p>
                          <w:p>
                            <w:pPr>
                              <w:pStyle w:val="46"/>
                              <w:adjustRightInd/>
                              <w:jc w:val="center"/>
                              <w:rPr>
                                <w:rFonts w:ascii="Times New Roman" w:hAnsi="Times New Roman" w:eastAsia="黑体" w:cs="Times New Roman"/>
                                <w:bCs/>
                                <w:sz w:val="52"/>
                                <w:szCs w:val="52"/>
                              </w:rPr>
                            </w:pPr>
                            <w:r>
                              <w:rPr>
                                <w:rFonts w:ascii="Times New Roman" w:hAnsi="Times New Roman" w:eastAsia="黑体" w:cs="Times New Roman"/>
                                <w:bCs/>
                                <w:sz w:val="52"/>
                                <w:szCs w:val="52"/>
                              </w:rPr>
                              <w:t>四氧化三钴</w:t>
                            </w:r>
                          </w:p>
                          <w:p>
                            <w:pPr>
                              <w:adjustRightInd w:val="0"/>
                              <w:snapToGrid w:val="0"/>
                              <w:spacing w:line="360" w:lineRule="auto"/>
                              <w:jc w:val="center"/>
                              <w:rPr>
                                <w:rFonts w:ascii="黑体" w:hAnsi="黑体" w:eastAsia="黑体"/>
                                <w:color w:val="000000"/>
                                <w:kern w:val="0"/>
                                <w:sz w:val="28"/>
                                <w:szCs w:val="28"/>
                              </w:rPr>
                            </w:pPr>
                            <w:r>
                              <w:rPr>
                                <w:rFonts w:ascii="黑体" w:hAnsi="黑体" w:eastAsia="黑体"/>
                                <w:color w:val="000000"/>
                                <w:kern w:val="0"/>
                                <w:sz w:val="28"/>
                                <w:szCs w:val="28"/>
                              </w:rPr>
                              <w:t xml:space="preserve">Technical specification for green-design product </w:t>
                            </w:r>
                          </w:p>
                          <w:p>
                            <w:pPr>
                              <w:adjustRightInd w:val="0"/>
                              <w:snapToGrid w:val="0"/>
                              <w:spacing w:line="360" w:lineRule="auto"/>
                              <w:jc w:val="center"/>
                              <w:rPr>
                                <w:rFonts w:ascii="黑体" w:hAnsi="黑体" w:eastAsia="黑体"/>
                                <w:color w:val="000000"/>
                                <w:kern w:val="0"/>
                                <w:sz w:val="28"/>
                                <w:szCs w:val="28"/>
                              </w:rPr>
                            </w:pPr>
                            <w:r>
                              <w:rPr>
                                <w:rFonts w:ascii="黑体" w:hAnsi="黑体" w:eastAsia="黑体"/>
                                <w:color w:val="000000"/>
                                <w:kern w:val="0"/>
                                <w:sz w:val="28"/>
                                <w:szCs w:val="28"/>
                              </w:rPr>
                              <w:t>assessment-Cobaltosic oxide</w:t>
                            </w:r>
                          </w:p>
                          <w:p>
                            <w:pPr>
                              <w:pStyle w:val="46"/>
                              <w:adjustRightInd/>
                              <w:spacing w:before="120" w:after="120" w:line="259" w:lineRule="auto"/>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（征求意见稿）</w:t>
                            </w:r>
                          </w:p>
                          <w:p>
                            <w:pPr>
                              <w:pStyle w:val="41"/>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25.8pt;margin-top:175.25pt;height:336.2pt;width:470pt;mso-position-horizontal-relative:margin;mso-position-vertical-relative:margin;z-index:251656192;mso-width-relative:page;mso-height-relative:page;" fillcolor="#FFFFFF" filled="t" stroked="f" coordsize="21600,21600" o:allowincell="f" o:gfxdata="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zad7K2wAAAAwBAAAP&#10;AAAAAAAAAAEAIAAAACIAAABkcnMvZG93bnJldi54bWxQSwECFAAUAAAACACHTuJAC2mZEdwBAACv&#10;AwAADgAAAAAAAAABACAAAAAqAQAAZHJzL2Uyb0RvYy54bWxQSwUGAAAAAAYABgBZAQAAeAUAAAAA&#10;">
                <v:fill on="t" focussize="0,0"/>
                <v:stroke on="f"/>
                <v:imagedata o:title=""/>
                <o:lock v:ext="edit" aspectratio="f"/>
                <v:textbox inset="0mm,0mm,0mm,0mm">
                  <w:txbxContent>
                    <w:p>
                      <w:pPr>
                        <w:pStyle w:val="37"/>
                      </w:pPr>
                    </w:p>
                    <w:p>
                      <w:pPr>
                        <w:pStyle w:val="37"/>
                        <w:spacing w:line="360" w:lineRule="auto"/>
                        <w:rPr>
                          <w:rFonts w:ascii="Times New Roman"/>
                          <w:sz w:val="32"/>
                          <w:szCs w:val="32"/>
                        </w:rPr>
                      </w:pPr>
                    </w:p>
                    <w:p>
                      <w:pPr>
                        <w:pStyle w:val="46"/>
                        <w:adjustRightInd/>
                        <w:jc w:val="center"/>
                        <w:rPr>
                          <w:rFonts w:ascii="Times New Roman" w:hAnsi="Times New Roman" w:eastAsia="黑体" w:cs="Times New Roman"/>
                          <w:bCs/>
                          <w:sz w:val="52"/>
                          <w:szCs w:val="52"/>
                        </w:rPr>
                      </w:pPr>
                      <w:r>
                        <w:rPr>
                          <w:rFonts w:ascii="Times New Roman" w:hAnsi="Times New Roman" w:eastAsia="黑体" w:cs="Times New Roman"/>
                          <w:bCs/>
                          <w:sz w:val="52"/>
                          <w:szCs w:val="52"/>
                        </w:rPr>
                        <w:t xml:space="preserve">绿色设计产品评价技术规范  </w:t>
                      </w:r>
                    </w:p>
                    <w:p>
                      <w:pPr>
                        <w:pStyle w:val="46"/>
                        <w:adjustRightInd/>
                        <w:jc w:val="center"/>
                        <w:rPr>
                          <w:rFonts w:ascii="Times New Roman" w:hAnsi="Times New Roman" w:eastAsia="黑体" w:cs="Times New Roman"/>
                          <w:bCs/>
                          <w:sz w:val="52"/>
                          <w:szCs w:val="52"/>
                        </w:rPr>
                      </w:pPr>
                      <w:r>
                        <w:rPr>
                          <w:rFonts w:ascii="Times New Roman" w:hAnsi="Times New Roman" w:eastAsia="黑体" w:cs="Times New Roman"/>
                          <w:bCs/>
                          <w:sz w:val="52"/>
                          <w:szCs w:val="52"/>
                        </w:rPr>
                        <w:t>四氧化三钴</w:t>
                      </w:r>
                    </w:p>
                    <w:p>
                      <w:pPr>
                        <w:adjustRightInd w:val="0"/>
                        <w:snapToGrid w:val="0"/>
                        <w:spacing w:line="360" w:lineRule="auto"/>
                        <w:jc w:val="center"/>
                        <w:rPr>
                          <w:rFonts w:ascii="黑体" w:hAnsi="黑体" w:eastAsia="黑体"/>
                          <w:color w:val="000000"/>
                          <w:kern w:val="0"/>
                          <w:sz w:val="28"/>
                          <w:szCs w:val="28"/>
                        </w:rPr>
                      </w:pPr>
                      <w:r>
                        <w:rPr>
                          <w:rFonts w:ascii="黑体" w:hAnsi="黑体" w:eastAsia="黑体"/>
                          <w:color w:val="000000"/>
                          <w:kern w:val="0"/>
                          <w:sz w:val="28"/>
                          <w:szCs w:val="28"/>
                        </w:rPr>
                        <w:t xml:space="preserve">Technical specification for green-design product </w:t>
                      </w:r>
                    </w:p>
                    <w:p>
                      <w:pPr>
                        <w:adjustRightInd w:val="0"/>
                        <w:snapToGrid w:val="0"/>
                        <w:spacing w:line="360" w:lineRule="auto"/>
                        <w:jc w:val="center"/>
                        <w:rPr>
                          <w:rFonts w:ascii="黑体" w:hAnsi="黑体" w:eastAsia="黑体"/>
                          <w:color w:val="000000"/>
                          <w:kern w:val="0"/>
                          <w:sz w:val="28"/>
                          <w:szCs w:val="28"/>
                        </w:rPr>
                      </w:pPr>
                      <w:r>
                        <w:rPr>
                          <w:rFonts w:ascii="黑体" w:hAnsi="黑体" w:eastAsia="黑体"/>
                          <w:color w:val="000000"/>
                          <w:kern w:val="0"/>
                          <w:sz w:val="28"/>
                          <w:szCs w:val="28"/>
                        </w:rPr>
                        <w:t>assessment-Cobaltosic oxide</w:t>
                      </w:r>
                    </w:p>
                    <w:p>
                      <w:pPr>
                        <w:pStyle w:val="46"/>
                        <w:adjustRightInd/>
                        <w:spacing w:before="120" w:after="120" w:line="259" w:lineRule="auto"/>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（征求意见稿）</w:t>
                      </w:r>
                    </w:p>
                    <w:p>
                      <w:pPr>
                        <w:pStyle w:val="41"/>
                      </w:pPr>
                    </w:p>
                  </w:txbxContent>
                </v:textbox>
                <w10:anchorlock/>
              </v:shape>
            </w:pict>
          </mc:Fallback>
        </mc:AlternateContent>
      </w: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pStyle w:val="46"/>
        <w:tabs>
          <w:tab w:val="right" w:pos="9637"/>
        </w:tabs>
        <w:adjustRightInd/>
        <w:spacing w:before="120" w:after="120"/>
        <w:rPr>
          <w:rFonts w:eastAsia="黑体"/>
          <w:b/>
          <w:bCs/>
          <w:color w:val="auto"/>
          <w:sz w:val="28"/>
          <w:szCs w:val="28"/>
        </w:rPr>
      </w:pPr>
      <w:r>
        <w:rPr>
          <w:rFonts w:ascii="Times New Roman" w:hAnsi="Times New Roman" w:eastAsia="黑体" w:cs="Times New Roman"/>
          <w:color w:val="auto"/>
          <w:sz w:val="28"/>
          <w:szCs w:val="28"/>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466090</wp:posOffset>
                </wp:positionV>
                <wp:extent cx="6119495" cy="635"/>
                <wp:effectExtent l="0" t="0" r="14605" b="18415"/>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0.55pt;margin-top:36.7pt;height:0.05pt;width:481.85pt;z-index:251666432;mso-width-relative:page;mso-height-relative:page;" filled="f" stroked="t" coordsize="21600,21600" o:gfxdata="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QqmhvWAAAACAEAAA8AAAAAAAAAAQAgAAAAIgAAAGRycy9kb3ducmV2LnhtbFBLAQIUABQAAAAI&#10;AIdO4kC8gboRtgEAAGIDAAAOAAAAAAAAAAEAIAAAACUBAABkcnMvZTJvRG9jLnhtbFBLBQYAAAAA&#10;BgAGAFkBAABNBQAAAAA=&#10;">
                <v:fill on="f" focussize="0,0"/>
                <v:stroke weight="1.5pt" color="#000000" joinstyle="round"/>
                <v:imagedata o:title=""/>
                <o:lock v:ext="edit" aspectratio="f"/>
              </v:line>
            </w:pict>
          </mc:Fallback>
        </mc:AlternateContent>
      </w:r>
      <w:r>
        <w:rPr>
          <w:rFonts w:ascii="Times New Roman" w:hAnsi="Times New Roman" w:eastAsia="黑体" w:cs="Times New Roman"/>
          <w:color w:val="auto"/>
          <w:sz w:val="28"/>
          <w:szCs w:val="28"/>
        </w:rPr>
        <w:t>xxxx-xx-xx发布</w:t>
      </w:r>
      <w:r>
        <w:rPr>
          <w:rFonts w:eastAsia="黑体"/>
          <w:color w:val="auto"/>
          <w:sz w:val="28"/>
          <w:szCs w:val="28"/>
        </w:rPr>
        <w:tab/>
      </w:r>
      <w:r>
        <w:rPr>
          <w:rFonts w:ascii="Times New Roman" w:hAnsi="Times New Roman" w:eastAsia="黑体" w:cs="Times New Roman"/>
          <w:color w:val="auto"/>
          <w:sz w:val="28"/>
          <w:szCs w:val="28"/>
        </w:rPr>
        <w:t>xxxx-xx-xx实施</w:t>
      </w:r>
    </w:p>
    <w:p>
      <w:pPr>
        <w:pStyle w:val="46"/>
        <w:adjustRightInd/>
        <w:spacing w:before="851"/>
        <w:jc w:val="center"/>
        <w:rPr>
          <w:rFonts w:ascii="Times New Roman" w:hAnsi="Times New Roman" w:eastAsia="黑体" w:cs="Times New Roman"/>
          <w:sz w:val="28"/>
        </w:rPr>
        <w:sectPr>
          <w:pgSz w:w="11906" w:h="16838"/>
          <w:pgMar w:top="1412" w:right="1140" w:bottom="1412" w:left="1412" w:header="851" w:footer="992" w:gutter="0"/>
          <w:pgNumType w:fmt="upperRoman" w:start="1"/>
          <w:cols w:space="425" w:num="1"/>
          <w:docGrid w:type="lines" w:linePitch="312" w:charSpace="0"/>
        </w:sectPr>
      </w:pPr>
      <w:r>
        <w:rPr>
          <w:rFonts w:ascii="Times New Roman" w:hAnsi="Times New Roman" w:eastAsia="黑体" w:cs="Times New Roman"/>
          <w:sz w:val="28"/>
        </w:rPr>
        <w:t>xxxxxxx  发 布</w:t>
      </w:r>
    </w:p>
    <w:p>
      <w:pPr>
        <w:pStyle w:val="52"/>
        <w:spacing w:before="480" w:after="240" w:afterLines="100" w:line="360" w:lineRule="auto"/>
        <w:jc w:val="center"/>
        <w:rPr>
          <w:rFonts w:ascii="Times New Roman" w:hAnsi="Times New Roman" w:eastAsia="黑体"/>
          <w:color w:val="000000"/>
          <w:lang w:val="zh-CN"/>
        </w:rPr>
      </w:pPr>
      <w:r>
        <w:rPr>
          <w:rFonts w:ascii="Times New Roman" w:hAnsi="Times New Roman" w:eastAsia="黑体"/>
          <w:color w:val="000000"/>
          <w:lang w:val="zh-CN"/>
        </w:rPr>
        <w:t xml:space="preserve">目  </w:t>
      </w:r>
      <w:r>
        <w:rPr>
          <w:rFonts w:hint="eastAsia" w:ascii="Times New Roman" w:hAnsi="Times New Roman" w:eastAsia="黑体"/>
          <w:color w:val="000000"/>
          <w:lang w:val="zh-CN"/>
        </w:rPr>
        <w:t>次</w:t>
      </w:r>
    </w:p>
    <w:p>
      <w:pPr>
        <w:pStyle w:val="11"/>
        <w:tabs>
          <w:tab w:val="right" w:leader="dot" w:pos="9060"/>
        </w:tabs>
        <w:spacing w:line="360" w:lineRule="auto"/>
        <w:rPr>
          <w:rFonts w:ascii="Times New Roman" w:hAnsi="Times New Roman"/>
          <w:sz w:val="24"/>
          <w:szCs w:val="24"/>
        </w:rPr>
      </w:pPr>
      <w:r>
        <w:fldChar w:fldCharType="begin"/>
      </w:r>
      <w:r>
        <w:instrText xml:space="preserve"> HYPERLINK \l "_Toc5095404" </w:instrText>
      </w:r>
      <w:r>
        <w:fldChar w:fldCharType="separate"/>
      </w:r>
      <w:r>
        <w:rPr>
          <w:rStyle w:val="20"/>
          <w:rFonts w:hint="eastAsia" w:ascii="Times New Roman" w:hAnsi="Times New Roman" w:eastAsia="黑体"/>
          <w:bCs/>
          <w:color w:val="auto"/>
          <w:kern w:val="44"/>
          <w:sz w:val="24"/>
          <w:szCs w:val="24"/>
          <w:u w:val="none"/>
        </w:rPr>
        <w:t>前  言</w:t>
      </w:r>
      <w:r>
        <w:rPr>
          <w:rFonts w:ascii="Times New Roman" w:hAnsi="Times New Roman"/>
          <w:sz w:val="24"/>
          <w:szCs w:val="24"/>
        </w:rPr>
        <w:tab/>
      </w:r>
      <w:r>
        <w:rPr>
          <w:rFonts w:ascii="Times New Roman" w:hAnsi="Times New Roman"/>
          <w:sz w:val="24"/>
          <w:szCs w:val="24"/>
        </w:rPr>
        <w:t>I</w:t>
      </w:r>
      <w:r>
        <w:rPr>
          <w:rFonts w:ascii="Times New Roman" w:hAnsi="Times New Roman"/>
          <w:sz w:val="24"/>
          <w:szCs w:val="24"/>
        </w:rPr>
        <w:fldChar w:fldCharType="end"/>
      </w:r>
    </w:p>
    <w:p>
      <w:pPr>
        <w:pStyle w:val="11"/>
        <w:tabs>
          <w:tab w:val="right" w:leader="dot" w:pos="9060"/>
        </w:tabs>
        <w:spacing w:line="360" w:lineRule="auto"/>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TOC \o "1-1" \h \z \u </w:instrText>
      </w:r>
      <w:r>
        <w:rPr>
          <w:rFonts w:ascii="Times New Roman" w:hAnsi="Times New Roman"/>
          <w:sz w:val="24"/>
          <w:szCs w:val="24"/>
        </w:rPr>
        <w:fldChar w:fldCharType="separate"/>
      </w:r>
      <w:r>
        <w:fldChar w:fldCharType="begin"/>
      </w:r>
      <w:r>
        <w:instrText xml:space="preserve"> HYPERLINK \l "_Toc5095404" </w:instrText>
      </w:r>
      <w:r>
        <w:fldChar w:fldCharType="separate"/>
      </w:r>
      <w:r>
        <w:rPr>
          <w:rStyle w:val="20"/>
          <w:rFonts w:ascii="Times New Roman" w:hAnsi="Times New Roman" w:eastAsia="黑体"/>
          <w:bCs/>
          <w:color w:val="auto"/>
          <w:kern w:val="44"/>
          <w:sz w:val="24"/>
          <w:szCs w:val="24"/>
          <w:u w:val="none"/>
        </w:rPr>
        <w:t>1 范围</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_Toc5095404 \h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p>
    <w:p>
      <w:pPr>
        <w:pStyle w:val="11"/>
        <w:tabs>
          <w:tab w:val="right" w:leader="dot" w:pos="9060"/>
        </w:tabs>
        <w:spacing w:line="360" w:lineRule="auto"/>
        <w:rPr>
          <w:rFonts w:ascii="Times New Roman" w:hAnsi="Times New Roman"/>
          <w:sz w:val="24"/>
          <w:szCs w:val="24"/>
        </w:rPr>
      </w:pPr>
      <w:r>
        <w:fldChar w:fldCharType="begin"/>
      </w:r>
      <w:r>
        <w:instrText xml:space="preserve"> HYPERLINK \l "_Toc5095405" </w:instrText>
      </w:r>
      <w:r>
        <w:fldChar w:fldCharType="separate"/>
      </w:r>
      <w:r>
        <w:rPr>
          <w:rStyle w:val="20"/>
          <w:rFonts w:ascii="Times New Roman" w:hAnsi="Times New Roman" w:eastAsia="黑体"/>
          <w:bCs/>
          <w:color w:val="auto"/>
          <w:kern w:val="44"/>
          <w:sz w:val="24"/>
          <w:szCs w:val="24"/>
          <w:u w:val="none"/>
        </w:rPr>
        <w:t>2 规范性引用文件</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_Toc5095405 \h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p>
    <w:p>
      <w:pPr>
        <w:pStyle w:val="11"/>
        <w:tabs>
          <w:tab w:val="right" w:leader="dot" w:pos="9060"/>
        </w:tabs>
        <w:spacing w:line="360" w:lineRule="auto"/>
        <w:rPr>
          <w:rFonts w:ascii="Times New Roman" w:hAnsi="Times New Roman"/>
          <w:sz w:val="24"/>
          <w:szCs w:val="24"/>
        </w:rPr>
      </w:pPr>
      <w:r>
        <w:fldChar w:fldCharType="begin"/>
      </w:r>
      <w:r>
        <w:instrText xml:space="preserve"> HYPERLINK \l "_Toc5095406" </w:instrText>
      </w:r>
      <w:r>
        <w:fldChar w:fldCharType="separate"/>
      </w:r>
      <w:r>
        <w:rPr>
          <w:rStyle w:val="20"/>
          <w:rFonts w:ascii="Times New Roman" w:hAnsi="Times New Roman" w:eastAsia="黑体"/>
          <w:bCs/>
          <w:color w:val="auto"/>
          <w:kern w:val="44"/>
          <w:sz w:val="24"/>
          <w:szCs w:val="24"/>
          <w:u w:val="none"/>
        </w:rPr>
        <w:t>3 术语和定义</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_Toc5095406 \h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p>
    <w:p>
      <w:pPr>
        <w:pStyle w:val="11"/>
        <w:tabs>
          <w:tab w:val="right" w:leader="dot" w:pos="9060"/>
        </w:tabs>
        <w:spacing w:line="360" w:lineRule="auto"/>
        <w:rPr>
          <w:rFonts w:ascii="Times New Roman" w:hAnsi="Times New Roman"/>
          <w:sz w:val="24"/>
          <w:szCs w:val="24"/>
        </w:rPr>
      </w:pPr>
      <w:r>
        <w:fldChar w:fldCharType="begin"/>
      </w:r>
      <w:r>
        <w:instrText xml:space="preserve"> HYPERLINK \l "_Toc5095407" </w:instrText>
      </w:r>
      <w:r>
        <w:fldChar w:fldCharType="separate"/>
      </w:r>
      <w:r>
        <w:rPr>
          <w:rStyle w:val="20"/>
          <w:rFonts w:ascii="Times New Roman" w:hAnsi="Times New Roman" w:eastAsia="黑体"/>
          <w:bCs/>
          <w:color w:val="auto"/>
          <w:kern w:val="44"/>
          <w:sz w:val="24"/>
          <w:szCs w:val="24"/>
          <w:u w:val="none"/>
        </w:rPr>
        <w:t>4 评价原则和要求</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_Toc5095407 \h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p>
    <w:p>
      <w:pPr>
        <w:pStyle w:val="11"/>
        <w:tabs>
          <w:tab w:val="right" w:leader="dot" w:pos="9060"/>
        </w:tabs>
        <w:spacing w:line="360" w:lineRule="auto"/>
        <w:rPr>
          <w:rFonts w:ascii="Times New Roman" w:hAnsi="Times New Roman"/>
          <w:sz w:val="24"/>
          <w:szCs w:val="24"/>
        </w:rPr>
      </w:pPr>
      <w:r>
        <w:fldChar w:fldCharType="begin"/>
      </w:r>
      <w:r>
        <w:instrText xml:space="preserve"> HYPERLINK \l "_Toc5095408" </w:instrText>
      </w:r>
      <w:r>
        <w:fldChar w:fldCharType="separate"/>
      </w:r>
      <w:r>
        <w:rPr>
          <w:rStyle w:val="20"/>
          <w:rFonts w:ascii="Times New Roman" w:hAnsi="Times New Roman" w:eastAsia="黑体"/>
          <w:bCs/>
          <w:color w:val="auto"/>
          <w:kern w:val="44"/>
          <w:sz w:val="24"/>
          <w:szCs w:val="24"/>
          <w:u w:val="none"/>
        </w:rPr>
        <w:t>5 产品生命周期评价报告编制方法</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_Toc5095408 \h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fldChar w:fldCharType="end"/>
      </w:r>
    </w:p>
    <w:p>
      <w:pPr>
        <w:pStyle w:val="11"/>
        <w:tabs>
          <w:tab w:val="right" w:leader="dot" w:pos="9060"/>
        </w:tabs>
        <w:spacing w:line="360" w:lineRule="auto"/>
        <w:rPr>
          <w:rFonts w:ascii="Times New Roman" w:hAnsi="Times New Roman"/>
          <w:sz w:val="24"/>
          <w:szCs w:val="24"/>
        </w:rPr>
      </w:pPr>
      <w:r>
        <w:fldChar w:fldCharType="begin"/>
      </w:r>
      <w:r>
        <w:instrText xml:space="preserve"> HYPERLINK \l "_Toc5095409" </w:instrText>
      </w:r>
      <w:r>
        <w:fldChar w:fldCharType="separate"/>
      </w:r>
      <w:r>
        <w:rPr>
          <w:rStyle w:val="20"/>
          <w:rFonts w:ascii="Times New Roman" w:hAnsi="Times New Roman" w:eastAsia="黑体"/>
          <w:bCs/>
          <w:color w:val="auto"/>
          <w:kern w:val="44"/>
          <w:sz w:val="24"/>
          <w:szCs w:val="24"/>
          <w:u w:val="none"/>
        </w:rPr>
        <w:t>6 评价流程和方法</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_Toc5095409 \h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ascii="Times New Roman" w:hAnsi="Times New Roman"/>
          <w:sz w:val="24"/>
          <w:szCs w:val="24"/>
        </w:rPr>
        <w:fldChar w:fldCharType="end"/>
      </w:r>
    </w:p>
    <w:p>
      <w:pPr>
        <w:pStyle w:val="11"/>
        <w:tabs>
          <w:tab w:val="right" w:leader="dot" w:pos="9060"/>
        </w:tabs>
        <w:spacing w:line="360" w:lineRule="auto"/>
        <w:rPr>
          <w:rStyle w:val="20"/>
          <w:rFonts w:eastAsia="黑体"/>
          <w:color w:val="auto"/>
          <w:u w:val="none"/>
        </w:rPr>
      </w:pPr>
      <w:r>
        <w:rPr>
          <w:rStyle w:val="20"/>
          <w:rFonts w:hint="eastAsia" w:ascii="Times New Roman" w:hAnsi="Times New Roman" w:eastAsia="黑体"/>
          <w:color w:val="auto"/>
          <w:sz w:val="24"/>
          <w:szCs w:val="24"/>
          <w:u w:val="none"/>
        </w:rPr>
        <w:t>附录</w:t>
      </w:r>
      <w:r>
        <w:rPr>
          <w:rStyle w:val="20"/>
          <w:rFonts w:ascii="Times New Roman" w:hAnsi="Times New Roman" w:eastAsia="黑体"/>
          <w:color w:val="auto"/>
          <w:sz w:val="24"/>
          <w:szCs w:val="24"/>
          <w:u w:val="none"/>
        </w:rPr>
        <w:t xml:space="preserve">A </w:t>
      </w:r>
      <w:r>
        <w:rPr>
          <w:rStyle w:val="20"/>
          <w:rFonts w:hint="eastAsia" w:ascii="Times New Roman" w:hAnsi="Times New Roman" w:eastAsia="黑体"/>
          <w:color w:val="auto"/>
          <w:sz w:val="24"/>
          <w:szCs w:val="24"/>
          <w:u w:val="none"/>
        </w:rPr>
        <w:t>（规范性附录）</w:t>
      </w:r>
      <w:r>
        <w:rPr>
          <w:rStyle w:val="20"/>
          <w:rFonts w:ascii="Times New Roman" w:hAnsi="Times New Roman" w:eastAsia="黑体"/>
          <w:color w:val="auto"/>
          <w:sz w:val="24"/>
          <w:szCs w:val="24"/>
          <w:u w:val="none"/>
        </w:rPr>
        <w:t xml:space="preserve"> </w:t>
      </w:r>
      <w:r>
        <w:rPr>
          <w:rStyle w:val="20"/>
          <w:rFonts w:hint="eastAsia" w:ascii="Times New Roman" w:hAnsi="Times New Roman" w:eastAsia="黑体"/>
          <w:color w:val="auto"/>
          <w:sz w:val="24"/>
          <w:szCs w:val="24"/>
          <w:u w:val="none"/>
        </w:rPr>
        <w:t>主要指标计算方法</w:t>
      </w:r>
      <w:r>
        <w:rPr>
          <w:rStyle w:val="20"/>
          <w:rFonts w:ascii="Times New Roman" w:hAnsi="Times New Roman" w:eastAsia="黑体"/>
          <w:color w:val="auto"/>
          <w:sz w:val="24"/>
          <w:szCs w:val="24"/>
          <w:u w:val="none"/>
        </w:rPr>
        <w:tab/>
      </w:r>
      <w:r>
        <w:rPr>
          <w:rStyle w:val="20"/>
          <w:rFonts w:ascii="Times New Roman" w:hAnsi="Times New Roman" w:eastAsia="黑体"/>
          <w:color w:val="auto"/>
          <w:sz w:val="24"/>
          <w:szCs w:val="24"/>
          <w:u w:val="none"/>
        </w:rPr>
        <w:fldChar w:fldCharType="begin"/>
      </w:r>
      <w:r>
        <w:rPr>
          <w:rStyle w:val="20"/>
          <w:rFonts w:ascii="Times New Roman" w:hAnsi="Times New Roman" w:eastAsia="黑体"/>
          <w:color w:val="auto"/>
          <w:sz w:val="24"/>
          <w:szCs w:val="24"/>
          <w:u w:val="none"/>
        </w:rPr>
        <w:instrText xml:space="preserve"> PAGEREF _Toc5095410 \h </w:instrText>
      </w:r>
      <w:r>
        <w:rPr>
          <w:rStyle w:val="20"/>
          <w:rFonts w:ascii="Times New Roman" w:hAnsi="Times New Roman" w:eastAsia="黑体"/>
          <w:color w:val="auto"/>
          <w:sz w:val="24"/>
          <w:szCs w:val="24"/>
          <w:u w:val="none"/>
        </w:rPr>
        <w:fldChar w:fldCharType="separate"/>
      </w:r>
      <w:r>
        <w:rPr>
          <w:rStyle w:val="20"/>
          <w:rFonts w:ascii="Times New Roman" w:hAnsi="Times New Roman" w:eastAsia="黑体"/>
          <w:color w:val="auto"/>
          <w:sz w:val="24"/>
          <w:szCs w:val="24"/>
          <w:u w:val="none"/>
        </w:rPr>
        <w:t>6</w:t>
      </w:r>
      <w:r>
        <w:rPr>
          <w:rStyle w:val="20"/>
          <w:rFonts w:ascii="Times New Roman" w:hAnsi="Times New Roman" w:eastAsia="黑体"/>
          <w:color w:val="auto"/>
          <w:sz w:val="24"/>
          <w:szCs w:val="24"/>
          <w:u w:val="none"/>
        </w:rPr>
        <w:fldChar w:fldCharType="end"/>
      </w:r>
    </w:p>
    <w:p>
      <w:pPr>
        <w:pStyle w:val="11"/>
        <w:tabs>
          <w:tab w:val="right" w:leader="dot" w:pos="9060"/>
        </w:tabs>
        <w:spacing w:line="360" w:lineRule="auto"/>
        <w:rPr>
          <w:rFonts w:ascii="Times New Roman" w:hAnsi="Times New Roman"/>
          <w:sz w:val="24"/>
          <w:szCs w:val="24"/>
        </w:rPr>
      </w:pPr>
      <w:r>
        <w:fldChar w:fldCharType="begin"/>
      </w:r>
      <w:r>
        <w:instrText xml:space="preserve"> HYPERLINK \l "_Toc5095410" </w:instrText>
      </w:r>
      <w:r>
        <w:fldChar w:fldCharType="separate"/>
      </w:r>
      <w:r>
        <w:rPr>
          <w:rStyle w:val="20"/>
          <w:rFonts w:ascii="Times New Roman" w:hAnsi="Times New Roman" w:eastAsia="黑体"/>
          <w:color w:val="auto"/>
          <w:sz w:val="24"/>
          <w:szCs w:val="24"/>
          <w:u w:val="none"/>
        </w:rPr>
        <w:t>附录</w:t>
      </w:r>
      <w:r>
        <w:rPr>
          <w:rStyle w:val="20"/>
          <w:rFonts w:hint="eastAsia" w:ascii="Times New Roman" w:hAnsi="Times New Roman" w:eastAsia="黑体"/>
          <w:color w:val="auto"/>
          <w:sz w:val="24"/>
          <w:szCs w:val="24"/>
          <w:u w:val="none"/>
        </w:rPr>
        <w:t>B</w:t>
      </w:r>
      <w:r>
        <w:rPr>
          <w:rStyle w:val="20"/>
          <w:rFonts w:ascii="Times New Roman" w:hAnsi="Times New Roman" w:eastAsia="黑体"/>
          <w:color w:val="auto"/>
          <w:sz w:val="24"/>
          <w:szCs w:val="24"/>
          <w:u w:val="none"/>
        </w:rPr>
        <w:t xml:space="preserve"> </w:t>
      </w:r>
      <w:r>
        <w:rPr>
          <w:rStyle w:val="20"/>
          <w:rFonts w:hint="eastAsia" w:ascii="Times New Roman" w:hAnsi="Times New Roman" w:eastAsia="黑体"/>
          <w:color w:val="auto"/>
          <w:sz w:val="24"/>
          <w:szCs w:val="24"/>
          <w:u w:val="none"/>
        </w:rPr>
        <w:t>（规范性</w:t>
      </w:r>
      <w:r>
        <w:rPr>
          <w:rStyle w:val="20"/>
          <w:rFonts w:ascii="Times New Roman" w:hAnsi="Times New Roman" w:eastAsia="黑体"/>
          <w:color w:val="auto"/>
          <w:sz w:val="24"/>
          <w:szCs w:val="24"/>
          <w:u w:val="none"/>
        </w:rPr>
        <w:t>附录</w:t>
      </w:r>
      <w:r>
        <w:rPr>
          <w:rStyle w:val="20"/>
          <w:rFonts w:hint="eastAsia" w:ascii="Times New Roman" w:hAnsi="Times New Roman" w:eastAsia="黑体"/>
          <w:color w:val="auto"/>
          <w:sz w:val="24"/>
          <w:szCs w:val="24"/>
          <w:u w:val="none"/>
        </w:rPr>
        <w:t>） 四氧化三钴</w:t>
      </w:r>
      <w:r>
        <w:rPr>
          <w:rStyle w:val="20"/>
          <w:rFonts w:ascii="Times New Roman" w:hAnsi="Times New Roman" w:eastAsia="黑体"/>
          <w:color w:val="auto"/>
          <w:sz w:val="24"/>
          <w:szCs w:val="24"/>
          <w:u w:val="none"/>
        </w:rPr>
        <w:t>产品生命周期评价方法</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_Toc5095410 \h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Pr>
          <w:rFonts w:ascii="Times New Roman" w:hAnsi="Times New Roman"/>
          <w:sz w:val="24"/>
          <w:szCs w:val="24"/>
        </w:rPr>
        <w:fldChar w:fldCharType="end"/>
      </w:r>
    </w:p>
    <w:p>
      <w:pPr>
        <w:pStyle w:val="11"/>
        <w:tabs>
          <w:tab w:val="right" w:leader="dot" w:pos="9060"/>
        </w:tabs>
        <w:spacing w:line="360" w:lineRule="auto"/>
        <w:rPr>
          <w:rFonts w:ascii="Times New Roman" w:hAnsi="Times New Roman"/>
          <w:sz w:val="24"/>
          <w:szCs w:val="24"/>
        </w:rPr>
      </w:pPr>
      <w:r>
        <w:fldChar w:fldCharType="begin"/>
      </w:r>
      <w:r>
        <w:instrText xml:space="preserve"> HYPERLINK \l "_Toc5095413" </w:instrText>
      </w:r>
      <w:r>
        <w:fldChar w:fldCharType="separate"/>
      </w:r>
      <w:r>
        <w:rPr>
          <w:rStyle w:val="20"/>
          <w:rFonts w:ascii="Times New Roman" w:hAnsi="Times New Roman" w:eastAsia="黑体"/>
          <w:color w:val="auto"/>
          <w:sz w:val="24"/>
          <w:szCs w:val="24"/>
          <w:u w:val="none"/>
        </w:rPr>
        <w:t>附录</w:t>
      </w:r>
      <w:r>
        <w:rPr>
          <w:rStyle w:val="20"/>
          <w:rFonts w:hint="eastAsia" w:ascii="Times New Roman" w:hAnsi="Times New Roman" w:eastAsia="黑体"/>
          <w:color w:val="auto"/>
          <w:sz w:val="24"/>
          <w:szCs w:val="24"/>
          <w:u w:val="none"/>
        </w:rPr>
        <w:t>C</w:t>
      </w:r>
      <w:r>
        <w:rPr>
          <w:rStyle w:val="20"/>
          <w:rFonts w:ascii="Times New Roman" w:hAnsi="Times New Roman" w:eastAsia="黑体"/>
          <w:color w:val="auto"/>
          <w:sz w:val="24"/>
          <w:szCs w:val="24"/>
          <w:u w:val="none"/>
        </w:rPr>
        <w:t xml:space="preserve"> （规范性附录） 数据分析方法示例</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_Toc5095413 \h </w:instrText>
      </w:r>
      <w:r>
        <w:rPr>
          <w:rFonts w:ascii="Times New Roman" w:hAnsi="Times New Roman"/>
          <w:sz w:val="24"/>
          <w:szCs w:val="24"/>
        </w:rPr>
        <w:fldChar w:fldCharType="separate"/>
      </w:r>
      <w:r>
        <w:rPr>
          <w:rFonts w:ascii="Times New Roman" w:hAnsi="Times New Roman"/>
          <w:sz w:val="24"/>
          <w:szCs w:val="24"/>
        </w:rPr>
        <w:t>15</w:t>
      </w:r>
      <w:r>
        <w:rPr>
          <w:rFonts w:ascii="Times New Roman" w:hAnsi="Times New Roman"/>
          <w:sz w:val="24"/>
          <w:szCs w:val="24"/>
        </w:rPr>
        <w:fldChar w:fldCharType="end"/>
      </w:r>
      <w:r>
        <w:rPr>
          <w:rFonts w:ascii="Times New Roman" w:hAnsi="Times New Roman"/>
          <w:sz w:val="24"/>
          <w:szCs w:val="24"/>
        </w:rPr>
        <w:fldChar w:fldCharType="end"/>
      </w:r>
    </w:p>
    <w:p>
      <w:pPr>
        <w:pStyle w:val="11"/>
        <w:tabs>
          <w:tab w:val="right" w:leader="dot" w:pos="9060"/>
        </w:tabs>
        <w:spacing w:line="360" w:lineRule="auto"/>
        <w:rPr>
          <w:rFonts w:ascii="Times New Roman" w:hAnsi="Times New Roman"/>
          <w:sz w:val="24"/>
          <w:szCs w:val="24"/>
        </w:rPr>
      </w:pPr>
      <w:r>
        <w:fldChar w:fldCharType="begin"/>
      </w:r>
      <w:r>
        <w:instrText xml:space="preserve"> HYPERLINK \l "_Toc5095414" </w:instrText>
      </w:r>
      <w:r>
        <w:fldChar w:fldCharType="separate"/>
      </w:r>
      <w:r>
        <w:rPr>
          <w:rStyle w:val="20"/>
          <w:rFonts w:ascii="Times New Roman" w:hAnsi="Times New Roman" w:eastAsia="黑体"/>
          <w:color w:val="auto"/>
          <w:sz w:val="24"/>
          <w:szCs w:val="24"/>
          <w:u w:val="none"/>
        </w:rPr>
        <w:t>附录</w:t>
      </w:r>
      <w:r>
        <w:rPr>
          <w:rStyle w:val="20"/>
          <w:rFonts w:hint="eastAsia" w:ascii="Times New Roman" w:hAnsi="Times New Roman" w:eastAsia="黑体"/>
          <w:color w:val="auto"/>
          <w:sz w:val="24"/>
          <w:szCs w:val="24"/>
          <w:u w:val="none"/>
        </w:rPr>
        <w:t>D</w:t>
      </w:r>
      <w:r>
        <w:rPr>
          <w:rStyle w:val="20"/>
          <w:rFonts w:ascii="Times New Roman" w:hAnsi="Times New Roman" w:eastAsia="黑体"/>
          <w:color w:val="auto"/>
          <w:sz w:val="24"/>
          <w:szCs w:val="24"/>
          <w:u w:val="none"/>
        </w:rPr>
        <w:t xml:space="preserve"> </w:t>
      </w:r>
      <w:r>
        <w:rPr>
          <w:rStyle w:val="20"/>
          <w:rFonts w:hint="eastAsia" w:ascii="Times New Roman" w:hAnsi="Times New Roman" w:eastAsia="黑体"/>
          <w:color w:val="auto"/>
          <w:sz w:val="24"/>
          <w:szCs w:val="24"/>
          <w:u w:val="none"/>
        </w:rPr>
        <w:t>（资料性</w:t>
      </w:r>
      <w:r>
        <w:rPr>
          <w:rStyle w:val="20"/>
          <w:rFonts w:ascii="Times New Roman" w:hAnsi="Times New Roman" w:eastAsia="黑体"/>
          <w:color w:val="auto"/>
          <w:sz w:val="24"/>
          <w:szCs w:val="24"/>
          <w:u w:val="none"/>
        </w:rPr>
        <w:t>附录</w:t>
      </w:r>
      <w:r>
        <w:rPr>
          <w:rStyle w:val="20"/>
          <w:rFonts w:hint="eastAsia" w:ascii="Times New Roman" w:hAnsi="Times New Roman" w:eastAsia="黑体"/>
          <w:color w:val="auto"/>
          <w:sz w:val="24"/>
          <w:szCs w:val="24"/>
          <w:u w:val="none"/>
        </w:rPr>
        <w:t>） 产品</w:t>
      </w:r>
      <w:r>
        <w:rPr>
          <w:rStyle w:val="20"/>
          <w:rFonts w:ascii="Times New Roman" w:hAnsi="Times New Roman" w:eastAsia="黑体"/>
          <w:color w:val="auto"/>
          <w:sz w:val="24"/>
          <w:szCs w:val="24"/>
          <w:u w:val="none"/>
        </w:rPr>
        <w:t>绿色设计方案优先排序方法及示例</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_Toc5095414 \h </w:instrText>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Pr>
          <w:rFonts w:ascii="Times New Roman" w:hAnsi="Times New Roman"/>
          <w:sz w:val="24"/>
          <w:szCs w:val="24"/>
        </w:rPr>
        <w:fldChar w:fldCharType="end"/>
      </w:r>
    </w:p>
    <w:p>
      <w:pPr>
        <w:spacing w:line="360" w:lineRule="auto"/>
        <w:rPr>
          <w:rFonts w:ascii="Times New Roman" w:hAnsi="Times New Roman"/>
          <w:color w:val="000000"/>
          <w:sz w:val="24"/>
          <w:szCs w:val="24"/>
        </w:rPr>
      </w:pPr>
      <w:r>
        <w:rPr>
          <w:rFonts w:ascii="Times New Roman" w:hAnsi="Times New Roman"/>
          <w:sz w:val="24"/>
          <w:szCs w:val="24"/>
        </w:rPr>
        <w:fldChar w:fldCharType="end"/>
      </w:r>
    </w:p>
    <w:p>
      <w:pPr>
        <w:widowControl/>
        <w:spacing w:line="360" w:lineRule="auto"/>
        <w:jc w:val="left"/>
        <w:rPr>
          <w:rFonts w:ascii="Times New Roman" w:hAnsi="Times New Roman"/>
          <w:color w:val="000000"/>
          <w:sz w:val="24"/>
          <w:szCs w:val="24"/>
        </w:rPr>
        <w:sectPr>
          <w:headerReference r:id="rId3" w:type="first"/>
          <w:footerReference r:id="rId5" w:type="first"/>
          <w:footerReference r:id="rId4" w:type="default"/>
          <w:pgSz w:w="11906" w:h="16838"/>
          <w:pgMar w:top="1418" w:right="1418" w:bottom="1440" w:left="1418" w:header="851" w:footer="992" w:gutter="0"/>
          <w:pgBorders w:offsetFrom="page">
            <w:top w:val="single" w:color="FFFFFF" w:sz="8" w:space="24"/>
            <w:left w:val="single" w:color="FFFFFF" w:sz="8" w:space="24"/>
            <w:bottom w:val="single" w:color="FFFFFF" w:sz="8" w:space="24"/>
            <w:right w:val="single" w:color="FFFFFF" w:sz="8" w:space="24"/>
          </w:pgBorders>
          <w:pgNumType w:fmt="upperRoman" w:start="1"/>
          <w:cols w:space="720" w:num="1"/>
          <w:titlePg/>
          <w:docGrid w:linePitch="312" w:charSpace="0"/>
        </w:sectPr>
      </w:pPr>
    </w:p>
    <w:p>
      <w:pPr>
        <w:widowControl/>
        <w:spacing w:before="240" w:beforeLines="100" w:after="240" w:afterLines="100" w:line="360" w:lineRule="auto"/>
        <w:jc w:val="center"/>
        <w:rPr>
          <w:rFonts w:ascii="Times New Roman" w:hAnsi="Times New Roman" w:eastAsia="黑体"/>
          <w:b/>
          <w:bCs/>
          <w:color w:val="000000"/>
          <w:kern w:val="44"/>
          <w:sz w:val="32"/>
          <w:szCs w:val="44"/>
        </w:rPr>
      </w:pPr>
      <w:bookmarkStart w:id="0" w:name="_Toc2755357"/>
      <w:r>
        <w:rPr>
          <w:rFonts w:ascii="Times New Roman" w:hAnsi="Times New Roman" w:eastAsia="黑体"/>
          <w:b/>
          <w:bCs/>
          <w:color w:val="000000"/>
          <w:kern w:val="44"/>
          <w:sz w:val="32"/>
          <w:szCs w:val="44"/>
        </w:rPr>
        <w:t>前    言</w:t>
      </w:r>
      <w:bookmarkEnd w:id="0"/>
    </w:p>
    <w:p>
      <w:pPr>
        <w:ind w:firstLine="2730" w:firstLineChars="1300"/>
        <w:rPr>
          <w:rFonts w:ascii="Times New Roman" w:hAnsi="Times New Roman" w:eastAsia="黑体"/>
          <w:color w:val="000000"/>
        </w:rPr>
      </w:pPr>
    </w:p>
    <w:p>
      <w:pPr>
        <w:ind w:firstLine="420" w:firstLineChars="200"/>
      </w:pPr>
      <w:r>
        <w:rPr>
          <w:rFonts w:hint="eastAsia" w:ascii="宋体" w:hAnsi="宋体"/>
        </w:rPr>
        <w:t>本</w:t>
      </w:r>
      <w:r>
        <w:rPr>
          <w:rFonts w:hint="eastAsia" w:eastAsia="方正行楷简体"/>
          <w:szCs w:val="21"/>
        </w:rPr>
        <w:t>文件</w:t>
      </w:r>
      <w:r>
        <w:rPr>
          <w:rFonts w:hint="eastAsia" w:ascii="宋体" w:hAnsi="宋体"/>
        </w:rPr>
        <w:t>按照GB/T 1.1-2020《</w:t>
      </w:r>
      <w:r>
        <w:rPr>
          <w:rFonts w:ascii="宋体" w:hAnsi="宋体"/>
          <w:szCs w:val="21"/>
        </w:rPr>
        <w:t>标准化工作导则 第1部分：标准</w:t>
      </w:r>
      <w:r>
        <w:rPr>
          <w:rFonts w:hint="eastAsia" w:ascii="宋体" w:hAnsi="宋体"/>
          <w:szCs w:val="21"/>
        </w:rPr>
        <w:t>化文件</w:t>
      </w:r>
      <w:r>
        <w:rPr>
          <w:rFonts w:ascii="宋体" w:hAnsi="宋体"/>
          <w:szCs w:val="21"/>
        </w:rPr>
        <w:t>的结构和</w:t>
      </w:r>
      <w:r>
        <w:rPr>
          <w:rFonts w:hint="eastAsia" w:ascii="宋体" w:hAnsi="宋体"/>
          <w:szCs w:val="21"/>
        </w:rPr>
        <w:t>起草规则</w:t>
      </w:r>
      <w:r>
        <w:rPr>
          <w:rFonts w:hint="eastAsia" w:ascii="宋体" w:hAnsi="宋体"/>
        </w:rPr>
        <w:t>》的规定起草。</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由工业和信息化部节能与综合利用司、中国有色金属工业协会提出。</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ascii="Times New Roman" w:hAnsi="Times New Roman"/>
          <w:szCs w:val="21"/>
        </w:rPr>
        <w:t>由</w:t>
      </w:r>
      <w:r>
        <w:rPr>
          <w:rFonts w:hint="eastAsia" w:ascii="Times New Roman" w:hAnsi="Times New Roman"/>
          <w:szCs w:val="21"/>
        </w:rPr>
        <w:t>全国有色金属标准化技术委员会（SAC</w:t>
      </w:r>
      <w:r>
        <w:rPr>
          <w:rFonts w:ascii="Times New Roman" w:hAnsi="Times New Roman"/>
          <w:szCs w:val="21"/>
        </w:rPr>
        <w:t>/TC 243</w:t>
      </w:r>
      <w:r>
        <w:rPr>
          <w:rFonts w:hint="eastAsia" w:ascii="Times New Roman" w:hAnsi="Times New Roman"/>
          <w:szCs w:val="21"/>
        </w:rPr>
        <w:t>）</w:t>
      </w:r>
      <w:r>
        <w:rPr>
          <w:rFonts w:ascii="Times New Roman" w:hAnsi="Times New Roman"/>
          <w:szCs w:val="21"/>
        </w:rPr>
        <w:t>归口。</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负责起草单位：衢州华友</w:t>
      </w:r>
      <w:r>
        <w:rPr>
          <w:rFonts w:ascii="Times New Roman" w:hAnsi="Times New Roman"/>
          <w:szCs w:val="21"/>
        </w:rPr>
        <w:t>钴新材料有限公司</w:t>
      </w:r>
      <w:r>
        <w:rPr>
          <w:rFonts w:hint="eastAsia" w:ascii="Times New Roman" w:hAnsi="Times New Roman"/>
          <w:szCs w:val="21"/>
        </w:rPr>
        <w:t>。</w:t>
      </w:r>
    </w:p>
    <w:p>
      <w:pPr>
        <w:widowControl/>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hint="eastAsia" w:ascii="Times New Roman" w:hAnsi="Times New Roman"/>
          <w:szCs w:val="21"/>
        </w:rPr>
        <w:t>参加</w:t>
      </w:r>
      <w:r>
        <w:rPr>
          <w:rFonts w:ascii="Times New Roman" w:hAnsi="Times New Roman"/>
          <w:szCs w:val="21"/>
        </w:rPr>
        <w:t>起草单位：浙江华友钴业股份有限公司、湖南中伟</w:t>
      </w:r>
      <w:r>
        <w:rPr>
          <w:rFonts w:hint="eastAsia" w:ascii="Times New Roman" w:hAnsi="Times New Roman"/>
          <w:szCs w:val="21"/>
        </w:rPr>
        <w:t>新能源</w:t>
      </w:r>
      <w:r>
        <w:rPr>
          <w:rFonts w:ascii="Times New Roman" w:hAnsi="Times New Roman"/>
          <w:szCs w:val="21"/>
        </w:rPr>
        <w:t>有限公司</w:t>
      </w:r>
      <w:r>
        <w:rPr>
          <w:rFonts w:hint="eastAsia" w:ascii="Times New Roman" w:hAnsi="Times New Roman"/>
          <w:szCs w:val="21"/>
        </w:rPr>
        <w:t>、XXX</w:t>
      </w:r>
      <w:r>
        <w:rPr>
          <w:rFonts w:ascii="Times New Roman" w:hAnsi="Times New Roman"/>
          <w:szCs w:val="21"/>
        </w:rPr>
        <w:t>。</w:t>
      </w:r>
    </w:p>
    <w:p>
      <w:pPr>
        <w:widowControl/>
        <w:ind w:firstLine="420" w:firstLineChars="200"/>
        <w:jc w:val="left"/>
        <w:rPr>
          <w:rFonts w:ascii="Times New Roman" w:hAnsi="Times New Roman"/>
          <w:sz w:val="28"/>
          <w:szCs w:val="28"/>
        </w:rPr>
      </w:pPr>
      <w:r>
        <w:rPr>
          <w:rFonts w:ascii="Times New Roman" w:hAnsi="Times New Roman"/>
          <w:szCs w:val="21"/>
        </w:rPr>
        <w:t>本</w:t>
      </w:r>
      <w:r>
        <w:rPr>
          <w:rFonts w:hint="eastAsia" w:eastAsia="方正行楷简体"/>
          <w:szCs w:val="21"/>
        </w:rPr>
        <w:t>文件</w:t>
      </w:r>
      <w:r>
        <w:rPr>
          <w:rFonts w:ascii="Times New Roman" w:hAnsi="Times New Roman"/>
          <w:szCs w:val="21"/>
        </w:rPr>
        <w:t>主要起草人：</w:t>
      </w:r>
    </w:p>
    <w:p>
      <w:pPr>
        <w:widowControl/>
        <w:jc w:val="left"/>
        <w:rPr>
          <w:rFonts w:ascii="Times New Roman" w:hAnsi="Times New Roman"/>
          <w:color w:val="000000"/>
          <w:sz w:val="28"/>
          <w:szCs w:val="28"/>
        </w:rPr>
      </w:pPr>
    </w:p>
    <w:p>
      <w:pPr>
        <w:widowControl/>
        <w:jc w:val="left"/>
        <w:rPr>
          <w:rFonts w:ascii="Times New Roman" w:hAnsi="Times New Roman"/>
          <w:color w:val="000000"/>
          <w:sz w:val="28"/>
          <w:szCs w:val="28"/>
        </w:rPr>
        <w:sectPr>
          <w:footerReference r:id="rId6" w:type="first"/>
          <w:pgSz w:w="11906" w:h="16838"/>
          <w:pgMar w:top="1418" w:right="1418" w:bottom="1440" w:left="1418" w:header="851" w:footer="992" w:gutter="0"/>
          <w:pgBorders w:offsetFrom="page">
            <w:top w:val="single" w:color="FFFFFF" w:sz="8" w:space="24"/>
            <w:left w:val="single" w:color="FFFFFF" w:sz="8" w:space="24"/>
            <w:bottom w:val="single" w:color="FFFFFF" w:sz="8" w:space="24"/>
            <w:right w:val="single" w:color="FFFFFF" w:sz="8" w:space="24"/>
          </w:pgBorders>
          <w:pgNumType w:fmt="upperRoman" w:start="1"/>
          <w:cols w:space="720" w:num="1"/>
          <w:titlePg/>
          <w:docGrid w:linePitch="312" w:charSpace="0"/>
        </w:sectPr>
      </w:pPr>
    </w:p>
    <w:p>
      <w:pPr>
        <w:spacing w:before="240" w:beforeLines="100" w:after="240" w:afterLines="100"/>
        <w:jc w:val="center"/>
        <w:rPr>
          <w:rFonts w:ascii="Times New Roman" w:hAnsi="Times New Roman" w:eastAsia="黑体"/>
          <w:sz w:val="32"/>
          <w:szCs w:val="32"/>
        </w:rPr>
      </w:pPr>
      <w:r>
        <w:rPr>
          <w:rFonts w:ascii="Times New Roman"/>
          <w:bCs/>
          <w:color w:val="000000"/>
          <w:szCs w:val="32"/>
        </w:rPr>
        <w:tab/>
      </w:r>
      <w:r>
        <w:rPr>
          <w:rFonts w:ascii="Times New Roman" w:hAnsi="Times New Roman" w:eastAsia="黑体"/>
          <w:sz w:val="32"/>
          <w:szCs w:val="32"/>
        </w:rPr>
        <w:t>绿色设计产品评价技术规范  四氧化三钴</w:t>
      </w:r>
      <w:r>
        <w:rPr>
          <w:rFonts w:ascii="Times New Roman" w:hAnsi="Times New Roman" w:eastAsia="黑体"/>
          <w:sz w:val="32"/>
          <w:szCs w:val="32"/>
        </w:rPr>
        <w:tab/>
      </w:r>
    </w:p>
    <w:p>
      <w:pPr>
        <w:jc w:val="center"/>
        <w:rPr>
          <w:rFonts w:ascii="Times New Roman"/>
          <w:b/>
          <w:bCs/>
          <w:color w:val="000000"/>
          <w:szCs w:val="32"/>
        </w:rPr>
      </w:pPr>
    </w:p>
    <w:p>
      <w:pPr>
        <w:pStyle w:val="4"/>
        <w:spacing w:before="0" w:after="0" w:line="360" w:lineRule="auto"/>
        <w:ind w:left="420" w:hanging="420"/>
        <w:rPr>
          <w:rFonts w:ascii="黑体" w:hAnsi="黑体" w:eastAsia="黑体"/>
          <w:b w:val="0"/>
          <w:sz w:val="21"/>
          <w:lang w:val="zh-CN"/>
        </w:rPr>
      </w:pPr>
      <w:bookmarkStart w:id="1" w:name="_Toc2755358"/>
      <w:bookmarkStart w:id="2" w:name="_Toc5095404"/>
      <w:r>
        <w:rPr>
          <w:rFonts w:ascii="黑体" w:hAnsi="黑体" w:eastAsia="黑体"/>
          <w:b w:val="0"/>
          <w:sz w:val="21"/>
          <w:lang w:val="zh-CN"/>
        </w:rPr>
        <w:t>1 范围</w:t>
      </w:r>
      <w:bookmarkEnd w:id="1"/>
      <w:bookmarkEnd w:id="2"/>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本文件规定了四氧化三钴绿色设计产品</w:t>
      </w:r>
      <w:r>
        <w:rPr>
          <w:rFonts w:hint="eastAsia" w:ascii="Times New Roman" w:hAnsi="Times New Roman"/>
          <w:color w:val="000000"/>
          <w:szCs w:val="21"/>
        </w:rPr>
        <w:t>的</w:t>
      </w:r>
      <w:r>
        <w:rPr>
          <w:rFonts w:ascii="Times New Roman" w:hAnsi="Times New Roman"/>
          <w:color w:val="000000"/>
          <w:szCs w:val="21"/>
        </w:rPr>
        <w:t>评价要求、指标计算方法、产品生命周期评价报告编制方法</w:t>
      </w:r>
      <w:r>
        <w:rPr>
          <w:rFonts w:hint="eastAsia" w:ascii="Times New Roman" w:hAnsi="Times New Roman"/>
          <w:color w:val="000000"/>
          <w:szCs w:val="21"/>
        </w:rPr>
        <w:t>和</w:t>
      </w:r>
      <w:r>
        <w:rPr>
          <w:rFonts w:ascii="Times New Roman" w:hAnsi="Times New Roman"/>
          <w:color w:val="000000"/>
          <w:szCs w:val="21"/>
        </w:rPr>
        <w:t>评价方法。</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本文件适用于四氧化三钴绿色设计产品评价。</w:t>
      </w:r>
    </w:p>
    <w:p>
      <w:pPr>
        <w:pStyle w:val="4"/>
        <w:spacing w:before="0" w:after="0" w:line="360" w:lineRule="auto"/>
        <w:ind w:left="420" w:hanging="420"/>
        <w:rPr>
          <w:rFonts w:ascii="黑体" w:hAnsi="黑体" w:eastAsia="黑体"/>
          <w:b w:val="0"/>
          <w:sz w:val="21"/>
          <w:lang w:val="zh-CN"/>
        </w:rPr>
      </w:pPr>
      <w:bookmarkStart w:id="3" w:name="_Toc2755359"/>
      <w:bookmarkStart w:id="4" w:name="_Toc5095405"/>
      <w:r>
        <w:rPr>
          <w:rFonts w:ascii="黑体" w:hAnsi="黑体" w:eastAsia="黑体"/>
          <w:b w:val="0"/>
          <w:sz w:val="21"/>
          <w:lang w:val="zh-CN"/>
        </w:rPr>
        <w:t>2 规范性引用文件</w:t>
      </w:r>
      <w:bookmarkEnd w:id="3"/>
      <w:bookmarkEnd w:id="4"/>
    </w:p>
    <w:p>
      <w:pPr>
        <w:spacing w:line="360" w:lineRule="auto"/>
        <w:ind w:firstLine="420" w:firstLineChars="200"/>
        <w:rPr>
          <w:rFonts w:ascii="Times New Roman" w:hAnsi="Times New Roman"/>
          <w:color w:val="000000"/>
          <w:szCs w:val="21"/>
        </w:rPr>
      </w:pPr>
      <w:r>
        <w:rPr>
          <w:rFonts w:hint="eastAsia" w:ascii="Times New Roman" w:hAnsi="Times New Roman"/>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GB/T 2589 综合能耗计算通则</w:t>
      </w:r>
    </w:p>
    <w:p>
      <w:pPr>
        <w:spacing w:line="360" w:lineRule="auto"/>
        <w:ind w:firstLine="420" w:firstLineChars="200"/>
        <w:rPr>
          <w:rFonts w:ascii="Times New Roman" w:hAnsi="Times New Roman"/>
          <w:color w:val="000000"/>
          <w:szCs w:val="21"/>
        </w:rPr>
      </w:pPr>
      <w:bookmarkStart w:id="5" w:name="_Hlk509409621"/>
      <w:r>
        <w:rPr>
          <w:rFonts w:ascii="Times New Roman" w:hAnsi="Times New Roman"/>
          <w:color w:val="000000"/>
          <w:szCs w:val="21"/>
        </w:rPr>
        <w:t>GB/T 16157 固定污染源排气中颗粒物测定与气态污染物采样方法</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GB/T 16297 大气污染物综合排放标准</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GB/T 17167 用能单位能源计量器具配备和管理通则</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GB 18597 危险废物贮存污染控制标准</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GB 18599 一般工业固体废物贮存、处置场污染控制标准</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GB/T 19001 质量管理体系 要求</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GB/T 23331 能源管理体系 要求</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GB/T 24001 环境管理体系要求及使用指南</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GB/T 24789 用水单位水计量器具配备和管理通则</w:t>
      </w:r>
    </w:p>
    <w:p>
      <w:pPr>
        <w:spacing w:line="360" w:lineRule="auto"/>
        <w:ind w:firstLine="420" w:firstLineChars="200"/>
        <w:jc w:val="left"/>
        <w:rPr>
          <w:rFonts w:ascii="Times New Roman" w:hAnsi="Times New Roman"/>
          <w:color w:val="000000"/>
          <w:kern w:val="0"/>
          <w:szCs w:val="21"/>
        </w:rPr>
      </w:pPr>
      <w:r>
        <w:rPr>
          <w:rFonts w:ascii="Times New Roman" w:hAnsi="Times New Roman"/>
          <w:color w:val="000000"/>
          <w:szCs w:val="21"/>
        </w:rPr>
        <w:t xml:space="preserve">GB 25467 </w:t>
      </w:r>
      <w:r>
        <w:rPr>
          <w:rFonts w:ascii="Times New Roman" w:hAnsi="Times New Roman"/>
          <w:color w:val="000000"/>
          <w:kern w:val="0"/>
          <w:szCs w:val="21"/>
        </w:rPr>
        <w:t>铜、镍、钴工业污染物排放标准</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GB/T 28001 职业健康安全管理体系要求</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GB/T 33000 企业安全生产标准化基本规范</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GB/T 32161-2015 生态设计产品评价通则</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GB/T 32162 生态设计产品标识</w:t>
      </w:r>
    </w:p>
    <w:bookmarkEnd w:id="5"/>
    <w:p>
      <w:pPr>
        <w:spacing w:line="360" w:lineRule="auto"/>
        <w:ind w:firstLine="420" w:firstLineChars="200"/>
        <w:rPr>
          <w:rFonts w:ascii="Times New Roman" w:hAnsi="Times New Roman"/>
          <w:color w:val="000000"/>
          <w:szCs w:val="21"/>
        </w:rPr>
      </w:pPr>
      <w:r>
        <w:rPr>
          <w:rFonts w:ascii="Times New Roman" w:hAnsi="Times New Roman"/>
          <w:color w:val="000000"/>
          <w:szCs w:val="21"/>
        </w:rPr>
        <w:t>YS/T 633-2015 四氧化三钴</w:t>
      </w:r>
    </w:p>
    <w:p>
      <w:pPr>
        <w:spacing w:line="360" w:lineRule="auto"/>
        <w:ind w:firstLine="420" w:firstLineChars="200"/>
        <w:rPr>
          <w:rFonts w:ascii="Times New Roman" w:hAnsi="Times New Roman"/>
          <w:color w:val="000000"/>
          <w:szCs w:val="21"/>
        </w:rPr>
      </w:pPr>
      <w:r>
        <w:rPr>
          <w:rFonts w:hint="eastAsia" w:ascii="Times New Roman" w:hAnsi="Times New Roman"/>
          <w:color w:val="000000"/>
          <w:szCs w:val="21"/>
        </w:rPr>
        <w:t>《镍钴行业</w:t>
      </w:r>
      <w:r>
        <w:rPr>
          <w:rFonts w:ascii="Times New Roman" w:hAnsi="Times New Roman"/>
          <w:color w:val="000000"/>
          <w:szCs w:val="21"/>
        </w:rPr>
        <w:t>清洁生产评价指标体系</w:t>
      </w:r>
      <w:r>
        <w:rPr>
          <w:rFonts w:hint="eastAsia" w:ascii="Times New Roman" w:hAnsi="Times New Roman"/>
          <w:color w:val="000000"/>
          <w:szCs w:val="21"/>
        </w:rPr>
        <w:t>》（国家</w:t>
      </w:r>
      <w:r>
        <w:rPr>
          <w:rFonts w:ascii="Times New Roman" w:hAnsi="Times New Roman"/>
          <w:color w:val="000000"/>
          <w:szCs w:val="21"/>
        </w:rPr>
        <w:t>发展改革委、</w:t>
      </w:r>
      <w:r>
        <w:rPr>
          <w:rFonts w:hint="eastAsia" w:ascii="Times New Roman" w:hAnsi="Times New Roman"/>
          <w:color w:val="000000"/>
          <w:szCs w:val="21"/>
        </w:rPr>
        <w:t>环境保护部、工业和</w:t>
      </w:r>
      <w:r>
        <w:rPr>
          <w:rFonts w:ascii="Times New Roman" w:hAnsi="Times New Roman"/>
          <w:color w:val="000000"/>
          <w:szCs w:val="21"/>
        </w:rPr>
        <w:t>信息化部</w:t>
      </w:r>
      <w:r>
        <w:rPr>
          <w:rFonts w:hint="eastAsia" w:ascii="Times New Roman" w:hAnsi="Times New Roman"/>
          <w:color w:val="000000"/>
          <w:szCs w:val="21"/>
        </w:rPr>
        <w:t xml:space="preserve"> 2015年第36号公告）</w:t>
      </w:r>
    </w:p>
    <w:p>
      <w:pPr>
        <w:pStyle w:val="4"/>
        <w:spacing w:before="0" w:after="0" w:line="360" w:lineRule="auto"/>
        <w:ind w:left="420" w:hanging="420"/>
        <w:rPr>
          <w:rFonts w:ascii="黑体" w:hAnsi="黑体" w:eastAsia="黑体"/>
          <w:b w:val="0"/>
          <w:sz w:val="21"/>
          <w:lang w:val="zh-CN"/>
        </w:rPr>
      </w:pPr>
      <w:bookmarkStart w:id="6" w:name="_Toc5095406"/>
      <w:bookmarkStart w:id="7" w:name="_Toc2755360"/>
      <w:r>
        <w:rPr>
          <w:rFonts w:ascii="黑体" w:hAnsi="黑体" w:eastAsia="黑体"/>
          <w:b w:val="0"/>
          <w:sz w:val="21"/>
          <w:lang w:val="zh-CN"/>
        </w:rPr>
        <w:t>3 术语和定义</w:t>
      </w:r>
      <w:bookmarkEnd w:id="6"/>
      <w:bookmarkEnd w:id="7"/>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lang w:val="de-DE"/>
        </w:rPr>
        <w:t>GB/T 32161</w:t>
      </w:r>
      <w:r>
        <w:rPr>
          <w:rFonts w:hint="eastAsia" w:ascii="Times New Roman" w:hAnsi="Times New Roman"/>
          <w:color w:val="000000"/>
          <w:szCs w:val="21"/>
          <w:lang w:val="de-DE"/>
        </w:rPr>
        <w:t>、GB/T 32162和YS/T</w:t>
      </w:r>
      <w:r>
        <w:rPr>
          <w:rFonts w:ascii="Times New Roman" w:hAnsi="Times New Roman"/>
          <w:color w:val="000000"/>
          <w:szCs w:val="21"/>
          <w:lang w:val="de-DE"/>
        </w:rPr>
        <w:t xml:space="preserve"> </w:t>
      </w:r>
      <w:r>
        <w:rPr>
          <w:rFonts w:hint="eastAsia" w:ascii="Times New Roman" w:hAnsi="Times New Roman"/>
          <w:color w:val="000000"/>
          <w:szCs w:val="21"/>
          <w:lang w:val="de-DE"/>
        </w:rPr>
        <w:t>633-2015</w:t>
      </w:r>
      <w:r>
        <w:rPr>
          <w:rFonts w:ascii="Times New Roman" w:hAnsi="Times New Roman"/>
          <w:color w:val="000000"/>
          <w:szCs w:val="21"/>
          <w:lang w:val="de-DE"/>
        </w:rPr>
        <w:t>界定的</w:t>
      </w:r>
      <w:r>
        <w:rPr>
          <w:rFonts w:ascii="Times New Roman" w:hAnsi="Times New Roman"/>
          <w:color w:val="000000"/>
          <w:szCs w:val="21"/>
        </w:rPr>
        <w:t>术语和定义适用于本文件。</w:t>
      </w:r>
      <w:bookmarkStart w:id="8" w:name="_Toc2755361"/>
    </w:p>
    <w:p>
      <w:pPr>
        <w:pStyle w:val="4"/>
        <w:spacing w:before="0" w:after="0" w:line="360" w:lineRule="auto"/>
        <w:ind w:left="420" w:hanging="420"/>
        <w:rPr>
          <w:rFonts w:ascii="黑体" w:hAnsi="黑体" w:eastAsia="黑体"/>
          <w:b w:val="0"/>
          <w:sz w:val="21"/>
          <w:lang w:val="zh-CN"/>
        </w:rPr>
      </w:pPr>
      <w:bookmarkStart w:id="9" w:name="_Toc5095407"/>
      <w:r>
        <w:rPr>
          <w:rFonts w:ascii="黑体" w:hAnsi="黑体" w:eastAsia="黑体"/>
          <w:b w:val="0"/>
          <w:sz w:val="21"/>
          <w:lang w:val="zh-CN"/>
        </w:rPr>
        <w:t>4 评价</w:t>
      </w:r>
      <w:bookmarkEnd w:id="8"/>
      <w:r>
        <w:rPr>
          <w:rFonts w:ascii="黑体" w:hAnsi="黑体" w:eastAsia="黑体"/>
          <w:b w:val="0"/>
          <w:sz w:val="21"/>
          <w:lang w:val="zh-CN"/>
        </w:rPr>
        <w:t>要求</w:t>
      </w:r>
      <w:bookmarkEnd w:id="9"/>
    </w:p>
    <w:p>
      <w:pPr>
        <w:pStyle w:val="4"/>
        <w:spacing w:before="0" w:after="0" w:line="360" w:lineRule="auto"/>
        <w:rPr>
          <w:rFonts w:ascii="黑体" w:hAnsi="黑体" w:eastAsia="黑体"/>
          <w:b w:val="0"/>
          <w:sz w:val="21"/>
          <w:lang w:val="zh-CN"/>
        </w:rPr>
      </w:pPr>
      <w:r>
        <w:rPr>
          <w:rFonts w:ascii="黑体" w:hAnsi="黑体" w:eastAsia="黑体"/>
          <w:b w:val="0"/>
          <w:sz w:val="21"/>
          <w:lang w:val="zh-CN"/>
        </w:rPr>
        <w:t>4.1 基本要求</w:t>
      </w:r>
    </w:p>
    <w:p>
      <w:pPr>
        <w:spacing w:line="360" w:lineRule="auto"/>
        <w:ind w:left="480"/>
        <w:rPr>
          <w:rFonts w:ascii="宋体" w:hAnsi="宋体"/>
          <w:szCs w:val="21"/>
        </w:rPr>
      </w:pPr>
      <w:r>
        <w:rPr>
          <w:rFonts w:hint="eastAsia" w:ascii="宋体" w:hAnsi="宋体"/>
          <w:szCs w:val="21"/>
        </w:rPr>
        <w:t>四氧化三钴生产企业应满足以下要求，包括但不限于：</w:t>
      </w:r>
    </w:p>
    <w:p>
      <w:pPr>
        <w:pStyle w:val="35"/>
        <w:numPr>
          <w:ilvl w:val="0"/>
          <w:numId w:val="2"/>
        </w:numPr>
        <w:spacing w:line="360" w:lineRule="auto"/>
        <w:ind w:left="0" w:firstLine="420"/>
        <w:jc w:val="left"/>
        <w:rPr>
          <w:rFonts w:ascii="Times New Roman" w:hAnsi="Times New Roman"/>
          <w:color w:val="000000"/>
          <w:kern w:val="0"/>
          <w:szCs w:val="21"/>
        </w:rPr>
      </w:pPr>
      <w:r>
        <w:rPr>
          <w:rFonts w:hint="eastAsia" w:ascii="Times New Roman" w:hAnsi="Times New Roman"/>
          <w:color w:val="000000"/>
          <w:kern w:val="0"/>
          <w:szCs w:val="21"/>
        </w:rPr>
        <w:t xml:space="preserve"> </w:t>
      </w:r>
      <w:r>
        <w:rPr>
          <w:rFonts w:ascii="Times New Roman" w:hAnsi="Times New Roman"/>
          <w:color w:val="000000"/>
          <w:kern w:val="0"/>
          <w:szCs w:val="21"/>
        </w:rPr>
        <w:t>企业生产工艺和装备应符合产业政策要求。</w:t>
      </w:r>
    </w:p>
    <w:p>
      <w:pPr>
        <w:pStyle w:val="35"/>
        <w:numPr>
          <w:ilvl w:val="0"/>
          <w:numId w:val="2"/>
        </w:numPr>
        <w:spacing w:line="360" w:lineRule="auto"/>
        <w:ind w:left="0" w:firstLine="420"/>
        <w:jc w:val="left"/>
        <w:rPr>
          <w:rFonts w:ascii="Times New Roman" w:hAnsi="Times New Roman"/>
          <w:color w:val="000000"/>
          <w:kern w:val="0"/>
          <w:szCs w:val="21"/>
        </w:rPr>
      </w:pPr>
      <w:r>
        <w:rPr>
          <w:rFonts w:hint="eastAsia" w:ascii="宋体" w:hAnsi="宋体"/>
          <w:szCs w:val="21"/>
        </w:rPr>
        <w:t xml:space="preserve"> </w:t>
      </w:r>
      <w:r>
        <w:rPr>
          <w:rFonts w:ascii="Times New Roman" w:hAnsi="Times New Roman"/>
          <w:color w:val="000000"/>
          <w:kern w:val="0"/>
          <w:szCs w:val="21"/>
        </w:rPr>
        <w:t>企业近三年无重大安全、环保和质量事故，应设置专门的安环、质量管理机构和专职管理人员。</w:t>
      </w:r>
    </w:p>
    <w:p>
      <w:pPr>
        <w:pStyle w:val="35"/>
        <w:numPr>
          <w:ilvl w:val="0"/>
          <w:numId w:val="2"/>
        </w:numPr>
        <w:spacing w:line="360" w:lineRule="auto"/>
        <w:ind w:left="0" w:firstLine="420"/>
        <w:jc w:val="left"/>
        <w:rPr>
          <w:rFonts w:ascii="Times New Roman" w:hAnsi="Times New Roman"/>
          <w:color w:val="000000"/>
          <w:kern w:val="0"/>
          <w:szCs w:val="21"/>
        </w:rPr>
      </w:pPr>
      <w:r>
        <w:rPr>
          <w:rFonts w:ascii="Times New Roman" w:hAnsi="Times New Roman"/>
          <w:color w:val="000000"/>
          <w:kern w:val="0"/>
          <w:szCs w:val="21"/>
        </w:rPr>
        <w:t xml:space="preserve"> </w:t>
      </w:r>
      <w:r>
        <w:rPr>
          <w:rFonts w:hint="eastAsia" w:ascii="Times New Roman" w:hAnsi="Times New Roman"/>
          <w:color w:val="000000"/>
          <w:kern w:val="0"/>
          <w:szCs w:val="21"/>
        </w:rPr>
        <w:t>四氧化三钴</w:t>
      </w:r>
      <w:r>
        <w:rPr>
          <w:rFonts w:ascii="Times New Roman" w:hAnsi="Times New Roman"/>
          <w:color w:val="000000"/>
          <w:kern w:val="0"/>
          <w:szCs w:val="21"/>
        </w:rPr>
        <w:t>生产企业外排污染物应符合国家和地方相关政策、法律法规及标准要求，废水、废气污染物排放应达到国家和地方排放标准（如GB 16297</w:t>
      </w:r>
      <w:r>
        <w:rPr>
          <w:rFonts w:hint="eastAsia" w:ascii="Times New Roman" w:hAnsi="Times New Roman"/>
          <w:color w:val="000000"/>
          <w:kern w:val="0"/>
          <w:szCs w:val="21"/>
        </w:rPr>
        <w:t>、GB 25467</w:t>
      </w:r>
      <w:r>
        <w:rPr>
          <w:rFonts w:ascii="Times New Roman" w:hAnsi="Times New Roman"/>
          <w:color w:val="000000"/>
          <w:kern w:val="0"/>
          <w:szCs w:val="21"/>
        </w:rPr>
        <w:t>）、符合总量控制和排污许可证管理要求。</w:t>
      </w:r>
    </w:p>
    <w:p>
      <w:pPr>
        <w:pStyle w:val="35"/>
        <w:numPr>
          <w:ilvl w:val="0"/>
          <w:numId w:val="2"/>
        </w:numPr>
        <w:spacing w:line="360" w:lineRule="auto"/>
        <w:ind w:left="0" w:firstLine="420"/>
        <w:jc w:val="left"/>
        <w:rPr>
          <w:rFonts w:ascii="Times New Roman" w:hAnsi="Times New Roman"/>
          <w:color w:val="000000"/>
          <w:kern w:val="0"/>
          <w:szCs w:val="21"/>
        </w:rPr>
      </w:pPr>
      <w:r>
        <w:rPr>
          <w:rFonts w:hint="eastAsia" w:ascii="宋体" w:hAnsi="宋体"/>
          <w:szCs w:val="21"/>
        </w:rPr>
        <w:t xml:space="preserve"> 应根据环保法律法规要求配备污染物监测及监控设备，清洁生产应达到国内先进水平。</w:t>
      </w:r>
    </w:p>
    <w:p>
      <w:pPr>
        <w:pStyle w:val="35"/>
        <w:numPr>
          <w:ilvl w:val="0"/>
          <w:numId w:val="2"/>
        </w:numPr>
        <w:spacing w:line="360" w:lineRule="auto"/>
        <w:ind w:left="0" w:firstLine="420"/>
        <w:jc w:val="left"/>
        <w:rPr>
          <w:rFonts w:ascii="Times New Roman" w:hAnsi="Times New Roman"/>
          <w:color w:val="000000"/>
          <w:kern w:val="0"/>
          <w:szCs w:val="21"/>
        </w:rPr>
      </w:pPr>
      <w:r>
        <w:rPr>
          <w:rFonts w:hint="eastAsia" w:ascii="Times New Roman" w:hAnsi="Times New Roman"/>
          <w:color w:val="000000"/>
          <w:kern w:val="0"/>
          <w:szCs w:val="21"/>
        </w:rPr>
        <w:t xml:space="preserve"> </w:t>
      </w:r>
      <w:r>
        <w:rPr>
          <w:rFonts w:ascii="Times New Roman" w:hAnsi="Times New Roman"/>
          <w:color w:val="000000"/>
          <w:kern w:val="0"/>
          <w:szCs w:val="21"/>
        </w:rPr>
        <w:t>企业安全管理应达到GB/T 33000的要求，并按照GB/T 19001、GB/T 23331、GB/T 24001、GB/T 28001分别建立、实施、保持并持续改进质量管理体系、能源管理体系、环境管理体系和职业健康安全管理体系。</w:t>
      </w:r>
    </w:p>
    <w:p>
      <w:pPr>
        <w:pStyle w:val="35"/>
        <w:numPr>
          <w:ilvl w:val="0"/>
          <w:numId w:val="2"/>
        </w:numPr>
        <w:spacing w:line="360" w:lineRule="auto"/>
        <w:ind w:left="0" w:firstLine="420"/>
        <w:jc w:val="left"/>
        <w:rPr>
          <w:rFonts w:ascii="Times New Roman" w:hAnsi="Times New Roman"/>
          <w:color w:val="000000"/>
          <w:kern w:val="0"/>
          <w:szCs w:val="21"/>
        </w:rPr>
      </w:pPr>
      <w:r>
        <w:rPr>
          <w:rFonts w:ascii="Times New Roman" w:hAnsi="Times New Roman"/>
          <w:color w:val="000000"/>
          <w:kern w:val="0"/>
          <w:szCs w:val="21"/>
        </w:rPr>
        <w:t xml:space="preserve"> 企业应按照GB/T 17167配备能源计量器具，</w:t>
      </w:r>
      <w:r>
        <w:rPr>
          <w:rFonts w:hint="eastAsia" w:ascii="Times New Roman" w:hAnsi="Times New Roman"/>
          <w:color w:val="000000"/>
          <w:kern w:val="0"/>
          <w:szCs w:val="21"/>
        </w:rPr>
        <w:t>按照GB 24789配备水计量器具，</w:t>
      </w:r>
      <w:r>
        <w:rPr>
          <w:rFonts w:ascii="Times New Roman" w:hAnsi="Times New Roman"/>
          <w:color w:val="000000"/>
          <w:kern w:val="0"/>
          <w:szCs w:val="21"/>
        </w:rPr>
        <w:t>并根据环保法律法规和标准要求配备污染物检测设备。</w:t>
      </w:r>
    </w:p>
    <w:p>
      <w:pPr>
        <w:pStyle w:val="35"/>
        <w:numPr>
          <w:ilvl w:val="0"/>
          <w:numId w:val="2"/>
        </w:numPr>
        <w:spacing w:line="360" w:lineRule="auto"/>
        <w:ind w:left="0" w:firstLine="420"/>
        <w:jc w:val="left"/>
        <w:rPr>
          <w:rFonts w:ascii="Times New Roman" w:hAnsi="Times New Roman"/>
          <w:color w:val="000000"/>
          <w:kern w:val="0"/>
          <w:szCs w:val="21"/>
        </w:rPr>
      </w:pPr>
      <w:r>
        <w:rPr>
          <w:rFonts w:ascii="Times New Roman" w:hAnsi="Times New Roman"/>
          <w:color w:val="000000"/>
          <w:kern w:val="0"/>
          <w:szCs w:val="21"/>
        </w:rPr>
        <w:t xml:space="preserve"> 参与绿色设计产品评价的四氧化三钴，其基本性能应符合YS/T 63</w:t>
      </w:r>
      <w:r>
        <w:rPr>
          <w:rFonts w:ascii="Times New Roman" w:hAnsi="Times New Roman"/>
          <w:kern w:val="0"/>
          <w:szCs w:val="21"/>
        </w:rPr>
        <w:t>3-2015中Co</w:t>
      </w:r>
      <w:r>
        <w:rPr>
          <w:rFonts w:ascii="Times New Roman" w:hAnsi="Times New Roman"/>
          <w:kern w:val="0"/>
          <w:szCs w:val="21"/>
          <w:vertAlign w:val="subscript"/>
        </w:rPr>
        <w:t>3</w:t>
      </w:r>
      <w:r>
        <w:rPr>
          <w:rFonts w:ascii="Times New Roman" w:hAnsi="Times New Roman"/>
          <w:kern w:val="0"/>
          <w:szCs w:val="21"/>
        </w:rPr>
        <w:t>O</w:t>
      </w:r>
      <w:r>
        <w:rPr>
          <w:rFonts w:ascii="Times New Roman" w:hAnsi="Times New Roman"/>
          <w:kern w:val="0"/>
          <w:szCs w:val="21"/>
          <w:vertAlign w:val="subscript"/>
        </w:rPr>
        <w:t>4</w:t>
      </w:r>
      <w:r>
        <w:rPr>
          <w:rFonts w:ascii="Times New Roman" w:hAnsi="Times New Roman"/>
          <w:kern w:val="0"/>
          <w:szCs w:val="21"/>
        </w:rPr>
        <w:t>-1的规</w:t>
      </w:r>
      <w:r>
        <w:rPr>
          <w:rFonts w:ascii="Times New Roman" w:hAnsi="Times New Roman"/>
          <w:color w:val="000000"/>
          <w:kern w:val="0"/>
          <w:szCs w:val="21"/>
        </w:rPr>
        <w:t>定，并满足设计和使用要求。</w:t>
      </w:r>
    </w:p>
    <w:p>
      <w:pPr>
        <w:pStyle w:val="35"/>
        <w:numPr>
          <w:ilvl w:val="0"/>
          <w:numId w:val="2"/>
        </w:numPr>
        <w:spacing w:line="360" w:lineRule="auto"/>
        <w:ind w:left="0" w:firstLine="420"/>
        <w:jc w:val="left"/>
        <w:rPr>
          <w:rFonts w:ascii="Times New Roman" w:hAnsi="Times New Roman"/>
          <w:color w:val="000000"/>
          <w:kern w:val="0"/>
          <w:szCs w:val="21"/>
        </w:rPr>
      </w:pPr>
      <w:r>
        <w:rPr>
          <w:rFonts w:ascii="Times New Roman" w:hAnsi="Times New Roman"/>
          <w:color w:val="000000"/>
          <w:kern w:val="0"/>
          <w:szCs w:val="21"/>
        </w:rPr>
        <w:t xml:space="preserve"> 四氧化三钴冶炼固废物应进行无害化/资源化处理，根据固体废物性质鉴别的结果，一般固体废弃物应按照GB 18599的要求进行管控，危险固废应该按照GB 18597</w:t>
      </w:r>
      <w:r>
        <w:rPr>
          <w:rFonts w:hint="eastAsia" w:ascii="Times New Roman" w:hAnsi="Times New Roman"/>
          <w:color w:val="000000"/>
          <w:kern w:val="0"/>
          <w:szCs w:val="21"/>
        </w:rPr>
        <w:t>的</w:t>
      </w:r>
      <w:r>
        <w:rPr>
          <w:rFonts w:ascii="Times New Roman" w:hAnsi="Times New Roman"/>
          <w:color w:val="000000"/>
          <w:kern w:val="0"/>
          <w:szCs w:val="21"/>
        </w:rPr>
        <w:t>要求进行处置。</w:t>
      </w:r>
    </w:p>
    <w:p>
      <w:pPr>
        <w:pStyle w:val="35"/>
        <w:numPr>
          <w:ilvl w:val="0"/>
          <w:numId w:val="2"/>
        </w:numPr>
        <w:spacing w:line="360" w:lineRule="auto"/>
        <w:ind w:left="0" w:firstLine="420"/>
        <w:rPr>
          <w:rFonts w:ascii="Times New Roman" w:hAnsi="Times New Roman"/>
          <w:color w:val="000000"/>
          <w:kern w:val="0"/>
          <w:szCs w:val="21"/>
        </w:rPr>
      </w:pPr>
      <w:r>
        <w:rPr>
          <w:rFonts w:hint="eastAsia" w:ascii="Times New Roman" w:hAnsi="Times New Roman"/>
          <w:color w:val="000000"/>
          <w:kern w:val="0"/>
          <w:szCs w:val="21"/>
        </w:rPr>
        <w:t xml:space="preserve"> 产品说明书中应包含有害物质使用、需特殊处理材料及产品废弃后的有关循环利用的相关说明要求，</w:t>
      </w:r>
      <w:r>
        <w:rPr>
          <w:rFonts w:ascii="Times New Roman" w:hAnsi="Times New Roman"/>
          <w:color w:val="000000"/>
          <w:kern w:val="0"/>
          <w:szCs w:val="21"/>
        </w:rPr>
        <w:t>产品包装</w:t>
      </w:r>
      <w:r>
        <w:rPr>
          <w:rFonts w:hint="eastAsia" w:ascii="Times New Roman" w:hAnsi="Times New Roman"/>
          <w:color w:val="000000"/>
          <w:kern w:val="0"/>
          <w:szCs w:val="21"/>
        </w:rPr>
        <w:t>材料应为可再生利用或可降解材料</w:t>
      </w:r>
    </w:p>
    <w:p>
      <w:pPr>
        <w:pStyle w:val="4"/>
        <w:spacing w:before="0" w:after="0" w:line="360" w:lineRule="auto"/>
        <w:rPr>
          <w:rFonts w:ascii="黑体" w:hAnsi="黑体" w:eastAsia="黑体"/>
          <w:b w:val="0"/>
          <w:sz w:val="21"/>
          <w:lang w:val="zh-CN"/>
        </w:rPr>
      </w:pPr>
      <w:r>
        <w:rPr>
          <w:rFonts w:ascii="黑体" w:hAnsi="黑体" w:eastAsia="黑体"/>
          <w:b w:val="0"/>
          <w:sz w:val="21"/>
          <w:lang w:val="zh-CN"/>
        </w:rPr>
        <w:t>4.2 评价指标要求</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四氧化三钴绿色设计产品评价指标由一级指标和二级指标组成</w:t>
      </w:r>
      <w:r>
        <w:rPr>
          <w:rFonts w:hint="eastAsia" w:ascii="Times New Roman" w:hAnsi="Times New Roman"/>
          <w:color w:val="000000"/>
          <w:szCs w:val="21"/>
        </w:rPr>
        <w:t>，从资源能源的消耗、以及对环境和人体健康造成影响的角度进行选取，包括资源属性指标、能源属性指标、环境属性指标和产品属性指标。</w:t>
      </w:r>
      <w:r>
        <w:rPr>
          <w:rFonts w:ascii="Times New Roman" w:hAnsi="Times New Roman"/>
          <w:color w:val="000000"/>
          <w:szCs w:val="21"/>
        </w:rPr>
        <w:t>一级指标包括资源属性指标、能源属性指标、环境属性指标和产品属性指标。四氧化三钴绿色设计产品评价指标要求具体见表1。</w:t>
      </w:r>
    </w:p>
    <w:p>
      <w:pPr>
        <w:adjustRightInd w:val="0"/>
        <w:snapToGrid w:val="0"/>
        <w:spacing w:before="120" w:beforeLines="50" w:line="360" w:lineRule="auto"/>
        <w:jc w:val="center"/>
        <w:rPr>
          <w:rFonts w:ascii="Times New Roman" w:hAnsi="Times New Roman" w:eastAsia="黑体"/>
          <w:color w:val="000000"/>
          <w:szCs w:val="21"/>
        </w:rPr>
      </w:pPr>
      <w:r>
        <w:rPr>
          <w:rFonts w:ascii="Times New Roman" w:hAnsi="Times New Roman" w:eastAsia="黑体"/>
          <w:color w:val="000000"/>
          <w:szCs w:val="21"/>
        </w:rPr>
        <w:t>表1  四氧化三钴</w:t>
      </w:r>
      <w:r>
        <w:rPr>
          <w:rFonts w:hint="eastAsia" w:ascii="Times New Roman" w:hAnsi="Times New Roman" w:eastAsia="黑体"/>
          <w:color w:val="000000"/>
          <w:szCs w:val="21"/>
        </w:rPr>
        <w:t>绿色设计</w:t>
      </w:r>
      <w:r>
        <w:rPr>
          <w:rFonts w:ascii="Times New Roman" w:hAnsi="Times New Roman" w:eastAsia="黑体"/>
          <w:color w:val="000000"/>
          <w:szCs w:val="21"/>
        </w:rPr>
        <w:t>产品评价指标要求</w:t>
      </w:r>
    </w:p>
    <w:tbl>
      <w:tblPr>
        <w:tblStyle w:val="1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7"/>
        <w:gridCol w:w="2268"/>
        <w:gridCol w:w="973"/>
        <w:gridCol w:w="1597"/>
        <w:gridCol w:w="2673"/>
        <w:gridCol w:w="1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5" w:type="pct"/>
            <w:shd w:val="clear" w:color="auto" w:fill="auto"/>
            <w:vAlign w:val="center"/>
          </w:tcPr>
          <w:p>
            <w:pPr>
              <w:adjustRightInd w:val="0"/>
              <w:snapToGrid w:val="0"/>
              <w:spacing w:line="276" w:lineRule="auto"/>
              <w:jc w:val="center"/>
              <w:rPr>
                <w:rFonts w:ascii="Times New Roman" w:hAnsi="Times New Roman"/>
                <w:b/>
                <w:color w:val="000000"/>
                <w:sz w:val="18"/>
                <w:szCs w:val="18"/>
              </w:rPr>
            </w:pPr>
            <w:r>
              <w:rPr>
                <w:rFonts w:ascii="Times New Roman" w:hAnsi="Times New Roman"/>
                <w:b/>
                <w:color w:val="000000"/>
                <w:sz w:val="18"/>
                <w:szCs w:val="18"/>
              </w:rPr>
              <w:t>一级指标</w:t>
            </w:r>
          </w:p>
        </w:tc>
        <w:tc>
          <w:tcPr>
            <w:tcW w:w="1221" w:type="pct"/>
            <w:shd w:val="clear" w:color="auto" w:fill="auto"/>
            <w:vAlign w:val="center"/>
          </w:tcPr>
          <w:p>
            <w:pPr>
              <w:adjustRightInd w:val="0"/>
              <w:snapToGrid w:val="0"/>
              <w:spacing w:line="276" w:lineRule="auto"/>
              <w:jc w:val="center"/>
              <w:rPr>
                <w:rFonts w:ascii="Times New Roman" w:hAnsi="Times New Roman"/>
                <w:b/>
                <w:color w:val="000000"/>
                <w:sz w:val="18"/>
                <w:szCs w:val="18"/>
              </w:rPr>
            </w:pPr>
            <w:r>
              <w:rPr>
                <w:rFonts w:ascii="Times New Roman" w:hAnsi="Times New Roman"/>
                <w:b/>
                <w:color w:val="000000"/>
                <w:sz w:val="18"/>
                <w:szCs w:val="18"/>
              </w:rPr>
              <w:t>二级指标</w:t>
            </w:r>
          </w:p>
        </w:tc>
        <w:tc>
          <w:tcPr>
            <w:tcW w:w="524" w:type="pct"/>
            <w:shd w:val="clear" w:color="auto" w:fill="auto"/>
            <w:vAlign w:val="center"/>
          </w:tcPr>
          <w:p>
            <w:pPr>
              <w:adjustRightInd w:val="0"/>
              <w:snapToGrid w:val="0"/>
              <w:spacing w:line="276" w:lineRule="auto"/>
              <w:jc w:val="center"/>
              <w:rPr>
                <w:rFonts w:ascii="Times New Roman" w:hAnsi="Times New Roman"/>
                <w:b/>
                <w:color w:val="000000"/>
                <w:sz w:val="18"/>
                <w:szCs w:val="18"/>
              </w:rPr>
            </w:pPr>
            <w:r>
              <w:rPr>
                <w:rFonts w:ascii="Times New Roman" w:hAnsi="Times New Roman"/>
                <w:b/>
                <w:color w:val="000000"/>
                <w:sz w:val="18"/>
                <w:szCs w:val="18"/>
              </w:rPr>
              <w:t>单位</w:t>
            </w:r>
          </w:p>
        </w:tc>
        <w:tc>
          <w:tcPr>
            <w:tcW w:w="860" w:type="pct"/>
            <w:shd w:val="clear" w:color="auto" w:fill="auto"/>
            <w:vAlign w:val="center"/>
          </w:tcPr>
          <w:p>
            <w:pPr>
              <w:adjustRightInd w:val="0"/>
              <w:snapToGrid w:val="0"/>
              <w:spacing w:line="276" w:lineRule="auto"/>
              <w:jc w:val="center"/>
              <w:rPr>
                <w:rFonts w:ascii="Times New Roman" w:hAnsi="Times New Roman"/>
                <w:b/>
                <w:color w:val="000000"/>
                <w:sz w:val="18"/>
                <w:szCs w:val="18"/>
              </w:rPr>
            </w:pPr>
            <w:r>
              <w:rPr>
                <w:rFonts w:ascii="Times New Roman" w:hAnsi="Times New Roman"/>
                <w:b/>
                <w:color w:val="000000"/>
                <w:sz w:val="18"/>
                <w:szCs w:val="18"/>
              </w:rPr>
              <w:t>基准值</w:t>
            </w:r>
          </w:p>
        </w:tc>
        <w:tc>
          <w:tcPr>
            <w:tcW w:w="1439" w:type="pct"/>
            <w:shd w:val="clear" w:color="auto" w:fill="auto"/>
            <w:vAlign w:val="center"/>
          </w:tcPr>
          <w:p>
            <w:pPr>
              <w:adjustRightInd w:val="0"/>
              <w:snapToGrid w:val="0"/>
              <w:spacing w:line="276" w:lineRule="auto"/>
              <w:jc w:val="center"/>
              <w:rPr>
                <w:rFonts w:ascii="Times New Roman" w:hAnsi="Times New Roman"/>
                <w:b/>
                <w:color w:val="000000"/>
                <w:sz w:val="18"/>
                <w:szCs w:val="18"/>
              </w:rPr>
            </w:pPr>
            <w:r>
              <w:rPr>
                <w:rFonts w:ascii="Times New Roman" w:hAnsi="Times New Roman"/>
                <w:b/>
                <w:color w:val="000000"/>
                <w:sz w:val="18"/>
                <w:szCs w:val="18"/>
              </w:rPr>
              <w:t>判断依据</w:t>
            </w:r>
          </w:p>
        </w:tc>
        <w:tc>
          <w:tcPr>
            <w:tcW w:w="591" w:type="pct"/>
            <w:shd w:val="clear" w:color="auto" w:fill="auto"/>
            <w:vAlign w:val="center"/>
          </w:tcPr>
          <w:p>
            <w:pPr>
              <w:adjustRightInd w:val="0"/>
              <w:snapToGrid w:val="0"/>
              <w:spacing w:line="276" w:lineRule="auto"/>
              <w:jc w:val="center"/>
              <w:rPr>
                <w:rFonts w:ascii="Times New Roman" w:hAnsi="Times New Roman"/>
                <w:b/>
                <w:color w:val="000000"/>
                <w:sz w:val="18"/>
                <w:szCs w:val="18"/>
              </w:rPr>
            </w:pPr>
            <w:r>
              <w:rPr>
                <w:rFonts w:ascii="Times New Roman" w:hAnsi="Times New Roman"/>
                <w:b/>
                <w:color w:val="000000"/>
                <w:sz w:val="18"/>
                <w:szCs w:val="18"/>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5" w:type="pct"/>
            <w:vMerge w:val="restar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资源属性</w:t>
            </w:r>
          </w:p>
        </w:tc>
        <w:tc>
          <w:tcPr>
            <w:tcW w:w="122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钴冶炼综合回收率</w:t>
            </w:r>
          </w:p>
        </w:tc>
        <w:tc>
          <w:tcPr>
            <w:tcW w:w="524"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w:t>
            </w:r>
          </w:p>
        </w:tc>
        <w:tc>
          <w:tcPr>
            <w:tcW w:w="860"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≥98</w:t>
            </w:r>
          </w:p>
        </w:tc>
        <w:tc>
          <w:tcPr>
            <w:tcW w:w="1439"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统计数据</w:t>
            </w:r>
          </w:p>
        </w:tc>
        <w:tc>
          <w:tcPr>
            <w:tcW w:w="59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5" w:type="pct"/>
            <w:vMerge w:val="continue"/>
            <w:shd w:val="clear" w:color="auto" w:fill="auto"/>
            <w:vAlign w:val="center"/>
          </w:tcPr>
          <w:p>
            <w:pPr>
              <w:adjustRightInd w:val="0"/>
              <w:snapToGrid w:val="0"/>
              <w:spacing w:line="276" w:lineRule="auto"/>
              <w:jc w:val="center"/>
              <w:rPr>
                <w:rFonts w:ascii="Times New Roman" w:hAnsi="Times New Roman"/>
                <w:color w:val="000000"/>
                <w:sz w:val="18"/>
                <w:szCs w:val="18"/>
              </w:rPr>
            </w:pPr>
          </w:p>
        </w:tc>
        <w:tc>
          <w:tcPr>
            <w:tcW w:w="122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单位产品新鲜水耗</w:t>
            </w:r>
          </w:p>
        </w:tc>
        <w:tc>
          <w:tcPr>
            <w:tcW w:w="524"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m</w:t>
            </w:r>
            <w:r>
              <w:rPr>
                <w:rFonts w:ascii="Times New Roman" w:hAnsi="Times New Roman"/>
                <w:color w:val="000000"/>
                <w:sz w:val="18"/>
                <w:szCs w:val="18"/>
                <w:vertAlign w:val="superscript"/>
              </w:rPr>
              <w:t>3</w:t>
            </w:r>
            <w:r>
              <w:rPr>
                <w:rFonts w:ascii="Times New Roman" w:hAnsi="Times New Roman"/>
                <w:color w:val="000000"/>
                <w:sz w:val="18"/>
                <w:szCs w:val="18"/>
              </w:rPr>
              <w:t>/t</w:t>
            </w:r>
            <w:r>
              <w:rPr>
                <w:rFonts w:hint="eastAsia" w:ascii="Times New Roman" w:hAnsi="Times New Roman"/>
                <w:color w:val="000000"/>
                <w:sz w:val="18"/>
                <w:szCs w:val="18"/>
              </w:rPr>
              <w:t>钴</w:t>
            </w:r>
          </w:p>
        </w:tc>
        <w:tc>
          <w:tcPr>
            <w:tcW w:w="860"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439"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统计数据</w:t>
            </w:r>
          </w:p>
        </w:tc>
        <w:tc>
          <w:tcPr>
            <w:tcW w:w="59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5" w:type="pct"/>
            <w:vMerge w:val="continue"/>
            <w:shd w:val="clear" w:color="auto" w:fill="auto"/>
            <w:vAlign w:val="center"/>
          </w:tcPr>
          <w:p>
            <w:pPr>
              <w:adjustRightInd w:val="0"/>
              <w:snapToGrid w:val="0"/>
              <w:spacing w:line="276" w:lineRule="auto"/>
              <w:jc w:val="center"/>
              <w:rPr>
                <w:rFonts w:ascii="Times New Roman" w:hAnsi="Times New Roman"/>
                <w:color w:val="000000"/>
                <w:sz w:val="18"/>
                <w:szCs w:val="18"/>
              </w:rPr>
            </w:pPr>
          </w:p>
        </w:tc>
        <w:tc>
          <w:tcPr>
            <w:tcW w:w="122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工业用水重复利用率</w:t>
            </w:r>
          </w:p>
        </w:tc>
        <w:tc>
          <w:tcPr>
            <w:tcW w:w="524"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w:t>
            </w:r>
          </w:p>
        </w:tc>
        <w:tc>
          <w:tcPr>
            <w:tcW w:w="860"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≥90</w:t>
            </w:r>
          </w:p>
        </w:tc>
        <w:tc>
          <w:tcPr>
            <w:tcW w:w="1439"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依据GB/T2589</w:t>
            </w:r>
            <w:r>
              <w:rPr>
                <w:rFonts w:hint="eastAsia" w:ascii="Times New Roman" w:hAnsi="Times New Roman"/>
                <w:color w:val="000000"/>
                <w:sz w:val="18"/>
                <w:szCs w:val="18"/>
              </w:rPr>
              <w:t>、</w:t>
            </w:r>
            <w:r>
              <w:rPr>
                <w:rFonts w:ascii="Times New Roman" w:hAnsi="Times New Roman"/>
                <w:color w:val="000000"/>
                <w:sz w:val="18"/>
                <w:szCs w:val="18"/>
              </w:rPr>
              <w:t>《镍钴行业清洁生产评价指标体系》计算</w:t>
            </w:r>
          </w:p>
        </w:tc>
        <w:tc>
          <w:tcPr>
            <w:tcW w:w="59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trPr>
        <w:tc>
          <w:tcPr>
            <w:tcW w:w="365"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能源属性</w:t>
            </w:r>
          </w:p>
        </w:tc>
        <w:tc>
          <w:tcPr>
            <w:tcW w:w="122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单位产品综合能耗</w:t>
            </w:r>
          </w:p>
        </w:tc>
        <w:tc>
          <w:tcPr>
            <w:tcW w:w="524"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kgce/t</w:t>
            </w:r>
            <w:r>
              <w:rPr>
                <w:rFonts w:hint="eastAsia" w:ascii="Times New Roman" w:hAnsi="Times New Roman"/>
                <w:color w:val="000000"/>
                <w:sz w:val="18"/>
                <w:szCs w:val="18"/>
              </w:rPr>
              <w:t>钴</w:t>
            </w:r>
          </w:p>
        </w:tc>
        <w:tc>
          <w:tcPr>
            <w:tcW w:w="860"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≤2000</w:t>
            </w:r>
          </w:p>
        </w:tc>
        <w:tc>
          <w:tcPr>
            <w:tcW w:w="1439"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依据《镍钴行业清洁生产评价指标体系》计算</w:t>
            </w:r>
          </w:p>
        </w:tc>
        <w:tc>
          <w:tcPr>
            <w:tcW w:w="591" w:type="pct"/>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trPr>
        <w:tc>
          <w:tcPr>
            <w:tcW w:w="365" w:type="pct"/>
            <w:vMerge w:val="restar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产品属性</w:t>
            </w:r>
          </w:p>
        </w:tc>
        <w:tc>
          <w:tcPr>
            <w:tcW w:w="122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产品类型</w:t>
            </w:r>
          </w:p>
        </w:tc>
        <w:tc>
          <w:tcPr>
            <w:tcW w:w="524"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w:t>
            </w:r>
          </w:p>
        </w:tc>
        <w:tc>
          <w:tcPr>
            <w:tcW w:w="860"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符合</w:t>
            </w:r>
            <w:r>
              <w:rPr>
                <w:rFonts w:ascii="Times New Roman" w:hAnsi="Times New Roman"/>
                <w:color w:val="000000"/>
                <w:sz w:val="18"/>
                <w:szCs w:val="18"/>
              </w:rPr>
              <w:t>YS/T 633-2015</w:t>
            </w:r>
            <w:r>
              <w:rPr>
                <w:rFonts w:hint="eastAsia" w:ascii="Times New Roman" w:hAnsi="Times New Roman"/>
                <w:color w:val="000000"/>
                <w:sz w:val="18"/>
                <w:szCs w:val="18"/>
              </w:rPr>
              <w:t xml:space="preserve"> Co</w:t>
            </w:r>
            <w:r>
              <w:rPr>
                <w:rFonts w:ascii="Times New Roman" w:hAnsi="Times New Roman"/>
                <w:color w:val="000000"/>
                <w:sz w:val="18"/>
                <w:szCs w:val="18"/>
                <w:vertAlign w:val="subscript"/>
              </w:rPr>
              <w:t>3</w:t>
            </w:r>
            <w:r>
              <w:rPr>
                <w:rFonts w:hint="eastAsia" w:ascii="Times New Roman" w:hAnsi="Times New Roman"/>
                <w:color w:val="000000"/>
                <w:sz w:val="18"/>
                <w:szCs w:val="18"/>
              </w:rPr>
              <w:t>O</w:t>
            </w:r>
            <w:r>
              <w:rPr>
                <w:rFonts w:ascii="Times New Roman" w:hAnsi="Times New Roman"/>
                <w:color w:val="000000"/>
                <w:sz w:val="18"/>
                <w:szCs w:val="18"/>
                <w:vertAlign w:val="subscript"/>
              </w:rPr>
              <w:t>4</w:t>
            </w:r>
            <w:r>
              <w:rPr>
                <w:rFonts w:ascii="Times New Roman" w:hAnsi="Times New Roman"/>
                <w:color w:val="000000"/>
                <w:sz w:val="18"/>
                <w:szCs w:val="18"/>
              </w:rPr>
              <w:t>-1</w:t>
            </w:r>
            <w:r>
              <w:rPr>
                <w:rFonts w:hint="eastAsia" w:ascii="Times New Roman" w:hAnsi="Times New Roman"/>
                <w:color w:val="000000"/>
                <w:sz w:val="18"/>
                <w:szCs w:val="18"/>
              </w:rPr>
              <w:t>的化学成分</w:t>
            </w:r>
            <w:r>
              <w:rPr>
                <w:rFonts w:ascii="Times New Roman" w:hAnsi="Times New Roman"/>
                <w:color w:val="000000"/>
                <w:sz w:val="18"/>
                <w:szCs w:val="18"/>
              </w:rPr>
              <w:t>要求</w:t>
            </w:r>
          </w:p>
        </w:tc>
        <w:tc>
          <w:tcPr>
            <w:tcW w:w="1439" w:type="pct"/>
            <w:vMerge w:val="restar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依据YS 633-2015标准检测</w:t>
            </w:r>
            <w:r>
              <w:rPr>
                <w:rFonts w:hint="eastAsia" w:ascii="Times New Roman" w:hAnsi="Times New Roman"/>
                <w:color w:val="000000"/>
                <w:sz w:val="18"/>
                <w:szCs w:val="18"/>
              </w:rPr>
              <w:t>，</w:t>
            </w:r>
            <w:r>
              <w:rPr>
                <w:rFonts w:ascii="Times New Roman" w:hAnsi="Times New Roman"/>
                <w:color w:val="000000"/>
                <w:sz w:val="18"/>
                <w:szCs w:val="18"/>
              </w:rPr>
              <w:t>提供检测报告</w:t>
            </w:r>
          </w:p>
        </w:tc>
        <w:tc>
          <w:tcPr>
            <w:tcW w:w="591" w:type="pct"/>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trPr>
        <w:tc>
          <w:tcPr>
            <w:tcW w:w="365" w:type="pct"/>
            <w:vMerge w:val="continue"/>
            <w:shd w:val="clear" w:color="auto" w:fill="auto"/>
            <w:vAlign w:val="center"/>
          </w:tcPr>
          <w:p>
            <w:pPr>
              <w:adjustRightInd w:val="0"/>
              <w:snapToGrid w:val="0"/>
              <w:spacing w:line="276" w:lineRule="auto"/>
              <w:jc w:val="center"/>
              <w:rPr>
                <w:rFonts w:ascii="Times New Roman" w:hAnsi="Times New Roman"/>
                <w:color w:val="000000"/>
                <w:sz w:val="18"/>
                <w:szCs w:val="18"/>
              </w:rPr>
            </w:pPr>
          </w:p>
        </w:tc>
        <w:tc>
          <w:tcPr>
            <w:tcW w:w="122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产品</w:t>
            </w:r>
            <w:r>
              <w:rPr>
                <w:rFonts w:hint="eastAsia" w:ascii="Times New Roman" w:hAnsi="Times New Roman"/>
                <w:color w:val="000000"/>
                <w:sz w:val="18"/>
                <w:szCs w:val="18"/>
              </w:rPr>
              <w:t>磁性</w:t>
            </w:r>
            <w:r>
              <w:rPr>
                <w:rFonts w:ascii="Times New Roman" w:hAnsi="Times New Roman"/>
                <w:color w:val="000000"/>
                <w:sz w:val="18"/>
                <w:szCs w:val="18"/>
              </w:rPr>
              <w:t>异物</w:t>
            </w:r>
          </w:p>
        </w:tc>
        <w:tc>
          <w:tcPr>
            <w:tcW w:w="524"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w:t>
            </w:r>
          </w:p>
        </w:tc>
        <w:tc>
          <w:tcPr>
            <w:tcW w:w="860"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≤200</w:t>
            </w:r>
          </w:p>
        </w:tc>
        <w:tc>
          <w:tcPr>
            <w:tcW w:w="1439" w:type="pct"/>
            <w:vMerge w:val="continue"/>
            <w:shd w:val="clear" w:color="auto" w:fill="auto"/>
            <w:vAlign w:val="center"/>
          </w:tcPr>
          <w:p>
            <w:pPr>
              <w:adjustRightInd w:val="0"/>
              <w:snapToGrid w:val="0"/>
              <w:spacing w:line="276" w:lineRule="auto"/>
              <w:jc w:val="center"/>
              <w:rPr>
                <w:rFonts w:ascii="Times New Roman" w:hAnsi="Times New Roman"/>
                <w:color w:val="000000"/>
                <w:sz w:val="18"/>
                <w:szCs w:val="18"/>
              </w:rPr>
            </w:pPr>
          </w:p>
        </w:tc>
        <w:tc>
          <w:tcPr>
            <w:tcW w:w="591" w:type="pct"/>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trPr>
        <w:tc>
          <w:tcPr>
            <w:tcW w:w="365" w:type="pct"/>
            <w:vMerge w:val="continue"/>
            <w:shd w:val="clear" w:color="auto" w:fill="auto"/>
            <w:vAlign w:val="center"/>
          </w:tcPr>
          <w:p>
            <w:pPr>
              <w:adjustRightInd w:val="0"/>
              <w:snapToGrid w:val="0"/>
              <w:spacing w:line="276" w:lineRule="auto"/>
              <w:jc w:val="center"/>
              <w:rPr>
                <w:rFonts w:ascii="Times New Roman" w:hAnsi="Times New Roman"/>
                <w:color w:val="000000"/>
                <w:sz w:val="18"/>
                <w:szCs w:val="18"/>
              </w:rPr>
            </w:pPr>
          </w:p>
        </w:tc>
        <w:tc>
          <w:tcPr>
            <w:tcW w:w="122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氧化</w:t>
            </w:r>
            <w:r>
              <w:rPr>
                <w:rFonts w:ascii="Times New Roman" w:hAnsi="Times New Roman"/>
                <w:color w:val="000000"/>
                <w:sz w:val="18"/>
                <w:szCs w:val="18"/>
              </w:rPr>
              <w:t>亚钴相</w:t>
            </w:r>
          </w:p>
        </w:tc>
        <w:tc>
          <w:tcPr>
            <w:tcW w:w="524"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w:t>
            </w:r>
          </w:p>
        </w:tc>
        <w:tc>
          <w:tcPr>
            <w:tcW w:w="860"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w:t>
            </w:r>
            <w:r>
              <w:rPr>
                <w:rFonts w:ascii="Times New Roman" w:hAnsi="Times New Roman"/>
                <w:color w:val="000000"/>
                <w:sz w:val="18"/>
                <w:szCs w:val="18"/>
              </w:rPr>
              <w:t>3</w:t>
            </w:r>
          </w:p>
        </w:tc>
        <w:tc>
          <w:tcPr>
            <w:tcW w:w="1439" w:type="pct"/>
            <w:vMerge w:val="continue"/>
            <w:shd w:val="clear" w:color="auto" w:fill="auto"/>
            <w:vAlign w:val="center"/>
          </w:tcPr>
          <w:p>
            <w:pPr>
              <w:adjustRightInd w:val="0"/>
              <w:snapToGrid w:val="0"/>
              <w:spacing w:line="276" w:lineRule="auto"/>
              <w:jc w:val="center"/>
              <w:rPr>
                <w:rFonts w:ascii="Times New Roman" w:hAnsi="Times New Roman"/>
                <w:color w:val="000000"/>
                <w:sz w:val="18"/>
                <w:szCs w:val="18"/>
              </w:rPr>
            </w:pPr>
          </w:p>
        </w:tc>
        <w:tc>
          <w:tcPr>
            <w:tcW w:w="591" w:type="pct"/>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365" w:type="pct"/>
            <w:vMerge w:val="restar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环境属性</w:t>
            </w:r>
          </w:p>
        </w:tc>
        <w:tc>
          <w:tcPr>
            <w:tcW w:w="122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单位产品基准排水量</w:t>
            </w:r>
          </w:p>
        </w:tc>
        <w:tc>
          <w:tcPr>
            <w:tcW w:w="524"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m</w:t>
            </w:r>
            <w:r>
              <w:rPr>
                <w:rFonts w:ascii="Times New Roman" w:hAnsi="Times New Roman"/>
                <w:color w:val="000000"/>
                <w:sz w:val="18"/>
                <w:szCs w:val="18"/>
                <w:vertAlign w:val="superscript"/>
              </w:rPr>
              <w:t>3</w:t>
            </w:r>
            <w:r>
              <w:rPr>
                <w:rFonts w:ascii="Times New Roman" w:hAnsi="Times New Roman"/>
                <w:color w:val="000000"/>
                <w:sz w:val="18"/>
                <w:szCs w:val="18"/>
              </w:rPr>
              <w:t>/t-钴</w:t>
            </w:r>
          </w:p>
        </w:tc>
        <w:tc>
          <w:tcPr>
            <w:tcW w:w="860"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1439"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统计数据</w:t>
            </w:r>
          </w:p>
        </w:tc>
        <w:tc>
          <w:tcPr>
            <w:tcW w:w="591" w:type="pct"/>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365" w:type="pct"/>
            <w:vMerge w:val="continue"/>
            <w:shd w:val="clear" w:color="auto" w:fill="auto"/>
            <w:vAlign w:val="center"/>
          </w:tcPr>
          <w:p>
            <w:pPr>
              <w:adjustRightInd w:val="0"/>
              <w:snapToGrid w:val="0"/>
              <w:spacing w:line="276" w:lineRule="auto"/>
              <w:jc w:val="center"/>
              <w:rPr>
                <w:rFonts w:ascii="Times New Roman" w:hAnsi="Times New Roman"/>
                <w:color w:val="000000"/>
                <w:sz w:val="18"/>
                <w:szCs w:val="18"/>
              </w:rPr>
            </w:pPr>
          </w:p>
        </w:tc>
        <w:tc>
          <w:tcPr>
            <w:tcW w:w="122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粉尘</w:t>
            </w:r>
          </w:p>
        </w:tc>
        <w:tc>
          <w:tcPr>
            <w:tcW w:w="524"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mg/m</w:t>
            </w:r>
            <w:r>
              <w:rPr>
                <w:rFonts w:ascii="Times New Roman" w:hAnsi="Times New Roman"/>
                <w:color w:val="000000"/>
                <w:sz w:val="18"/>
                <w:szCs w:val="18"/>
                <w:vertAlign w:val="superscript"/>
              </w:rPr>
              <w:t>3</w:t>
            </w:r>
          </w:p>
        </w:tc>
        <w:tc>
          <w:tcPr>
            <w:tcW w:w="860"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w:t>
            </w:r>
            <w:r>
              <w:rPr>
                <w:rFonts w:ascii="Times New Roman" w:hAnsi="Times New Roman"/>
                <w:color w:val="000000"/>
                <w:sz w:val="18"/>
                <w:szCs w:val="18"/>
              </w:rPr>
              <w:t>9</w:t>
            </w:r>
          </w:p>
        </w:tc>
        <w:tc>
          <w:tcPr>
            <w:tcW w:w="1439"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现场数据</w:t>
            </w:r>
            <w:r>
              <w:rPr>
                <w:rFonts w:ascii="Times New Roman" w:hAnsi="Times New Roman"/>
                <w:color w:val="000000"/>
                <w:sz w:val="18"/>
                <w:szCs w:val="18"/>
              </w:rPr>
              <w:t>获分析检测报告</w:t>
            </w:r>
          </w:p>
        </w:tc>
        <w:tc>
          <w:tcPr>
            <w:tcW w:w="591" w:type="pct"/>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365" w:type="pct"/>
            <w:vMerge w:val="continue"/>
            <w:shd w:val="clear" w:color="auto" w:fill="auto"/>
            <w:vAlign w:val="center"/>
          </w:tcPr>
          <w:p>
            <w:pPr>
              <w:adjustRightInd w:val="0"/>
              <w:snapToGrid w:val="0"/>
              <w:spacing w:line="276" w:lineRule="auto"/>
              <w:jc w:val="center"/>
              <w:rPr>
                <w:rFonts w:ascii="Times New Roman" w:hAnsi="Times New Roman"/>
                <w:color w:val="000000"/>
                <w:sz w:val="18"/>
                <w:szCs w:val="18"/>
              </w:rPr>
            </w:pPr>
          </w:p>
        </w:tc>
        <w:tc>
          <w:tcPr>
            <w:tcW w:w="122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废水中钴</w:t>
            </w:r>
            <w:r>
              <w:rPr>
                <w:rFonts w:ascii="Times New Roman" w:hAnsi="Times New Roman"/>
                <w:color w:val="000000"/>
                <w:sz w:val="18"/>
                <w:szCs w:val="18"/>
              </w:rPr>
              <w:t>离子含量</w:t>
            </w:r>
          </w:p>
        </w:tc>
        <w:tc>
          <w:tcPr>
            <w:tcW w:w="524"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m</w:t>
            </w:r>
            <w:r>
              <w:rPr>
                <w:rFonts w:hint="eastAsia" w:ascii="Times New Roman" w:hAnsi="Times New Roman"/>
                <w:color w:val="000000"/>
                <w:sz w:val="18"/>
                <w:szCs w:val="18"/>
              </w:rPr>
              <w:t>g/L</w:t>
            </w:r>
          </w:p>
        </w:tc>
        <w:tc>
          <w:tcPr>
            <w:tcW w:w="860"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w:t>
            </w:r>
            <w:r>
              <w:rPr>
                <w:rFonts w:ascii="Times New Roman" w:hAnsi="Times New Roman"/>
                <w:color w:val="000000"/>
                <w:sz w:val="18"/>
                <w:szCs w:val="18"/>
              </w:rPr>
              <w:t>1</w:t>
            </w:r>
          </w:p>
        </w:tc>
        <w:tc>
          <w:tcPr>
            <w:tcW w:w="1439"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现场数据</w:t>
            </w:r>
            <w:r>
              <w:rPr>
                <w:rFonts w:ascii="Times New Roman" w:hAnsi="Times New Roman"/>
                <w:color w:val="000000"/>
                <w:sz w:val="18"/>
                <w:szCs w:val="18"/>
              </w:rPr>
              <w:t>获分析检测报告</w:t>
            </w:r>
          </w:p>
        </w:tc>
        <w:tc>
          <w:tcPr>
            <w:tcW w:w="591" w:type="pct"/>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365" w:type="pct"/>
            <w:vMerge w:val="continue"/>
            <w:shd w:val="clear" w:color="auto" w:fill="auto"/>
            <w:vAlign w:val="center"/>
          </w:tcPr>
          <w:p>
            <w:pPr>
              <w:adjustRightInd w:val="0"/>
              <w:snapToGrid w:val="0"/>
              <w:spacing w:line="276" w:lineRule="auto"/>
              <w:jc w:val="center"/>
              <w:rPr>
                <w:rFonts w:ascii="Times New Roman" w:hAnsi="Times New Roman"/>
                <w:color w:val="000000"/>
                <w:sz w:val="18"/>
                <w:szCs w:val="18"/>
              </w:rPr>
            </w:pPr>
          </w:p>
        </w:tc>
        <w:tc>
          <w:tcPr>
            <w:tcW w:w="1221"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固体废物综合利用率</w:t>
            </w:r>
          </w:p>
        </w:tc>
        <w:tc>
          <w:tcPr>
            <w:tcW w:w="524"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w:t>
            </w:r>
          </w:p>
        </w:tc>
        <w:tc>
          <w:tcPr>
            <w:tcW w:w="860"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ascii="Times New Roman" w:hAnsi="Times New Roman"/>
                <w:color w:val="000000"/>
                <w:sz w:val="18"/>
                <w:szCs w:val="18"/>
              </w:rPr>
              <w:t>≥85</w:t>
            </w:r>
          </w:p>
        </w:tc>
        <w:tc>
          <w:tcPr>
            <w:tcW w:w="1439" w:type="pct"/>
            <w:shd w:val="clear" w:color="auto" w:fill="auto"/>
            <w:vAlign w:val="center"/>
          </w:tcPr>
          <w:p>
            <w:pPr>
              <w:adjustRightInd w:val="0"/>
              <w:snapToGrid w:val="0"/>
              <w:spacing w:line="276" w:lineRule="auto"/>
              <w:jc w:val="center"/>
              <w:rPr>
                <w:rFonts w:ascii="Times New Roman" w:hAnsi="Times New Roman"/>
                <w:color w:val="000000"/>
                <w:sz w:val="18"/>
                <w:szCs w:val="18"/>
              </w:rPr>
            </w:pPr>
            <w:r>
              <w:rPr>
                <w:rFonts w:hint="eastAsia" w:ascii="Times New Roman" w:hAnsi="Times New Roman"/>
                <w:color w:val="000000"/>
                <w:sz w:val="18"/>
                <w:szCs w:val="18"/>
              </w:rPr>
              <w:t>统计数据</w:t>
            </w:r>
          </w:p>
        </w:tc>
        <w:tc>
          <w:tcPr>
            <w:tcW w:w="591" w:type="pct"/>
            <w:shd w:val="clear" w:color="auto" w:fill="auto"/>
            <w:vAlign w:val="center"/>
          </w:tcPr>
          <w:p>
            <w:pPr>
              <w:jc w:val="center"/>
              <w:rPr>
                <w:rFonts w:ascii="Times New Roman" w:hAnsi="Times New Roman"/>
                <w:color w:val="000000"/>
                <w:sz w:val="18"/>
                <w:szCs w:val="18"/>
              </w:rPr>
            </w:pPr>
            <w:r>
              <w:rPr>
                <w:rFonts w:ascii="Times New Roman" w:hAnsi="Times New Roman"/>
                <w:color w:val="000000"/>
                <w:sz w:val="18"/>
                <w:szCs w:val="18"/>
              </w:rPr>
              <w:t>产品生产</w:t>
            </w:r>
          </w:p>
        </w:tc>
      </w:tr>
    </w:tbl>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注：本文件的功能单位为生产1t符合质量要求的四氧化三钴产品。</w:t>
      </w:r>
    </w:p>
    <w:p>
      <w:pPr>
        <w:pStyle w:val="4"/>
        <w:spacing w:before="0" w:after="0" w:line="360" w:lineRule="auto"/>
        <w:rPr>
          <w:rFonts w:ascii="黑体" w:hAnsi="黑体" w:eastAsia="黑体"/>
          <w:b w:val="0"/>
          <w:sz w:val="21"/>
          <w:lang w:val="zh-CN"/>
        </w:rPr>
      </w:pPr>
      <w:r>
        <w:rPr>
          <w:rFonts w:ascii="黑体" w:hAnsi="黑体" w:eastAsia="黑体"/>
          <w:b w:val="0"/>
          <w:sz w:val="21"/>
          <w:lang w:val="zh-CN"/>
        </w:rPr>
        <w:t>4.3 数据</w:t>
      </w:r>
      <w:r>
        <w:rPr>
          <w:rFonts w:hint="eastAsia" w:ascii="黑体" w:hAnsi="黑体" w:eastAsia="黑体"/>
          <w:b w:val="0"/>
          <w:sz w:val="21"/>
          <w:lang w:val="zh-CN"/>
        </w:rPr>
        <w:t>来源</w:t>
      </w:r>
    </w:p>
    <w:p>
      <w:pPr>
        <w:spacing w:line="360" w:lineRule="auto"/>
        <w:jc w:val="left"/>
        <w:rPr>
          <w:rFonts w:ascii="黑体" w:hAnsi="黑体" w:eastAsia="黑体"/>
          <w:bCs/>
          <w:kern w:val="0"/>
          <w:szCs w:val="21"/>
        </w:rPr>
      </w:pPr>
      <w:r>
        <w:rPr>
          <w:rFonts w:hint="eastAsia" w:ascii="黑体" w:hAnsi="黑体" w:eastAsia="黑体"/>
          <w:bCs/>
          <w:kern w:val="0"/>
          <w:szCs w:val="21"/>
        </w:rPr>
        <w:t>4</w:t>
      </w:r>
      <w:r>
        <w:rPr>
          <w:rFonts w:ascii="黑体" w:hAnsi="黑体" w:eastAsia="黑体"/>
          <w:bCs/>
          <w:kern w:val="0"/>
          <w:szCs w:val="21"/>
        </w:rPr>
        <w:t xml:space="preserve">.3.1 </w:t>
      </w:r>
      <w:r>
        <w:rPr>
          <w:rFonts w:hint="eastAsia" w:ascii="黑体" w:hAnsi="黑体" w:eastAsia="黑体"/>
          <w:bCs/>
          <w:kern w:val="0"/>
          <w:szCs w:val="21"/>
        </w:rPr>
        <w:t>统计数据</w:t>
      </w:r>
    </w:p>
    <w:p>
      <w:pPr>
        <w:spacing w:line="360" w:lineRule="auto"/>
        <w:ind w:firstLine="420" w:firstLineChars="200"/>
        <w:rPr>
          <w:rFonts w:ascii="宋体" w:hAnsi="宋体"/>
          <w:szCs w:val="21"/>
        </w:rPr>
      </w:pPr>
      <w:r>
        <w:rPr>
          <w:rFonts w:hint="eastAsia" w:ascii="宋体" w:hAnsi="宋体"/>
          <w:szCs w:val="21"/>
        </w:rPr>
        <w:t>企业的原辅材料及能源使用量、产品产量、废气产生量、固体废物产生量及相关技术经济指标等，以法定月报表或年报表为准。</w:t>
      </w:r>
    </w:p>
    <w:p>
      <w:pPr>
        <w:spacing w:line="360" w:lineRule="auto"/>
        <w:jc w:val="left"/>
        <w:rPr>
          <w:rFonts w:ascii="黑体" w:hAnsi="黑体" w:eastAsia="黑体"/>
          <w:bCs/>
          <w:kern w:val="0"/>
          <w:szCs w:val="21"/>
        </w:rPr>
      </w:pPr>
      <w:r>
        <w:rPr>
          <w:rFonts w:hint="eastAsia" w:ascii="黑体" w:hAnsi="黑体" w:eastAsia="黑体"/>
          <w:bCs/>
          <w:kern w:val="0"/>
          <w:szCs w:val="21"/>
        </w:rPr>
        <w:t>4</w:t>
      </w:r>
      <w:r>
        <w:rPr>
          <w:rFonts w:ascii="黑体" w:hAnsi="黑体" w:eastAsia="黑体"/>
          <w:bCs/>
          <w:kern w:val="0"/>
          <w:szCs w:val="21"/>
        </w:rPr>
        <w:t xml:space="preserve">.3.2 </w:t>
      </w:r>
      <w:r>
        <w:rPr>
          <w:rFonts w:hint="eastAsia" w:ascii="黑体" w:hAnsi="黑体" w:eastAsia="黑体"/>
          <w:bCs/>
          <w:kern w:val="0"/>
          <w:szCs w:val="21"/>
        </w:rPr>
        <w:t>实测数据</w:t>
      </w:r>
    </w:p>
    <w:p>
      <w:pPr>
        <w:spacing w:line="360" w:lineRule="auto"/>
        <w:ind w:firstLine="420" w:firstLineChars="200"/>
        <w:rPr>
          <w:rFonts w:ascii="宋体" w:hAnsi="宋体"/>
          <w:szCs w:val="21"/>
        </w:rPr>
      </w:pPr>
      <w:r>
        <w:rPr>
          <w:rFonts w:hint="eastAsia" w:ascii="宋体" w:hAnsi="宋体"/>
          <w:szCs w:val="21"/>
        </w:rPr>
        <w:t>对于新鲜水用水量、循环水量、综合能耗等指标，可以在一定计量时间内用实测方法取得，计量时间一般以1年为周期。</w:t>
      </w:r>
    </w:p>
    <w:p>
      <w:pPr>
        <w:spacing w:line="360" w:lineRule="auto"/>
        <w:jc w:val="left"/>
        <w:rPr>
          <w:rFonts w:ascii="黑体" w:hAnsi="黑体" w:eastAsia="黑体"/>
          <w:bCs/>
          <w:kern w:val="0"/>
          <w:szCs w:val="21"/>
        </w:rPr>
      </w:pPr>
      <w:r>
        <w:rPr>
          <w:rFonts w:hint="eastAsia" w:ascii="黑体" w:hAnsi="黑体" w:eastAsia="黑体"/>
          <w:bCs/>
          <w:kern w:val="0"/>
          <w:szCs w:val="21"/>
        </w:rPr>
        <w:t>4</w:t>
      </w:r>
      <w:r>
        <w:rPr>
          <w:rFonts w:ascii="黑体" w:hAnsi="黑体" w:eastAsia="黑体"/>
          <w:bCs/>
          <w:kern w:val="0"/>
          <w:szCs w:val="21"/>
        </w:rPr>
        <w:t xml:space="preserve">.3.3 </w:t>
      </w:r>
      <w:r>
        <w:rPr>
          <w:rFonts w:hint="eastAsia" w:ascii="黑体" w:hAnsi="黑体" w:eastAsia="黑体"/>
          <w:bCs/>
          <w:kern w:val="0"/>
          <w:szCs w:val="21"/>
        </w:rPr>
        <w:t>采样和监测</w:t>
      </w:r>
    </w:p>
    <w:p>
      <w:pPr>
        <w:spacing w:line="360" w:lineRule="auto"/>
        <w:ind w:firstLine="420" w:firstLineChars="200"/>
        <w:rPr>
          <w:rFonts w:ascii="宋体" w:hAnsi="宋体"/>
          <w:szCs w:val="21"/>
        </w:rPr>
      </w:pPr>
      <w:r>
        <w:rPr>
          <w:rFonts w:hint="eastAsia" w:ascii="宋体" w:hAnsi="宋体"/>
          <w:szCs w:val="21"/>
        </w:rPr>
        <w:t>污染物排放指标的采样和监测按照相关技术规范执行，并采用国家或行业标准监测分析方法。</w:t>
      </w:r>
    </w:p>
    <w:p>
      <w:pPr>
        <w:spacing w:line="360" w:lineRule="auto"/>
        <w:jc w:val="left"/>
        <w:rPr>
          <w:rFonts w:ascii="黑体" w:hAnsi="黑体" w:eastAsia="黑体"/>
          <w:bCs/>
          <w:kern w:val="0"/>
          <w:szCs w:val="21"/>
        </w:rPr>
      </w:pPr>
      <w:r>
        <w:rPr>
          <w:rFonts w:hint="eastAsia" w:ascii="黑体" w:hAnsi="黑体" w:eastAsia="黑体"/>
          <w:bCs/>
          <w:kern w:val="0"/>
          <w:szCs w:val="21"/>
        </w:rPr>
        <w:t>4.</w:t>
      </w:r>
      <w:r>
        <w:rPr>
          <w:rFonts w:ascii="黑体" w:hAnsi="黑体" w:eastAsia="黑体"/>
          <w:bCs/>
          <w:kern w:val="0"/>
          <w:szCs w:val="21"/>
        </w:rPr>
        <w:t xml:space="preserve">3.4 </w:t>
      </w:r>
      <w:r>
        <w:rPr>
          <w:rFonts w:hint="eastAsia" w:ascii="黑体" w:hAnsi="黑体" w:eastAsia="黑体"/>
          <w:bCs/>
          <w:kern w:val="0"/>
          <w:szCs w:val="21"/>
        </w:rPr>
        <w:t>定性指标</w:t>
      </w:r>
    </w:p>
    <w:p>
      <w:pPr>
        <w:spacing w:line="360" w:lineRule="auto"/>
        <w:ind w:firstLine="420" w:firstLineChars="200"/>
        <w:rPr>
          <w:rFonts w:ascii="宋体" w:hAnsi="宋体"/>
          <w:szCs w:val="21"/>
        </w:rPr>
      </w:pPr>
      <w:r>
        <w:rPr>
          <w:rFonts w:hint="eastAsia" w:ascii="宋体" w:hAnsi="宋体"/>
          <w:szCs w:val="21"/>
        </w:rPr>
        <w:t>定性指标一般采取企业提供文件证明资料的方式提供。文件证明可以是成文制度、管理记录、监测报告、监管部门信息查询结果、认证证书、企业承诺和说明等。</w:t>
      </w:r>
    </w:p>
    <w:p>
      <w:pPr>
        <w:pStyle w:val="4"/>
        <w:spacing w:before="0" w:after="0" w:line="360" w:lineRule="auto"/>
        <w:rPr>
          <w:rFonts w:ascii="黑体" w:hAnsi="黑体" w:eastAsia="黑体"/>
          <w:b w:val="0"/>
          <w:sz w:val="21"/>
          <w:lang w:val="zh-CN"/>
        </w:rPr>
      </w:pPr>
      <w:r>
        <w:rPr>
          <w:rFonts w:ascii="黑体" w:hAnsi="黑体" w:eastAsia="黑体"/>
          <w:b w:val="0"/>
          <w:sz w:val="21"/>
          <w:lang w:val="zh-CN"/>
        </w:rPr>
        <w:t>4.4 数据</w:t>
      </w:r>
      <w:r>
        <w:rPr>
          <w:rFonts w:hint="eastAsia" w:ascii="黑体" w:hAnsi="黑体" w:eastAsia="黑体"/>
          <w:b w:val="0"/>
          <w:sz w:val="21"/>
          <w:lang w:val="zh-CN"/>
        </w:rPr>
        <w:t>处理和计算方法</w:t>
      </w:r>
    </w:p>
    <w:p>
      <w:pPr>
        <w:pStyle w:val="56"/>
        <w:spacing w:line="360" w:lineRule="auto"/>
        <w:rPr>
          <w:color w:val="000000"/>
          <w:szCs w:val="21"/>
        </w:rPr>
      </w:pPr>
      <w:r>
        <w:rPr>
          <w:rFonts w:hint="eastAsia"/>
        </w:rPr>
        <w:t>本文件中每个指标的计算方法或检测方法，应优先采用已有的国家标准。具体见附录A</w:t>
      </w:r>
      <w:r>
        <w:rPr>
          <w:rFonts w:hint="eastAsia"/>
          <w:color w:val="000000"/>
          <w:szCs w:val="21"/>
        </w:rPr>
        <w:t>。</w:t>
      </w:r>
    </w:p>
    <w:p>
      <w:pPr>
        <w:pStyle w:val="4"/>
        <w:spacing w:before="0" w:after="0" w:line="360" w:lineRule="auto"/>
        <w:ind w:left="420" w:hanging="420"/>
        <w:rPr>
          <w:rFonts w:ascii="黑体" w:hAnsi="黑体" w:eastAsia="黑体"/>
          <w:b w:val="0"/>
          <w:sz w:val="21"/>
          <w:lang w:val="zh-CN"/>
        </w:rPr>
      </w:pPr>
      <w:bookmarkStart w:id="10" w:name="_Toc2755362"/>
      <w:bookmarkStart w:id="11" w:name="_Toc5095408"/>
      <w:r>
        <w:rPr>
          <w:rFonts w:ascii="黑体" w:hAnsi="黑体" w:eastAsia="黑体"/>
          <w:b w:val="0"/>
          <w:sz w:val="21"/>
          <w:lang w:val="zh-CN"/>
        </w:rPr>
        <w:t>5 产品生命周期评价报告编制方法</w:t>
      </w:r>
      <w:bookmarkEnd w:id="10"/>
      <w:bookmarkEnd w:id="11"/>
    </w:p>
    <w:p>
      <w:pPr>
        <w:pStyle w:val="4"/>
        <w:spacing w:before="0" w:after="0" w:line="360" w:lineRule="auto"/>
        <w:rPr>
          <w:rFonts w:ascii="黑体" w:hAnsi="黑体" w:eastAsia="黑体"/>
          <w:b w:val="0"/>
          <w:sz w:val="21"/>
          <w:lang w:val="zh-CN"/>
        </w:rPr>
      </w:pPr>
      <w:r>
        <w:rPr>
          <w:rFonts w:ascii="黑体" w:hAnsi="黑体" w:eastAsia="黑体"/>
          <w:b w:val="0"/>
          <w:sz w:val="21"/>
          <w:lang w:val="zh-CN"/>
        </w:rPr>
        <w:t>5.1 方法</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应依据附录B中四氧化三钴产品生命周期评价方法对四氧化三钴产品进行生命周期评价。</w:t>
      </w:r>
    </w:p>
    <w:p>
      <w:pPr>
        <w:pStyle w:val="4"/>
        <w:spacing w:before="0" w:after="0" w:line="360" w:lineRule="auto"/>
        <w:rPr>
          <w:rFonts w:ascii="黑体" w:hAnsi="黑体" w:eastAsia="黑体"/>
          <w:b w:val="0"/>
          <w:sz w:val="21"/>
          <w:lang w:val="zh-CN"/>
        </w:rPr>
      </w:pPr>
      <w:r>
        <w:rPr>
          <w:rFonts w:ascii="黑体" w:hAnsi="黑体" w:eastAsia="黑体"/>
          <w:b w:val="0"/>
          <w:sz w:val="21"/>
          <w:lang w:val="zh-CN"/>
        </w:rPr>
        <w:t>5.2 报告</w:t>
      </w:r>
      <w:r>
        <w:rPr>
          <w:rFonts w:hint="eastAsia" w:ascii="黑体" w:hAnsi="黑体" w:eastAsia="黑体"/>
          <w:b w:val="0"/>
          <w:sz w:val="21"/>
          <w:lang w:val="zh-CN"/>
        </w:rPr>
        <w:t>内容</w:t>
      </w:r>
      <w:r>
        <w:rPr>
          <w:rFonts w:ascii="黑体" w:hAnsi="黑体" w:eastAsia="黑体"/>
          <w:b w:val="0"/>
          <w:sz w:val="21"/>
          <w:lang w:val="zh-CN"/>
        </w:rPr>
        <w:t>框架</w:t>
      </w:r>
    </w:p>
    <w:p>
      <w:pPr>
        <w:spacing w:line="360" w:lineRule="auto"/>
        <w:jc w:val="left"/>
        <w:rPr>
          <w:rFonts w:ascii="黑体" w:hAnsi="黑体" w:eastAsia="黑体"/>
          <w:bCs/>
          <w:kern w:val="0"/>
          <w:szCs w:val="21"/>
        </w:rPr>
      </w:pPr>
      <w:r>
        <w:rPr>
          <w:rFonts w:ascii="黑体" w:hAnsi="黑体" w:eastAsia="黑体"/>
          <w:bCs/>
          <w:kern w:val="0"/>
          <w:szCs w:val="21"/>
        </w:rPr>
        <w:t>5.2.1 基本信息</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报告应提供报告信息、申请者信息、评估对象信息、采用的标准信息等基本信息；各信息内容应包括：</w:t>
      </w:r>
    </w:p>
    <w:p>
      <w:pPr>
        <w:pStyle w:val="35"/>
        <w:numPr>
          <w:ilvl w:val="0"/>
          <w:numId w:val="3"/>
        </w:numPr>
        <w:spacing w:line="360" w:lineRule="auto"/>
        <w:ind w:firstLineChars="0"/>
        <w:jc w:val="left"/>
        <w:rPr>
          <w:rFonts w:ascii="Times New Roman" w:hAnsi="Times New Roman"/>
          <w:color w:val="000000"/>
          <w:szCs w:val="21"/>
        </w:rPr>
      </w:pPr>
      <w:r>
        <w:rPr>
          <w:rFonts w:ascii="Times New Roman" w:hAnsi="Times New Roman"/>
          <w:color w:val="000000"/>
          <w:szCs w:val="21"/>
        </w:rPr>
        <w:t>报告信息：包括报告编号、编制人员、审核人员、日期等；</w:t>
      </w:r>
    </w:p>
    <w:p>
      <w:pPr>
        <w:pStyle w:val="35"/>
        <w:numPr>
          <w:ilvl w:val="0"/>
          <w:numId w:val="3"/>
        </w:numPr>
        <w:spacing w:line="360" w:lineRule="auto"/>
        <w:ind w:firstLineChars="0"/>
        <w:jc w:val="left"/>
        <w:rPr>
          <w:rFonts w:ascii="Times New Roman" w:hAnsi="Times New Roman"/>
          <w:color w:val="000000"/>
          <w:szCs w:val="21"/>
        </w:rPr>
      </w:pPr>
      <w:r>
        <w:rPr>
          <w:rFonts w:ascii="Times New Roman" w:hAnsi="Times New Roman"/>
          <w:color w:val="000000"/>
          <w:szCs w:val="21"/>
        </w:rPr>
        <w:t>申请者信息：包括公司全称、统一社会信用代码、地址、联系人、联系方式等；</w:t>
      </w:r>
    </w:p>
    <w:p>
      <w:pPr>
        <w:pStyle w:val="35"/>
        <w:numPr>
          <w:ilvl w:val="0"/>
          <w:numId w:val="3"/>
        </w:numPr>
        <w:spacing w:line="360" w:lineRule="auto"/>
        <w:ind w:firstLineChars="0"/>
        <w:jc w:val="left"/>
        <w:rPr>
          <w:rFonts w:ascii="Times New Roman" w:hAnsi="Times New Roman"/>
          <w:color w:val="000000"/>
          <w:szCs w:val="21"/>
        </w:rPr>
      </w:pPr>
      <w:r>
        <w:rPr>
          <w:rFonts w:ascii="Times New Roman" w:hAnsi="Times New Roman"/>
          <w:color w:val="000000"/>
          <w:szCs w:val="21"/>
        </w:rPr>
        <w:t>评估对象信息：包括产品名称、主要技术指标、产品功能、制造商及厂址等；</w:t>
      </w:r>
    </w:p>
    <w:p>
      <w:pPr>
        <w:pStyle w:val="35"/>
        <w:numPr>
          <w:ilvl w:val="0"/>
          <w:numId w:val="3"/>
        </w:numPr>
        <w:spacing w:line="360" w:lineRule="auto"/>
        <w:ind w:firstLineChars="0"/>
        <w:jc w:val="left"/>
        <w:rPr>
          <w:rFonts w:ascii="Times New Roman" w:hAnsi="Times New Roman"/>
          <w:color w:val="000000"/>
          <w:szCs w:val="21"/>
        </w:rPr>
      </w:pPr>
      <w:r>
        <w:rPr>
          <w:rFonts w:ascii="Times New Roman" w:hAnsi="Times New Roman"/>
          <w:color w:val="000000"/>
          <w:szCs w:val="21"/>
        </w:rPr>
        <w:t>采用的标准信息：包括标准名称及标准号等。</w:t>
      </w:r>
    </w:p>
    <w:p>
      <w:pPr>
        <w:spacing w:line="360" w:lineRule="auto"/>
        <w:jc w:val="left"/>
        <w:rPr>
          <w:rFonts w:ascii="黑体" w:hAnsi="黑体" w:eastAsia="黑体"/>
          <w:bCs/>
          <w:kern w:val="0"/>
          <w:szCs w:val="21"/>
        </w:rPr>
      </w:pPr>
      <w:r>
        <w:rPr>
          <w:rFonts w:ascii="黑体" w:hAnsi="黑体" w:eastAsia="黑体"/>
          <w:bCs/>
          <w:kern w:val="0"/>
          <w:szCs w:val="21"/>
        </w:rPr>
        <w:t>5.2.2 符合性评价</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报告中应提供对基本要求和评价指标要求的符合性情况说明，并提供所有评价指标报告期比基期改进情况的说明。其中报告期为当前评价的年份，一般是指产品参与评价年份的上一年；基期为一个对照年份，一般比报告期提前一年。</w:t>
      </w:r>
    </w:p>
    <w:p>
      <w:pPr>
        <w:spacing w:line="360" w:lineRule="auto"/>
        <w:jc w:val="left"/>
        <w:rPr>
          <w:rFonts w:ascii="黑体" w:hAnsi="黑体" w:eastAsia="黑体"/>
          <w:bCs/>
          <w:kern w:val="0"/>
          <w:szCs w:val="21"/>
        </w:rPr>
      </w:pPr>
      <w:r>
        <w:rPr>
          <w:rFonts w:ascii="黑体" w:hAnsi="黑体" w:eastAsia="黑体"/>
          <w:bCs/>
          <w:kern w:val="0"/>
          <w:szCs w:val="21"/>
        </w:rPr>
        <w:t>5.2.3 生命周期评价</w:t>
      </w:r>
    </w:p>
    <w:p>
      <w:pPr>
        <w:spacing w:line="360" w:lineRule="auto"/>
        <w:jc w:val="left"/>
        <w:rPr>
          <w:rFonts w:ascii="黑体" w:hAnsi="黑体" w:eastAsia="黑体"/>
          <w:bCs/>
          <w:kern w:val="0"/>
          <w:szCs w:val="21"/>
        </w:rPr>
      </w:pPr>
      <w:r>
        <w:rPr>
          <w:rFonts w:ascii="黑体" w:hAnsi="黑体" w:eastAsia="黑体"/>
          <w:bCs/>
          <w:kern w:val="0"/>
          <w:szCs w:val="21"/>
        </w:rPr>
        <w:t>5.2.3.1 评价对象及工具</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报告中应详细描述评估的目的和受众，以及评估的范围，主要包括产品的描述、功能单位，提供四氧化三钴产品的原辅材料组成及主要技术参数表，绘制并说明四氧化三钴产品的系统边界，披露数据收集的过程，包括数据质量及来源，对于影响类型的选取，以及报告的形式。</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本部分以</w:t>
      </w:r>
      <w:r>
        <w:rPr>
          <w:rFonts w:hint="eastAsia" w:ascii="Times New Roman" w:hAnsi="Times New Roman"/>
          <w:color w:val="000000"/>
          <w:szCs w:val="21"/>
        </w:rPr>
        <w:t>“</w:t>
      </w:r>
      <w:r>
        <w:rPr>
          <w:rFonts w:ascii="Times New Roman" w:hAnsi="Times New Roman"/>
          <w:color w:val="000000"/>
          <w:szCs w:val="21"/>
        </w:rPr>
        <w:t>生产1kg四氧化三钴</w:t>
      </w:r>
      <w:r>
        <w:rPr>
          <w:rFonts w:hint="eastAsia" w:ascii="Times New Roman" w:hAnsi="Times New Roman"/>
          <w:color w:val="000000"/>
          <w:szCs w:val="21"/>
        </w:rPr>
        <w:t>”</w:t>
      </w:r>
      <w:r>
        <w:rPr>
          <w:rFonts w:ascii="Times New Roman" w:hAnsi="Times New Roman"/>
          <w:color w:val="000000"/>
          <w:szCs w:val="21"/>
        </w:rPr>
        <w:t>为功能</w:t>
      </w:r>
      <w:r>
        <w:rPr>
          <w:rFonts w:hint="eastAsia" w:ascii="Times New Roman" w:hAnsi="Times New Roman"/>
          <w:color w:val="000000"/>
          <w:szCs w:val="21"/>
        </w:rPr>
        <w:t>单位</w:t>
      </w:r>
      <w:r>
        <w:rPr>
          <w:rFonts w:ascii="Times New Roman" w:hAnsi="Times New Roman"/>
          <w:color w:val="000000"/>
          <w:szCs w:val="21"/>
        </w:rPr>
        <w:t>来表示。</w:t>
      </w:r>
    </w:p>
    <w:p>
      <w:pPr>
        <w:spacing w:line="360" w:lineRule="auto"/>
        <w:jc w:val="left"/>
        <w:rPr>
          <w:rFonts w:ascii="黑体" w:hAnsi="黑体" w:eastAsia="黑体"/>
          <w:bCs/>
          <w:kern w:val="0"/>
          <w:szCs w:val="21"/>
        </w:rPr>
      </w:pPr>
      <w:r>
        <w:rPr>
          <w:rFonts w:ascii="黑体" w:hAnsi="黑体" w:eastAsia="黑体"/>
          <w:bCs/>
          <w:kern w:val="0"/>
          <w:szCs w:val="21"/>
        </w:rPr>
        <w:t>5.2.3.2 生命周期清单分析</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报告中应提供考虑的生命周期阶段，说明每个阶段所考虑的清单因子及收集到的现场数据或背景数据，涉及到数据分配的情况应说明分配方法和结果。</w:t>
      </w:r>
    </w:p>
    <w:p>
      <w:pPr>
        <w:spacing w:line="360" w:lineRule="auto"/>
        <w:jc w:val="left"/>
        <w:rPr>
          <w:rFonts w:ascii="黑体" w:hAnsi="黑体" w:eastAsia="黑体"/>
          <w:bCs/>
          <w:kern w:val="0"/>
          <w:szCs w:val="21"/>
        </w:rPr>
      </w:pPr>
      <w:r>
        <w:rPr>
          <w:rFonts w:ascii="黑体" w:hAnsi="黑体" w:eastAsia="黑体"/>
          <w:bCs/>
          <w:kern w:val="0"/>
          <w:szCs w:val="21"/>
        </w:rPr>
        <w:t>5.2.3.3 生命周期影响评价</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报告中应提供四氧化三钴产品生命周期各阶段的不同影响类型的特征化值，并对不同影响类型在各个生命周期阶段的分布情况进行比较分析。</w:t>
      </w:r>
    </w:p>
    <w:p>
      <w:pPr>
        <w:spacing w:line="360" w:lineRule="auto"/>
        <w:jc w:val="left"/>
        <w:rPr>
          <w:rFonts w:ascii="黑体" w:hAnsi="黑体" w:eastAsia="黑体"/>
          <w:bCs/>
          <w:kern w:val="0"/>
          <w:szCs w:val="21"/>
        </w:rPr>
      </w:pPr>
      <w:r>
        <w:rPr>
          <w:rFonts w:ascii="黑体" w:hAnsi="黑体" w:eastAsia="黑体"/>
          <w:bCs/>
          <w:kern w:val="0"/>
          <w:szCs w:val="21"/>
        </w:rPr>
        <w:t>5.2.3.4 生命周期解释</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报告中应提供以清单分析和影响评价的结果为基础所识别出的问题以及得出的结论，并对局限性做出解释和提出建议。解释结果应与所规定的目的和范围保持一致。</w:t>
      </w:r>
    </w:p>
    <w:p>
      <w:pPr>
        <w:spacing w:line="360" w:lineRule="auto"/>
        <w:jc w:val="left"/>
        <w:rPr>
          <w:rFonts w:ascii="黑体" w:hAnsi="黑体" w:eastAsia="黑体"/>
          <w:bCs/>
          <w:kern w:val="0"/>
          <w:szCs w:val="21"/>
        </w:rPr>
      </w:pPr>
      <w:r>
        <w:rPr>
          <w:rFonts w:ascii="黑体" w:hAnsi="黑体" w:eastAsia="黑体"/>
          <w:bCs/>
          <w:kern w:val="0"/>
          <w:szCs w:val="21"/>
        </w:rPr>
        <w:t>5.2.3.5 绿色设计改进方案</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在分析指标的符合性评价结果以及生命周期评价结果的基础上，提出四氧化三钴产品绿色设计改进的具体方案。</w:t>
      </w:r>
    </w:p>
    <w:p>
      <w:pPr>
        <w:spacing w:line="360" w:lineRule="auto"/>
        <w:jc w:val="left"/>
        <w:rPr>
          <w:rFonts w:ascii="黑体" w:hAnsi="黑体" w:eastAsia="黑体"/>
          <w:bCs/>
          <w:kern w:val="0"/>
          <w:szCs w:val="21"/>
        </w:rPr>
      </w:pPr>
      <w:r>
        <w:rPr>
          <w:rFonts w:ascii="黑体" w:hAnsi="黑体" w:eastAsia="黑体"/>
          <w:bCs/>
          <w:kern w:val="0"/>
          <w:szCs w:val="21"/>
        </w:rPr>
        <w:t>5.2.3.6 评价报告主要结论</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应该说明四氧化三钴产品对评价指标的符合性结论、生命周期评价结果、提出的改进方案，并根据评价结论初步判断四氧化三钴产品是否为绿色设计产品。</w:t>
      </w:r>
    </w:p>
    <w:p>
      <w:pPr>
        <w:spacing w:line="360" w:lineRule="auto"/>
        <w:jc w:val="left"/>
        <w:rPr>
          <w:rFonts w:ascii="黑体" w:hAnsi="黑体" w:eastAsia="黑体"/>
          <w:bCs/>
          <w:kern w:val="0"/>
          <w:szCs w:val="21"/>
        </w:rPr>
      </w:pPr>
      <w:r>
        <w:rPr>
          <w:rFonts w:ascii="黑体" w:hAnsi="黑体" w:eastAsia="黑体"/>
          <w:bCs/>
          <w:kern w:val="0"/>
          <w:szCs w:val="21"/>
        </w:rPr>
        <w:t>5.2.3.7 附件</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报告应在附件中提供：</w:t>
      </w:r>
    </w:p>
    <w:p>
      <w:pPr>
        <w:pStyle w:val="35"/>
        <w:numPr>
          <w:ilvl w:val="0"/>
          <w:numId w:val="4"/>
        </w:numPr>
        <w:spacing w:line="360" w:lineRule="auto"/>
        <w:ind w:firstLineChars="0"/>
        <w:jc w:val="left"/>
        <w:rPr>
          <w:rFonts w:ascii="Times New Roman" w:hAnsi="Times New Roman"/>
          <w:color w:val="000000"/>
          <w:szCs w:val="21"/>
        </w:rPr>
      </w:pPr>
      <w:r>
        <w:rPr>
          <w:rFonts w:ascii="Times New Roman" w:hAnsi="Times New Roman"/>
          <w:color w:val="000000"/>
          <w:szCs w:val="21"/>
        </w:rPr>
        <w:t>四氧化三钴产品化学成分分析检测结果；</w:t>
      </w:r>
    </w:p>
    <w:p>
      <w:pPr>
        <w:pStyle w:val="35"/>
        <w:numPr>
          <w:ilvl w:val="0"/>
          <w:numId w:val="4"/>
        </w:numPr>
        <w:spacing w:line="360" w:lineRule="auto"/>
        <w:ind w:firstLineChars="0"/>
        <w:jc w:val="left"/>
        <w:rPr>
          <w:rFonts w:ascii="Times New Roman" w:hAnsi="Times New Roman"/>
          <w:color w:val="000000"/>
          <w:szCs w:val="21"/>
        </w:rPr>
      </w:pPr>
      <w:r>
        <w:rPr>
          <w:rFonts w:ascii="Times New Roman" w:hAnsi="Times New Roman"/>
          <w:color w:val="000000"/>
          <w:szCs w:val="21"/>
        </w:rPr>
        <w:t>四氧化三钴产品生产材料清单；</w:t>
      </w:r>
    </w:p>
    <w:p>
      <w:pPr>
        <w:pStyle w:val="35"/>
        <w:numPr>
          <w:ilvl w:val="0"/>
          <w:numId w:val="4"/>
        </w:numPr>
        <w:spacing w:line="360" w:lineRule="auto"/>
        <w:ind w:firstLineChars="0"/>
        <w:jc w:val="left"/>
        <w:rPr>
          <w:rFonts w:ascii="Times New Roman" w:hAnsi="Times New Roman"/>
          <w:color w:val="000000"/>
          <w:szCs w:val="21"/>
        </w:rPr>
      </w:pPr>
      <w:r>
        <w:rPr>
          <w:rFonts w:ascii="Times New Roman" w:hAnsi="Times New Roman"/>
          <w:color w:val="000000"/>
          <w:szCs w:val="21"/>
        </w:rPr>
        <w:t>四氧化三钴产品工艺表（包括工艺名称、工艺过程）；</w:t>
      </w:r>
    </w:p>
    <w:p>
      <w:pPr>
        <w:pStyle w:val="35"/>
        <w:numPr>
          <w:ilvl w:val="0"/>
          <w:numId w:val="4"/>
        </w:numPr>
        <w:spacing w:line="360" w:lineRule="auto"/>
        <w:ind w:firstLineChars="0"/>
        <w:jc w:val="left"/>
        <w:rPr>
          <w:rFonts w:ascii="Times New Roman" w:hAnsi="Times New Roman"/>
          <w:color w:val="000000"/>
          <w:szCs w:val="21"/>
        </w:rPr>
      </w:pPr>
      <w:r>
        <w:rPr>
          <w:rFonts w:ascii="Times New Roman" w:hAnsi="Times New Roman"/>
          <w:color w:val="000000"/>
          <w:szCs w:val="21"/>
        </w:rPr>
        <w:t>各单元过程的数据收集表；</w:t>
      </w:r>
    </w:p>
    <w:p>
      <w:pPr>
        <w:pStyle w:val="35"/>
        <w:numPr>
          <w:ilvl w:val="0"/>
          <w:numId w:val="4"/>
        </w:numPr>
        <w:spacing w:line="360" w:lineRule="auto"/>
        <w:ind w:firstLineChars="0"/>
        <w:jc w:val="left"/>
        <w:rPr>
          <w:rFonts w:ascii="Times New Roman" w:hAnsi="Times New Roman"/>
          <w:color w:val="000000"/>
          <w:szCs w:val="21"/>
        </w:rPr>
      </w:pPr>
      <w:r>
        <w:rPr>
          <w:rFonts w:ascii="Times New Roman" w:hAnsi="Times New Roman"/>
          <w:color w:val="000000"/>
          <w:szCs w:val="21"/>
        </w:rPr>
        <w:t>其他。</w:t>
      </w:r>
    </w:p>
    <w:p>
      <w:pPr>
        <w:pStyle w:val="4"/>
        <w:spacing w:before="0" w:after="0" w:line="360" w:lineRule="auto"/>
        <w:ind w:left="420" w:hanging="420"/>
        <w:rPr>
          <w:rFonts w:ascii="黑体" w:hAnsi="黑体" w:eastAsia="黑体"/>
          <w:b w:val="0"/>
          <w:sz w:val="21"/>
          <w:lang w:val="zh-CN"/>
        </w:rPr>
      </w:pPr>
      <w:bookmarkStart w:id="12" w:name="_Toc5095409"/>
      <w:r>
        <w:rPr>
          <w:rFonts w:ascii="黑体" w:hAnsi="黑体" w:eastAsia="黑体"/>
          <w:b w:val="0"/>
          <w:sz w:val="21"/>
          <w:lang w:val="zh-CN"/>
        </w:rPr>
        <w:t>6 评价流程和方法</w:t>
      </w:r>
      <w:bookmarkEnd w:id="12"/>
    </w:p>
    <w:p>
      <w:pPr>
        <w:pStyle w:val="4"/>
        <w:spacing w:before="0" w:after="0" w:line="360" w:lineRule="auto"/>
        <w:rPr>
          <w:rFonts w:ascii="黑体" w:hAnsi="黑体" w:eastAsia="黑体"/>
          <w:b w:val="0"/>
          <w:sz w:val="21"/>
          <w:lang w:val="zh-CN"/>
        </w:rPr>
      </w:pPr>
      <w:r>
        <w:rPr>
          <w:rFonts w:ascii="黑体" w:hAnsi="黑体" w:eastAsia="黑体"/>
          <w:b w:val="0"/>
          <w:sz w:val="21"/>
          <w:lang w:val="zh-CN"/>
        </w:rPr>
        <w:t>6.1 评价方法</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本文件采用指标评价和生命周期评价相结合的方法， 四氧化三钴同时满足以下两个条件可判定为绿色设计产品：</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a）满足基本要求（见4.2）和评价指标要求（见4.3）；</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b）企业需提供四氧化三钴产品生命周期评价报告（见5.2）。</w:t>
      </w:r>
    </w:p>
    <w:p>
      <w:pPr>
        <w:pStyle w:val="4"/>
        <w:spacing w:before="0" w:after="0" w:line="360" w:lineRule="auto"/>
        <w:rPr>
          <w:rFonts w:ascii="黑体" w:hAnsi="黑体" w:eastAsia="黑体"/>
          <w:b w:val="0"/>
          <w:sz w:val="21"/>
          <w:lang w:val="zh-CN"/>
        </w:rPr>
      </w:pPr>
      <w:r>
        <w:rPr>
          <w:rFonts w:ascii="黑体" w:hAnsi="黑体" w:eastAsia="黑体"/>
          <w:b w:val="0"/>
          <w:sz w:val="21"/>
          <w:lang w:val="zh-CN"/>
        </w:rPr>
        <w:t>6.2 评价流程</w:t>
      </w:r>
    </w:p>
    <w:p>
      <w:pPr>
        <w:pStyle w:val="35"/>
        <w:numPr>
          <w:ilvl w:val="0"/>
          <w:numId w:val="5"/>
        </w:numPr>
        <w:spacing w:line="360" w:lineRule="auto"/>
        <w:ind w:firstLineChars="0"/>
        <w:jc w:val="left"/>
        <w:rPr>
          <w:rFonts w:ascii="Times New Roman" w:hAnsi="Times New Roman"/>
          <w:color w:val="000000"/>
          <w:szCs w:val="21"/>
        </w:rPr>
      </w:pPr>
      <w:r>
        <w:rPr>
          <w:rFonts w:ascii="Times New Roman" w:hAnsi="Times New Roman"/>
          <w:color w:val="000000"/>
          <w:szCs w:val="21"/>
        </w:rPr>
        <w:t>根据四氧化三钴产品的特点，明确评价范围；</w:t>
      </w:r>
    </w:p>
    <w:p>
      <w:pPr>
        <w:pStyle w:val="35"/>
        <w:numPr>
          <w:ilvl w:val="0"/>
          <w:numId w:val="5"/>
        </w:numPr>
        <w:spacing w:line="360" w:lineRule="auto"/>
        <w:ind w:firstLineChars="0"/>
        <w:jc w:val="left"/>
        <w:rPr>
          <w:rFonts w:ascii="Times New Roman" w:hAnsi="Times New Roman"/>
          <w:color w:val="000000"/>
          <w:szCs w:val="21"/>
        </w:rPr>
      </w:pPr>
      <w:r>
        <w:rPr>
          <w:rFonts w:ascii="Times New Roman" w:hAnsi="Times New Roman"/>
          <w:color w:val="000000"/>
          <w:szCs w:val="21"/>
        </w:rPr>
        <w:t>根据评价指标体系中的指标和生命周期评价方法，收集需要的数据，同时要对数据质量进行分析；</w:t>
      </w:r>
    </w:p>
    <w:p>
      <w:pPr>
        <w:pStyle w:val="35"/>
        <w:numPr>
          <w:ilvl w:val="0"/>
          <w:numId w:val="5"/>
        </w:numPr>
        <w:spacing w:line="360" w:lineRule="auto"/>
        <w:ind w:firstLineChars="0"/>
        <w:jc w:val="left"/>
        <w:rPr>
          <w:rFonts w:ascii="Times New Roman" w:hAnsi="Times New Roman"/>
          <w:color w:val="000000"/>
          <w:szCs w:val="21"/>
        </w:rPr>
      </w:pPr>
      <w:r>
        <w:rPr>
          <w:rFonts w:ascii="Times New Roman" w:hAnsi="Times New Roman"/>
          <w:color w:val="000000"/>
          <w:szCs w:val="21"/>
        </w:rPr>
        <w:t>对照基本要求和评价指标要求，对产品进行评价，符合基本要求和指标要求的产品可判定该产品符合绿色设计产品的评价要求；</w:t>
      </w:r>
    </w:p>
    <w:p>
      <w:pPr>
        <w:pStyle w:val="35"/>
        <w:numPr>
          <w:ilvl w:val="0"/>
          <w:numId w:val="5"/>
        </w:numPr>
        <w:spacing w:line="360" w:lineRule="auto"/>
        <w:ind w:firstLineChars="0"/>
        <w:jc w:val="left"/>
        <w:rPr>
          <w:rFonts w:ascii="Times New Roman" w:hAnsi="Times New Roman"/>
          <w:color w:val="000000"/>
          <w:szCs w:val="21"/>
        </w:rPr>
      </w:pPr>
      <w:r>
        <w:rPr>
          <w:rFonts w:ascii="Times New Roman" w:hAnsi="Times New Roman"/>
          <w:color w:val="000000"/>
          <w:szCs w:val="21"/>
        </w:rPr>
        <w:t>产品符合基本要求和评价指标要求的生产企业，还应提供该产品的生命周期评价报告。</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评价流程见图1。</w:t>
      </w:r>
    </w:p>
    <w:p>
      <w:pPr>
        <w:spacing w:line="360" w:lineRule="auto"/>
        <w:jc w:val="center"/>
        <w:rPr>
          <w:rFonts w:ascii="Times New Roman" w:hAnsi="Times New Roman"/>
          <w:color w:val="000000"/>
        </w:rPr>
      </w:pPr>
      <w:r>
        <w:rPr>
          <w:rFonts w:ascii="Times New Roman" w:hAnsi="Times New Roman"/>
          <w:color w:val="000000"/>
        </w:rPr>
        <w:object>
          <v:shape id="_x0000_i1025" o:spt="75" type="#_x0000_t75" style="height:236.1pt;width:330.7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ind w:firstLine="88" w:firstLineChars="49"/>
        <w:jc w:val="center"/>
        <w:rPr>
          <w:rFonts w:ascii="Times New Roman" w:hAnsi="Times New Roman" w:eastAsia="黑体"/>
          <w:color w:val="000000"/>
          <w:sz w:val="18"/>
          <w:szCs w:val="21"/>
        </w:rPr>
      </w:pPr>
      <w:r>
        <w:rPr>
          <w:rFonts w:ascii="Times New Roman" w:hAnsi="Times New Roman" w:eastAsia="黑体"/>
          <w:color w:val="000000"/>
          <w:sz w:val="18"/>
          <w:szCs w:val="21"/>
        </w:rPr>
        <w:t>图1  四氧化三钴绿色设计产品评价流程</w:t>
      </w:r>
    </w:p>
    <w:p>
      <w:pPr>
        <w:rPr>
          <w:rFonts w:ascii="Times New Roman" w:hAnsi="Times New Roman" w:eastAsia="Times New Roman"/>
          <w:color w:val="000000"/>
          <w:szCs w:val="21"/>
        </w:rPr>
      </w:pPr>
    </w:p>
    <w:p>
      <w:pPr>
        <w:widowControl/>
        <w:spacing w:line="360" w:lineRule="auto"/>
        <w:jc w:val="center"/>
        <w:outlineLvl w:val="0"/>
        <w:rPr>
          <w:rFonts w:ascii="Times New Roman" w:hAnsi="Times New Roman" w:eastAsia="黑体"/>
          <w:color w:val="000000"/>
          <w:szCs w:val="21"/>
        </w:rPr>
        <w:sectPr>
          <w:footerReference r:id="rId7" w:type="first"/>
          <w:pgSz w:w="11906" w:h="16838"/>
          <w:pgMar w:top="1418" w:right="1418" w:bottom="1440" w:left="1418" w:header="851" w:footer="992" w:gutter="0"/>
          <w:pgBorders w:offsetFrom="page">
            <w:top w:val="single" w:color="FFFFFF" w:sz="8" w:space="24"/>
            <w:left w:val="single" w:color="FFFFFF" w:sz="8" w:space="24"/>
            <w:bottom w:val="single" w:color="FFFFFF" w:sz="8" w:space="24"/>
            <w:right w:val="single" w:color="FFFFFF" w:sz="8" w:space="24"/>
          </w:pgBorders>
          <w:pgNumType w:start="1"/>
          <w:cols w:space="720" w:num="1"/>
          <w:titlePg/>
          <w:docGrid w:linePitch="312" w:charSpace="0"/>
        </w:sectPr>
      </w:pPr>
      <w:bookmarkStart w:id="13" w:name="_Toc2755364"/>
    </w:p>
    <w:p>
      <w:pPr>
        <w:widowControl/>
        <w:spacing w:line="360" w:lineRule="auto"/>
        <w:jc w:val="center"/>
        <w:outlineLvl w:val="0"/>
        <w:rPr>
          <w:rFonts w:ascii="Times New Roman" w:hAnsi="Times New Roman" w:eastAsia="黑体"/>
          <w:color w:val="000000"/>
          <w:szCs w:val="21"/>
        </w:rPr>
      </w:pPr>
      <w:bookmarkStart w:id="14" w:name="_Toc5095410"/>
      <w:r>
        <w:rPr>
          <w:rFonts w:ascii="Times New Roman" w:hAnsi="Times New Roman" w:eastAsia="黑体"/>
          <w:color w:val="000000"/>
          <w:szCs w:val="21"/>
        </w:rPr>
        <w:t>附录A</w:t>
      </w:r>
      <w:bookmarkEnd w:id="14"/>
      <w:r>
        <w:rPr>
          <w:rFonts w:ascii="Times New Roman" w:hAnsi="Times New Roman" w:eastAsia="黑体"/>
          <w:color w:val="000000"/>
          <w:szCs w:val="21"/>
        </w:rPr>
        <w:t xml:space="preserve">  </w:t>
      </w:r>
      <w:bookmarkStart w:id="15" w:name="_Toc5095411"/>
      <w:r>
        <w:rPr>
          <w:rFonts w:ascii="Times New Roman" w:hAnsi="Times New Roman" w:eastAsia="黑体"/>
          <w:color w:val="000000"/>
          <w:szCs w:val="21"/>
        </w:rPr>
        <w:t>（规范性附录）</w:t>
      </w:r>
      <w:bookmarkEnd w:id="15"/>
    </w:p>
    <w:p>
      <w:pPr>
        <w:spacing w:line="480" w:lineRule="auto"/>
        <w:jc w:val="center"/>
        <w:rPr>
          <w:rFonts w:ascii="黑体" w:hAnsi="黑体" w:eastAsia="黑体" w:cs="黑体"/>
          <w:color w:val="000000"/>
          <w:szCs w:val="21"/>
        </w:rPr>
      </w:pPr>
      <w:bookmarkStart w:id="16" w:name="_Toc5095412"/>
      <w:r>
        <w:rPr>
          <w:rFonts w:hint="eastAsia" w:ascii="黑体" w:hAnsi="黑体" w:eastAsia="黑体" w:cs="黑体"/>
          <w:color w:val="000000"/>
          <w:szCs w:val="21"/>
        </w:rPr>
        <w:t>主要指标计算</w:t>
      </w:r>
      <w:r>
        <w:rPr>
          <w:rFonts w:ascii="黑体" w:hAnsi="黑体" w:eastAsia="黑体" w:cs="黑体"/>
          <w:color w:val="000000"/>
          <w:szCs w:val="21"/>
        </w:rPr>
        <w:t>方法</w:t>
      </w:r>
      <w:bookmarkEnd w:id="16"/>
    </w:p>
    <w:p>
      <w:pPr>
        <w:spacing w:line="360" w:lineRule="auto"/>
        <w:ind w:firstLine="420"/>
        <w:rPr>
          <w:rFonts w:ascii="黑体" w:hAnsi="黑体" w:eastAsia="黑体"/>
          <w:szCs w:val="21"/>
        </w:rPr>
      </w:pPr>
      <w:r>
        <w:rPr>
          <w:szCs w:val="21"/>
        </w:rPr>
        <w:t>本文件所规定的各项指标均采用</w:t>
      </w:r>
      <w:r>
        <w:rPr>
          <w:rFonts w:hint="eastAsia"/>
          <w:szCs w:val="21"/>
        </w:rPr>
        <w:t>化工</w:t>
      </w:r>
      <w:r>
        <w:rPr>
          <w:szCs w:val="21"/>
        </w:rPr>
        <w:t>行业和环境保护部门最常用的指标，易于理解和执行。</w:t>
      </w:r>
    </w:p>
    <w:bookmarkEnd w:id="13"/>
    <w:p>
      <w:pPr>
        <w:spacing w:line="360" w:lineRule="auto"/>
        <w:jc w:val="left"/>
        <w:rPr>
          <w:rFonts w:ascii="黑体" w:hAnsi="黑体" w:eastAsia="黑体" w:cs="黑体"/>
          <w:color w:val="000000"/>
          <w:szCs w:val="21"/>
        </w:rPr>
      </w:pPr>
      <w:r>
        <w:rPr>
          <w:rFonts w:ascii="黑体" w:hAnsi="黑体" w:eastAsia="黑体" w:cs="黑体"/>
          <w:color w:val="000000"/>
          <w:szCs w:val="21"/>
        </w:rPr>
        <w:t xml:space="preserve">A.1 </w:t>
      </w:r>
      <w:r>
        <w:rPr>
          <w:rFonts w:hint="eastAsia" w:ascii="黑体" w:hAnsi="黑体" w:eastAsia="黑体" w:cs="黑体"/>
          <w:color w:val="000000"/>
          <w:szCs w:val="21"/>
        </w:rPr>
        <w:t>指标解释</w:t>
      </w:r>
    </w:p>
    <w:p>
      <w:pPr>
        <w:spacing w:line="360" w:lineRule="auto"/>
        <w:jc w:val="left"/>
        <w:rPr>
          <w:rFonts w:ascii="黑体" w:hAnsi="黑体" w:eastAsia="黑体"/>
          <w:b/>
          <w:kern w:val="0"/>
          <w:szCs w:val="21"/>
        </w:rPr>
      </w:pPr>
      <w:r>
        <w:rPr>
          <w:rFonts w:ascii="黑体" w:hAnsi="黑体" w:eastAsia="黑体"/>
          <w:bCs/>
          <w:kern w:val="0"/>
          <w:szCs w:val="21"/>
        </w:rPr>
        <w:t xml:space="preserve">A.1.1 </w:t>
      </w:r>
      <w:r>
        <w:rPr>
          <w:rFonts w:hint="eastAsia" w:ascii="黑体" w:hAnsi="黑体" w:eastAsia="黑体"/>
          <w:bCs/>
          <w:kern w:val="0"/>
          <w:szCs w:val="21"/>
        </w:rPr>
        <w:t>工业用水重复利用率</w:t>
      </w:r>
    </w:p>
    <w:p>
      <w:pPr>
        <w:spacing w:line="360" w:lineRule="auto"/>
        <w:ind w:firstLine="420"/>
        <w:rPr>
          <w:szCs w:val="21"/>
        </w:rPr>
      </w:pPr>
      <w:r>
        <w:rPr>
          <w:szCs w:val="21"/>
        </w:rPr>
        <w:t>工业用水重复利用率</w:t>
      </w:r>
      <w:r>
        <w:rPr>
          <w:rFonts w:hint="eastAsia"/>
          <w:szCs w:val="21"/>
        </w:rPr>
        <w:t>，计算时按照1年生产为周期计算。生产过程中使用的重复利用水量与总用水量的比例进行计算，</w:t>
      </w:r>
      <w:r>
        <w:rPr>
          <w:szCs w:val="21"/>
        </w:rPr>
        <w:t>按公式（A.1）计算：</w:t>
      </w:r>
    </w:p>
    <w:p>
      <w:pPr>
        <w:spacing w:line="360" w:lineRule="auto"/>
        <w:ind w:firstLine="420"/>
        <w:jc w:val="right"/>
        <w:rPr>
          <w:szCs w:val="21"/>
        </w:rPr>
      </w:pPr>
    </w:p>
    <w:p>
      <w:pPr>
        <w:spacing w:line="360" w:lineRule="auto"/>
        <w:ind w:firstLine="3150" w:firstLineChars="1500"/>
        <w:rPr>
          <w:rFonts w:ascii="Times New Roman" w:hAnsi="Times New Roman"/>
          <w:szCs w:val="21"/>
        </w:rPr>
      </w:pPr>
      <m:oMath>
        <m:r>
          <m:rPr>
            <m:nor/>
            <m:sty m:val="p"/>
          </m:rPr>
          <w:rPr>
            <w:rFonts w:ascii="Cambria Math" w:hAnsi="Times New Roman"/>
            <w:szCs w:val="21"/>
          </w:rPr>
          <m:t>R</m:t>
        </m:r>
        <m:r>
          <m:rPr>
            <m:nor/>
            <m:sty m:val="p"/>
          </m:rPr>
          <w:rPr>
            <w:rFonts w:ascii="Times New Roman" w:hAnsi="Times New Roman"/>
            <w:szCs w:val="21"/>
          </w:rPr>
          <m:t>=</m:t>
        </m:r>
        <m:f>
          <m:fPr>
            <m:ctrlPr>
              <w:rPr>
                <w:rFonts w:ascii="Cambria Math" w:hAnsi="Cambria Math"/>
                <w:i/>
                <w:szCs w:val="21"/>
              </w:rPr>
            </m:ctrlPr>
          </m:fPr>
          <m:num>
            <m:r>
              <m:rPr>
                <m:nor/>
              </m:rPr>
              <w:rPr>
                <w:rFonts w:ascii="Cambria Math" w:hAnsi="Cambria Math"/>
                <w:i/>
                <w:szCs w:val="21"/>
              </w:rPr>
              <m:t>Vr</m:t>
            </m:r>
            <m:ctrlPr>
              <w:rPr>
                <w:rFonts w:ascii="Cambria Math" w:hAnsi="Cambria Math"/>
                <w:i/>
                <w:szCs w:val="21"/>
              </w:rPr>
            </m:ctrlPr>
          </m:num>
          <m:den>
            <m:sSub>
              <m:sSubPr>
                <m:ctrlPr>
                  <w:rPr>
                    <w:rFonts w:ascii="Cambria Math" w:hAnsi="Cambria Math"/>
                    <w:i/>
                    <w:szCs w:val="21"/>
                  </w:rPr>
                </m:ctrlPr>
              </m:sSubPr>
              <m:e>
                <m:sSub>
                  <m:sSubPr>
                    <m:ctrlPr>
                      <w:rPr>
                        <w:rFonts w:ascii="Cambria Math" w:hAnsi="Cambria Math"/>
                        <w:i/>
                        <w:szCs w:val="21"/>
                      </w:rPr>
                    </m:ctrlPr>
                  </m:sSubPr>
                  <m:e>
                    <m:r>
                      <w:rPr>
                        <w:rFonts w:ascii="Cambria Math" w:hAnsi="Cambria Math"/>
                        <w:szCs w:val="21"/>
                      </w:rPr>
                      <m:t>V</m:t>
                    </m:r>
                    <m:ctrlPr>
                      <w:rPr>
                        <w:rFonts w:ascii="Cambria Math" w:hAnsi="Cambria Math"/>
                        <w:i/>
                        <w:szCs w:val="21"/>
                      </w:rPr>
                    </m:ctrlPr>
                  </m:e>
                  <m:sub>
                    <m:r>
                      <m:rPr>
                        <m:nor/>
                      </m:rPr>
                      <w:rPr>
                        <w:rFonts w:ascii="Times New Roman" w:hAnsi="Times New Roman"/>
                        <w:i/>
                        <w:szCs w:val="21"/>
                      </w:rPr>
                      <m:t>r</m:t>
                    </m:r>
                    <m:ctrlPr>
                      <w:rPr>
                        <w:rFonts w:ascii="Cambria Math" w:hAnsi="Cambria Math"/>
                        <w:i/>
                        <w:szCs w:val="21"/>
                      </w:rPr>
                    </m:ctrlPr>
                  </m:sub>
                </m:sSub>
                <m:r>
                  <m:rPr>
                    <m:nor/>
                  </m:rPr>
                  <w:rPr>
                    <w:rFonts w:ascii="Times New Roman" w:hAnsi="Times New Roman"/>
                    <w:i/>
                    <w:szCs w:val="21"/>
                  </w:rPr>
                  <m:t>+</m:t>
                </m:r>
                <m:r>
                  <m:rPr>
                    <m:nor/>
                  </m:rPr>
                  <w:rPr>
                    <w:rFonts w:ascii="Cambria Math" w:hAnsi="Times New Roman"/>
                    <w:i/>
                    <w:szCs w:val="21"/>
                  </w:rPr>
                  <m:t>V</m:t>
                </m:r>
                <m:ctrlPr>
                  <w:rPr>
                    <w:rFonts w:ascii="Cambria Math" w:hAnsi="Cambria Math"/>
                    <w:i/>
                    <w:szCs w:val="21"/>
                  </w:rPr>
                </m:ctrlPr>
              </m:e>
              <m:sub>
                <m:r>
                  <m:rPr>
                    <m:nor/>
                  </m:rPr>
                  <w:rPr>
                    <w:rFonts w:ascii="Times New Roman" w:hAnsi="Times New Roman"/>
                    <w:i/>
                    <w:szCs w:val="21"/>
                  </w:rPr>
                  <m:t>n</m:t>
                </m:r>
                <m:ctrlPr>
                  <w:rPr>
                    <w:rFonts w:ascii="Cambria Math" w:hAnsi="Cambria Math"/>
                    <w:i/>
                    <w:szCs w:val="21"/>
                  </w:rPr>
                </m:ctrlPr>
              </m:sub>
            </m:sSub>
            <m:ctrlPr>
              <w:rPr>
                <w:rFonts w:ascii="Cambria Math" w:hAnsi="Cambria Math"/>
                <w:i/>
                <w:szCs w:val="21"/>
              </w:rPr>
            </m:ctrlPr>
          </m:den>
        </m:f>
        <m:r>
          <m:rPr>
            <m:nor/>
            <m:sty m:val="p"/>
          </m:rPr>
          <w:rPr>
            <w:rFonts w:ascii="Times New Roman" w:hAnsi="Times New Roman"/>
            <w:szCs w:val="21"/>
          </w:rPr>
          <m:t>×100%</m:t>
        </m:r>
      </m:oMath>
      <w:r>
        <w:rPr>
          <w:rFonts w:hint="eastAsia" w:ascii="Times New Roman" w:hAnsi="Times New Roman"/>
          <w:szCs w:val="21"/>
        </w:rPr>
        <w:t xml:space="preserve">    </w:t>
      </w:r>
      <w:r>
        <w:rPr>
          <w:rFonts w:ascii="Times New Roman" w:hAnsi="Times New Roman"/>
          <w:sz w:val="24"/>
          <w:szCs w:val="24"/>
          <w:shd w:val="clear" w:color="auto" w:fill="FFFFFF"/>
        </w:rPr>
        <w:t>………………………………</w:t>
      </w:r>
      <w:r>
        <w:rPr>
          <w:rFonts w:ascii="Times New Roman" w:hAnsi="Times New Roman"/>
          <w:szCs w:val="21"/>
        </w:rPr>
        <w:t xml:space="preserve"> （</w:t>
      </w:r>
      <w:r>
        <w:rPr>
          <w:szCs w:val="21"/>
        </w:rPr>
        <w:t>A.1</w:t>
      </w:r>
      <w:r>
        <w:rPr>
          <w:rFonts w:ascii="Times New Roman" w:hAnsi="Times New Roman"/>
          <w:szCs w:val="21"/>
        </w:rPr>
        <w:t>）</w:t>
      </w:r>
    </w:p>
    <w:p>
      <w:pPr>
        <w:spacing w:line="360" w:lineRule="auto"/>
        <w:ind w:firstLine="420"/>
        <w:jc w:val="right"/>
        <w:rPr>
          <w:szCs w:val="21"/>
        </w:rPr>
      </w:pPr>
      <w:r>
        <w:rPr>
          <w:szCs w:val="21"/>
        </w:rPr>
        <w:t xml:space="preserve">                   </w:t>
      </w:r>
    </w:p>
    <w:p>
      <w:pPr>
        <w:spacing w:line="360" w:lineRule="auto"/>
        <w:ind w:firstLine="420"/>
        <w:rPr>
          <w:szCs w:val="21"/>
        </w:rPr>
      </w:pPr>
      <w:r>
        <w:rPr>
          <w:rFonts w:hint="eastAsia"/>
          <w:szCs w:val="21"/>
        </w:rPr>
        <w:t>式中：</w:t>
      </w:r>
    </w:p>
    <w:p>
      <w:pPr>
        <w:spacing w:line="360" w:lineRule="auto"/>
        <w:ind w:firstLine="420"/>
        <w:rPr>
          <w:szCs w:val="21"/>
        </w:rPr>
      </w:pPr>
      <w:r>
        <w:rPr>
          <w:szCs w:val="21"/>
        </w:rPr>
        <w:t>R</w:t>
      </w:r>
      <w:r>
        <w:rPr>
          <w:rFonts w:hint="eastAsia"/>
          <w:szCs w:val="21"/>
        </w:rPr>
        <w:t>——水的重复利用率，</w:t>
      </w:r>
      <w:r>
        <w:rPr>
          <w:szCs w:val="21"/>
        </w:rPr>
        <w:t>%</w:t>
      </w:r>
      <w:r>
        <w:rPr>
          <w:rFonts w:hint="eastAsia"/>
          <w:szCs w:val="21"/>
        </w:rPr>
        <w:t>；</w:t>
      </w:r>
    </w:p>
    <w:p>
      <w:pPr>
        <w:spacing w:line="360" w:lineRule="auto"/>
        <w:ind w:firstLine="420"/>
        <w:rPr>
          <w:szCs w:val="21"/>
        </w:rPr>
      </w:pPr>
      <w:r>
        <w:rPr>
          <w:szCs w:val="21"/>
        </w:rPr>
        <w:t>Vr</w:t>
      </w:r>
      <w:r>
        <w:rPr>
          <w:rFonts w:hint="eastAsia"/>
          <w:szCs w:val="21"/>
        </w:rPr>
        <w:t>——1年内重复利用水量，单位为立方米（m</w:t>
      </w:r>
      <w:r>
        <w:rPr>
          <w:rFonts w:hint="eastAsia"/>
          <w:szCs w:val="21"/>
          <w:vertAlign w:val="superscript"/>
        </w:rPr>
        <w:t>3</w:t>
      </w:r>
      <w:r>
        <w:rPr>
          <w:rFonts w:hint="eastAsia"/>
          <w:szCs w:val="21"/>
        </w:rPr>
        <w:t>）；</w:t>
      </w:r>
    </w:p>
    <w:p>
      <w:pPr>
        <w:spacing w:line="360" w:lineRule="auto"/>
        <w:ind w:firstLine="420"/>
        <w:rPr>
          <w:szCs w:val="21"/>
        </w:rPr>
      </w:pPr>
      <w:r>
        <w:rPr>
          <w:szCs w:val="21"/>
        </w:rPr>
        <w:t>Vn</w:t>
      </w:r>
      <w:r>
        <w:rPr>
          <w:rFonts w:hint="eastAsia"/>
          <w:szCs w:val="21"/>
        </w:rPr>
        <w:t>——</w:t>
      </w:r>
      <w:r>
        <w:rPr>
          <w:rFonts w:hint="eastAsia" w:ascii="Times New Roman" w:hAnsi="Times New Roman"/>
          <w:szCs w:val="21"/>
        </w:rPr>
        <w:t>1年内使用的新水量，单位为立方米（m</w:t>
      </w:r>
      <w:r>
        <w:rPr>
          <w:rFonts w:ascii="Times New Roman" w:hAnsi="Times New Roman"/>
          <w:szCs w:val="21"/>
          <w:vertAlign w:val="superscript"/>
        </w:rPr>
        <w:t>3</w:t>
      </w:r>
      <w:r>
        <w:rPr>
          <w:rFonts w:hint="eastAsia" w:ascii="Times New Roman" w:hAnsi="Times New Roman"/>
          <w:szCs w:val="21"/>
        </w:rPr>
        <w:t>）</w:t>
      </w:r>
      <w:r>
        <w:rPr>
          <w:rFonts w:hint="eastAsia"/>
          <w:szCs w:val="21"/>
        </w:rPr>
        <w:t>。</w:t>
      </w:r>
    </w:p>
    <w:p>
      <w:pPr>
        <w:spacing w:line="360" w:lineRule="auto"/>
        <w:jc w:val="left"/>
        <w:rPr>
          <w:rFonts w:hAnsi="黑体"/>
          <w:bCs/>
          <w:kern w:val="0"/>
          <w:szCs w:val="21"/>
        </w:rPr>
      </w:pPr>
      <w:r>
        <w:rPr>
          <w:rFonts w:ascii="黑体" w:hAnsi="黑体" w:eastAsia="黑体"/>
          <w:bCs/>
          <w:kern w:val="0"/>
          <w:szCs w:val="21"/>
        </w:rPr>
        <w:t xml:space="preserve">A.1.2 </w:t>
      </w:r>
      <w:r>
        <w:rPr>
          <w:rFonts w:hint="eastAsia" w:ascii="黑体" w:hAnsi="黑体" w:eastAsia="黑体"/>
          <w:bCs/>
          <w:kern w:val="0"/>
          <w:szCs w:val="21"/>
        </w:rPr>
        <w:t>单位产品新鲜水耗</w:t>
      </w:r>
    </w:p>
    <w:p>
      <w:pPr>
        <w:pStyle w:val="59"/>
        <w:spacing w:line="360" w:lineRule="auto"/>
        <w:rPr>
          <w:rFonts w:hAnsi="宋体"/>
          <w:szCs w:val="21"/>
        </w:rPr>
      </w:pPr>
      <w:r>
        <w:rPr>
          <w:rFonts w:hint="eastAsia" w:hAnsi="宋体"/>
          <w:szCs w:val="21"/>
        </w:rPr>
        <w:t>单位产品水耗按式</w:t>
      </w:r>
      <w:r>
        <w:rPr>
          <w:rFonts w:hint="eastAsia" w:ascii="Calibri" w:hAnsi="Calibri"/>
          <w:kern w:val="2"/>
          <w:szCs w:val="21"/>
        </w:rPr>
        <w:t>（</w:t>
      </w:r>
      <w:r>
        <w:rPr>
          <w:rFonts w:ascii="Calibri" w:hAnsi="Calibri"/>
          <w:kern w:val="2"/>
          <w:szCs w:val="21"/>
        </w:rPr>
        <w:t>A.2</w:t>
      </w:r>
      <w:r>
        <w:rPr>
          <w:rFonts w:hint="eastAsia" w:ascii="Calibri" w:hAnsi="Calibri"/>
          <w:kern w:val="2"/>
          <w:szCs w:val="21"/>
        </w:rPr>
        <w:t>）</w:t>
      </w:r>
      <w:r>
        <w:rPr>
          <w:rFonts w:hint="eastAsia" w:hAnsi="宋体"/>
          <w:szCs w:val="21"/>
        </w:rPr>
        <w:t>计算</w:t>
      </w:r>
    </w:p>
    <w:p>
      <w:pPr>
        <w:spacing w:line="360" w:lineRule="auto"/>
        <w:ind w:firstLine="3150" w:firstLineChars="1500"/>
        <w:rPr>
          <w:rFonts w:ascii="Times New Roman" w:hAnsi="Times New Roman"/>
          <w:szCs w:val="21"/>
        </w:rPr>
      </w:pPr>
      <m:oMath>
        <m:r>
          <m:rPr>
            <m:nor/>
            <m:sty m:val="p"/>
          </m:rPr>
          <w:rPr>
            <w:rFonts w:ascii="Cambria Math" w:hAnsi="Times New Roman"/>
            <w:szCs w:val="21"/>
          </w:rPr>
          <m:t>Wui</m:t>
        </m:r>
        <m:r>
          <m:rPr>
            <m:nor/>
            <m:sty m:val="p"/>
          </m:rPr>
          <w:rPr>
            <w:rFonts w:ascii="Times New Roman" w:hAnsi="Times New Roman"/>
            <w:szCs w:val="21"/>
          </w:rPr>
          <m:t>=</m:t>
        </m:r>
        <m:f>
          <m:fPr>
            <m:ctrlPr>
              <w:rPr>
                <w:rFonts w:ascii="Cambria Math" w:hAnsi="Cambria Math"/>
                <w:i/>
                <w:szCs w:val="21"/>
              </w:rPr>
            </m:ctrlPr>
          </m:fPr>
          <m:num>
            <m:r>
              <m:rPr>
                <m:nor/>
              </m:rPr>
              <w:rPr>
                <w:rFonts w:ascii="Cambria Math" w:hAnsi="Cambria Math"/>
                <w:i/>
                <w:szCs w:val="21"/>
              </w:rPr>
              <m:t>Wi</m:t>
            </m:r>
            <m:ctrlPr>
              <w:rPr>
                <w:rFonts w:ascii="Cambria Math" w:hAnsi="Cambria Math"/>
                <w:i/>
                <w:szCs w:val="21"/>
              </w:rPr>
            </m:ctrlPr>
          </m:num>
          <m:den>
            <m:r>
              <w:rPr>
                <w:rFonts w:ascii="Cambria Math" w:hAnsi="Cambria Math"/>
                <w:szCs w:val="21"/>
              </w:rPr>
              <m:t>Q</m:t>
            </m:r>
            <m:ctrlPr>
              <w:rPr>
                <w:rFonts w:ascii="Cambria Math" w:hAnsi="Cambria Math"/>
                <w:i/>
                <w:szCs w:val="21"/>
              </w:rPr>
            </m:ctrlPr>
          </m:den>
        </m:f>
      </m:oMath>
      <w:r>
        <w:rPr>
          <w:rFonts w:hint="eastAsia" w:ascii="Times New Roman" w:hAnsi="Times New Roman"/>
          <w:szCs w:val="21"/>
        </w:rPr>
        <w:t xml:space="preserve">    </w:t>
      </w:r>
      <w:r>
        <w:rPr>
          <w:rFonts w:ascii="Times New Roman" w:hAnsi="Times New Roman"/>
          <w:sz w:val="24"/>
          <w:szCs w:val="24"/>
          <w:shd w:val="clear" w:color="auto" w:fill="FFFFFF"/>
        </w:rPr>
        <w:t>………………………………</w:t>
      </w:r>
      <w:r>
        <w:rPr>
          <w:rFonts w:ascii="Times New Roman" w:hAnsi="Times New Roman"/>
          <w:szCs w:val="21"/>
        </w:rPr>
        <w:t xml:space="preserve"> （</w:t>
      </w:r>
      <w:r>
        <w:rPr>
          <w:szCs w:val="21"/>
        </w:rPr>
        <w:t>A.2</w:t>
      </w:r>
      <w:r>
        <w:rPr>
          <w:rFonts w:ascii="Times New Roman" w:hAnsi="Times New Roman"/>
          <w:szCs w:val="21"/>
        </w:rPr>
        <w:t>）</w:t>
      </w:r>
    </w:p>
    <w:p>
      <w:pPr>
        <w:pStyle w:val="59"/>
        <w:spacing w:line="360" w:lineRule="auto"/>
        <w:rPr>
          <w:rFonts w:hAnsi="宋体"/>
          <w:szCs w:val="21"/>
        </w:rPr>
      </w:pPr>
      <w:r>
        <w:rPr>
          <w:rFonts w:hint="eastAsia" w:hAnsi="宋体"/>
          <w:szCs w:val="21"/>
        </w:rPr>
        <w:t>式中</w:t>
      </w:r>
    </w:p>
    <w:p>
      <w:pPr>
        <w:pStyle w:val="59"/>
        <w:spacing w:line="360" w:lineRule="auto"/>
        <w:rPr>
          <w:rFonts w:ascii="Times New Roman"/>
          <w:szCs w:val="21"/>
        </w:rPr>
      </w:pPr>
      <w:r>
        <w:rPr>
          <w:rFonts w:ascii="Times New Roman"/>
          <w:szCs w:val="21"/>
        </w:rPr>
        <w:t>Wui</w:t>
      </w:r>
      <w:r>
        <w:rPr>
          <w:rFonts w:ascii="Times New Roman"/>
          <w:szCs w:val="21"/>
        </w:rPr>
        <w:fldChar w:fldCharType="begin"/>
      </w:r>
      <w:r>
        <w:rPr>
          <w:rFonts w:ascii="Times New Roman"/>
          <w:szCs w:val="21"/>
        </w:rPr>
        <w:instrText xml:space="preserve"> QUOTE </w:instrText>
      </w:r>
      <w:r>
        <w:rPr>
          <w:rFonts w:ascii="Times New Roman"/>
          <w:position w:val="-4"/>
        </w:rPr>
        <w:pict>
          <v:shape id="_x0000_i1026" o:spt="75" type="#_x0000_t75" style="height:12.55pt;width:15.9pt;" filled="f" o:preferrelative="t" stroked="f" coordsize="21600,2160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B2602&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2B2602&quot; wsp:rsidP=&quot;002B2602&quot;&gt;&lt;m:oMathPara&gt;&lt;m:oMath&gt;&lt;m:sSub&gt;&lt;m:sSubPr&gt;&lt;m:ctrlPr&gt;&lt;aml:annotation aml:id=&quot;0&quot; w:type=&quot;Word.Insertion&quot; aml:author=&quot;涓? 绁ア aml:createdate=&quot;2020-08-31T14:58:00Z&quot;&gt;&lt;aml:content&gt;&lt;w:rPr&gt;&lt;w:rFonts w:ascii=&quot;Cambria Math&quot; w:h-ansi=&quot;Cambria Math&quot;/&gt;&lt;wx:font wx:val=&quot;Cambria Math&quot;/&gt;&lt;w:color w&lt;m:&lt;m:&lt;m:&lt;m::valSub=&quot;b&gt;&lt;00&lt;m:0000&quot;/&gt;&lt;w:sz-cs w:val=&quot;21&quot;/&gt;&lt;/w:rPr&gt;&lt;/aml:content&gt;&lt;/aml:annotation&gt;&lt;/m:ctrlPr&gt;&lt;/m:sSubPr&gt;&lt;m:e&gt;&lt;m:r&gt;&lt;aml:annotation aml:id=&quot;1&quot; w:type=&quot;Word.Insertion&quot; aml:author=&quot;涓? 绁ア aml:createdate=&quot;2020-08-31T14:58:00Z&quot;&gt;&lt;aml:content&gt;&lt;w:rPr&gt;&lt;m:&lt;w:&lt;m:rFo&lt;m:nts&lt;m: w:asciSubi=&quot;Cab&gt;&lt;mbria&lt;m: Math&quot; w:h-ansi=&quot;Cambria Math&quot;/&gt;&lt;wx:font wx:val=&quot;Cambria Math&quot;/&gt;&lt;w:i/&gt;&lt;w:color w:val=&quot;000000&quot;/&gt;&lt;w:sz-cs w:val=&quot;21&quot;/&gt;&lt;/w:rPr&gt;&lt;m:t&gt;W&lt;/m:t&gt;&lt;/aml:content&gt;&lt;/aml:annotation&gt;&lt;/m:r&gt;&lt;/m:e&gt;&lt;m:sub&gt;&lt;m:r&gt;&lt;aml:annotation aml:id=&quot;2&quot; w:type=&quot;Word.Insertion&quot; aml:author=&quot;:? 绁ア aml:createdate=&quot;2020-08-31T14:58:00Z&quot;&gt;&lt;aml:content&gt;&lt;w:rPr&gt;&lt;w:rFonts w:ascii=&quot;Cambria Math&quot; w:h-ansi=&quot;Cambria Math&quot;/&gt;&lt;wx:font wx:val=&quot;Cambria Math&quot;/&gt;&lt;w:i/&gt;&lt;w:color w:val=&quot;000000&quot;/&gt;&lt;w:sz-cs w:val=&quot;21&quot;/&gt;&lt;/w:l:rPr&gt;&lt;m2&quot;:t&gt;ui&lt;yp/m:t&gt;&lt;or/aml:conteiont&gt;&lt;/aml:a:annota=&quot;: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1" chromakey="#FFFFFF" o:title=""/>
            <o:lock v:ext="edit" aspectratio="t"/>
            <w10:wrap type="none"/>
            <w10:anchorlock/>
          </v:shape>
        </w:pict>
      </w:r>
      <w:r>
        <w:rPr>
          <w:rFonts w:ascii="Times New Roman"/>
          <w:szCs w:val="21"/>
        </w:rPr>
        <w:instrText xml:space="preserve"> </w:instrText>
      </w:r>
      <w:r>
        <w:rPr>
          <w:rFonts w:ascii="Times New Roman"/>
          <w:szCs w:val="21"/>
        </w:rPr>
        <w:fldChar w:fldCharType="end"/>
      </w:r>
      <w:r>
        <w:rPr>
          <w:rFonts w:ascii="Times New Roman"/>
          <w:szCs w:val="21"/>
        </w:rPr>
        <w:t>——单位产品水耗，</w:t>
      </w:r>
      <w:r>
        <w:rPr>
          <w:rFonts w:hint="eastAsia" w:ascii="Times New Roman"/>
          <w:szCs w:val="21"/>
        </w:rPr>
        <w:t>单位</w:t>
      </w:r>
      <w:r>
        <w:rPr>
          <w:rFonts w:ascii="Times New Roman"/>
          <w:szCs w:val="21"/>
        </w:rPr>
        <w:t>为</w:t>
      </w:r>
      <w:r>
        <w:rPr>
          <w:rFonts w:hint="eastAsia" w:ascii="Times New Roman"/>
          <w:szCs w:val="21"/>
        </w:rPr>
        <w:t>吨每吨（</w:t>
      </w:r>
      <w:r>
        <w:rPr>
          <w:rFonts w:ascii="Times New Roman"/>
          <w:szCs w:val="21"/>
        </w:rPr>
        <w:t>t/</w:t>
      </w:r>
      <w:r>
        <w:rPr>
          <w:rFonts w:hint="eastAsia" w:ascii="Times New Roman"/>
          <w:szCs w:val="21"/>
        </w:rPr>
        <w:t>t）：</w:t>
      </w:r>
    </w:p>
    <w:p>
      <w:pPr>
        <w:pStyle w:val="59"/>
        <w:spacing w:line="360" w:lineRule="auto"/>
        <w:rPr>
          <w:rFonts w:ascii="Times New Roman"/>
          <w:szCs w:val="21"/>
        </w:rPr>
      </w:pPr>
      <w:r>
        <w:rPr>
          <w:rFonts w:ascii="Times New Roman"/>
          <w:szCs w:val="21"/>
        </w:rPr>
        <w:t xml:space="preserve">Wi </w:t>
      </w:r>
      <w:r>
        <w:rPr>
          <w:rFonts w:ascii="Times New Roman"/>
          <w:szCs w:val="21"/>
        </w:rPr>
        <w:fldChar w:fldCharType="begin"/>
      </w:r>
      <w:r>
        <w:rPr>
          <w:rFonts w:ascii="Times New Roman"/>
          <w:szCs w:val="21"/>
        </w:rPr>
        <w:instrText xml:space="preserve"> QUOTE </w:instrText>
      </w:r>
      <w:r>
        <w:rPr>
          <w:rFonts w:ascii="Times New Roman"/>
          <w:position w:val="-4"/>
        </w:rPr>
        <w:pict>
          <v:shape id="_x0000_i1027" o:spt="75" type="#_x0000_t75" style="height:12.55pt;width:12.55pt;" filled="f" o:preferrelative="t" stroked="f" coordsize="21600,2160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2FD7&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892FD7&quot; wsp:rsidP=&quot;00892FD7&quot;&gt;&lt;m:oMathPara&gt;&lt;m:oMath&gt;&lt;m:sSub&gt;&lt;m:sSubPr&gt;&lt;m:ctrlPr&gt;&lt;aml:annotation aml:id=&quot;0&quot; w:type=&quot;Word.Insertion&quot; aml:author=&quot;涓? 绁ア aml:createdate=&quot;2020-08-31T14:58:00Z&quot;&gt;&lt;aml:content&gt;&lt;w:rPr&gt;&lt;w:rFonts w:ascii=&quot;Cambria Math&quot; w:h-ansi=&quot;Cambria Math&quot;/&gt;&lt;wx:font wx:val=&quot;Cambria Math&quot;/&gt;&lt;w:i/&gt;&lt;w:c&lt;m:&lt;m:&lt;m:&lt;m:olorSub wb&gt;&lt;:v&lt;m:al=&quot;000000&quot;/&gt;&lt;w:sz-cs w:val=&quot;21&quot;/&gt;&lt;/w:rPr&gt;&lt;/aml:content&gt;&lt;/aml:annotation&gt;&lt;/m:ctrlPr&gt;&lt;/m:sSubPr&gt;&lt;m:e&gt;&lt;m:r&gt;&lt;aml:annotation aml:id=&quot;1&quot; w:type=&quot;Word.Insertion&quot; aml:author=&quot;涓? 绁ア aml:createdate=&quot;2020-08-31T14:58:00Z&quot;&gt;&lt;aml:content&gt;&lt;&lt;m:w:r&lt;m:Pr&gt;&lt;m:&lt;w:&lt;m:rFonts Subw:ascb&gt;&lt;ii=&quot;C&lt;m:ambria Math&quot; w:h-ansi=&quot;Cambria Math&quot;/&gt;&lt;wx:font wx:val=&quot;Cambria Math&quot;/&gt;&lt;w:i/&gt;&lt;w:color w:val=&quot;000000&quot;/&gt;&lt;w:sz-cs w:val=&quot;21&quot;/&gt;&lt;/w:rPr&gt;&lt;m:t&gt;W&lt;/m:t&gt;&lt;/aml:content&gt;&lt;/aml:annotation&gt;&lt;/m:r&gt;&lt;/m:e&gt;&lt;m:sub&gt;&lt;m:r&gt;&lt;aml:annotation aml:id=&quot;2&quot; w:type=&quot;Word.Insertion&quot; aml:author=&quot;涓? 绁ア aml:createdate=&quot;2020-08-31T14:58:00Z&quot;&gt;&lt;aml:content&gt;&lt;w:rPr&gt;&lt;w:rFonts w:ascii=&quot;Cambria Math&quot; w:h-ansi=&quot;Cambria Math&quot;/&gt;&lt;wx:font wx:val=&quot;Cambria Math&quot;/&gt;&lt;w:i/&gt;&lt;w:color w:val=&quot;000000&quot;/&gt;&lt;w:sz-cs w:val=&quot;21tio&quot;/&gt;&lt;/wml::rPr&gt;&lt;&quot;2&quot;m:t&gt;i&lt;typ/m:t&gt;&lt;/aml.In:contenton&quot;&gt;&lt;/aml:aaut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2" chromakey="#FFFFFF" o:title=""/>
            <o:lock v:ext="edit" aspectratio="t"/>
            <w10:wrap type="none"/>
            <w10:anchorlock/>
          </v:shape>
        </w:pict>
      </w:r>
      <w:r>
        <w:rPr>
          <w:rFonts w:ascii="Times New Roman"/>
          <w:szCs w:val="21"/>
        </w:rPr>
        <w:instrText xml:space="preserve"> </w:instrText>
      </w:r>
      <w:r>
        <w:rPr>
          <w:rFonts w:ascii="Times New Roman"/>
          <w:szCs w:val="21"/>
        </w:rPr>
        <w:fldChar w:fldCharType="end"/>
      </w:r>
      <w:r>
        <w:rPr>
          <w:rFonts w:ascii="Times New Roman"/>
          <w:szCs w:val="21"/>
        </w:rPr>
        <w:t>——统计期内，生产产品所消耗总的新鲜水量，</w:t>
      </w:r>
      <w:r>
        <w:rPr>
          <w:rFonts w:ascii="Times New Roman" w:eastAsia="宋体e眠副浡渀."/>
          <w:szCs w:val="21"/>
        </w:rPr>
        <w:t>单位为</w:t>
      </w:r>
      <w:r>
        <w:rPr>
          <w:rFonts w:hint="eastAsia" w:ascii="Times New Roman" w:eastAsia="宋体e眠副浡渀."/>
          <w:szCs w:val="21"/>
        </w:rPr>
        <w:t>吨（</w:t>
      </w:r>
      <w:r>
        <w:rPr>
          <w:rFonts w:ascii="Times New Roman" w:eastAsia="宋体e眠副浡渀."/>
          <w:szCs w:val="21"/>
        </w:rPr>
        <w:t>t</w:t>
      </w:r>
      <w:r>
        <w:rPr>
          <w:rFonts w:hint="eastAsia" w:ascii="Times New Roman" w:eastAsia="宋体e眠副浡渀."/>
          <w:szCs w:val="21"/>
        </w:rPr>
        <w:t>）</w:t>
      </w:r>
      <w:r>
        <w:rPr>
          <w:rFonts w:ascii="Times New Roman"/>
          <w:szCs w:val="21"/>
        </w:rPr>
        <w:t>；</w:t>
      </w:r>
    </w:p>
    <w:p>
      <w:pPr>
        <w:pStyle w:val="59"/>
        <w:spacing w:line="360" w:lineRule="auto"/>
        <w:rPr>
          <w:rFonts w:ascii="Times New Roman" w:eastAsia="宋体e眠副浡渀."/>
          <w:szCs w:val="21"/>
        </w:rPr>
      </w:pPr>
      <w:r>
        <w:rPr>
          <w:rFonts w:ascii="Times New Roman"/>
          <w:szCs w:val="21"/>
        </w:rPr>
        <w:t>Q</w:t>
      </w:r>
      <w:r>
        <w:rPr>
          <w:rFonts w:ascii="Times New Roman"/>
          <w:szCs w:val="21"/>
        </w:rPr>
        <w:fldChar w:fldCharType="begin"/>
      </w:r>
      <w:r>
        <w:rPr>
          <w:rFonts w:ascii="Times New Roman"/>
          <w:szCs w:val="21"/>
        </w:rPr>
        <w:instrText xml:space="preserve"> QUOTE </w:instrText>
      </w:r>
      <w:r>
        <w:rPr>
          <w:rFonts w:ascii="Times New Roman"/>
          <w:position w:val="-4"/>
        </w:rPr>
        <w:pict>
          <v:shape id="_x0000_i1028" o:spt="75" type="#_x0000_t75" style="height:12.55pt;width:6.7pt;" filled="f" o:preferrelative="t" stroked="f" coordsize="21600,2160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0C00&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AB0C00&quot; wsp:rsidP=&quot;00AB0C00&quot;&gt;&lt;m:oMathPara&gt;&lt;m:oMath&gt;&lt;m:r&gt;&lt;aml:annotation aml:id=&quot;0&quot; w:type=&quot;Word.Insertion&quot; aml:author=&quot;涓? 绁ア aml:createdate=&quot;2020-08-31T14:58:00Z&quot;&gt;&lt;aml:content&gt;&lt;w:rPr&gt;&lt;w:rFonts w:ascii=&quot;Cambria Math&quot; w:h-ansi=&quot;Cambria Math&quot;/&gt;&lt;wx:font wx:val=&quot;Cambria Math&quot;/&gt;&lt;w:i/&gt;&lt;w:color w:val=&quot;000000&quot;/&gt;&lt;w&lt;m:&lt;m:&lt;m:&lt;m::sz-&gt;&lt;acsaml wl:a:val=&quot;21&quot;/&gt;&lt;/w:rPr&gt;&lt;m:t&gt;Q&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3" chromakey="#FFFFFF" o:title=""/>
            <o:lock v:ext="edit" aspectratio="t"/>
            <w10:wrap type="none"/>
            <w10:anchorlock/>
          </v:shape>
        </w:pict>
      </w:r>
      <w:r>
        <w:rPr>
          <w:rFonts w:ascii="Times New Roman"/>
          <w:szCs w:val="21"/>
        </w:rPr>
        <w:instrText xml:space="preserve"> </w:instrText>
      </w:r>
      <w:r>
        <w:rPr>
          <w:rFonts w:ascii="Times New Roman"/>
          <w:szCs w:val="21"/>
        </w:rPr>
        <w:fldChar w:fldCharType="end"/>
      </w:r>
      <w:r>
        <w:rPr>
          <w:rFonts w:ascii="Times New Roman"/>
          <w:szCs w:val="21"/>
        </w:rPr>
        <w:t>——</w:t>
      </w:r>
      <w:r>
        <w:rPr>
          <w:rFonts w:ascii="Times New Roman" w:eastAsia="宋体e眠副浡渀."/>
          <w:szCs w:val="21"/>
        </w:rPr>
        <w:t>统计期内</w:t>
      </w:r>
      <w:r>
        <w:rPr>
          <w:rFonts w:hint="eastAsia" w:ascii="Times New Roman" w:eastAsia="宋体e眠副浡渀."/>
          <w:szCs w:val="21"/>
        </w:rPr>
        <w:t>生产产品总</w:t>
      </w:r>
      <w:r>
        <w:rPr>
          <w:rFonts w:ascii="Times New Roman" w:eastAsia="宋体e眠副浡渀."/>
          <w:szCs w:val="21"/>
        </w:rPr>
        <w:t>量，单位为</w:t>
      </w:r>
      <w:r>
        <w:rPr>
          <w:rFonts w:hint="eastAsia" w:ascii="Times New Roman" w:eastAsia="宋体e眠副浡渀."/>
          <w:szCs w:val="21"/>
        </w:rPr>
        <w:t>吨（</w:t>
      </w:r>
      <w:r>
        <w:rPr>
          <w:rFonts w:ascii="Times New Roman" w:eastAsia="宋体e眠副浡渀."/>
          <w:szCs w:val="21"/>
        </w:rPr>
        <w:t>t</w:t>
      </w:r>
      <w:r>
        <w:rPr>
          <w:rFonts w:hint="eastAsia" w:ascii="Times New Roman" w:eastAsia="宋体e眠副浡渀."/>
          <w:szCs w:val="21"/>
        </w:rPr>
        <w:t>）</w:t>
      </w:r>
      <w:r>
        <w:rPr>
          <w:rFonts w:ascii="Times New Roman" w:eastAsia="宋体e眠副浡渀."/>
          <w:szCs w:val="21"/>
        </w:rPr>
        <w:t>。</w:t>
      </w:r>
    </w:p>
    <w:p>
      <w:pPr>
        <w:spacing w:line="360" w:lineRule="auto"/>
        <w:ind w:firstLine="420"/>
        <w:rPr>
          <w:szCs w:val="21"/>
        </w:rPr>
      </w:pPr>
    </w:p>
    <w:p>
      <w:pPr>
        <w:spacing w:line="360" w:lineRule="auto"/>
        <w:jc w:val="left"/>
        <w:rPr>
          <w:rFonts w:ascii="黑体" w:hAnsi="黑体" w:eastAsia="黑体"/>
          <w:b/>
          <w:kern w:val="0"/>
          <w:szCs w:val="21"/>
        </w:rPr>
      </w:pPr>
      <w:r>
        <w:rPr>
          <w:rFonts w:ascii="黑体" w:hAnsi="黑体" w:eastAsia="黑体"/>
          <w:bCs/>
          <w:kern w:val="0"/>
          <w:szCs w:val="21"/>
        </w:rPr>
        <w:t xml:space="preserve">A.1.3 </w:t>
      </w:r>
      <w:r>
        <w:rPr>
          <w:rFonts w:hint="eastAsia" w:ascii="黑体" w:hAnsi="黑体" w:eastAsia="黑体"/>
          <w:bCs/>
          <w:kern w:val="0"/>
          <w:szCs w:val="21"/>
        </w:rPr>
        <w:t>单位产品综合能耗</w:t>
      </w:r>
    </w:p>
    <w:p>
      <w:pPr>
        <w:spacing w:line="360" w:lineRule="auto"/>
        <w:ind w:firstLine="420"/>
        <w:rPr>
          <w:szCs w:val="21"/>
        </w:rPr>
      </w:pPr>
      <w:r>
        <w:rPr>
          <w:rFonts w:hint="eastAsia"/>
          <w:szCs w:val="21"/>
        </w:rPr>
        <w:t>单位产品综合能耗指四氧化三钴生产企业在计划统计期内，对实际消耗的各种能源实物量按规定的计算方法和单位分别折算为一次能源后的总和。综合能耗主要包括一次能源（如天然气）、二次能源（如蒸汽、电力等）和直接用于生产的能耗工质（如冷却水、压缩空气等），但不包括用于动力消耗（如发电、锅炉等）的能耗工质。具体综合能耗计算按</w:t>
      </w:r>
      <w:r>
        <w:rPr>
          <w:szCs w:val="21"/>
        </w:rPr>
        <w:t>GB 29435</w:t>
      </w:r>
      <w:r>
        <w:rPr>
          <w:rFonts w:hint="eastAsia"/>
          <w:szCs w:val="21"/>
        </w:rPr>
        <w:t>计算，</w:t>
      </w:r>
      <w:r>
        <w:rPr>
          <w:szCs w:val="21"/>
        </w:rPr>
        <w:t>如</w:t>
      </w:r>
      <w:r>
        <w:rPr>
          <w:rFonts w:hint="eastAsia"/>
          <w:szCs w:val="21"/>
        </w:rPr>
        <w:t>式（</w:t>
      </w:r>
      <w:r>
        <w:rPr>
          <w:szCs w:val="21"/>
        </w:rPr>
        <w:t>A.3</w:t>
      </w:r>
      <w:r>
        <w:rPr>
          <w:rFonts w:hint="eastAsia"/>
          <w:szCs w:val="21"/>
        </w:rPr>
        <w:t>）。</w:t>
      </w:r>
    </w:p>
    <w:p>
      <w:pPr>
        <w:spacing w:line="360" w:lineRule="auto"/>
        <w:ind w:firstLine="3150" w:firstLineChars="1500"/>
        <w:rPr>
          <w:rFonts w:ascii="Times New Roman" w:hAnsi="Times New Roman"/>
          <w:szCs w:val="21"/>
        </w:rPr>
      </w:pPr>
      <m:oMath>
        <m:r>
          <m:rPr>
            <m:nor/>
            <m:sty m:val="p"/>
          </m:rPr>
          <w:rPr>
            <w:rFonts w:ascii="Cambria Math" w:hAnsi="Times New Roman"/>
            <w:szCs w:val="21"/>
          </w:rPr>
          <m:t>Eui</m:t>
        </m:r>
        <m:r>
          <m:rPr>
            <m:nor/>
            <m:sty m:val="p"/>
          </m:rPr>
          <w:rPr>
            <w:rFonts w:ascii="Times New Roman" w:hAnsi="Times New Roman"/>
            <w:szCs w:val="21"/>
          </w:rPr>
          <m:t>=</m:t>
        </m:r>
        <m:f>
          <m:fPr>
            <m:ctrlPr>
              <w:rPr>
                <w:rFonts w:ascii="Cambria Math" w:hAnsi="Cambria Math"/>
                <w:i/>
                <w:szCs w:val="21"/>
              </w:rPr>
            </m:ctrlPr>
          </m:fPr>
          <m:num>
            <m:r>
              <m:rPr>
                <m:nor/>
              </m:rPr>
              <w:rPr>
                <w:rFonts w:ascii="Cambria Math" w:hAnsi="Cambria Math"/>
                <w:i/>
                <w:szCs w:val="21"/>
              </w:rPr>
              <m:t>Ei</m:t>
            </m:r>
            <m:ctrlPr>
              <w:rPr>
                <w:rFonts w:ascii="Cambria Math" w:hAnsi="Cambria Math"/>
                <w:i/>
                <w:szCs w:val="21"/>
              </w:rPr>
            </m:ctrlPr>
          </m:num>
          <m:den>
            <m:r>
              <w:rPr>
                <w:rFonts w:ascii="Cambria Math" w:hAnsi="Cambria Math"/>
                <w:szCs w:val="21"/>
              </w:rPr>
              <m:t>Q</m:t>
            </m:r>
            <m:ctrlPr>
              <w:rPr>
                <w:rFonts w:ascii="Cambria Math" w:hAnsi="Cambria Math"/>
                <w:i/>
                <w:szCs w:val="21"/>
              </w:rPr>
            </m:ctrlPr>
          </m:den>
        </m:f>
      </m:oMath>
      <w:r>
        <w:rPr>
          <w:position w:val="-30"/>
          <w:szCs w:val="21"/>
        </w:rPr>
        <w:t xml:space="preserve">  </w:t>
      </w:r>
      <w:r>
        <w:rPr>
          <w:rFonts w:hint="eastAsia" w:ascii="Times New Roman" w:hAnsi="Times New Roman"/>
          <w:szCs w:val="21"/>
        </w:rPr>
        <w:t xml:space="preserve">   </w:t>
      </w:r>
      <w:r>
        <w:rPr>
          <w:rFonts w:ascii="Times New Roman" w:hAnsi="Times New Roman"/>
          <w:sz w:val="24"/>
          <w:szCs w:val="24"/>
          <w:shd w:val="clear" w:color="auto" w:fill="FFFFFF"/>
        </w:rPr>
        <w:t>………………………………</w:t>
      </w:r>
      <w:r>
        <w:rPr>
          <w:rFonts w:ascii="Times New Roman" w:hAnsi="Times New Roman"/>
          <w:szCs w:val="21"/>
        </w:rPr>
        <w:t xml:space="preserve"> </w:t>
      </w:r>
      <w:r>
        <w:rPr>
          <w:szCs w:val="21"/>
        </w:rPr>
        <w:t>（A.3</w:t>
      </w:r>
      <w:r>
        <w:rPr>
          <w:rFonts w:ascii="Times New Roman" w:hAnsi="Times New Roman"/>
          <w:szCs w:val="21"/>
        </w:rPr>
        <w:t>）</w:t>
      </w:r>
    </w:p>
    <w:p>
      <w:pPr>
        <w:spacing w:line="360" w:lineRule="auto"/>
        <w:jc w:val="left"/>
        <w:rPr>
          <w:szCs w:val="21"/>
        </w:rPr>
      </w:pPr>
      <w:r>
        <w:rPr>
          <w:position w:val="-30"/>
          <w:szCs w:val="21"/>
        </w:rPr>
        <w:t xml:space="preserve">    </w:t>
      </w:r>
      <w:r>
        <w:rPr>
          <w:rFonts w:hint="eastAsia"/>
          <w:szCs w:val="21"/>
        </w:rPr>
        <w:t>式中：</w:t>
      </w:r>
    </w:p>
    <w:p>
      <w:pPr>
        <w:spacing w:line="360" w:lineRule="auto"/>
        <w:ind w:firstLine="420"/>
        <w:rPr>
          <w:rFonts w:ascii="Times New Roman" w:hAnsi="Times New Roman"/>
          <w:szCs w:val="21"/>
        </w:rPr>
      </w:pPr>
      <w:r>
        <w:rPr>
          <w:rFonts w:ascii="Times New Roman" w:hAnsi="Times New Roman"/>
          <w:szCs w:val="21"/>
        </w:rPr>
        <w:t>E</w:t>
      </w:r>
      <w:r>
        <w:rPr>
          <w:rFonts w:ascii="Times New Roman" w:hAnsi="Times New Roman"/>
          <w:szCs w:val="21"/>
          <w:vertAlign w:val="subscript"/>
        </w:rPr>
        <w:t>ui</w:t>
      </w:r>
      <w:r>
        <w:rPr>
          <w:rFonts w:ascii="Times New Roman" w:hAnsi="Times New Roman"/>
          <w:szCs w:val="21"/>
        </w:rPr>
        <w:t>——单位产品综合能耗，</w:t>
      </w:r>
      <w:r>
        <w:rPr>
          <w:rFonts w:hint="eastAsia" w:ascii="Times New Roman" w:hAnsi="Times New Roman"/>
          <w:szCs w:val="21"/>
        </w:rPr>
        <w:t>单位</w:t>
      </w:r>
      <w:r>
        <w:rPr>
          <w:rFonts w:ascii="Times New Roman" w:hAnsi="Times New Roman"/>
          <w:szCs w:val="21"/>
        </w:rPr>
        <w:t>为</w:t>
      </w:r>
      <w:r>
        <w:rPr>
          <w:rFonts w:hint="eastAsia" w:ascii="Times New Roman" w:hAnsi="Times New Roman"/>
          <w:szCs w:val="21"/>
        </w:rPr>
        <w:t>千克标准煤每吨（</w:t>
      </w:r>
      <w:r>
        <w:rPr>
          <w:rFonts w:ascii="Times New Roman" w:hAnsi="Times New Roman"/>
          <w:szCs w:val="21"/>
        </w:rPr>
        <w:t>kgce/t</w:t>
      </w:r>
      <w:r>
        <w:rPr>
          <w:rFonts w:hint="eastAsia" w:ascii="Times New Roman" w:hAnsi="Times New Roman"/>
          <w:szCs w:val="21"/>
        </w:rPr>
        <w:t>）</w:t>
      </w:r>
      <w:r>
        <w:rPr>
          <w:rFonts w:ascii="Times New Roman" w:hAnsi="Times New Roman"/>
          <w:szCs w:val="21"/>
        </w:rPr>
        <w:t>；</w:t>
      </w:r>
    </w:p>
    <w:p>
      <w:pPr>
        <w:spacing w:line="360" w:lineRule="auto"/>
        <w:ind w:firstLine="420"/>
        <w:rPr>
          <w:rFonts w:ascii="Times New Roman" w:hAnsi="Times New Roman"/>
          <w:szCs w:val="21"/>
        </w:rPr>
      </w:pPr>
      <w:r>
        <w:rPr>
          <w:rFonts w:ascii="Times New Roman" w:hAnsi="Times New Roman"/>
          <w:szCs w:val="21"/>
        </w:rPr>
        <w:t>E</w:t>
      </w:r>
      <w:r>
        <w:rPr>
          <w:rFonts w:ascii="Times New Roman" w:hAnsi="Times New Roman"/>
          <w:szCs w:val="21"/>
          <w:vertAlign w:val="subscript"/>
        </w:rPr>
        <w:t>i</w:t>
      </w:r>
      <w:r>
        <w:rPr>
          <w:rFonts w:ascii="Times New Roman" w:hAnsi="Times New Roman"/>
          <w:szCs w:val="21"/>
        </w:rPr>
        <w:t>——在一定计量时间内产品生产的综合能耗，</w:t>
      </w:r>
      <w:r>
        <w:rPr>
          <w:rFonts w:hint="eastAsia" w:ascii="Times New Roman" w:hAnsi="Times New Roman"/>
          <w:szCs w:val="21"/>
        </w:rPr>
        <w:t>单位为千克标准煤（</w:t>
      </w:r>
      <w:r>
        <w:rPr>
          <w:rFonts w:ascii="Times New Roman" w:hAnsi="Times New Roman"/>
          <w:szCs w:val="21"/>
        </w:rPr>
        <w:t>kgce</w:t>
      </w:r>
      <w:r>
        <w:rPr>
          <w:rFonts w:hint="eastAsia" w:ascii="Times New Roman" w:hAnsi="Times New Roman"/>
          <w:szCs w:val="21"/>
        </w:rPr>
        <w:t>）</w:t>
      </w:r>
      <w:r>
        <w:rPr>
          <w:rFonts w:ascii="Times New Roman" w:hAnsi="Times New Roman"/>
          <w:szCs w:val="21"/>
        </w:rPr>
        <w:t>；</w:t>
      </w:r>
    </w:p>
    <w:p>
      <w:pPr>
        <w:spacing w:line="360" w:lineRule="auto"/>
        <w:ind w:firstLine="384" w:firstLineChars="183"/>
        <w:rPr>
          <w:rFonts w:ascii="Times New Roman" w:hAnsi="Times New Roman"/>
          <w:szCs w:val="21"/>
        </w:rPr>
      </w:pPr>
      <w:r>
        <w:rPr>
          <w:rFonts w:ascii="Times New Roman" w:hAnsi="Times New Roman"/>
          <w:szCs w:val="21"/>
        </w:rPr>
        <w:t>Q——在一定计量时间内产品产量，</w:t>
      </w:r>
      <w:r>
        <w:rPr>
          <w:rFonts w:hint="eastAsia" w:ascii="Times New Roman" w:hAnsi="Times New Roman"/>
          <w:szCs w:val="21"/>
        </w:rPr>
        <w:t>单位为吨（</w:t>
      </w:r>
      <w:r>
        <w:rPr>
          <w:rFonts w:ascii="Times New Roman" w:hAnsi="Times New Roman"/>
          <w:szCs w:val="21"/>
        </w:rPr>
        <w:t>t</w:t>
      </w:r>
      <w:r>
        <w:rPr>
          <w:rFonts w:hint="eastAsia" w:ascii="Times New Roman" w:hAnsi="Times New Roman"/>
          <w:szCs w:val="21"/>
        </w:rPr>
        <w:t>）</w:t>
      </w:r>
      <w:r>
        <w:rPr>
          <w:rFonts w:ascii="Times New Roman" w:hAnsi="Times New Roman"/>
          <w:szCs w:val="21"/>
        </w:rPr>
        <w:t>。</w:t>
      </w:r>
    </w:p>
    <w:p>
      <w:pPr>
        <w:spacing w:line="360" w:lineRule="auto"/>
        <w:jc w:val="left"/>
        <w:rPr>
          <w:rFonts w:hAnsi="黑体"/>
          <w:bCs/>
          <w:kern w:val="0"/>
          <w:szCs w:val="21"/>
        </w:rPr>
      </w:pPr>
      <w:r>
        <w:rPr>
          <w:rFonts w:ascii="黑体" w:hAnsi="黑体" w:eastAsia="黑体"/>
          <w:bCs/>
          <w:kern w:val="0"/>
          <w:szCs w:val="21"/>
        </w:rPr>
        <w:t xml:space="preserve">A.1.4 </w:t>
      </w:r>
      <w:r>
        <w:rPr>
          <w:rFonts w:hint="eastAsia" w:ascii="黑体" w:hAnsi="黑体" w:eastAsia="黑体"/>
          <w:bCs/>
          <w:kern w:val="0"/>
          <w:szCs w:val="21"/>
        </w:rPr>
        <w:t>固废资源化利用率</w:t>
      </w:r>
    </w:p>
    <w:p>
      <w:pPr>
        <w:pStyle w:val="59"/>
        <w:spacing w:line="360" w:lineRule="auto"/>
        <w:rPr>
          <w:rFonts w:hAnsi="宋体"/>
          <w:szCs w:val="21"/>
        </w:rPr>
      </w:pPr>
      <w:r>
        <w:rPr>
          <w:rFonts w:hint="eastAsia" w:hAnsi="宋体"/>
          <w:szCs w:val="21"/>
        </w:rPr>
        <w:t>固废资源化利用率按式</w:t>
      </w:r>
      <w:r>
        <w:rPr>
          <w:rFonts w:hint="eastAsia" w:ascii="Calibri" w:hAnsi="Calibri"/>
          <w:kern w:val="2"/>
          <w:szCs w:val="21"/>
        </w:rPr>
        <w:t>（</w:t>
      </w:r>
      <w:r>
        <w:rPr>
          <w:rFonts w:ascii="Calibri" w:hAnsi="Calibri"/>
          <w:kern w:val="2"/>
          <w:szCs w:val="21"/>
        </w:rPr>
        <w:t>A.4</w:t>
      </w:r>
      <w:r>
        <w:rPr>
          <w:rFonts w:hint="eastAsia"/>
          <w:szCs w:val="21"/>
        </w:rPr>
        <w:t>）</w:t>
      </w:r>
      <w:r>
        <w:rPr>
          <w:rFonts w:hint="eastAsia" w:hAnsi="宋体"/>
          <w:szCs w:val="21"/>
        </w:rPr>
        <w:t>计算</w:t>
      </w:r>
    </w:p>
    <w:p>
      <w:pPr>
        <w:spacing w:line="360" w:lineRule="auto"/>
        <w:ind w:firstLine="420"/>
        <w:rPr>
          <w:szCs w:val="21"/>
        </w:rPr>
      </w:pPr>
    </w:p>
    <w:p>
      <w:pPr>
        <w:spacing w:line="360" w:lineRule="auto"/>
        <w:ind w:firstLine="3150" w:firstLineChars="1500"/>
        <w:rPr>
          <w:rFonts w:ascii="Times New Roman" w:hAnsi="Times New Roman"/>
          <w:szCs w:val="21"/>
        </w:rPr>
      </w:pPr>
      <w:r>
        <w:rPr>
          <w:position w:val="-30"/>
          <w:szCs w:val="21"/>
        </w:rPr>
        <w:t xml:space="preserve"> </w:t>
      </w:r>
      <m:oMath>
        <m:r>
          <m:rPr>
            <m:nor/>
            <m:sty m:val="p"/>
          </m:rPr>
          <w:rPr>
            <w:rFonts w:ascii="Cambria Math" w:hAnsi="Times New Roman"/>
            <w:szCs w:val="21"/>
          </w:rPr>
          <m:t>Gs</m:t>
        </m:r>
        <m:r>
          <m:rPr>
            <m:nor/>
            <m:sty m:val="p"/>
          </m:rPr>
          <w:rPr>
            <w:rFonts w:ascii="Times New Roman" w:hAnsi="Times New Roman"/>
            <w:szCs w:val="21"/>
          </w:rPr>
          <m:t>=</m:t>
        </m:r>
        <m:f>
          <m:fPr>
            <m:ctrlPr>
              <w:rPr>
                <w:rFonts w:ascii="Cambria Math" w:hAnsi="Cambria Math"/>
                <w:i/>
                <w:szCs w:val="21"/>
              </w:rPr>
            </m:ctrlPr>
          </m:fPr>
          <m:num>
            <m:r>
              <m:rPr>
                <m:nor/>
              </m:rPr>
              <w:rPr>
                <w:rFonts w:ascii="Cambria Math" w:hAnsi="Cambria Math"/>
                <w:i/>
                <w:szCs w:val="21"/>
              </w:rPr>
              <m:t>Gj</m:t>
            </m:r>
            <m:ctrlPr>
              <w:rPr>
                <w:rFonts w:ascii="Cambria Math" w:hAnsi="Cambria Math"/>
                <w:i/>
                <w:szCs w:val="21"/>
              </w:rPr>
            </m:ctrlPr>
          </m:num>
          <m:den>
            <m:r>
              <w:rPr>
                <w:rFonts w:ascii="Cambria Math" w:hAnsi="Cambria Math"/>
                <w:szCs w:val="21"/>
              </w:rPr>
              <m:t>Gz</m:t>
            </m:r>
            <m:ctrlPr>
              <w:rPr>
                <w:rFonts w:ascii="Cambria Math" w:hAnsi="Cambria Math"/>
                <w:i/>
                <w:szCs w:val="21"/>
              </w:rPr>
            </m:ctrlPr>
          </m:den>
        </m:f>
      </m:oMath>
      <w:r>
        <w:rPr>
          <w:rFonts w:hint="eastAsia" w:ascii="Times New Roman" w:hAnsi="Times New Roman"/>
          <w:szCs w:val="21"/>
        </w:rPr>
        <w:t xml:space="preserve">    </w:t>
      </w:r>
      <w:r>
        <w:rPr>
          <w:rFonts w:ascii="Times New Roman" w:hAnsi="Times New Roman"/>
          <w:sz w:val="24"/>
          <w:szCs w:val="24"/>
          <w:shd w:val="clear" w:color="auto" w:fill="FFFFFF"/>
        </w:rPr>
        <w:t>………………………………</w:t>
      </w:r>
      <w:r>
        <w:rPr>
          <w:rFonts w:ascii="Times New Roman" w:hAnsi="Times New Roman"/>
          <w:szCs w:val="21"/>
        </w:rPr>
        <w:t xml:space="preserve"> </w:t>
      </w:r>
      <w:r>
        <w:rPr>
          <w:szCs w:val="21"/>
        </w:rPr>
        <w:t>（A.4</w:t>
      </w:r>
      <w:r>
        <w:rPr>
          <w:rFonts w:ascii="Times New Roman" w:hAnsi="Times New Roman"/>
          <w:szCs w:val="21"/>
        </w:rPr>
        <w:t>）</w:t>
      </w:r>
    </w:p>
    <w:p>
      <w:pPr>
        <w:pStyle w:val="59"/>
        <w:spacing w:line="360" w:lineRule="auto"/>
        <w:rPr>
          <w:rFonts w:ascii="Times New Roman"/>
          <w:color w:val="000000"/>
          <w:szCs w:val="21"/>
        </w:rPr>
      </w:pPr>
      <w:r>
        <w:rPr>
          <w:rFonts w:ascii="Times New Roman"/>
          <w:color w:val="000000"/>
          <w:szCs w:val="21"/>
        </w:rPr>
        <w:t>式中</w:t>
      </w:r>
    </w:p>
    <w:p>
      <w:pPr>
        <w:pStyle w:val="59"/>
        <w:spacing w:line="360" w:lineRule="auto"/>
        <w:rPr>
          <w:rFonts w:ascii="Times New Roman"/>
          <w:color w:val="000000"/>
          <w:szCs w:val="21"/>
        </w:rPr>
      </w:pPr>
      <w:r>
        <w:rPr>
          <w:rFonts w:ascii="Times New Roman"/>
          <w:color w:val="000000"/>
          <w:szCs w:val="21"/>
        </w:rPr>
        <w:t>Gs</w:t>
      </w:r>
      <w:r>
        <w:rPr>
          <w:rFonts w:ascii="Times New Roman"/>
          <w:color w:val="000000"/>
          <w:szCs w:val="21"/>
        </w:rPr>
        <w:fldChar w:fldCharType="begin"/>
      </w:r>
      <w:r>
        <w:rPr>
          <w:rFonts w:ascii="Times New Roman"/>
          <w:color w:val="000000"/>
          <w:szCs w:val="21"/>
        </w:rPr>
        <w:instrText xml:space="preserve"> QUOTE </w:instrText>
      </w:r>
      <w:r>
        <w:rPr>
          <w:rFonts w:ascii="Times New Roman"/>
          <w:position w:val="-4"/>
        </w:rPr>
        <w:pict>
          <v:shape id="_x0000_i1029" o:spt="75" type="#_x0000_t75" style="height:12.55pt;width:9.2pt;" filled="f" o:preferrelative="t" stroked="f" coordsize="21600,2160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51C0&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A851C0&quot; wsp:rsidP=&quot;00A851C0&quot;&gt;&lt;m:oMathPara&gt;&lt;m:oMath&gt;&lt;m:sSub&gt;&lt;m:sSubPr&gt;&lt;m:ctrlPr&gt;&lt;aml:annotation aml:id=&quot;0&quot; w:type=&quot;Word.Insertion&quot; aml:author=&quot;涓? 绁ア aml:createdate=&quot;2020-08-31T14:59:00Z&quot;&gt;&lt;aml:content&gt;&lt;w:rPr&gt;&lt;w:rFonts w:ascii=&quot;Cambria Math&quot; w:h-ansi=&quot;Cambria Math&quot;/&gt;&lt;wx:font wx:val=&quot;Cambria Math&quot;/&gt;&lt;w:color w&lt;m:&lt;m:&lt;m:&lt;m::valSub=&quot;b&gt;&lt;00&lt;m:0000&quot;/&gt;&lt;w:sz-cs w:val=&quot;21&quot;/&gt;&lt;w:vertAlign w:val=&quot;subscript&quot;/&gt;&lt;/w:rPr&gt;&lt;/aml:content&gt;&lt;/aml:annotation&gt;&lt;/m:ctrlPr&gt;&lt;/m:sSubPr&gt;&lt;m:e&gt;&lt;m:r&gt;&lt;aml:annotation aml:id=&quot;1&quot; w:type=&quot;Word.Insertion&quot; aml:author=&quot;涓? 绁ア aml:createdate=&quot;2020-08-31&lt;m:T14&lt;m::59&lt;m::00&lt;m:Z&quot;&gt;&lt;amlSub:contb&gt;&lt;ent&gt;&lt;&lt;m:w:rPr&gt;&lt;w:rFonts w:ascii=&quot;Cambria Math&quot; w:h-ansi=&quot;Cambria Math&quot; w:hint=&quot;fareast&quot;/&gt;&lt;wx:font wx:val=&quot;Cambria Math&quot;/&gt;&lt;w:i/&gt;&lt;w:color w:val=&quot;000000&quot;/&gt;&lt;w:sz-cs w:val=&quot;21&quot;/&gt;&lt;w:vertAlign w:val=&quot;subscript&quot;/&gt;&lt;/w:rPr&gt;&lt;m:t&gt;G&lt;/m:t&gt;&lt;/aml:content&gt;&lt;/aml:annotation&gt;&lt;/m:r&gt;&lt;m:ctrlPr&gt;&lt;aml:annotation aml:id=&quot;2&quot; w:type=&quot;Word.Insertion&quot; aml:author=&quot;涓? 绁ア aml:createdate=&quot;2020-08-31T14:59:00Z&quot;&gt;&lt;aml:content&gt;&lt;w:rPr&gt;&lt;w:rFonts w:ascii=&quot;Cambria Math&quot; w:h-ansi=&quot;Cambria Math&quot; w:hint=&quot;fareastt&gt;G&quot;/&gt;&lt;wx:t&gt;:font ml:wx:valten=&quot;Cambria :anMath&quot;/&gt;&lt;ionw:color r&gt;&lt;w:val=&quot;000000&quot;/&gt;&lt;w:sz-cs w:val=&quot;21&quot;/&gt;&lt;w:vertAlign w:val=&quot;subscript&quot;/&gt;&lt;/w:rPr&gt;&lt;/aml:content&gt;&lt;/aml:annotation&gt;&lt;/m:ctrlPr&gt;&lt;/m:e&gt;&lt;m:sub&gt;&lt;m:r&gt;&lt;aml:annotation aml:id=&quot;3&quot; w:type=&quot;Word.Insertion&quot; aml:author=&quot;涓&gt;? 绁ア amml:l:createdtenate=&quot;2020-08-:an31T14:59:00ionZ&quot;&gt;&lt;aml:conr&gt;&lt;tent&gt;&lt;w:rPr&gt;&lt;w:rFonts w:ascii=&quot;Cambria Math&quot; w:h-ansi=&quot;Cambria Math&quot; w:hint=&quot;fareast&quot;/&gt;&lt;wx:font wx:val=&quot;Cambria Math&quot;/&gt;&lt;w:i/&gt;&lt;w:color w:val=&quot;000000&quot;/&gt;&lt;w:sz-cs w:val=&quot;21&quot;/&gt;&lt;w:verl:atAlign w:v涓&gt;al=&quot;subscript&quot;/&gt;&lt;/w:rPr&gt;&lt;m:t&gt;s&lt;/m:t&gt;&lt;/aml:content&gt;&lt;/aml:annotation&gt;&lt;/m:r&gt;&lt;/m:sub&gt;&lt;/m:sSub&gt;&lt;/m:oMath&gt;&lt;/m:oMathPara&gt;&lt;/w:p&gt;&lt;w:sectPr wsp:rsidR=&quot;00000000&quot;&gt;&lt;w:pgSz w:w=&quot;12240&quot; w:h=&quot;15840&quot;/&gt;&lt;w:pgMar w:top=&quot;1440&quot; w:right=&quot;1800&quot; w:bottom=&quot;1440&quot; w:lefat=&quot;1800&quot; w:header=&quot;720&quot; w:footer=&quot;720&quot; w:gutter=&quot;0&quot;/&gt;&lt;w:cols w:space=&quot;720&quot;/&gt;&lt;/w:sectPr&gt;&lt;/wx:sect&gt;&lt;/w:body&gt;&lt;/w:wordDocument&gt;">
            <v:path/>
            <v:fill on="f" focussize="0,0"/>
            <v:stroke on="f" joinstyle="miter"/>
            <v:imagedata r:id="rId14" chromakey="#FFFFFF" o:title=""/>
            <o:lock v:ext="edit" aspectratio="t"/>
            <w10:wrap type="none"/>
            <w10:anchorlock/>
          </v:shape>
        </w:pict>
      </w:r>
      <w:r>
        <w:rPr>
          <w:rFonts w:ascii="Times New Roman"/>
          <w:color w:val="000000"/>
          <w:szCs w:val="21"/>
        </w:rPr>
        <w:instrText xml:space="preserve"> </w:instrText>
      </w:r>
      <w:r>
        <w:rPr>
          <w:rFonts w:ascii="Times New Roman"/>
          <w:color w:val="000000"/>
          <w:szCs w:val="21"/>
        </w:rPr>
        <w:fldChar w:fldCharType="end"/>
      </w:r>
      <w:r>
        <w:rPr>
          <w:rFonts w:ascii="Times New Roman"/>
          <w:color w:val="000000"/>
          <w:szCs w:val="21"/>
        </w:rPr>
        <w:t>——固废资源化利用，%;</w:t>
      </w:r>
    </w:p>
    <w:p>
      <w:pPr>
        <w:pStyle w:val="59"/>
        <w:spacing w:line="360" w:lineRule="auto"/>
        <w:rPr>
          <w:rFonts w:ascii="Times New Roman"/>
          <w:color w:val="000000"/>
          <w:szCs w:val="21"/>
        </w:rPr>
      </w:pPr>
      <w:r>
        <w:rPr>
          <w:rFonts w:ascii="Times New Roman"/>
          <w:color w:val="000000"/>
          <w:szCs w:val="21"/>
        </w:rPr>
        <w:t>Gz</w:t>
      </w:r>
      <w:r>
        <w:rPr>
          <w:rFonts w:ascii="Times New Roman"/>
          <w:color w:val="000000"/>
          <w:szCs w:val="21"/>
        </w:rPr>
        <w:fldChar w:fldCharType="begin"/>
      </w:r>
      <w:r>
        <w:rPr>
          <w:rFonts w:ascii="Times New Roman"/>
          <w:color w:val="000000"/>
          <w:szCs w:val="21"/>
        </w:rPr>
        <w:instrText xml:space="preserve"> QUOTE </w:instrText>
      </w:r>
      <w:r>
        <w:rPr>
          <w:rFonts w:ascii="Times New Roman"/>
          <w:position w:val="-4"/>
        </w:rPr>
        <w:pict>
          <v:shape id="_x0000_i1030" o:spt="75" type="#_x0000_t75" style="height:12.55pt;width:11.7pt;" filled="f" o:preferrelative="t" stroked="f" coordsize="21600,2160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06C4&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5906C4&quot; wsp:rsidP=&quot;005906C4&quot;&gt;&lt;m:oMathPara&gt;&lt;m:oMath&gt;&lt;m:sSub&gt;&lt;m:sSubPr&gt;&lt;m:ctrlPr&gt;&lt;aml:annotation aml:id=&quot;0&quot; w:type=&quot;Word.Insertion&quot; aml:author=&quot;涓? 绁ア aml:createdate=&quot;2020-08-31T14:59:00Z&quot;&gt;&lt;aml:content&gt;&lt;w:rPr&gt;&lt;w:rFonts w:ascii=&quot;Cambria Math&quot; w:h-ansi=&quot;Cambria Math&quot;/&gt;&lt;wx:font wx:val=&quot;Cambria Math&quot;/&gt;&lt;w:color w&lt;m:&lt;m:&lt;m:&lt;m::valSub=&quot;b&gt;&lt;00&lt;m:0000&quot;/&gt;&lt;w:sz-cs w:val=&quot;21&quot;/&gt;&lt;/w:rPr&gt;&lt;/aml:content&gt;&lt;/aml:annotation&gt;&lt;/m:ctrlPr&gt;&lt;/m:sSubPr&gt;&lt;m:e&gt;&lt;m:r&gt;&lt;aml:annotation aml:id=&quot;1&quot; w:type=&quot;Word.Insertion&quot; aml:author=&quot;涓? 绁ア aml:createdate=&quot;2020-08-31T14:59:00Z&quot;&gt;&lt;aml:content&gt;&lt;w:rPr&gt;&lt;m:&lt;w:&lt;m:rFo&lt;m:nts&lt;m: w:asciSubi=&quot;Cab&gt;&lt;mbria&lt;m: Math&quot; w:h-ansi=&quot;Cambria Math&quot; w:hint=&quot;fareast&quot;/&gt;&lt;wx:font wx:val=&quot;Cambria Math&quot;/&gt;&lt;w:i/&gt;&lt;w:color w:val=&quot;000000&quot;/&gt;&lt;w:sz-cs w:val=&quot;21&quot;/&gt;&lt;/w:rPr&gt;&lt;m:t&gt;G&lt;/m:t&gt;&lt;/aml:content&gt;&lt;/aml:annotation&gt;&lt;/m:r&gt;&lt;/m:e&gt;&lt;m:sub&gt;&lt;m:r&gt;&lt;aml:annotation aml:id=&quot;2&quot; w:type=&quot;Word.Insertion&quot; aml:author=&quot;涓? 绁ア aml:createdate=&quot;2020-08-31T14:59:00Z&quot;&gt;&lt;aml:content&gt;&lt;w:rPr&gt;&lt;w:rFonts w:ascii=&quot;Cambria Math&quot; w:h-ansi=&quot;Cambria Math&quot; w:hint=&quot;fareast&quot;/&gt;&lt;wx:font wx:val=&quot;Cambria Math&quot;/&gt;&lt;w:i/&gt;&lt;w:color w:val=&lt;am&quot;00000nno0&quot;/&gt;&lt;wion:sz-csl:i w:val=&quot;21:ty&quot;/&gt;&lt;/w:rordPr&gt;&lt;m:t&gt;rtiz&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5" chromakey="#FFFFFF" o:title=""/>
            <o:lock v:ext="edit" aspectratio="t"/>
            <w10:wrap type="none"/>
            <w10:anchorlock/>
          </v:shape>
        </w:pict>
      </w:r>
      <w:r>
        <w:rPr>
          <w:rFonts w:ascii="Times New Roman"/>
          <w:color w:val="000000"/>
          <w:szCs w:val="21"/>
        </w:rPr>
        <w:instrText xml:space="preserve"> </w:instrText>
      </w:r>
      <w:r>
        <w:rPr>
          <w:rFonts w:ascii="Times New Roman"/>
          <w:color w:val="000000"/>
          <w:szCs w:val="21"/>
        </w:rPr>
        <w:fldChar w:fldCharType="end"/>
      </w:r>
      <w:r>
        <w:rPr>
          <w:rFonts w:ascii="Times New Roman"/>
          <w:color w:val="000000"/>
          <w:szCs w:val="21"/>
        </w:rPr>
        <w:t>——统计期内，固废总量</w:t>
      </w:r>
      <w:r>
        <w:rPr>
          <w:rFonts w:hint="eastAsia" w:ascii="Times New Roman"/>
          <w:color w:val="000000"/>
          <w:szCs w:val="21"/>
        </w:rPr>
        <w:t>，</w:t>
      </w:r>
      <w:r>
        <w:rPr>
          <w:rFonts w:hint="eastAsia" w:ascii="Times New Roman"/>
          <w:szCs w:val="21"/>
        </w:rPr>
        <w:t>单位为吨（</w:t>
      </w:r>
      <w:r>
        <w:rPr>
          <w:rFonts w:ascii="Times New Roman" w:eastAsia="宋体e眠副浡渀."/>
          <w:szCs w:val="21"/>
        </w:rPr>
        <w:t>t</w:t>
      </w:r>
      <w:r>
        <w:rPr>
          <w:rFonts w:hint="eastAsia" w:ascii="Times New Roman" w:eastAsia="宋体e眠副浡渀."/>
          <w:szCs w:val="21"/>
        </w:rPr>
        <w:t>）</w:t>
      </w:r>
      <w:r>
        <w:rPr>
          <w:rFonts w:ascii="Times New Roman"/>
          <w:color w:val="000000"/>
          <w:szCs w:val="21"/>
        </w:rPr>
        <w:t>；</w:t>
      </w:r>
    </w:p>
    <w:p>
      <w:pPr>
        <w:pStyle w:val="59"/>
        <w:spacing w:line="360" w:lineRule="auto"/>
        <w:rPr>
          <w:rFonts w:ascii="宋体e眠副浡渀." w:hAnsi="Arial" w:eastAsia="宋体e眠副浡渀." w:cs="宋体e眠副浡渀."/>
          <w:szCs w:val="21"/>
        </w:rPr>
      </w:pPr>
      <w:r>
        <w:rPr>
          <w:rFonts w:ascii="Times New Roman"/>
          <w:color w:val="000000"/>
          <w:szCs w:val="21"/>
        </w:rPr>
        <w:t>Gj</w:t>
      </w:r>
      <w:r>
        <w:rPr>
          <w:rFonts w:ascii="Times New Roman"/>
          <w:color w:val="000000"/>
          <w:szCs w:val="21"/>
        </w:rPr>
        <w:fldChar w:fldCharType="begin"/>
      </w:r>
      <w:r>
        <w:rPr>
          <w:rFonts w:ascii="Times New Roman"/>
          <w:color w:val="000000"/>
          <w:szCs w:val="21"/>
        </w:rPr>
        <w:instrText xml:space="preserve"> QUOTE </w:instrText>
      </w:r>
      <w:r>
        <w:rPr>
          <w:rFonts w:ascii="Times New Roman"/>
          <w:position w:val="-8"/>
        </w:rPr>
        <w:pict>
          <v:shape id="_x0000_i1031" o:spt="75" type="#_x0000_t75" style="height:14.25pt;width:9.2pt;" filled="f" o:preferrelative="t" stroked="f" coordsize="21600,2160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17190&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A17190&quot; wsp:rsidP=&quot;00A17190&quot;&gt;&lt;m:oMathPara&gt;&lt;m:oMath&gt;&lt;m:sSub&gt;&lt;m:sSubPr&gt;&lt;m:ctrlPr&gt;&lt;aml:annotation aml:id=&quot;0&quot; w:type=&quot;Word.Insertion&quot; aml:author=&quot;涓? 绁ア aml:createdate=&quot;2020-08-31T14:59:00Z&quot;&gt;&lt;aml:content&gt;&lt;w:rPr&gt;&lt;w:rFonts w:ascii=&quot;Cambria Math&quot; w:h-ansi=&quot;Cambria Math&quot;/&gt;&lt;wx:font wx:val=&quot;Cambria Math&quot;/&gt;&lt;w:color w&lt;m:&lt;m:&lt;m:&lt;m::valSub=&quot;b&gt;&lt;00&lt;m:0000&quot;/&gt;&lt;w:sz-cs w:val=&quot;21&quot;/&gt;&lt;w:vertAlign w:val=&quot;subscript&quot;/&gt;&lt;/w:rPr&gt;&lt;/aml:content&gt;&lt;/aml:annotation&gt;&lt;/m:ctrlPr&gt;&lt;/m:sSubPr&gt;&lt;m:e&gt;&lt;m:r&gt;&lt;aml:annotation aml:id=&quot;1&quot; w:type=&quot;Word.Insertion&quot; aml:author=&quot;涓? 绁ア aml:createdate=&quot;2020-08-31&lt;m:T14&lt;m::59&lt;m::00&lt;m:Z&quot;&gt;&lt;amlSub:contb&gt;&lt;ent&gt;&lt;&lt;m:w:rPr&gt;&lt;w:rFonts w:ascii=&quot;Cambria Math&quot; w:h-ansi=&quot;Cambria Math&quot; w:hint=&quot;fareast&quot;/&gt;&lt;wx:font wx:val=&quot;Cambria Math&quot;/&gt;&lt;w:i/&gt;&lt;w:color w:val=&quot;000000&quot;/&gt;&lt;w:sz-cs w:val=&quot;21&quot;/&gt;&lt;w:vertAlign w:val=&quot;subscript&quot;/&gt;&lt;/w:rPr&gt;&lt;m:t&gt;G&lt;/m:t&gt;&lt;/aml:content&gt;&lt;/aml:annotation&gt;&lt;/m:r&gt;&lt;/m:e&gt;&lt;m:sub&gt;&lt;m:r&gt;&lt;aml:annotation aml:id=&quot;2&quot; w:type=&quot;Word.Insertion&quot; aml:author=&quot;涓? 绁ア aml:createdate=&quot;2020-08-31T14:59:00Z&quot;&gt;&lt;aml:content&gt;&lt;w:rPr&gt;&lt;w:rFonts w:ascii=&quot;Cambria Math&quot; w:h-ansi=&quot;Cambria Math&quot; w:hint=t&gt;G&quot;farea:t&gt;st&quot;/&gt;&lt;ml:wx:fontent wx:val=&quot;:anCambria ionMath&quot;/&gt;&lt;r&gt;&lt;w:i/&gt;&lt;w:color w:val=&quot;000000&quot;/&gt;&lt;w:sz-cs w:val=&quot;21&quot;/&gt;&lt;w:vertAlign w:val=&quot;subscript&quot;/&gt;&lt;/w:rPr&gt;&lt;m:t&gt;j&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6" chromakey="#FFFFFF" o:title=""/>
            <o:lock v:ext="edit" aspectratio="t"/>
            <w10:wrap type="none"/>
            <w10:anchorlock/>
          </v:shape>
        </w:pict>
      </w:r>
      <w:r>
        <w:rPr>
          <w:rFonts w:ascii="Times New Roman"/>
          <w:color w:val="000000"/>
          <w:szCs w:val="21"/>
        </w:rPr>
        <w:instrText xml:space="preserve"> </w:instrText>
      </w:r>
      <w:r>
        <w:rPr>
          <w:rFonts w:ascii="Times New Roman"/>
          <w:color w:val="000000"/>
          <w:szCs w:val="21"/>
        </w:rPr>
        <w:fldChar w:fldCharType="end"/>
      </w:r>
      <w:r>
        <w:rPr>
          <w:rFonts w:ascii="Times New Roman"/>
          <w:color w:val="000000"/>
          <w:szCs w:val="21"/>
        </w:rPr>
        <w:t>——</w:t>
      </w:r>
      <w:r>
        <w:rPr>
          <w:rFonts w:ascii="Times New Roman" w:eastAsia="宋体e眠副浡渀."/>
          <w:szCs w:val="21"/>
        </w:rPr>
        <w:t>统计期内，固废资源化利用量</w:t>
      </w:r>
      <w:r>
        <w:rPr>
          <w:rFonts w:hint="eastAsia" w:ascii="Times New Roman"/>
          <w:color w:val="000000"/>
          <w:szCs w:val="21"/>
        </w:rPr>
        <w:t>，</w:t>
      </w:r>
      <w:r>
        <w:rPr>
          <w:rFonts w:hint="eastAsia" w:ascii="Times New Roman"/>
          <w:szCs w:val="21"/>
        </w:rPr>
        <w:t>单位为吨（</w:t>
      </w:r>
      <w:r>
        <w:rPr>
          <w:rFonts w:ascii="Times New Roman" w:eastAsia="宋体e眠副浡渀."/>
          <w:szCs w:val="21"/>
        </w:rPr>
        <w:t>t</w:t>
      </w:r>
      <w:r>
        <w:rPr>
          <w:rFonts w:hint="eastAsia" w:ascii="Times New Roman" w:eastAsia="宋体e眠副浡渀."/>
          <w:szCs w:val="21"/>
        </w:rPr>
        <w:t>）</w:t>
      </w:r>
      <w:r>
        <w:rPr>
          <w:rFonts w:hint="eastAsia" w:ascii="宋体e眠副浡渀." w:hAnsi="Arial" w:eastAsia="宋体e眠副浡渀." w:cs="宋体e眠副浡渀."/>
          <w:szCs w:val="21"/>
        </w:rPr>
        <w:t>。</w:t>
      </w:r>
    </w:p>
    <w:p>
      <w:pPr>
        <w:spacing w:line="360" w:lineRule="auto"/>
        <w:jc w:val="left"/>
        <w:rPr>
          <w:rFonts w:ascii="黑体" w:hAnsi="黑体" w:eastAsia="黑体"/>
          <w:b/>
          <w:kern w:val="0"/>
          <w:szCs w:val="21"/>
        </w:rPr>
      </w:pPr>
      <w:r>
        <w:rPr>
          <w:rFonts w:ascii="黑体" w:hAnsi="黑体" w:eastAsia="黑体"/>
          <w:bCs/>
          <w:kern w:val="0"/>
          <w:szCs w:val="21"/>
        </w:rPr>
        <w:t xml:space="preserve">A.1.5 </w:t>
      </w:r>
      <w:r>
        <w:rPr>
          <w:rFonts w:hint="eastAsia" w:ascii="黑体" w:hAnsi="黑体" w:eastAsia="黑体"/>
          <w:bCs/>
          <w:kern w:val="0"/>
          <w:szCs w:val="21"/>
        </w:rPr>
        <w:t>工序污染物排放</w:t>
      </w:r>
    </w:p>
    <w:p>
      <w:pPr>
        <w:spacing w:line="360" w:lineRule="auto"/>
        <w:ind w:firstLine="420"/>
        <w:rPr>
          <w:szCs w:val="21"/>
        </w:rPr>
      </w:pPr>
      <w:r>
        <w:rPr>
          <w:szCs w:val="21"/>
        </w:rPr>
        <w:t>生产序列内各工序的污染物排放</w:t>
      </w:r>
      <w:r>
        <w:rPr>
          <w:rFonts w:hint="eastAsia"/>
          <w:szCs w:val="21"/>
        </w:rPr>
        <w:t>包括废水、废气、一般工业固体废物及危险废物等</w:t>
      </w:r>
      <w:r>
        <w:rPr>
          <w:szCs w:val="21"/>
        </w:rPr>
        <w:t>，提供在线监测数据或</w:t>
      </w:r>
      <w:r>
        <w:rPr>
          <w:rFonts w:hint="eastAsia"/>
          <w:szCs w:val="21"/>
        </w:rPr>
        <w:t>第三方</w:t>
      </w:r>
      <w:r>
        <w:rPr>
          <w:szCs w:val="21"/>
        </w:rPr>
        <w:t>监测报告。</w:t>
      </w:r>
    </w:p>
    <w:p>
      <w:pPr>
        <w:spacing w:line="360" w:lineRule="auto"/>
        <w:jc w:val="left"/>
        <w:rPr>
          <w:rFonts w:ascii="黑体" w:hAnsi="黑体" w:eastAsia="黑体" w:cs="黑体"/>
          <w:color w:val="000000"/>
          <w:szCs w:val="21"/>
        </w:rPr>
      </w:pPr>
      <w:r>
        <w:rPr>
          <w:rFonts w:ascii="黑体" w:hAnsi="黑体" w:eastAsia="黑体" w:cs="黑体"/>
          <w:color w:val="000000"/>
          <w:szCs w:val="21"/>
        </w:rPr>
        <w:t xml:space="preserve">A.2 </w:t>
      </w:r>
      <w:r>
        <w:rPr>
          <w:rFonts w:hint="eastAsia" w:ascii="黑体" w:hAnsi="黑体" w:eastAsia="黑体" w:cs="黑体"/>
          <w:color w:val="000000"/>
          <w:szCs w:val="21"/>
        </w:rPr>
        <w:t>数据来源</w:t>
      </w:r>
    </w:p>
    <w:p>
      <w:pPr>
        <w:spacing w:line="360" w:lineRule="auto"/>
        <w:jc w:val="left"/>
        <w:rPr>
          <w:rFonts w:ascii="黑体" w:hAnsi="黑体" w:eastAsia="黑体"/>
          <w:bCs/>
          <w:kern w:val="0"/>
          <w:szCs w:val="21"/>
        </w:rPr>
      </w:pPr>
      <w:r>
        <w:rPr>
          <w:rFonts w:hint="eastAsia" w:ascii="黑体" w:hAnsi="黑体" w:eastAsia="黑体"/>
          <w:bCs/>
          <w:kern w:val="0"/>
          <w:szCs w:val="21"/>
        </w:rPr>
        <w:t>A</w:t>
      </w:r>
      <w:r>
        <w:rPr>
          <w:rFonts w:ascii="黑体" w:hAnsi="黑体" w:eastAsia="黑体"/>
          <w:bCs/>
          <w:kern w:val="0"/>
          <w:szCs w:val="21"/>
        </w:rPr>
        <w:t>.2.1 统计</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企业的原辅材料及能源使用量、产品产量、副产品产量、废水、废气和固体废物产生量及相关技术经济指标等，以月报表或年报表为准。</w:t>
      </w:r>
    </w:p>
    <w:p>
      <w:pPr>
        <w:spacing w:line="360" w:lineRule="auto"/>
        <w:jc w:val="left"/>
        <w:rPr>
          <w:rFonts w:ascii="黑体" w:hAnsi="黑体" w:eastAsia="黑体"/>
          <w:bCs/>
          <w:kern w:val="0"/>
          <w:szCs w:val="21"/>
        </w:rPr>
      </w:pPr>
      <w:r>
        <w:rPr>
          <w:rFonts w:ascii="黑体" w:hAnsi="黑体" w:eastAsia="黑体"/>
          <w:bCs/>
          <w:kern w:val="0"/>
          <w:szCs w:val="21"/>
        </w:rPr>
        <w:t>A2.2 实测</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企业的原辅材料及能源使用量、产品产量、副产品产量、废水、废气和固体废物产生量及相关技术经济指标等也可选取有代表性生产时间段进行同步实测，所选取的生产时间段一般不少于一个月。</w:t>
      </w:r>
    </w:p>
    <w:p>
      <w:pPr>
        <w:spacing w:line="360" w:lineRule="auto"/>
        <w:jc w:val="left"/>
        <w:rPr>
          <w:rFonts w:ascii="黑体" w:hAnsi="黑体" w:eastAsia="黑体"/>
          <w:bCs/>
          <w:kern w:val="0"/>
          <w:szCs w:val="21"/>
        </w:rPr>
      </w:pPr>
      <w:r>
        <w:rPr>
          <w:rFonts w:ascii="黑体" w:hAnsi="黑体" w:eastAsia="黑体"/>
          <w:bCs/>
          <w:kern w:val="0"/>
          <w:szCs w:val="21"/>
        </w:rPr>
        <w:t>A2.3 采样和监测</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污染物排放指标的采样和监测按照相关技术规范执行，并采用国家或行业标准监测分析方法。</w:t>
      </w:r>
    </w:p>
    <w:p>
      <w:pPr>
        <w:widowControl/>
        <w:spacing w:line="360" w:lineRule="auto"/>
        <w:jc w:val="center"/>
        <w:outlineLvl w:val="0"/>
        <w:rPr>
          <w:rFonts w:ascii="Times New Roman" w:hAnsi="Times New Roman" w:eastAsia="黑体"/>
          <w:color w:val="000000"/>
          <w:szCs w:val="21"/>
        </w:rPr>
      </w:pPr>
      <w:r>
        <w:rPr>
          <w:rFonts w:ascii="Times New Roman" w:hAnsi="Times New Roman" w:eastAsia="黑体"/>
          <w:color w:val="000000"/>
          <w:szCs w:val="21"/>
        </w:rPr>
        <w:br w:type="page"/>
      </w:r>
    </w:p>
    <w:p>
      <w:pPr>
        <w:widowControl/>
        <w:spacing w:line="360" w:lineRule="auto"/>
        <w:jc w:val="center"/>
        <w:outlineLvl w:val="0"/>
        <w:rPr>
          <w:rFonts w:ascii="Times New Roman" w:hAnsi="Times New Roman" w:eastAsia="黑体"/>
          <w:color w:val="000000"/>
          <w:szCs w:val="21"/>
        </w:rPr>
      </w:pPr>
      <w:r>
        <w:rPr>
          <w:rFonts w:hint="eastAsia" w:ascii="Times New Roman" w:hAnsi="Times New Roman" w:eastAsia="黑体"/>
          <w:color w:val="000000"/>
          <w:szCs w:val="21"/>
        </w:rPr>
        <w:t>附录B（规范性附录）</w:t>
      </w:r>
    </w:p>
    <w:p>
      <w:pPr>
        <w:spacing w:line="360" w:lineRule="auto"/>
        <w:jc w:val="center"/>
        <w:rPr>
          <w:rFonts w:ascii="Times New Roman" w:hAnsi="Times New Roman" w:eastAsia="黑体"/>
          <w:color w:val="000000"/>
          <w:szCs w:val="21"/>
        </w:rPr>
      </w:pPr>
      <w:r>
        <w:rPr>
          <w:rFonts w:hint="eastAsia" w:ascii="Times New Roman" w:hAnsi="Times New Roman" w:eastAsia="黑体"/>
          <w:color w:val="000000"/>
          <w:szCs w:val="21"/>
        </w:rPr>
        <w:t>四氧化三钴产品生命周期评价方法</w:t>
      </w: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 xml:space="preserve">.1 </w:t>
      </w:r>
      <w:r>
        <w:rPr>
          <w:rFonts w:hint="eastAsia" w:ascii="Times New Roman" w:hAnsi="Times New Roman" w:eastAsia="黑体"/>
          <w:color w:val="000000"/>
          <w:szCs w:val="21"/>
        </w:rPr>
        <w:t>概况</w:t>
      </w:r>
    </w:p>
    <w:p>
      <w:pPr>
        <w:spacing w:line="360" w:lineRule="auto"/>
        <w:ind w:firstLine="420"/>
        <w:rPr>
          <w:rFonts w:ascii="Times New Roman" w:hAnsi="Times New Roman"/>
          <w:color w:val="000000"/>
          <w:szCs w:val="21"/>
        </w:rPr>
      </w:pPr>
      <w:r>
        <w:rPr>
          <w:rFonts w:hint="eastAsia" w:ascii="Times New Roman" w:hAnsi="Times New Roman"/>
          <w:color w:val="000000"/>
          <w:szCs w:val="21"/>
        </w:rPr>
        <w:t>依据</w:t>
      </w:r>
      <w:r>
        <w:rPr>
          <w:rFonts w:ascii="Times New Roman" w:hAnsi="Times New Roman"/>
          <w:color w:val="000000"/>
          <w:szCs w:val="21"/>
        </w:rPr>
        <w:t>GB/T 24040</w:t>
      </w:r>
      <w:r>
        <w:rPr>
          <w:rFonts w:hint="eastAsia" w:ascii="Times New Roman" w:hAnsi="Times New Roman"/>
          <w:color w:val="000000"/>
          <w:szCs w:val="21"/>
        </w:rPr>
        <w:t>和</w:t>
      </w:r>
      <w:r>
        <w:rPr>
          <w:rFonts w:ascii="Times New Roman" w:hAnsi="Times New Roman"/>
          <w:color w:val="000000"/>
          <w:szCs w:val="21"/>
        </w:rPr>
        <w:t>GB/T 24044</w:t>
      </w:r>
      <w:r>
        <w:rPr>
          <w:rFonts w:hint="eastAsia" w:ascii="Times New Roman" w:hAnsi="Times New Roman"/>
          <w:color w:val="000000"/>
          <w:szCs w:val="21"/>
        </w:rPr>
        <w:t>，建立四氧化三钴产品的生命周期评价方法。</w:t>
      </w:r>
    </w:p>
    <w:p>
      <w:pPr>
        <w:spacing w:line="360" w:lineRule="auto"/>
        <w:ind w:firstLine="420"/>
        <w:rPr>
          <w:rFonts w:ascii="Times New Roman" w:hAnsi="Times New Roman"/>
          <w:color w:val="000000"/>
          <w:szCs w:val="21"/>
        </w:rPr>
      </w:pPr>
      <w:r>
        <w:rPr>
          <w:rFonts w:hint="eastAsia" w:ascii="Times New Roman" w:hAnsi="Times New Roman"/>
          <w:color w:val="000000"/>
          <w:szCs w:val="21"/>
        </w:rPr>
        <w:t>生命周期评价的过程应包括目的和范围的确定、清单分析、解释和报告等。具体如下：</w:t>
      </w:r>
    </w:p>
    <w:p>
      <w:pPr>
        <w:pStyle w:val="35"/>
        <w:numPr>
          <w:ilvl w:val="0"/>
          <w:numId w:val="6"/>
        </w:numPr>
        <w:spacing w:line="360" w:lineRule="auto"/>
        <w:ind w:left="420" w:firstLine="420"/>
        <w:rPr>
          <w:rFonts w:ascii="Times New Roman" w:hAnsi="Times New Roman"/>
          <w:color w:val="000000"/>
          <w:szCs w:val="21"/>
        </w:rPr>
      </w:pPr>
      <w:r>
        <w:rPr>
          <w:rFonts w:hint="eastAsia" w:ascii="Times New Roman" w:hAnsi="Times New Roman"/>
          <w:color w:val="000000"/>
          <w:szCs w:val="21"/>
        </w:rPr>
        <w:t>目的和范围确定：研究确定评价的目的，确定评价对象及功能单位，界定系统边界和时间边界，明确影响类型、必备要素和可选要素，提出数据及其质量要求，给出评价报告的形式。</w:t>
      </w:r>
    </w:p>
    <w:p>
      <w:pPr>
        <w:pStyle w:val="35"/>
        <w:numPr>
          <w:ilvl w:val="0"/>
          <w:numId w:val="6"/>
        </w:numPr>
        <w:spacing w:line="360" w:lineRule="auto"/>
        <w:ind w:left="420" w:firstLine="420"/>
        <w:rPr>
          <w:rFonts w:ascii="Times New Roman" w:hAnsi="Times New Roman"/>
          <w:color w:val="000000"/>
          <w:szCs w:val="21"/>
        </w:rPr>
      </w:pPr>
      <w:r>
        <w:rPr>
          <w:rFonts w:hint="eastAsia" w:ascii="Times New Roman" w:hAnsi="Times New Roman"/>
          <w:color w:val="000000"/>
          <w:szCs w:val="21"/>
        </w:rPr>
        <w:t>清单分析：主要包括数据收集准备、数据的收集、数据的确认、数据与单元过程的关联、数据与功能单位的关联、清单计算方法、数据合并和数据分配等。</w:t>
      </w:r>
    </w:p>
    <w:p>
      <w:pPr>
        <w:pStyle w:val="35"/>
        <w:numPr>
          <w:ilvl w:val="0"/>
          <w:numId w:val="6"/>
        </w:numPr>
        <w:spacing w:line="360" w:lineRule="auto"/>
        <w:ind w:left="420" w:firstLine="420"/>
        <w:rPr>
          <w:rFonts w:ascii="Times New Roman" w:hAnsi="Times New Roman"/>
          <w:color w:val="000000"/>
          <w:szCs w:val="21"/>
        </w:rPr>
      </w:pPr>
      <w:r>
        <w:rPr>
          <w:rFonts w:hint="eastAsia" w:ascii="Times New Roman" w:hAnsi="Times New Roman"/>
          <w:color w:val="000000"/>
          <w:szCs w:val="21"/>
        </w:rPr>
        <w:t>影响评价：选取影响类型、类型参数和特征化模型，将生命周期清单数据划分到所选的影响类型，计算类型特征化值。</w:t>
      </w:r>
    </w:p>
    <w:p>
      <w:pPr>
        <w:pStyle w:val="35"/>
        <w:numPr>
          <w:ilvl w:val="0"/>
          <w:numId w:val="6"/>
        </w:numPr>
        <w:spacing w:line="360" w:lineRule="auto"/>
        <w:ind w:left="420" w:firstLine="420"/>
        <w:rPr>
          <w:rFonts w:ascii="Times New Roman" w:hAnsi="Times New Roman"/>
          <w:color w:val="000000"/>
          <w:szCs w:val="21"/>
        </w:rPr>
      </w:pPr>
      <w:r>
        <w:rPr>
          <w:rFonts w:hint="eastAsia" w:ascii="Times New Roman" w:hAnsi="Times New Roman"/>
          <w:color w:val="000000"/>
          <w:szCs w:val="21"/>
        </w:rPr>
        <w:t>解释和报告：综合考虑清单分析和影响评价，对评价结果进行完整性、敏感性、一致性和不确定性检查，并对结论、建议和局限性进行说明，编制产品生命周期评价报告。</w:t>
      </w:r>
    </w:p>
    <w:p>
      <w:pPr>
        <w:spacing w:line="360" w:lineRule="auto"/>
        <w:jc w:val="left"/>
        <w:rPr>
          <w:rFonts w:ascii="Times New Roman" w:hAnsi="Times New Roman" w:eastAsia="黑体"/>
          <w:color w:val="000000"/>
          <w:szCs w:val="21"/>
        </w:rPr>
      </w:pP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.2 目的和范围确定</w:t>
      </w: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.2.1 评价目的</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四氧化三钴产品生命周期评价的目的在于汇总和评估在四氧化三钴的生产和包装过程中的所有投入及产出对环境造成的和潜在的影响；通过评估资源和能源利用，以及对于大气、水和土壤的排放物和废弃物对环境的影响，提出四氧化三钴产品绿色设计改进方案，从而提升四氧化三钴的环境友好程度。</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四氧化三钴产品生命周期评价的范围应包括过程单元和基本流、系统边界、影响类型、假设和限制。</w:t>
      </w: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.2.2 功能单位和基本流</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功能单位是对产品功能的量化描述，是数据收集、评价和方案对比的基础，具体包括产品名称、主要规格型号、产品数量与功能描述等信息。四氧化三钴产品的功能单位定义为“生产1t符合YS/T 633-2015 Co</w:t>
      </w:r>
      <w:r>
        <w:rPr>
          <w:rFonts w:ascii="Times New Roman" w:hAnsi="Times New Roman"/>
          <w:color w:val="000000"/>
          <w:szCs w:val="21"/>
          <w:vertAlign w:val="subscript"/>
        </w:rPr>
        <w:t>3</w:t>
      </w:r>
      <w:r>
        <w:rPr>
          <w:rFonts w:ascii="Times New Roman" w:hAnsi="Times New Roman"/>
          <w:color w:val="000000"/>
          <w:szCs w:val="21"/>
        </w:rPr>
        <w:t>O</w:t>
      </w:r>
      <w:r>
        <w:rPr>
          <w:rFonts w:ascii="Times New Roman" w:hAnsi="Times New Roman"/>
          <w:color w:val="000000"/>
          <w:szCs w:val="21"/>
          <w:vertAlign w:val="subscript"/>
        </w:rPr>
        <w:t>4</w:t>
      </w:r>
      <w:r>
        <w:rPr>
          <w:rFonts w:ascii="Times New Roman" w:hAnsi="Times New Roman"/>
          <w:color w:val="000000"/>
          <w:szCs w:val="21"/>
        </w:rPr>
        <w:t>-1质量要求的四氧化三钴产品”。</w:t>
      </w:r>
    </w:p>
    <w:p>
      <w:pPr>
        <w:spacing w:line="360" w:lineRule="auto"/>
        <w:ind w:firstLine="420" w:firstLineChars="200"/>
        <w:jc w:val="left"/>
        <w:rPr>
          <w:rFonts w:ascii="Times New Roman" w:hAnsi="Times New Roman" w:eastAsia="黑体"/>
          <w:color w:val="000000"/>
          <w:szCs w:val="21"/>
        </w:rPr>
      </w:pPr>
      <w:r>
        <w:rPr>
          <w:rFonts w:ascii="Times New Roman" w:hAnsi="Times New Roman"/>
          <w:color w:val="000000"/>
          <w:szCs w:val="21"/>
        </w:rPr>
        <w:t>基本流是提供确定功能所需的产品量，评价中的所有输入和输出均与其有量的关系。</w:t>
      </w: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.2.3 系统边界</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在理想情况下，建立四氧化三钴系统的模型时应使边界上的输入和输出均为基准流。但四氧化三钴的生产过程中，没有充足的时间、数据或资源来进行这样全面的研究，因而必须根据某一工艺环节对环境影响的重要程度来确定对那些单元过程进行模型建立，并决定对这些单元过程研究的详略程度，对于那些对总体结论影响不大的输入和输出则可以不予考虑。</w:t>
      </w:r>
    </w:p>
    <w:p>
      <w:pPr>
        <w:spacing w:line="360" w:lineRule="auto"/>
        <w:ind w:firstLine="420" w:firstLineChars="200"/>
        <w:jc w:val="left"/>
        <w:rPr>
          <w:rFonts w:ascii="Times New Roman" w:hAnsi="Times New Roman" w:eastAsia="黑体"/>
          <w:color w:val="000000"/>
          <w:szCs w:val="21"/>
        </w:rPr>
      </w:pPr>
      <w:r>
        <w:rPr>
          <w:rFonts w:ascii="Times New Roman" w:hAnsi="Times New Roman"/>
          <w:color w:val="000000"/>
          <w:szCs w:val="21"/>
        </w:rPr>
        <w:t>本文件界定的四氧化三钴产品的系统边界包括四氧化三钴生产和四氧化三钴包装等2个阶段。四氧化三钴生产包括</w:t>
      </w:r>
      <w:r>
        <w:rPr>
          <w:rFonts w:hint="eastAsia" w:ascii="Times New Roman" w:hAnsi="Times New Roman"/>
          <w:color w:val="000000"/>
          <w:szCs w:val="21"/>
        </w:rPr>
        <w:t>原料</w:t>
      </w:r>
      <w:r>
        <w:rPr>
          <w:rFonts w:ascii="Times New Roman" w:hAnsi="Times New Roman"/>
          <w:color w:val="000000"/>
          <w:szCs w:val="21"/>
        </w:rPr>
        <w:t>浸取、</w:t>
      </w:r>
      <w:r>
        <w:rPr>
          <w:rFonts w:hint="eastAsia" w:ascii="Times New Roman" w:hAnsi="Times New Roman"/>
          <w:color w:val="000000"/>
          <w:szCs w:val="21"/>
        </w:rPr>
        <w:t>前驱体</w:t>
      </w:r>
      <w:r>
        <w:rPr>
          <w:rFonts w:ascii="Times New Roman" w:hAnsi="Times New Roman"/>
          <w:color w:val="000000"/>
          <w:szCs w:val="21"/>
        </w:rPr>
        <w:t>合成、碳酸钴煅烧</w:t>
      </w:r>
      <w:r>
        <w:rPr>
          <w:rFonts w:hint="eastAsia" w:ascii="Times New Roman" w:hAnsi="Times New Roman"/>
          <w:color w:val="000000"/>
          <w:szCs w:val="21"/>
        </w:rPr>
        <w:t>等</w:t>
      </w:r>
      <w:r>
        <w:rPr>
          <w:rFonts w:ascii="Times New Roman" w:hAnsi="Times New Roman"/>
          <w:color w:val="000000"/>
          <w:szCs w:val="21"/>
        </w:rPr>
        <w:t>过程，根据四氧化三钴产品生产的实际情况，产品评价的系统边界如图</w:t>
      </w:r>
      <w:r>
        <w:rPr>
          <w:rFonts w:hint="eastAsia" w:ascii="Times New Roman" w:hAnsi="Times New Roman"/>
          <w:color w:val="000000"/>
          <w:szCs w:val="21"/>
        </w:rPr>
        <w:t>B</w:t>
      </w:r>
      <w:r>
        <w:rPr>
          <w:rFonts w:ascii="Times New Roman" w:hAnsi="Times New Roman"/>
          <w:color w:val="000000"/>
          <w:szCs w:val="21"/>
        </w:rPr>
        <w:t>.1所示：对于大气、水和土壤的排放物和废弃物的排放点为产品生产系统与外界（环境）的接口。</w:t>
      </w:r>
    </w:p>
    <w:p>
      <w:pPr>
        <w:jc w:val="center"/>
        <w:rPr>
          <w:rFonts w:ascii="Times New Roman" w:hAnsi="Times New Roman"/>
          <w:b/>
          <w:color w:val="000000"/>
          <w:szCs w:val="21"/>
        </w:rPr>
      </w:pPr>
      <w:r>
        <w:rPr>
          <w:rFonts w:ascii="Times New Roman" w:hAnsi="Times New Roman"/>
          <w:color w:val="000000"/>
        </w:rPr>
        <w:pict>
          <v:shape id="_x0000_i1032" o:spt="75" type="#_x0000_t75" style="height:170.8pt;width:471.35pt;" filled="f" o:preferrelative="t" stroked="f" coordsize="21600,21600">
            <v:path/>
            <v:fill on="f" focussize="0,0"/>
            <v:stroke on="f" joinstyle="miter"/>
            <v:imagedata r:id="rId17" o:title=""/>
            <o:lock v:ext="edit" aspectratio="t"/>
            <w10:wrap type="none"/>
            <w10:anchorlock/>
          </v:shape>
        </w:pict>
      </w:r>
      <w:r>
        <w:rPr>
          <w:rFonts w:ascii="Times New Roman" w:hAnsi="Times New Roman"/>
          <w:b/>
          <w:color w:val="000000"/>
          <w:szCs w:val="21"/>
        </w:rPr>
        <w:t>图</w:t>
      </w:r>
      <w:r>
        <w:rPr>
          <w:rFonts w:hint="eastAsia" w:ascii="Times New Roman" w:hAnsi="Times New Roman"/>
          <w:b/>
          <w:color w:val="000000"/>
          <w:szCs w:val="21"/>
        </w:rPr>
        <w:t>B</w:t>
      </w:r>
      <w:r>
        <w:rPr>
          <w:rFonts w:ascii="Times New Roman" w:hAnsi="Times New Roman"/>
          <w:b/>
          <w:color w:val="000000"/>
          <w:szCs w:val="21"/>
        </w:rPr>
        <w:t>.1  四氧化三钴产品生命周期评价的系统边界</w:t>
      </w:r>
    </w:p>
    <w:p>
      <w:pPr>
        <w:spacing w:before="120" w:beforeLines="50" w:after="120" w:afterLines="50"/>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.2.4 数据取舍原则</w:t>
      </w:r>
    </w:p>
    <w:p>
      <w:pPr>
        <w:adjustRightInd w:val="0"/>
        <w:snapToGrid w:val="0"/>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单元过程</w:t>
      </w:r>
      <w:r>
        <w:rPr>
          <w:rFonts w:ascii="Times New Roman" w:hAnsi="Times New Roman"/>
          <w:color w:val="000000"/>
          <w:szCs w:val="21"/>
        </w:rPr>
        <w:t>数据种类很多，应对数据进行适当</w:t>
      </w:r>
      <w:r>
        <w:rPr>
          <w:rFonts w:hint="eastAsia" w:ascii="Times New Roman" w:hAnsi="Times New Roman"/>
          <w:color w:val="000000"/>
          <w:szCs w:val="21"/>
        </w:rPr>
        <w:t>的</w:t>
      </w:r>
      <w:r>
        <w:rPr>
          <w:rFonts w:ascii="Times New Roman" w:hAnsi="Times New Roman"/>
          <w:color w:val="000000"/>
          <w:szCs w:val="21"/>
        </w:rPr>
        <w:t>取舍</w:t>
      </w:r>
      <w:r>
        <w:rPr>
          <w:rFonts w:hint="eastAsia" w:ascii="Times New Roman" w:hAnsi="Times New Roman"/>
          <w:color w:val="000000"/>
          <w:szCs w:val="21"/>
        </w:rPr>
        <w:t>，</w:t>
      </w:r>
      <w:r>
        <w:rPr>
          <w:rFonts w:ascii="Times New Roman" w:hAnsi="Times New Roman"/>
          <w:color w:val="000000"/>
          <w:szCs w:val="21"/>
        </w:rPr>
        <w:t>原则如下：</w:t>
      </w:r>
    </w:p>
    <w:p>
      <w:pPr>
        <w:adjustRightInd w:val="0"/>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a）能源的所有输入均列出；</w:t>
      </w:r>
    </w:p>
    <w:p>
      <w:pPr>
        <w:adjustRightInd w:val="0"/>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b）资源的所有输入均列出；</w:t>
      </w:r>
    </w:p>
    <w:p>
      <w:pPr>
        <w:adjustRightInd w:val="0"/>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c）辅助材料质量小于原料总耗0.1%的项目输入可以忽略；</w:t>
      </w:r>
    </w:p>
    <w:p>
      <w:pPr>
        <w:adjustRightInd w:val="0"/>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d）大气、水体和土壤的各种排放物和废弃物均列出；</w:t>
      </w:r>
    </w:p>
    <w:p>
      <w:pPr>
        <w:adjustRightInd w:val="0"/>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e）取舍原则不适用于有毒有害物质，任何有毒有害的材料和物质均应包含于清单中</w:t>
      </w:r>
      <w:r>
        <w:rPr>
          <w:rFonts w:hint="eastAsia" w:ascii="Times New Roman" w:hAnsi="Times New Roman"/>
          <w:color w:val="000000"/>
          <w:szCs w:val="21"/>
        </w:rPr>
        <w:t>，</w:t>
      </w:r>
      <w:r>
        <w:rPr>
          <w:rFonts w:ascii="Times New Roman" w:hAnsi="Times New Roman"/>
          <w:color w:val="000000"/>
          <w:szCs w:val="21"/>
        </w:rPr>
        <w:t>不可忽略；</w:t>
      </w:r>
    </w:p>
    <w:p>
      <w:pPr>
        <w:adjustRightInd w:val="0"/>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f</w:t>
      </w:r>
      <w:r>
        <w:rPr>
          <w:rFonts w:hint="eastAsia" w:ascii="Times New Roman" w:hAnsi="Times New Roman"/>
          <w:color w:val="000000"/>
          <w:szCs w:val="21"/>
        </w:rPr>
        <w:t>）</w:t>
      </w:r>
      <w:r>
        <w:rPr>
          <w:rFonts w:ascii="Times New Roman" w:hAnsi="Times New Roman"/>
          <w:color w:val="000000"/>
          <w:szCs w:val="21"/>
        </w:rPr>
        <w:t>应该对数据清单中难以获得的数据及其替代数据进行解释说明和敏感性分析。</w:t>
      </w:r>
    </w:p>
    <w:p>
      <w:pPr>
        <w:spacing w:before="120" w:beforeLines="50" w:after="120" w:afterLines="50"/>
        <w:jc w:val="left"/>
        <w:rPr>
          <w:rFonts w:ascii="Times New Roman" w:hAnsi="Times New Roman"/>
          <w:color w:val="000000"/>
          <w:szCs w:val="21"/>
        </w:rPr>
      </w:pPr>
      <w:r>
        <w:rPr>
          <w:rFonts w:hint="eastAsia" w:ascii="Times New Roman" w:hAnsi="Times New Roman"/>
          <w:color w:val="000000"/>
          <w:szCs w:val="21"/>
        </w:rPr>
        <w:t>B</w:t>
      </w:r>
      <w:r>
        <w:rPr>
          <w:rFonts w:ascii="Times New Roman" w:hAnsi="Times New Roman"/>
          <w:color w:val="000000"/>
          <w:szCs w:val="21"/>
        </w:rPr>
        <w:t>. 2.5 分配方法</w:t>
      </w:r>
    </w:p>
    <w:p>
      <w:pPr>
        <w:adjustRightInd w:val="0"/>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若四氧化三钴产品生产过程还得到了其他副产品（例如</w:t>
      </w:r>
      <w:r>
        <w:rPr>
          <w:rFonts w:hint="eastAsia" w:ascii="Times New Roman" w:hAnsi="Times New Roman"/>
          <w:color w:val="000000"/>
          <w:szCs w:val="21"/>
        </w:rPr>
        <w:t>碳酸钴</w:t>
      </w:r>
      <w:r>
        <w:rPr>
          <w:rFonts w:ascii="Times New Roman" w:hAnsi="Times New Roman"/>
          <w:color w:val="000000"/>
          <w:szCs w:val="21"/>
        </w:rPr>
        <w:t>、硫酸钴、氯化钴、硫酸铵、硫酸、盐酸等），需要按照一定的原则和程序，将资源能源输入和环境排放数据分配到各个产品或过程中。数据分配一般按照以下程序进行：</w:t>
      </w:r>
    </w:p>
    <w:p>
      <w:pPr>
        <w:adjustRightInd w:val="0"/>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a）尽量减少或避免出现分配，可将原来收集数据时划分的单元过程再进一步分解，以便将那些与系统功能无关的单元排除在外；或者扩展产品系统边界，把原来排除在系统之外的一些单元过程包括进来。</w:t>
      </w:r>
    </w:p>
    <w:p>
      <w:pPr>
        <w:adjustRightInd w:val="0"/>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b）如果分配不可避免时，则宜将系统的输入输出以能反映出它们潜在物理关系的方式划分到其中的不同产品或功能中；例如，输入输出如何随着系统所提供的产品或功能中的量变而变化</w:t>
      </w:r>
      <w:r>
        <w:rPr>
          <w:rFonts w:hint="eastAsia" w:ascii="Times New Roman" w:hAnsi="Times New Roman"/>
          <w:color w:val="000000"/>
          <w:szCs w:val="21"/>
        </w:rPr>
        <w:t>。</w:t>
      </w:r>
    </w:p>
    <w:p>
      <w:pPr>
        <w:adjustRightInd w:val="0"/>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c) 当物理关系无法建立或无法单独用来作为分配基础时，则宜以能反映它们之间其他关系的方式将输入输出在产品或功能间进行分配。例如，可以根据产品的经济价值按比例将输入输出数据分配到共生产品。</w:t>
      </w:r>
    </w:p>
    <w:p>
      <w:pPr>
        <w:spacing w:before="120" w:beforeLines="50" w:after="120" w:afterLines="50"/>
        <w:jc w:val="left"/>
        <w:rPr>
          <w:rFonts w:ascii="Times New Roman" w:hAnsi="Times New Roman"/>
          <w:color w:val="000000"/>
          <w:szCs w:val="21"/>
        </w:rPr>
      </w:pPr>
      <w:r>
        <w:rPr>
          <w:rFonts w:hint="eastAsia" w:ascii="Times New Roman" w:hAnsi="Times New Roman"/>
          <w:color w:val="000000"/>
          <w:szCs w:val="21"/>
        </w:rPr>
        <w:t>B</w:t>
      </w:r>
      <w:r>
        <w:rPr>
          <w:rFonts w:ascii="Times New Roman" w:hAnsi="Times New Roman"/>
          <w:color w:val="000000"/>
          <w:szCs w:val="21"/>
        </w:rPr>
        <w:t>. 2.6 影响类型和指标的选取</w:t>
      </w:r>
    </w:p>
    <w:p>
      <w:pPr>
        <w:adjustRightInd w:val="0"/>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环境影响类型可分为气候变化、水体富营养化、酸雨、光化学氧化作用、能耗等5种，其影响区域见表</w:t>
      </w:r>
      <w:r>
        <w:rPr>
          <w:rFonts w:hint="eastAsia" w:ascii="Times New Roman" w:hAnsi="Times New Roman"/>
          <w:color w:val="000000"/>
          <w:szCs w:val="21"/>
        </w:rPr>
        <w:t>B</w:t>
      </w:r>
      <w:r>
        <w:rPr>
          <w:rFonts w:ascii="Times New Roman" w:hAnsi="Times New Roman"/>
          <w:color w:val="000000"/>
          <w:szCs w:val="21"/>
        </w:rPr>
        <w:t>.1。</w:t>
      </w:r>
    </w:p>
    <w:tbl>
      <w:tblPr>
        <w:tblStyle w:val="15"/>
        <w:tblpPr w:leftFromText="180" w:rightFromText="180" w:vertAnchor="text" w:horzAnchor="margin" w:tblpXSpec="center" w:tblpY="3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417"/>
        <w:gridCol w:w="3120"/>
        <w:gridCol w:w="99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22" w:type="pct"/>
            <w:vAlign w:val="center"/>
          </w:tcPr>
          <w:p>
            <w:pPr>
              <w:adjustRightInd w:val="0"/>
              <w:snapToGrid w:val="0"/>
              <w:spacing w:line="276" w:lineRule="auto"/>
              <w:jc w:val="center"/>
              <w:textAlignment w:val="center"/>
              <w:rPr>
                <w:rFonts w:ascii="Times New Roman" w:hAnsi="Times New Roman"/>
                <w:bCs/>
                <w:color w:val="000000"/>
                <w:sz w:val="18"/>
                <w:szCs w:val="20"/>
              </w:rPr>
            </w:pPr>
            <w:r>
              <w:rPr>
                <w:rFonts w:ascii="Times New Roman" w:hAnsi="Times New Roman"/>
                <w:color w:val="000000"/>
                <w:sz w:val="18"/>
                <w:szCs w:val="20"/>
              </w:rPr>
              <w:t>影响类型</w:t>
            </w:r>
          </w:p>
        </w:tc>
        <w:tc>
          <w:tcPr>
            <w:tcW w:w="763" w:type="pct"/>
            <w:vAlign w:val="center"/>
          </w:tcPr>
          <w:p>
            <w:pPr>
              <w:adjustRightInd w:val="0"/>
              <w:snapToGrid w:val="0"/>
              <w:spacing w:line="276" w:lineRule="auto"/>
              <w:jc w:val="center"/>
              <w:textAlignment w:val="center"/>
              <w:rPr>
                <w:rFonts w:ascii="Times New Roman" w:hAnsi="Times New Roman"/>
                <w:bCs/>
                <w:color w:val="000000"/>
                <w:sz w:val="18"/>
                <w:szCs w:val="20"/>
              </w:rPr>
            </w:pPr>
            <w:r>
              <w:rPr>
                <w:rFonts w:ascii="Times New Roman" w:hAnsi="Times New Roman"/>
                <w:color w:val="000000"/>
                <w:sz w:val="18"/>
                <w:szCs w:val="20"/>
              </w:rPr>
              <w:t>指标</w:t>
            </w:r>
          </w:p>
        </w:tc>
        <w:tc>
          <w:tcPr>
            <w:tcW w:w="1680" w:type="pct"/>
            <w:vAlign w:val="center"/>
          </w:tcPr>
          <w:p>
            <w:pPr>
              <w:adjustRightInd w:val="0"/>
              <w:snapToGrid w:val="0"/>
              <w:spacing w:line="276" w:lineRule="auto"/>
              <w:ind w:firstLine="420"/>
              <w:jc w:val="center"/>
              <w:textAlignment w:val="center"/>
              <w:rPr>
                <w:rFonts w:ascii="Times New Roman" w:hAnsi="Times New Roman"/>
                <w:bCs/>
                <w:color w:val="000000"/>
                <w:sz w:val="18"/>
                <w:szCs w:val="20"/>
              </w:rPr>
            </w:pPr>
            <w:r>
              <w:rPr>
                <w:rFonts w:ascii="Times New Roman" w:hAnsi="Times New Roman"/>
                <w:color w:val="000000"/>
                <w:sz w:val="18"/>
                <w:szCs w:val="20"/>
              </w:rPr>
              <w:t>简介</w:t>
            </w:r>
          </w:p>
        </w:tc>
        <w:tc>
          <w:tcPr>
            <w:tcW w:w="535" w:type="pct"/>
            <w:vAlign w:val="center"/>
          </w:tcPr>
          <w:p>
            <w:pPr>
              <w:adjustRightInd w:val="0"/>
              <w:snapToGrid w:val="0"/>
              <w:spacing w:line="276" w:lineRule="auto"/>
              <w:jc w:val="center"/>
              <w:textAlignment w:val="center"/>
              <w:rPr>
                <w:rFonts w:ascii="Times New Roman" w:hAnsi="Times New Roman"/>
                <w:bCs/>
                <w:color w:val="000000"/>
                <w:sz w:val="18"/>
                <w:szCs w:val="20"/>
              </w:rPr>
            </w:pPr>
            <w:r>
              <w:rPr>
                <w:rFonts w:ascii="Times New Roman" w:hAnsi="Times New Roman"/>
                <w:color w:val="000000"/>
                <w:sz w:val="18"/>
                <w:szCs w:val="20"/>
              </w:rPr>
              <w:t>单位</w:t>
            </w:r>
          </w:p>
        </w:tc>
        <w:tc>
          <w:tcPr>
            <w:tcW w:w="1200" w:type="pct"/>
            <w:vAlign w:val="center"/>
          </w:tcPr>
          <w:p>
            <w:pPr>
              <w:adjustRightInd w:val="0"/>
              <w:snapToGrid w:val="0"/>
              <w:spacing w:line="276" w:lineRule="auto"/>
              <w:jc w:val="center"/>
              <w:textAlignment w:val="center"/>
              <w:rPr>
                <w:rFonts w:ascii="Times New Roman" w:hAnsi="Times New Roman"/>
                <w:bCs/>
                <w:color w:val="000000"/>
                <w:sz w:val="18"/>
                <w:szCs w:val="20"/>
              </w:rPr>
            </w:pPr>
            <w:r>
              <w:rPr>
                <w:rFonts w:ascii="Times New Roman" w:hAnsi="Times New Roman"/>
                <w:color w:val="000000"/>
                <w:sz w:val="18"/>
                <w:szCs w:val="20"/>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822" w:type="pct"/>
            <w:vAlign w:val="center"/>
          </w:tcPr>
          <w:p>
            <w:pPr>
              <w:adjustRightInd w:val="0"/>
              <w:snapToGrid w:val="0"/>
              <w:spacing w:line="276" w:lineRule="auto"/>
              <w:jc w:val="left"/>
              <w:textAlignment w:val="center"/>
              <w:rPr>
                <w:rFonts w:ascii="Times New Roman" w:hAnsi="Times New Roman"/>
                <w:b/>
                <w:bCs/>
                <w:color w:val="000000"/>
                <w:sz w:val="18"/>
                <w:szCs w:val="20"/>
              </w:rPr>
            </w:pPr>
            <w:r>
              <w:rPr>
                <w:rFonts w:ascii="Times New Roman" w:hAnsi="Times New Roman"/>
                <w:color w:val="000000"/>
                <w:sz w:val="18"/>
                <w:szCs w:val="20"/>
              </w:rPr>
              <w:t>气候变化</w:t>
            </w:r>
          </w:p>
        </w:tc>
        <w:tc>
          <w:tcPr>
            <w:tcW w:w="763" w:type="pct"/>
            <w:vAlign w:val="center"/>
          </w:tcPr>
          <w:p>
            <w:pPr>
              <w:adjustRightInd w:val="0"/>
              <w:snapToGrid w:val="0"/>
              <w:spacing w:line="276" w:lineRule="auto"/>
              <w:jc w:val="left"/>
              <w:textAlignment w:val="center"/>
              <w:rPr>
                <w:rFonts w:ascii="Times New Roman" w:hAnsi="Times New Roman"/>
                <w:color w:val="000000"/>
                <w:sz w:val="18"/>
                <w:szCs w:val="20"/>
              </w:rPr>
            </w:pPr>
            <w:r>
              <w:rPr>
                <w:rFonts w:ascii="Times New Roman" w:hAnsi="Times New Roman"/>
                <w:color w:val="000000"/>
                <w:sz w:val="18"/>
                <w:szCs w:val="20"/>
              </w:rPr>
              <w:t>全球变暖潜力（GWP）（100年）</w:t>
            </w:r>
          </w:p>
        </w:tc>
        <w:tc>
          <w:tcPr>
            <w:tcW w:w="1680" w:type="pct"/>
            <w:vAlign w:val="center"/>
          </w:tcPr>
          <w:p>
            <w:pPr>
              <w:adjustRightInd w:val="0"/>
              <w:snapToGrid w:val="0"/>
              <w:spacing w:line="276" w:lineRule="auto"/>
              <w:jc w:val="left"/>
              <w:textAlignment w:val="center"/>
              <w:rPr>
                <w:rFonts w:ascii="Times New Roman" w:hAnsi="Times New Roman"/>
                <w:color w:val="000000"/>
                <w:sz w:val="18"/>
                <w:szCs w:val="20"/>
              </w:rPr>
            </w:pPr>
            <w:r>
              <w:rPr>
                <w:rFonts w:ascii="Times New Roman" w:hAnsi="Times New Roman"/>
                <w:color w:val="000000"/>
                <w:sz w:val="18"/>
                <w:szCs w:val="20"/>
              </w:rPr>
              <w:t>度量温室气体的排放量，例如CO</w:t>
            </w:r>
            <w:r>
              <w:rPr>
                <w:rFonts w:ascii="Times New Roman" w:hAnsi="Times New Roman"/>
                <w:color w:val="000000"/>
                <w:sz w:val="18"/>
                <w:szCs w:val="20"/>
                <w:vertAlign w:val="subscript"/>
              </w:rPr>
              <w:t xml:space="preserve">2 </w:t>
            </w:r>
            <w:r>
              <w:rPr>
                <w:rFonts w:ascii="Times New Roman" w:hAnsi="Times New Roman"/>
                <w:color w:val="000000"/>
                <w:sz w:val="18"/>
                <w:szCs w:val="20"/>
              </w:rPr>
              <w:t>和甲醛。这些气体排放促使了地表热辐射的过度吸收，加剧了温室效应。</w:t>
            </w:r>
          </w:p>
        </w:tc>
        <w:tc>
          <w:tcPr>
            <w:tcW w:w="535" w:type="pct"/>
            <w:vAlign w:val="center"/>
          </w:tcPr>
          <w:p>
            <w:pPr>
              <w:adjustRightInd w:val="0"/>
              <w:snapToGrid w:val="0"/>
              <w:spacing w:line="276" w:lineRule="auto"/>
              <w:jc w:val="center"/>
              <w:textAlignment w:val="center"/>
              <w:rPr>
                <w:rFonts w:ascii="Times New Roman" w:hAnsi="Times New Roman"/>
                <w:color w:val="000000"/>
                <w:sz w:val="18"/>
                <w:szCs w:val="20"/>
              </w:rPr>
            </w:pPr>
            <w:r>
              <w:rPr>
                <w:rFonts w:ascii="Times New Roman" w:hAnsi="Times New Roman"/>
                <w:color w:val="000000"/>
                <w:sz w:val="18"/>
                <w:szCs w:val="20"/>
              </w:rPr>
              <w:t>kg CO</w:t>
            </w:r>
            <w:r>
              <w:rPr>
                <w:rFonts w:ascii="Times New Roman" w:hAnsi="Times New Roman"/>
                <w:color w:val="000000"/>
                <w:sz w:val="18"/>
                <w:szCs w:val="20"/>
                <w:vertAlign w:val="subscript"/>
              </w:rPr>
              <w:t xml:space="preserve">2 </w:t>
            </w:r>
            <w:r>
              <w:rPr>
                <w:rFonts w:ascii="Times New Roman" w:hAnsi="Times New Roman"/>
                <w:color w:val="000000"/>
                <w:sz w:val="18"/>
                <w:szCs w:val="20"/>
              </w:rPr>
              <w:t>等量</w:t>
            </w:r>
          </w:p>
        </w:tc>
        <w:tc>
          <w:tcPr>
            <w:tcW w:w="1200" w:type="pct"/>
            <w:vAlign w:val="center"/>
          </w:tcPr>
          <w:p>
            <w:pPr>
              <w:adjustRightInd w:val="0"/>
              <w:snapToGrid w:val="0"/>
              <w:spacing w:line="276" w:lineRule="auto"/>
              <w:jc w:val="left"/>
              <w:textAlignment w:val="center"/>
              <w:rPr>
                <w:rFonts w:ascii="Times New Roman" w:hAnsi="Times New Roman"/>
                <w:color w:val="000000"/>
                <w:sz w:val="18"/>
                <w:szCs w:val="20"/>
              </w:rPr>
            </w:pPr>
            <w:r>
              <w:rPr>
                <w:rFonts w:ascii="Times New Roman" w:hAnsi="Times New Roman"/>
                <w:color w:val="000000"/>
                <w:sz w:val="18"/>
                <w:szCs w:val="20"/>
              </w:rPr>
              <w:t>政府间气候变化专门委员会(IPCC). 2013年IPCC发布的国家温室气体清单核算指导手册，2013.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822" w:type="pct"/>
            <w:vAlign w:val="center"/>
          </w:tcPr>
          <w:p>
            <w:pPr>
              <w:adjustRightInd w:val="0"/>
              <w:snapToGrid w:val="0"/>
              <w:spacing w:line="276" w:lineRule="auto"/>
              <w:ind w:firstLine="422"/>
              <w:jc w:val="left"/>
              <w:textAlignment w:val="center"/>
              <w:rPr>
                <w:rFonts w:ascii="Times New Roman" w:hAnsi="Times New Roman"/>
                <w:b/>
                <w:bCs/>
                <w:color w:val="000000"/>
                <w:sz w:val="18"/>
                <w:szCs w:val="20"/>
              </w:rPr>
            </w:pPr>
          </w:p>
          <w:p>
            <w:pPr>
              <w:adjustRightInd w:val="0"/>
              <w:snapToGrid w:val="0"/>
              <w:spacing w:line="276" w:lineRule="auto"/>
              <w:jc w:val="left"/>
              <w:textAlignment w:val="center"/>
              <w:rPr>
                <w:rFonts w:ascii="Times New Roman" w:hAnsi="Times New Roman"/>
                <w:b/>
                <w:bCs/>
                <w:color w:val="000000"/>
                <w:sz w:val="18"/>
                <w:szCs w:val="20"/>
              </w:rPr>
            </w:pPr>
            <w:r>
              <w:rPr>
                <w:rFonts w:ascii="Times New Roman" w:hAnsi="Times New Roman"/>
                <w:color w:val="000000"/>
                <w:sz w:val="18"/>
                <w:szCs w:val="20"/>
              </w:rPr>
              <w:t>水体富营养化</w:t>
            </w:r>
          </w:p>
        </w:tc>
        <w:tc>
          <w:tcPr>
            <w:tcW w:w="763" w:type="pct"/>
            <w:vAlign w:val="center"/>
          </w:tcPr>
          <w:p>
            <w:pPr>
              <w:adjustRightInd w:val="0"/>
              <w:snapToGrid w:val="0"/>
              <w:spacing w:line="276" w:lineRule="auto"/>
              <w:jc w:val="left"/>
              <w:textAlignment w:val="center"/>
              <w:rPr>
                <w:rFonts w:ascii="Times New Roman" w:hAnsi="Times New Roman"/>
                <w:color w:val="000000"/>
                <w:sz w:val="18"/>
                <w:szCs w:val="20"/>
              </w:rPr>
            </w:pPr>
            <w:r>
              <w:rPr>
                <w:rFonts w:ascii="Times New Roman" w:hAnsi="Times New Roman"/>
                <w:color w:val="000000"/>
                <w:sz w:val="18"/>
                <w:szCs w:val="20"/>
              </w:rPr>
              <w:t>水体富营养化潜力(EP)</w:t>
            </w:r>
          </w:p>
        </w:tc>
        <w:tc>
          <w:tcPr>
            <w:tcW w:w="1680" w:type="pct"/>
            <w:vAlign w:val="center"/>
          </w:tcPr>
          <w:p>
            <w:pPr>
              <w:adjustRightInd w:val="0"/>
              <w:snapToGrid w:val="0"/>
              <w:spacing w:line="276" w:lineRule="auto"/>
              <w:jc w:val="left"/>
              <w:textAlignment w:val="center"/>
              <w:rPr>
                <w:rFonts w:ascii="Times New Roman" w:hAnsi="Times New Roman"/>
                <w:color w:val="000000"/>
                <w:sz w:val="18"/>
                <w:szCs w:val="20"/>
              </w:rPr>
            </w:pPr>
            <w:r>
              <w:rPr>
                <w:rFonts w:ascii="Times New Roman" w:hAnsi="Times New Roman"/>
                <w:color w:val="000000"/>
                <w:sz w:val="18"/>
                <w:szCs w:val="20"/>
              </w:rPr>
              <w:t>度量由废水（污染物质）排放引发的水体富营养化。水体富营养化潜力是一个化学计算的过程，主要是核算出氮和磷对陆地和海洋系统的影响（当量）。</w:t>
            </w:r>
          </w:p>
        </w:tc>
        <w:tc>
          <w:tcPr>
            <w:tcW w:w="535" w:type="pct"/>
            <w:vAlign w:val="center"/>
          </w:tcPr>
          <w:p>
            <w:pPr>
              <w:adjustRightInd w:val="0"/>
              <w:snapToGrid w:val="0"/>
              <w:spacing w:line="276" w:lineRule="auto"/>
              <w:jc w:val="center"/>
              <w:textAlignment w:val="center"/>
              <w:rPr>
                <w:rFonts w:ascii="Times New Roman" w:hAnsi="Times New Roman"/>
                <w:color w:val="000000"/>
                <w:sz w:val="18"/>
                <w:szCs w:val="20"/>
              </w:rPr>
            </w:pPr>
            <w:r>
              <w:rPr>
                <w:rFonts w:ascii="Times New Roman" w:hAnsi="Times New Roman"/>
                <w:color w:val="000000"/>
                <w:sz w:val="18"/>
                <w:szCs w:val="20"/>
              </w:rPr>
              <w:t>kg PO</w:t>
            </w:r>
            <w:r>
              <w:rPr>
                <w:rFonts w:ascii="Times New Roman" w:hAnsi="Times New Roman"/>
                <w:color w:val="000000"/>
                <w:sz w:val="18"/>
                <w:szCs w:val="20"/>
                <w:vertAlign w:val="subscript"/>
              </w:rPr>
              <w:t>4</w:t>
            </w:r>
            <w:r>
              <w:rPr>
                <w:rFonts w:ascii="Times New Roman" w:hAnsi="Times New Roman"/>
                <w:color w:val="000000"/>
                <w:sz w:val="18"/>
                <w:szCs w:val="20"/>
                <w:vertAlign w:val="superscript"/>
              </w:rPr>
              <w:t>3-</w:t>
            </w:r>
            <w:r>
              <w:rPr>
                <w:rFonts w:ascii="Times New Roman" w:hAnsi="Times New Roman"/>
                <w:color w:val="000000"/>
                <w:sz w:val="18"/>
                <w:szCs w:val="20"/>
              </w:rPr>
              <w:t>等量</w:t>
            </w:r>
          </w:p>
        </w:tc>
        <w:tc>
          <w:tcPr>
            <w:tcW w:w="1200" w:type="pct"/>
            <w:vAlign w:val="center"/>
          </w:tcPr>
          <w:p>
            <w:pPr>
              <w:adjustRightInd w:val="0"/>
              <w:snapToGrid w:val="0"/>
              <w:spacing w:line="276" w:lineRule="auto"/>
              <w:jc w:val="left"/>
              <w:textAlignment w:val="center"/>
              <w:rPr>
                <w:rFonts w:ascii="Times New Roman" w:hAnsi="Times New Roman"/>
                <w:color w:val="000000"/>
                <w:sz w:val="18"/>
                <w:szCs w:val="20"/>
                <w:lang w:val="de-DE"/>
              </w:rPr>
            </w:pPr>
            <w:r>
              <w:rPr>
                <w:rFonts w:ascii="Times New Roman" w:hAnsi="Times New Roman"/>
                <w:color w:val="000000"/>
                <w:sz w:val="18"/>
                <w:szCs w:val="20"/>
                <w:lang w:val="de-DE"/>
              </w:rPr>
              <w:t>ISO-LCA系列标准使用指南（莱顿大学环境科学研究中心， 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822" w:type="pct"/>
            <w:vAlign w:val="center"/>
          </w:tcPr>
          <w:p>
            <w:pPr>
              <w:adjustRightInd w:val="0"/>
              <w:snapToGrid w:val="0"/>
              <w:spacing w:line="276" w:lineRule="auto"/>
              <w:jc w:val="left"/>
              <w:textAlignment w:val="center"/>
              <w:rPr>
                <w:rFonts w:ascii="Times New Roman" w:hAnsi="Times New Roman"/>
                <w:b/>
                <w:bCs/>
                <w:color w:val="000000"/>
                <w:sz w:val="18"/>
                <w:szCs w:val="20"/>
              </w:rPr>
            </w:pPr>
            <w:r>
              <w:rPr>
                <w:rFonts w:ascii="Times New Roman" w:hAnsi="Times New Roman"/>
                <w:color w:val="000000"/>
                <w:sz w:val="18"/>
                <w:szCs w:val="20"/>
              </w:rPr>
              <w:t>酸雨</w:t>
            </w:r>
          </w:p>
        </w:tc>
        <w:tc>
          <w:tcPr>
            <w:tcW w:w="763" w:type="pct"/>
            <w:vAlign w:val="center"/>
          </w:tcPr>
          <w:p>
            <w:pPr>
              <w:adjustRightInd w:val="0"/>
              <w:snapToGrid w:val="0"/>
              <w:spacing w:line="276" w:lineRule="auto"/>
              <w:jc w:val="left"/>
              <w:textAlignment w:val="center"/>
              <w:rPr>
                <w:rFonts w:ascii="Times New Roman" w:hAnsi="Times New Roman"/>
                <w:color w:val="000000"/>
                <w:sz w:val="18"/>
                <w:szCs w:val="20"/>
              </w:rPr>
            </w:pPr>
            <w:r>
              <w:rPr>
                <w:rFonts w:ascii="Times New Roman" w:hAnsi="Times New Roman"/>
                <w:color w:val="000000"/>
                <w:sz w:val="18"/>
                <w:szCs w:val="20"/>
              </w:rPr>
              <w:t>酸化潜力（AP）</w:t>
            </w:r>
          </w:p>
        </w:tc>
        <w:tc>
          <w:tcPr>
            <w:tcW w:w="1680" w:type="pct"/>
            <w:vAlign w:val="center"/>
          </w:tcPr>
          <w:p>
            <w:pPr>
              <w:adjustRightInd w:val="0"/>
              <w:snapToGrid w:val="0"/>
              <w:spacing w:line="276" w:lineRule="auto"/>
              <w:jc w:val="left"/>
              <w:textAlignment w:val="center"/>
              <w:rPr>
                <w:rFonts w:ascii="Times New Roman" w:hAnsi="Times New Roman"/>
                <w:color w:val="000000"/>
                <w:sz w:val="18"/>
                <w:szCs w:val="20"/>
              </w:rPr>
            </w:pPr>
            <w:r>
              <w:rPr>
                <w:rFonts w:ascii="Times New Roman" w:hAnsi="Times New Roman"/>
                <w:color w:val="000000"/>
                <w:sz w:val="18"/>
                <w:szCs w:val="20"/>
              </w:rPr>
              <w:t>度量（气体）污染物排放引发与酸化有关的环境影响。 酸化潜力是由硫、氮和卤族元素的排放浓度和含量而定的。</w:t>
            </w:r>
          </w:p>
        </w:tc>
        <w:tc>
          <w:tcPr>
            <w:tcW w:w="535" w:type="pct"/>
            <w:vAlign w:val="center"/>
          </w:tcPr>
          <w:p>
            <w:pPr>
              <w:adjustRightInd w:val="0"/>
              <w:snapToGrid w:val="0"/>
              <w:spacing w:line="276" w:lineRule="auto"/>
              <w:jc w:val="center"/>
              <w:textAlignment w:val="center"/>
              <w:rPr>
                <w:rFonts w:ascii="Times New Roman" w:hAnsi="Times New Roman"/>
                <w:color w:val="000000"/>
                <w:sz w:val="18"/>
                <w:szCs w:val="20"/>
              </w:rPr>
            </w:pPr>
            <w:r>
              <w:rPr>
                <w:rFonts w:ascii="Times New Roman" w:hAnsi="Times New Roman"/>
                <w:color w:val="000000"/>
                <w:sz w:val="18"/>
                <w:szCs w:val="20"/>
              </w:rPr>
              <w:t>kg SO</w:t>
            </w:r>
            <w:r>
              <w:rPr>
                <w:rFonts w:ascii="Times New Roman" w:hAnsi="Times New Roman"/>
                <w:color w:val="000000"/>
                <w:sz w:val="18"/>
                <w:szCs w:val="20"/>
                <w:vertAlign w:val="subscript"/>
              </w:rPr>
              <w:t>2</w:t>
            </w:r>
            <w:r>
              <w:rPr>
                <w:rFonts w:ascii="Times New Roman" w:hAnsi="Times New Roman"/>
                <w:color w:val="000000"/>
                <w:sz w:val="18"/>
                <w:szCs w:val="20"/>
              </w:rPr>
              <w:t xml:space="preserve"> 等量</w:t>
            </w:r>
          </w:p>
        </w:tc>
        <w:tc>
          <w:tcPr>
            <w:tcW w:w="1200" w:type="pct"/>
            <w:vAlign w:val="center"/>
          </w:tcPr>
          <w:p>
            <w:pPr>
              <w:adjustRightInd w:val="0"/>
              <w:snapToGrid w:val="0"/>
              <w:spacing w:line="276" w:lineRule="auto"/>
              <w:jc w:val="left"/>
              <w:textAlignment w:val="center"/>
              <w:rPr>
                <w:rFonts w:ascii="Times New Roman" w:hAnsi="Times New Roman"/>
                <w:color w:val="000000"/>
                <w:sz w:val="18"/>
                <w:szCs w:val="20"/>
                <w:lang w:val="de-DE"/>
              </w:rPr>
            </w:pPr>
            <w:r>
              <w:rPr>
                <w:rFonts w:ascii="Times New Roman" w:hAnsi="Times New Roman"/>
                <w:color w:val="000000"/>
                <w:sz w:val="18"/>
                <w:szCs w:val="20"/>
                <w:lang w:val="de-DE"/>
              </w:rPr>
              <w:t>ISO-LCA系列标准使用指南（莱顿大学环境科学研究中心， 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822" w:type="pct"/>
            <w:vAlign w:val="center"/>
          </w:tcPr>
          <w:p>
            <w:pPr>
              <w:adjustRightInd w:val="0"/>
              <w:snapToGrid w:val="0"/>
              <w:spacing w:line="276" w:lineRule="auto"/>
              <w:jc w:val="left"/>
              <w:textAlignment w:val="center"/>
              <w:rPr>
                <w:rFonts w:ascii="Times New Roman" w:hAnsi="Times New Roman"/>
                <w:b/>
                <w:bCs/>
                <w:color w:val="000000"/>
                <w:sz w:val="18"/>
                <w:szCs w:val="20"/>
              </w:rPr>
            </w:pPr>
            <w:r>
              <w:rPr>
                <w:rFonts w:ascii="Times New Roman" w:hAnsi="Times New Roman"/>
                <w:color w:val="000000"/>
                <w:sz w:val="18"/>
                <w:szCs w:val="20"/>
              </w:rPr>
              <w:t>光化学氧化作用</w:t>
            </w:r>
          </w:p>
        </w:tc>
        <w:tc>
          <w:tcPr>
            <w:tcW w:w="763" w:type="pct"/>
            <w:vAlign w:val="center"/>
          </w:tcPr>
          <w:p>
            <w:pPr>
              <w:adjustRightInd w:val="0"/>
              <w:snapToGrid w:val="0"/>
              <w:spacing w:line="276" w:lineRule="auto"/>
              <w:jc w:val="left"/>
              <w:textAlignment w:val="center"/>
              <w:rPr>
                <w:rFonts w:ascii="Times New Roman" w:hAnsi="Times New Roman"/>
                <w:color w:val="000000"/>
                <w:spacing w:val="-1"/>
                <w:sz w:val="18"/>
              </w:rPr>
            </w:pPr>
            <w:r>
              <w:rPr>
                <w:rFonts w:ascii="Times New Roman" w:hAnsi="Times New Roman"/>
                <w:color w:val="000000"/>
                <w:sz w:val="18"/>
                <w:szCs w:val="20"/>
              </w:rPr>
              <w:t>光化学氧化剂生成潜力 (POCP)/光化学烟雾的 影响</w:t>
            </w:r>
          </w:p>
        </w:tc>
        <w:tc>
          <w:tcPr>
            <w:tcW w:w="1680" w:type="pct"/>
            <w:vAlign w:val="center"/>
          </w:tcPr>
          <w:p>
            <w:pPr>
              <w:adjustRightInd w:val="0"/>
              <w:snapToGrid w:val="0"/>
              <w:spacing w:line="276" w:lineRule="auto"/>
              <w:jc w:val="left"/>
              <w:textAlignment w:val="center"/>
              <w:rPr>
                <w:rFonts w:ascii="Times New Roman" w:hAnsi="Times New Roman"/>
                <w:color w:val="000000"/>
                <w:sz w:val="18"/>
                <w:szCs w:val="20"/>
              </w:rPr>
            </w:pPr>
            <w:r>
              <w:rPr>
                <w:rFonts w:ascii="Times New Roman" w:hAnsi="Times New Roman"/>
                <w:color w:val="000000"/>
                <w:sz w:val="18"/>
                <w:szCs w:val="20"/>
              </w:rPr>
              <w:t>度量（气体）污染物排放，包括由参与光化学反应过程的一次污染物和二次污染物的混合物（其中有气体污染物，也有气溶胶）所形成的烟雾污染现象。</w:t>
            </w:r>
          </w:p>
        </w:tc>
        <w:tc>
          <w:tcPr>
            <w:tcW w:w="535" w:type="pct"/>
            <w:vAlign w:val="center"/>
          </w:tcPr>
          <w:p>
            <w:pPr>
              <w:adjustRightInd w:val="0"/>
              <w:snapToGrid w:val="0"/>
              <w:spacing w:line="276" w:lineRule="auto"/>
              <w:jc w:val="center"/>
              <w:textAlignment w:val="center"/>
              <w:rPr>
                <w:rFonts w:ascii="Times New Roman" w:hAnsi="Times New Roman"/>
                <w:color w:val="000000"/>
                <w:sz w:val="18"/>
                <w:szCs w:val="20"/>
              </w:rPr>
            </w:pPr>
            <w:r>
              <w:rPr>
                <w:rFonts w:ascii="Times New Roman" w:hAnsi="Times New Roman"/>
                <w:color w:val="000000"/>
                <w:sz w:val="18"/>
                <w:szCs w:val="20"/>
              </w:rPr>
              <w:t>kg C</w:t>
            </w:r>
            <w:r>
              <w:rPr>
                <w:rFonts w:ascii="Times New Roman" w:hAnsi="Times New Roman"/>
                <w:color w:val="000000"/>
                <w:sz w:val="18"/>
                <w:szCs w:val="20"/>
                <w:vertAlign w:val="subscript"/>
              </w:rPr>
              <w:t>2</w:t>
            </w:r>
            <w:r>
              <w:rPr>
                <w:rFonts w:ascii="Times New Roman" w:hAnsi="Times New Roman"/>
                <w:color w:val="000000"/>
                <w:sz w:val="18"/>
                <w:szCs w:val="20"/>
              </w:rPr>
              <w:t>H</w:t>
            </w:r>
            <w:r>
              <w:rPr>
                <w:rFonts w:ascii="Times New Roman" w:hAnsi="Times New Roman"/>
                <w:color w:val="000000"/>
                <w:sz w:val="18"/>
                <w:szCs w:val="20"/>
                <w:vertAlign w:val="subscript"/>
              </w:rPr>
              <w:t>4</w:t>
            </w:r>
            <w:r>
              <w:rPr>
                <w:rFonts w:ascii="Times New Roman" w:hAnsi="Times New Roman"/>
                <w:color w:val="000000"/>
                <w:sz w:val="18"/>
                <w:szCs w:val="20"/>
              </w:rPr>
              <w:t>等量</w:t>
            </w:r>
          </w:p>
        </w:tc>
        <w:tc>
          <w:tcPr>
            <w:tcW w:w="1200" w:type="pct"/>
            <w:vAlign w:val="center"/>
          </w:tcPr>
          <w:p>
            <w:pPr>
              <w:adjustRightInd w:val="0"/>
              <w:snapToGrid w:val="0"/>
              <w:spacing w:line="276" w:lineRule="auto"/>
              <w:jc w:val="left"/>
              <w:textAlignment w:val="center"/>
              <w:rPr>
                <w:rFonts w:ascii="Times New Roman" w:hAnsi="Times New Roman"/>
                <w:color w:val="000000"/>
                <w:sz w:val="18"/>
                <w:szCs w:val="20"/>
              </w:rPr>
            </w:pPr>
            <w:r>
              <w:rPr>
                <w:rFonts w:ascii="Times New Roman" w:hAnsi="Times New Roman"/>
                <w:color w:val="000000"/>
                <w:sz w:val="18"/>
                <w:szCs w:val="20"/>
                <w:lang w:val="de-DE"/>
              </w:rPr>
              <w:t>ISO-LCA系列标准使用指南（莱顿大学环境科学研究中心， 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2" w:type="pct"/>
            <w:vAlign w:val="center"/>
          </w:tcPr>
          <w:p>
            <w:pPr>
              <w:adjustRightInd w:val="0"/>
              <w:snapToGrid w:val="0"/>
              <w:spacing w:line="276" w:lineRule="auto"/>
              <w:jc w:val="left"/>
              <w:textAlignment w:val="center"/>
              <w:rPr>
                <w:rFonts w:ascii="Times New Roman" w:hAnsi="Times New Roman"/>
                <w:b/>
                <w:bCs/>
                <w:color w:val="000000"/>
                <w:sz w:val="18"/>
                <w:szCs w:val="20"/>
              </w:rPr>
            </w:pPr>
            <w:r>
              <w:rPr>
                <w:rFonts w:ascii="Times New Roman" w:hAnsi="Times New Roman"/>
                <w:color w:val="000000"/>
                <w:sz w:val="18"/>
                <w:szCs w:val="20"/>
              </w:rPr>
              <w:t>初级能源消耗</w:t>
            </w:r>
          </w:p>
        </w:tc>
        <w:tc>
          <w:tcPr>
            <w:tcW w:w="763" w:type="pct"/>
            <w:vAlign w:val="center"/>
          </w:tcPr>
          <w:p>
            <w:pPr>
              <w:adjustRightInd w:val="0"/>
              <w:snapToGrid w:val="0"/>
              <w:spacing w:line="276" w:lineRule="auto"/>
              <w:jc w:val="left"/>
              <w:textAlignment w:val="center"/>
              <w:rPr>
                <w:rFonts w:ascii="Times New Roman" w:hAnsi="Times New Roman"/>
                <w:color w:val="000000"/>
                <w:sz w:val="18"/>
              </w:rPr>
            </w:pPr>
            <w:r>
              <w:rPr>
                <w:rFonts w:ascii="Times New Roman" w:hAnsi="Times New Roman"/>
                <w:color w:val="000000"/>
                <w:sz w:val="18"/>
              </w:rPr>
              <w:t>初级能源消耗(PED)</w:t>
            </w:r>
          </w:p>
          <w:p>
            <w:pPr>
              <w:adjustRightInd w:val="0"/>
              <w:snapToGrid w:val="0"/>
              <w:spacing w:line="276" w:lineRule="auto"/>
              <w:jc w:val="left"/>
              <w:textAlignment w:val="center"/>
              <w:rPr>
                <w:rFonts w:ascii="Times New Roman" w:hAnsi="Times New Roman"/>
                <w:color w:val="000000"/>
                <w:sz w:val="18"/>
                <w:szCs w:val="20"/>
              </w:rPr>
            </w:pPr>
            <w:r>
              <w:rPr>
                <w:rFonts w:ascii="Times New Roman" w:hAnsi="Times New Roman"/>
                <w:color w:val="000000"/>
                <w:sz w:val="18"/>
                <w:szCs w:val="20"/>
              </w:rPr>
              <w:t>一次性消耗化石能源(煤、天然气、石油)和电力</w:t>
            </w:r>
          </w:p>
        </w:tc>
        <w:tc>
          <w:tcPr>
            <w:tcW w:w="1680" w:type="pct"/>
            <w:vAlign w:val="center"/>
          </w:tcPr>
          <w:p>
            <w:pPr>
              <w:adjustRightInd w:val="0"/>
              <w:snapToGrid w:val="0"/>
              <w:spacing w:line="276" w:lineRule="auto"/>
              <w:jc w:val="left"/>
              <w:textAlignment w:val="center"/>
              <w:rPr>
                <w:rFonts w:ascii="Times New Roman" w:hAnsi="Times New Roman"/>
                <w:color w:val="000000"/>
                <w:sz w:val="18"/>
                <w:szCs w:val="20"/>
              </w:rPr>
            </w:pPr>
            <w:r>
              <w:rPr>
                <w:rFonts w:ascii="Times New Roman" w:hAnsi="Times New Roman"/>
                <w:color w:val="000000"/>
                <w:sz w:val="18"/>
              </w:rPr>
              <w:t>从任何来源获取的初级能源消耗总量的测量值。PED是用对非再生能源（例如石油、天然气等）和可再生能源（例如水力、风能和太阳能等）的需求来表示的。能源储存的效率（例如电力、热和蒸汽）也考虑其中。</w:t>
            </w:r>
          </w:p>
        </w:tc>
        <w:tc>
          <w:tcPr>
            <w:tcW w:w="535" w:type="pct"/>
            <w:vAlign w:val="center"/>
          </w:tcPr>
          <w:p>
            <w:pPr>
              <w:adjustRightInd w:val="0"/>
              <w:snapToGrid w:val="0"/>
              <w:spacing w:line="276" w:lineRule="auto"/>
              <w:jc w:val="center"/>
              <w:textAlignment w:val="center"/>
              <w:rPr>
                <w:rFonts w:ascii="Times New Roman" w:hAnsi="Times New Roman"/>
                <w:color w:val="000000"/>
                <w:sz w:val="18"/>
              </w:rPr>
            </w:pPr>
            <w:r>
              <w:rPr>
                <w:rFonts w:ascii="Times New Roman" w:hAnsi="Times New Roman"/>
                <w:color w:val="000000"/>
                <w:sz w:val="18"/>
              </w:rPr>
              <w:t>MJ</w:t>
            </w:r>
          </w:p>
          <w:p>
            <w:pPr>
              <w:adjustRightInd w:val="0"/>
              <w:snapToGrid w:val="0"/>
              <w:spacing w:line="276" w:lineRule="auto"/>
              <w:jc w:val="center"/>
              <w:textAlignment w:val="center"/>
              <w:rPr>
                <w:rFonts w:ascii="Times New Roman" w:hAnsi="Times New Roman"/>
                <w:color w:val="000000"/>
                <w:sz w:val="18"/>
                <w:szCs w:val="20"/>
                <w:highlight w:val="yellow"/>
              </w:rPr>
            </w:pPr>
            <w:r>
              <w:rPr>
                <w:rFonts w:ascii="Times New Roman" w:hAnsi="Times New Roman"/>
                <w:color w:val="000000"/>
                <w:sz w:val="18"/>
              </w:rPr>
              <w:t>(低热值)</w:t>
            </w:r>
          </w:p>
        </w:tc>
        <w:tc>
          <w:tcPr>
            <w:tcW w:w="1200" w:type="pct"/>
            <w:vAlign w:val="center"/>
          </w:tcPr>
          <w:p>
            <w:pPr>
              <w:adjustRightInd w:val="0"/>
              <w:snapToGrid w:val="0"/>
              <w:spacing w:line="276" w:lineRule="auto"/>
              <w:jc w:val="left"/>
              <w:textAlignment w:val="center"/>
              <w:rPr>
                <w:rFonts w:ascii="Times New Roman" w:hAnsi="Times New Roman"/>
                <w:color w:val="000000"/>
                <w:sz w:val="18"/>
                <w:szCs w:val="20"/>
                <w:lang w:val="de-DE"/>
              </w:rPr>
            </w:pPr>
            <w:r>
              <w:rPr>
                <w:rFonts w:ascii="Times New Roman" w:hAnsi="Times New Roman"/>
                <w:color w:val="000000"/>
                <w:sz w:val="18"/>
                <w:szCs w:val="20"/>
                <w:lang w:val="de-DE"/>
              </w:rPr>
              <w:t>ISO-LCA系列标准使用指南（莱顿大学环境科学研究中心， 2001）</w:t>
            </w:r>
          </w:p>
        </w:tc>
      </w:tr>
    </w:tbl>
    <w:p>
      <w:pPr>
        <w:adjustRightInd w:val="0"/>
        <w:snapToGrid w:val="0"/>
        <w:ind w:firstLine="420" w:firstLineChars="200"/>
        <w:jc w:val="center"/>
        <w:rPr>
          <w:rFonts w:ascii="Times New Roman" w:hAnsi="Times New Roman" w:eastAsia="黑体"/>
          <w:color w:val="000000"/>
          <w:szCs w:val="21"/>
        </w:rPr>
      </w:pPr>
      <w:r>
        <w:rPr>
          <w:rFonts w:ascii="Times New Roman" w:hAnsi="Times New Roman" w:eastAsia="黑体"/>
          <w:color w:val="000000"/>
          <w:szCs w:val="21"/>
        </w:rPr>
        <w:t>表</w:t>
      </w:r>
      <w:r>
        <w:rPr>
          <w:rFonts w:hint="eastAsia" w:ascii="Times New Roman" w:hAnsi="Times New Roman" w:eastAsia="黑体"/>
          <w:color w:val="000000"/>
          <w:szCs w:val="21"/>
        </w:rPr>
        <w:t>B</w:t>
      </w:r>
      <w:r>
        <w:rPr>
          <w:rFonts w:ascii="Times New Roman" w:hAnsi="Times New Roman" w:eastAsia="黑体"/>
          <w:color w:val="000000"/>
          <w:szCs w:val="21"/>
        </w:rPr>
        <w:t>.1  四氧化三钴产品的影响类型和指标选取</w:t>
      </w:r>
    </w:p>
    <w:p>
      <w:pPr>
        <w:adjustRightInd w:val="0"/>
        <w:snapToGrid w:val="0"/>
        <w:ind w:firstLine="420" w:firstLineChars="200"/>
        <w:jc w:val="center"/>
        <w:rPr>
          <w:rFonts w:ascii="Times New Roman" w:hAnsi="Times New Roman" w:eastAsia="黑体"/>
          <w:color w:val="000000"/>
          <w:szCs w:val="21"/>
        </w:rPr>
      </w:pP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 2.7 数据质量要求</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数据质量应遵循以下原则和要求：</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a）完整性：充足的样本、合适的期间；</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b）可信度：数据根据测量、检验得到；</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c）时间相关：与评价目标时间差别小于3年；</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d）地理相关：来自评价区域的数据；</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e）技术相关：从评价的企业工艺过程和材料得到数据。</w:t>
      </w: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.3 生命周期清单分析</w:t>
      </w: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.3.1 总则</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应编制四氧化三钴产品系统边界内的所有原材料、辅料、能源和资源的输入，主产品和副产品的输出，和排放到大气、水及土壤的排放物以及废弃物的清单，作为产品生命周期评价的依据。</w:t>
      </w:r>
    </w:p>
    <w:p>
      <w:pPr>
        <w:spacing w:line="360" w:lineRule="auto"/>
        <w:ind w:firstLine="420"/>
        <w:rPr>
          <w:rFonts w:ascii="Times New Roman" w:hAnsi="Times New Roman"/>
          <w:color w:val="000000"/>
        </w:rPr>
      </w:pPr>
      <w:r>
        <w:rPr>
          <w:rFonts w:ascii="Times New Roman" w:hAnsi="Times New Roman"/>
          <w:color w:val="000000"/>
        </w:rPr>
        <w:t>如果数据清单有特殊情况、异常点或其它问题，应在报告中进行明确说明。</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当数据收集完毕后，应对收集的数据进行审定。然后确定每个单元过程的定量输入和输出，将各个单元过程的输入输出数据除以四氧化三钴产品的产量，得到功能单位的资源、能源消耗以及对大气、水体和土壤的各种排放物和废弃物。最后将四氧化三钴产品各单元过程中相同影响因素的数据求和，以获取该影响因素的总量。</w:t>
      </w: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.3.2 数据收集</w:t>
      </w: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.3.2.1 概况</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应将以下阶段的数据纳入数据清单：</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a）四氧化三钴生产；</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b）四氧化三钴包装。</w:t>
      </w:r>
    </w:p>
    <w:p>
      <w:pPr>
        <w:spacing w:line="360" w:lineRule="auto"/>
        <w:ind w:firstLine="420"/>
        <w:rPr>
          <w:rFonts w:ascii="Times New Roman" w:hAnsi="Times New Roman"/>
          <w:color w:val="000000"/>
        </w:rPr>
      </w:pPr>
      <w:r>
        <w:rPr>
          <w:rFonts w:ascii="Times New Roman" w:hAnsi="Times New Roman"/>
          <w:color w:val="000000"/>
        </w:rPr>
        <w:t>基于LCA的信息中要使用的数据可分为两类：现场数据和背景数据。主要数据尽量使用现场数据，如果“现场数据”收集缺乏，可以选择“背景数据”。</w:t>
      </w: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.3.2.2现场数据采集</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通过直接测量、采访、问卷调查或相关文件材料查阅，从企业直接获得的数据为现场数据（参见附录</w:t>
      </w:r>
      <w:r>
        <w:rPr>
          <w:rFonts w:hint="eastAsia" w:ascii="Times New Roman" w:hAnsi="Times New Roman"/>
          <w:color w:val="000000"/>
          <w:szCs w:val="21"/>
        </w:rPr>
        <w:t>C</w:t>
      </w:r>
      <w:r>
        <w:rPr>
          <w:rFonts w:ascii="Times New Roman" w:hAnsi="Times New Roman"/>
          <w:color w:val="000000"/>
          <w:szCs w:val="21"/>
        </w:rPr>
        <w:t>）。数据应包括过程所有已知输入和输出。输入指消耗的原材料、辅料、能源和水等。输出指产品、副产品和排放物。可将排放物分为：排至大气、水和土壤的排放物以及作为固体废弃物的排放物。</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每个单元过程的典型现场数据来源包括：</w:t>
      </w:r>
    </w:p>
    <w:p>
      <w:pPr>
        <w:spacing w:line="360" w:lineRule="auto"/>
        <w:ind w:firstLine="420" w:firstLineChars="200"/>
        <w:jc w:val="left"/>
        <w:rPr>
          <w:rFonts w:hint="eastAsia"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原辅材料</w:t>
      </w:r>
      <w:r>
        <w:rPr>
          <w:rFonts w:ascii="Times New Roman" w:hAnsi="Times New Roman"/>
          <w:color w:val="000000"/>
          <w:szCs w:val="21"/>
        </w:rPr>
        <w:t>出入库记录；</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b）</w:t>
      </w:r>
      <w:r>
        <w:rPr>
          <w:rFonts w:ascii="Times New Roman" w:hAnsi="Times New Roman"/>
          <w:color w:val="000000"/>
          <w:szCs w:val="21"/>
        </w:rPr>
        <w:t>能源和水消耗数据；</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c）排放物的测量值（气体和废水排放物的数量和浓度）；</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d）</w:t>
      </w:r>
      <w:r>
        <w:rPr>
          <w:rFonts w:hint="eastAsia" w:ascii="Times New Roman" w:hAnsi="Times New Roman"/>
          <w:color w:val="000000"/>
          <w:szCs w:val="21"/>
        </w:rPr>
        <w:t>生产运行数据及</w:t>
      </w:r>
      <w:r>
        <w:rPr>
          <w:rFonts w:ascii="Times New Roman" w:hAnsi="Times New Roman"/>
          <w:color w:val="000000"/>
          <w:szCs w:val="21"/>
        </w:rPr>
        <w:t>统计报表；</w:t>
      </w:r>
    </w:p>
    <w:p>
      <w:pPr>
        <w:spacing w:line="360" w:lineRule="auto"/>
        <w:ind w:firstLine="420" w:firstLineChars="200"/>
        <w:jc w:val="left"/>
        <w:rPr>
          <w:rFonts w:hint="eastAsia" w:ascii="Times New Roman" w:hAnsi="Times New Roman"/>
          <w:color w:val="000000"/>
          <w:szCs w:val="21"/>
        </w:rPr>
      </w:pPr>
      <w:r>
        <w:rPr>
          <w:rFonts w:hint="eastAsia" w:ascii="Times New Roman" w:hAnsi="Times New Roman"/>
          <w:color w:val="000000"/>
          <w:szCs w:val="21"/>
        </w:rPr>
        <w:t>e）过程物料</w:t>
      </w:r>
      <w:r>
        <w:rPr>
          <w:rFonts w:ascii="Times New Roman" w:hAnsi="Times New Roman"/>
          <w:color w:val="000000"/>
          <w:szCs w:val="21"/>
        </w:rPr>
        <w:t>及产品测试结果；</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f）</w:t>
      </w:r>
      <w:r>
        <w:rPr>
          <w:rFonts w:hint="eastAsia" w:ascii="Times New Roman" w:hAnsi="Times New Roman"/>
          <w:color w:val="000000"/>
          <w:szCs w:val="21"/>
        </w:rPr>
        <w:t>设备仪表</w:t>
      </w:r>
      <w:r>
        <w:rPr>
          <w:rFonts w:ascii="Times New Roman" w:hAnsi="Times New Roman"/>
          <w:color w:val="000000"/>
          <w:szCs w:val="21"/>
        </w:rPr>
        <w:t>的计量数据</w:t>
      </w:r>
      <w:r>
        <w:rPr>
          <w:rFonts w:hint="eastAsia" w:ascii="Times New Roman" w:hAnsi="Times New Roman"/>
          <w:color w:val="000000"/>
          <w:szCs w:val="21"/>
        </w:rPr>
        <w:t>；</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g）设备的运行日志</w:t>
      </w:r>
      <w:r>
        <w:rPr>
          <w:rFonts w:hint="eastAsia" w:ascii="Times New Roman" w:hAnsi="Times New Roman"/>
          <w:color w:val="000000"/>
          <w:szCs w:val="21"/>
        </w:rPr>
        <w:t>等</w:t>
      </w:r>
      <w:r>
        <w:rPr>
          <w:rFonts w:ascii="Times New Roman" w:hAnsi="Times New Roman"/>
          <w:color w:val="000000"/>
          <w:szCs w:val="21"/>
        </w:rPr>
        <w:t>。</w:t>
      </w: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.3.2.3.背景数据采集</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背景数据不是直接测量或计算得到的数据。背景数据可以为行业平均数据。所使用数据的来源应有清楚的文件记载并应载入产品生命周期评价报告。</w:t>
      </w: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.3.2.4生命周期各阶段数据采集</w:t>
      </w: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.3.2.4.1生产阶段</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该阶段起源于原料进入厂区，结束于四氧化三钴产品离开厂区。生产活动包括</w:t>
      </w:r>
      <w:r>
        <w:rPr>
          <w:rFonts w:hint="eastAsia" w:ascii="Times New Roman" w:hAnsi="Times New Roman"/>
          <w:color w:val="000000"/>
          <w:szCs w:val="21"/>
        </w:rPr>
        <w:t>以</w:t>
      </w:r>
      <w:r>
        <w:rPr>
          <w:rFonts w:ascii="Times New Roman" w:hAnsi="Times New Roman"/>
          <w:color w:val="000000"/>
          <w:szCs w:val="21"/>
        </w:rPr>
        <w:t>含钴矿料、含钴</w:t>
      </w:r>
      <w:r>
        <w:rPr>
          <w:rFonts w:hint="eastAsia" w:ascii="Times New Roman" w:hAnsi="Times New Roman"/>
          <w:color w:val="000000"/>
          <w:szCs w:val="21"/>
        </w:rPr>
        <w:t>合金料</w:t>
      </w:r>
      <w:r>
        <w:rPr>
          <w:rFonts w:ascii="Times New Roman" w:hAnsi="Times New Roman"/>
          <w:color w:val="000000"/>
          <w:szCs w:val="21"/>
        </w:rPr>
        <w:t>、钴盐中间品、</w:t>
      </w:r>
      <w:r>
        <w:rPr>
          <w:rFonts w:hint="eastAsia" w:ascii="Times New Roman" w:hAnsi="Times New Roman"/>
          <w:color w:val="000000"/>
          <w:szCs w:val="21"/>
        </w:rPr>
        <w:t>含钴</w:t>
      </w:r>
      <w:r>
        <w:rPr>
          <w:rFonts w:ascii="Times New Roman" w:hAnsi="Times New Roman"/>
          <w:color w:val="000000"/>
          <w:szCs w:val="21"/>
        </w:rPr>
        <w:t>二次资源等为原料，经过浸出、萃取、合成、煅烧</w:t>
      </w:r>
      <w:r>
        <w:rPr>
          <w:rFonts w:hint="eastAsia" w:ascii="Times New Roman" w:hAnsi="Times New Roman"/>
          <w:color w:val="000000"/>
          <w:szCs w:val="21"/>
        </w:rPr>
        <w:t>等</w:t>
      </w:r>
      <w:r>
        <w:rPr>
          <w:rFonts w:ascii="Times New Roman" w:hAnsi="Times New Roman"/>
          <w:color w:val="000000"/>
          <w:szCs w:val="21"/>
        </w:rPr>
        <w:t>工序中的至少一步工序生产四氧化三钴</w:t>
      </w:r>
      <w:r>
        <w:rPr>
          <w:rFonts w:hint="eastAsia" w:ascii="Times New Roman" w:hAnsi="Times New Roman"/>
          <w:color w:val="000000"/>
          <w:szCs w:val="21"/>
        </w:rPr>
        <w:t>产品，</w:t>
      </w:r>
      <w:r>
        <w:rPr>
          <w:rFonts w:ascii="Times New Roman" w:hAnsi="Times New Roman"/>
          <w:color w:val="000000"/>
          <w:szCs w:val="21"/>
        </w:rPr>
        <w:t>以及物料的循环利用等。</w:t>
      </w: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.3.2.4.2包装阶段</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该阶段对验收合格的四氧化三钴进行包装，四氧化三钴包装后入库为止。</w:t>
      </w: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.3.3 数据计算</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数据收集后，应对所收集数据的有效性进行检查，确保数据符合质量要求。将收集的数据与单元过程进行关联，同时与功能单位的基准流进行关联。</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合并来自相同数据类型（比如大气排放）、相同物质（如CO</w:t>
      </w:r>
      <w:r>
        <w:rPr>
          <w:rFonts w:ascii="Times New Roman" w:hAnsi="Times New Roman"/>
          <w:color w:val="000000"/>
          <w:szCs w:val="21"/>
          <w:vertAlign w:val="subscript"/>
        </w:rPr>
        <w:t>2</w:t>
      </w:r>
      <w:r>
        <w:rPr>
          <w:rFonts w:ascii="Times New Roman" w:hAnsi="Times New Roman"/>
          <w:color w:val="000000"/>
          <w:szCs w:val="21"/>
        </w:rPr>
        <w:t>）、不同单元过程的数据，以得到四氧化三钴产品系统的能源消耗、原材料和辅料消耗、水的消耗以及空气排放、水体排放和土壤排放以及废弃物的数据。</w:t>
      </w: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.4 生命周期影响评价</w:t>
      </w: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.4.1 概述</w:t>
      </w:r>
    </w:p>
    <w:p>
      <w:pPr>
        <w:spacing w:line="360" w:lineRule="auto"/>
        <w:ind w:firstLine="420" w:firstLineChars="200"/>
        <w:jc w:val="left"/>
        <w:rPr>
          <w:rFonts w:hint="eastAsia" w:ascii="Times New Roman" w:hAnsi="Times New Roman"/>
          <w:color w:val="000000"/>
          <w:szCs w:val="21"/>
        </w:rPr>
      </w:pPr>
      <w:r>
        <w:rPr>
          <w:rFonts w:ascii="Times New Roman" w:hAnsi="Times New Roman"/>
          <w:color w:val="000000"/>
          <w:szCs w:val="21"/>
        </w:rPr>
        <w:t>根据清单分析所提供的资源消耗数据以及各种排放数据，对产品系统潜在的环境影响进行评价，为生命周期解释提供必要的信息。</w:t>
      </w:r>
      <w:r>
        <w:rPr>
          <w:rFonts w:hint="eastAsia" w:ascii="Times New Roman" w:hAnsi="Times New Roman"/>
          <w:color w:val="000000"/>
          <w:szCs w:val="21"/>
        </w:rPr>
        <w:t>根据GB/T 24040，</w:t>
      </w:r>
      <w:r>
        <w:rPr>
          <w:rFonts w:ascii="Times New Roman" w:hAnsi="Times New Roman"/>
          <w:color w:val="000000"/>
          <w:szCs w:val="21"/>
        </w:rPr>
        <w:t>生命周期影响评价分为必备要素和可选要素。</w:t>
      </w:r>
      <w:r>
        <w:rPr>
          <w:rFonts w:hint="eastAsia" w:ascii="Times New Roman" w:hAnsi="Times New Roman"/>
          <w:color w:val="000000"/>
          <w:szCs w:val="21"/>
        </w:rPr>
        <w:t>必备要素</w:t>
      </w:r>
      <w:r>
        <w:rPr>
          <w:rFonts w:ascii="Times New Roman" w:hAnsi="Times New Roman"/>
          <w:color w:val="000000"/>
          <w:szCs w:val="21"/>
        </w:rPr>
        <w:t>包括影响类型</w:t>
      </w:r>
      <w:r>
        <w:rPr>
          <w:rFonts w:hint="eastAsia" w:ascii="Times New Roman" w:hAnsi="Times New Roman"/>
          <w:color w:val="000000"/>
          <w:szCs w:val="21"/>
        </w:rPr>
        <w:t>、</w:t>
      </w:r>
      <w:r>
        <w:rPr>
          <w:rFonts w:ascii="Times New Roman" w:hAnsi="Times New Roman"/>
          <w:color w:val="000000"/>
          <w:szCs w:val="21"/>
        </w:rPr>
        <w:t>类型参数、特</w:t>
      </w:r>
      <w:r>
        <w:rPr>
          <w:rFonts w:hint="eastAsia" w:ascii="Times New Roman" w:hAnsi="Times New Roman"/>
          <w:color w:val="000000"/>
          <w:szCs w:val="21"/>
        </w:rPr>
        <w:t>征</w:t>
      </w:r>
      <w:r>
        <w:rPr>
          <w:rFonts w:ascii="Times New Roman" w:hAnsi="Times New Roman"/>
          <w:color w:val="000000"/>
          <w:szCs w:val="21"/>
        </w:rPr>
        <w:t>化模型，将清单分析结果分类并划分到相应影响类型，类型参数结果的计算（特征化）。</w:t>
      </w:r>
      <w:r>
        <w:rPr>
          <w:rFonts w:hint="eastAsia" w:ascii="Times New Roman" w:hAnsi="Times New Roman"/>
          <w:color w:val="000000"/>
          <w:szCs w:val="21"/>
        </w:rPr>
        <w:t>本文件不需要对</w:t>
      </w:r>
      <w:r>
        <w:rPr>
          <w:rFonts w:ascii="Times New Roman" w:hAnsi="Times New Roman"/>
          <w:color w:val="000000"/>
          <w:szCs w:val="21"/>
        </w:rPr>
        <w:t>类型参数结果进行归一化和加权计算，因此不涉及可选要素。</w:t>
      </w:r>
    </w:p>
    <w:p>
      <w:pPr>
        <w:spacing w:before="120" w:beforeLines="50" w:after="120" w:afterLines="5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.4.2 数据分类</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根据清单因子的物理化学性质，将对某影响类型有贡献的因子归到一起。例如，将对气候变化有贡献的二氧化碳、甲烷、一氧化二氮等清单因子归到气候变化影响类型里面。</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列表归类，见表</w:t>
      </w:r>
      <w:r>
        <w:rPr>
          <w:rFonts w:hint="eastAsia" w:ascii="Times New Roman" w:hAnsi="Times New Roman"/>
          <w:color w:val="000000"/>
          <w:szCs w:val="21"/>
        </w:rPr>
        <w:t>B</w:t>
      </w:r>
      <w:r>
        <w:rPr>
          <w:rFonts w:ascii="Times New Roman" w:hAnsi="Times New Roman"/>
          <w:color w:val="000000"/>
          <w:szCs w:val="21"/>
        </w:rPr>
        <w:t>.2。</w:t>
      </w:r>
    </w:p>
    <w:p>
      <w:pPr>
        <w:spacing w:line="360" w:lineRule="auto"/>
        <w:ind w:firstLine="420" w:firstLineChars="200"/>
        <w:jc w:val="center"/>
        <w:rPr>
          <w:rFonts w:ascii="Times New Roman" w:hAnsi="Times New Roman" w:eastAsia="黑体"/>
          <w:color w:val="000000"/>
          <w:szCs w:val="21"/>
        </w:rPr>
      </w:pPr>
      <w:r>
        <w:rPr>
          <w:rFonts w:ascii="Times New Roman" w:hAnsi="Times New Roman" w:eastAsia="黑体"/>
          <w:color w:val="000000"/>
          <w:szCs w:val="21"/>
        </w:rPr>
        <w:t>表</w:t>
      </w:r>
      <w:r>
        <w:rPr>
          <w:rFonts w:hint="eastAsia" w:ascii="Times New Roman" w:hAnsi="Times New Roman" w:eastAsia="黑体"/>
          <w:color w:val="000000"/>
          <w:szCs w:val="21"/>
        </w:rPr>
        <w:t>B</w:t>
      </w:r>
      <w:r>
        <w:rPr>
          <w:rFonts w:ascii="Times New Roman" w:hAnsi="Times New Roman" w:eastAsia="黑体"/>
          <w:color w:val="000000"/>
          <w:szCs w:val="21"/>
        </w:rPr>
        <w:t>.2   数据归例示例</w:t>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345"/>
        <w:gridCol w:w="2764"/>
        <w:gridCol w:w="512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43" w:hRule="atLeast"/>
        </w:trPr>
        <w:tc>
          <w:tcPr>
            <w:tcW w:w="1345"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序号</w:t>
            </w:r>
          </w:p>
        </w:tc>
        <w:tc>
          <w:tcPr>
            <w:tcW w:w="2764"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影响类型</w:t>
            </w:r>
          </w:p>
        </w:tc>
        <w:tc>
          <w:tcPr>
            <w:tcW w:w="5121"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清单因子</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43" w:hRule="atLeast"/>
        </w:trPr>
        <w:tc>
          <w:tcPr>
            <w:tcW w:w="1345"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1</w:t>
            </w:r>
          </w:p>
        </w:tc>
        <w:tc>
          <w:tcPr>
            <w:tcW w:w="2764"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气候变化</w:t>
            </w:r>
          </w:p>
        </w:tc>
        <w:tc>
          <w:tcPr>
            <w:tcW w:w="5121"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CO</w:t>
            </w:r>
            <w:r>
              <w:rPr>
                <w:rFonts w:ascii="Times New Roman" w:hAnsi="Times New Roman"/>
                <w:color w:val="000000"/>
                <w:szCs w:val="21"/>
                <w:vertAlign w:val="subscript"/>
              </w:rPr>
              <w:t>2</w:t>
            </w:r>
            <w:r>
              <w:rPr>
                <w:rFonts w:ascii="Times New Roman" w:hAnsi="Times New Roman"/>
                <w:color w:val="000000"/>
                <w:szCs w:val="21"/>
              </w:rPr>
              <w:t>、CO 、CH</w:t>
            </w:r>
            <w:r>
              <w:rPr>
                <w:rFonts w:ascii="Times New Roman" w:hAnsi="Times New Roman"/>
                <w:color w:val="000000"/>
                <w:szCs w:val="21"/>
                <w:vertAlign w:val="subscript"/>
              </w:rPr>
              <w:t>4</w:t>
            </w:r>
            <w:r>
              <w:rPr>
                <w:rFonts w:ascii="Times New Roman" w:hAnsi="Times New Roman"/>
                <w:color w:val="000000"/>
                <w:szCs w:val="21"/>
              </w:rPr>
              <w:t>、NO</w:t>
            </w:r>
            <w:r>
              <w:rPr>
                <w:rFonts w:ascii="Times New Roman" w:hAnsi="Times New Roman"/>
                <w:color w:val="000000"/>
                <w:szCs w:val="21"/>
                <w:vertAlign w:val="subscript"/>
              </w:rPr>
              <w:t>x</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1345"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2764"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水体富营养化</w:t>
            </w:r>
          </w:p>
        </w:tc>
        <w:tc>
          <w:tcPr>
            <w:tcW w:w="5121"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PO</w:t>
            </w:r>
            <w:r>
              <w:rPr>
                <w:rFonts w:ascii="Times New Roman" w:hAnsi="Times New Roman"/>
                <w:color w:val="000000"/>
                <w:szCs w:val="21"/>
                <w:vertAlign w:val="subscript"/>
              </w:rPr>
              <w:t>4</w:t>
            </w:r>
            <w:r>
              <w:rPr>
                <w:rFonts w:ascii="Times New Roman" w:hAnsi="Times New Roman"/>
                <w:color w:val="000000"/>
                <w:szCs w:val="21"/>
                <w:vertAlign w:val="superscript"/>
              </w:rPr>
              <w:t>3-</w:t>
            </w:r>
            <w:r>
              <w:rPr>
                <w:rFonts w:ascii="Times New Roman" w:hAnsi="Times New Roman"/>
                <w:color w:val="000000"/>
                <w:szCs w:val="21"/>
              </w:rPr>
              <w:t>、NO</w:t>
            </w:r>
            <w:r>
              <w:rPr>
                <w:rFonts w:ascii="Times New Roman" w:hAnsi="Times New Roman"/>
                <w:color w:val="000000"/>
                <w:szCs w:val="21"/>
                <w:vertAlign w:val="subscript"/>
              </w:rPr>
              <w:t>x</w:t>
            </w:r>
            <w:r>
              <w:rPr>
                <w:rFonts w:ascii="Times New Roman" w:hAnsi="Times New Roman"/>
                <w:color w:val="000000"/>
                <w:szCs w:val="21"/>
              </w:rPr>
              <w:t>、N、COD</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1345"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3</w:t>
            </w:r>
          </w:p>
        </w:tc>
        <w:tc>
          <w:tcPr>
            <w:tcW w:w="2764"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酸化</w:t>
            </w:r>
          </w:p>
        </w:tc>
        <w:tc>
          <w:tcPr>
            <w:tcW w:w="5121"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SO</w:t>
            </w:r>
            <w:r>
              <w:rPr>
                <w:rFonts w:ascii="Times New Roman" w:hAnsi="Times New Roman"/>
                <w:color w:val="000000"/>
                <w:szCs w:val="21"/>
                <w:vertAlign w:val="subscript"/>
              </w:rPr>
              <w:t>2</w:t>
            </w:r>
            <w:r>
              <w:rPr>
                <w:rFonts w:ascii="Times New Roman" w:hAnsi="Times New Roman"/>
                <w:color w:val="000000"/>
                <w:szCs w:val="21"/>
              </w:rPr>
              <w:t>、NO</w:t>
            </w:r>
            <w:r>
              <w:rPr>
                <w:rFonts w:ascii="Times New Roman" w:hAnsi="Times New Roman"/>
                <w:color w:val="000000"/>
                <w:szCs w:val="21"/>
                <w:vertAlign w:val="subscript"/>
              </w:rPr>
              <w:t>x</w:t>
            </w:r>
            <w:r>
              <w:rPr>
                <w:rFonts w:ascii="Times New Roman" w:hAnsi="Times New Roman"/>
                <w:color w:val="000000"/>
                <w:szCs w:val="21"/>
              </w:rPr>
              <w:t>、H</w:t>
            </w:r>
            <w:r>
              <w:rPr>
                <w:rFonts w:ascii="Times New Roman" w:hAnsi="Times New Roman"/>
                <w:color w:val="000000"/>
                <w:szCs w:val="21"/>
                <w:vertAlign w:val="subscript"/>
              </w:rPr>
              <w:t>3</w:t>
            </w:r>
            <w:r>
              <w:rPr>
                <w:rFonts w:ascii="Times New Roman" w:hAnsi="Times New Roman"/>
                <w:color w:val="000000"/>
                <w:szCs w:val="21"/>
              </w:rPr>
              <w:t>PO</w:t>
            </w:r>
            <w:r>
              <w:rPr>
                <w:rFonts w:ascii="Times New Roman" w:hAnsi="Times New Roman"/>
                <w:color w:val="000000"/>
                <w:szCs w:val="21"/>
                <w:vertAlign w:val="subscript"/>
              </w:rPr>
              <w:t>4</w:t>
            </w:r>
            <w:r>
              <w:rPr>
                <w:rFonts w:ascii="Times New Roman" w:hAnsi="Times New Roman"/>
                <w:color w:val="000000"/>
                <w:szCs w:val="21"/>
              </w:rPr>
              <w:t>、NH</w:t>
            </w:r>
            <w:r>
              <w:rPr>
                <w:rFonts w:ascii="Times New Roman" w:hAnsi="Times New Roman"/>
                <w:color w:val="000000"/>
                <w:szCs w:val="21"/>
                <w:vertAlign w:val="subscript"/>
              </w:rPr>
              <w:t>3</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43" w:hRule="atLeast"/>
        </w:trPr>
        <w:tc>
          <w:tcPr>
            <w:tcW w:w="1345"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4</w:t>
            </w:r>
          </w:p>
        </w:tc>
        <w:tc>
          <w:tcPr>
            <w:tcW w:w="2764"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光化学氧化作用</w:t>
            </w:r>
          </w:p>
        </w:tc>
        <w:tc>
          <w:tcPr>
            <w:tcW w:w="5121"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CO、NO</w:t>
            </w:r>
            <w:r>
              <w:rPr>
                <w:rFonts w:ascii="Times New Roman" w:hAnsi="Times New Roman"/>
                <w:color w:val="000000"/>
                <w:szCs w:val="21"/>
                <w:vertAlign w:val="subscript"/>
              </w:rPr>
              <w:t>x</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1345"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5</w:t>
            </w:r>
          </w:p>
        </w:tc>
        <w:tc>
          <w:tcPr>
            <w:tcW w:w="2764"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能耗</w:t>
            </w:r>
          </w:p>
        </w:tc>
        <w:tc>
          <w:tcPr>
            <w:tcW w:w="5121" w:type="dxa"/>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天然气、</w:t>
            </w:r>
            <w:r>
              <w:rPr>
                <w:rFonts w:hint="eastAsia" w:ascii="Times New Roman" w:hAnsi="Times New Roman"/>
                <w:color w:val="000000"/>
                <w:szCs w:val="21"/>
              </w:rPr>
              <w:t>水</w:t>
            </w:r>
            <w:r>
              <w:rPr>
                <w:rFonts w:ascii="Times New Roman" w:hAnsi="Times New Roman"/>
                <w:color w:val="000000"/>
                <w:szCs w:val="21"/>
              </w:rPr>
              <w:t>等</w:t>
            </w:r>
          </w:p>
        </w:tc>
      </w:tr>
    </w:tbl>
    <w:p>
      <w:pPr>
        <w:ind w:firstLine="420" w:firstLineChars="200"/>
        <w:jc w:val="left"/>
        <w:rPr>
          <w:rFonts w:ascii="Times New Roman" w:hAnsi="Times New Roman"/>
          <w:color w:val="000000"/>
          <w:szCs w:val="21"/>
        </w:rPr>
      </w:pP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.4.3特征化</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根据参考文献中给出的特征化因子采用公式（</w:t>
      </w:r>
      <w:r>
        <w:rPr>
          <w:rFonts w:hint="eastAsia" w:ascii="Times New Roman" w:hAnsi="Times New Roman"/>
          <w:color w:val="000000"/>
          <w:szCs w:val="21"/>
        </w:rPr>
        <w:t>B</w:t>
      </w:r>
      <w:r>
        <w:rPr>
          <w:rFonts w:ascii="Times New Roman" w:hAnsi="Times New Roman"/>
          <w:color w:val="000000"/>
          <w:szCs w:val="21"/>
        </w:rPr>
        <w:t>.1）计算出不同影响类型的特性化值，分类评价的结果采用表</w:t>
      </w:r>
      <w:r>
        <w:rPr>
          <w:rFonts w:hint="eastAsia" w:ascii="Times New Roman" w:hAnsi="Times New Roman"/>
          <w:color w:val="000000"/>
          <w:szCs w:val="21"/>
        </w:rPr>
        <w:t>B</w:t>
      </w:r>
      <w:r>
        <w:rPr>
          <w:rFonts w:ascii="Times New Roman" w:hAnsi="Times New Roman"/>
          <w:color w:val="000000"/>
          <w:szCs w:val="21"/>
        </w:rPr>
        <w:t>.3中的当量物质表示。</w:t>
      </w:r>
    </w:p>
    <w:p>
      <w:pPr>
        <w:ind w:firstLine="420" w:firstLineChars="200"/>
        <w:jc w:val="center"/>
        <w:rPr>
          <w:rFonts w:ascii="Times New Roman" w:hAnsi="Times New Roman" w:eastAsia="黑体"/>
          <w:color w:val="000000"/>
          <w:szCs w:val="21"/>
        </w:rPr>
        <w:sectPr>
          <w:pgSz w:w="11906" w:h="16838"/>
          <w:pgMar w:top="1418" w:right="1418" w:bottom="1440" w:left="1418" w:header="851" w:footer="992" w:gutter="0"/>
          <w:pgBorders w:offsetFrom="page">
            <w:top w:val="single" w:color="FFFFFF" w:sz="8" w:space="24"/>
            <w:left w:val="single" w:color="FFFFFF" w:sz="8" w:space="24"/>
            <w:bottom w:val="single" w:color="FFFFFF" w:sz="8" w:space="24"/>
            <w:right w:val="single" w:color="FFFFFF" w:sz="8" w:space="24"/>
          </w:pgBorders>
          <w:cols w:space="720" w:num="1"/>
          <w:titlePg/>
          <w:docGrid w:linePitch="312" w:charSpace="0"/>
        </w:sectPr>
      </w:pPr>
    </w:p>
    <w:p>
      <w:pPr>
        <w:ind w:firstLine="420" w:firstLineChars="200"/>
        <w:jc w:val="center"/>
        <w:rPr>
          <w:rFonts w:ascii="Times New Roman" w:hAnsi="Times New Roman" w:eastAsia="黑体"/>
          <w:color w:val="000000"/>
          <w:szCs w:val="21"/>
        </w:rPr>
      </w:pPr>
    </w:p>
    <w:p>
      <w:pPr>
        <w:spacing w:line="360" w:lineRule="auto"/>
        <w:ind w:firstLine="420" w:firstLineChars="200"/>
        <w:jc w:val="center"/>
        <w:rPr>
          <w:rFonts w:ascii="Times New Roman" w:hAnsi="Times New Roman" w:eastAsia="黑体"/>
          <w:color w:val="000000"/>
          <w:szCs w:val="21"/>
        </w:rPr>
      </w:pPr>
      <w:r>
        <w:rPr>
          <w:rFonts w:ascii="Times New Roman" w:hAnsi="Times New Roman" w:eastAsia="黑体"/>
          <w:color w:val="000000"/>
          <w:szCs w:val="21"/>
        </w:rPr>
        <w:t>表</w:t>
      </w:r>
      <w:r>
        <w:rPr>
          <w:rFonts w:hint="eastAsia" w:ascii="Times New Roman" w:hAnsi="Times New Roman" w:eastAsia="黑体"/>
          <w:color w:val="000000"/>
          <w:szCs w:val="21"/>
        </w:rPr>
        <w:t>B</w:t>
      </w:r>
      <w:r>
        <w:rPr>
          <w:rFonts w:ascii="Times New Roman" w:hAnsi="Times New Roman" w:eastAsia="黑体"/>
          <w:color w:val="000000"/>
          <w:szCs w:val="21"/>
        </w:rPr>
        <w:t>.3   特征化因子</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1701"/>
        <w:gridCol w:w="1642"/>
        <w:gridCol w:w="413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5" w:hRule="atLeast"/>
          <w:tblHeader/>
        </w:trPr>
        <w:tc>
          <w:tcPr>
            <w:tcW w:w="974"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影响类别</w:t>
            </w:r>
          </w:p>
        </w:tc>
        <w:tc>
          <w:tcPr>
            <w:tcW w:w="916"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单位</w:t>
            </w:r>
          </w:p>
        </w:tc>
        <w:tc>
          <w:tcPr>
            <w:tcW w:w="884"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清单因子</w:t>
            </w:r>
          </w:p>
        </w:tc>
        <w:tc>
          <w:tcPr>
            <w:tcW w:w="2226"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参考文献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1075" w:hRule="atLeast"/>
        </w:trPr>
        <w:tc>
          <w:tcPr>
            <w:tcW w:w="974"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气候变化</w:t>
            </w:r>
          </w:p>
        </w:tc>
        <w:tc>
          <w:tcPr>
            <w:tcW w:w="916"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kg CO</w:t>
            </w:r>
            <w:r>
              <w:rPr>
                <w:rFonts w:ascii="Times New Roman" w:hAnsi="Times New Roman"/>
                <w:color w:val="000000"/>
                <w:szCs w:val="21"/>
                <w:vertAlign w:val="subscript"/>
              </w:rPr>
              <w:t xml:space="preserve">2 </w:t>
            </w:r>
            <w:r>
              <w:rPr>
                <w:rFonts w:ascii="Times New Roman" w:hAnsi="Times New Roman"/>
                <w:color w:val="000000"/>
                <w:szCs w:val="21"/>
              </w:rPr>
              <w:t>等量</w:t>
            </w:r>
          </w:p>
        </w:tc>
        <w:tc>
          <w:tcPr>
            <w:tcW w:w="884" w:type="pct"/>
            <w:vAlign w:val="center"/>
          </w:tcPr>
          <w:p>
            <w:pPr>
              <w:adjustRightInd w:val="0"/>
              <w:snapToGrid w:val="0"/>
              <w:spacing w:line="276" w:lineRule="auto"/>
              <w:rPr>
                <w:rFonts w:ascii="Times New Roman" w:hAnsi="Times New Roman"/>
                <w:color w:val="000000"/>
                <w:szCs w:val="21"/>
              </w:rPr>
            </w:pPr>
            <w:r>
              <w:rPr>
                <w:rFonts w:ascii="Times New Roman" w:hAnsi="Times New Roman"/>
                <w:color w:val="000000"/>
                <w:szCs w:val="21"/>
              </w:rPr>
              <w:t>CO</w:t>
            </w:r>
            <w:r>
              <w:rPr>
                <w:rFonts w:ascii="Times New Roman" w:hAnsi="Times New Roman"/>
                <w:color w:val="000000"/>
                <w:szCs w:val="21"/>
                <w:vertAlign w:val="subscript"/>
              </w:rPr>
              <w:t>2</w:t>
            </w:r>
            <w:r>
              <w:rPr>
                <w:rFonts w:ascii="Times New Roman" w:hAnsi="Times New Roman"/>
                <w:color w:val="000000"/>
                <w:szCs w:val="21"/>
              </w:rPr>
              <w:t>、CO 、CH</w:t>
            </w:r>
            <w:r>
              <w:rPr>
                <w:rFonts w:ascii="Times New Roman" w:hAnsi="Times New Roman"/>
                <w:color w:val="000000"/>
                <w:szCs w:val="21"/>
                <w:vertAlign w:val="subscript"/>
              </w:rPr>
              <w:t>4</w:t>
            </w:r>
            <w:r>
              <w:rPr>
                <w:rFonts w:ascii="Times New Roman" w:hAnsi="Times New Roman"/>
                <w:color w:val="000000"/>
                <w:szCs w:val="21"/>
              </w:rPr>
              <w:t>、NO</w:t>
            </w:r>
            <w:r>
              <w:rPr>
                <w:rFonts w:ascii="Times New Roman" w:hAnsi="Times New Roman"/>
                <w:color w:val="000000"/>
                <w:szCs w:val="21"/>
                <w:vertAlign w:val="subscript"/>
              </w:rPr>
              <w:t>x</w:t>
            </w:r>
          </w:p>
        </w:tc>
        <w:tc>
          <w:tcPr>
            <w:tcW w:w="2226" w:type="pct"/>
            <w:vAlign w:val="center"/>
          </w:tcPr>
          <w:p>
            <w:pPr>
              <w:adjustRightInd w:val="0"/>
              <w:snapToGrid w:val="0"/>
              <w:spacing w:line="276" w:lineRule="auto"/>
              <w:jc w:val="left"/>
              <w:rPr>
                <w:rFonts w:ascii="Times New Roman" w:hAnsi="Times New Roman"/>
                <w:color w:val="000000"/>
                <w:szCs w:val="20"/>
              </w:rPr>
            </w:pPr>
            <w:r>
              <w:rPr>
                <w:rFonts w:ascii="Times New Roman" w:hAnsi="Times New Roman"/>
                <w:color w:val="000000"/>
                <w:szCs w:val="20"/>
              </w:rPr>
              <w:t>政府间气候变化专门委员会(IPCC). 2013年IPCC发布的国家温室气体清单核算指导手册，2013.</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1075" w:hRule="atLeast"/>
        </w:trPr>
        <w:tc>
          <w:tcPr>
            <w:tcW w:w="974"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水体富营养化</w:t>
            </w:r>
          </w:p>
        </w:tc>
        <w:tc>
          <w:tcPr>
            <w:tcW w:w="916"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kg PO</w:t>
            </w:r>
            <w:r>
              <w:rPr>
                <w:rFonts w:ascii="Times New Roman" w:hAnsi="Times New Roman"/>
                <w:color w:val="000000"/>
                <w:szCs w:val="21"/>
                <w:vertAlign w:val="subscript"/>
              </w:rPr>
              <w:t>4</w:t>
            </w:r>
            <w:r>
              <w:rPr>
                <w:rFonts w:ascii="Times New Roman" w:hAnsi="Times New Roman"/>
                <w:color w:val="000000"/>
                <w:szCs w:val="21"/>
                <w:vertAlign w:val="superscript"/>
              </w:rPr>
              <w:t>3-</w:t>
            </w:r>
            <w:r>
              <w:rPr>
                <w:rFonts w:ascii="Times New Roman" w:hAnsi="Times New Roman"/>
                <w:color w:val="000000"/>
                <w:szCs w:val="21"/>
              </w:rPr>
              <w:t>等量</w:t>
            </w:r>
          </w:p>
        </w:tc>
        <w:tc>
          <w:tcPr>
            <w:tcW w:w="884" w:type="pct"/>
            <w:vAlign w:val="center"/>
          </w:tcPr>
          <w:p>
            <w:pPr>
              <w:adjustRightInd w:val="0"/>
              <w:snapToGrid w:val="0"/>
              <w:spacing w:line="276" w:lineRule="auto"/>
              <w:rPr>
                <w:rFonts w:ascii="Times New Roman" w:hAnsi="Times New Roman"/>
                <w:color w:val="000000"/>
                <w:szCs w:val="21"/>
              </w:rPr>
            </w:pPr>
            <w:r>
              <w:rPr>
                <w:rFonts w:ascii="Times New Roman" w:hAnsi="Times New Roman"/>
                <w:color w:val="000000"/>
                <w:szCs w:val="21"/>
              </w:rPr>
              <w:t>PO</w:t>
            </w:r>
            <w:r>
              <w:rPr>
                <w:rFonts w:ascii="Times New Roman" w:hAnsi="Times New Roman"/>
                <w:color w:val="000000"/>
                <w:szCs w:val="21"/>
                <w:vertAlign w:val="subscript"/>
              </w:rPr>
              <w:t>4</w:t>
            </w:r>
            <w:r>
              <w:rPr>
                <w:rFonts w:ascii="Times New Roman" w:hAnsi="Times New Roman"/>
                <w:color w:val="000000"/>
                <w:szCs w:val="21"/>
                <w:vertAlign w:val="superscript"/>
              </w:rPr>
              <w:t>3-</w:t>
            </w:r>
            <w:r>
              <w:rPr>
                <w:rFonts w:ascii="Times New Roman" w:hAnsi="Times New Roman"/>
                <w:color w:val="000000"/>
                <w:szCs w:val="21"/>
              </w:rPr>
              <w:t>、NO</w:t>
            </w:r>
            <w:r>
              <w:rPr>
                <w:rFonts w:ascii="Times New Roman" w:hAnsi="Times New Roman"/>
                <w:color w:val="000000"/>
                <w:szCs w:val="21"/>
                <w:vertAlign w:val="subscript"/>
              </w:rPr>
              <w:t>x</w:t>
            </w:r>
            <w:r>
              <w:rPr>
                <w:rFonts w:ascii="Times New Roman" w:hAnsi="Times New Roman"/>
                <w:color w:val="000000"/>
                <w:szCs w:val="21"/>
              </w:rPr>
              <w:t>、N、COD</w:t>
            </w:r>
          </w:p>
        </w:tc>
        <w:tc>
          <w:tcPr>
            <w:tcW w:w="2226" w:type="pct"/>
            <w:vAlign w:val="center"/>
          </w:tcPr>
          <w:p>
            <w:pPr>
              <w:adjustRightInd w:val="0"/>
              <w:snapToGrid w:val="0"/>
              <w:spacing w:line="276" w:lineRule="auto"/>
              <w:jc w:val="left"/>
              <w:rPr>
                <w:rFonts w:ascii="Times New Roman" w:hAnsi="Times New Roman"/>
                <w:color w:val="000000"/>
                <w:szCs w:val="20"/>
                <w:lang w:val="de-DE"/>
              </w:rPr>
            </w:pPr>
            <w:r>
              <w:rPr>
                <w:rFonts w:ascii="Times New Roman" w:hAnsi="Times New Roman"/>
                <w:color w:val="000000"/>
                <w:szCs w:val="20"/>
                <w:lang w:val="de-DE"/>
              </w:rPr>
              <w:t>ISO-LCA系列标准使用指南（莱顿大学环境科学研究中心， 2001）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1075" w:hRule="atLeast"/>
        </w:trPr>
        <w:tc>
          <w:tcPr>
            <w:tcW w:w="974"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酸化</w:t>
            </w:r>
          </w:p>
        </w:tc>
        <w:tc>
          <w:tcPr>
            <w:tcW w:w="916"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kg SO</w:t>
            </w:r>
            <w:r>
              <w:rPr>
                <w:rFonts w:ascii="Times New Roman" w:hAnsi="Times New Roman"/>
                <w:color w:val="000000"/>
                <w:szCs w:val="21"/>
                <w:vertAlign w:val="subscript"/>
              </w:rPr>
              <w:t>2</w:t>
            </w:r>
            <w:r>
              <w:rPr>
                <w:rFonts w:ascii="Times New Roman" w:hAnsi="Times New Roman"/>
                <w:color w:val="000000"/>
                <w:szCs w:val="21"/>
              </w:rPr>
              <w:t xml:space="preserve"> 等量</w:t>
            </w:r>
          </w:p>
        </w:tc>
        <w:tc>
          <w:tcPr>
            <w:tcW w:w="884" w:type="pct"/>
            <w:vAlign w:val="center"/>
          </w:tcPr>
          <w:p>
            <w:pPr>
              <w:adjustRightInd w:val="0"/>
              <w:snapToGrid w:val="0"/>
              <w:spacing w:line="276" w:lineRule="auto"/>
              <w:rPr>
                <w:rFonts w:ascii="Times New Roman" w:hAnsi="Times New Roman"/>
                <w:color w:val="000000"/>
                <w:szCs w:val="21"/>
              </w:rPr>
            </w:pPr>
            <w:r>
              <w:rPr>
                <w:rFonts w:ascii="Times New Roman" w:hAnsi="Times New Roman"/>
                <w:color w:val="000000"/>
                <w:szCs w:val="21"/>
              </w:rPr>
              <w:t>SO</w:t>
            </w:r>
            <w:r>
              <w:rPr>
                <w:rFonts w:ascii="Times New Roman" w:hAnsi="Times New Roman"/>
                <w:color w:val="000000"/>
                <w:szCs w:val="21"/>
                <w:vertAlign w:val="subscript"/>
              </w:rPr>
              <w:t>2</w:t>
            </w:r>
            <w:r>
              <w:rPr>
                <w:rFonts w:ascii="Times New Roman" w:hAnsi="Times New Roman"/>
                <w:color w:val="000000"/>
                <w:szCs w:val="21"/>
              </w:rPr>
              <w:t>、NO</w:t>
            </w:r>
            <w:r>
              <w:rPr>
                <w:rFonts w:ascii="Times New Roman" w:hAnsi="Times New Roman"/>
                <w:color w:val="000000"/>
                <w:szCs w:val="21"/>
                <w:vertAlign w:val="subscript"/>
              </w:rPr>
              <w:t>x</w:t>
            </w:r>
            <w:r>
              <w:rPr>
                <w:rFonts w:ascii="Times New Roman" w:hAnsi="Times New Roman"/>
                <w:color w:val="000000"/>
                <w:szCs w:val="21"/>
              </w:rPr>
              <w:t>、H</w:t>
            </w:r>
            <w:r>
              <w:rPr>
                <w:rFonts w:ascii="Times New Roman" w:hAnsi="Times New Roman"/>
                <w:color w:val="000000"/>
                <w:szCs w:val="21"/>
                <w:vertAlign w:val="subscript"/>
              </w:rPr>
              <w:t>3</w:t>
            </w:r>
            <w:r>
              <w:rPr>
                <w:rFonts w:ascii="Times New Roman" w:hAnsi="Times New Roman"/>
                <w:color w:val="000000"/>
                <w:szCs w:val="21"/>
              </w:rPr>
              <w:t>PO</w:t>
            </w:r>
            <w:r>
              <w:rPr>
                <w:rFonts w:ascii="Times New Roman" w:hAnsi="Times New Roman"/>
                <w:color w:val="000000"/>
                <w:szCs w:val="21"/>
                <w:vertAlign w:val="subscript"/>
              </w:rPr>
              <w:t>4</w:t>
            </w:r>
            <w:r>
              <w:rPr>
                <w:rFonts w:ascii="Times New Roman" w:hAnsi="Times New Roman"/>
                <w:color w:val="000000"/>
                <w:szCs w:val="21"/>
              </w:rPr>
              <w:t>、NH</w:t>
            </w:r>
            <w:r>
              <w:rPr>
                <w:rFonts w:ascii="Times New Roman" w:hAnsi="Times New Roman"/>
                <w:color w:val="000000"/>
                <w:szCs w:val="21"/>
                <w:vertAlign w:val="subscript"/>
              </w:rPr>
              <w:t>3</w:t>
            </w:r>
          </w:p>
        </w:tc>
        <w:tc>
          <w:tcPr>
            <w:tcW w:w="2226" w:type="pct"/>
            <w:vAlign w:val="center"/>
          </w:tcPr>
          <w:p>
            <w:pPr>
              <w:adjustRightInd w:val="0"/>
              <w:snapToGrid w:val="0"/>
              <w:spacing w:line="276" w:lineRule="auto"/>
              <w:jc w:val="left"/>
              <w:rPr>
                <w:rFonts w:ascii="Times New Roman" w:hAnsi="Times New Roman"/>
                <w:color w:val="000000"/>
                <w:szCs w:val="20"/>
                <w:lang w:val="de-DE"/>
              </w:rPr>
            </w:pPr>
            <w:r>
              <w:rPr>
                <w:rFonts w:ascii="Times New Roman" w:hAnsi="Times New Roman"/>
                <w:color w:val="000000"/>
                <w:szCs w:val="20"/>
                <w:lang w:val="de-DE"/>
              </w:rPr>
              <w:t>ISO-LCA系列标准使用指南（莱顿大学环境科学研究中心， 2001）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tcW w:w="974"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光化学氧化作用</w:t>
            </w:r>
          </w:p>
        </w:tc>
        <w:tc>
          <w:tcPr>
            <w:tcW w:w="916"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kg 乙烯等量</w:t>
            </w:r>
          </w:p>
        </w:tc>
        <w:tc>
          <w:tcPr>
            <w:tcW w:w="884" w:type="pct"/>
            <w:vAlign w:val="center"/>
          </w:tcPr>
          <w:p>
            <w:pPr>
              <w:adjustRightInd w:val="0"/>
              <w:snapToGrid w:val="0"/>
              <w:spacing w:line="276" w:lineRule="auto"/>
              <w:rPr>
                <w:rFonts w:ascii="Times New Roman" w:hAnsi="Times New Roman"/>
                <w:color w:val="000000"/>
                <w:szCs w:val="21"/>
              </w:rPr>
            </w:pPr>
            <w:r>
              <w:rPr>
                <w:rFonts w:ascii="Times New Roman" w:hAnsi="Times New Roman"/>
                <w:color w:val="000000"/>
                <w:szCs w:val="21"/>
              </w:rPr>
              <w:t>CO、NO</w:t>
            </w:r>
            <w:r>
              <w:rPr>
                <w:rFonts w:ascii="Times New Roman" w:hAnsi="Times New Roman"/>
                <w:color w:val="000000"/>
                <w:szCs w:val="21"/>
                <w:vertAlign w:val="subscript"/>
              </w:rPr>
              <w:t>x</w:t>
            </w:r>
          </w:p>
        </w:tc>
        <w:tc>
          <w:tcPr>
            <w:tcW w:w="2226" w:type="pct"/>
            <w:vAlign w:val="center"/>
          </w:tcPr>
          <w:p>
            <w:pPr>
              <w:adjustRightInd w:val="0"/>
              <w:snapToGrid w:val="0"/>
              <w:spacing w:line="276" w:lineRule="auto"/>
              <w:jc w:val="left"/>
              <w:rPr>
                <w:rFonts w:ascii="Times New Roman" w:hAnsi="Times New Roman"/>
                <w:color w:val="000000"/>
                <w:szCs w:val="20"/>
              </w:rPr>
            </w:pPr>
            <w:r>
              <w:rPr>
                <w:rFonts w:ascii="Times New Roman" w:hAnsi="Times New Roman"/>
                <w:color w:val="000000"/>
                <w:szCs w:val="20"/>
                <w:lang w:val="de-DE"/>
              </w:rPr>
              <w:t>ISO-LCA系列标准使用指南（莱顿大学环境科学研究中心， 2001）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974"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能耗</w:t>
            </w:r>
          </w:p>
        </w:tc>
        <w:tc>
          <w:tcPr>
            <w:tcW w:w="916" w:type="pct"/>
            <w:vAlign w:val="center"/>
          </w:tcPr>
          <w:p>
            <w:pPr>
              <w:adjustRightInd w:val="0"/>
              <w:snapToGrid w:val="0"/>
              <w:spacing w:line="276" w:lineRule="auto"/>
              <w:jc w:val="center"/>
              <w:rPr>
                <w:rFonts w:ascii="Times New Roman" w:hAnsi="Times New Roman"/>
                <w:color w:val="000000"/>
                <w:szCs w:val="21"/>
              </w:rPr>
            </w:pPr>
            <w:r>
              <w:rPr>
                <w:rFonts w:ascii="Times New Roman" w:hAnsi="Times New Roman"/>
                <w:color w:val="000000"/>
                <w:szCs w:val="21"/>
              </w:rPr>
              <w:t>MJ(低热值)</w:t>
            </w:r>
          </w:p>
        </w:tc>
        <w:tc>
          <w:tcPr>
            <w:tcW w:w="884" w:type="pct"/>
            <w:vAlign w:val="center"/>
          </w:tcPr>
          <w:p>
            <w:pPr>
              <w:adjustRightInd w:val="0"/>
              <w:snapToGrid w:val="0"/>
              <w:spacing w:line="276" w:lineRule="auto"/>
              <w:rPr>
                <w:rFonts w:ascii="Times New Roman" w:hAnsi="Times New Roman"/>
                <w:color w:val="000000"/>
                <w:szCs w:val="21"/>
              </w:rPr>
            </w:pPr>
            <w:r>
              <w:rPr>
                <w:rFonts w:ascii="Times New Roman" w:hAnsi="Times New Roman"/>
                <w:color w:val="000000"/>
                <w:szCs w:val="21"/>
              </w:rPr>
              <w:t>天然气、</w:t>
            </w:r>
            <w:r>
              <w:rPr>
                <w:rFonts w:hint="eastAsia" w:ascii="Times New Roman" w:hAnsi="Times New Roman"/>
                <w:color w:val="000000"/>
                <w:szCs w:val="21"/>
              </w:rPr>
              <w:t>水</w:t>
            </w:r>
            <w:r>
              <w:rPr>
                <w:rFonts w:ascii="Times New Roman" w:hAnsi="Times New Roman"/>
                <w:color w:val="000000"/>
                <w:szCs w:val="21"/>
              </w:rPr>
              <w:t>等</w:t>
            </w:r>
          </w:p>
        </w:tc>
        <w:tc>
          <w:tcPr>
            <w:tcW w:w="2226" w:type="pct"/>
            <w:vAlign w:val="center"/>
          </w:tcPr>
          <w:p>
            <w:pPr>
              <w:adjustRightInd w:val="0"/>
              <w:snapToGrid w:val="0"/>
              <w:spacing w:line="276" w:lineRule="auto"/>
              <w:jc w:val="left"/>
              <w:rPr>
                <w:rFonts w:ascii="Times New Roman" w:hAnsi="Times New Roman"/>
                <w:color w:val="000000"/>
                <w:szCs w:val="20"/>
                <w:lang w:val="de-DE"/>
              </w:rPr>
            </w:pPr>
            <w:r>
              <w:rPr>
                <w:rFonts w:ascii="Times New Roman" w:hAnsi="Times New Roman"/>
                <w:color w:val="000000"/>
                <w:szCs w:val="20"/>
                <w:lang w:val="de-DE"/>
              </w:rPr>
              <w:t>ISO-LCA系列标准使用指南（莱顿大学环境科学研究中心， 2001）</w:t>
            </w:r>
          </w:p>
        </w:tc>
      </w:tr>
    </w:tbl>
    <w:p>
      <w:pPr>
        <w:ind w:right="420"/>
        <w:rPr>
          <w:rFonts w:ascii="Times New Roman" w:hAnsi="Times New Roman"/>
          <w:i/>
          <w:iCs/>
          <w:color w:val="000000"/>
          <w:szCs w:val="21"/>
        </w:rPr>
      </w:pP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 xml:space="preserve">.4.4计算方法                       </w:t>
      </w:r>
    </w:p>
    <w:p>
      <w:pPr>
        <w:spacing w:line="360" w:lineRule="auto"/>
        <w:ind w:firstLine="3675" w:firstLineChars="1750"/>
        <w:jc w:val="left"/>
        <w:rPr>
          <w:rFonts w:ascii="Times New Roman" w:hAnsi="Times New Roman" w:eastAsia="黑体"/>
          <w:color w:val="000000"/>
          <w:szCs w:val="21"/>
        </w:rPr>
      </w:pPr>
      <w:r>
        <w:rPr>
          <w:rFonts w:ascii="Times New Roman" w:hAnsi="Times New Roman"/>
          <w:i/>
          <w:iCs/>
          <w:color w:val="000000"/>
          <w:szCs w:val="21"/>
        </w:rPr>
        <w:t>EP</w:t>
      </w:r>
      <w:r>
        <w:rPr>
          <w:rFonts w:ascii="Times New Roman" w:hAnsi="Times New Roman"/>
          <w:i/>
          <w:iCs/>
          <w:color w:val="000000"/>
          <w:szCs w:val="21"/>
          <w:vertAlign w:val="subscript"/>
        </w:rPr>
        <w:t>i</w:t>
      </w:r>
      <w:r>
        <w:rPr>
          <w:rFonts w:ascii="Times New Roman" w:hAnsi="Times New Roman"/>
          <w:color w:val="000000"/>
          <w:szCs w:val="21"/>
        </w:rPr>
        <w:t>=∑</w:t>
      </w:r>
      <w:r>
        <w:rPr>
          <w:rFonts w:ascii="Times New Roman" w:hAnsi="Times New Roman"/>
          <w:i/>
          <w:iCs/>
          <w:color w:val="000000"/>
          <w:szCs w:val="21"/>
        </w:rPr>
        <w:t>EP</w:t>
      </w:r>
      <w:r>
        <w:rPr>
          <w:rFonts w:ascii="Times New Roman" w:hAnsi="Times New Roman"/>
          <w:i/>
          <w:iCs/>
          <w:color w:val="000000"/>
          <w:szCs w:val="21"/>
          <w:vertAlign w:val="subscript"/>
        </w:rPr>
        <w:t>ij</w:t>
      </w:r>
      <w:r>
        <w:rPr>
          <w:rFonts w:ascii="Times New Roman" w:hAnsi="Times New Roman"/>
          <w:color w:val="000000"/>
          <w:szCs w:val="21"/>
        </w:rPr>
        <w:t>=∑</w:t>
      </w:r>
      <w:r>
        <w:rPr>
          <w:rFonts w:ascii="Times New Roman" w:hAnsi="Times New Roman"/>
          <w:i/>
          <w:iCs/>
          <w:color w:val="000000"/>
          <w:szCs w:val="21"/>
        </w:rPr>
        <w:t>Q</w:t>
      </w:r>
      <w:r>
        <w:rPr>
          <w:rFonts w:ascii="Times New Roman" w:hAnsi="Times New Roman"/>
          <w:i/>
          <w:iCs/>
          <w:color w:val="000000"/>
          <w:szCs w:val="21"/>
          <w:vertAlign w:val="subscript"/>
        </w:rPr>
        <w:t>j</w:t>
      </w:r>
      <w:r>
        <w:rPr>
          <w:rFonts w:ascii="Times New Roman" w:hAnsi="Times New Roman"/>
          <w:color w:val="000000"/>
          <w:szCs w:val="21"/>
        </w:rPr>
        <w:t>×</w:t>
      </w:r>
      <w:r>
        <w:rPr>
          <w:rFonts w:ascii="Times New Roman" w:hAnsi="Times New Roman"/>
          <w:i/>
          <w:iCs/>
          <w:color w:val="000000"/>
          <w:szCs w:val="21"/>
        </w:rPr>
        <w:t>EF</w:t>
      </w:r>
      <w:r>
        <w:rPr>
          <w:rFonts w:ascii="Times New Roman" w:hAnsi="Times New Roman"/>
          <w:i/>
          <w:iCs/>
          <w:color w:val="000000"/>
          <w:szCs w:val="21"/>
          <w:vertAlign w:val="subscript"/>
        </w:rPr>
        <w:t>ij   ---------------------------------------------------------</w:t>
      </w:r>
      <w:r>
        <w:rPr>
          <w:rFonts w:ascii="Times New Roman" w:hAnsi="Times New Roman"/>
          <w:color w:val="000000"/>
          <w:szCs w:val="21"/>
        </w:rPr>
        <w:t>（</w:t>
      </w:r>
      <w:r>
        <w:rPr>
          <w:rFonts w:hint="eastAsia" w:ascii="Times New Roman" w:hAnsi="Times New Roman"/>
          <w:color w:val="000000"/>
          <w:szCs w:val="21"/>
        </w:rPr>
        <w:t>B</w:t>
      </w:r>
      <w:r>
        <w:rPr>
          <w:rFonts w:ascii="Times New Roman" w:hAnsi="Times New Roman"/>
          <w:color w:val="000000"/>
          <w:szCs w:val="21"/>
        </w:rPr>
        <w:t>.1）</w:t>
      </w:r>
    </w:p>
    <w:p>
      <w:pPr>
        <w:spacing w:line="360" w:lineRule="auto"/>
        <w:ind w:firstLine="420"/>
        <w:rPr>
          <w:rFonts w:ascii="Times New Roman" w:hAnsi="Times New Roman"/>
          <w:color w:val="000000"/>
        </w:rPr>
      </w:pPr>
      <w:r>
        <w:rPr>
          <w:rFonts w:ascii="Times New Roman" w:hAnsi="Times New Roman"/>
          <w:color w:val="000000"/>
        </w:rPr>
        <w:t>式中</w:t>
      </w:r>
    </w:p>
    <w:p>
      <w:pPr>
        <w:spacing w:line="360" w:lineRule="auto"/>
        <w:ind w:firstLine="420"/>
        <w:rPr>
          <w:rFonts w:ascii="Times New Roman" w:hAnsi="Times New Roman"/>
          <w:color w:val="000000"/>
        </w:rPr>
      </w:pPr>
      <w:r>
        <w:rPr>
          <w:rFonts w:ascii="Times New Roman" w:hAnsi="Times New Roman"/>
          <w:i/>
          <w:iCs/>
          <w:color w:val="000000"/>
        </w:rPr>
        <w:t>EP</w:t>
      </w:r>
      <w:r>
        <w:rPr>
          <w:rFonts w:ascii="Times New Roman" w:hAnsi="Times New Roman"/>
          <w:i/>
          <w:iCs/>
          <w:color w:val="000000"/>
          <w:vertAlign w:val="subscript"/>
        </w:rPr>
        <w:t xml:space="preserve">i </w:t>
      </w:r>
      <w:r>
        <w:rPr>
          <w:rFonts w:ascii="Times New Roman" w:hAnsi="Times New Roman"/>
          <w:color w:val="000000"/>
        </w:rPr>
        <w:t>— 第</w:t>
      </w:r>
      <w:r>
        <w:rPr>
          <w:rFonts w:ascii="Times New Roman" w:hAnsi="Times New Roman"/>
          <w:i/>
          <w:iCs/>
          <w:color w:val="000000"/>
        </w:rPr>
        <w:t>i</w:t>
      </w:r>
      <w:r>
        <w:rPr>
          <w:rFonts w:ascii="Times New Roman" w:hAnsi="Times New Roman"/>
          <w:color w:val="000000"/>
        </w:rPr>
        <w:t>种环境类别特征化值；</w:t>
      </w:r>
    </w:p>
    <w:p>
      <w:pPr>
        <w:spacing w:line="360" w:lineRule="auto"/>
        <w:ind w:firstLine="420"/>
        <w:rPr>
          <w:rFonts w:ascii="Times New Roman" w:hAnsi="Times New Roman"/>
          <w:i/>
          <w:iCs/>
          <w:color w:val="000000"/>
        </w:rPr>
      </w:pPr>
      <w:r>
        <w:rPr>
          <w:rFonts w:ascii="Times New Roman" w:hAnsi="Times New Roman"/>
          <w:i/>
          <w:iCs/>
          <w:color w:val="000000"/>
        </w:rPr>
        <w:t>EP</w:t>
      </w:r>
      <w:r>
        <w:rPr>
          <w:rFonts w:ascii="Times New Roman" w:hAnsi="Times New Roman"/>
          <w:i/>
          <w:iCs/>
          <w:color w:val="000000"/>
          <w:vertAlign w:val="subscript"/>
        </w:rPr>
        <w:t>ij</w:t>
      </w:r>
      <w:r>
        <w:rPr>
          <w:rFonts w:ascii="Times New Roman" w:hAnsi="Times New Roman"/>
          <w:color w:val="000000"/>
        </w:rPr>
        <w:t>— 第</w:t>
      </w:r>
      <w:r>
        <w:rPr>
          <w:rFonts w:ascii="Times New Roman" w:hAnsi="Times New Roman"/>
          <w:i/>
          <w:iCs/>
          <w:color w:val="000000"/>
        </w:rPr>
        <w:t>i</w:t>
      </w:r>
      <w:r>
        <w:rPr>
          <w:rFonts w:ascii="Times New Roman" w:hAnsi="Times New Roman"/>
          <w:color w:val="000000"/>
        </w:rPr>
        <w:t>种环境类别中第</w:t>
      </w:r>
      <w:r>
        <w:rPr>
          <w:rFonts w:ascii="Times New Roman" w:hAnsi="Times New Roman"/>
          <w:i/>
          <w:iCs/>
          <w:color w:val="000000"/>
        </w:rPr>
        <w:t xml:space="preserve">j </w:t>
      </w:r>
      <w:r>
        <w:rPr>
          <w:rFonts w:ascii="Times New Roman" w:hAnsi="Times New Roman"/>
          <w:color w:val="000000"/>
        </w:rPr>
        <w:t>种污染物的贡献；</w:t>
      </w:r>
    </w:p>
    <w:p>
      <w:pPr>
        <w:spacing w:line="360" w:lineRule="auto"/>
        <w:ind w:firstLine="420"/>
        <w:rPr>
          <w:rFonts w:ascii="Times New Roman" w:hAnsi="Times New Roman"/>
          <w:color w:val="000000"/>
        </w:rPr>
      </w:pPr>
      <w:r>
        <w:rPr>
          <w:rFonts w:ascii="Times New Roman" w:hAnsi="Times New Roman"/>
          <w:i/>
          <w:iCs/>
          <w:color w:val="000000"/>
        </w:rPr>
        <w:t>Q</w:t>
      </w:r>
      <w:r>
        <w:rPr>
          <w:rFonts w:ascii="Times New Roman" w:hAnsi="Times New Roman"/>
          <w:i/>
          <w:iCs/>
          <w:color w:val="000000"/>
          <w:vertAlign w:val="subscript"/>
        </w:rPr>
        <w:t xml:space="preserve">j </w:t>
      </w:r>
      <w:r>
        <w:rPr>
          <w:rFonts w:ascii="Times New Roman" w:hAnsi="Times New Roman"/>
          <w:color w:val="000000"/>
        </w:rPr>
        <w:t>— 第</w:t>
      </w:r>
      <w:r>
        <w:rPr>
          <w:rFonts w:ascii="Times New Roman" w:hAnsi="Times New Roman"/>
          <w:i/>
          <w:iCs/>
          <w:color w:val="000000"/>
        </w:rPr>
        <w:t xml:space="preserve">j </w:t>
      </w:r>
      <w:r>
        <w:rPr>
          <w:rFonts w:ascii="Times New Roman" w:hAnsi="Times New Roman"/>
          <w:color w:val="000000"/>
        </w:rPr>
        <w:t>种污染物的排放量；</w:t>
      </w:r>
    </w:p>
    <w:p>
      <w:pPr>
        <w:spacing w:line="360" w:lineRule="auto"/>
        <w:ind w:firstLine="420" w:firstLineChars="200"/>
        <w:jc w:val="left"/>
        <w:rPr>
          <w:rFonts w:ascii="Times New Roman" w:hAnsi="Times New Roman"/>
          <w:color w:val="000000"/>
        </w:rPr>
      </w:pPr>
      <w:r>
        <w:rPr>
          <w:rFonts w:ascii="Times New Roman" w:hAnsi="Times New Roman"/>
          <w:i/>
          <w:iCs/>
          <w:color w:val="000000"/>
        </w:rPr>
        <w:t>EF</w:t>
      </w:r>
      <w:r>
        <w:rPr>
          <w:rFonts w:ascii="Times New Roman" w:hAnsi="Times New Roman"/>
          <w:i/>
          <w:iCs/>
          <w:color w:val="000000"/>
          <w:vertAlign w:val="subscript"/>
        </w:rPr>
        <w:t xml:space="preserve">ij </w:t>
      </w:r>
      <w:r>
        <w:rPr>
          <w:rFonts w:ascii="Times New Roman" w:hAnsi="Times New Roman"/>
          <w:color w:val="000000"/>
        </w:rPr>
        <w:t>— 第</w:t>
      </w:r>
      <w:r>
        <w:rPr>
          <w:rFonts w:ascii="Times New Roman" w:hAnsi="Times New Roman"/>
          <w:i/>
          <w:iCs/>
          <w:color w:val="000000"/>
        </w:rPr>
        <w:t>i</w:t>
      </w:r>
      <w:r>
        <w:rPr>
          <w:rFonts w:ascii="Times New Roman" w:hAnsi="Times New Roman"/>
          <w:color w:val="000000"/>
        </w:rPr>
        <w:t>种环境类别中第</w:t>
      </w:r>
      <w:r>
        <w:rPr>
          <w:rFonts w:ascii="Times New Roman" w:hAnsi="Times New Roman"/>
          <w:i/>
          <w:iCs/>
          <w:color w:val="000000"/>
        </w:rPr>
        <w:t>j</w:t>
      </w:r>
      <w:r>
        <w:rPr>
          <w:rFonts w:ascii="Times New Roman" w:hAnsi="Times New Roman"/>
          <w:color w:val="000000"/>
        </w:rPr>
        <w:t>种污染物的特征化因子。</w:t>
      </w: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.5 解释</w:t>
      </w: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.5.1 总则</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解释阶段应包括下述步骤：“评价四氧化三钴产品生命周期模型的可靠性”“识别热点问题”以及“结论、限制和建议”。</w:t>
      </w: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.5.2 四氧化三钴产品生命周期模型的可靠性评价</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四氧化三钴产品生命周期模型的可靠性评价用于评价系统边界、数据来源、分配选择和生命周期影响类型等方法选择对结果的影响程度。</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宜用于评价四氧化三钴产品生命周期模型的工具包括：</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a） 完整性检查：评价数据清单，以确保其相对于确定的目标、范围和质量准则完整。这包括过程范围的完整性（包含了所考虑的各供应链阶段的所有过程）和输入或输出范围（包含了与各过程相关的所有材料或能量输入以及排放量）。</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b）敏感性检查：通过确定最终结果和结论是如何到数据、分配方法或类型参数等的不确定性的影响，来评价其可靠性。</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c）一致性检查：一致性检查的目的是确认假设、方法和数据是否与目的和范围的要求相一致。</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 xml:space="preserve">d） </w:t>
      </w:r>
      <w:r>
        <w:rPr>
          <w:rFonts w:ascii="Times New Roman" w:hAnsi="Times New Roman"/>
          <w:bCs/>
          <w:color w:val="000000"/>
          <w:szCs w:val="21"/>
        </w:rPr>
        <w:t>并以不确定性分析结果和数据质量分析结果作为对上述检查的补充</w:t>
      </w:r>
      <w:r>
        <w:rPr>
          <w:rFonts w:ascii="Times New Roman" w:hAnsi="Times New Roman"/>
          <w:color w:val="000000"/>
          <w:szCs w:val="21"/>
        </w:rPr>
        <w:t>。</w:t>
      </w: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.5.3 热点问题识别与改进方案确定</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为了产生环境效益或至少将环境责任降至最低，应根据清单分析和影响评价阶段的信息提出一系列与所评价四氧化三钴产品相关的生态设计改进方案。</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评估人员根据产品生命周期评价结果提出的改进方案一般是广泛且全面的，并非所有的改进方案都能得到实施，需要从技术可行性、环境改进、经济效益、顾客增加值（CVA）影响、生产管理等方面评价改进方案，并进行优先排序，绘制实施者优先排序图和生命周期阶段优先排序图，具体方法参加附录</w:t>
      </w:r>
      <w:r>
        <w:rPr>
          <w:rFonts w:hint="eastAsia" w:ascii="Times New Roman" w:hAnsi="Times New Roman"/>
          <w:color w:val="000000"/>
          <w:szCs w:val="21"/>
        </w:rPr>
        <w:t>D</w:t>
      </w:r>
      <w:r>
        <w:rPr>
          <w:rFonts w:ascii="Times New Roman" w:hAnsi="Times New Roman"/>
          <w:color w:val="000000"/>
          <w:szCs w:val="21"/>
        </w:rPr>
        <w:t>。</w:t>
      </w: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.5.4 结论、建议和限制</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应根据确定的四氧化三钴产品生命周期评价的目标和范围阐述结论、建议和限制。结论宜包括评价结果、“热点问题”摘要和改进方案。</w:t>
      </w:r>
      <w:bookmarkStart w:id="17" w:name="_Toc509405771"/>
      <w:bookmarkStart w:id="18" w:name="_Toc509405179"/>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B</w:t>
      </w:r>
      <w:r>
        <w:rPr>
          <w:rFonts w:ascii="Times New Roman" w:hAnsi="Times New Roman" w:eastAsia="黑体"/>
          <w:color w:val="000000"/>
          <w:szCs w:val="21"/>
        </w:rPr>
        <w:t>.6 生命周期评价（LCA）报告</w:t>
      </w:r>
      <w:bookmarkEnd w:id="17"/>
      <w:bookmarkEnd w:id="18"/>
    </w:p>
    <w:p>
      <w:pPr>
        <w:spacing w:line="360" w:lineRule="auto"/>
        <w:ind w:firstLine="420"/>
        <w:rPr>
          <w:rFonts w:ascii="Times New Roman" w:hAnsi="Times New Roman"/>
          <w:color w:val="000000"/>
        </w:rPr>
      </w:pPr>
      <w:r>
        <w:rPr>
          <w:rFonts w:ascii="Times New Roman" w:hAnsi="Times New Roman"/>
          <w:color w:val="000000"/>
        </w:rPr>
        <w:t>产品LCA报告可用于绿色设计产品评价，也可用于产品碳足迹、水足迹、欧盟产品环境足迹（PEF）、环境产品声明（EPD）等LCA评价，具体要求可参见相关标准和评价体系的规定。</w:t>
      </w:r>
    </w:p>
    <w:p>
      <w:pPr>
        <w:widowControl/>
        <w:jc w:val="center"/>
        <w:outlineLvl w:val="0"/>
        <w:rPr>
          <w:rFonts w:ascii="Times New Roman" w:hAnsi="Times New Roman" w:eastAsia="黑体"/>
          <w:color w:val="000000"/>
          <w:szCs w:val="21"/>
        </w:rPr>
        <w:sectPr>
          <w:pgSz w:w="11906" w:h="16838"/>
          <w:pgMar w:top="1418" w:right="1418" w:bottom="1440" w:left="1418" w:header="851" w:footer="992" w:gutter="0"/>
          <w:pgBorders w:offsetFrom="page">
            <w:top w:val="single" w:color="FFFFFF" w:sz="8" w:space="24"/>
            <w:left w:val="single" w:color="FFFFFF" w:sz="8" w:space="24"/>
            <w:bottom w:val="single" w:color="FFFFFF" w:sz="8" w:space="24"/>
            <w:right w:val="single" w:color="FFFFFF" w:sz="8" w:space="24"/>
          </w:pgBorders>
          <w:cols w:space="720" w:num="1"/>
          <w:titlePg/>
          <w:docGrid w:linePitch="312" w:charSpace="0"/>
        </w:sectPr>
      </w:pPr>
      <w:bookmarkStart w:id="19" w:name="_Toc2755366"/>
    </w:p>
    <w:p>
      <w:pPr>
        <w:widowControl/>
        <w:jc w:val="center"/>
        <w:outlineLvl w:val="0"/>
        <w:rPr>
          <w:rFonts w:ascii="Times New Roman" w:hAnsi="Times New Roman" w:eastAsia="黑体"/>
          <w:color w:val="000000"/>
          <w:szCs w:val="21"/>
        </w:rPr>
      </w:pPr>
      <w:bookmarkStart w:id="20" w:name="_Toc5095413"/>
      <w:r>
        <w:rPr>
          <w:rFonts w:ascii="Times New Roman" w:hAnsi="Times New Roman" w:eastAsia="黑体"/>
          <w:color w:val="000000"/>
          <w:szCs w:val="21"/>
        </w:rPr>
        <w:t>附录</w:t>
      </w:r>
      <w:r>
        <w:rPr>
          <w:rFonts w:hint="eastAsia" w:ascii="Times New Roman" w:hAnsi="Times New Roman" w:eastAsia="黑体"/>
          <w:color w:val="000000"/>
          <w:szCs w:val="21"/>
        </w:rPr>
        <w:t>C</w:t>
      </w:r>
      <w:r>
        <w:rPr>
          <w:rFonts w:ascii="Times New Roman" w:hAnsi="Times New Roman" w:eastAsia="黑体"/>
          <w:color w:val="000000"/>
          <w:szCs w:val="21"/>
        </w:rPr>
        <w:t xml:space="preserve"> （规范性附录）</w:t>
      </w:r>
      <w:r>
        <w:rPr>
          <w:rFonts w:ascii="Times New Roman" w:hAnsi="Times New Roman" w:eastAsia="黑体"/>
          <w:color w:val="000000"/>
          <w:szCs w:val="21"/>
        </w:rPr>
        <w:br w:type="textWrapping"/>
      </w:r>
      <w:r>
        <w:rPr>
          <w:rFonts w:ascii="Times New Roman" w:hAnsi="Times New Roman" w:eastAsia="黑体"/>
          <w:color w:val="000000"/>
          <w:szCs w:val="21"/>
        </w:rPr>
        <w:t>数据分析方法示例</w:t>
      </w:r>
      <w:bookmarkEnd w:id="19"/>
      <w:bookmarkEnd w:id="20"/>
    </w:p>
    <w:p>
      <w:pPr>
        <w:spacing w:line="360" w:lineRule="auto"/>
        <w:jc w:val="left"/>
        <w:rPr>
          <w:rFonts w:ascii="Times New Roman" w:hAnsi="Times New Roman" w:eastAsia="黑体"/>
          <w:color w:val="000000"/>
          <w:szCs w:val="21"/>
        </w:rPr>
      </w:pPr>
      <w:bookmarkStart w:id="21" w:name="_Toc2755367"/>
      <w:r>
        <w:rPr>
          <w:rFonts w:hint="eastAsia" w:ascii="Times New Roman" w:hAnsi="Times New Roman" w:eastAsia="黑体"/>
          <w:color w:val="000000"/>
          <w:szCs w:val="21"/>
        </w:rPr>
        <w:t>C</w:t>
      </w:r>
      <w:r>
        <w:rPr>
          <w:rFonts w:ascii="Times New Roman" w:hAnsi="Times New Roman" w:eastAsia="黑体"/>
          <w:color w:val="000000"/>
          <w:szCs w:val="21"/>
        </w:rPr>
        <w:t>.1 工序过程</w:t>
      </w:r>
      <w:bookmarkEnd w:id="21"/>
    </w:p>
    <w:p>
      <w:pPr>
        <w:ind w:firstLine="420" w:firstLineChars="200"/>
        <w:jc w:val="left"/>
        <w:rPr>
          <w:rFonts w:ascii="Times New Roman" w:hAnsi="Times New Roman"/>
          <w:color w:val="000000"/>
        </w:rPr>
      </w:pPr>
      <w:r>
        <w:rPr>
          <w:rFonts w:ascii="Times New Roman" w:hAnsi="Times New Roman"/>
          <w:color w:val="000000"/>
        </w:rPr>
        <w:t>根据四氧化三钴生产过程绘制工序过程图（如图</w:t>
      </w:r>
      <w:r>
        <w:rPr>
          <w:rFonts w:hint="eastAsia" w:ascii="Times New Roman" w:hAnsi="Times New Roman"/>
          <w:color w:val="000000"/>
        </w:rPr>
        <w:t>C</w:t>
      </w:r>
      <w:r>
        <w:rPr>
          <w:rFonts w:ascii="Times New Roman" w:hAnsi="Times New Roman"/>
          <w:color w:val="000000"/>
        </w:rPr>
        <w:t>.1所示）。</w:t>
      </w:r>
    </w:p>
    <w:p>
      <w:pPr>
        <w:jc w:val="center"/>
        <w:rPr>
          <w:rFonts w:ascii="Times New Roman" w:hAnsi="Times New Roman" w:eastAsia="Times New Roman"/>
          <w:color w:val="000000"/>
          <w:szCs w:val="21"/>
        </w:rPr>
      </w:pPr>
      <w:r>
        <w:rPr>
          <w:rFonts w:ascii="Times New Roman" w:hAnsi="Times New Roman"/>
          <w:color w:val="000000"/>
        </w:rPr>
        <w:pict>
          <v:shape id="_x0000_i1033" o:spt="75" type="#_x0000_t75" style="height:216.85pt;width:360pt;" filled="f" o:preferrelative="t" stroked="f" coordsize="21600,21600">
            <v:path/>
            <v:fill on="f" focussize="0,0"/>
            <v:stroke on="f" joinstyle="miter"/>
            <v:imagedata r:id="rId18" o:title=""/>
            <o:lock v:ext="edit" aspectratio="t"/>
            <w10:wrap type="none"/>
            <w10:anchorlock/>
          </v:shape>
        </w:pict>
      </w:r>
    </w:p>
    <w:p>
      <w:pPr>
        <w:spacing w:line="360" w:lineRule="auto"/>
        <w:ind w:firstLine="420" w:firstLineChars="200"/>
        <w:jc w:val="center"/>
        <w:rPr>
          <w:rFonts w:ascii="黑体" w:hAnsi="黑体" w:eastAsia="黑体"/>
          <w:szCs w:val="21"/>
        </w:rPr>
      </w:pPr>
      <w:r>
        <w:rPr>
          <w:rFonts w:ascii="黑体" w:hAnsi="黑体" w:eastAsia="黑体"/>
          <w:szCs w:val="21"/>
        </w:rPr>
        <w:t>图</w:t>
      </w:r>
      <w:r>
        <w:rPr>
          <w:rFonts w:hint="eastAsia" w:ascii="黑体" w:hAnsi="黑体" w:eastAsia="黑体"/>
          <w:szCs w:val="21"/>
        </w:rPr>
        <w:t>C</w:t>
      </w:r>
      <w:r>
        <w:rPr>
          <w:rFonts w:ascii="黑体" w:hAnsi="黑体" w:eastAsia="黑体"/>
          <w:szCs w:val="21"/>
        </w:rPr>
        <w:t>.1四氧化三钴生产工序图</w:t>
      </w:r>
    </w:p>
    <w:p>
      <w:pPr>
        <w:spacing w:line="276" w:lineRule="auto"/>
        <w:ind w:firstLine="420" w:firstLineChars="200"/>
        <w:jc w:val="center"/>
        <w:rPr>
          <w:rFonts w:ascii="黑体" w:hAnsi="黑体" w:eastAsia="黑体"/>
          <w:szCs w:val="21"/>
        </w:rPr>
      </w:pPr>
      <w:r>
        <w:rPr>
          <w:rFonts w:ascii="黑体" w:hAnsi="黑体" w:eastAsia="黑体"/>
          <w:szCs w:val="21"/>
        </w:rPr>
        <w:t>表</w:t>
      </w:r>
      <w:r>
        <w:rPr>
          <w:rFonts w:hint="eastAsia" w:ascii="黑体" w:hAnsi="黑体" w:eastAsia="黑体"/>
          <w:szCs w:val="21"/>
        </w:rPr>
        <w:t>C</w:t>
      </w:r>
      <w:r>
        <w:rPr>
          <w:rFonts w:ascii="黑体" w:hAnsi="黑体" w:eastAsia="黑体"/>
          <w:szCs w:val="21"/>
        </w:rPr>
        <w:t>.1 单元过程数据收集表示例</w:t>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134"/>
        <w:gridCol w:w="1134"/>
        <w:gridCol w:w="2268"/>
        <w:gridCol w:w="330"/>
        <w:gridCol w:w="236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blHeader/>
        </w:trPr>
        <w:tc>
          <w:tcPr>
            <w:tcW w:w="4219" w:type="dxa"/>
            <w:gridSpan w:val="3"/>
          </w:tcPr>
          <w:p>
            <w:pPr>
              <w:jc w:val="left"/>
              <w:rPr>
                <w:rFonts w:ascii="Times New Roman" w:hAnsi="Times New Roman"/>
                <w:color w:val="000000"/>
                <w:szCs w:val="21"/>
              </w:rPr>
            </w:pPr>
            <w:r>
              <w:rPr>
                <w:rFonts w:ascii="Times New Roman" w:hAnsi="Times New Roman"/>
                <w:color w:val="000000"/>
                <w:szCs w:val="21"/>
              </w:rPr>
              <w:t>制表人：</w:t>
            </w:r>
          </w:p>
        </w:tc>
        <w:tc>
          <w:tcPr>
            <w:tcW w:w="4961" w:type="dxa"/>
            <w:gridSpan w:val="3"/>
          </w:tcPr>
          <w:p>
            <w:pPr>
              <w:jc w:val="left"/>
              <w:rPr>
                <w:rFonts w:ascii="Times New Roman" w:hAnsi="Times New Roman"/>
                <w:color w:val="000000"/>
                <w:szCs w:val="21"/>
              </w:rPr>
            </w:pPr>
            <w:r>
              <w:rPr>
                <w:rFonts w:ascii="Times New Roman" w:hAnsi="Times New Roman"/>
                <w:color w:val="000000"/>
                <w:szCs w:val="21"/>
              </w:rPr>
              <w:t>制表日期：</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blHeader/>
        </w:trPr>
        <w:tc>
          <w:tcPr>
            <w:tcW w:w="4219" w:type="dxa"/>
            <w:gridSpan w:val="3"/>
          </w:tcPr>
          <w:p>
            <w:pPr>
              <w:jc w:val="left"/>
              <w:rPr>
                <w:rFonts w:ascii="Times New Roman" w:hAnsi="Times New Roman"/>
                <w:color w:val="000000"/>
                <w:szCs w:val="21"/>
              </w:rPr>
            </w:pPr>
            <w:r>
              <w:rPr>
                <w:rFonts w:ascii="Times New Roman" w:hAnsi="Times New Roman"/>
                <w:color w:val="000000"/>
                <w:szCs w:val="21"/>
              </w:rPr>
              <w:t>单元过程名称：</w:t>
            </w:r>
          </w:p>
        </w:tc>
        <w:tc>
          <w:tcPr>
            <w:tcW w:w="4961" w:type="dxa"/>
            <w:gridSpan w:val="3"/>
          </w:tcPr>
          <w:p>
            <w:pPr>
              <w:jc w:val="left"/>
              <w:rPr>
                <w:rFonts w:ascii="Times New Roman" w:hAnsi="Times New Roman"/>
                <w:color w:val="000000"/>
                <w:szCs w:val="21"/>
              </w:rPr>
            </w:pPr>
            <w:r>
              <w:rPr>
                <w:rFonts w:ascii="Times New Roman" w:hAnsi="Times New Roman"/>
                <w:color w:val="000000"/>
                <w:szCs w:val="21"/>
              </w:rPr>
              <w:t>报送地点：</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blHeader/>
        </w:trPr>
        <w:tc>
          <w:tcPr>
            <w:tcW w:w="4219" w:type="dxa"/>
            <w:gridSpan w:val="3"/>
          </w:tcPr>
          <w:p>
            <w:pPr>
              <w:jc w:val="left"/>
              <w:rPr>
                <w:rFonts w:ascii="Times New Roman" w:hAnsi="Times New Roman"/>
                <w:color w:val="000000"/>
                <w:szCs w:val="21"/>
              </w:rPr>
            </w:pPr>
            <w:r>
              <w:rPr>
                <w:rFonts w:ascii="Times New Roman" w:hAnsi="Times New Roman"/>
                <w:color w:val="000000"/>
                <w:szCs w:val="21"/>
              </w:rPr>
              <w:t>时段：      年</w:t>
            </w:r>
          </w:p>
        </w:tc>
        <w:tc>
          <w:tcPr>
            <w:tcW w:w="2268" w:type="dxa"/>
          </w:tcPr>
          <w:p>
            <w:pPr>
              <w:jc w:val="left"/>
              <w:rPr>
                <w:rFonts w:ascii="Times New Roman" w:hAnsi="Times New Roman"/>
                <w:color w:val="000000"/>
                <w:szCs w:val="21"/>
              </w:rPr>
            </w:pPr>
            <w:r>
              <w:rPr>
                <w:rFonts w:ascii="Times New Roman" w:hAnsi="Times New Roman"/>
                <w:color w:val="000000"/>
                <w:szCs w:val="21"/>
              </w:rPr>
              <w:t>起始月：</w:t>
            </w:r>
          </w:p>
        </w:tc>
        <w:tc>
          <w:tcPr>
            <w:tcW w:w="2693" w:type="dxa"/>
            <w:gridSpan w:val="2"/>
          </w:tcPr>
          <w:p>
            <w:pPr>
              <w:jc w:val="left"/>
              <w:rPr>
                <w:rFonts w:ascii="Times New Roman" w:hAnsi="Times New Roman"/>
                <w:color w:val="000000"/>
                <w:szCs w:val="21"/>
              </w:rPr>
            </w:pPr>
            <w:r>
              <w:rPr>
                <w:rFonts w:ascii="Times New Roman" w:hAnsi="Times New Roman"/>
                <w:color w:val="000000"/>
                <w:szCs w:val="21"/>
              </w:rPr>
              <w:t>终止月：</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1303" w:hRule="atLeast"/>
          <w:tblHeader/>
        </w:trPr>
        <w:tc>
          <w:tcPr>
            <w:tcW w:w="9180" w:type="dxa"/>
            <w:gridSpan w:val="6"/>
          </w:tcPr>
          <w:p>
            <w:pPr>
              <w:jc w:val="left"/>
              <w:rPr>
                <w:rFonts w:ascii="Times New Roman" w:hAnsi="Times New Roman"/>
                <w:color w:val="000000"/>
                <w:szCs w:val="21"/>
              </w:rPr>
            </w:pPr>
            <w:r>
              <w:rPr>
                <w:rFonts w:ascii="Times New Roman" w:hAnsi="Times New Roman"/>
                <w:color w:val="000000"/>
                <w:szCs w:val="21"/>
              </w:rPr>
              <w:t>单元过程表述（如需要可加附页）：</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center"/>
              <w:rPr>
                <w:rFonts w:ascii="Times New Roman" w:hAnsi="Times New Roman"/>
                <w:color w:val="000000"/>
                <w:szCs w:val="21"/>
              </w:rPr>
            </w:pPr>
            <w:r>
              <w:rPr>
                <w:rFonts w:ascii="Times New Roman" w:hAnsi="Times New Roman"/>
                <w:color w:val="000000"/>
                <w:szCs w:val="21"/>
              </w:rPr>
              <w:t>材料输入</w:t>
            </w:r>
          </w:p>
        </w:tc>
        <w:tc>
          <w:tcPr>
            <w:tcW w:w="1134" w:type="dxa"/>
          </w:tcPr>
          <w:p>
            <w:pPr>
              <w:jc w:val="center"/>
              <w:rPr>
                <w:rFonts w:ascii="Times New Roman" w:hAnsi="Times New Roman"/>
                <w:color w:val="000000"/>
                <w:szCs w:val="21"/>
              </w:rPr>
            </w:pPr>
            <w:r>
              <w:rPr>
                <w:rFonts w:ascii="Times New Roman" w:hAnsi="Times New Roman"/>
                <w:color w:val="000000"/>
                <w:szCs w:val="21"/>
              </w:rPr>
              <w:t>单位</w:t>
            </w:r>
          </w:p>
        </w:tc>
        <w:tc>
          <w:tcPr>
            <w:tcW w:w="1134" w:type="dxa"/>
          </w:tcPr>
          <w:p>
            <w:pPr>
              <w:jc w:val="center"/>
              <w:rPr>
                <w:rFonts w:ascii="Times New Roman" w:hAnsi="Times New Roman"/>
                <w:color w:val="000000"/>
                <w:szCs w:val="21"/>
              </w:rPr>
            </w:pPr>
            <w:r>
              <w:rPr>
                <w:rFonts w:ascii="Times New Roman" w:hAnsi="Times New Roman"/>
                <w:color w:val="000000"/>
                <w:szCs w:val="21"/>
              </w:rPr>
              <w:t>数量</w:t>
            </w:r>
          </w:p>
        </w:tc>
        <w:tc>
          <w:tcPr>
            <w:tcW w:w="2598" w:type="dxa"/>
            <w:gridSpan w:val="2"/>
          </w:tcPr>
          <w:p>
            <w:pPr>
              <w:jc w:val="center"/>
              <w:rPr>
                <w:rFonts w:ascii="Times New Roman" w:hAnsi="Times New Roman"/>
                <w:color w:val="000000"/>
                <w:szCs w:val="21"/>
              </w:rPr>
            </w:pPr>
            <w:r>
              <w:rPr>
                <w:rFonts w:ascii="Times New Roman" w:hAnsi="Times New Roman"/>
                <w:color w:val="000000"/>
                <w:szCs w:val="21"/>
              </w:rPr>
              <w:t>取样程序描述</w:t>
            </w:r>
          </w:p>
        </w:tc>
        <w:tc>
          <w:tcPr>
            <w:tcW w:w="2363" w:type="dxa"/>
          </w:tcPr>
          <w:p>
            <w:pPr>
              <w:jc w:val="center"/>
              <w:rPr>
                <w:rFonts w:ascii="Times New Roman" w:hAnsi="Times New Roman"/>
                <w:color w:val="000000"/>
                <w:szCs w:val="21"/>
              </w:rPr>
            </w:pPr>
            <w:r>
              <w:rPr>
                <w:rFonts w:ascii="Times New Roman" w:hAnsi="Times New Roman"/>
                <w:color w:val="000000"/>
                <w:szCs w:val="21"/>
              </w:rPr>
              <w:t>来源</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2598" w:type="dxa"/>
            <w:gridSpan w:val="2"/>
          </w:tcPr>
          <w:p>
            <w:pPr>
              <w:jc w:val="left"/>
              <w:rPr>
                <w:rFonts w:ascii="Times New Roman" w:hAnsi="Times New Roman"/>
                <w:color w:val="000000"/>
                <w:szCs w:val="21"/>
              </w:rPr>
            </w:pPr>
          </w:p>
        </w:tc>
        <w:tc>
          <w:tcPr>
            <w:tcW w:w="2363" w:type="dxa"/>
          </w:tcPr>
          <w:p>
            <w:pPr>
              <w:jc w:val="left"/>
              <w:rPr>
                <w:rFonts w:ascii="Times New Roman" w:hAnsi="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2598" w:type="dxa"/>
            <w:gridSpan w:val="2"/>
          </w:tcPr>
          <w:p>
            <w:pPr>
              <w:jc w:val="left"/>
              <w:rPr>
                <w:rFonts w:ascii="Times New Roman" w:hAnsi="Times New Roman"/>
                <w:color w:val="000000"/>
                <w:szCs w:val="21"/>
              </w:rPr>
            </w:pPr>
          </w:p>
        </w:tc>
        <w:tc>
          <w:tcPr>
            <w:tcW w:w="2363" w:type="dxa"/>
          </w:tcPr>
          <w:p>
            <w:pPr>
              <w:jc w:val="left"/>
              <w:rPr>
                <w:rFonts w:ascii="Times New Roman" w:hAnsi="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2598" w:type="dxa"/>
            <w:gridSpan w:val="2"/>
          </w:tcPr>
          <w:p>
            <w:pPr>
              <w:jc w:val="left"/>
              <w:rPr>
                <w:rFonts w:ascii="Times New Roman" w:hAnsi="Times New Roman"/>
                <w:color w:val="000000"/>
                <w:szCs w:val="21"/>
              </w:rPr>
            </w:pPr>
          </w:p>
        </w:tc>
        <w:tc>
          <w:tcPr>
            <w:tcW w:w="2363" w:type="dxa"/>
          </w:tcPr>
          <w:p>
            <w:pPr>
              <w:jc w:val="left"/>
              <w:rPr>
                <w:rFonts w:ascii="Times New Roman" w:hAnsi="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center"/>
              <w:rPr>
                <w:rFonts w:ascii="Times New Roman" w:hAnsi="Times New Roman"/>
                <w:color w:val="000000"/>
                <w:szCs w:val="21"/>
              </w:rPr>
            </w:pPr>
            <w:r>
              <w:rPr>
                <w:rFonts w:ascii="Times New Roman" w:hAnsi="Times New Roman"/>
                <w:color w:val="000000"/>
                <w:szCs w:val="21"/>
              </w:rPr>
              <w:t>水消耗</w:t>
            </w:r>
            <w:r>
              <w:rPr>
                <w:rFonts w:ascii="Times New Roman" w:hAnsi="Times New Roman"/>
                <w:color w:val="000000"/>
                <w:szCs w:val="21"/>
                <w:vertAlign w:val="superscript"/>
              </w:rPr>
              <w:t>a</w:t>
            </w:r>
          </w:p>
        </w:tc>
        <w:tc>
          <w:tcPr>
            <w:tcW w:w="1134" w:type="dxa"/>
          </w:tcPr>
          <w:p>
            <w:pPr>
              <w:jc w:val="center"/>
              <w:rPr>
                <w:rFonts w:ascii="Times New Roman" w:hAnsi="Times New Roman"/>
                <w:color w:val="000000"/>
                <w:szCs w:val="21"/>
              </w:rPr>
            </w:pPr>
            <w:r>
              <w:rPr>
                <w:rFonts w:ascii="Times New Roman" w:hAnsi="Times New Roman"/>
                <w:color w:val="000000"/>
                <w:szCs w:val="21"/>
              </w:rPr>
              <w:t>单位</w:t>
            </w:r>
          </w:p>
        </w:tc>
        <w:tc>
          <w:tcPr>
            <w:tcW w:w="1134" w:type="dxa"/>
          </w:tcPr>
          <w:p>
            <w:pPr>
              <w:jc w:val="center"/>
              <w:rPr>
                <w:rFonts w:ascii="Times New Roman" w:hAnsi="Times New Roman"/>
                <w:color w:val="000000"/>
                <w:szCs w:val="21"/>
              </w:rPr>
            </w:pPr>
            <w:r>
              <w:rPr>
                <w:rFonts w:ascii="Times New Roman" w:hAnsi="Times New Roman"/>
                <w:color w:val="000000"/>
                <w:szCs w:val="21"/>
              </w:rPr>
              <w:t>数量</w:t>
            </w:r>
          </w:p>
        </w:tc>
        <w:tc>
          <w:tcPr>
            <w:tcW w:w="2598" w:type="dxa"/>
            <w:gridSpan w:val="2"/>
          </w:tcPr>
          <w:p>
            <w:pPr>
              <w:jc w:val="left"/>
              <w:rPr>
                <w:rFonts w:ascii="Times New Roman" w:hAnsi="Times New Roman"/>
                <w:color w:val="000000"/>
                <w:szCs w:val="21"/>
              </w:rPr>
            </w:pPr>
          </w:p>
        </w:tc>
        <w:tc>
          <w:tcPr>
            <w:tcW w:w="2363" w:type="dxa"/>
          </w:tcPr>
          <w:p>
            <w:pPr>
              <w:jc w:val="left"/>
              <w:rPr>
                <w:rFonts w:ascii="Times New Roman" w:hAnsi="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2598" w:type="dxa"/>
            <w:gridSpan w:val="2"/>
          </w:tcPr>
          <w:p>
            <w:pPr>
              <w:jc w:val="left"/>
              <w:rPr>
                <w:rFonts w:ascii="Times New Roman" w:hAnsi="Times New Roman"/>
                <w:color w:val="000000"/>
                <w:szCs w:val="21"/>
              </w:rPr>
            </w:pPr>
          </w:p>
        </w:tc>
        <w:tc>
          <w:tcPr>
            <w:tcW w:w="2363" w:type="dxa"/>
          </w:tcPr>
          <w:p>
            <w:pPr>
              <w:jc w:val="left"/>
              <w:rPr>
                <w:rFonts w:ascii="Times New Roman" w:hAnsi="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2598" w:type="dxa"/>
            <w:gridSpan w:val="2"/>
          </w:tcPr>
          <w:p>
            <w:pPr>
              <w:jc w:val="left"/>
              <w:rPr>
                <w:rFonts w:ascii="Times New Roman" w:hAnsi="Times New Roman"/>
                <w:color w:val="000000"/>
                <w:szCs w:val="21"/>
              </w:rPr>
            </w:pPr>
          </w:p>
        </w:tc>
        <w:tc>
          <w:tcPr>
            <w:tcW w:w="2363" w:type="dxa"/>
          </w:tcPr>
          <w:p>
            <w:pPr>
              <w:jc w:val="left"/>
              <w:rPr>
                <w:rFonts w:ascii="Times New Roman" w:hAnsi="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center"/>
              <w:rPr>
                <w:rFonts w:ascii="Times New Roman" w:hAnsi="Times New Roman"/>
                <w:color w:val="000000"/>
                <w:szCs w:val="21"/>
              </w:rPr>
            </w:pPr>
            <w:r>
              <w:rPr>
                <w:rFonts w:ascii="Times New Roman" w:hAnsi="Times New Roman"/>
                <w:color w:val="000000"/>
                <w:szCs w:val="21"/>
              </w:rPr>
              <w:t>能量输入</w:t>
            </w:r>
            <w:r>
              <w:rPr>
                <w:rFonts w:ascii="Times New Roman" w:hAnsi="Times New Roman"/>
                <w:color w:val="000000"/>
                <w:szCs w:val="21"/>
                <w:vertAlign w:val="superscript"/>
              </w:rPr>
              <w:t>b</w:t>
            </w:r>
          </w:p>
        </w:tc>
        <w:tc>
          <w:tcPr>
            <w:tcW w:w="1134" w:type="dxa"/>
          </w:tcPr>
          <w:p>
            <w:pPr>
              <w:jc w:val="center"/>
              <w:rPr>
                <w:rFonts w:ascii="Times New Roman" w:hAnsi="Times New Roman"/>
                <w:color w:val="000000"/>
                <w:szCs w:val="21"/>
              </w:rPr>
            </w:pPr>
            <w:r>
              <w:rPr>
                <w:rFonts w:ascii="Times New Roman" w:hAnsi="Times New Roman"/>
                <w:color w:val="000000"/>
                <w:szCs w:val="21"/>
              </w:rPr>
              <w:t>单位</w:t>
            </w:r>
          </w:p>
        </w:tc>
        <w:tc>
          <w:tcPr>
            <w:tcW w:w="1134" w:type="dxa"/>
          </w:tcPr>
          <w:p>
            <w:pPr>
              <w:jc w:val="center"/>
              <w:rPr>
                <w:rFonts w:ascii="Times New Roman" w:hAnsi="Times New Roman"/>
                <w:color w:val="000000"/>
                <w:szCs w:val="21"/>
              </w:rPr>
            </w:pPr>
            <w:r>
              <w:rPr>
                <w:rFonts w:ascii="Times New Roman" w:hAnsi="Times New Roman"/>
                <w:color w:val="000000"/>
                <w:szCs w:val="21"/>
              </w:rPr>
              <w:t>数量</w:t>
            </w:r>
          </w:p>
        </w:tc>
        <w:tc>
          <w:tcPr>
            <w:tcW w:w="2598" w:type="dxa"/>
            <w:gridSpan w:val="2"/>
          </w:tcPr>
          <w:p>
            <w:pPr>
              <w:jc w:val="center"/>
              <w:rPr>
                <w:rFonts w:ascii="Times New Roman" w:hAnsi="Times New Roman"/>
                <w:color w:val="000000"/>
                <w:szCs w:val="21"/>
              </w:rPr>
            </w:pPr>
            <w:r>
              <w:rPr>
                <w:rFonts w:ascii="Times New Roman" w:hAnsi="Times New Roman"/>
                <w:color w:val="000000"/>
                <w:szCs w:val="21"/>
              </w:rPr>
              <w:t>取样程序描述</w:t>
            </w:r>
          </w:p>
        </w:tc>
        <w:tc>
          <w:tcPr>
            <w:tcW w:w="2363" w:type="dxa"/>
          </w:tcPr>
          <w:p>
            <w:pPr>
              <w:jc w:val="center"/>
              <w:rPr>
                <w:rFonts w:ascii="Times New Roman" w:hAnsi="Times New Roman"/>
                <w:color w:val="000000"/>
                <w:szCs w:val="21"/>
              </w:rPr>
            </w:pPr>
            <w:r>
              <w:rPr>
                <w:rFonts w:ascii="Times New Roman" w:hAnsi="Times New Roman"/>
                <w:color w:val="000000"/>
                <w:szCs w:val="21"/>
              </w:rPr>
              <w:t>来源</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2598" w:type="dxa"/>
            <w:gridSpan w:val="2"/>
          </w:tcPr>
          <w:p>
            <w:pPr>
              <w:jc w:val="left"/>
              <w:rPr>
                <w:rFonts w:ascii="Times New Roman" w:hAnsi="Times New Roman"/>
                <w:color w:val="000000"/>
                <w:szCs w:val="21"/>
              </w:rPr>
            </w:pPr>
          </w:p>
        </w:tc>
        <w:tc>
          <w:tcPr>
            <w:tcW w:w="2363" w:type="dxa"/>
          </w:tcPr>
          <w:p>
            <w:pPr>
              <w:jc w:val="left"/>
              <w:rPr>
                <w:rFonts w:ascii="Times New Roman" w:hAnsi="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2598" w:type="dxa"/>
            <w:gridSpan w:val="2"/>
          </w:tcPr>
          <w:p>
            <w:pPr>
              <w:jc w:val="left"/>
              <w:rPr>
                <w:rFonts w:ascii="Times New Roman" w:hAnsi="Times New Roman"/>
                <w:color w:val="000000"/>
                <w:szCs w:val="21"/>
              </w:rPr>
            </w:pPr>
          </w:p>
        </w:tc>
        <w:tc>
          <w:tcPr>
            <w:tcW w:w="2363" w:type="dxa"/>
          </w:tcPr>
          <w:p>
            <w:pPr>
              <w:jc w:val="left"/>
              <w:rPr>
                <w:rFonts w:ascii="Times New Roman" w:hAnsi="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1134" w:type="dxa"/>
          </w:tcPr>
          <w:p>
            <w:pPr>
              <w:jc w:val="left"/>
              <w:rPr>
                <w:rFonts w:ascii="Times New Roman" w:hAnsi="Times New Roman"/>
                <w:color w:val="000000"/>
                <w:szCs w:val="21"/>
              </w:rPr>
            </w:pPr>
          </w:p>
        </w:tc>
        <w:tc>
          <w:tcPr>
            <w:tcW w:w="2598" w:type="dxa"/>
            <w:gridSpan w:val="2"/>
          </w:tcPr>
          <w:p>
            <w:pPr>
              <w:jc w:val="left"/>
              <w:rPr>
                <w:rFonts w:ascii="Times New Roman" w:hAnsi="Times New Roman"/>
                <w:color w:val="000000"/>
                <w:szCs w:val="21"/>
              </w:rPr>
            </w:pPr>
          </w:p>
        </w:tc>
        <w:tc>
          <w:tcPr>
            <w:tcW w:w="2363" w:type="dxa"/>
          </w:tcPr>
          <w:p>
            <w:pPr>
              <w:jc w:val="left"/>
              <w:rPr>
                <w:rFonts w:ascii="Times New Roman" w:hAnsi="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vAlign w:val="center"/>
          </w:tcPr>
          <w:p>
            <w:pPr>
              <w:jc w:val="center"/>
              <w:rPr>
                <w:rFonts w:ascii="Times New Roman" w:hAnsi="Times New Roman"/>
                <w:color w:val="000000"/>
                <w:szCs w:val="21"/>
              </w:rPr>
            </w:pPr>
            <w:r>
              <w:rPr>
                <w:rFonts w:ascii="Times New Roman" w:hAnsi="Times New Roman"/>
                <w:color w:val="000000"/>
                <w:szCs w:val="21"/>
              </w:rPr>
              <w:t>材料输出</w:t>
            </w:r>
            <w:r>
              <w:rPr>
                <w:rFonts w:ascii="Times New Roman" w:hAnsi="Times New Roman"/>
                <w:color w:val="000000"/>
                <w:szCs w:val="21"/>
              </w:rPr>
              <w:br w:type="textWrapping"/>
            </w:r>
            <w:r>
              <w:rPr>
                <w:rFonts w:ascii="Times New Roman" w:hAnsi="Times New Roman"/>
                <w:color w:val="000000"/>
                <w:szCs w:val="21"/>
              </w:rPr>
              <w:t>（包括产品）</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单位</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数量</w:t>
            </w:r>
          </w:p>
        </w:tc>
        <w:tc>
          <w:tcPr>
            <w:tcW w:w="2598" w:type="dxa"/>
            <w:gridSpan w:val="2"/>
            <w:vAlign w:val="center"/>
          </w:tcPr>
          <w:p>
            <w:pPr>
              <w:jc w:val="center"/>
              <w:rPr>
                <w:rFonts w:ascii="Times New Roman" w:hAnsi="Times New Roman"/>
                <w:color w:val="000000"/>
                <w:szCs w:val="21"/>
              </w:rPr>
            </w:pPr>
            <w:r>
              <w:rPr>
                <w:rFonts w:ascii="Times New Roman" w:hAnsi="Times New Roman"/>
                <w:color w:val="000000"/>
                <w:szCs w:val="21"/>
              </w:rPr>
              <w:t>取样程序描述</w:t>
            </w:r>
          </w:p>
        </w:tc>
        <w:tc>
          <w:tcPr>
            <w:tcW w:w="2363" w:type="dxa"/>
            <w:vAlign w:val="center"/>
          </w:tcPr>
          <w:p>
            <w:pPr>
              <w:jc w:val="center"/>
              <w:rPr>
                <w:rFonts w:ascii="Times New Roman" w:hAnsi="Times New Roman"/>
                <w:color w:val="000000"/>
                <w:szCs w:val="21"/>
              </w:rPr>
            </w:pPr>
            <w:r>
              <w:rPr>
                <w:rFonts w:ascii="Times New Roman" w:hAnsi="Times New Roman"/>
                <w:color w:val="000000"/>
                <w:szCs w:val="21"/>
              </w:rPr>
              <w:t>目的地</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51" w:type="dxa"/>
            <w:vAlign w:val="center"/>
          </w:tcPr>
          <w:p>
            <w:pPr>
              <w:jc w:val="center"/>
              <w:rPr>
                <w:rFonts w:ascii="Times New Roman" w:hAnsi="Times New Roman"/>
                <w:color w:val="000000"/>
                <w:szCs w:val="21"/>
              </w:rPr>
            </w:pPr>
          </w:p>
        </w:tc>
        <w:tc>
          <w:tcPr>
            <w:tcW w:w="1134" w:type="dxa"/>
            <w:vAlign w:val="center"/>
          </w:tcPr>
          <w:p>
            <w:pPr>
              <w:jc w:val="center"/>
              <w:rPr>
                <w:rFonts w:ascii="Times New Roman" w:hAnsi="Times New Roman"/>
                <w:color w:val="000000"/>
                <w:szCs w:val="21"/>
              </w:rPr>
            </w:pPr>
          </w:p>
        </w:tc>
        <w:tc>
          <w:tcPr>
            <w:tcW w:w="1134" w:type="dxa"/>
            <w:vAlign w:val="center"/>
          </w:tcPr>
          <w:p>
            <w:pPr>
              <w:jc w:val="center"/>
              <w:rPr>
                <w:rFonts w:ascii="Times New Roman" w:hAnsi="Times New Roman"/>
                <w:color w:val="000000"/>
                <w:szCs w:val="21"/>
              </w:rPr>
            </w:pPr>
          </w:p>
        </w:tc>
        <w:tc>
          <w:tcPr>
            <w:tcW w:w="2598" w:type="dxa"/>
            <w:gridSpan w:val="2"/>
            <w:vAlign w:val="center"/>
          </w:tcPr>
          <w:p>
            <w:pPr>
              <w:jc w:val="center"/>
              <w:rPr>
                <w:rFonts w:ascii="Times New Roman" w:hAnsi="Times New Roman"/>
                <w:color w:val="000000"/>
                <w:szCs w:val="21"/>
              </w:rPr>
            </w:pPr>
          </w:p>
        </w:tc>
        <w:tc>
          <w:tcPr>
            <w:tcW w:w="2363" w:type="dxa"/>
            <w:vAlign w:val="center"/>
          </w:tcPr>
          <w:p>
            <w:pPr>
              <w:jc w:val="center"/>
              <w:rPr>
                <w:rFonts w:ascii="Times New Roman" w:hAnsi="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9180" w:type="dxa"/>
            <w:gridSpan w:val="6"/>
            <w:vAlign w:val="center"/>
          </w:tcPr>
          <w:p>
            <w:pPr>
              <w:spacing w:before="120" w:beforeLines="50"/>
              <w:ind w:left="105" w:leftChars="50"/>
              <w:rPr>
                <w:rFonts w:ascii="Times New Roman" w:hAnsi="Times New Roman"/>
                <w:color w:val="000000"/>
                <w:sz w:val="18"/>
                <w:szCs w:val="21"/>
              </w:rPr>
            </w:pPr>
            <w:r>
              <w:rPr>
                <w:rFonts w:ascii="Times New Roman" w:hAnsi="Times New Roman"/>
                <w:color w:val="000000"/>
                <w:sz w:val="18"/>
                <w:szCs w:val="21"/>
              </w:rPr>
              <w:t>表中：</w:t>
            </w:r>
          </w:p>
          <w:p>
            <w:pPr>
              <w:ind w:left="420" w:leftChars="200"/>
              <w:rPr>
                <w:rFonts w:ascii="Times New Roman" w:hAnsi="Times New Roman"/>
                <w:color w:val="000000"/>
                <w:sz w:val="18"/>
                <w:szCs w:val="21"/>
              </w:rPr>
            </w:pPr>
            <w:r>
              <w:rPr>
                <w:rFonts w:ascii="Times New Roman" w:hAnsi="Times New Roman"/>
                <w:color w:val="000000"/>
                <w:sz w:val="18"/>
                <w:szCs w:val="21"/>
                <w:vertAlign w:val="superscript"/>
              </w:rPr>
              <w:t>a</w:t>
            </w:r>
            <w:r>
              <w:rPr>
                <w:rFonts w:ascii="Times New Roman" w:hAnsi="Times New Roman"/>
                <w:color w:val="000000"/>
                <w:sz w:val="18"/>
                <w:szCs w:val="21"/>
              </w:rPr>
              <w:t xml:space="preserve">  例如地表水、饮用水。</w:t>
            </w:r>
          </w:p>
          <w:p>
            <w:pPr>
              <w:ind w:left="420" w:leftChars="200"/>
              <w:rPr>
                <w:rFonts w:ascii="Times New Roman" w:hAnsi="Times New Roman"/>
                <w:color w:val="000000"/>
                <w:sz w:val="18"/>
                <w:szCs w:val="21"/>
              </w:rPr>
            </w:pPr>
            <w:r>
              <w:rPr>
                <w:rFonts w:ascii="Times New Roman" w:hAnsi="Times New Roman"/>
                <w:color w:val="000000"/>
                <w:sz w:val="18"/>
                <w:szCs w:val="21"/>
                <w:vertAlign w:val="superscript"/>
              </w:rPr>
              <w:t>b</w:t>
            </w:r>
            <w:r>
              <w:rPr>
                <w:rFonts w:ascii="Times New Roman" w:hAnsi="Times New Roman"/>
                <w:color w:val="000000"/>
                <w:sz w:val="18"/>
                <w:szCs w:val="21"/>
              </w:rPr>
              <w:t xml:space="preserve">  例如焦炭、重燃料油、煤油、汽油、天然气、煤气、网电</w:t>
            </w:r>
            <w:r>
              <w:rPr>
                <w:rFonts w:hint="eastAsia" w:ascii="Times New Roman" w:hAnsi="Times New Roman"/>
                <w:color w:val="000000"/>
                <w:sz w:val="18"/>
                <w:szCs w:val="21"/>
              </w:rPr>
              <w:t>、压缩空气等</w:t>
            </w:r>
            <w:r>
              <w:rPr>
                <w:rFonts w:ascii="Times New Roman" w:hAnsi="Times New Roman"/>
                <w:color w:val="000000"/>
                <w:sz w:val="18"/>
                <w:szCs w:val="21"/>
              </w:rPr>
              <w:t>。</w:t>
            </w:r>
          </w:p>
          <w:p>
            <w:pPr>
              <w:jc w:val="center"/>
              <w:rPr>
                <w:rFonts w:ascii="Times New Roman" w:hAnsi="Times New Roman"/>
                <w:color w:val="000000"/>
                <w:szCs w:val="21"/>
              </w:rPr>
            </w:pPr>
          </w:p>
        </w:tc>
      </w:tr>
    </w:tbl>
    <w:p>
      <w:pPr>
        <w:spacing w:line="360" w:lineRule="auto"/>
        <w:jc w:val="left"/>
        <w:rPr>
          <w:rFonts w:ascii="Times New Roman" w:hAnsi="Times New Roman" w:eastAsia="黑体"/>
          <w:color w:val="000000"/>
          <w:szCs w:val="21"/>
        </w:rPr>
      </w:pPr>
      <w:bookmarkStart w:id="22" w:name="_Toc2755368"/>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C</w:t>
      </w:r>
      <w:r>
        <w:rPr>
          <w:rFonts w:ascii="Times New Roman" w:hAnsi="Times New Roman" w:eastAsia="黑体"/>
          <w:color w:val="000000"/>
          <w:szCs w:val="21"/>
        </w:rPr>
        <w:t>.2 单元过程数据收集</w:t>
      </w:r>
      <w:bookmarkEnd w:id="22"/>
    </w:p>
    <w:p>
      <w:pPr>
        <w:spacing w:line="360" w:lineRule="auto"/>
        <w:ind w:firstLine="420" w:firstLineChars="200"/>
        <w:jc w:val="left"/>
        <w:rPr>
          <w:rFonts w:ascii="Times New Roman" w:hAnsi="Times New Roman"/>
          <w:color w:val="000000"/>
          <w:szCs w:val="21"/>
        </w:rPr>
      </w:pPr>
      <w:bookmarkStart w:id="23" w:name="_Toc2755369"/>
      <w:r>
        <w:rPr>
          <w:rFonts w:ascii="Times New Roman" w:hAnsi="Times New Roman"/>
          <w:color w:val="000000"/>
          <w:szCs w:val="21"/>
        </w:rPr>
        <w:t>根据图</w:t>
      </w:r>
      <w:r>
        <w:rPr>
          <w:rFonts w:hint="eastAsia" w:ascii="Times New Roman" w:hAnsi="Times New Roman"/>
          <w:color w:val="000000"/>
          <w:szCs w:val="21"/>
        </w:rPr>
        <w:t>C</w:t>
      </w:r>
      <w:r>
        <w:rPr>
          <w:rFonts w:ascii="Times New Roman" w:hAnsi="Times New Roman"/>
          <w:color w:val="000000"/>
          <w:szCs w:val="21"/>
        </w:rPr>
        <w:t>.1每个单元过程图，参照表</w:t>
      </w:r>
      <w:r>
        <w:rPr>
          <w:rFonts w:hint="eastAsia" w:ascii="Times New Roman" w:hAnsi="Times New Roman"/>
          <w:color w:val="000000"/>
          <w:szCs w:val="21"/>
        </w:rPr>
        <w:t>C</w:t>
      </w:r>
      <w:r>
        <w:rPr>
          <w:rFonts w:ascii="Times New Roman" w:hAnsi="Times New Roman"/>
          <w:color w:val="000000"/>
          <w:szCs w:val="21"/>
        </w:rPr>
        <w:t>.1收集单元过程的数据，最终汇总形成表</w:t>
      </w:r>
      <w:r>
        <w:rPr>
          <w:rFonts w:hint="eastAsia" w:ascii="Times New Roman" w:hAnsi="Times New Roman"/>
          <w:color w:val="000000"/>
          <w:szCs w:val="21"/>
        </w:rPr>
        <w:t>C</w:t>
      </w:r>
      <w:r>
        <w:rPr>
          <w:rFonts w:ascii="Times New Roman" w:hAnsi="Times New Roman"/>
          <w:color w:val="000000"/>
          <w:szCs w:val="21"/>
        </w:rPr>
        <w:t>.2四氧化三钴产品的数据清单</w:t>
      </w:r>
      <w:bookmarkEnd w:id="23"/>
      <w:r>
        <w:rPr>
          <w:rFonts w:ascii="Times New Roman" w:hAnsi="Times New Roman"/>
          <w:color w:val="000000"/>
          <w:szCs w:val="21"/>
        </w:rPr>
        <w:t>。</w:t>
      </w:r>
    </w:p>
    <w:p>
      <w:pPr>
        <w:spacing w:line="276" w:lineRule="auto"/>
        <w:ind w:firstLine="420" w:firstLineChars="200"/>
        <w:jc w:val="center"/>
        <w:rPr>
          <w:rFonts w:ascii="黑体" w:hAnsi="黑体" w:eastAsia="黑体"/>
          <w:szCs w:val="21"/>
        </w:rPr>
      </w:pPr>
      <w:r>
        <w:rPr>
          <w:rFonts w:hint="eastAsia" w:ascii="黑体" w:hAnsi="黑体" w:eastAsia="黑体"/>
          <w:szCs w:val="21"/>
        </w:rPr>
        <w:t>C</w:t>
      </w:r>
      <w:r>
        <w:rPr>
          <w:rFonts w:ascii="黑体" w:hAnsi="黑体" w:eastAsia="黑体"/>
          <w:szCs w:val="21"/>
        </w:rPr>
        <w:t>.2 四氧化三钴产品的数据清单</w:t>
      </w:r>
    </w:p>
    <w:tbl>
      <w:tblPr>
        <w:tblStyle w:val="15"/>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1"/>
        <w:gridCol w:w="1133"/>
        <w:gridCol w:w="1136"/>
        <w:gridCol w:w="2268"/>
        <w:gridCol w:w="329"/>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3" w:hRule="exact"/>
          <w:jc w:val="center"/>
        </w:trPr>
        <w:tc>
          <w:tcPr>
            <w:tcW w:w="4220" w:type="dxa"/>
            <w:gridSpan w:val="3"/>
          </w:tcPr>
          <w:p>
            <w:pPr>
              <w:autoSpaceDE w:val="0"/>
              <w:autoSpaceDN w:val="0"/>
              <w:snapToGrid w:val="0"/>
              <w:spacing w:line="263" w:lineRule="exact"/>
              <w:ind w:left="93" w:firstLine="420"/>
              <w:jc w:val="left"/>
              <w:rPr>
                <w:rFonts w:ascii="Times New Roman" w:hAnsi="Times New Roman"/>
                <w:color w:val="000000"/>
              </w:rPr>
            </w:pPr>
            <w:r>
              <w:rPr>
                <w:rFonts w:ascii="Times New Roman" w:hAnsi="Times New Roman"/>
                <w:color w:val="000000"/>
              </w:rPr>
              <w:t>制表人：</w:t>
            </w:r>
          </w:p>
        </w:tc>
        <w:tc>
          <w:tcPr>
            <w:tcW w:w="4961" w:type="dxa"/>
            <w:gridSpan w:val="3"/>
          </w:tcPr>
          <w:p>
            <w:pPr>
              <w:autoSpaceDE w:val="0"/>
              <w:autoSpaceDN w:val="0"/>
              <w:snapToGrid w:val="0"/>
              <w:spacing w:line="263" w:lineRule="exact"/>
              <w:ind w:left="103" w:firstLine="420"/>
              <w:jc w:val="left"/>
              <w:rPr>
                <w:rFonts w:ascii="Times New Roman" w:hAnsi="Times New Roman"/>
                <w:color w:val="000000"/>
              </w:rPr>
            </w:pPr>
            <w:r>
              <w:rPr>
                <w:rFonts w:ascii="Times New Roman" w:hAnsi="Times New Roman"/>
                <w:color w:val="000000"/>
              </w:rPr>
              <w:t>制表日期：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1" w:hRule="exact"/>
          <w:jc w:val="center"/>
        </w:trPr>
        <w:tc>
          <w:tcPr>
            <w:tcW w:w="4220" w:type="dxa"/>
            <w:gridSpan w:val="3"/>
          </w:tcPr>
          <w:p>
            <w:pPr>
              <w:autoSpaceDE w:val="0"/>
              <w:autoSpaceDN w:val="0"/>
              <w:snapToGrid w:val="0"/>
              <w:spacing w:before="1" w:line="263" w:lineRule="exact"/>
              <w:ind w:left="93" w:firstLine="420"/>
              <w:jc w:val="left"/>
              <w:rPr>
                <w:rFonts w:ascii="Times New Roman" w:hAnsi="Times New Roman"/>
                <w:color w:val="000000"/>
              </w:rPr>
            </w:pPr>
            <w:r>
              <w:rPr>
                <w:rFonts w:ascii="Times New Roman" w:hAnsi="Times New Roman"/>
                <w:color w:val="000000"/>
              </w:rPr>
              <w:t>单元过程名称：</w:t>
            </w:r>
          </w:p>
        </w:tc>
        <w:tc>
          <w:tcPr>
            <w:tcW w:w="4961" w:type="dxa"/>
            <w:gridSpan w:val="3"/>
          </w:tcPr>
          <w:p>
            <w:pPr>
              <w:autoSpaceDE w:val="0"/>
              <w:autoSpaceDN w:val="0"/>
              <w:snapToGrid w:val="0"/>
              <w:spacing w:before="1" w:line="263" w:lineRule="exact"/>
              <w:ind w:left="103" w:firstLine="420"/>
              <w:jc w:val="left"/>
              <w:rPr>
                <w:rFonts w:ascii="Times New Roman" w:hAnsi="Times New Roman"/>
                <w:color w:val="000000"/>
              </w:rPr>
            </w:pPr>
            <w:r>
              <w:rPr>
                <w:rFonts w:ascii="Times New Roman" w:hAnsi="Times New Roman"/>
                <w:color w:val="000000"/>
              </w:rPr>
              <w:t>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exact"/>
          <w:jc w:val="center"/>
        </w:trPr>
        <w:tc>
          <w:tcPr>
            <w:tcW w:w="4220" w:type="dxa"/>
            <w:gridSpan w:val="3"/>
          </w:tcPr>
          <w:p>
            <w:pPr>
              <w:autoSpaceDE w:val="0"/>
              <w:autoSpaceDN w:val="0"/>
              <w:snapToGrid w:val="0"/>
              <w:spacing w:before="3" w:line="263" w:lineRule="exact"/>
              <w:ind w:left="93" w:firstLine="420"/>
              <w:jc w:val="left"/>
              <w:rPr>
                <w:rFonts w:ascii="Times New Roman" w:hAnsi="Times New Roman"/>
                <w:color w:val="000000"/>
              </w:rPr>
            </w:pPr>
            <w:r>
              <w:rPr>
                <w:rFonts w:ascii="Times New Roman" w:hAnsi="Times New Roman"/>
                <w:color w:val="000000"/>
              </w:rPr>
              <w:t>时段：</w:t>
            </w:r>
            <w:r>
              <w:rPr>
                <w:rFonts w:ascii="Times New Roman" w:hAnsi="Times New Roman"/>
                <w:color w:val="000000"/>
                <w:spacing w:val="262"/>
              </w:rPr>
              <w:t xml:space="preserve"> </w:t>
            </w:r>
            <w:r>
              <w:rPr>
                <w:rFonts w:ascii="Times New Roman" w:hAnsi="Times New Roman"/>
                <w:color w:val="000000"/>
              </w:rPr>
              <w:t>年</w:t>
            </w:r>
          </w:p>
        </w:tc>
        <w:tc>
          <w:tcPr>
            <w:tcW w:w="2268" w:type="dxa"/>
          </w:tcPr>
          <w:p>
            <w:pPr>
              <w:autoSpaceDE w:val="0"/>
              <w:autoSpaceDN w:val="0"/>
              <w:snapToGrid w:val="0"/>
              <w:spacing w:before="3" w:line="263" w:lineRule="exact"/>
              <w:ind w:left="103" w:firstLine="420"/>
              <w:jc w:val="left"/>
              <w:rPr>
                <w:rFonts w:ascii="Times New Roman" w:hAnsi="Times New Roman"/>
                <w:color w:val="000000"/>
              </w:rPr>
            </w:pPr>
            <w:r>
              <w:rPr>
                <w:rFonts w:ascii="Times New Roman" w:hAnsi="Times New Roman"/>
                <w:color w:val="000000"/>
              </w:rPr>
              <w:t>起始月：</w:t>
            </w:r>
          </w:p>
        </w:tc>
        <w:tc>
          <w:tcPr>
            <w:tcW w:w="2693" w:type="dxa"/>
            <w:gridSpan w:val="2"/>
          </w:tcPr>
          <w:p>
            <w:pPr>
              <w:autoSpaceDE w:val="0"/>
              <w:autoSpaceDN w:val="0"/>
              <w:snapToGrid w:val="0"/>
              <w:spacing w:before="3" w:line="263" w:lineRule="exact"/>
              <w:ind w:left="103" w:firstLine="420"/>
              <w:jc w:val="left"/>
              <w:rPr>
                <w:rFonts w:ascii="Times New Roman" w:hAnsi="Times New Roman"/>
                <w:color w:val="000000"/>
              </w:rPr>
            </w:pPr>
            <w:r>
              <w:rPr>
                <w:rFonts w:ascii="Times New Roman" w:hAnsi="Times New Roman"/>
                <w:color w:val="000000"/>
              </w:rPr>
              <w:t>终止月：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8" w:hRule="exact"/>
          <w:jc w:val="center"/>
        </w:trPr>
        <w:tc>
          <w:tcPr>
            <w:tcW w:w="9181" w:type="dxa"/>
            <w:gridSpan w:val="6"/>
          </w:tcPr>
          <w:p>
            <w:pPr>
              <w:autoSpaceDE w:val="0"/>
              <w:autoSpaceDN w:val="0"/>
              <w:snapToGrid w:val="0"/>
              <w:spacing w:line="263" w:lineRule="exact"/>
              <w:ind w:left="93" w:firstLine="420"/>
              <w:jc w:val="left"/>
              <w:rPr>
                <w:rFonts w:ascii="Times New Roman" w:hAnsi="Times New Roman"/>
                <w:color w:val="000000"/>
              </w:rPr>
            </w:pPr>
            <w:r>
              <w:rPr>
                <w:rFonts w:ascii="Times New Roman" w:hAnsi="Times New Roman"/>
                <w:color w:val="000000"/>
              </w:rPr>
              <w:t>单元过程表述（如需要可加附页</w:t>
            </w:r>
            <w:r>
              <w:rPr>
                <w:rFonts w:ascii="Times New Roman" w:hAnsi="Times New Roman"/>
                <w:color w:val="000000"/>
                <w:spacing w:val="-52"/>
              </w:rPr>
              <w:t>）</w:t>
            </w:r>
            <w:r>
              <w:rPr>
                <w:rFonts w:ascii="Times New Roman" w:hAnsi="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 w:hRule="exact"/>
          <w:jc w:val="center"/>
        </w:trPr>
        <w:tc>
          <w:tcPr>
            <w:tcW w:w="1951" w:type="dxa"/>
          </w:tcPr>
          <w:p>
            <w:pPr>
              <w:autoSpaceDE w:val="0"/>
              <w:autoSpaceDN w:val="0"/>
              <w:snapToGrid w:val="0"/>
              <w:ind w:firstLine="420"/>
              <w:jc w:val="left"/>
              <w:rPr>
                <w:rFonts w:ascii="Times New Roman" w:hAnsi="Times New Roman"/>
                <w:color w:val="000000"/>
              </w:rPr>
            </w:pPr>
          </w:p>
        </w:tc>
        <w:tc>
          <w:tcPr>
            <w:tcW w:w="1133" w:type="dxa"/>
          </w:tcPr>
          <w:p>
            <w:pPr>
              <w:autoSpaceDE w:val="0"/>
              <w:autoSpaceDN w:val="0"/>
              <w:snapToGrid w:val="0"/>
              <w:ind w:firstLine="420"/>
              <w:jc w:val="left"/>
              <w:rPr>
                <w:rFonts w:ascii="Times New Roman" w:hAnsi="Times New Roman"/>
                <w:color w:val="000000"/>
              </w:rPr>
            </w:pPr>
          </w:p>
        </w:tc>
        <w:tc>
          <w:tcPr>
            <w:tcW w:w="1136" w:type="dxa"/>
          </w:tcPr>
          <w:p>
            <w:pPr>
              <w:autoSpaceDE w:val="0"/>
              <w:autoSpaceDN w:val="0"/>
              <w:snapToGrid w:val="0"/>
              <w:ind w:firstLine="420"/>
              <w:jc w:val="left"/>
              <w:rPr>
                <w:rFonts w:ascii="Times New Roman" w:hAnsi="Times New Roman"/>
                <w:color w:val="000000"/>
              </w:rPr>
            </w:pPr>
          </w:p>
        </w:tc>
        <w:tc>
          <w:tcPr>
            <w:tcW w:w="2597" w:type="dxa"/>
            <w:gridSpan w:val="2"/>
          </w:tcPr>
          <w:p>
            <w:pPr>
              <w:autoSpaceDE w:val="0"/>
              <w:autoSpaceDN w:val="0"/>
              <w:snapToGrid w:val="0"/>
              <w:ind w:firstLine="420"/>
              <w:jc w:val="left"/>
              <w:rPr>
                <w:rFonts w:ascii="Times New Roman" w:hAnsi="Times New Roman"/>
                <w:color w:val="000000"/>
              </w:rPr>
            </w:pP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jc w:val="center"/>
        </w:trPr>
        <w:tc>
          <w:tcPr>
            <w:tcW w:w="1951" w:type="dxa"/>
          </w:tcPr>
          <w:p>
            <w:pPr>
              <w:autoSpaceDE w:val="0"/>
              <w:autoSpaceDN w:val="0"/>
              <w:snapToGrid w:val="0"/>
              <w:spacing w:line="264" w:lineRule="exact"/>
              <w:jc w:val="center"/>
              <w:rPr>
                <w:rFonts w:ascii="Times New Roman" w:hAnsi="Times New Roman" w:eastAsia="Calibri"/>
                <w:color w:val="000000"/>
                <w:position w:val="10"/>
                <w:sz w:val="14"/>
              </w:rPr>
            </w:pPr>
            <w:r>
              <w:rPr>
                <w:rFonts w:ascii="Times New Roman" w:hAnsi="Times New Roman"/>
                <w:color w:val="000000"/>
              </w:rPr>
              <w:t>向空气排</w:t>
            </w:r>
            <w:r>
              <w:rPr>
                <w:rFonts w:ascii="Times New Roman" w:hAnsi="Times New Roman"/>
                <w:color w:val="000000"/>
                <w:spacing w:val="27"/>
              </w:rPr>
              <w:t>放</w:t>
            </w:r>
            <w:r>
              <w:rPr>
                <w:rFonts w:ascii="Times New Roman" w:hAnsi="Times New Roman" w:eastAsia="Calibri"/>
                <w:color w:val="000000"/>
                <w:position w:val="10"/>
                <w:sz w:val="14"/>
              </w:rPr>
              <w:t>c</w:t>
            </w:r>
          </w:p>
        </w:tc>
        <w:tc>
          <w:tcPr>
            <w:tcW w:w="1133" w:type="dxa"/>
          </w:tcPr>
          <w:p>
            <w:pPr>
              <w:autoSpaceDE w:val="0"/>
              <w:autoSpaceDN w:val="0"/>
              <w:snapToGrid w:val="0"/>
              <w:spacing w:line="263" w:lineRule="exact"/>
              <w:ind w:left="350"/>
              <w:jc w:val="left"/>
              <w:rPr>
                <w:rFonts w:ascii="Times New Roman" w:hAnsi="Times New Roman"/>
                <w:color w:val="000000"/>
              </w:rPr>
            </w:pPr>
            <w:r>
              <w:rPr>
                <w:rFonts w:ascii="Times New Roman" w:hAnsi="Times New Roman"/>
                <w:color w:val="000000"/>
              </w:rPr>
              <w:t>单位</w:t>
            </w:r>
          </w:p>
        </w:tc>
        <w:tc>
          <w:tcPr>
            <w:tcW w:w="1136" w:type="dxa"/>
          </w:tcPr>
          <w:p>
            <w:pPr>
              <w:autoSpaceDE w:val="0"/>
              <w:autoSpaceDN w:val="0"/>
              <w:snapToGrid w:val="0"/>
              <w:spacing w:line="263" w:lineRule="exact"/>
              <w:jc w:val="center"/>
              <w:rPr>
                <w:rFonts w:ascii="Times New Roman" w:hAnsi="Times New Roman"/>
                <w:color w:val="000000"/>
              </w:rPr>
            </w:pPr>
            <w:r>
              <w:rPr>
                <w:rFonts w:ascii="Times New Roman" w:hAnsi="Times New Roman"/>
                <w:color w:val="000000"/>
              </w:rPr>
              <w:t>数量</w:t>
            </w:r>
          </w:p>
        </w:tc>
        <w:tc>
          <w:tcPr>
            <w:tcW w:w="2597" w:type="dxa"/>
            <w:gridSpan w:val="2"/>
          </w:tcPr>
          <w:p>
            <w:pPr>
              <w:autoSpaceDE w:val="0"/>
              <w:autoSpaceDN w:val="0"/>
              <w:snapToGrid w:val="0"/>
              <w:spacing w:line="263" w:lineRule="exact"/>
              <w:jc w:val="center"/>
              <w:rPr>
                <w:rFonts w:ascii="Times New Roman" w:hAnsi="Times New Roman"/>
                <w:color w:val="000000"/>
              </w:rPr>
            </w:pPr>
            <w:r>
              <w:rPr>
                <w:rFonts w:ascii="Times New Roman" w:hAnsi="Times New Roman"/>
                <w:color w:val="000000"/>
              </w:rPr>
              <w:t>取样程序描述</w:t>
            </w: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 w:hRule="exact"/>
          <w:jc w:val="center"/>
        </w:trPr>
        <w:tc>
          <w:tcPr>
            <w:tcW w:w="1951" w:type="dxa"/>
          </w:tcPr>
          <w:p>
            <w:pPr>
              <w:autoSpaceDE w:val="0"/>
              <w:autoSpaceDN w:val="0"/>
              <w:snapToGrid w:val="0"/>
              <w:ind w:firstLine="420"/>
              <w:jc w:val="left"/>
              <w:rPr>
                <w:rFonts w:ascii="Times New Roman" w:hAnsi="Times New Roman"/>
                <w:color w:val="000000"/>
              </w:rPr>
            </w:pPr>
          </w:p>
        </w:tc>
        <w:tc>
          <w:tcPr>
            <w:tcW w:w="1133" w:type="dxa"/>
          </w:tcPr>
          <w:p>
            <w:pPr>
              <w:autoSpaceDE w:val="0"/>
              <w:autoSpaceDN w:val="0"/>
              <w:snapToGrid w:val="0"/>
              <w:ind w:firstLine="420"/>
              <w:jc w:val="left"/>
              <w:rPr>
                <w:rFonts w:ascii="Times New Roman" w:hAnsi="Times New Roman"/>
                <w:color w:val="000000"/>
              </w:rPr>
            </w:pPr>
          </w:p>
        </w:tc>
        <w:tc>
          <w:tcPr>
            <w:tcW w:w="1136" w:type="dxa"/>
          </w:tcPr>
          <w:p>
            <w:pPr>
              <w:autoSpaceDE w:val="0"/>
              <w:autoSpaceDN w:val="0"/>
              <w:snapToGrid w:val="0"/>
              <w:ind w:firstLine="420"/>
              <w:jc w:val="left"/>
              <w:rPr>
                <w:rFonts w:ascii="Times New Roman" w:hAnsi="Times New Roman"/>
                <w:color w:val="000000"/>
              </w:rPr>
            </w:pPr>
          </w:p>
        </w:tc>
        <w:tc>
          <w:tcPr>
            <w:tcW w:w="2597" w:type="dxa"/>
            <w:gridSpan w:val="2"/>
          </w:tcPr>
          <w:p>
            <w:pPr>
              <w:autoSpaceDE w:val="0"/>
              <w:autoSpaceDN w:val="0"/>
              <w:snapToGrid w:val="0"/>
              <w:ind w:firstLine="420"/>
              <w:jc w:val="left"/>
              <w:rPr>
                <w:rFonts w:ascii="Times New Roman" w:hAnsi="Times New Roman"/>
                <w:color w:val="000000"/>
              </w:rPr>
            </w:pP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 w:hRule="exact"/>
          <w:jc w:val="center"/>
        </w:trPr>
        <w:tc>
          <w:tcPr>
            <w:tcW w:w="1951" w:type="dxa"/>
          </w:tcPr>
          <w:p>
            <w:pPr>
              <w:autoSpaceDE w:val="0"/>
              <w:autoSpaceDN w:val="0"/>
              <w:snapToGrid w:val="0"/>
              <w:ind w:firstLine="420"/>
              <w:jc w:val="left"/>
              <w:rPr>
                <w:rFonts w:ascii="Times New Roman" w:hAnsi="Times New Roman"/>
                <w:color w:val="000000"/>
              </w:rPr>
            </w:pPr>
          </w:p>
        </w:tc>
        <w:tc>
          <w:tcPr>
            <w:tcW w:w="1133" w:type="dxa"/>
          </w:tcPr>
          <w:p>
            <w:pPr>
              <w:autoSpaceDE w:val="0"/>
              <w:autoSpaceDN w:val="0"/>
              <w:snapToGrid w:val="0"/>
              <w:ind w:firstLine="420"/>
              <w:jc w:val="left"/>
              <w:rPr>
                <w:rFonts w:ascii="Times New Roman" w:hAnsi="Times New Roman"/>
                <w:color w:val="000000"/>
              </w:rPr>
            </w:pPr>
          </w:p>
        </w:tc>
        <w:tc>
          <w:tcPr>
            <w:tcW w:w="1136" w:type="dxa"/>
          </w:tcPr>
          <w:p>
            <w:pPr>
              <w:autoSpaceDE w:val="0"/>
              <w:autoSpaceDN w:val="0"/>
              <w:snapToGrid w:val="0"/>
              <w:ind w:firstLine="420"/>
              <w:jc w:val="left"/>
              <w:rPr>
                <w:rFonts w:ascii="Times New Roman" w:hAnsi="Times New Roman"/>
                <w:color w:val="000000"/>
              </w:rPr>
            </w:pPr>
          </w:p>
        </w:tc>
        <w:tc>
          <w:tcPr>
            <w:tcW w:w="2597" w:type="dxa"/>
            <w:gridSpan w:val="2"/>
          </w:tcPr>
          <w:p>
            <w:pPr>
              <w:autoSpaceDE w:val="0"/>
              <w:autoSpaceDN w:val="0"/>
              <w:snapToGrid w:val="0"/>
              <w:ind w:firstLine="420"/>
              <w:jc w:val="left"/>
              <w:rPr>
                <w:rFonts w:ascii="Times New Roman" w:hAnsi="Times New Roman"/>
                <w:color w:val="000000"/>
              </w:rPr>
            </w:pP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 w:hRule="exact"/>
          <w:jc w:val="center"/>
        </w:trPr>
        <w:tc>
          <w:tcPr>
            <w:tcW w:w="1951" w:type="dxa"/>
          </w:tcPr>
          <w:p>
            <w:pPr>
              <w:autoSpaceDE w:val="0"/>
              <w:autoSpaceDN w:val="0"/>
              <w:snapToGrid w:val="0"/>
              <w:ind w:firstLine="420"/>
              <w:jc w:val="left"/>
              <w:rPr>
                <w:rFonts w:ascii="Times New Roman" w:hAnsi="Times New Roman"/>
                <w:color w:val="000000"/>
              </w:rPr>
            </w:pPr>
          </w:p>
        </w:tc>
        <w:tc>
          <w:tcPr>
            <w:tcW w:w="1133" w:type="dxa"/>
          </w:tcPr>
          <w:p>
            <w:pPr>
              <w:autoSpaceDE w:val="0"/>
              <w:autoSpaceDN w:val="0"/>
              <w:snapToGrid w:val="0"/>
              <w:ind w:firstLine="420"/>
              <w:jc w:val="left"/>
              <w:rPr>
                <w:rFonts w:ascii="Times New Roman" w:hAnsi="Times New Roman"/>
                <w:color w:val="000000"/>
              </w:rPr>
            </w:pPr>
          </w:p>
        </w:tc>
        <w:tc>
          <w:tcPr>
            <w:tcW w:w="1136" w:type="dxa"/>
          </w:tcPr>
          <w:p>
            <w:pPr>
              <w:autoSpaceDE w:val="0"/>
              <w:autoSpaceDN w:val="0"/>
              <w:snapToGrid w:val="0"/>
              <w:ind w:firstLine="420"/>
              <w:jc w:val="left"/>
              <w:rPr>
                <w:rFonts w:ascii="Times New Roman" w:hAnsi="Times New Roman"/>
                <w:color w:val="000000"/>
              </w:rPr>
            </w:pPr>
          </w:p>
        </w:tc>
        <w:tc>
          <w:tcPr>
            <w:tcW w:w="2597" w:type="dxa"/>
            <w:gridSpan w:val="2"/>
          </w:tcPr>
          <w:p>
            <w:pPr>
              <w:autoSpaceDE w:val="0"/>
              <w:autoSpaceDN w:val="0"/>
              <w:snapToGrid w:val="0"/>
              <w:ind w:firstLine="420"/>
              <w:jc w:val="left"/>
              <w:rPr>
                <w:rFonts w:ascii="Times New Roman" w:hAnsi="Times New Roman"/>
                <w:color w:val="000000"/>
              </w:rPr>
            </w:pP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1" w:hRule="exact"/>
          <w:jc w:val="center"/>
        </w:trPr>
        <w:tc>
          <w:tcPr>
            <w:tcW w:w="1951" w:type="dxa"/>
          </w:tcPr>
          <w:p>
            <w:pPr>
              <w:autoSpaceDE w:val="0"/>
              <w:autoSpaceDN w:val="0"/>
              <w:snapToGrid w:val="0"/>
              <w:spacing w:line="264" w:lineRule="exact"/>
              <w:jc w:val="center"/>
              <w:rPr>
                <w:rFonts w:ascii="Times New Roman" w:hAnsi="Times New Roman" w:eastAsia="Calibri"/>
                <w:color w:val="000000"/>
                <w:position w:val="10"/>
                <w:sz w:val="14"/>
              </w:rPr>
            </w:pPr>
            <w:r>
              <w:rPr>
                <w:rFonts w:ascii="Times New Roman" w:hAnsi="Times New Roman"/>
                <w:color w:val="000000"/>
              </w:rPr>
              <w:t>向水体排</w:t>
            </w:r>
            <w:r>
              <w:rPr>
                <w:rFonts w:ascii="Times New Roman" w:hAnsi="Times New Roman"/>
                <w:color w:val="000000"/>
                <w:spacing w:val="27"/>
              </w:rPr>
              <w:t>放</w:t>
            </w:r>
            <w:r>
              <w:rPr>
                <w:rFonts w:ascii="Times New Roman" w:hAnsi="Times New Roman" w:eastAsia="Calibri"/>
                <w:color w:val="000000"/>
                <w:position w:val="10"/>
                <w:sz w:val="14"/>
              </w:rPr>
              <w:t>d</w:t>
            </w:r>
          </w:p>
        </w:tc>
        <w:tc>
          <w:tcPr>
            <w:tcW w:w="1133" w:type="dxa"/>
          </w:tcPr>
          <w:p>
            <w:pPr>
              <w:autoSpaceDE w:val="0"/>
              <w:autoSpaceDN w:val="0"/>
              <w:snapToGrid w:val="0"/>
              <w:spacing w:line="263" w:lineRule="exact"/>
              <w:ind w:left="350"/>
              <w:jc w:val="left"/>
              <w:rPr>
                <w:rFonts w:ascii="Times New Roman" w:hAnsi="Times New Roman"/>
                <w:color w:val="000000"/>
              </w:rPr>
            </w:pPr>
            <w:r>
              <w:rPr>
                <w:rFonts w:ascii="Times New Roman" w:hAnsi="Times New Roman"/>
                <w:color w:val="000000"/>
              </w:rPr>
              <w:t>单位</w:t>
            </w:r>
          </w:p>
        </w:tc>
        <w:tc>
          <w:tcPr>
            <w:tcW w:w="1136" w:type="dxa"/>
          </w:tcPr>
          <w:p>
            <w:pPr>
              <w:autoSpaceDE w:val="0"/>
              <w:autoSpaceDN w:val="0"/>
              <w:snapToGrid w:val="0"/>
              <w:spacing w:line="263" w:lineRule="exact"/>
              <w:ind w:left="350"/>
              <w:jc w:val="left"/>
              <w:rPr>
                <w:rFonts w:ascii="Times New Roman" w:hAnsi="Times New Roman"/>
                <w:color w:val="000000"/>
              </w:rPr>
            </w:pPr>
            <w:r>
              <w:rPr>
                <w:rFonts w:ascii="Times New Roman" w:hAnsi="Times New Roman"/>
                <w:color w:val="000000"/>
              </w:rPr>
              <w:t>数量</w:t>
            </w:r>
          </w:p>
        </w:tc>
        <w:tc>
          <w:tcPr>
            <w:tcW w:w="2597" w:type="dxa"/>
            <w:gridSpan w:val="2"/>
          </w:tcPr>
          <w:p>
            <w:pPr>
              <w:autoSpaceDE w:val="0"/>
              <w:autoSpaceDN w:val="0"/>
              <w:snapToGrid w:val="0"/>
              <w:spacing w:line="263" w:lineRule="exact"/>
              <w:jc w:val="center"/>
              <w:rPr>
                <w:rFonts w:ascii="Times New Roman" w:hAnsi="Times New Roman"/>
                <w:color w:val="000000"/>
              </w:rPr>
            </w:pPr>
            <w:r>
              <w:rPr>
                <w:rFonts w:ascii="Times New Roman" w:hAnsi="Times New Roman"/>
                <w:color w:val="000000"/>
              </w:rPr>
              <w:t>取样程序描述</w:t>
            </w: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 w:hRule="exact"/>
          <w:jc w:val="center"/>
        </w:trPr>
        <w:tc>
          <w:tcPr>
            <w:tcW w:w="1951" w:type="dxa"/>
          </w:tcPr>
          <w:p>
            <w:pPr>
              <w:autoSpaceDE w:val="0"/>
              <w:autoSpaceDN w:val="0"/>
              <w:snapToGrid w:val="0"/>
              <w:ind w:firstLine="420"/>
              <w:jc w:val="left"/>
              <w:rPr>
                <w:rFonts w:ascii="Times New Roman" w:hAnsi="Times New Roman"/>
                <w:color w:val="000000"/>
              </w:rPr>
            </w:pPr>
          </w:p>
        </w:tc>
        <w:tc>
          <w:tcPr>
            <w:tcW w:w="1133" w:type="dxa"/>
          </w:tcPr>
          <w:p>
            <w:pPr>
              <w:autoSpaceDE w:val="0"/>
              <w:autoSpaceDN w:val="0"/>
              <w:snapToGrid w:val="0"/>
              <w:ind w:firstLine="420"/>
              <w:jc w:val="left"/>
              <w:rPr>
                <w:rFonts w:ascii="Times New Roman" w:hAnsi="Times New Roman"/>
                <w:color w:val="000000"/>
              </w:rPr>
            </w:pPr>
          </w:p>
        </w:tc>
        <w:tc>
          <w:tcPr>
            <w:tcW w:w="1136" w:type="dxa"/>
          </w:tcPr>
          <w:p>
            <w:pPr>
              <w:autoSpaceDE w:val="0"/>
              <w:autoSpaceDN w:val="0"/>
              <w:snapToGrid w:val="0"/>
              <w:ind w:firstLine="420"/>
              <w:jc w:val="left"/>
              <w:rPr>
                <w:rFonts w:ascii="Times New Roman" w:hAnsi="Times New Roman"/>
                <w:color w:val="000000"/>
              </w:rPr>
            </w:pPr>
          </w:p>
        </w:tc>
        <w:tc>
          <w:tcPr>
            <w:tcW w:w="2597" w:type="dxa"/>
            <w:gridSpan w:val="2"/>
          </w:tcPr>
          <w:p>
            <w:pPr>
              <w:autoSpaceDE w:val="0"/>
              <w:autoSpaceDN w:val="0"/>
              <w:snapToGrid w:val="0"/>
              <w:ind w:firstLine="420"/>
              <w:jc w:val="left"/>
              <w:rPr>
                <w:rFonts w:ascii="Times New Roman" w:hAnsi="Times New Roman"/>
                <w:color w:val="000000"/>
              </w:rPr>
            </w:pP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 w:hRule="exact"/>
          <w:jc w:val="center"/>
        </w:trPr>
        <w:tc>
          <w:tcPr>
            <w:tcW w:w="1951" w:type="dxa"/>
          </w:tcPr>
          <w:p>
            <w:pPr>
              <w:autoSpaceDE w:val="0"/>
              <w:autoSpaceDN w:val="0"/>
              <w:snapToGrid w:val="0"/>
              <w:ind w:firstLine="420"/>
              <w:jc w:val="left"/>
              <w:rPr>
                <w:rFonts w:ascii="Times New Roman" w:hAnsi="Times New Roman"/>
                <w:color w:val="000000"/>
              </w:rPr>
            </w:pPr>
          </w:p>
        </w:tc>
        <w:tc>
          <w:tcPr>
            <w:tcW w:w="1133" w:type="dxa"/>
          </w:tcPr>
          <w:p>
            <w:pPr>
              <w:autoSpaceDE w:val="0"/>
              <w:autoSpaceDN w:val="0"/>
              <w:snapToGrid w:val="0"/>
              <w:ind w:firstLine="420"/>
              <w:jc w:val="left"/>
              <w:rPr>
                <w:rFonts w:ascii="Times New Roman" w:hAnsi="Times New Roman"/>
                <w:color w:val="000000"/>
              </w:rPr>
            </w:pPr>
          </w:p>
        </w:tc>
        <w:tc>
          <w:tcPr>
            <w:tcW w:w="1136" w:type="dxa"/>
          </w:tcPr>
          <w:p>
            <w:pPr>
              <w:autoSpaceDE w:val="0"/>
              <w:autoSpaceDN w:val="0"/>
              <w:snapToGrid w:val="0"/>
              <w:ind w:firstLine="420"/>
              <w:jc w:val="left"/>
              <w:rPr>
                <w:rFonts w:ascii="Times New Roman" w:hAnsi="Times New Roman"/>
                <w:color w:val="000000"/>
              </w:rPr>
            </w:pPr>
          </w:p>
        </w:tc>
        <w:tc>
          <w:tcPr>
            <w:tcW w:w="2597" w:type="dxa"/>
            <w:gridSpan w:val="2"/>
          </w:tcPr>
          <w:p>
            <w:pPr>
              <w:autoSpaceDE w:val="0"/>
              <w:autoSpaceDN w:val="0"/>
              <w:snapToGrid w:val="0"/>
              <w:ind w:firstLine="420"/>
              <w:jc w:val="left"/>
              <w:rPr>
                <w:rFonts w:ascii="Times New Roman" w:hAnsi="Times New Roman"/>
                <w:color w:val="000000"/>
              </w:rPr>
            </w:pP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 w:hRule="exact"/>
          <w:jc w:val="center"/>
        </w:trPr>
        <w:tc>
          <w:tcPr>
            <w:tcW w:w="1951" w:type="dxa"/>
          </w:tcPr>
          <w:p>
            <w:pPr>
              <w:autoSpaceDE w:val="0"/>
              <w:autoSpaceDN w:val="0"/>
              <w:snapToGrid w:val="0"/>
              <w:ind w:firstLine="420"/>
              <w:jc w:val="left"/>
              <w:rPr>
                <w:rFonts w:ascii="Times New Roman" w:hAnsi="Times New Roman"/>
                <w:color w:val="000000"/>
              </w:rPr>
            </w:pPr>
          </w:p>
        </w:tc>
        <w:tc>
          <w:tcPr>
            <w:tcW w:w="1133" w:type="dxa"/>
          </w:tcPr>
          <w:p>
            <w:pPr>
              <w:autoSpaceDE w:val="0"/>
              <w:autoSpaceDN w:val="0"/>
              <w:snapToGrid w:val="0"/>
              <w:ind w:firstLine="420"/>
              <w:jc w:val="left"/>
              <w:rPr>
                <w:rFonts w:ascii="Times New Roman" w:hAnsi="Times New Roman"/>
                <w:color w:val="000000"/>
              </w:rPr>
            </w:pPr>
          </w:p>
        </w:tc>
        <w:tc>
          <w:tcPr>
            <w:tcW w:w="1136" w:type="dxa"/>
          </w:tcPr>
          <w:p>
            <w:pPr>
              <w:autoSpaceDE w:val="0"/>
              <w:autoSpaceDN w:val="0"/>
              <w:snapToGrid w:val="0"/>
              <w:ind w:firstLine="420"/>
              <w:jc w:val="left"/>
              <w:rPr>
                <w:rFonts w:ascii="Times New Roman" w:hAnsi="Times New Roman"/>
                <w:color w:val="000000"/>
              </w:rPr>
            </w:pPr>
          </w:p>
        </w:tc>
        <w:tc>
          <w:tcPr>
            <w:tcW w:w="2597" w:type="dxa"/>
            <w:gridSpan w:val="2"/>
          </w:tcPr>
          <w:p>
            <w:pPr>
              <w:autoSpaceDE w:val="0"/>
              <w:autoSpaceDN w:val="0"/>
              <w:snapToGrid w:val="0"/>
              <w:ind w:firstLine="420"/>
              <w:jc w:val="left"/>
              <w:rPr>
                <w:rFonts w:ascii="Times New Roman" w:hAnsi="Times New Roman"/>
                <w:color w:val="000000"/>
              </w:rPr>
            </w:pP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jc w:val="center"/>
        </w:trPr>
        <w:tc>
          <w:tcPr>
            <w:tcW w:w="1951" w:type="dxa"/>
          </w:tcPr>
          <w:p>
            <w:pPr>
              <w:autoSpaceDE w:val="0"/>
              <w:autoSpaceDN w:val="0"/>
              <w:snapToGrid w:val="0"/>
              <w:spacing w:line="264" w:lineRule="exact"/>
              <w:jc w:val="center"/>
              <w:rPr>
                <w:rFonts w:ascii="Times New Roman" w:hAnsi="Times New Roman" w:eastAsia="Calibri"/>
                <w:color w:val="000000"/>
                <w:position w:val="10"/>
                <w:sz w:val="14"/>
              </w:rPr>
            </w:pPr>
            <w:r>
              <w:rPr>
                <w:rFonts w:ascii="Times New Roman" w:hAnsi="Times New Roman"/>
                <w:color w:val="000000"/>
              </w:rPr>
              <w:t>向土壤排</w:t>
            </w:r>
            <w:r>
              <w:rPr>
                <w:rFonts w:ascii="Times New Roman" w:hAnsi="Times New Roman"/>
                <w:color w:val="000000"/>
                <w:spacing w:val="27"/>
              </w:rPr>
              <w:t>放</w:t>
            </w:r>
            <w:r>
              <w:rPr>
                <w:rFonts w:ascii="Times New Roman" w:hAnsi="Times New Roman" w:eastAsia="Calibri"/>
                <w:color w:val="000000"/>
                <w:position w:val="10"/>
                <w:sz w:val="14"/>
              </w:rPr>
              <w:t>e</w:t>
            </w:r>
          </w:p>
        </w:tc>
        <w:tc>
          <w:tcPr>
            <w:tcW w:w="1133" w:type="dxa"/>
          </w:tcPr>
          <w:p>
            <w:pPr>
              <w:autoSpaceDE w:val="0"/>
              <w:autoSpaceDN w:val="0"/>
              <w:snapToGrid w:val="0"/>
              <w:spacing w:line="263" w:lineRule="exact"/>
              <w:ind w:left="350"/>
              <w:jc w:val="left"/>
              <w:rPr>
                <w:rFonts w:ascii="Times New Roman" w:hAnsi="Times New Roman"/>
                <w:color w:val="000000"/>
              </w:rPr>
            </w:pPr>
            <w:r>
              <w:rPr>
                <w:rFonts w:ascii="Times New Roman" w:hAnsi="Times New Roman"/>
                <w:color w:val="000000"/>
              </w:rPr>
              <w:t>单位</w:t>
            </w:r>
          </w:p>
        </w:tc>
        <w:tc>
          <w:tcPr>
            <w:tcW w:w="1136" w:type="dxa"/>
          </w:tcPr>
          <w:p>
            <w:pPr>
              <w:autoSpaceDE w:val="0"/>
              <w:autoSpaceDN w:val="0"/>
              <w:snapToGrid w:val="0"/>
              <w:spacing w:line="263" w:lineRule="exact"/>
              <w:ind w:left="350"/>
              <w:jc w:val="left"/>
              <w:rPr>
                <w:rFonts w:ascii="Times New Roman" w:hAnsi="Times New Roman"/>
                <w:color w:val="000000"/>
              </w:rPr>
            </w:pPr>
            <w:r>
              <w:rPr>
                <w:rFonts w:ascii="Times New Roman" w:hAnsi="Times New Roman"/>
                <w:color w:val="000000"/>
              </w:rPr>
              <w:t>数量</w:t>
            </w:r>
          </w:p>
        </w:tc>
        <w:tc>
          <w:tcPr>
            <w:tcW w:w="2597" w:type="dxa"/>
            <w:gridSpan w:val="2"/>
          </w:tcPr>
          <w:p>
            <w:pPr>
              <w:autoSpaceDE w:val="0"/>
              <w:autoSpaceDN w:val="0"/>
              <w:snapToGrid w:val="0"/>
              <w:spacing w:line="263" w:lineRule="exact"/>
              <w:jc w:val="center"/>
              <w:rPr>
                <w:rFonts w:ascii="Times New Roman" w:hAnsi="Times New Roman"/>
                <w:color w:val="000000"/>
              </w:rPr>
            </w:pPr>
            <w:r>
              <w:rPr>
                <w:rFonts w:ascii="Times New Roman" w:hAnsi="Times New Roman"/>
                <w:color w:val="000000"/>
              </w:rPr>
              <w:t>取样程序描述</w:t>
            </w: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 w:hRule="exact"/>
          <w:jc w:val="center"/>
        </w:trPr>
        <w:tc>
          <w:tcPr>
            <w:tcW w:w="1951" w:type="dxa"/>
          </w:tcPr>
          <w:p>
            <w:pPr>
              <w:autoSpaceDE w:val="0"/>
              <w:autoSpaceDN w:val="0"/>
              <w:snapToGrid w:val="0"/>
              <w:ind w:firstLine="420"/>
              <w:jc w:val="left"/>
              <w:rPr>
                <w:rFonts w:ascii="Times New Roman" w:hAnsi="Times New Roman"/>
                <w:color w:val="000000"/>
              </w:rPr>
            </w:pPr>
          </w:p>
        </w:tc>
        <w:tc>
          <w:tcPr>
            <w:tcW w:w="1133" w:type="dxa"/>
          </w:tcPr>
          <w:p>
            <w:pPr>
              <w:autoSpaceDE w:val="0"/>
              <w:autoSpaceDN w:val="0"/>
              <w:snapToGrid w:val="0"/>
              <w:ind w:firstLine="420"/>
              <w:jc w:val="left"/>
              <w:rPr>
                <w:rFonts w:ascii="Times New Roman" w:hAnsi="Times New Roman"/>
                <w:color w:val="000000"/>
              </w:rPr>
            </w:pPr>
          </w:p>
        </w:tc>
        <w:tc>
          <w:tcPr>
            <w:tcW w:w="1136" w:type="dxa"/>
          </w:tcPr>
          <w:p>
            <w:pPr>
              <w:autoSpaceDE w:val="0"/>
              <w:autoSpaceDN w:val="0"/>
              <w:snapToGrid w:val="0"/>
              <w:ind w:firstLine="420"/>
              <w:jc w:val="left"/>
              <w:rPr>
                <w:rFonts w:ascii="Times New Roman" w:hAnsi="Times New Roman"/>
                <w:color w:val="000000"/>
              </w:rPr>
            </w:pPr>
          </w:p>
        </w:tc>
        <w:tc>
          <w:tcPr>
            <w:tcW w:w="2597" w:type="dxa"/>
            <w:gridSpan w:val="2"/>
          </w:tcPr>
          <w:p>
            <w:pPr>
              <w:autoSpaceDE w:val="0"/>
              <w:autoSpaceDN w:val="0"/>
              <w:snapToGrid w:val="0"/>
              <w:ind w:firstLine="420"/>
              <w:jc w:val="left"/>
              <w:rPr>
                <w:rFonts w:ascii="Times New Roman" w:hAnsi="Times New Roman"/>
                <w:color w:val="000000"/>
              </w:rPr>
            </w:pP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6" w:hRule="exact"/>
          <w:jc w:val="center"/>
        </w:trPr>
        <w:tc>
          <w:tcPr>
            <w:tcW w:w="1951" w:type="dxa"/>
          </w:tcPr>
          <w:p>
            <w:pPr>
              <w:autoSpaceDE w:val="0"/>
              <w:autoSpaceDN w:val="0"/>
              <w:snapToGrid w:val="0"/>
              <w:ind w:firstLine="420"/>
              <w:jc w:val="left"/>
              <w:rPr>
                <w:rFonts w:ascii="Times New Roman" w:hAnsi="Times New Roman"/>
                <w:color w:val="000000"/>
              </w:rPr>
            </w:pPr>
          </w:p>
        </w:tc>
        <w:tc>
          <w:tcPr>
            <w:tcW w:w="1133" w:type="dxa"/>
          </w:tcPr>
          <w:p>
            <w:pPr>
              <w:autoSpaceDE w:val="0"/>
              <w:autoSpaceDN w:val="0"/>
              <w:snapToGrid w:val="0"/>
              <w:ind w:firstLine="420"/>
              <w:jc w:val="left"/>
              <w:rPr>
                <w:rFonts w:ascii="Times New Roman" w:hAnsi="Times New Roman"/>
                <w:color w:val="000000"/>
              </w:rPr>
            </w:pPr>
          </w:p>
        </w:tc>
        <w:tc>
          <w:tcPr>
            <w:tcW w:w="1136" w:type="dxa"/>
          </w:tcPr>
          <w:p>
            <w:pPr>
              <w:autoSpaceDE w:val="0"/>
              <w:autoSpaceDN w:val="0"/>
              <w:snapToGrid w:val="0"/>
              <w:ind w:firstLine="420"/>
              <w:jc w:val="left"/>
              <w:rPr>
                <w:rFonts w:ascii="Times New Roman" w:hAnsi="Times New Roman"/>
                <w:color w:val="000000"/>
              </w:rPr>
            </w:pPr>
          </w:p>
        </w:tc>
        <w:tc>
          <w:tcPr>
            <w:tcW w:w="2597" w:type="dxa"/>
            <w:gridSpan w:val="2"/>
          </w:tcPr>
          <w:p>
            <w:pPr>
              <w:autoSpaceDE w:val="0"/>
              <w:autoSpaceDN w:val="0"/>
              <w:snapToGrid w:val="0"/>
              <w:ind w:firstLine="420"/>
              <w:jc w:val="left"/>
              <w:rPr>
                <w:rFonts w:ascii="Times New Roman" w:hAnsi="Times New Roman"/>
                <w:color w:val="000000"/>
              </w:rPr>
            </w:pP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 w:hRule="exact"/>
          <w:jc w:val="center"/>
        </w:trPr>
        <w:tc>
          <w:tcPr>
            <w:tcW w:w="1951" w:type="dxa"/>
          </w:tcPr>
          <w:p>
            <w:pPr>
              <w:autoSpaceDE w:val="0"/>
              <w:autoSpaceDN w:val="0"/>
              <w:snapToGrid w:val="0"/>
              <w:ind w:firstLine="420"/>
              <w:jc w:val="left"/>
              <w:rPr>
                <w:rFonts w:ascii="Times New Roman" w:hAnsi="Times New Roman"/>
                <w:color w:val="000000"/>
              </w:rPr>
            </w:pPr>
          </w:p>
        </w:tc>
        <w:tc>
          <w:tcPr>
            <w:tcW w:w="1133" w:type="dxa"/>
          </w:tcPr>
          <w:p>
            <w:pPr>
              <w:autoSpaceDE w:val="0"/>
              <w:autoSpaceDN w:val="0"/>
              <w:snapToGrid w:val="0"/>
              <w:ind w:firstLine="420"/>
              <w:jc w:val="left"/>
              <w:rPr>
                <w:rFonts w:ascii="Times New Roman" w:hAnsi="Times New Roman"/>
                <w:color w:val="000000"/>
              </w:rPr>
            </w:pPr>
          </w:p>
        </w:tc>
        <w:tc>
          <w:tcPr>
            <w:tcW w:w="1136" w:type="dxa"/>
          </w:tcPr>
          <w:p>
            <w:pPr>
              <w:autoSpaceDE w:val="0"/>
              <w:autoSpaceDN w:val="0"/>
              <w:snapToGrid w:val="0"/>
              <w:ind w:firstLine="420"/>
              <w:jc w:val="left"/>
              <w:rPr>
                <w:rFonts w:ascii="Times New Roman" w:hAnsi="Times New Roman"/>
                <w:color w:val="000000"/>
              </w:rPr>
            </w:pPr>
          </w:p>
        </w:tc>
        <w:tc>
          <w:tcPr>
            <w:tcW w:w="2597" w:type="dxa"/>
            <w:gridSpan w:val="2"/>
          </w:tcPr>
          <w:p>
            <w:pPr>
              <w:autoSpaceDE w:val="0"/>
              <w:autoSpaceDN w:val="0"/>
              <w:snapToGrid w:val="0"/>
              <w:ind w:firstLine="420"/>
              <w:jc w:val="left"/>
              <w:rPr>
                <w:rFonts w:ascii="Times New Roman" w:hAnsi="Times New Roman"/>
                <w:color w:val="000000"/>
              </w:rPr>
            </w:pP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exact"/>
          <w:jc w:val="center"/>
        </w:trPr>
        <w:tc>
          <w:tcPr>
            <w:tcW w:w="1951" w:type="dxa"/>
          </w:tcPr>
          <w:p>
            <w:pPr>
              <w:autoSpaceDE w:val="0"/>
              <w:autoSpaceDN w:val="0"/>
              <w:snapToGrid w:val="0"/>
              <w:spacing w:line="264" w:lineRule="exact"/>
              <w:jc w:val="center"/>
              <w:rPr>
                <w:rFonts w:ascii="Times New Roman" w:hAnsi="Times New Roman" w:eastAsia="Calibri"/>
                <w:color w:val="000000"/>
                <w:position w:val="10"/>
                <w:sz w:val="14"/>
              </w:rPr>
            </w:pPr>
            <w:r>
              <w:rPr>
                <w:rFonts w:ascii="Times New Roman" w:hAnsi="Times New Roman"/>
                <w:color w:val="000000"/>
              </w:rPr>
              <w:t>其他排</w:t>
            </w:r>
            <w:r>
              <w:rPr>
                <w:rFonts w:ascii="Times New Roman" w:hAnsi="Times New Roman"/>
                <w:color w:val="000000"/>
                <w:spacing w:val="27"/>
              </w:rPr>
              <w:t>放</w:t>
            </w:r>
            <w:r>
              <w:rPr>
                <w:rFonts w:ascii="Times New Roman" w:hAnsi="Times New Roman" w:eastAsia="Calibri"/>
                <w:color w:val="000000"/>
                <w:position w:val="10"/>
                <w:sz w:val="14"/>
              </w:rPr>
              <w:t>f</w:t>
            </w:r>
          </w:p>
        </w:tc>
        <w:tc>
          <w:tcPr>
            <w:tcW w:w="1133" w:type="dxa"/>
          </w:tcPr>
          <w:p>
            <w:pPr>
              <w:autoSpaceDE w:val="0"/>
              <w:autoSpaceDN w:val="0"/>
              <w:snapToGrid w:val="0"/>
              <w:spacing w:line="263" w:lineRule="exact"/>
              <w:ind w:left="350"/>
              <w:jc w:val="left"/>
              <w:rPr>
                <w:rFonts w:ascii="Times New Roman" w:hAnsi="Times New Roman"/>
                <w:color w:val="000000"/>
              </w:rPr>
            </w:pPr>
            <w:r>
              <w:rPr>
                <w:rFonts w:ascii="Times New Roman" w:hAnsi="Times New Roman"/>
                <w:color w:val="000000"/>
              </w:rPr>
              <w:t>单位</w:t>
            </w:r>
          </w:p>
        </w:tc>
        <w:tc>
          <w:tcPr>
            <w:tcW w:w="1136" w:type="dxa"/>
          </w:tcPr>
          <w:p>
            <w:pPr>
              <w:autoSpaceDE w:val="0"/>
              <w:autoSpaceDN w:val="0"/>
              <w:snapToGrid w:val="0"/>
              <w:spacing w:line="263" w:lineRule="exact"/>
              <w:ind w:left="350"/>
              <w:jc w:val="left"/>
              <w:rPr>
                <w:rFonts w:ascii="Times New Roman" w:hAnsi="Times New Roman"/>
                <w:color w:val="000000"/>
              </w:rPr>
            </w:pPr>
            <w:r>
              <w:rPr>
                <w:rFonts w:ascii="Times New Roman" w:hAnsi="Times New Roman"/>
                <w:color w:val="000000"/>
              </w:rPr>
              <w:t>数量</w:t>
            </w:r>
          </w:p>
        </w:tc>
        <w:tc>
          <w:tcPr>
            <w:tcW w:w="2597" w:type="dxa"/>
            <w:gridSpan w:val="2"/>
          </w:tcPr>
          <w:p>
            <w:pPr>
              <w:autoSpaceDE w:val="0"/>
              <w:autoSpaceDN w:val="0"/>
              <w:snapToGrid w:val="0"/>
              <w:spacing w:line="263" w:lineRule="exact"/>
              <w:jc w:val="center"/>
              <w:rPr>
                <w:rFonts w:ascii="Times New Roman" w:hAnsi="Times New Roman"/>
                <w:color w:val="000000"/>
              </w:rPr>
            </w:pPr>
            <w:r>
              <w:rPr>
                <w:rFonts w:ascii="Times New Roman" w:hAnsi="Times New Roman"/>
                <w:color w:val="000000"/>
              </w:rPr>
              <w:t>取样程序描述</w:t>
            </w: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 w:hRule="exact"/>
          <w:jc w:val="center"/>
        </w:trPr>
        <w:tc>
          <w:tcPr>
            <w:tcW w:w="1951" w:type="dxa"/>
          </w:tcPr>
          <w:p>
            <w:pPr>
              <w:autoSpaceDE w:val="0"/>
              <w:autoSpaceDN w:val="0"/>
              <w:snapToGrid w:val="0"/>
              <w:ind w:firstLine="420"/>
              <w:jc w:val="left"/>
              <w:rPr>
                <w:rFonts w:ascii="Times New Roman" w:hAnsi="Times New Roman"/>
                <w:color w:val="000000"/>
              </w:rPr>
            </w:pPr>
          </w:p>
        </w:tc>
        <w:tc>
          <w:tcPr>
            <w:tcW w:w="1133" w:type="dxa"/>
          </w:tcPr>
          <w:p>
            <w:pPr>
              <w:autoSpaceDE w:val="0"/>
              <w:autoSpaceDN w:val="0"/>
              <w:snapToGrid w:val="0"/>
              <w:ind w:firstLine="420"/>
              <w:jc w:val="left"/>
              <w:rPr>
                <w:rFonts w:ascii="Times New Roman" w:hAnsi="Times New Roman"/>
                <w:color w:val="000000"/>
              </w:rPr>
            </w:pPr>
          </w:p>
        </w:tc>
        <w:tc>
          <w:tcPr>
            <w:tcW w:w="1136" w:type="dxa"/>
          </w:tcPr>
          <w:p>
            <w:pPr>
              <w:autoSpaceDE w:val="0"/>
              <w:autoSpaceDN w:val="0"/>
              <w:snapToGrid w:val="0"/>
              <w:ind w:firstLine="420"/>
              <w:jc w:val="left"/>
              <w:rPr>
                <w:rFonts w:ascii="Times New Roman" w:hAnsi="Times New Roman"/>
                <w:color w:val="000000"/>
              </w:rPr>
            </w:pPr>
          </w:p>
        </w:tc>
        <w:tc>
          <w:tcPr>
            <w:tcW w:w="2597" w:type="dxa"/>
            <w:gridSpan w:val="2"/>
          </w:tcPr>
          <w:p>
            <w:pPr>
              <w:autoSpaceDE w:val="0"/>
              <w:autoSpaceDN w:val="0"/>
              <w:snapToGrid w:val="0"/>
              <w:ind w:firstLine="420"/>
              <w:jc w:val="left"/>
              <w:rPr>
                <w:rFonts w:ascii="Times New Roman" w:hAnsi="Times New Roman"/>
                <w:color w:val="000000"/>
              </w:rPr>
            </w:pP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4" w:hRule="exact"/>
          <w:jc w:val="center"/>
        </w:trPr>
        <w:tc>
          <w:tcPr>
            <w:tcW w:w="1951" w:type="dxa"/>
          </w:tcPr>
          <w:p>
            <w:pPr>
              <w:autoSpaceDE w:val="0"/>
              <w:autoSpaceDN w:val="0"/>
              <w:snapToGrid w:val="0"/>
              <w:ind w:firstLine="420"/>
              <w:jc w:val="left"/>
              <w:rPr>
                <w:rFonts w:ascii="Times New Roman" w:hAnsi="Times New Roman"/>
                <w:color w:val="000000"/>
              </w:rPr>
            </w:pPr>
          </w:p>
        </w:tc>
        <w:tc>
          <w:tcPr>
            <w:tcW w:w="1133" w:type="dxa"/>
          </w:tcPr>
          <w:p>
            <w:pPr>
              <w:autoSpaceDE w:val="0"/>
              <w:autoSpaceDN w:val="0"/>
              <w:snapToGrid w:val="0"/>
              <w:ind w:firstLine="420"/>
              <w:jc w:val="left"/>
              <w:rPr>
                <w:rFonts w:ascii="Times New Roman" w:hAnsi="Times New Roman"/>
                <w:color w:val="000000"/>
              </w:rPr>
            </w:pPr>
          </w:p>
        </w:tc>
        <w:tc>
          <w:tcPr>
            <w:tcW w:w="1136" w:type="dxa"/>
          </w:tcPr>
          <w:p>
            <w:pPr>
              <w:autoSpaceDE w:val="0"/>
              <w:autoSpaceDN w:val="0"/>
              <w:snapToGrid w:val="0"/>
              <w:ind w:firstLine="420"/>
              <w:jc w:val="left"/>
              <w:rPr>
                <w:rFonts w:ascii="Times New Roman" w:hAnsi="Times New Roman"/>
                <w:color w:val="000000"/>
              </w:rPr>
            </w:pPr>
          </w:p>
        </w:tc>
        <w:tc>
          <w:tcPr>
            <w:tcW w:w="2597" w:type="dxa"/>
            <w:gridSpan w:val="2"/>
          </w:tcPr>
          <w:p>
            <w:pPr>
              <w:autoSpaceDE w:val="0"/>
              <w:autoSpaceDN w:val="0"/>
              <w:snapToGrid w:val="0"/>
              <w:ind w:firstLine="420"/>
              <w:jc w:val="left"/>
              <w:rPr>
                <w:rFonts w:ascii="Times New Roman" w:hAnsi="Times New Roman"/>
                <w:color w:val="000000"/>
              </w:rPr>
            </w:pP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 w:hRule="exact"/>
          <w:jc w:val="center"/>
        </w:trPr>
        <w:tc>
          <w:tcPr>
            <w:tcW w:w="1951" w:type="dxa"/>
          </w:tcPr>
          <w:p>
            <w:pPr>
              <w:autoSpaceDE w:val="0"/>
              <w:autoSpaceDN w:val="0"/>
              <w:snapToGrid w:val="0"/>
              <w:ind w:firstLine="420"/>
              <w:jc w:val="left"/>
              <w:rPr>
                <w:rFonts w:ascii="Times New Roman" w:hAnsi="Times New Roman"/>
                <w:color w:val="000000"/>
              </w:rPr>
            </w:pPr>
          </w:p>
        </w:tc>
        <w:tc>
          <w:tcPr>
            <w:tcW w:w="1133" w:type="dxa"/>
          </w:tcPr>
          <w:p>
            <w:pPr>
              <w:autoSpaceDE w:val="0"/>
              <w:autoSpaceDN w:val="0"/>
              <w:snapToGrid w:val="0"/>
              <w:ind w:firstLine="420"/>
              <w:jc w:val="left"/>
              <w:rPr>
                <w:rFonts w:ascii="Times New Roman" w:hAnsi="Times New Roman"/>
                <w:color w:val="000000"/>
              </w:rPr>
            </w:pPr>
          </w:p>
        </w:tc>
        <w:tc>
          <w:tcPr>
            <w:tcW w:w="1136" w:type="dxa"/>
          </w:tcPr>
          <w:p>
            <w:pPr>
              <w:autoSpaceDE w:val="0"/>
              <w:autoSpaceDN w:val="0"/>
              <w:snapToGrid w:val="0"/>
              <w:ind w:firstLine="420"/>
              <w:jc w:val="left"/>
              <w:rPr>
                <w:rFonts w:ascii="Times New Roman" w:hAnsi="Times New Roman"/>
                <w:color w:val="000000"/>
              </w:rPr>
            </w:pPr>
          </w:p>
        </w:tc>
        <w:tc>
          <w:tcPr>
            <w:tcW w:w="2597" w:type="dxa"/>
            <w:gridSpan w:val="2"/>
          </w:tcPr>
          <w:p>
            <w:pPr>
              <w:autoSpaceDE w:val="0"/>
              <w:autoSpaceDN w:val="0"/>
              <w:snapToGrid w:val="0"/>
              <w:ind w:firstLine="420"/>
              <w:jc w:val="left"/>
              <w:rPr>
                <w:rFonts w:ascii="Times New Roman" w:hAnsi="Times New Roman"/>
                <w:color w:val="000000"/>
              </w:rPr>
            </w:pPr>
          </w:p>
        </w:tc>
        <w:tc>
          <w:tcPr>
            <w:tcW w:w="2364" w:type="dxa"/>
          </w:tcPr>
          <w:p>
            <w:pPr>
              <w:autoSpaceDE w:val="0"/>
              <w:autoSpaceDN w:val="0"/>
              <w:snapToGrid w:val="0"/>
              <w:ind w:firstLine="42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3" w:hRule="exact"/>
          <w:jc w:val="center"/>
        </w:trPr>
        <w:tc>
          <w:tcPr>
            <w:tcW w:w="9181" w:type="dxa"/>
            <w:gridSpan w:val="6"/>
          </w:tcPr>
          <w:p>
            <w:pPr>
              <w:tabs>
                <w:tab w:val="left" w:pos="7419"/>
              </w:tabs>
              <w:autoSpaceDE w:val="0"/>
              <w:autoSpaceDN w:val="0"/>
              <w:snapToGrid w:val="0"/>
              <w:spacing w:before="3" w:line="263" w:lineRule="exact"/>
              <w:ind w:left="93" w:firstLine="420"/>
              <w:jc w:val="left"/>
              <w:rPr>
                <w:rFonts w:ascii="Times New Roman" w:hAnsi="Times New Roman"/>
                <w:color w:val="000000"/>
              </w:rPr>
            </w:pPr>
            <w:r>
              <w:rPr>
                <w:rFonts w:ascii="Times New Roman" w:hAnsi="Times New Roman"/>
                <w:color w:val="000000"/>
              </w:rPr>
              <w:t>注：此数据收集表中的数据是指规定时段内所有未分配的输入和输出。</w:t>
            </w:r>
            <w:r>
              <w:rPr>
                <w:rFonts w:ascii="Times New Roman" w:hAnsi="Times New Roman"/>
                <w:color w:val="00000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66" w:hRule="exact"/>
          <w:jc w:val="center"/>
        </w:trPr>
        <w:tc>
          <w:tcPr>
            <w:tcW w:w="9181" w:type="dxa"/>
            <w:gridSpan w:val="6"/>
          </w:tcPr>
          <w:p>
            <w:pPr>
              <w:spacing w:before="120" w:beforeLines="50"/>
              <w:ind w:left="105" w:leftChars="50"/>
              <w:rPr>
                <w:rFonts w:ascii="Times New Roman" w:hAnsi="Times New Roman"/>
                <w:color w:val="000000"/>
                <w:sz w:val="18"/>
                <w:szCs w:val="21"/>
              </w:rPr>
            </w:pPr>
            <w:r>
              <w:rPr>
                <w:rFonts w:ascii="Times New Roman" w:hAnsi="Times New Roman"/>
                <w:color w:val="000000"/>
                <w:sz w:val="18"/>
                <w:szCs w:val="21"/>
              </w:rPr>
              <w:t>表中：</w:t>
            </w:r>
          </w:p>
          <w:p>
            <w:pPr>
              <w:ind w:left="600" w:leftChars="200" w:hanging="180" w:hangingChars="100"/>
              <w:rPr>
                <w:rFonts w:ascii="Times New Roman" w:hAnsi="Times New Roman"/>
                <w:color w:val="000000"/>
                <w:sz w:val="18"/>
                <w:szCs w:val="21"/>
              </w:rPr>
            </w:pPr>
            <w:r>
              <w:rPr>
                <w:rFonts w:ascii="Times New Roman" w:hAnsi="Times New Roman"/>
                <w:color w:val="000000"/>
                <w:sz w:val="18"/>
                <w:szCs w:val="21"/>
                <w:vertAlign w:val="superscript"/>
              </w:rPr>
              <w:t xml:space="preserve">c </w:t>
            </w:r>
            <w:r>
              <w:rPr>
                <w:rFonts w:ascii="Times New Roman" w:hAnsi="Times New Roman"/>
                <w:color w:val="000000"/>
                <w:sz w:val="18"/>
                <w:szCs w:val="21"/>
              </w:rPr>
              <w:t xml:space="preserve"> 例如无机物：SO</w:t>
            </w:r>
            <w:r>
              <w:rPr>
                <w:rFonts w:ascii="Times New Roman" w:hAnsi="Times New Roman"/>
                <w:color w:val="000000"/>
                <w:sz w:val="18"/>
                <w:szCs w:val="21"/>
                <w:vertAlign w:val="subscript"/>
              </w:rPr>
              <w:t>x</w:t>
            </w:r>
            <w:r>
              <w:rPr>
                <w:rFonts w:ascii="Times New Roman" w:hAnsi="Times New Roman"/>
                <w:color w:val="000000"/>
                <w:sz w:val="18"/>
                <w:szCs w:val="21"/>
              </w:rPr>
              <w:t>、CO</w:t>
            </w:r>
            <w:r>
              <w:rPr>
                <w:rFonts w:ascii="Times New Roman" w:hAnsi="Times New Roman"/>
                <w:color w:val="000000"/>
                <w:sz w:val="18"/>
                <w:szCs w:val="21"/>
                <w:vertAlign w:val="subscript"/>
              </w:rPr>
              <w:t>2</w:t>
            </w:r>
            <w:r>
              <w:rPr>
                <w:rFonts w:ascii="Times New Roman" w:hAnsi="Times New Roman"/>
                <w:color w:val="000000"/>
                <w:sz w:val="18"/>
                <w:szCs w:val="21"/>
              </w:rPr>
              <w:t>、CO、粉尘/颗粒物、Cl</w:t>
            </w:r>
            <w:r>
              <w:rPr>
                <w:rFonts w:ascii="Times New Roman" w:hAnsi="Times New Roman"/>
                <w:color w:val="000000"/>
                <w:sz w:val="18"/>
                <w:szCs w:val="21"/>
                <w:vertAlign w:val="subscript"/>
              </w:rPr>
              <w:t>2</w:t>
            </w:r>
            <w:r>
              <w:rPr>
                <w:rFonts w:ascii="Times New Roman" w:hAnsi="Times New Roman"/>
                <w:color w:val="000000"/>
                <w:sz w:val="18"/>
                <w:szCs w:val="21"/>
              </w:rPr>
              <w:t>、H</w:t>
            </w:r>
            <w:r>
              <w:rPr>
                <w:rFonts w:ascii="Times New Roman" w:hAnsi="Times New Roman"/>
                <w:color w:val="000000"/>
                <w:sz w:val="18"/>
                <w:szCs w:val="21"/>
                <w:vertAlign w:val="subscript"/>
              </w:rPr>
              <w:t>2</w:t>
            </w:r>
            <w:r>
              <w:rPr>
                <w:rFonts w:ascii="Times New Roman" w:hAnsi="Times New Roman"/>
                <w:color w:val="000000"/>
                <w:sz w:val="18"/>
                <w:szCs w:val="21"/>
              </w:rPr>
              <w:t>S、H</w:t>
            </w:r>
            <w:r>
              <w:rPr>
                <w:rFonts w:ascii="Times New Roman" w:hAnsi="Times New Roman"/>
                <w:color w:val="000000"/>
                <w:sz w:val="18"/>
                <w:szCs w:val="21"/>
                <w:vertAlign w:val="subscript"/>
              </w:rPr>
              <w:t>2</w:t>
            </w:r>
            <w:r>
              <w:rPr>
                <w:rFonts w:ascii="Times New Roman" w:hAnsi="Times New Roman"/>
                <w:color w:val="000000"/>
                <w:sz w:val="18"/>
                <w:szCs w:val="21"/>
              </w:rPr>
              <w:t>SO</w:t>
            </w:r>
            <w:r>
              <w:rPr>
                <w:rFonts w:ascii="Times New Roman" w:hAnsi="Times New Roman"/>
                <w:color w:val="000000"/>
                <w:sz w:val="18"/>
                <w:szCs w:val="21"/>
                <w:vertAlign w:val="subscript"/>
              </w:rPr>
              <w:t>4</w:t>
            </w:r>
            <w:r>
              <w:rPr>
                <w:rFonts w:ascii="Times New Roman" w:hAnsi="Times New Roman"/>
                <w:color w:val="000000"/>
                <w:sz w:val="18"/>
                <w:szCs w:val="21"/>
              </w:rPr>
              <w:t>、HCl、NH</w:t>
            </w:r>
            <w:r>
              <w:rPr>
                <w:rFonts w:ascii="Times New Roman" w:hAnsi="Times New Roman"/>
                <w:color w:val="000000"/>
                <w:sz w:val="18"/>
                <w:szCs w:val="21"/>
                <w:vertAlign w:val="subscript"/>
              </w:rPr>
              <w:t>3</w:t>
            </w:r>
            <w:r>
              <w:rPr>
                <w:rFonts w:ascii="Times New Roman" w:hAnsi="Times New Roman"/>
                <w:color w:val="000000"/>
                <w:sz w:val="18"/>
                <w:szCs w:val="21"/>
              </w:rPr>
              <w:t>、NO</w:t>
            </w:r>
            <w:r>
              <w:rPr>
                <w:rFonts w:ascii="Times New Roman" w:hAnsi="Times New Roman"/>
                <w:color w:val="000000"/>
                <w:sz w:val="18"/>
                <w:szCs w:val="21"/>
                <w:vertAlign w:val="subscript"/>
              </w:rPr>
              <w:t>x</w:t>
            </w:r>
            <w:r>
              <w:rPr>
                <w:rFonts w:ascii="Times New Roman" w:hAnsi="Times New Roman"/>
                <w:color w:val="000000"/>
                <w:sz w:val="18"/>
                <w:szCs w:val="21"/>
              </w:rPr>
              <w:t>、HF；金属：As、Pb、Sb。</w:t>
            </w:r>
          </w:p>
          <w:p>
            <w:pPr>
              <w:ind w:left="600" w:leftChars="200" w:hanging="180" w:hangingChars="100"/>
              <w:rPr>
                <w:rFonts w:ascii="Times New Roman" w:hAnsi="Times New Roman"/>
                <w:color w:val="000000"/>
                <w:sz w:val="18"/>
                <w:szCs w:val="21"/>
              </w:rPr>
            </w:pPr>
            <w:r>
              <w:rPr>
                <w:rFonts w:ascii="Times New Roman" w:hAnsi="Times New Roman"/>
                <w:color w:val="000000"/>
                <w:sz w:val="18"/>
                <w:szCs w:val="21"/>
                <w:vertAlign w:val="superscript"/>
              </w:rPr>
              <w:t>d</w:t>
            </w:r>
            <w:r>
              <w:rPr>
                <w:rFonts w:ascii="Times New Roman" w:hAnsi="Times New Roman"/>
                <w:color w:val="000000"/>
                <w:sz w:val="18"/>
                <w:szCs w:val="21"/>
              </w:rPr>
              <w:t xml:space="preserve">  例如，生化需氧量（BOD）、化学需氧量（COD）、Cl</w:t>
            </w:r>
            <w:r>
              <w:rPr>
                <w:rFonts w:ascii="Times New Roman" w:hAnsi="Times New Roman"/>
                <w:color w:val="000000"/>
                <w:sz w:val="18"/>
                <w:szCs w:val="21"/>
                <w:vertAlign w:val="subscript"/>
              </w:rPr>
              <w:t>2</w:t>
            </w:r>
            <w:r>
              <w:rPr>
                <w:rFonts w:ascii="Times New Roman" w:hAnsi="Times New Roman"/>
                <w:color w:val="000000"/>
                <w:sz w:val="18"/>
                <w:szCs w:val="21"/>
              </w:rPr>
              <w:t>、溶解性有机物、F</w:t>
            </w:r>
            <w:r>
              <w:rPr>
                <w:rFonts w:ascii="Times New Roman" w:hAnsi="Times New Roman"/>
                <w:color w:val="000000"/>
                <w:sz w:val="18"/>
                <w:szCs w:val="21"/>
                <w:vertAlign w:val="superscript"/>
              </w:rPr>
              <w:t>-</w:t>
            </w:r>
            <w:r>
              <w:rPr>
                <w:rFonts w:ascii="Times New Roman" w:hAnsi="Times New Roman"/>
                <w:color w:val="000000"/>
                <w:sz w:val="18"/>
                <w:szCs w:val="21"/>
              </w:rPr>
              <w:t>、Fe</w:t>
            </w:r>
            <w:r>
              <w:rPr>
                <w:rFonts w:ascii="Times New Roman" w:hAnsi="Times New Roman"/>
                <w:color w:val="000000"/>
                <w:sz w:val="18"/>
                <w:szCs w:val="21"/>
                <w:vertAlign w:val="superscript"/>
              </w:rPr>
              <w:t>2+</w:t>
            </w:r>
            <w:r>
              <w:rPr>
                <w:rFonts w:ascii="Times New Roman" w:hAnsi="Times New Roman"/>
                <w:color w:val="000000"/>
                <w:sz w:val="18"/>
                <w:szCs w:val="21"/>
              </w:rPr>
              <w:t>、Hg</w:t>
            </w:r>
            <w:r>
              <w:rPr>
                <w:rFonts w:ascii="Times New Roman" w:hAnsi="Times New Roman"/>
                <w:color w:val="000000"/>
                <w:sz w:val="18"/>
                <w:szCs w:val="21"/>
                <w:vertAlign w:val="superscript"/>
              </w:rPr>
              <w:t>+</w:t>
            </w:r>
            <w:r>
              <w:rPr>
                <w:rFonts w:ascii="Times New Roman" w:hAnsi="Times New Roman"/>
                <w:color w:val="000000"/>
                <w:sz w:val="18"/>
                <w:szCs w:val="21"/>
              </w:rPr>
              <w:t>、烃、Na</w:t>
            </w:r>
            <w:r>
              <w:rPr>
                <w:rFonts w:ascii="Times New Roman" w:hAnsi="Times New Roman"/>
                <w:color w:val="000000"/>
                <w:sz w:val="18"/>
                <w:szCs w:val="21"/>
                <w:vertAlign w:val="superscript"/>
              </w:rPr>
              <w:t>+</w:t>
            </w:r>
            <w:r>
              <w:rPr>
                <w:rFonts w:ascii="Times New Roman" w:hAnsi="Times New Roman"/>
                <w:color w:val="000000"/>
                <w:sz w:val="18"/>
                <w:szCs w:val="21"/>
              </w:rPr>
              <w:t>、NH</w:t>
            </w:r>
            <w:r>
              <w:rPr>
                <w:rFonts w:ascii="Times New Roman" w:hAnsi="Times New Roman"/>
                <w:color w:val="000000"/>
                <w:sz w:val="18"/>
                <w:szCs w:val="21"/>
                <w:vertAlign w:val="superscript"/>
              </w:rPr>
              <w:t>4+</w:t>
            </w:r>
            <w:r>
              <w:rPr>
                <w:rFonts w:ascii="Times New Roman" w:hAnsi="Times New Roman"/>
                <w:color w:val="000000"/>
                <w:sz w:val="18"/>
                <w:szCs w:val="21"/>
              </w:rPr>
              <w:t>、NO</w:t>
            </w:r>
            <w:r>
              <w:rPr>
                <w:rFonts w:ascii="Times New Roman" w:hAnsi="Times New Roman"/>
                <w:color w:val="000000"/>
                <w:sz w:val="18"/>
                <w:szCs w:val="21"/>
                <w:vertAlign w:val="superscript"/>
              </w:rPr>
              <w:t>3-</w:t>
            </w:r>
            <w:r>
              <w:rPr>
                <w:rFonts w:ascii="Times New Roman" w:hAnsi="Times New Roman"/>
                <w:color w:val="000000"/>
                <w:sz w:val="18"/>
                <w:szCs w:val="21"/>
              </w:rPr>
              <w:t>、其他金属、其他氮化合物、磷酸盐、SO</w:t>
            </w:r>
            <w:r>
              <w:rPr>
                <w:rFonts w:ascii="Times New Roman" w:hAnsi="Times New Roman"/>
                <w:color w:val="000000"/>
                <w:sz w:val="18"/>
                <w:szCs w:val="21"/>
                <w:vertAlign w:val="subscript"/>
              </w:rPr>
              <w:t>4</w:t>
            </w:r>
            <w:r>
              <w:rPr>
                <w:rFonts w:ascii="Times New Roman" w:hAnsi="Times New Roman"/>
                <w:color w:val="000000"/>
                <w:sz w:val="18"/>
                <w:szCs w:val="21"/>
                <w:vertAlign w:val="superscript"/>
              </w:rPr>
              <w:t>2-</w:t>
            </w:r>
            <w:r>
              <w:rPr>
                <w:rFonts w:ascii="Times New Roman" w:hAnsi="Times New Roman"/>
                <w:color w:val="000000"/>
                <w:sz w:val="18"/>
                <w:szCs w:val="21"/>
              </w:rPr>
              <w:t>、悬浮物。</w:t>
            </w:r>
          </w:p>
          <w:p>
            <w:pPr>
              <w:ind w:left="600" w:leftChars="200" w:hanging="180" w:hangingChars="100"/>
              <w:rPr>
                <w:rFonts w:ascii="Times New Roman" w:hAnsi="Times New Roman"/>
                <w:color w:val="000000"/>
                <w:sz w:val="18"/>
                <w:szCs w:val="21"/>
              </w:rPr>
            </w:pPr>
            <w:r>
              <w:rPr>
                <w:rFonts w:ascii="Times New Roman" w:hAnsi="Times New Roman"/>
                <w:color w:val="000000"/>
                <w:sz w:val="18"/>
                <w:szCs w:val="21"/>
                <w:vertAlign w:val="superscript"/>
              </w:rPr>
              <w:t>e</w:t>
            </w:r>
            <w:r>
              <w:rPr>
                <w:rFonts w:ascii="Times New Roman" w:hAnsi="Times New Roman"/>
                <w:color w:val="000000"/>
                <w:sz w:val="18"/>
                <w:szCs w:val="21"/>
              </w:rPr>
              <w:t xml:space="preserve">  例如，矿物废物、工业混合废物、有毒废物。</w:t>
            </w:r>
          </w:p>
          <w:p>
            <w:pPr>
              <w:ind w:left="600" w:leftChars="200" w:hanging="180" w:hangingChars="100"/>
              <w:rPr>
                <w:rFonts w:ascii="Times New Roman" w:hAnsi="Times New Roman"/>
                <w:color w:val="000000"/>
                <w:sz w:val="18"/>
                <w:szCs w:val="21"/>
              </w:rPr>
            </w:pPr>
            <w:r>
              <w:rPr>
                <w:rFonts w:ascii="Times New Roman" w:hAnsi="Times New Roman"/>
                <w:color w:val="000000"/>
                <w:sz w:val="18"/>
                <w:szCs w:val="21"/>
                <w:vertAlign w:val="superscript"/>
              </w:rPr>
              <w:t>f</w:t>
            </w:r>
            <w:r>
              <w:rPr>
                <w:rFonts w:ascii="Times New Roman" w:hAnsi="Times New Roman"/>
                <w:color w:val="000000"/>
                <w:sz w:val="18"/>
                <w:szCs w:val="21"/>
              </w:rPr>
              <w:t xml:space="preserve">  例如，噪声、辐射、振动、余热。</w:t>
            </w:r>
          </w:p>
          <w:p>
            <w:pPr>
              <w:ind w:left="600" w:leftChars="200" w:hanging="180" w:hangingChars="100"/>
              <w:rPr>
                <w:rFonts w:ascii="Times New Roman" w:hAnsi="Times New Roman"/>
                <w:color w:val="000000"/>
                <w:sz w:val="18"/>
                <w:szCs w:val="21"/>
              </w:rPr>
            </w:pPr>
          </w:p>
        </w:tc>
      </w:tr>
    </w:tbl>
    <w:p>
      <w:pPr>
        <w:jc w:val="left"/>
        <w:rPr>
          <w:rFonts w:ascii="Times New Roman" w:hAnsi="Times New Roman"/>
          <w:color w:val="000000"/>
          <w:szCs w:val="21"/>
        </w:rPr>
      </w:pPr>
    </w:p>
    <w:p>
      <w:pPr>
        <w:spacing w:before="120" w:beforeLines="50"/>
        <w:jc w:val="center"/>
        <w:rPr>
          <w:rFonts w:ascii="Times New Roman" w:hAnsi="Times New Roman"/>
          <w:b/>
          <w:color w:val="000000"/>
          <w:szCs w:val="21"/>
        </w:rPr>
      </w:pPr>
    </w:p>
    <w:p>
      <w:pPr>
        <w:widowControl/>
        <w:jc w:val="center"/>
        <w:outlineLvl w:val="0"/>
        <w:rPr>
          <w:rFonts w:ascii="Times New Roman" w:hAnsi="Times New Roman" w:eastAsia="黑体"/>
          <w:color w:val="000000"/>
          <w:szCs w:val="21"/>
        </w:rPr>
      </w:pPr>
      <w:r>
        <w:rPr>
          <w:rFonts w:ascii="Times New Roman" w:hAnsi="Times New Roman" w:eastAsia="黑体"/>
          <w:color w:val="000000"/>
          <w:szCs w:val="21"/>
        </w:rPr>
        <w:br w:type="page"/>
      </w:r>
      <w:bookmarkStart w:id="24" w:name="_Toc2755370"/>
      <w:bookmarkStart w:id="25" w:name="_Toc5095414"/>
      <w:r>
        <w:rPr>
          <w:rFonts w:ascii="Times New Roman" w:hAnsi="Times New Roman" w:eastAsia="黑体"/>
          <w:color w:val="000000"/>
          <w:szCs w:val="21"/>
        </w:rPr>
        <w:t>附录</w:t>
      </w:r>
      <w:r>
        <w:rPr>
          <w:rFonts w:hint="eastAsia" w:ascii="Times New Roman" w:hAnsi="Times New Roman" w:eastAsia="黑体"/>
          <w:color w:val="000000"/>
          <w:szCs w:val="21"/>
        </w:rPr>
        <w:t>D</w:t>
      </w:r>
      <w:bookmarkEnd w:id="24"/>
      <w:bookmarkEnd w:id="25"/>
    </w:p>
    <w:p>
      <w:pPr>
        <w:widowControl/>
        <w:jc w:val="center"/>
        <w:outlineLvl w:val="0"/>
        <w:rPr>
          <w:rFonts w:ascii="Times New Roman" w:hAnsi="Times New Roman" w:eastAsia="黑体"/>
          <w:color w:val="000000"/>
          <w:szCs w:val="21"/>
        </w:rPr>
      </w:pPr>
      <w:bookmarkStart w:id="26" w:name="_Toc2755371"/>
      <w:bookmarkStart w:id="27" w:name="_Toc5095415"/>
      <w:r>
        <w:rPr>
          <w:rFonts w:ascii="Times New Roman" w:hAnsi="Times New Roman" w:eastAsia="黑体"/>
          <w:color w:val="000000"/>
          <w:szCs w:val="21"/>
        </w:rPr>
        <w:t>（资料性附录）</w:t>
      </w:r>
      <w:bookmarkEnd w:id="26"/>
      <w:bookmarkEnd w:id="27"/>
    </w:p>
    <w:p>
      <w:pPr>
        <w:widowControl/>
        <w:jc w:val="center"/>
        <w:outlineLvl w:val="0"/>
        <w:rPr>
          <w:rFonts w:ascii="Times New Roman" w:hAnsi="Times New Roman" w:eastAsia="黑体"/>
          <w:color w:val="000000"/>
          <w:szCs w:val="21"/>
        </w:rPr>
      </w:pPr>
      <w:bookmarkStart w:id="28" w:name="_Toc2755372"/>
      <w:bookmarkStart w:id="29" w:name="_Toc5095416"/>
      <w:r>
        <w:rPr>
          <w:rFonts w:ascii="Times New Roman" w:hAnsi="Times New Roman" w:eastAsia="黑体"/>
          <w:color w:val="000000"/>
          <w:szCs w:val="21"/>
        </w:rPr>
        <w:t>产品绿色设计改进方案优先排序方法及示例</w:t>
      </w:r>
      <w:bookmarkEnd w:id="28"/>
      <w:bookmarkEnd w:id="29"/>
    </w:p>
    <w:p>
      <w:pPr>
        <w:spacing w:before="240" w:beforeLines="100" w:line="360" w:lineRule="auto"/>
        <w:jc w:val="left"/>
        <w:rPr>
          <w:rFonts w:ascii="Times New Roman" w:hAnsi="Times New Roman" w:eastAsia="黑体"/>
          <w:color w:val="000000"/>
          <w:szCs w:val="21"/>
        </w:rPr>
      </w:pPr>
      <w:r>
        <w:rPr>
          <w:rFonts w:hint="eastAsia" w:ascii="Times New Roman" w:hAnsi="Times New Roman" w:eastAsia="黑体"/>
          <w:color w:val="000000"/>
          <w:szCs w:val="21"/>
        </w:rPr>
        <w:t>D</w:t>
      </w:r>
      <w:r>
        <w:rPr>
          <w:rFonts w:ascii="Times New Roman" w:hAnsi="Times New Roman" w:eastAsia="黑体"/>
          <w:color w:val="000000"/>
          <w:szCs w:val="21"/>
        </w:rPr>
        <w:t>.1 排序方法</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产品绿色设计改进方案优先排序方法步骤如下：</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第一步：将所有方案划分为生产类、设计类和管理类三类方案；</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第二步：选取方案的评价指标，本文件的评价指标包括：</w:t>
      </w:r>
    </w:p>
    <w:p>
      <w:pPr>
        <w:spacing w:line="360" w:lineRule="auto"/>
        <w:ind w:left="420" w:leftChars="200" w:firstLine="420" w:firstLineChars="200"/>
        <w:jc w:val="left"/>
        <w:rPr>
          <w:rFonts w:ascii="Times New Roman" w:hAnsi="Times New Roman"/>
          <w:color w:val="000000"/>
          <w:szCs w:val="21"/>
        </w:rPr>
      </w:pPr>
      <w:r>
        <w:rPr>
          <w:rFonts w:ascii="Times New Roman" w:hAnsi="Times New Roman"/>
          <w:color w:val="000000"/>
          <w:szCs w:val="21"/>
        </w:rPr>
        <w:t>——技术可行性，评估实施</w:t>
      </w:r>
      <w:r>
        <w:rPr>
          <w:rFonts w:hint="eastAsia" w:ascii="Times New Roman" w:hAnsi="Times New Roman"/>
          <w:color w:val="000000"/>
          <w:szCs w:val="21"/>
        </w:rPr>
        <w:t>某改进</w:t>
      </w:r>
      <w:r>
        <w:rPr>
          <w:rFonts w:ascii="Times New Roman" w:hAnsi="Times New Roman"/>
          <w:color w:val="000000"/>
          <w:szCs w:val="21"/>
        </w:rPr>
        <w:t>方案的技术可行性；</w:t>
      </w:r>
    </w:p>
    <w:p>
      <w:pPr>
        <w:spacing w:line="360" w:lineRule="auto"/>
        <w:ind w:left="420" w:leftChars="200" w:firstLine="420" w:firstLineChars="200"/>
        <w:jc w:val="left"/>
        <w:rPr>
          <w:rFonts w:ascii="Times New Roman" w:hAnsi="Times New Roman"/>
          <w:color w:val="000000"/>
          <w:szCs w:val="21"/>
        </w:rPr>
      </w:pPr>
      <w:r>
        <w:rPr>
          <w:rFonts w:ascii="Times New Roman" w:hAnsi="Times New Roman"/>
          <w:color w:val="000000"/>
          <w:szCs w:val="21"/>
        </w:rPr>
        <w:t>——设计改进，判断一个方案的实施能够对某个重要环境要素产生何种程度的作用；</w:t>
      </w:r>
    </w:p>
    <w:p>
      <w:pPr>
        <w:spacing w:line="360" w:lineRule="auto"/>
        <w:ind w:left="420" w:leftChars="200" w:firstLine="420" w:firstLineChars="200"/>
        <w:jc w:val="left"/>
        <w:rPr>
          <w:rFonts w:ascii="Times New Roman" w:hAnsi="Times New Roman"/>
          <w:color w:val="000000"/>
          <w:szCs w:val="21"/>
        </w:rPr>
      </w:pPr>
      <w:r>
        <w:rPr>
          <w:rFonts w:ascii="Times New Roman" w:hAnsi="Times New Roman"/>
          <w:color w:val="000000"/>
          <w:szCs w:val="21"/>
        </w:rPr>
        <w:t>——经济效益，评估一个组织实施某特定方案所产生的财务影响；</w:t>
      </w:r>
    </w:p>
    <w:p>
      <w:pPr>
        <w:spacing w:line="360" w:lineRule="auto"/>
        <w:ind w:left="420" w:leftChars="200" w:firstLine="420" w:firstLineChars="200"/>
        <w:jc w:val="left"/>
        <w:rPr>
          <w:rFonts w:ascii="Times New Roman" w:hAnsi="Times New Roman"/>
          <w:color w:val="000000"/>
          <w:szCs w:val="21"/>
        </w:rPr>
      </w:pPr>
      <w:r>
        <w:rPr>
          <w:rFonts w:ascii="Times New Roman" w:hAnsi="Times New Roman"/>
          <w:color w:val="000000"/>
          <w:szCs w:val="21"/>
        </w:rPr>
        <w:t>——顾客增加值（CVA）影响，表示因实施了某</w:t>
      </w:r>
      <w:r>
        <w:rPr>
          <w:rFonts w:hint="eastAsia" w:ascii="Times New Roman" w:hAnsi="Times New Roman"/>
          <w:color w:val="000000"/>
          <w:szCs w:val="21"/>
        </w:rPr>
        <w:t>个改进</w:t>
      </w:r>
      <w:r>
        <w:rPr>
          <w:rFonts w:ascii="Times New Roman" w:hAnsi="Times New Roman"/>
          <w:color w:val="000000"/>
          <w:szCs w:val="21"/>
        </w:rPr>
        <w:t>方案而提高消费者认同增加值；</w:t>
      </w:r>
    </w:p>
    <w:p>
      <w:pPr>
        <w:spacing w:line="360" w:lineRule="auto"/>
        <w:ind w:left="420" w:leftChars="200" w:firstLine="420" w:firstLineChars="200"/>
        <w:jc w:val="left"/>
        <w:rPr>
          <w:rFonts w:ascii="Times New Roman" w:hAnsi="Times New Roman"/>
          <w:color w:val="000000"/>
          <w:szCs w:val="21"/>
        </w:rPr>
      </w:pPr>
      <w:r>
        <w:rPr>
          <w:rFonts w:ascii="Times New Roman" w:hAnsi="Times New Roman"/>
          <w:color w:val="000000"/>
          <w:szCs w:val="21"/>
        </w:rPr>
        <w:t>——生产管理，估计实施某方案可能对生产计划或者其他生产管理者产生的影响。</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第三步：各指标的等级评分准则如表</w:t>
      </w:r>
      <w:r>
        <w:rPr>
          <w:rFonts w:hint="eastAsia" w:ascii="Times New Roman" w:hAnsi="Times New Roman"/>
          <w:color w:val="000000"/>
          <w:szCs w:val="21"/>
        </w:rPr>
        <w:t>D</w:t>
      </w:r>
      <w:r>
        <w:rPr>
          <w:rFonts w:ascii="Times New Roman" w:hAnsi="Times New Roman"/>
          <w:color w:val="000000"/>
          <w:szCs w:val="21"/>
        </w:rPr>
        <w:t>.1所示。评估人员依据准则对各方案在不同指标上的表现进行打分。</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第四步：加总每个方案在5个指标上的得分，得到每个方案的总评分。</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第五步：对每个方案的总评分进行标准化，方法为总评分减去10。</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第六步：经过标准化后的方案被分成“生产、设计、管理”三组，绘制分组的实施者优先排序图，分别针对制造工程师、设计工程师或管理人员等实施者。</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第七步：将改进方案按照</w:t>
      </w:r>
      <w:r>
        <w:rPr>
          <w:rFonts w:hint="eastAsia" w:ascii="Times New Roman" w:hAnsi="Times New Roman"/>
          <w:color w:val="000000"/>
          <w:szCs w:val="21"/>
        </w:rPr>
        <w:t>四氧化三钴</w:t>
      </w:r>
      <w:r>
        <w:rPr>
          <w:rFonts w:ascii="Times New Roman" w:hAnsi="Times New Roman"/>
          <w:color w:val="000000"/>
          <w:szCs w:val="21"/>
        </w:rPr>
        <w:t>生命周期阶段（产品生产和产品包装2个阶段）分组，绘制生命周期阶段优先排序图。</w:t>
      </w:r>
    </w:p>
    <w:p>
      <w:pPr>
        <w:spacing w:line="276" w:lineRule="auto"/>
        <w:ind w:firstLine="420" w:firstLineChars="200"/>
        <w:jc w:val="center"/>
        <w:rPr>
          <w:rFonts w:ascii="黑体" w:hAnsi="黑体" w:eastAsia="黑体"/>
          <w:szCs w:val="21"/>
        </w:rPr>
      </w:pPr>
      <w:r>
        <w:rPr>
          <w:rFonts w:ascii="黑体" w:hAnsi="黑体" w:eastAsia="黑体"/>
          <w:szCs w:val="21"/>
        </w:rPr>
        <w:t>表</w:t>
      </w:r>
      <w:r>
        <w:rPr>
          <w:rFonts w:hint="eastAsia" w:ascii="黑体" w:hAnsi="黑体" w:eastAsia="黑体"/>
          <w:szCs w:val="21"/>
        </w:rPr>
        <w:t>D</w:t>
      </w:r>
      <w:r>
        <w:rPr>
          <w:rFonts w:ascii="黑体" w:hAnsi="黑体" w:eastAsia="黑体"/>
          <w:szCs w:val="21"/>
        </w:rPr>
        <w:t>.1  指标等级评分准则</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3094"/>
        <w:gridCol w:w="3096"/>
        <w:gridCol w:w="3096"/>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43" w:hRule="atLeast"/>
        </w:trPr>
        <w:tc>
          <w:tcPr>
            <w:tcW w:w="1666" w:type="pct"/>
            <w:vAlign w:val="center"/>
          </w:tcPr>
          <w:p>
            <w:pPr>
              <w:jc w:val="center"/>
              <w:rPr>
                <w:rFonts w:ascii="Times New Roman" w:hAnsi="Times New Roman"/>
                <w:color w:val="000000"/>
                <w:sz w:val="18"/>
                <w:szCs w:val="21"/>
              </w:rPr>
            </w:pPr>
            <w:r>
              <w:rPr>
                <w:rFonts w:ascii="Times New Roman" w:hAnsi="Times New Roman"/>
                <w:color w:val="000000"/>
                <w:sz w:val="18"/>
                <w:szCs w:val="21"/>
              </w:rPr>
              <w:t>符号</w:t>
            </w:r>
          </w:p>
        </w:tc>
        <w:tc>
          <w:tcPr>
            <w:tcW w:w="1667" w:type="pct"/>
            <w:vAlign w:val="center"/>
          </w:tcPr>
          <w:p>
            <w:pPr>
              <w:jc w:val="center"/>
              <w:rPr>
                <w:rFonts w:ascii="Times New Roman" w:hAnsi="Times New Roman"/>
                <w:color w:val="000000"/>
                <w:sz w:val="18"/>
                <w:szCs w:val="21"/>
              </w:rPr>
            </w:pPr>
            <w:r>
              <w:rPr>
                <w:rFonts w:ascii="Times New Roman" w:hAnsi="Times New Roman"/>
                <w:color w:val="000000"/>
                <w:sz w:val="18"/>
                <w:szCs w:val="21"/>
              </w:rPr>
              <w:t>评价</w:t>
            </w:r>
          </w:p>
        </w:tc>
        <w:tc>
          <w:tcPr>
            <w:tcW w:w="1667" w:type="pct"/>
            <w:vAlign w:val="center"/>
          </w:tcPr>
          <w:p>
            <w:pPr>
              <w:jc w:val="center"/>
              <w:rPr>
                <w:rFonts w:ascii="Times New Roman" w:hAnsi="Times New Roman"/>
                <w:color w:val="000000"/>
                <w:sz w:val="18"/>
                <w:szCs w:val="21"/>
              </w:rPr>
            </w:pPr>
            <w:r>
              <w:rPr>
                <w:rFonts w:ascii="Times New Roman" w:hAnsi="Times New Roman"/>
                <w:color w:val="000000"/>
                <w:sz w:val="18"/>
                <w:szCs w:val="21"/>
              </w:rPr>
              <w:t>得分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43" w:hRule="atLeast"/>
        </w:trPr>
        <w:tc>
          <w:tcPr>
            <w:tcW w:w="1666" w:type="pct"/>
            <w:vAlign w:val="center"/>
          </w:tcPr>
          <w:p>
            <w:pPr>
              <w:jc w:val="center"/>
              <w:rPr>
                <w:rFonts w:ascii="Times New Roman" w:hAnsi="Times New Roman"/>
                <w:color w:val="000000"/>
                <w:sz w:val="18"/>
                <w:szCs w:val="21"/>
              </w:rPr>
            </w:pPr>
            <w:r>
              <w:rPr>
                <w:rFonts w:ascii="Times New Roman" w:hAnsi="Times New Roman"/>
                <w:color w:val="000000"/>
                <w:sz w:val="18"/>
                <w:szCs w:val="21"/>
              </w:rPr>
              <w:t>++</w:t>
            </w:r>
          </w:p>
        </w:tc>
        <w:tc>
          <w:tcPr>
            <w:tcW w:w="1667" w:type="pct"/>
            <w:vAlign w:val="center"/>
          </w:tcPr>
          <w:p>
            <w:pPr>
              <w:jc w:val="center"/>
              <w:rPr>
                <w:rFonts w:ascii="Times New Roman" w:hAnsi="Times New Roman"/>
                <w:color w:val="000000"/>
                <w:sz w:val="18"/>
                <w:szCs w:val="21"/>
              </w:rPr>
            </w:pPr>
            <w:r>
              <w:rPr>
                <w:rFonts w:ascii="Times New Roman" w:hAnsi="Times New Roman"/>
                <w:color w:val="000000"/>
                <w:sz w:val="18"/>
                <w:szCs w:val="21"/>
              </w:rPr>
              <w:t>很好/很高</w:t>
            </w:r>
          </w:p>
        </w:tc>
        <w:tc>
          <w:tcPr>
            <w:tcW w:w="1667" w:type="pct"/>
            <w:vAlign w:val="center"/>
          </w:tcPr>
          <w:p>
            <w:pPr>
              <w:jc w:val="center"/>
              <w:rPr>
                <w:rFonts w:ascii="Times New Roman" w:hAnsi="Times New Roman"/>
                <w:color w:val="000000"/>
                <w:sz w:val="18"/>
                <w:szCs w:val="21"/>
              </w:rPr>
            </w:pPr>
            <w:r>
              <w:rPr>
                <w:rFonts w:ascii="Times New Roman" w:hAnsi="Times New Roman"/>
                <w:color w:val="000000"/>
                <w:sz w:val="18"/>
                <w:szCs w:val="21"/>
              </w:rPr>
              <w:t>4</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43" w:hRule="atLeast"/>
        </w:trPr>
        <w:tc>
          <w:tcPr>
            <w:tcW w:w="1666" w:type="pct"/>
            <w:vAlign w:val="center"/>
          </w:tcPr>
          <w:p>
            <w:pPr>
              <w:jc w:val="center"/>
              <w:rPr>
                <w:rFonts w:ascii="Times New Roman" w:hAnsi="Times New Roman"/>
                <w:color w:val="000000"/>
                <w:sz w:val="18"/>
                <w:szCs w:val="21"/>
              </w:rPr>
            </w:pPr>
            <w:r>
              <w:rPr>
                <w:rFonts w:ascii="Times New Roman" w:hAnsi="Times New Roman"/>
                <w:color w:val="000000"/>
                <w:sz w:val="18"/>
                <w:szCs w:val="21"/>
              </w:rPr>
              <w:t>+</w:t>
            </w:r>
          </w:p>
        </w:tc>
        <w:tc>
          <w:tcPr>
            <w:tcW w:w="1667" w:type="pct"/>
            <w:vAlign w:val="center"/>
          </w:tcPr>
          <w:p>
            <w:pPr>
              <w:jc w:val="center"/>
              <w:rPr>
                <w:rFonts w:ascii="Times New Roman" w:hAnsi="Times New Roman"/>
                <w:color w:val="000000"/>
                <w:sz w:val="18"/>
                <w:szCs w:val="21"/>
              </w:rPr>
            </w:pPr>
            <w:r>
              <w:rPr>
                <w:rFonts w:ascii="Times New Roman" w:hAnsi="Times New Roman"/>
                <w:color w:val="000000"/>
                <w:sz w:val="18"/>
                <w:szCs w:val="21"/>
              </w:rPr>
              <w:t>好/高</w:t>
            </w:r>
          </w:p>
        </w:tc>
        <w:tc>
          <w:tcPr>
            <w:tcW w:w="1667" w:type="pct"/>
            <w:vAlign w:val="center"/>
          </w:tcPr>
          <w:p>
            <w:pPr>
              <w:jc w:val="center"/>
              <w:rPr>
                <w:rFonts w:ascii="Times New Roman" w:hAnsi="Times New Roman"/>
                <w:color w:val="000000"/>
                <w:sz w:val="18"/>
                <w:szCs w:val="21"/>
              </w:rPr>
            </w:pPr>
            <w:r>
              <w:rPr>
                <w:rFonts w:ascii="Times New Roman" w:hAnsi="Times New Roman"/>
                <w:color w:val="000000"/>
                <w:sz w:val="18"/>
                <w:szCs w:val="21"/>
              </w:rPr>
              <w:t>3</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666" w:type="pct"/>
            <w:vAlign w:val="center"/>
          </w:tcPr>
          <w:p>
            <w:pPr>
              <w:jc w:val="center"/>
              <w:rPr>
                <w:rFonts w:ascii="Times New Roman" w:hAnsi="Times New Roman"/>
                <w:color w:val="000000"/>
                <w:sz w:val="18"/>
                <w:szCs w:val="21"/>
              </w:rPr>
            </w:pPr>
            <w:r>
              <w:rPr>
                <w:rFonts w:ascii="Times New Roman" w:hAnsi="Times New Roman"/>
                <w:color w:val="000000"/>
                <w:sz w:val="18"/>
                <w:szCs w:val="21"/>
              </w:rPr>
              <w:t>+/-</w:t>
            </w:r>
          </w:p>
        </w:tc>
        <w:tc>
          <w:tcPr>
            <w:tcW w:w="1667" w:type="pct"/>
            <w:vAlign w:val="center"/>
          </w:tcPr>
          <w:p>
            <w:pPr>
              <w:jc w:val="center"/>
              <w:rPr>
                <w:rFonts w:ascii="Times New Roman" w:hAnsi="Times New Roman"/>
                <w:color w:val="000000"/>
                <w:sz w:val="18"/>
                <w:szCs w:val="21"/>
              </w:rPr>
            </w:pPr>
            <w:r>
              <w:rPr>
                <w:rFonts w:ascii="Times New Roman" w:hAnsi="Times New Roman"/>
                <w:color w:val="000000"/>
                <w:sz w:val="18"/>
                <w:szCs w:val="21"/>
              </w:rPr>
              <w:t>中等、一般</w:t>
            </w:r>
          </w:p>
        </w:tc>
        <w:tc>
          <w:tcPr>
            <w:tcW w:w="1667" w:type="pct"/>
            <w:vAlign w:val="center"/>
          </w:tcPr>
          <w:p>
            <w:pPr>
              <w:jc w:val="center"/>
              <w:rPr>
                <w:rFonts w:ascii="Times New Roman" w:hAnsi="Times New Roman"/>
                <w:color w:val="000000"/>
                <w:sz w:val="18"/>
                <w:szCs w:val="21"/>
              </w:rPr>
            </w:pPr>
            <w:r>
              <w:rPr>
                <w:rFonts w:ascii="Times New Roman" w:hAnsi="Times New Roman"/>
                <w:color w:val="000000"/>
                <w:sz w:val="18"/>
                <w:szCs w:val="21"/>
              </w:rPr>
              <w:t>2</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43" w:hRule="atLeast"/>
        </w:trPr>
        <w:tc>
          <w:tcPr>
            <w:tcW w:w="1666" w:type="pct"/>
            <w:vAlign w:val="center"/>
          </w:tcPr>
          <w:p>
            <w:pPr>
              <w:jc w:val="center"/>
              <w:rPr>
                <w:rFonts w:ascii="Times New Roman" w:hAnsi="Times New Roman"/>
                <w:color w:val="000000"/>
                <w:sz w:val="18"/>
                <w:szCs w:val="21"/>
              </w:rPr>
            </w:pPr>
            <w:r>
              <w:rPr>
                <w:rFonts w:ascii="Times New Roman" w:hAnsi="Times New Roman"/>
                <w:color w:val="000000"/>
                <w:sz w:val="18"/>
                <w:szCs w:val="21"/>
              </w:rPr>
              <w:t>-</w:t>
            </w:r>
          </w:p>
        </w:tc>
        <w:tc>
          <w:tcPr>
            <w:tcW w:w="1667" w:type="pct"/>
            <w:vAlign w:val="center"/>
          </w:tcPr>
          <w:p>
            <w:pPr>
              <w:jc w:val="center"/>
              <w:rPr>
                <w:rFonts w:ascii="Times New Roman" w:hAnsi="Times New Roman"/>
                <w:color w:val="000000"/>
                <w:sz w:val="18"/>
                <w:szCs w:val="21"/>
              </w:rPr>
            </w:pPr>
            <w:r>
              <w:rPr>
                <w:rFonts w:ascii="Times New Roman" w:hAnsi="Times New Roman"/>
                <w:color w:val="000000"/>
                <w:sz w:val="18"/>
                <w:szCs w:val="21"/>
              </w:rPr>
              <w:t>差/低</w:t>
            </w:r>
          </w:p>
        </w:tc>
        <w:tc>
          <w:tcPr>
            <w:tcW w:w="1667" w:type="pct"/>
            <w:vAlign w:val="center"/>
          </w:tcPr>
          <w:p>
            <w:pPr>
              <w:jc w:val="center"/>
              <w:rPr>
                <w:rFonts w:ascii="Times New Roman" w:hAnsi="Times New Roman"/>
                <w:color w:val="000000"/>
                <w:sz w:val="18"/>
                <w:szCs w:val="21"/>
              </w:rPr>
            </w:pPr>
            <w:r>
              <w:rPr>
                <w:rFonts w:ascii="Times New Roman" w:hAnsi="Times New Roman"/>
                <w:color w:val="000000"/>
                <w:sz w:val="18"/>
                <w:szCs w:val="21"/>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666" w:type="pct"/>
            <w:vAlign w:val="center"/>
          </w:tcPr>
          <w:p>
            <w:pPr>
              <w:jc w:val="center"/>
              <w:rPr>
                <w:rFonts w:ascii="Times New Roman" w:hAnsi="Times New Roman"/>
                <w:color w:val="000000"/>
                <w:sz w:val="18"/>
                <w:szCs w:val="21"/>
              </w:rPr>
            </w:pPr>
            <w:r>
              <w:rPr>
                <w:rFonts w:ascii="Times New Roman" w:hAnsi="Times New Roman"/>
                <w:color w:val="000000"/>
                <w:sz w:val="18"/>
                <w:szCs w:val="21"/>
              </w:rPr>
              <w:t>--</w:t>
            </w:r>
          </w:p>
        </w:tc>
        <w:tc>
          <w:tcPr>
            <w:tcW w:w="1667" w:type="pct"/>
            <w:vAlign w:val="center"/>
          </w:tcPr>
          <w:p>
            <w:pPr>
              <w:jc w:val="center"/>
              <w:rPr>
                <w:rFonts w:ascii="Times New Roman" w:hAnsi="Times New Roman"/>
                <w:color w:val="000000"/>
                <w:sz w:val="18"/>
                <w:szCs w:val="21"/>
              </w:rPr>
            </w:pPr>
            <w:r>
              <w:rPr>
                <w:rFonts w:ascii="Times New Roman" w:hAnsi="Times New Roman"/>
                <w:color w:val="000000"/>
                <w:sz w:val="18"/>
                <w:szCs w:val="21"/>
              </w:rPr>
              <w:t>很差/很低</w:t>
            </w:r>
          </w:p>
        </w:tc>
        <w:tc>
          <w:tcPr>
            <w:tcW w:w="1667" w:type="pct"/>
            <w:vAlign w:val="center"/>
          </w:tcPr>
          <w:p>
            <w:pPr>
              <w:jc w:val="center"/>
              <w:rPr>
                <w:rFonts w:ascii="Times New Roman" w:hAnsi="Times New Roman"/>
                <w:color w:val="000000"/>
                <w:sz w:val="18"/>
                <w:szCs w:val="21"/>
              </w:rPr>
            </w:pPr>
            <w:r>
              <w:rPr>
                <w:rFonts w:ascii="Times New Roman" w:hAnsi="Times New Roman"/>
                <w:color w:val="000000"/>
                <w:sz w:val="18"/>
                <w:szCs w:val="21"/>
              </w:rPr>
              <w:t>0</w:t>
            </w:r>
          </w:p>
        </w:tc>
      </w:tr>
    </w:tbl>
    <w:p>
      <w:pPr>
        <w:jc w:val="left"/>
        <w:rPr>
          <w:rFonts w:ascii="Times New Roman" w:hAnsi="Times New Roman" w:eastAsia="黑体"/>
          <w:color w:val="000000"/>
          <w:szCs w:val="21"/>
        </w:rPr>
      </w:pP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D</w:t>
      </w:r>
      <w:r>
        <w:rPr>
          <w:rFonts w:ascii="Times New Roman" w:hAnsi="Times New Roman" w:eastAsia="黑体"/>
          <w:color w:val="000000"/>
          <w:szCs w:val="21"/>
        </w:rPr>
        <w:t>.2 排序示例</w:t>
      </w:r>
    </w:p>
    <w:p>
      <w:pPr>
        <w:spacing w:line="360" w:lineRule="auto"/>
        <w:jc w:val="left"/>
        <w:rPr>
          <w:rFonts w:ascii="Times New Roman" w:hAnsi="Times New Roman"/>
          <w:szCs w:val="21"/>
        </w:rPr>
      </w:pPr>
      <w:r>
        <w:rPr>
          <w:rFonts w:hint="eastAsia" w:ascii="Times New Roman" w:hAnsi="Times New Roman"/>
          <w:szCs w:val="21"/>
        </w:rPr>
        <w:t>D</w:t>
      </w:r>
      <w:r>
        <w:rPr>
          <w:rFonts w:ascii="Times New Roman" w:hAnsi="Times New Roman"/>
          <w:szCs w:val="21"/>
        </w:rPr>
        <w:t>.2.1 改进方案</w:t>
      </w:r>
    </w:p>
    <w:p>
      <w:pPr>
        <w:spacing w:line="360" w:lineRule="auto"/>
        <w:ind w:firstLine="420" w:firstLineChars="200"/>
        <w:jc w:val="left"/>
        <w:rPr>
          <w:rFonts w:ascii="Times New Roman" w:hAnsi="Times New Roman"/>
          <w:szCs w:val="21"/>
        </w:rPr>
      </w:pPr>
      <w:r>
        <w:rPr>
          <w:rFonts w:ascii="Times New Roman" w:hAnsi="Times New Roman"/>
          <w:szCs w:val="21"/>
        </w:rPr>
        <w:t>依据某四氧化三钴产品生命周期评价结果提出的一些建议如下：</w:t>
      </w:r>
    </w:p>
    <w:p>
      <w:pPr>
        <w:spacing w:line="360" w:lineRule="auto"/>
        <w:ind w:firstLine="420" w:firstLineChars="200"/>
        <w:jc w:val="left"/>
        <w:rPr>
          <w:rFonts w:ascii="Times New Roman" w:hAnsi="Times New Roman"/>
          <w:szCs w:val="21"/>
        </w:rPr>
      </w:pPr>
      <w:r>
        <w:rPr>
          <w:rFonts w:ascii="Times New Roman" w:hAnsi="Times New Roman"/>
          <w:szCs w:val="21"/>
        </w:rPr>
        <w:t>a） 生产制造改进方案包括：</w:t>
      </w:r>
    </w:p>
    <w:p>
      <w:pPr>
        <w:spacing w:line="360" w:lineRule="auto"/>
        <w:ind w:left="420" w:leftChars="200"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改进生产</w:t>
      </w:r>
      <w:r>
        <w:rPr>
          <w:rFonts w:ascii="Times New Roman" w:hAnsi="Times New Roman"/>
          <w:szCs w:val="21"/>
        </w:rPr>
        <w:t xml:space="preserve">工艺，减少生产过程中废料的产生； </w:t>
      </w:r>
    </w:p>
    <w:p>
      <w:pPr>
        <w:spacing w:line="360" w:lineRule="auto"/>
        <w:ind w:left="420" w:leftChars="200"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修改生产设备</w:t>
      </w:r>
      <w:r>
        <w:rPr>
          <w:rFonts w:ascii="Times New Roman" w:hAnsi="Times New Roman"/>
          <w:szCs w:val="21"/>
        </w:rPr>
        <w:t>和</w:t>
      </w:r>
      <w:r>
        <w:rPr>
          <w:rFonts w:hint="eastAsia" w:ascii="Times New Roman" w:hAnsi="Times New Roman"/>
          <w:szCs w:val="21"/>
        </w:rPr>
        <w:t>原辅料</w:t>
      </w:r>
      <w:r>
        <w:rPr>
          <w:rFonts w:ascii="Times New Roman" w:hAnsi="Times New Roman"/>
          <w:szCs w:val="21"/>
        </w:rPr>
        <w:t>规格要求，鼓励或规定在制造过程中使用高效节能设备和水、萃取剂等循环物料；</w:t>
      </w:r>
    </w:p>
    <w:p>
      <w:pPr>
        <w:spacing w:line="360" w:lineRule="auto"/>
        <w:ind w:left="420" w:leftChars="200"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强化固体废弃物</w:t>
      </w:r>
      <w:r>
        <w:rPr>
          <w:rFonts w:ascii="Times New Roman" w:hAnsi="Times New Roman"/>
          <w:szCs w:val="21"/>
        </w:rPr>
        <w:t>的无害化处理</w:t>
      </w:r>
      <w:r>
        <w:rPr>
          <w:rFonts w:hint="eastAsia" w:ascii="Times New Roman" w:hAnsi="Times New Roman"/>
          <w:szCs w:val="21"/>
        </w:rPr>
        <w:t>或</w:t>
      </w:r>
      <w:r>
        <w:rPr>
          <w:rFonts w:ascii="Times New Roman" w:hAnsi="Times New Roman"/>
          <w:szCs w:val="21"/>
        </w:rPr>
        <w:t>再利用；</w:t>
      </w:r>
    </w:p>
    <w:p>
      <w:pPr>
        <w:spacing w:line="360" w:lineRule="auto"/>
        <w:ind w:left="420" w:leftChars="200" w:firstLine="420" w:firstLineChars="200"/>
        <w:jc w:val="left"/>
        <w:rPr>
          <w:rFonts w:hint="eastAsia" w:ascii="Times New Roman" w:hAnsi="Times New Roman"/>
          <w:szCs w:val="21"/>
        </w:rPr>
      </w:pPr>
      <w:r>
        <w:rPr>
          <w:rFonts w:ascii="Times New Roman" w:hAnsi="Times New Roman"/>
          <w:szCs w:val="21"/>
        </w:rPr>
        <w:t>——</w:t>
      </w:r>
      <w:r>
        <w:rPr>
          <w:rFonts w:hint="eastAsia" w:ascii="Times New Roman" w:hAnsi="Times New Roman"/>
          <w:szCs w:val="21"/>
        </w:rPr>
        <w:t>产品包装过程</w:t>
      </w:r>
      <w:r>
        <w:rPr>
          <w:rFonts w:ascii="Times New Roman" w:hAnsi="Times New Roman"/>
          <w:szCs w:val="21"/>
        </w:rPr>
        <w:t>应配备吸尘装置，以减少资源的浪费和对环境的影响。</w:t>
      </w:r>
    </w:p>
    <w:p>
      <w:pPr>
        <w:spacing w:line="360" w:lineRule="auto"/>
        <w:ind w:firstLine="420" w:firstLineChars="200"/>
        <w:jc w:val="left"/>
        <w:rPr>
          <w:rFonts w:ascii="Times New Roman" w:hAnsi="Times New Roman"/>
          <w:szCs w:val="21"/>
        </w:rPr>
      </w:pPr>
      <w:r>
        <w:rPr>
          <w:rFonts w:ascii="Times New Roman" w:hAnsi="Times New Roman"/>
          <w:szCs w:val="21"/>
        </w:rPr>
        <w:t>b） 设计改进方案包括：</w:t>
      </w:r>
    </w:p>
    <w:p>
      <w:pPr>
        <w:spacing w:line="360" w:lineRule="auto"/>
        <w:ind w:left="420" w:leftChars="200"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尽量使用含钴</w:t>
      </w:r>
      <w:r>
        <w:rPr>
          <w:rFonts w:ascii="Times New Roman" w:hAnsi="Times New Roman"/>
          <w:szCs w:val="21"/>
        </w:rPr>
        <w:t>二次资源作原料，拓宽</w:t>
      </w:r>
      <w:r>
        <w:rPr>
          <w:rFonts w:hint="eastAsia" w:ascii="Times New Roman" w:hAnsi="Times New Roman"/>
          <w:szCs w:val="21"/>
        </w:rPr>
        <w:t>资源</w:t>
      </w:r>
      <w:r>
        <w:rPr>
          <w:rFonts w:ascii="Times New Roman" w:hAnsi="Times New Roman"/>
          <w:szCs w:val="21"/>
        </w:rPr>
        <w:t>利用边界；</w:t>
      </w:r>
    </w:p>
    <w:p>
      <w:pPr>
        <w:spacing w:line="360" w:lineRule="auto"/>
        <w:ind w:left="420" w:leftChars="200"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尽减少含汞</w:t>
      </w:r>
      <w:r>
        <w:rPr>
          <w:rFonts w:ascii="Times New Roman" w:hAnsi="Times New Roman"/>
          <w:szCs w:val="21"/>
        </w:rPr>
        <w:t>、镉等有害重金属或重金属含量超标的原料的使用，</w:t>
      </w:r>
      <w:r>
        <w:rPr>
          <w:rFonts w:hint="eastAsia" w:ascii="Times New Roman" w:hAnsi="Times New Roman"/>
          <w:szCs w:val="21"/>
        </w:rPr>
        <w:t>使用</w:t>
      </w:r>
      <w:r>
        <w:rPr>
          <w:rFonts w:ascii="Times New Roman" w:hAnsi="Times New Roman"/>
          <w:szCs w:val="21"/>
        </w:rPr>
        <w:t>优质原料。</w:t>
      </w:r>
    </w:p>
    <w:p>
      <w:pPr>
        <w:spacing w:line="360" w:lineRule="auto"/>
        <w:ind w:firstLine="420" w:firstLineChars="200"/>
        <w:jc w:val="left"/>
        <w:rPr>
          <w:rFonts w:ascii="Times New Roman" w:hAnsi="Times New Roman"/>
          <w:szCs w:val="21"/>
        </w:rPr>
      </w:pPr>
      <w:r>
        <w:rPr>
          <w:rFonts w:ascii="Times New Roman" w:hAnsi="Times New Roman"/>
          <w:szCs w:val="21"/>
        </w:rPr>
        <w:t>c） 产品管理改进方案包括：</w:t>
      </w:r>
    </w:p>
    <w:p>
      <w:pPr>
        <w:spacing w:line="360" w:lineRule="auto"/>
        <w:ind w:left="420" w:leftChars="200" w:firstLine="420" w:firstLineChars="200"/>
        <w:jc w:val="left"/>
        <w:rPr>
          <w:rFonts w:ascii="Times New Roman" w:hAnsi="Times New Roman"/>
          <w:szCs w:val="21"/>
        </w:rPr>
      </w:pPr>
      <w:r>
        <w:rPr>
          <w:rFonts w:ascii="Times New Roman" w:hAnsi="Times New Roman"/>
          <w:szCs w:val="21"/>
        </w:rPr>
        <w:t>——产品</w:t>
      </w:r>
      <w:r>
        <w:rPr>
          <w:rFonts w:hint="eastAsia" w:ascii="Times New Roman" w:hAnsi="Times New Roman"/>
          <w:szCs w:val="21"/>
        </w:rPr>
        <w:t>有害成分</w:t>
      </w:r>
      <w:r>
        <w:rPr>
          <w:rFonts w:ascii="Times New Roman" w:hAnsi="Times New Roman"/>
          <w:szCs w:val="21"/>
        </w:rPr>
        <w:t>指标应从严</w:t>
      </w:r>
      <w:r>
        <w:rPr>
          <w:rFonts w:hint="eastAsia" w:ascii="Times New Roman" w:hAnsi="Times New Roman"/>
          <w:szCs w:val="21"/>
        </w:rPr>
        <w:t>控制</w:t>
      </w:r>
      <w:r>
        <w:rPr>
          <w:rFonts w:ascii="Times New Roman" w:hAnsi="Times New Roman"/>
          <w:szCs w:val="21"/>
        </w:rPr>
        <w:t>，以减少对下游客户使用的影响</w:t>
      </w:r>
      <w:r>
        <w:rPr>
          <w:rFonts w:hint="eastAsia" w:ascii="Times New Roman" w:hAnsi="Times New Roman"/>
          <w:szCs w:val="21"/>
        </w:rPr>
        <w:t>；</w:t>
      </w:r>
    </w:p>
    <w:p>
      <w:pPr>
        <w:spacing w:line="360" w:lineRule="auto"/>
        <w:ind w:left="420" w:leftChars="200"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建立一个</w:t>
      </w:r>
      <w:r>
        <w:rPr>
          <w:rFonts w:ascii="Times New Roman" w:hAnsi="Times New Roman"/>
          <w:szCs w:val="21"/>
        </w:rPr>
        <w:t>可供</w:t>
      </w:r>
      <w:r>
        <w:rPr>
          <w:rFonts w:hint="eastAsia" w:ascii="Times New Roman" w:hAnsi="Times New Roman"/>
          <w:szCs w:val="21"/>
        </w:rPr>
        <w:t>客户</w:t>
      </w:r>
      <w:r>
        <w:rPr>
          <w:rFonts w:ascii="Times New Roman" w:hAnsi="Times New Roman"/>
          <w:szCs w:val="21"/>
        </w:rPr>
        <w:t>在线</w:t>
      </w:r>
      <w:r>
        <w:rPr>
          <w:rFonts w:hint="eastAsia" w:ascii="Times New Roman" w:hAnsi="Times New Roman"/>
          <w:szCs w:val="21"/>
        </w:rPr>
        <w:t>评价的</w:t>
      </w:r>
      <w:r>
        <w:rPr>
          <w:rFonts w:ascii="Times New Roman" w:hAnsi="Times New Roman"/>
          <w:szCs w:val="21"/>
        </w:rPr>
        <w:t>服务系统，完善电池材料前驱体规范的评价体系</w:t>
      </w:r>
      <w:r>
        <w:rPr>
          <w:rFonts w:hint="eastAsia" w:ascii="Times New Roman" w:hAnsi="Times New Roman"/>
          <w:szCs w:val="21"/>
        </w:rPr>
        <w:t>，高效收集产品质量反馈信息。</w:t>
      </w: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D</w:t>
      </w:r>
      <w:r>
        <w:rPr>
          <w:rFonts w:ascii="Times New Roman" w:hAnsi="Times New Roman" w:eastAsia="黑体"/>
          <w:color w:val="000000"/>
          <w:szCs w:val="21"/>
        </w:rPr>
        <w:t>.2.2 改进方案的优先排序表</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改进方案的优先排序表如表</w:t>
      </w:r>
      <w:r>
        <w:rPr>
          <w:rFonts w:hint="eastAsia" w:ascii="Times New Roman" w:hAnsi="Times New Roman"/>
          <w:color w:val="000000"/>
          <w:szCs w:val="21"/>
        </w:rPr>
        <w:t>D</w:t>
      </w:r>
      <w:r>
        <w:rPr>
          <w:rFonts w:ascii="Times New Roman" w:hAnsi="Times New Roman"/>
          <w:color w:val="000000"/>
          <w:szCs w:val="21"/>
        </w:rPr>
        <w:t>.2所示</w:t>
      </w:r>
    </w:p>
    <w:p>
      <w:pPr>
        <w:spacing w:line="276" w:lineRule="auto"/>
        <w:ind w:firstLine="420" w:firstLineChars="200"/>
        <w:jc w:val="center"/>
        <w:rPr>
          <w:rFonts w:ascii="黑体" w:hAnsi="黑体" w:eastAsia="黑体"/>
          <w:szCs w:val="21"/>
        </w:rPr>
      </w:pPr>
      <w:r>
        <w:rPr>
          <w:rFonts w:ascii="黑体" w:hAnsi="黑体" w:eastAsia="黑体"/>
          <w:szCs w:val="21"/>
        </w:rPr>
        <w:t>表</w:t>
      </w:r>
      <w:r>
        <w:rPr>
          <w:rFonts w:hint="eastAsia" w:ascii="黑体" w:hAnsi="黑体" w:eastAsia="黑体"/>
          <w:szCs w:val="21"/>
        </w:rPr>
        <w:t>D</w:t>
      </w:r>
      <w:r>
        <w:rPr>
          <w:rFonts w:ascii="黑体" w:hAnsi="黑体" w:eastAsia="黑体"/>
          <w:szCs w:val="21"/>
        </w:rPr>
        <w:t>.2  改进方案的优先排序表</w:t>
      </w:r>
    </w:p>
    <w:tbl>
      <w:tblPr>
        <w:tblStyle w:val="15"/>
        <w:tblW w:w="5000" w:type="pct"/>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28" w:type="dxa"/>
          <w:bottom w:w="0" w:type="dxa"/>
          <w:right w:w="28" w:type="dxa"/>
        </w:tblCellMar>
      </w:tblPr>
      <w:tblGrid>
        <w:gridCol w:w="587"/>
        <w:gridCol w:w="2419"/>
        <w:gridCol w:w="951"/>
        <w:gridCol w:w="984"/>
        <w:gridCol w:w="984"/>
        <w:gridCol w:w="842"/>
        <w:gridCol w:w="822"/>
        <w:gridCol w:w="663"/>
        <w:gridCol w:w="87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658" w:hRule="atLeast"/>
          <w:jc w:val="center"/>
        </w:trPr>
        <w:tc>
          <w:tcPr>
            <w:tcW w:w="322" w:type="pct"/>
            <w:tcBorders>
              <w:right w:val="single" w:color="auto" w:sz="6"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环节</w:t>
            </w:r>
          </w:p>
        </w:tc>
        <w:tc>
          <w:tcPr>
            <w:tcW w:w="1325" w:type="pct"/>
            <w:tcBorders>
              <w:left w:val="single" w:color="auto" w:sz="6"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改进方案</w:t>
            </w:r>
          </w:p>
        </w:tc>
        <w:tc>
          <w:tcPr>
            <w:tcW w:w="521"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生命</w:t>
            </w:r>
          </w:p>
          <w:p>
            <w:pPr>
              <w:spacing w:line="276" w:lineRule="auto"/>
              <w:jc w:val="center"/>
              <w:rPr>
                <w:rFonts w:ascii="Times New Roman" w:hAnsi="Times New Roman"/>
                <w:color w:val="000000"/>
                <w:szCs w:val="21"/>
              </w:rPr>
            </w:pPr>
            <w:r>
              <w:rPr>
                <w:rFonts w:ascii="Times New Roman" w:hAnsi="Times New Roman"/>
                <w:color w:val="000000"/>
                <w:szCs w:val="21"/>
              </w:rPr>
              <w:t>周期阶段</w:t>
            </w:r>
          </w:p>
        </w:tc>
        <w:tc>
          <w:tcPr>
            <w:tcW w:w="539"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技术</w:t>
            </w:r>
          </w:p>
          <w:p>
            <w:pPr>
              <w:spacing w:line="276" w:lineRule="auto"/>
              <w:jc w:val="center"/>
              <w:rPr>
                <w:rFonts w:ascii="Times New Roman" w:hAnsi="Times New Roman"/>
                <w:color w:val="000000"/>
                <w:szCs w:val="21"/>
              </w:rPr>
            </w:pPr>
            <w:r>
              <w:rPr>
                <w:rFonts w:ascii="Times New Roman" w:hAnsi="Times New Roman"/>
                <w:color w:val="000000"/>
                <w:szCs w:val="21"/>
              </w:rPr>
              <w:t>可行性</w:t>
            </w:r>
          </w:p>
        </w:tc>
        <w:tc>
          <w:tcPr>
            <w:tcW w:w="539"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环境</w:t>
            </w:r>
          </w:p>
          <w:p>
            <w:pPr>
              <w:spacing w:line="276" w:lineRule="auto"/>
              <w:jc w:val="center"/>
              <w:rPr>
                <w:rFonts w:ascii="Times New Roman" w:hAnsi="Times New Roman"/>
                <w:color w:val="000000"/>
                <w:szCs w:val="21"/>
              </w:rPr>
            </w:pPr>
            <w:r>
              <w:rPr>
                <w:rFonts w:ascii="Times New Roman" w:hAnsi="Times New Roman"/>
                <w:color w:val="000000"/>
                <w:szCs w:val="21"/>
              </w:rPr>
              <w:t>敏感性</w:t>
            </w:r>
          </w:p>
        </w:tc>
        <w:tc>
          <w:tcPr>
            <w:tcW w:w="461"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经济</w:t>
            </w:r>
          </w:p>
          <w:p>
            <w:pPr>
              <w:spacing w:line="276" w:lineRule="auto"/>
              <w:jc w:val="center"/>
              <w:rPr>
                <w:rFonts w:ascii="Times New Roman" w:hAnsi="Times New Roman"/>
                <w:color w:val="000000"/>
                <w:szCs w:val="21"/>
              </w:rPr>
            </w:pPr>
            <w:r>
              <w:rPr>
                <w:rFonts w:ascii="Times New Roman" w:hAnsi="Times New Roman"/>
                <w:color w:val="000000"/>
                <w:szCs w:val="21"/>
              </w:rPr>
              <w:t>影响</w:t>
            </w:r>
          </w:p>
        </w:tc>
        <w:tc>
          <w:tcPr>
            <w:tcW w:w="450"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CVA</w:t>
            </w:r>
          </w:p>
          <w:p>
            <w:pPr>
              <w:spacing w:line="276" w:lineRule="auto"/>
              <w:jc w:val="center"/>
              <w:rPr>
                <w:rFonts w:ascii="Times New Roman" w:hAnsi="Times New Roman"/>
                <w:color w:val="000000"/>
                <w:szCs w:val="21"/>
              </w:rPr>
            </w:pPr>
            <w:r>
              <w:rPr>
                <w:rFonts w:ascii="Times New Roman" w:hAnsi="Times New Roman"/>
                <w:color w:val="000000"/>
                <w:szCs w:val="21"/>
              </w:rPr>
              <w:t>影响</w:t>
            </w:r>
          </w:p>
        </w:tc>
        <w:tc>
          <w:tcPr>
            <w:tcW w:w="363"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生产</w:t>
            </w:r>
          </w:p>
          <w:p>
            <w:pPr>
              <w:spacing w:line="276" w:lineRule="auto"/>
              <w:jc w:val="center"/>
              <w:rPr>
                <w:rFonts w:ascii="Times New Roman" w:hAnsi="Times New Roman"/>
                <w:color w:val="000000"/>
                <w:szCs w:val="21"/>
              </w:rPr>
            </w:pPr>
            <w:r>
              <w:rPr>
                <w:rFonts w:ascii="Times New Roman" w:hAnsi="Times New Roman"/>
                <w:color w:val="000000"/>
                <w:szCs w:val="21"/>
              </w:rPr>
              <w:t>管理</w:t>
            </w:r>
          </w:p>
        </w:tc>
        <w:tc>
          <w:tcPr>
            <w:tcW w:w="479"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总评分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52" w:hRule="atLeast"/>
          <w:jc w:val="center"/>
        </w:trPr>
        <w:tc>
          <w:tcPr>
            <w:tcW w:w="322" w:type="pct"/>
            <w:vMerge w:val="restart"/>
            <w:tcBorders>
              <w:right w:val="single" w:color="auto" w:sz="6" w:space="0"/>
            </w:tcBorders>
            <w:vAlign w:val="center"/>
          </w:tcPr>
          <w:p>
            <w:pPr>
              <w:spacing w:line="276" w:lineRule="auto"/>
              <w:ind w:firstLine="105" w:firstLineChars="50"/>
              <w:jc w:val="left"/>
              <w:rPr>
                <w:rFonts w:ascii="Times New Roman" w:hAnsi="Times New Roman"/>
                <w:color w:val="000000"/>
                <w:szCs w:val="21"/>
              </w:rPr>
            </w:pPr>
            <w:r>
              <w:rPr>
                <w:rFonts w:ascii="Times New Roman" w:hAnsi="Times New Roman"/>
                <w:color w:val="000000"/>
                <w:szCs w:val="21"/>
              </w:rPr>
              <w:t>生产</w:t>
            </w:r>
          </w:p>
        </w:tc>
        <w:tc>
          <w:tcPr>
            <w:tcW w:w="1325" w:type="pct"/>
            <w:tcBorders>
              <w:left w:val="single" w:color="auto" w:sz="6" w:space="0"/>
            </w:tcBorders>
            <w:shd w:val="clear" w:color="auto" w:fill="auto"/>
            <w:vAlign w:val="center"/>
          </w:tcPr>
          <w:p>
            <w:pPr>
              <w:spacing w:line="276" w:lineRule="auto"/>
              <w:jc w:val="left"/>
              <w:rPr>
                <w:rFonts w:ascii="Times New Roman" w:hAnsi="Times New Roman"/>
                <w:color w:val="000000"/>
                <w:szCs w:val="21"/>
              </w:rPr>
            </w:pPr>
            <w:r>
              <w:rPr>
                <w:rFonts w:hint="eastAsia" w:ascii="Times New Roman" w:hAnsi="Times New Roman"/>
                <w:color w:val="000000"/>
                <w:szCs w:val="21"/>
              </w:rPr>
              <w:t>减少</w:t>
            </w:r>
            <w:r>
              <w:rPr>
                <w:rFonts w:ascii="Times New Roman" w:hAnsi="Times New Roman"/>
                <w:color w:val="000000"/>
                <w:szCs w:val="21"/>
              </w:rPr>
              <w:t>废料产生量</w:t>
            </w:r>
          </w:p>
        </w:tc>
        <w:tc>
          <w:tcPr>
            <w:tcW w:w="521"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L.2.1</w:t>
            </w:r>
          </w:p>
        </w:tc>
        <w:tc>
          <w:tcPr>
            <w:tcW w:w="539"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539"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61"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50"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rPr>
              <w:t>-</w:t>
            </w:r>
          </w:p>
        </w:tc>
        <w:tc>
          <w:tcPr>
            <w:tcW w:w="363"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79"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16</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39" w:hRule="atLeast"/>
          <w:jc w:val="center"/>
        </w:trPr>
        <w:tc>
          <w:tcPr>
            <w:tcW w:w="322" w:type="pct"/>
            <w:vMerge w:val="continue"/>
            <w:tcBorders>
              <w:right w:val="single" w:color="auto" w:sz="6" w:space="0"/>
            </w:tcBorders>
            <w:vAlign w:val="center"/>
          </w:tcPr>
          <w:p>
            <w:pPr>
              <w:spacing w:line="276" w:lineRule="auto"/>
              <w:ind w:firstLine="105" w:firstLineChars="50"/>
              <w:jc w:val="left"/>
              <w:rPr>
                <w:rFonts w:ascii="Times New Roman" w:hAnsi="Times New Roman"/>
                <w:color w:val="000000"/>
                <w:szCs w:val="21"/>
              </w:rPr>
            </w:pPr>
          </w:p>
        </w:tc>
        <w:tc>
          <w:tcPr>
            <w:tcW w:w="1325" w:type="pct"/>
            <w:tcBorders>
              <w:left w:val="single" w:color="auto" w:sz="6" w:space="0"/>
            </w:tcBorders>
            <w:shd w:val="clear" w:color="auto" w:fill="auto"/>
            <w:vAlign w:val="center"/>
          </w:tcPr>
          <w:p>
            <w:pPr>
              <w:spacing w:line="276" w:lineRule="auto"/>
              <w:jc w:val="left"/>
              <w:rPr>
                <w:rFonts w:ascii="Times New Roman" w:hAnsi="Times New Roman"/>
                <w:color w:val="000000"/>
                <w:szCs w:val="21"/>
              </w:rPr>
            </w:pPr>
            <w:r>
              <w:rPr>
                <w:rFonts w:ascii="Times New Roman" w:hAnsi="Times New Roman"/>
                <w:color w:val="000000"/>
                <w:szCs w:val="21"/>
              </w:rPr>
              <w:t>减少</w:t>
            </w:r>
            <w:r>
              <w:rPr>
                <w:rFonts w:hint="eastAsia" w:ascii="Times New Roman" w:hAnsi="Times New Roman"/>
                <w:color w:val="000000"/>
                <w:szCs w:val="21"/>
              </w:rPr>
              <w:t>产品</w:t>
            </w:r>
            <w:r>
              <w:rPr>
                <w:rFonts w:ascii="Times New Roman" w:hAnsi="Times New Roman"/>
                <w:color w:val="000000"/>
                <w:szCs w:val="21"/>
              </w:rPr>
              <w:t>包装材料种类</w:t>
            </w:r>
          </w:p>
        </w:tc>
        <w:tc>
          <w:tcPr>
            <w:tcW w:w="521"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L.3.1</w:t>
            </w:r>
          </w:p>
        </w:tc>
        <w:tc>
          <w:tcPr>
            <w:tcW w:w="539"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539"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61"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50"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363"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rPr>
              <w:t>-</w:t>
            </w:r>
          </w:p>
        </w:tc>
        <w:tc>
          <w:tcPr>
            <w:tcW w:w="479"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13</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39" w:hRule="atLeast"/>
          <w:jc w:val="center"/>
        </w:trPr>
        <w:tc>
          <w:tcPr>
            <w:tcW w:w="322" w:type="pct"/>
            <w:vMerge w:val="continue"/>
            <w:tcBorders>
              <w:right w:val="single" w:color="auto" w:sz="6" w:space="0"/>
            </w:tcBorders>
            <w:vAlign w:val="center"/>
          </w:tcPr>
          <w:p>
            <w:pPr>
              <w:spacing w:line="276" w:lineRule="auto"/>
              <w:ind w:firstLine="105" w:firstLineChars="50"/>
              <w:jc w:val="left"/>
              <w:rPr>
                <w:rFonts w:ascii="Times New Roman" w:hAnsi="Times New Roman"/>
                <w:color w:val="000000"/>
                <w:szCs w:val="21"/>
              </w:rPr>
            </w:pPr>
          </w:p>
        </w:tc>
        <w:tc>
          <w:tcPr>
            <w:tcW w:w="1325" w:type="pct"/>
            <w:tcBorders>
              <w:left w:val="single" w:color="auto" w:sz="6" w:space="0"/>
            </w:tcBorders>
            <w:shd w:val="clear" w:color="auto" w:fill="auto"/>
            <w:vAlign w:val="center"/>
          </w:tcPr>
          <w:p>
            <w:pPr>
              <w:spacing w:line="276" w:lineRule="auto"/>
              <w:jc w:val="left"/>
              <w:rPr>
                <w:rFonts w:ascii="Times New Roman" w:hAnsi="Times New Roman"/>
                <w:color w:val="000000"/>
                <w:szCs w:val="21"/>
              </w:rPr>
            </w:pPr>
            <w:r>
              <w:rPr>
                <w:rFonts w:ascii="Times New Roman" w:hAnsi="Times New Roman"/>
                <w:color w:val="000000"/>
                <w:szCs w:val="21"/>
              </w:rPr>
              <w:t>使用可重复使用的包装</w:t>
            </w:r>
            <w:r>
              <w:rPr>
                <w:rFonts w:hint="eastAsia" w:ascii="Times New Roman" w:hAnsi="Times New Roman"/>
                <w:color w:val="000000"/>
                <w:szCs w:val="21"/>
              </w:rPr>
              <w:t>材料</w:t>
            </w:r>
          </w:p>
        </w:tc>
        <w:tc>
          <w:tcPr>
            <w:tcW w:w="521"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L.3</w:t>
            </w:r>
            <w:r>
              <w:rPr>
                <w:rFonts w:hint="eastAsia" w:ascii="Times New Roman" w:hAnsi="Times New Roman"/>
                <w:color w:val="000000"/>
                <w:szCs w:val="21"/>
              </w:rPr>
              <w:t>.2</w:t>
            </w:r>
          </w:p>
        </w:tc>
        <w:tc>
          <w:tcPr>
            <w:tcW w:w="539"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539"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61"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50"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363"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rPr>
              <w:t>-</w:t>
            </w:r>
          </w:p>
        </w:tc>
        <w:tc>
          <w:tcPr>
            <w:tcW w:w="479" w:type="pct"/>
            <w:shd w:val="clear" w:color="auto" w:fill="auto"/>
            <w:vAlign w:val="center"/>
          </w:tcPr>
          <w:p>
            <w:pPr>
              <w:spacing w:line="276" w:lineRule="auto"/>
              <w:jc w:val="center"/>
              <w:rPr>
                <w:rFonts w:ascii="Times New Roman" w:hAnsi="Times New Roman"/>
                <w:color w:val="000000"/>
                <w:szCs w:val="21"/>
              </w:rPr>
            </w:pPr>
            <w:r>
              <w:rPr>
                <w:rFonts w:ascii="Times New Roman" w:hAnsi="Times New Roman"/>
                <w:color w:val="000000"/>
                <w:szCs w:val="21"/>
              </w:rPr>
              <w:t>14</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65" w:hRule="atLeast"/>
          <w:jc w:val="center"/>
        </w:trPr>
        <w:tc>
          <w:tcPr>
            <w:tcW w:w="322" w:type="pct"/>
            <w:vMerge w:val="restart"/>
            <w:tcBorders>
              <w:right w:val="single" w:color="auto" w:sz="6" w:space="0"/>
            </w:tcBorders>
            <w:vAlign w:val="center"/>
          </w:tcPr>
          <w:p>
            <w:pPr>
              <w:spacing w:line="276" w:lineRule="auto"/>
              <w:jc w:val="left"/>
              <w:rPr>
                <w:rFonts w:ascii="Times New Roman" w:hAnsi="Times New Roman"/>
                <w:color w:val="000000"/>
                <w:szCs w:val="21"/>
              </w:rPr>
            </w:pPr>
            <w:r>
              <w:rPr>
                <w:rFonts w:ascii="Times New Roman" w:hAnsi="Times New Roman"/>
                <w:color w:val="000000"/>
                <w:szCs w:val="21"/>
              </w:rPr>
              <w:t>设计</w:t>
            </w:r>
          </w:p>
        </w:tc>
        <w:tc>
          <w:tcPr>
            <w:tcW w:w="1325" w:type="pct"/>
            <w:tcBorders>
              <w:left w:val="single" w:color="auto" w:sz="6" w:space="0"/>
            </w:tcBorders>
            <w:vAlign w:val="center"/>
          </w:tcPr>
          <w:p>
            <w:pPr>
              <w:spacing w:line="276" w:lineRule="auto"/>
              <w:jc w:val="left"/>
              <w:rPr>
                <w:rFonts w:ascii="Times New Roman" w:hAnsi="Times New Roman"/>
                <w:color w:val="000000"/>
                <w:szCs w:val="21"/>
              </w:rPr>
            </w:pPr>
            <w:r>
              <w:rPr>
                <w:rFonts w:ascii="Times New Roman" w:hAnsi="Times New Roman"/>
                <w:color w:val="000000"/>
                <w:szCs w:val="21"/>
              </w:rPr>
              <w:t>尽量使用</w:t>
            </w:r>
            <w:r>
              <w:rPr>
                <w:rFonts w:hint="eastAsia" w:ascii="Times New Roman" w:hAnsi="Times New Roman"/>
                <w:color w:val="000000"/>
                <w:szCs w:val="21"/>
              </w:rPr>
              <w:t>再生料做原料</w:t>
            </w:r>
          </w:p>
        </w:tc>
        <w:tc>
          <w:tcPr>
            <w:tcW w:w="521"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L.1.2</w:t>
            </w:r>
          </w:p>
        </w:tc>
        <w:tc>
          <w:tcPr>
            <w:tcW w:w="539"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539"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61"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50"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363"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79"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13</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39" w:hRule="atLeast"/>
          <w:jc w:val="center"/>
        </w:trPr>
        <w:tc>
          <w:tcPr>
            <w:tcW w:w="322" w:type="pct"/>
            <w:vMerge w:val="continue"/>
            <w:tcBorders>
              <w:right w:val="single" w:color="auto" w:sz="6" w:space="0"/>
            </w:tcBorders>
            <w:vAlign w:val="center"/>
          </w:tcPr>
          <w:p>
            <w:pPr>
              <w:spacing w:line="276" w:lineRule="auto"/>
              <w:jc w:val="left"/>
              <w:rPr>
                <w:rFonts w:ascii="Times New Roman" w:hAnsi="Times New Roman"/>
                <w:color w:val="000000"/>
                <w:szCs w:val="21"/>
              </w:rPr>
            </w:pPr>
          </w:p>
        </w:tc>
        <w:tc>
          <w:tcPr>
            <w:tcW w:w="1325" w:type="pct"/>
            <w:tcBorders>
              <w:left w:val="single" w:color="auto" w:sz="6" w:space="0"/>
            </w:tcBorders>
            <w:vAlign w:val="center"/>
          </w:tcPr>
          <w:p>
            <w:pPr>
              <w:spacing w:line="276" w:lineRule="auto"/>
              <w:jc w:val="left"/>
              <w:rPr>
                <w:rFonts w:ascii="Times New Roman" w:hAnsi="Times New Roman"/>
                <w:color w:val="000000"/>
                <w:szCs w:val="21"/>
              </w:rPr>
            </w:pPr>
            <w:r>
              <w:rPr>
                <w:rFonts w:ascii="Times New Roman" w:hAnsi="Times New Roman"/>
                <w:color w:val="000000"/>
                <w:szCs w:val="21"/>
              </w:rPr>
              <w:t>采用</w:t>
            </w:r>
            <w:r>
              <w:rPr>
                <w:rFonts w:hint="eastAsia" w:ascii="Times New Roman" w:hAnsi="Times New Roman"/>
                <w:color w:val="000000"/>
                <w:szCs w:val="21"/>
              </w:rPr>
              <w:t>天然气</w:t>
            </w:r>
            <w:r>
              <w:rPr>
                <w:rFonts w:ascii="Times New Roman" w:hAnsi="Times New Roman"/>
                <w:color w:val="000000"/>
                <w:szCs w:val="21"/>
              </w:rPr>
              <w:t>等清洁能源</w:t>
            </w:r>
          </w:p>
        </w:tc>
        <w:tc>
          <w:tcPr>
            <w:tcW w:w="521"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L1.4</w:t>
            </w:r>
          </w:p>
        </w:tc>
        <w:tc>
          <w:tcPr>
            <w:tcW w:w="539"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539"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61"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50"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363"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79"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15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52" w:hRule="atLeast"/>
          <w:jc w:val="center"/>
        </w:trPr>
        <w:tc>
          <w:tcPr>
            <w:tcW w:w="322" w:type="pct"/>
            <w:vMerge w:val="restart"/>
            <w:tcBorders>
              <w:top w:val="single" w:color="auto" w:sz="6" w:space="0"/>
              <w:right w:val="single" w:color="auto" w:sz="6" w:space="0"/>
            </w:tcBorders>
            <w:vAlign w:val="center"/>
          </w:tcPr>
          <w:p>
            <w:pPr>
              <w:spacing w:line="276" w:lineRule="auto"/>
              <w:jc w:val="left"/>
              <w:rPr>
                <w:rFonts w:ascii="Times New Roman" w:hAnsi="Times New Roman"/>
                <w:color w:val="000000"/>
                <w:szCs w:val="21"/>
              </w:rPr>
            </w:pPr>
            <w:r>
              <w:rPr>
                <w:rFonts w:ascii="Times New Roman" w:hAnsi="Times New Roman"/>
                <w:color w:val="000000"/>
                <w:szCs w:val="21"/>
              </w:rPr>
              <w:t>管理</w:t>
            </w:r>
          </w:p>
        </w:tc>
        <w:tc>
          <w:tcPr>
            <w:tcW w:w="1325" w:type="pct"/>
            <w:tcBorders>
              <w:top w:val="single" w:color="auto" w:sz="6" w:space="0"/>
              <w:left w:val="single" w:color="auto" w:sz="6" w:space="0"/>
              <w:bottom w:val="single" w:color="auto" w:sz="6" w:space="0"/>
            </w:tcBorders>
            <w:vAlign w:val="center"/>
          </w:tcPr>
          <w:p>
            <w:pPr>
              <w:spacing w:line="276" w:lineRule="auto"/>
              <w:jc w:val="left"/>
              <w:rPr>
                <w:rFonts w:ascii="Times New Roman" w:hAnsi="Times New Roman"/>
                <w:color w:val="000000"/>
                <w:szCs w:val="21"/>
              </w:rPr>
            </w:pPr>
            <w:r>
              <w:rPr>
                <w:rFonts w:hint="eastAsia" w:ascii="Times New Roman" w:hAnsi="Times New Roman"/>
                <w:color w:val="000000"/>
                <w:szCs w:val="21"/>
              </w:rPr>
              <w:t>产品</w:t>
            </w:r>
            <w:r>
              <w:rPr>
                <w:rFonts w:ascii="Times New Roman" w:hAnsi="Times New Roman"/>
                <w:color w:val="000000"/>
                <w:szCs w:val="21"/>
              </w:rPr>
              <w:t>有害指标从严</w:t>
            </w:r>
          </w:p>
        </w:tc>
        <w:tc>
          <w:tcPr>
            <w:tcW w:w="521"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L</w:t>
            </w:r>
            <w:r>
              <w:rPr>
                <w:rFonts w:hint="eastAsia" w:ascii="Times New Roman" w:hAnsi="Times New Roman"/>
                <w:color w:val="000000"/>
                <w:szCs w:val="21"/>
              </w:rPr>
              <w:t>2.3</w:t>
            </w:r>
          </w:p>
        </w:tc>
        <w:tc>
          <w:tcPr>
            <w:tcW w:w="539"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539"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61"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50"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363"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79"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2</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28" w:type="dxa"/>
            <w:bottom w:w="0" w:type="dxa"/>
            <w:right w:w="28" w:type="dxa"/>
          </w:tblCellMar>
        </w:tblPrEx>
        <w:trPr>
          <w:trHeight w:val="252" w:hRule="atLeast"/>
          <w:jc w:val="center"/>
        </w:trPr>
        <w:tc>
          <w:tcPr>
            <w:tcW w:w="322" w:type="pct"/>
            <w:vMerge w:val="continue"/>
            <w:tcBorders>
              <w:right w:val="single" w:color="auto" w:sz="6" w:space="0"/>
            </w:tcBorders>
            <w:vAlign w:val="center"/>
          </w:tcPr>
          <w:p>
            <w:pPr>
              <w:spacing w:line="276" w:lineRule="auto"/>
              <w:jc w:val="left"/>
              <w:rPr>
                <w:rFonts w:ascii="Times New Roman" w:hAnsi="Times New Roman"/>
                <w:color w:val="000000"/>
                <w:szCs w:val="21"/>
              </w:rPr>
            </w:pPr>
          </w:p>
        </w:tc>
        <w:tc>
          <w:tcPr>
            <w:tcW w:w="1325" w:type="pct"/>
            <w:tcBorders>
              <w:top w:val="single" w:color="auto" w:sz="6" w:space="0"/>
              <w:left w:val="single" w:color="auto" w:sz="6" w:space="0"/>
            </w:tcBorders>
            <w:vAlign w:val="center"/>
          </w:tcPr>
          <w:p>
            <w:pPr>
              <w:spacing w:line="276" w:lineRule="auto"/>
              <w:jc w:val="left"/>
              <w:rPr>
                <w:rFonts w:ascii="Times New Roman" w:hAnsi="Times New Roman"/>
                <w:color w:val="000000"/>
                <w:szCs w:val="21"/>
              </w:rPr>
            </w:pPr>
            <w:r>
              <w:rPr>
                <w:rFonts w:hint="eastAsia" w:ascii="Times New Roman" w:hAnsi="Times New Roman"/>
                <w:color w:val="000000"/>
                <w:szCs w:val="21"/>
              </w:rPr>
              <w:t>建立</w:t>
            </w:r>
            <w:r>
              <w:rPr>
                <w:rFonts w:ascii="Times New Roman" w:hAnsi="Times New Roman"/>
                <w:color w:val="000000"/>
                <w:szCs w:val="21"/>
              </w:rPr>
              <w:t>客户在线评价系统</w:t>
            </w:r>
          </w:p>
        </w:tc>
        <w:tc>
          <w:tcPr>
            <w:tcW w:w="521"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L</w:t>
            </w:r>
            <w:r>
              <w:rPr>
                <w:rFonts w:hint="eastAsia" w:ascii="Times New Roman" w:hAnsi="Times New Roman"/>
                <w:color w:val="000000"/>
                <w:szCs w:val="21"/>
              </w:rPr>
              <w:t>2.4</w:t>
            </w:r>
          </w:p>
        </w:tc>
        <w:tc>
          <w:tcPr>
            <w:tcW w:w="539" w:type="pct"/>
            <w:vAlign w:val="center"/>
          </w:tcPr>
          <w:p>
            <w:pPr>
              <w:spacing w:line="276" w:lineRule="auto"/>
              <w:jc w:val="center"/>
              <w:rPr>
                <w:rFonts w:ascii="Times New Roman" w:hAnsi="Times New Roman"/>
                <w:color w:val="000000"/>
                <w:szCs w:val="21"/>
              </w:rPr>
            </w:pPr>
            <w:r>
              <w:rPr>
                <w:rFonts w:hint="eastAsia" w:ascii="Times New Roman" w:hAnsi="Times New Roman"/>
                <w:color w:val="000000"/>
                <w:szCs w:val="21"/>
              </w:rPr>
              <w:t>+</w:t>
            </w:r>
          </w:p>
        </w:tc>
        <w:tc>
          <w:tcPr>
            <w:tcW w:w="539" w:type="pct"/>
            <w:vAlign w:val="center"/>
          </w:tcPr>
          <w:p>
            <w:pPr>
              <w:spacing w:line="276" w:lineRule="auto"/>
              <w:jc w:val="center"/>
              <w:rPr>
                <w:rFonts w:ascii="Times New Roman" w:hAnsi="Times New Roman"/>
                <w:color w:val="000000"/>
                <w:szCs w:val="21"/>
              </w:rPr>
            </w:pPr>
            <w:r>
              <w:rPr>
                <w:rFonts w:hint="eastAsia" w:ascii="Times New Roman" w:hAnsi="Times New Roman"/>
                <w:color w:val="000000"/>
                <w:szCs w:val="21"/>
              </w:rPr>
              <w:t>-</w:t>
            </w:r>
          </w:p>
        </w:tc>
        <w:tc>
          <w:tcPr>
            <w:tcW w:w="461" w:type="pct"/>
            <w:vAlign w:val="center"/>
          </w:tcPr>
          <w:p>
            <w:pPr>
              <w:spacing w:line="276" w:lineRule="auto"/>
              <w:jc w:val="center"/>
              <w:rPr>
                <w:rFonts w:ascii="Times New Roman" w:hAnsi="Times New Roman"/>
                <w:color w:val="000000"/>
                <w:szCs w:val="21"/>
              </w:rPr>
            </w:pPr>
            <w:r>
              <w:rPr>
                <w:rFonts w:hint="eastAsia" w:ascii="Times New Roman" w:hAnsi="Times New Roman"/>
                <w:color w:val="000000"/>
                <w:szCs w:val="21"/>
              </w:rPr>
              <w:t>+</w:t>
            </w:r>
          </w:p>
        </w:tc>
        <w:tc>
          <w:tcPr>
            <w:tcW w:w="450" w:type="pct"/>
            <w:vAlign w:val="center"/>
          </w:tcPr>
          <w:p>
            <w:pPr>
              <w:spacing w:line="276" w:lineRule="auto"/>
              <w:jc w:val="center"/>
              <w:rPr>
                <w:rFonts w:ascii="Times New Roman" w:hAnsi="Times New Roman"/>
                <w:color w:val="000000"/>
                <w:szCs w:val="21"/>
              </w:rPr>
            </w:pPr>
            <w:r>
              <w:rPr>
                <w:rFonts w:hint="eastAsia" w:ascii="Times New Roman" w:hAnsi="Times New Roman"/>
                <w:color w:val="000000"/>
                <w:szCs w:val="21"/>
              </w:rPr>
              <w:t>++</w:t>
            </w:r>
          </w:p>
        </w:tc>
        <w:tc>
          <w:tcPr>
            <w:tcW w:w="363" w:type="pct"/>
            <w:vAlign w:val="center"/>
          </w:tcPr>
          <w:p>
            <w:pPr>
              <w:spacing w:line="276" w:lineRule="auto"/>
              <w:jc w:val="center"/>
              <w:rPr>
                <w:rFonts w:ascii="Times New Roman" w:hAnsi="Times New Roman"/>
                <w:color w:val="000000"/>
                <w:szCs w:val="21"/>
              </w:rPr>
            </w:pPr>
            <w:r>
              <w:rPr>
                <w:rFonts w:ascii="Times New Roman" w:hAnsi="Times New Roman"/>
                <w:color w:val="000000"/>
                <w:szCs w:val="21"/>
              </w:rPr>
              <w:t>+/-</w:t>
            </w:r>
          </w:p>
        </w:tc>
        <w:tc>
          <w:tcPr>
            <w:tcW w:w="479" w:type="pct"/>
            <w:vAlign w:val="center"/>
          </w:tcPr>
          <w:p>
            <w:pPr>
              <w:spacing w:line="276" w:lineRule="auto"/>
              <w:jc w:val="center"/>
              <w:rPr>
                <w:rFonts w:ascii="Times New Roman" w:hAnsi="Times New Roman"/>
                <w:color w:val="000000"/>
                <w:szCs w:val="21"/>
              </w:rPr>
            </w:pPr>
            <w:r>
              <w:rPr>
                <w:rFonts w:hint="eastAsia" w:ascii="Times New Roman" w:hAnsi="Times New Roman"/>
                <w:color w:val="000000"/>
                <w:szCs w:val="21"/>
              </w:rPr>
              <w:t>13</w:t>
            </w:r>
          </w:p>
        </w:tc>
      </w:tr>
    </w:tbl>
    <w:p>
      <w:pPr>
        <w:jc w:val="left"/>
        <w:rPr>
          <w:rFonts w:ascii="Times New Roman" w:hAnsi="Times New Roman"/>
          <w:b/>
          <w:color w:val="000000"/>
          <w:szCs w:val="21"/>
        </w:rPr>
      </w:pPr>
    </w:p>
    <w:p>
      <w:pPr>
        <w:spacing w:line="360" w:lineRule="auto"/>
        <w:jc w:val="left"/>
        <w:rPr>
          <w:rFonts w:ascii="Times New Roman" w:hAnsi="Times New Roman" w:eastAsia="黑体"/>
          <w:color w:val="000000"/>
          <w:szCs w:val="21"/>
        </w:rPr>
      </w:pPr>
      <w:r>
        <w:rPr>
          <w:rFonts w:hint="eastAsia" w:ascii="Times New Roman" w:hAnsi="Times New Roman" w:eastAsia="黑体"/>
          <w:color w:val="000000"/>
          <w:szCs w:val="21"/>
        </w:rPr>
        <w:t>D</w:t>
      </w:r>
      <w:r>
        <w:rPr>
          <w:rFonts w:ascii="Times New Roman" w:hAnsi="Times New Roman" w:eastAsia="黑体"/>
          <w:color w:val="000000"/>
          <w:szCs w:val="21"/>
        </w:rPr>
        <w:t>2.3 实施者优先排序图和生命周期阶段优先排序图</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图</w:t>
      </w:r>
      <w:r>
        <w:rPr>
          <w:rFonts w:hint="eastAsia" w:ascii="Times New Roman" w:hAnsi="Times New Roman"/>
          <w:color w:val="000000"/>
          <w:szCs w:val="21"/>
        </w:rPr>
        <w:t>D</w:t>
      </w:r>
      <w:r>
        <w:rPr>
          <w:rFonts w:ascii="Times New Roman" w:hAnsi="Times New Roman"/>
          <w:color w:val="000000"/>
          <w:szCs w:val="21"/>
        </w:rPr>
        <w:t>.1为实施者优先排序图，可以看出在产品制造环节，有两项措施最为优先：一是</w:t>
      </w:r>
      <w:r>
        <w:rPr>
          <w:rFonts w:hint="eastAsia" w:ascii="Times New Roman" w:hAnsi="Times New Roman"/>
          <w:color w:val="000000"/>
          <w:szCs w:val="21"/>
        </w:rPr>
        <w:t>使用一部分再生原料</w:t>
      </w:r>
      <w:r>
        <w:rPr>
          <w:rFonts w:ascii="Times New Roman" w:hAnsi="Times New Roman"/>
          <w:color w:val="000000"/>
          <w:szCs w:val="21"/>
        </w:rPr>
        <w:t>；二是采用可重复使用的包装箱运输产品</w:t>
      </w:r>
      <w:r>
        <w:rPr>
          <w:rFonts w:hint="eastAsia" w:ascii="Times New Roman" w:hAnsi="Times New Roman"/>
          <w:color w:val="000000"/>
          <w:szCs w:val="21"/>
        </w:rPr>
        <w:t>；</w:t>
      </w:r>
      <w:r>
        <w:rPr>
          <w:rFonts w:ascii="Times New Roman" w:hAnsi="Times New Roman"/>
          <w:color w:val="000000"/>
          <w:szCs w:val="21"/>
        </w:rPr>
        <w:t>产品设计方面突出的改进方案是用采用</w:t>
      </w:r>
      <w:r>
        <w:rPr>
          <w:rFonts w:hint="eastAsia" w:ascii="Times New Roman" w:hAnsi="Times New Roman"/>
          <w:color w:val="000000"/>
          <w:szCs w:val="21"/>
        </w:rPr>
        <w:t>天然气等清洁能源；产品管理方面最优先的改进方案是建立一个客户在线评价系统</w:t>
      </w:r>
      <w:r>
        <w:rPr>
          <w:rFonts w:ascii="Times New Roman" w:hAnsi="Times New Roman"/>
          <w:color w:val="000000"/>
          <w:szCs w:val="21"/>
        </w:rPr>
        <w:t>。</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图</w:t>
      </w:r>
      <w:r>
        <w:rPr>
          <w:rFonts w:hint="eastAsia" w:ascii="Times New Roman" w:hAnsi="Times New Roman"/>
          <w:color w:val="000000"/>
          <w:szCs w:val="21"/>
        </w:rPr>
        <w:t>D</w:t>
      </w:r>
      <w:r>
        <w:rPr>
          <w:rFonts w:ascii="Times New Roman" w:hAnsi="Times New Roman"/>
          <w:color w:val="000000"/>
          <w:szCs w:val="21"/>
        </w:rPr>
        <w:t>.2为生命周期阶段优先排序图，为改进方案提供了一个新的评估手段，即将改进方案按时间和空间进行排序。例如，生产阶段改进方案的优先度很高，因此该产品生产的环境影响相对较大</w:t>
      </w:r>
      <w:r>
        <w:rPr>
          <w:rFonts w:hint="eastAsia" w:ascii="Times New Roman" w:hAnsi="Times New Roman"/>
          <w:color w:val="000000"/>
          <w:szCs w:val="21"/>
        </w:rPr>
        <w:t>，</w:t>
      </w:r>
      <w:r>
        <w:rPr>
          <w:rFonts w:ascii="Times New Roman" w:hAnsi="Times New Roman"/>
          <w:color w:val="000000"/>
          <w:szCs w:val="21"/>
        </w:rPr>
        <w:t>而生命结束阶段改进方案的优先度很低。</w:t>
      </w:r>
    </w:p>
    <w:p>
      <w:pPr>
        <w:jc w:val="left"/>
        <w:rPr>
          <w:rFonts w:ascii="Times New Roman" w:hAnsi="Times New Roman"/>
          <w:color w:val="000000"/>
          <w:sz w:val="18"/>
          <w:szCs w:val="21"/>
        </w:rPr>
      </w:pPr>
      <w:bookmarkStart w:id="30" w:name="_MON_1616259245"/>
      <w:bookmarkEnd w:id="30"/>
      <w:r>
        <w:rPr>
          <w:rFonts w:ascii="Times New Roman" w:hAnsi="Times New Roman"/>
          <w:color w:val="000000"/>
          <w:szCs w:val="21"/>
        </w:rPr>
        <w:object>
          <v:shape id="_x0000_i1034" o:spt="75" type="#_x0000_t75" style="height:210.15pt;width:495.65pt;" o:ole="t" filled="f" o:preferrelative="t" stroked="f" coordsize="21600,21600">
            <v:path/>
            <v:fill on="f" focussize="0,0"/>
            <v:stroke on="f" joinstyle="miter"/>
            <v:imagedata r:id="rId20" cropleft="-1987f" croptop="-2161f" cropright="-14183f" cropbottom="-4996f" o:title=""/>
            <o:lock v:ext="edit" aspectratio="f"/>
            <w10:wrap type="none"/>
            <w10:anchorlock/>
          </v:shape>
          <o:OLEObject Type="Embed" ProgID="Excel.Sheet.8" ShapeID="_x0000_i1034" DrawAspect="Content" ObjectID="_1468075726" r:id="rId19">
            <o:LockedField>false</o:LockedField>
          </o:OLEObject>
        </w:object>
      </w:r>
      <w:r>
        <w:rPr>
          <w:rFonts w:ascii="Times New Roman" w:hAnsi="Times New Roman"/>
          <w:color w:val="000000"/>
          <w:sz w:val="18"/>
          <w:szCs w:val="21"/>
        </w:rPr>
        <w:t>注：横轴上对应的是关于生产（M）、设计（D）个管理（MG）的改进方案；纵轴上，数字越大表明优先度越高。</w:t>
      </w:r>
    </w:p>
    <w:p>
      <w:pPr>
        <w:spacing w:line="276" w:lineRule="auto"/>
        <w:ind w:firstLine="420" w:firstLineChars="200"/>
        <w:jc w:val="center"/>
        <w:rPr>
          <w:rFonts w:ascii="黑体" w:hAnsi="黑体" w:eastAsia="黑体"/>
          <w:szCs w:val="21"/>
        </w:rPr>
      </w:pPr>
      <w:r>
        <w:rPr>
          <w:rFonts w:ascii="黑体" w:hAnsi="黑体" w:eastAsia="黑体"/>
          <w:szCs w:val="21"/>
        </w:rPr>
        <w:t>图</w:t>
      </w:r>
      <w:r>
        <w:rPr>
          <w:rFonts w:hint="eastAsia" w:ascii="黑体" w:hAnsi="黑体" w:eastAsia="黑体"/>
          <w:szCs w:val="21"/>
        </w:rPr>
        <w:t>D</w:t>
      </w:r>
      <w:r>
        <w:rPr>
          <w:rFonts w:ascii="黑体" w:hAnsi="黑体" w:eastAsia="黑体"/>
          <w:szCs w:val="21"/>
        </w:rPr>
        <w:t>.1 某四氧化三钴产品改进方案的实施者优先排序图</w:t>
      </w:r>
    </w:p>
    <w:p>
      <w:pPr>
        <w:jc w:val="center"/>
        <w:rPr>
          <w:rFonts w:ascii="Times New Roman" w:hAnsi="Times New Roman" w:eastAsia="黑体"/>
          <w:color w:val="000000"/>
          <w:szCs w:val="21"/>
        </w:rPr>
      </w:pPr>
    </w:p>
    <w:p>
      <w:pPr>
        <w:jc w:val="center"/>
        <w:rPr>
          <w:rFonts w:ascii="Times New Roman" w:hAnsi="Times New Roman" w:eastAsia="黑体"/>
          <w:color w:val="000000"/>
          <w:szCs w:val="21"/>
        </w:rPr>
      </w:pPr>
    </w:p>
    <w:p>
      <w:pPr>
        <w:jc w:val="left"/>
        <w:rPr>
          <w:rFonts w:ascii="Times New Roman" w:hAnsi="Times New Roman"/>
          <w:color w:val="000000"/>
          <w:sz w:val="18"/>
          <w:szCs w:val="21"/>
        </w:rPr>
      </w:pPr>
      <w:bookmarkStart w:id="31" w:name="_MON_1616259573"/>
      <w:bookmarkEnd w:id="31"/>
      <w:r>
        <w:rPr>
          <w:rFonts w:ascii="Times New Roman" w:hAnsi="Times New Roman"/>
          <w:color w:val="000000"/>
          <w:szCs w:val="21"/>
        </w:rPr>
        <w:object>
          <v:shape id="_x0000_i1035" o:spt="75" type="#_x0000_t75" style="height:222.7pt;width:459.65pt;" o:ole="t" filled="f" o:preferrelative="t" stroked="f" coordsize="21600,21600">
            <v:path/>
            <v:fill on="f" focussize="0,0"/>
            <v:stroke on="f" joinstyle="miter"/>
            <v:imagedata r:id="rId22" cropleft="-912f" croptop="-2087f" cropright="-5062f" cropbottom="-2594f" o:title=""/>
            <o:lock v:ext="edit" aspectratio="f"/>
            <w10:wrap type="none"/>
            <w10:anchorlock/>
          </v:shape>
          <o:OLEObject Type="Embed" ProgID="Excel.Sheet.8" ShapeID="_x0000_i1035" DrawAspect="Content" ObjectID="_1468075727" r:id="rId21">
            <o:LockedField>false</o:LockedField>
          </o:OLEObject>
        </w:object>
      </w:r>
      <w:r>
        <w:rPr>
          <w:rFonts w:ascii="Times New Roman" w:hAnsi="Times New Roman"/>
          <w:color w:val="000000"/>
          <w:sz w:val="18"/>
          <w:szCs w:val="21"/>
        </w:rPr>
        <w:t>注：每个柱状图下方代码的第一个数字表示和相应的生命周期阶段，第二个数字表示改进方案的序号。</w:t>
      </w:r>
    </w:p>
    <w:p>
      <w:pPr>
        <w:spacing w:line="276" w:lineRule="auto"/>
        <w:ind w:firstLine="420" w:firstLineChars="200"/>
        <w:jc w:val="center"/>
        <w:rPr>
          <w:rFonts w:ascii="黑体" w:hAnsi="黑体" w:eastAsia="黑体"/>
          <w:szCs w:val="21"/>
        </w:rPr>
      </w:pPr>
      <w:r>
        <w:rPr>
          <w:rFonts w:ascii="黑体" w:hAnsi="黑体" w:eastAsia="黑体"/>
          <w:szCs w:val="21"/>
        </w:rPr>
        <w:t>图</w:t>
      </w:r>
      <w:r>
        <w:rPr>
          <w:rFonts w:hint="eastAsia" w:ascii="黑体" w:hAnsi="黑体" w:eastAsia="黑体"/>
          <w:szCs w:val="21"/>
        </w:rPr>
        <w:t>D</w:t>
      </w:r>
      <w:r>
        <w:rPr>
          <w:rFonts w:ascii="黑体" w:hAnsi="黑体" w:eastAsia="黑体"/>
          <w:szCs w:val="21"/>
        </w:rPr>
        <w:t>.2 某四氧化三钴产品改进方案的生命周期阶段优先排序图</w:t>
      </w:r>
    </w:p>
    <w:p>
      <w:pPr>
        <w:jc w:val="left"/>
        <w:rPr>
          <w:rFonts w:ascii="Times New Roman" w:hAnsi="Times New Roman"/>
          <w:color w:val="000000"/>
          <w:szCs w:val="21"/>
        </w:rPr>
      </w:pPr>
    </w:p>
    <w:p>
      <w:pPr>
        <w:widowControl/>
        <w:outlineLvl w:val="0"/>
        <w:rPr>
          <w:rFonts w:ascii="Times New Roman" w:hAnsi="Times New Roman"/>
          <w:color w:val="000000"/>
          <w:szCs w:val="21"/>
        </w:rPr>
      </w:pPr>
    </w:p>
    <w:sectPr>
      <w:pgSz w:w="11906" w:h="16838"/>
      <w:pgMar w:top="1418" w:right="1418" w:bottom="1440" w:left="1418" w:header="851" w:footer="992" w:gutter="0"/>
      <w:pgBorders w:offsetFrom="page">
        <w:top w:val="single" w:color="FFFFFF" w:sz="8" w:space="24"/>
        <w:left w:val="single" w:color="FFFFFF" w:sz="8" w:space="24"/>
        <w:bottom w:val="single" w:color="FFFFFF" w:sz="8" w:space="24"/>
        <w:right w:val="single" w:color="FFFFFF" w:sz="8" w:space="24"/>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方正行楷简体">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宋体e眠副浡渀.">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18</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I</w:t>
    </w:r>
    <w: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jc w:val="center"/>
    </w:pPr>
    <w:r>
      <w:fldChar w:fldCharType="begin"/>
    </w:r>
    <w:r>
      <w:instrText xml:space="preserve">PAGE   \* MERGEFORMAT</w:instrText>
    </w:r>
    <w:r>
      <w:fldChar w:fldCharType="separate"/>
    </w:r>
    <w:r>
      <w:t>15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rPr>
        <w:rFonts w:ascii="Times New Roman" w:hAnsi="Times New Roman"/>
      </w:rPr>
    </w:pPr>
    <w:r>
      <w:rPr>
        <w:rFonts w:ascii="Times New Roman" w:hAnsi="Times New Roman"/>
      </w:rPr>
      <w:t>T/XXXX  XXXX-2019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3EBB"/>
    <w:multiLevelType w:val="multilevel"/>
    <w:tmpl w:val="1FC73EB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FA73C2D"/>
    <w:multiLevelType w:val="multilevel"/>
    <w:tmpl w:val="3FA73C2D"/>
    <w:lvl w:ilvl="0" w:tentative="0">
      <w:start w:val="1"/>
      <w:numFmt w:val="bullet"/>
      <w:pStyle w:val="47"/>
      <w:lvlText w:val=""/>
      <w:lvlJc w:val="left"/>
      <w:pPr>
        <w:ind w:left="776" w:hanging="420"/>
      </w:pPr>
      <w:rPr>
        <w:rFonts w:hint="default" w:ascii="Wingdings" w:hAnsi="Wingdings"/>
        <w:sz w:val="18"/>
        <w:szCs w:val="18"/>
      </w:rPr>
    </w:lvl>
    <w:lvl w:ilvl="1" w:tentative="0">
      <w:start w:val="1"/>
      <w:numFmt w:val="bullet"/>
      <w:lvlText w:val=""/>
      <w:lvlJc w:val="left"/>
      <w:pPr>
        <w:ind w:left="1196" w:hanging="420"/>
      </w:pPr>
      <w:rPr>
        <w:rFonts w:hint="default" w:ascii="Wingdings" w:hAnsi="Wingdings"/>
      </w:rPr>
    </w:lvl>
    <w:lvl w:ilvl="2" w:tentative="0">
      <w:start w:val="1"/>
      <w:numFmt w:val="bullet"/>
      <w:lvlText w:val=""/>
      <w:lvlJc w:val="left"/>
      <w:pPr>
        <w:ind w:left="1616" w:hanging="420"/>
      </w:pPr>
      <w:rPr>
        <w:rFonts w:hint="default" w:ascii="Wingdings" w:hAnsi="Wingdings"/>
      </w:rPr>
    </w:lvl>
    <w:lvl w:ilvl="3" w:tentative="0">
      <w:start w:val="1"/>
      <w:numFmt w:val="bullet"/>
      <w:lvlText w:val=""/>
      <w:lvlJc w:val="left"/>
      <w:pPr>
        <w:ind w:left="2036" w:hanging="420"/>
      </w:pPr>
      <w:rPr>
        <w:rFonts w:hint="default" w:ascii="Wingdings" w:hAnsi="Wingdings"/>
      </w:rPr>
    </w:lvl>
    <w:lvl w:ilvl="4" w:tentative="0">
      <w:start w:val="1"/>
      <w:numFmt w:val="bullet"/>
      <w:lvlText w:val=""/>
      <w:lvlJc w:val="left"/>
      <w:pPr>
        <w:ind w:left="2456" w:hanging="420"/>
      </w:pPr>
      <w:rPr>
        <w:rFonts w:hint="default" w:ascii="Wingdings" w:hAnsi="Wingdings"/>
      </w:rPr>
    </w:lvl>
    <w:lvl w:ilvl="5" w:tentative="0">
      <w:start w:val="1"/>
      <w:numFmt w:val="bullet"/>
      <w:lvlText w:val=""/>
      <w:lvlJc w:val="left"/>
      <w:pPr>
        <w:ind w:left="2876" w:hanging="420"/>
      </w:pPr>
      <w:rPr>
        <w:rFonts w:hint="default" w:ascii="Wingdings" w:hAnsi="Wingdings"/>
      </w:rPr>
    </w:lvl>
    <w:lvl w:ilvl="6" w:tentative="0">
      <w:start w:val="1"/>
      <w:numFmt w:val="bullet"/>
      <w:lvlText w:val=""/>
      <w:lvlJc w:val="left"/>
      <w:pPr>
        <w:ind w:left="3296" w:hanging="420"/>
      </w:pPr>
      <w:rPr>
        <w:rFonts w:hint="default" w:ascii="Wingdings" w:hAnsi="Wingdings"/>
      </w:rPr>
    </w:lvl>
    <w:lvl w:ilvl="7" w:tentative="0">
      <w:start w:val="1"/>
      <w:numFmt w:val="bullet"/>
      <w:lvlText w:val=""/>
      <w:lvlJc w:val="left"/>
      <w:pPr>
        <w:ind w:left="3716" w:hanging="420"/>
      </w:pPr>
      <w:rPr>
        <w:rFonts w:hint="default" w:ascii="Wingdings" w:hAnsi="Wingdings"/>
      </w:rPr>
    </w:lvl>
    <w:lvl w:ilvl="8" w:tentative="0">
      <w:start w:val="1"/>
      <w:numFmt w:val="bullet"/>
      <w:lvlText w:val=""/>
      <w:lvlJc w:val="left"/>
      <w:pPr>
        <w:ind w:left="4136" w:hanging="420"/>
      </w:pPr>
      <w:rPr>
        <w:rFonts w:hint="default" w:ascii="Wingdings" w:hAnsi="Wingdings"/>
      </w:rPr>
    </w:lvl>
  </w:abstractNum>
  <w:abstractNum w:abstractNumId="2">
    <w:nsid w:val="545B6210"/>
    <w:multiLevelType w:val="multilevel"/>
    <w:tmpl w:val="545B6210"/>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F022C9F"/>
    <w:multiLevelType w:val="multilevel"/>
    <w:tmpl w:val="5F022C9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9662BE9"/>
    <w:multiLevelType w:val="multilevel"/>
    <w:tmpl w:val="69662BE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D441F7E"/>
    <w:multiLevelType w:val="multilevel"/>
    <w:tmpl w:val="6D441F7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56"/>
    <w:rsid w:val="0000107C"/>
    <w:rsid w:val="000051EF"/>
    <w:rsid w:val="0000554E"/>
    <w:rsid w:val="00007CD0"/>
    <w:rsid w:val="000119CA"/>
    <w:rsid w:val="00013E10"/>
    <w:rsid w:val="00017548"/>
    <w:rsid w:val="00022E18"/>
    <w:rsid w:val="00023071"/>
    <w:rsid w:val="0003067A"/>
    <w:rsid w:val="00030B1E"/>
    <w:rsid w:val="000316AD"/>
    <w:rsid w:val="00034D68"/>
    <w:rsid w:val="00034E13"/>
    <w:rsid w:val="00035924"/>
    <w:rsid w:val="000413A2"/>
    <w:rsid w:val="0004244A"/>
    <w:rsid w:val="00047704"/>
    <w:rsid w:val="000509EB"/>
    <w:rsid w:val="00051833"/>
    <w:rsid w:val="0005210A"/>
    <w:rsid w:val="00053196"/>
    <w:rsid w:val="0005365F"/>
    <w:rsid w:val="000539E4"/>
    <w:rsid w:val="000550AD"/>
    <w:rsid w:val="00063414"/>
    <w:rsid w:val="00064671"/>
    <w:rsid w:val="00065803"/>
    <w:rsid w:val="000666A7"/>
    <w:rsid w:val="00071C03"/>
    <w:rsid w:val="00072521"/>
    <w:rsid w:val="000726F7"/>
    <w:rsid w:val="00072C1B"/>
    <w:rsid w:val="0007346F"/>
    <w:rsid w:val="00074886"/>
    <w:rsid w:val="00075BFC"/>
    <w:rsid w:val="0007640B"/>
    <w:rsid w:val="000765A4"/>
    <w:rsid w:val="0007671E"/>
    <w:rsid w:val="000771B9"/>
    <w:rsid w:val="0008139B"/>
    <w:rsid w:val="00081946"/>
    <w:rsid w:val="0008260C"/>
    <w:rsid w:val="00082F53"/>
    <w:rsid w:val="00084B38"/>
    <w:rsid w:val="0008600F"/>
    <w:rsid w:val="00086925"/>
    <w:rsid w:val="0008693C"/>
    <w:rsid w:val="0008702B"/>
    <w:rsid w:val="00091527"/>
    <w:rsid w:val="0009253E"/>
    <w:rsid w:val="00093124"/>
    <w:rsid w:val="00093385"/>
    <w:rsid w:val="00096A6D"/>
    <w:rsid w:val="000A0497"/>
    <w:rsid w:val="000A13C9"/>
    <w:rsid w:val="000A2227"/>
    <w:rsid w:val="000A2A92"/>
    <w:rsid w:val="000A353D"/>
    <w:rsid w:val="000A4695"/>
    <w:rsid w:val="000A69DC"/>
    <w:rsid w:val="000A72F3"/>
    <w:rsid w:val="000A7722"/>
    <w:rsid w:val="000B0427"/>
    <w:rsid w:val="000B0CD2"/>
    <w:rsid w:val="000B18C1"/>
    <w:rsid w:val="000B52C6"/>
    <w:rsid w:val="000C1730"/>
    <w:rsid w:val="000C1A4C"/>
    <w:rsid w:val="000C38AD"/>
    <w:rsid w:val="000C51A6"/>
    <w:rsid w:val="000C553A"/>
    <w:rsid w:val="000C79FE"/>
    <w:rsid w:val="000D0617"/>
    <w:rsid w:val="000D0AA0"/>
    <w:rsid w:val="000D1FE9"/>
    <w:rsid w:val="000D3213"/>
    <w:rsid w:val="000D50CD"/>
    <w:rsid w:val="000D561A"/>
    <w:rsid w:val="000D5959"/>
    <w:rsid w:val="000D6162"/>
    <w:rsid w:val="000D63AB"/>
    <w:rsid w:val="000D6B4F"/>
    <w:rsid w:val="000E009E"/>
    <w:rsid w:val="000E1B8E"/>
    <w:rsid w:val="000E2016"/>
    <w:rsid w:val="000E24F9"/>
    <w:rsid w:val="000E3537"/>
    <w:rsid w:val="000E50E2"/>
    <w:rsid w:val="000E5DD4"/>
    <w:rsid w:val="000E627D"/>
    <w:rsid w:val="000E62B5"/>
    <w:rsid w:val="000E6660"/>
    <w:rsid w:val="000E786C"/>
    <w:rsid w:val="000F0342"/>
    <w:rsid w:val="000F0A47"/>
    <w:rsid w:val="000F0D26"/>
    <w:rsid w:val="000F1865"/>
    <w:rsid w:val="000F62EF"/>
    <w:rsid w:val="000F7E2C"/>
    <w:rsid w:val="00101036"/>
    <w:rsid w:val="00101621"/>
    <w:rsid w:val="001029A4"/>
    <w:rsid w:val="00102E20"/>
    <w:rsid w:val="00104148"/>
    <w:rsid w:val="001061B8"/>
    <w:rsid w:val="0011139D"/>
    <w:rsid w:val="00112354"/>
    <w:rsid w:val="0011356F"/>
    <w:rsid w:val="001158B8"/>
    <w:rsid w:val="00116B4E"/>
    <w:rsid w:val="00117863"/>
    <w:rsid w:val="00120A03"/>
    <w:rsid w:val="001239EF"/>
    <w:rsid w:val="00123F9F"/>
    <w:rsid w:val="00124835"/>
    <w:rsid w:val="00125B61"/>
    <w:rsid w:val="00125F2A"/>
    <w:rsid w:val="001268A0"/>
    <w:rsid w:val="00126DA2"/>
    <w:rsid w:val="001277F6"/>
    <w:rsid w:val="00130213"/>
    <w:rsid w:val="0013069E"/>
    <w:rsid w:val="00130C98"/>
    <w:rsid w:val="00132456"/>
    <w:rsid w:val="00132C01"/>
    <w:rsid w:val="00141235"/>
    <w:rsid w:val="0014537E"/>
    <w:rsid w:val="001476FE"/>
    <w:rsid w:val="00151AED"/>
    <w:rsid w:val="00152262"/>
    <w:rsid w:val="0015400C"/>
    <w:rsid w:val="001542D7"/>
    <w:rsid w:val="001546E9"/>
    <w:rsid w:val="00155134"/>
    <w:rsid w:val="00156609"/>
    <w:rsid w:val="00156D69"/>
    <w:rsid w:val="0016132C"/>
    <w:rsid w:val="0016323F"/>
    <w:rsid w:val="00163FC1"/>
    <w:rsid w:val="001658D7"/>
    <w:rsid w:val="001672E8"/>
    <w:rsid w:val="0016733F"/>
    <w:rsid w:val="0017039D"/>
    <w:rsid w:val="001703E3"/>
    <w:rsid w:val="00170A99"/>
    <w:rsid w:val="00171096"/>
    <w:rsid w:val="00176977"/>
    <w:rsid w:val="00176AE8"/>
    <w:rsid w:val="00180C9D"/>
    <w:rsid w:val="001822A2"/>
    <w:rsid w:val="001829BC"/>
    <w:rsid w:val="00184EC2"/>
    <w:rsid w:val="00186FD2"/>
    <w:rsid w:val="00190A41"/>
    <w:rsid w:val="001927DF"/>
    <w:rsid w:val="001928CA"/>
    <w:rsid w:val="00193E2D"/>
    <w:rsid w:val="0019584D"/>
    <w:rsid w:val="001A02F6"/>
    <w:rsid w:val="001A3A9A"/>
    <w:rsid w:val="001A4ECF"/>
    <w:rsid w:val="001A5059"/>
    <w:rsid w:val="001A5360"/>
    <w:rsid w:val="001A5F39"/>
    <w:rsid w:val="001A6796"/>
    <w:rsid w:val="001B2016"/>
    <w:rsid w:val="001B6AED"/>
    <w:rsid w:val="001B7AD9"/>
    <w:rsid w:val="001B7EA3"/>
    <w:rsid w:val="001C05B3"/>
    <w:rsid w:val="001C0742"/>
    <w:rsid w:val="001C1126"/>
    <w:rsid w:val="001C1899"/>
    <w:rsid w:val="001C349D"/>
    <w:rsid w:val="001D03F9"/>
    <w:rsid w:val="001D0D71"/>
    <w:rsid w:val="001D0F98"/>
    <w:rsid w:val="001D1950"/>
    <w:rsid w:val="001D2CE2"/>
    <w:rsid w:val="001D2D77"/>
    <w:rsid w:val="001D30DD"/>
    <w:rsid w:val="001D37B7"/>
    <w:rsid w:val="001D404D"/>
    <w:rsid w:val="001D4ED3"/>
    <w:rsid w:val="001D75A1"/>
    <w:rsid w:val="001E0F4F"/>
    <w:rsid w:val="001E1ECE"/>
    <w:rsid w:val="001E29EF"/>
    <w:rsid w:val="001E2A67"/>
    <w:rsid w:val="001E2DF7"/>
    <w:rsid w:val="001E3BD9"/>
    <w:rsid w:val="001E6130"/>
    <w:rsid w:val="001E6359"/>
    <w:rsid w:val="001E7F01"/>
    <w:rsid w:val="001F08FF"/>
    <w:rsid w:val="001F1EA3"/>
    <w:rsid w:val="001F28FE"/>
    <w:rsid w:val="001F2940"/>
    <w:rsid w:val="001F2C57"/>
    <w:rsid w:val="001F2E25"/>
    <w:rsid w:val="001F3272"/>
    <w:rsid w:val="001F67E0"/>
    <w:rsid w:val="001F67F1"/>
    <w:rsid w:val="001F7852"/>
    <w:rsid w:val="00200BAB"/>
    <w:rsid w:val="00200E85"/>
    <w:rsid w:val="00204C69"/>
    <w:rsid w:val="00204E11"/>
    <w:rsid w:val="00205D1B"/>
    <w:rsid w:val="0020676B"/>
    <w:rsid w:val="00210016"/>
    <w:rsid w:val="00211156"/>
    <w:rsid w:val="002131B8"/>
    <w:rsid w:val="0021487A"/>
    <w:rsid w:val="00216A6D"/>
    <w:rsid w:val="002177E2"/>
    <w:rsid w:val="002211F9"/>
    <w:rsid w:val="00221E50"/>
    <w:rsid w:val="0022324D"/>
    <w:rsid w:val="00225FBF"/>
    <w:rsid w:val="00226962"/>
    <w:rsid w:val="00227067"/>
    <w:rsid w:val="0022778D"/>
    <w:rsid w:val="00227AD5"/>
    <w:rsid w:val="00231EF3"/>
    <w:rsid w:val="00233031"/>
    <w:rsid w:val="00236FCD"/>
    <w:rsid w:val="002410A3"/>
    <w:rsid w:val="002438C5"/>
    <w:rsid w:val="00244918"/>
    <w:rsid w:val="00245BC2"/>
    <w:rsid w:val="0025045E"/>
    <w:rsid w:val="00251788"/>
    <w:rsid w:val="00253084"/>
    <w:rsid w:val="0025390F"/>
    <w:rsid w:val="0025421E"/>
    <w:rsid w:val="002555AE"/>
    <w:rsid w:val="00257AD3"/>
    <w:rsid w:val="00260213"/>
    <w:rsid w:val="00263DB3"/>
    <w:rsid w:val="00264C48"/>
    <w:rsid w:val="00266EDF"/>
    <w:rsid w:val="002671A8"/>
    <w:rsid w:val="00270065"/>
    <w:rsid w:val="00270A1A"/>
    <w:rsid w:val="00271027"/>
    <w:rsid w:val="00274247"/>
    <w:rsid w:val="00275C87"/>
    <w:rsid w:val="00276EDE"/>
    <w:rsid w:val="00277D95"/>
    <w:rsid w:val="00282684"/>
    <w:rsid w:val="00283026"/>
    <w:rsid w:val="00287494"/>
    <w:rsid w:val="002909D4"/>
    <w:rsid w:val="002921A5"/>
    <w:rsid w:val="00295BC1"/>
    <w:rsid w:val="00297BA0"/>
    <w:rsid w:val="00297D02"/>
    <w:rsid w:val="002A2229"/>
    <w:rsid w:val="002B0F36"/>
    <w:rsid w:val="002B10BC"/>
    <w:rsid w:val="002B7B18"/>
    <w:rsid w:val="002C0349"/>
    <w:rsid w:val="002C07E6"/>
    <w:rsid w:val="002C0A00"/>
    <w:rsid w:val="002C0BC9"/>
    <w:rsid w:val="002C2273"/>
    <w:rsid w:val="002C24EA"/>
    <w:rsid w:val="002C5D83"/>
    <w:rsid w:val="002D2EE0"/>
    <w:rsid w:val="002D32EA"/>
    <w:rsid w:val="002D3E87"/>
    <w:rsid w:val="002D5384"/>
    <w:rsid w:val="002D54DA"/>
    <w:rsid w:val="002D6AEF"/>
    <w:rsid w:val="002D7A03"/>
    <w:rsid w:val="002D7A8F"/>
    <w:rsid w:val="002D7B9E"/>
    <w:rsid w:val="002E008F"/>
    <w:rsid w:val="002E1CF3"/>
    <w:rsid w:val="002E2DA8"/>
    <w:rsid w:val="002E334D"/>
    <w:rsid w:val="002E38BD"/>
    <w:rsid w:val="002E41EE"/>
    <w:rsid w:val="002E42B8"/>
    <w:rsid w:val="002E4571"/>
    <w:rsid w:val="002E4BCC"/>
    <w:rsid w:val="002E55B4"/>
    <w:rsid w:val="002E5CF3"/>
    <w:rsid w:val="002E5D1B"/>
    <w:rsid w:val="002E7360"/>
    <w:rsid w:val="002E7AF5"/>
    <w:rsid w:val="002F0574"/>
    <w:rsid w:val="002F060F"/>
    <w:rsid w:val="002F0DCC"/>
    <w:rsid w:val="002F21AE"/>
    <w:rsid w:val="002F3B65"/>
    <w:rsid w:val="002F7B8C"/>
    <w:rsid w:val="0030251F"/>
    <w:rsid w:val="00302D36"/>
    <w:rsid w:val="003034F6"/>
    <w:rsid w:val="003066AB"/>
    <w:rsid w:val="00307703"/>
    <w:rsid w:val="00307C81"/>
    <w:rsid w:val="003104FE"/>
    <w:rsid w:val="0031085F"/>
    <w:rsid w:val="00310A96"/>
    <w:rsid w:val="00310CD4"/>
    <w:rsid w:val="003118D3"/>
    <w:rsid w:val="00311D88"/>
    <w:rsid w:val="003123E3"/>
    <w:rsid w:val="00312FE5"/>
    <w:rsid w:val="003144B1"/>
    <w:rsid w:val="00314A72"/>
    <w:rsid w:val="003167A9"/>
    <w:rsid w:val="0032177C"/>
    <w:rsid w:val="00322F4D"/>
    <w:rsid w:val="0032444B"/>
    <w:rsid w:val="003245A4"/>
    <w:rsid w:val="00327DCB"/>
    <w:rsid w:val="0033160B"/>
    <w:rsid w:val="003319CE"/>
    <w:rsid w:val="00331BB8"/>
    <w:rsid w:val="003339D2"/>
    <w:rsid w:val="00333CF4"/>
    <w:rsid w:val="00334C5D"/>
    <w:rsid w:val="0033505C"/>
    <w:rsid w:val="003354FE"/>
    <w:rsid w:val="00336851"/>
    <w:rsid w:val="00342E5F"/>
    <w:rsid w:val="00345164"/>
    <w:rsid w:val="00347471"/>
    <w:rsid w:val="00350E93"/>
    <w:rsid w:val="00352365"/>
    <w:rsid w:val="00353EB0"/>
    <w:rsid w:val="003565E8"/>
    <w:rsid w:val="00363C70"/>
    <w:rsid w:val="00364C78"/>
    <w:rsid w:val="00370ED9"/>
    <w:rsid w:val="00372038"/>
    <w:rsid w:val="003739C3"/>
    <w:rsid w:val="00382959"/>
    <w:rsid w:val="00382DBE"/>
    <w:rsid w:val="00382F93"/>
    <w:rsid w:val="00383850"/>
    <w:rsid w:val="00383B8A"/>
    <w:rsid w:val="003847D5"/>
    <w:rsid w:val="00390F93"/>
    <w:rsid w:val="00390FE6"/>
    <w:rsid w:val="003912AC"/>
    <w:rsid w:val="00391EFA"/>
    <w:rsid w:val="00396213"/>
    <w:rsid w:val="003A1CD3"/>
    <w:rsid w:val="003A417B"/>
    <w:rsid w:val="003A4327"/>
    <w:rsid w:val="003A5A8C"/>
    <w:rsid w:val="003A7906"/>
    <w:rsid w:val="003B08ED"/>
    <w:rsid w:val="003B0C58"/>
    <w:rsid w:val="003B1ABC"/>
    <w:rsid w:val="003B4B17"/>
    <w:rsid w:val="003B4B63"/>
    <w:rsid w:val="003B4EE3"/>
    <w:rsid w:val="003C5336"/>
    <w:rsid w:val="003C5D6E"/>
    <w:rsid w:val="003C6A91"/>
    <w:rsid w:val="003D3942"/>
    <w:rsid w:val="003D3A81"/>
    <w:rsid w:val="003D49D7"/>
    <w:rsid w:val="003D6694"/>
    <w:rsid w:val="003E0158"/>
    <w:rsid w:val="003E0C83"/>
    <w:rsid w:val="003E14FC"/>
    <w:rsid w:val="003E3395"/>
    <w:rsid w:val="003E3EA9"/>
    <w:rsid w:val="003E5663"/>
    <w:rsid w:val="003E6788"/>
    <w:rsid w:val="003E6912"/>
    <w:rsid w:val="003E7352"/>
    <w:rsid w:val="003E7F1A"/>
    <w:rsid w:val="003F2319"/>
    <w:rsid w:val="003F250B"/>
    <w:rsid w:val="003F34C5"/>
    <w:rsid w:val="003F68C9"/>
    <w:rsid w:val="003F68E5"/>
    <w:rsid w:val="00400F33"/>
    <w:rsid w:val="004018D5"/>
    <w:rsid w:val="004079E6"/>
    <w:rsid w:val="00410104"/>
    <w:rsid w:val="0041026A"/>
    <w:rsid w:val="0041075E"/>
    <w:rsid w:val="004135CC"/>
    <w:rsid w:val="00420479"/>
    <w:rsid w:val="00420C0D"/>
    <w:rsid w:val="00420E73"/>
    <w:rsid w:val="00432753"/>
    <w:rsid w:val="00434867"/>
    <w:rsid w:val="00434900"/>
    <w:rsid w:val="00436B30"/>
    <w:rsid w:val="00443DE6"/>
    <w:rsid w:val="004479BB"/>
    <w:rsid w:val="00453B18"/>
    <w:rsid w:val="004552B8"/>
    <w:rsid w:val="004553EF"/>
    <w:rsid w:val="00456922"/>
    <w:rsid w:val="004579E8"/>
    <w:rsid w:val="004615D6"/>
    <w:rsid w:val="004621D9"/>
    <w:rsid w:val="00467C34"/>
    <w:rsid w:val="00471AAB"/>
    <w:rsid w:val="00472898"/>
    <w:rsid w:val="00473411"/>
    <w:rsid w:val="004735EF"/>
    <w:rsid w:val="0048025C"/>
    <w:rsid w:val="00480B4C"/>
    <w:rsid w:val="00480D18"/>
    <w:rsid w:val="004861A4"/>
    <w:rsid w:val="00491650"/>
    <w:rsid w:val="0049464F"/>
    <w:rsid w:val="00494738"/>
    <w:rsid w:val="0049532A"/>
    <w:rsid w:val="00495FE9"/>
    <w:rsid w:val="004A0CC4"/>
    <w:rsid w:val="004A1A35"/>
    <w:rsid w:val="004A3B01"/>
    <w:rsid w:val="004A514F"/>
    <w:rsid w:val="004B1A1E"/>
    <w:rsid w:val="004B24BA"/>
    <w:rsid w:val="004B2C3B"/>
    <w:rsid w:val="004B33DF"/>
    <w:rsid w:val="004B4160"/>
    <w:rsid w:val="004B417D"/>
    <w:rsid w:val="004B5025"/>
    <w:rsid w:val="004B7C59"/>
    <w:rsid w:val="004C19A5"/>
    <w:rsid w:val="004C2632"/>
    <w:rsid w:val="004C29C8"/>
    <w:rsid w:val="004C2B3A"/>
    <w:rsid w:val="004C69DC"/>
    <w:rsid w:val="004C6B76"/>
    <w:rsid w:val="004D1C16"/>
    <w:rsid w:val="004D34C6"/>
    <w:rsid w:val="004D3B18"/>
    <w:rsid w:val="004D3D75"/>
    <w:rsid w:val="004D6FD8"/>
    <w:rsid w:val="004D7EB8"/>
    <w:rsid w:val="004E129B"/>
    <w:rsid w:val="004E4A0C"/>
    <w:rsid w:val="004E7BBA"/>
    <w:rsid w:val="004F03A8"/>
    <w:rsid w:val="004F280C"/>
    <w:rsid w:val="004F3AC4"/>
    <w:rsid w:val="004F5645"/>
    <w:rsid w:val="004F733A"/>
    <w:rsid w:val="0050065A"/>
    <w:rsid w:val="00500FC0"/>
    <w:rsid w:val="00501E12"/>
    <w:rsid w:val="0050589E"/>
    <w:rsid w:val="00510978"/>
    <w:rsid w:val="005114D3"/>
    <w:rsid w:val="00511D5D"/>
    <w:rsid w:val="005166D2"/>
    <w:rsid w:val="00516B8C"/>
    <w:rsid w:val="00517850"/>
    <w:rsid w:val="00522ECD"/>
    <w:rsid w:val="00525B57"/>
    <w:rsid w:val="0052663F"/>
    <w:rsid w:val="00527CCE"/>
    <w:rsid w:val="005314E7"/>
    <w:rsid w:val="00533E37"/>
    <w:rsid w:val="005347C9"/>
    <w:rsid w:val="00535C77"/>
    <w:rsid w:val="005364AF"/>
    <w:rsid w:val="0053699D"/>
    <w:rsid w:val="005401CB"/>
    <w:rsid w:val="00540826"/>
    <w:rsid w:val="00542802"/>
    <w:rsid w:val="005442E2"/>
    <w:rsid w:val="00544490"/>
    <w:rsid w:val="005445CF"/>
    <w:rsid w:val="005459D4"/>
    <w:rsid w:val="00545CB7"/>
    <w:rsid w:val="005465D1"/>
    <w:rsid w:val="0054671F"/>
    <w:rsid w:val="0055108A"/>
    <w:rsid w:val="005512E1"/>
    <w:rsid w:val="00555BBC"/>
    <w:rsid w:val="00557A9E"/>
    <w:rsid w:val="00557DA8"/>
    <w:rsid w:val="00557FE3"/>
    <w:rsid w:val="005603B0"/>
    <w:rsid w:val="00560785"/>
    <w:rsid w:val="005636D3"/>
    <w:rsid w:val="00564111"/>
    <w:rsid w:val="00565943"/>
    <w:rsid w:val="00565AD3"/>
    <w:rsid w:val="00566324"/>
    <w:rsid w:val="00571576"/>
    <w:rsid w:val="00572471"/>
    <w:rsid w:val="00572592"/>
    <w:rsid w:val="00572A35"/>
    <w:rsid w:val="0057420A"/>
    <w:rsid w:val="00575DFA"/>
    <w:rsid w:val="005808CE"/>
    <w:rsid w:val="00581E5A"/>
    <w:rsid w:val="00585DB6"/>
    <w:rsid w:val="005937B0"/>
    <w:rsid w:val="005947D1"/>
    <w:rsid w:val="00597ECA"/>
    <w:rsid w:val="005A0964"/>
    <w:rsid w:val="005A1424"/>
    <w:rsid w:val="005A53D0"/>
    <w:rsid w:val="005A69BE"/>
    <w:rsid w:val="005B0765"/>
    <w:rsid w:val="005B11C5"/>
    <w:rsid w:val="005B1D64"/>
    <w:rsid w:val="005B6D96"/>
    <w:rsid w:val="005B75D3"/>
    <w:rsid w:val="005B76FC"/>
    <w:rsid w:val="005B7A23"/>
    <w:rsid w:val="005B7A41"/>
    <w:rsid w:val="005C06C0"/>
    <w:rsid w:val="005C14D5"/>
    <w:rsid w:val="005C3A38"/>
    <w:rsid w:val="005C640D"/>
    <w:rsid w:val="005C6D10"/>
    <w:rsid w:val="005C73D8"/>
    <w:rsid w:val="005D0FE4"/>
    <w:rsid w:val="005D1309"/>
    <w:rsid w:val="005D1A08"/>
    <w:rsid w:val="005D4863"/>
    <w:rsid w:val="005D4E20"/>
    <w:rsid w:val="005D58FC"/>
    <w:rsid w:val="005D7CE4"/>
    <w:rsid w:val="005E0CD5"/>
    <w:rsid w:val="005E1105"/>
    <w:rsid w:val="005E2691"/>
    <w:rsid w:val="005E5143"/>
    <w:rsid w:val="005F02B3"/>
    <w:rsid w:val="005F5A7C"/>
    <w:rsid w:val="005F795E"/>
    <w:rsid w:val="00600792"/>
    <w:rsid w:val="00601707"/>
    <w:rsid w:val="00603A99"/>
    <w:rsid w:val="006040A0"/>
    <w:rsid w:val="00605CBE"/>
    <w:rsid w:val="00605CF2"/>
    <w:rsid w:val="0060629A"/>
    <w:rsid w:val="00606D24"/>
    <w:rsid w:val="00607F97"/>
    <w:rsid w:val="006105FF"/>
    <w:rsid w:val="00610D8E"/>
    <w:rsid w:val="00612A6B"/>
    <w:rsid w:val="00614213"/>
    <w:rsid w:val="0061454E"/>
    <w:rsid w:val="00614D99"/>
    <w:rsid w:val="00616B2D"/>
    <w:rsid w:val="006239ED"/>
    <w:rsid w:val="006243F7"/>
    <w:rsid w:val="00624A92"/>
    <w:rsid w:val="00627F80"/>
    <w:rsid w:val="00630D33"/>
    <w:rsid w:val="00630FD4"/>
    <w:rsid w:val="006313B3"/>
    <w:rsid w:val="00631917"/>
    <w:rsid w:val="00633E44"/>
    <w:rsid w:val="00633E4E"/>
    <w:rsid w:val="00635776"/>
    <w:rsid w:val="0063674A"/>
    <w:rsid w:val="00636949"/>
    <w:rsid w:val="00637163"/>
    <w:rsid w:val="006374EA"/>
    <w:rsid w:val="0064138C"/>
    <w:rsid w:val="00641404"/>
    <w:rsid w:val="00641491"/>
    <w:rsid w:val="00642D78"/>
    <w:rsid w:val="0064318A"/>
    <w:rsid w:val="00644ED4"/>
    <w:rsid w:val="006453B9"/>
    <w:rsid w:val="0064562D"/>
    <w:rsid w:val="006475F7"/>
    <w:rsid w:val="006507A6"/>
    <w:rsid w:val="00650EDD"/>
    <w:rsid w:val="0065225C"/>
    <w:rsid w:val="006529A3"/>
    <w:rsid w:val="00653DB4"/>
    <w:rsid w:val="00654C32"/>
    <w:rsid w:val="00656FE2"/>
    <w:rsid w:val="00657F92"/>
    <w:rsid w:val="0066155D"/>
    <w:rsid w:val="006622FD"/>
    <w:rsid w:val="00664C26"/>
    <w:rsid w:val="0067068E"/>
    <w:rsid w:val="00671925"/>
    <w:rsid w:val="00674CE3"/>
    <w:rsid w:val="00675576"/>
    <w:rsid w:val="0067708C"/>
    <w:rsid w:val="00683AC2"/>
    <w:rsid w:val="0068706F"/>
    <w:rsid w:val="00687322"/>
    <w:rsid w:val="0068742F"/>
    <w:rsid w:val="00687D81"/>
    <w:rsid w:val="0069203B"/>
    <w:rsid w:val="0069273A"/>
    <w:rsid w:val="00694929"/>
    <w:rsid w:val="00695209"/>
    <w:rsid w:val="00696060"/>
    <w:rsid w:val="006A198A"/>
    <w:rsid w:val="006A1E9A"/>
    <w:rsid w:val="006A492D"/>
    <w:rsid w:val="006A6DE9"/>
    <w:rsid w:val="006A7145"/>
    <w:rsid w:val="006B1830"/>
    <w:rsid w:val="006B1BCD"/>
    <w:rsid w:val="006B1FA9"/>
    <w:rsid w:val="006B463A"/>
    <w:rsid w:val="006B4A44"/>
    <w:rsid w:val="006C3D5C"/>
    <w:rsid w:val="006C3F5B"/>
    <w:rsid w:val="006C5AF2"/>
    <w:rsid w:val="006C61A2"/>
    <w:rsid w:val="006C7D99"/>
    <w:rsid w:val="006D2E3A"/>
    <w:rsid w:val="006D32E0"/>
    <w:rsid w:val="006D3A31"/>
    <w:rsid w:val="006D45C1"/>
    <w:rsid w:val="006D6C6D"/>
    <w:rsid w:val="006E26EB"/>
    <w:rsid w:val="006E4E2E"/>
    <w:rsid w:val="006E5FAF"/>
    <w:rsid w:val="006E7B40"/>
    <w:rsid w:val="006F163D"/>
    <w:rsid w:val="006F4201"/>
    <w:rsid w:val="006F5370"/>
    <w:rsid w:val="006F5E27"/>
    <w:rsid w:val="006F7D3B"/>
    <w:rsid w:val="00704AF5"/>
    <w:rsid w:val="0070532F"/>
    <w:rsid w:val="0070663C"/>
    <w:rsid w:val="00706A54"/>
    <w:rsid w:val="00710863"/>
    <w:rsid w:val="00711F8A"/>
    <w:rsid w:val="0071435F"/>
    <w:rsid w:val="00714649"/>
    <w:rsid w:val="00715A7D"/>
    <w:rsid w:val="00716862"/>
    <w:rsid w:val="007175AA"/>
    <w:rsid w:val="007209C7"/>
    <w:rsid w:val="00720D39"/>
    <w:rsid w:val="00727B57"/>
    <w:rsid w:val="007316DD"/>
    <w:rsid w:val="00733566"/>
    <w:rsid w:val="00736570"/>
    <w:rsid w:val="00736611"/>
    <w:rsid w:val="0073689A"/>
    <w:rsid w:val="00737C96"/>
    <w:rsid w:val="00740B7B"/>
    <w:rsid w:val="00741BB1"/>
    <w:rsid w:val="00743F23"/>
    <w:rsid w:val="00745E63"/>
    <w:rsid w:val="00746260"/>
    <w:rsid w:val="00751312"/>
    <w:rsid w:val="007517A0"/>
    <w:rsid w:val="007522FE"/>
    <w:rsid w:val="00752418"/>
    <w:rsid w:val="007551F6"/>
    <w:rsid w:val="007559FA"/>
    <w:rsid w:val="00756CD0"/>
    <w:rsid w:val="00756F3B"/>
    <w:rsid w:val="00760748"/>
    <w:rsid w:val="00763456"/>
    <w:rsid w:val="00765E2E"/>
    <w:rsid w:val="0076693E"/>
    <w:rsid w:val="0076784C"/>
    <w:rsid w:val="00767B14"/>
    <w:rsid w:val="00767E25"/>
    <w:rsid w:val="007707B4"/>
    <w:rsid w:val="00772ECA"/>
    <w:rsid w:val="007808AD"/>
    <w:rsid w:val="00781C06"/>
    <w:rsid w:val="00782DF0"/>
    <w:rsid w:val="00783353"/>
    <w:rsid w:val="007838D0"/>
    <w:rsid w:val="00785F9C"/>
    <w:rsid w:val="00785FCD"/>
    <w:rsid w:val="00790356"/>
    <w:rsid w:val="00791DE6"/>
    <w:rsid w:val="0079342A"/>
    <w:rsid w:val="00793526"/>
    <w:rsid w:val="00793F75"/>
    <w:rsid w:val="0079609D"/>
    <w:rsid w:val="00796345"/>
    <w:rsid w:val="00796D17"/>
    <w:rsid w:val="0079779D"/>
    <w:rsid w:val="007A27A8"/>
    <w:rsid w:val="007B001A"/>
    <w:rsid w:val="007B0666"/>
    <w:rsid w:val="007B0DCD"/>
    <w:rsid w:val="007B43B7"/>
    <w:rsid w:val="007B747A"/>
    <w:rsid w:val="007B7E31"/>
    <w:rsid w:val="007C12C6"/>
    <w:rsid w:val="007C2504"/>
    <w:rsid w:val="007C3F7E"/>
    <w:rsid w:val="007C4345"/>
    <w:rsid w:val="007C5223"/>
    <w:rsid w:val="007C56C4"/>
    <w:rsid w:val="007C6DF5"/>
    <w:rsid w:val="007C770F"/>
    <w:rsid w:val="007D17D3"/>
    <w:rsid w:val="007D24FE"/>
    <w:rsid w:val="007D61A5"/>
    <w:rsid w:val="007D6AF8"/>
    <w:rsid w:val="007D6E5C"/>
    <w:rsid w:val="007D7BAA"/>
    <w:rsid w:val="007E05A7"/>
    <w:rsid w:val="007E1E4E"/>
    <w:rsid w:val="007E2574"/>
    <w:rsid w:val="007E3127"/>
    <w:rsid w:val="007E44D2"/>
    <w:rsid w:val="007E464B"/>
    <w:rsid w:val="007E488E"/>
    <w:rsid w:val="007E5119"/>
    <w:rsid w:val="007E5AE6"/>
    <w:rsid w:val="007E5D9C"/>
    <w:rsid w:val="007E5F49"/>
    <w:rsid w:val="007F1E56"/>
    <w:rsid w:val="007F21A6"/>
    <w:rsid w:val="007F3F8A"/>
    <w:rsid w:val="007F5530"/>
    <w:rsid w:val="007F5DB3"/>
    <w:rsid w:val="007F7622"/>
    <w:rsid w:val="008008CC"/>
    <w:rsid w:val="00802182"/>
    <w:rsid w:val="00802D85"/>
    <w:rsid w:val="00804A9C"/>
    <w:rsid w:val="00806A7F"/>
    <w:rsid w:val="00807118"/>
    <w:rsid w:val="00811942"/>
    <w:rsid w:val="008130C7"/>
    <w:rsid w:val="00813540"/>
    <w:rsid w:val="008143C1"/>
    <w:rsid w:val="00814608"/>
    <w:rsid w:val="00816278"/>
    <w:rsid w:val="00820A65"/>
    <w:rsid w:val="00823193"/>
    <w:rsid w:val="008248A9"/>
    <w:rsid w:val="00827DAA"/>
    <w:rsid w:val="00832505"/>
    <w:rsid w:val="00834A78"/>
    <w:rsid w:val="00836057"/>
    <w:rsid w:val="0083718F"/>
    <w:rsid w:val="00837B31"/>
    <w:rsid w:val="008409F6"/>
    <w:rsid w:val="0084100F"/>
    <w:rsid w:val="008422B1"/>
    <w:rsid w:val="00843B78"/>
    <w:rsid w:val="00845FA8"/>
    <w:rsid w:val="00846267"/>
    <w:rsid w:val="0085011E"/>
    <w:rsid w:val="008503C7"/>
    <w:rsid w:val="008522EF"/>
    <w:rsid w:val="008530EB"/>
    <w:rsid w:val="0085313C"/>
    <w:rsid w:val="00854840"/>
    <w:rsid w:val="00856D6B"/>
    <w:rsid w:val="00860446"/>
    <w:rsid w:val="00861A56"/>
    <w:rsid w:val="008650A5"/>
    <w:rsid w:val="008657FD"/>
    <w:rsid w:val="00870B09"/>
    <w:rsid w:val="008719FE"/>
    <w:rsid w:val="008726FA"/>
    <w:rsid w:val="008762D0"/>
    <w:rsid w:val="008764FB"/>
    <w:rsid w:val="008837A3"/>
    <w:rsid w:val="008850E4"/>
    <w:rsid w:val="008869A6"/>
    <w:rsid w:val="00887591"/>
    <w:rsid w:val="00890FD2"/>
    <w:rsid w:val="008912DB"/>
    <w:rsid w:val="0089155F"/>
    <w:rsid w:val="00892147"/>
    <w:rsid w:val="0089252B"/>
    <w:rsid w:val="0089443C"/>
    <w:rsid w:val="00894C7C"/>
    <w:rsid w:val="00894E6F"/>
    <w:rsid w:val="00894FB6"/>
    <w:rsid w:val="008967BB"/>
    <w:rsid w:val="008A0BBE"/>
    <w:rsid w:val="008A2BAA"/>
    <w:rsid w:val="008A31C5"/>
    <w:rsid w:val="008A41B0"/>
    <w:rsid w:val="008B1EA6"/>
    <w:rsid w:val="008B2341"/>
    <w:rsid w:val="008B4313"/>
    <w:rsid w:val="008B442D"/>
    <w:rsid w:val="008B556A"/>
    <w:rsid w:val="008B586B"/>
    <w:rsid w:val="008B706B"/>
    <w:rsid w:val="008B7277"/>
    <w:rsid w:val="008C0891"/>
    <w:rsid w:val="008C1B74"/>
    <w:rsid w:val="008C324A"/>
    <w:rsid w:val="008C3473"/>
    <w:rsid w:val="008C3969"/>
    <w:rsid w:val="008C4B15"/>
    <w:rsid w:val="008C4C2B"/>
    <w:rsid w:val="008C5C8F"/>
    <w:rsid w:val="008C633B"/>
    <w:rsid w:val="008D129D"/>
    <w:rsid w:val="008D2A02"/>
    <w:rsid w:val="008D3C5E"/>
    <w:rsid w:val="008D47B6"/>
    <w:rsid w:val="008D61AF"/>
    <w:rsid w:val="008D68BD"/>
    <w:rsid w:val="008D79FA"/>
    <w:rsid w:val="008E12C8"/>
    <w:rsid w:val="008E262A"/>
    <w:rsid w:val="008E4377"/>
    <w:rsid w:val="008E5371"/>
    <w:rsid w:val="008E6FDE"/>
    <w:rsid w:val="008F1151"/>
    <w:rsid w:val="008F2B41"/>
    <w:rsid w:val="008F43E3"/>
    <w:rsid w:val="008F49E8"/>
    <w:rsid w:val="008F6255"/>
    <w:rsid w:val="00900902"/>
    <w:rsid w:val="009013A3"/>
    <w:rsid w:val="0090214C"/>
    <w:rsid w:val="009023B5"/>
    <w:rsid w:val="009062D4"/>
    <w:rsid w:val="00907723"/>
    <w:rsid w:val="00912168"/>
    <w:rsid w:val="00912E6C"/>
    <w:rsid w:val="00913B92"/>
    <w:rsid w:val="00916424"/>
    <w:rsid w:val="00917390"/>
    <w:rsid w:val="009202D2"/>
    <w:rsid w:val="0093081F"/>
    <w:rsid w:val="009320DC"/>
    <w:rsid w:val="00934F20"/>
    <w:rsid w:val="00935470"/>
    <w:rsid w:val="009376E4"/>
    <w:rsid w:val="009429BC"/>
    <w:rsid w:val="00944BE0"/>
    <w:rsid w:val="00945949"/>
    <w:rsid w:val="009461F6"/>
    <w:rsid w:val="009508E4"/>
    <w:rsid w:val="00950C52"/>
    <w:rsid w:val="00953A13"/>
    <w:rsid w:val="00953D3A"/>
    <w:rsid w:val="00955D21"/>
    <w:rsid w:val="0095733A"/>
    <w:rsid w:val="009573E2"/>
    <w:rsid w:val="00961D0C"/>
    <w:rsid w:val="00962496"/>
    <w:rsid w:val="00962F4E"/>
    <w:rsid w:val="00964BBA"/>
    <w:rsid w:val="009673E9"/>
    <w:rsid w:val="009676C6"/>
    <w:rsid w:val="00976465"/>
    <w:rsid w:val="00977674"/>
    <w:rsid w:val="009872AA"/>
    <w:rsid w:val="00992305"/>
    <w:rsid w:val="00993336"/>
    <w:rsid w:val="00994D3E"/>
    <w:rsid w:val="009962CB"/>
    <w:rsid w:val="009966DA"/>
    <w:rsid w:val="009A03B3"/>
    <w:rsid w:val="009A0AAD"/>
    <w:rsid w:val="009A1020"/>
    <w:rsid w:val="009A2A6D"/>
    <w:rsid w:val="009A30EC"/>
    <w:rsid w:val="009A4815"/>
    <w:rsid w:val="009A67A2"/>
    <w:rsid w:val="009A722B"/>
    <w:rsid w:val="009A772D"/>
    <w:rsid w:val="009A7B8A"/>
    <w:rsid w:val="009B11AF"/>
    <w:rsid w:val="009B3B4C"/>
    <w:rsid w:val="009B47DE"/>
    <w:rsid w:val="009B6EC3"/>
    <w:rsid w:val="009C2183"/>
    <w:rsid w:val="009C4AE4"/>
    <w:rsid w:val="009D1F15"/>
    <w:rsid w:val="009D5C05"/>
    <w:rsid w:val="009D6696"/>
    <w:rsid w:val="009D6E1D"/>
    <w:rsid w:val="009D7198"/>
    <w:rsid w:val="009D77A6"/>
    <w:rsid w:val="009E0975"/>
    <w:rsid w:val="009E2704"/>
    <w:rsid w:val="009E30E0"/>
    <w:rsid w:val="009E3344"/>
    <w:rsid w:val="009E4ACB"/>
    <w:rsid w:val="009E5050"/>
    <w:rsid w:val="009E5362"/>
    <w:rsid w:val="009E6261"/>
    <w:rsid w:val="009E6288"/>
    <w:rsid w:val="009E7346"/>
    <w:rsid w:val="009F06BA"/>
    <w:rsid w:val="009F375B"/>
    <w:rsid w:val="009F3B73"/>
    <w:rsid w:val="009F6D03"/>
    <w:rsid w:val="009F7C21"/>
    <w:rsid w:val="00A00AD3"/>
    <w:rsid w:val="00A01229"/>
    <w:rsid w:val="00A023E2"/>
    <w:rsid w:val="00A02DCA"/>
    <w:rsid w:val="00A03961"/>
    <w:rsid w:val="00A0474A"/>
    <w:rsid w:val="00A04879"/>
    <w:rsid w:val="00A04A36"/>
    <w:rsid w:val="00A0526A"/>
    <w:rsid w:val="00A067E7"/>
    <w:rsid w:val="00A07B3B"/>
    <w:rsid w:val="00A141F1"/>
    <w:rsid w:val="00A14E54"/>
    <w:rsid w:val="00A2083F"/>
    <w:rsid w:val="00A211DA"/>
    <w:rsid w:val="00A218F7"/>
    <w:rsid w:val="00A21ACC"/>
    <w:rsid w:val="00A306B7"/>
    <w:rsid w:val="00A318C7"/>
    <w:rsid w:val="00A33EE1"/>
    <w:rsid w:val="00A34D01"/>
    <w:rsid w:val="00A40C0F"/>
    <w:rsid w:val="00A41197"/>
    <w:rsid w:val="00A414E1"/>
    <w:rsid w:val="00A42FA4"/>
    <w:rsid w:val="00A44CBF"/>
    <w:rsid w:val="00A47D43"/>
    <w:rsid w:val="00A50BFA"/>
    <w:rsid w:val="00A54348"/>
    <w:rsid w:val="00A56A93"/>
    <w:rsid w:val="00A5731C"/>
    <w:rsid w:val="00A57816"/>
    <w:rsid w:val="00A578F9"/>
    <w:rsid w:val="00A57EC0"/>
    <w:rsid w:val="00A61D26"/>
    <w:rsid w:val="00A62199"/>
    <w:rsid w:val="00A63720"/>
    <w:rsid w:val="00A638D7"/>
    <w:rsid w:val="00A66B30"/>
    <w:rsid w:val="00A70274"/>
    <w:rsid w:val="00A73ECD"/>
    <w:rsid w:val="00A75EC0"/>
    <w:rsid w:val="00A76400"/>
    <w:rsid w:val="00A832D3"/>
    <w:rsid w:val="00A84175"/>
    <w:rsid w:val="00A86B61"/>
    <w:rsid w:val="00A91F6A"/>
    <w:rsid w:val="00A97696"/>
    <w:rsid w:val="00AA3865"/>
    <w:rsid w:val="00AA3AF5"/>
    <w:rsid w:val="00AA3BAB"/>
    <w:rsid w:val="00AA5723"/>
    <w:rsid w:val="00AA572B"/>
    <w:rsid w:val="00AA5B13"/>
    <w:rsid w:val="00AA6166"/>
    <w:rsid w:val="00AB2EE4"/>
    <w:rsid w:val="00AB3548"/>
    <w:rsid w:val="00AB3F14"/>
    <w:rsid w:val="00AB4BC7"/>
    <w:rsid w:val="00AB61C0"/>
    <w:rsid w:val="00AB7524"/>
    <w:rsid w:val="00AB7B49"/>
    <w:rsid w:val="00AB7DAB"/>
    <w:rsid w:val="00AC11EC"/>
    <w:rsid w:val="00AC3F65"/>
    <w:rsid w:val="00AD2247"/>
    <w:rsid w:val="00AD2DEA"/>
    <w:rsid w:val="00AD326D"/>
    <w:rsid w:val="00AD397F"/>
    <w:rsid w:val="00AD3B06"/>
    <w:rsid w:val="00AD3B99"/>
    <w:rsid w:val="00AD4891"/>
    <w:rsid w:val="00AD4B7F"/>
    <w:rsid w:val="00AD59D0"/>
    <w:rsid w:val="00AE169E"/>
    <w:rsid w:val="00AE1908"/>
    <w:rsid w:val="00AE2BFB"/>
    <w:rsid w:val="00AE3D23"/>
    <w:rsid w:val="00AE6F4A"/>
    <w:rsid w:val="00AF03FA"/>
    <w:rsid w:val="00AF2116"/>
    <w:rsid w:val="00AF28DA"/>
    <w:rsid w:val="00AF3D6F"/>
    <w:rsid w:val="00AF6867"/>
    <w:rsid w:val="00AF7304"/>
    <w:rsid w:val="00B02134"/>
    <w:rsid w:val="00B0284E"/>
    <w:rsid w:val="00B0624B"/>
    <w:rsid w:val="00B11939"/>
    <w:rsid w:val="00B14E88"/>
    <w:rsid w:val="00B166AF"/>
    <w:rsid w:val="00B21F15"/>
    <w:rsid w:val="00B22E73"/>
    <w:rsid w:val="00B23F30"/>
    <w:rsid w:val="00B25E01"/>
    <w:rsid w:val="00B26AA5"/>
    <w:rsid w:val="00B26D7D"/>
    <w:rsid w:val="00B27062"/>
    <w:rsid w:val="00B277CA"/>
    <w:rsid w:val="00B27A5B"/>
    <w:rsid w:val="00B27DA2"/>
    <w:rsid w:val="00B31B7D"/>
    <w:rsid w:val="00B407B3"/>
    <w:rsid w:val="00B41EAA"/>
    <w:rsid w:val="00B424E9"/>
    <w:rsid w:val="00B42550"/>
    <w:rsid w:val="00B42E64"/>
    <w:rsid w:val="00B43724"/>
    <w:rsid w:val="00B43E9F"/>
    <w:rsid w:val="00B44659"/>
    <w:rsid w:val="00B461A1"/>
    <w:rsid w:val="00B473A4"/>
    <w:rsid w:val="00B4791B"/>
    <w:rsid w:val="00B51E0F"/>
    <w:rsid w:val="00B51F11"/>
    <w:rsid w:val="00B61006"/>
    <w:rsid w:val="00B63668"/>
    <w:rsid w:val="00B6385D"/>
    <w:rsid w:val="00B6465F"/>
    <w:rsid w:val="00B67674"/>
    <w:rsid w:val="00B67B6B"/>
    <w:rsid w:val="00B67D6A"/>
    <w:rsid w:val="00B70711"/>
    <w:rsid w:val="00B720C4"/>
    <w:rsid w:val="00B726B1"/>
    <w:rsid w:val="00B72E1B"/>
    <w:rsid w:val="00B72ECA"/>
    <w:rsid w:val="00B73325"/>
    <w:rsid w:val="00B74B66"/>
    <w:rsid w:val="00B75A08"/>
    <w:rsid w:val="00B77846"/>
    <w:rsid w:val="00B77E5A"/>
    <w:rsid w:val="00B8075C"/>
    <w:rsid w:val="00B8394B"/>
    <w:rsid w:val="00B84909"/>
    <w:rsid w:val="00B87D03"/>
    <w:rsid w:val="00B90608"/>
    <w:rsid w:val="00B910F4"/>
    <w:rsid w:val="00B91854"/>
    <w:rsid w:val="00B922B9"/>
    <w:rsid w:val="00B93E08"/>
    <w:rsid w:val="00B9439D"/>
    <w:rsid w:val="00B947CB"/>
    <w:rsid w:val="00B94F70"/>
    <w:rsid w:val="00B95364"/>
    <w:rsid w:val="00B979BE"/>
    <w:rsid w:val="00BA2FC3"/>
    <w:rsid w:val="00BA4A74"/>
    <w:rsid w:val="00BA74CB"/>
    <w:rsid w:val="00BA7954"/>
    <w:rsid w:val="00BB0081"/>
    <w:rsid w:val="00BB08FE"/>
    <w:rsid w:val="00BB0A4D"/>
    <w:rsid w:val="00BB11FF"/>
    <w:rsid w:val="00BB295A"/>
    <w:rsid w:val="00BB3970"/>
    <w:rsid w:val="00BB3DE8"/>
    <w:rsid w:val="00BB57C3"/>
    <w:rsid w:val="00BB74E3"/>
    <w:rsid w:val="00BC1809"/>
    <w:rsid w:val="00BC43AD"/>
    <w:rsid w:val="00BC7629"/>
    <w:rsid w:val="00BD1103"/>
    <w:rsid w:val="00BD2126"/>
    <w:rsid w:val="00BD6274"/>
    <w:rsid w:val="00BD6CED"/>
    <w:rsid w:val="00BE0677"/>
    <w:rsid w:val="00BE279C"/>
    <w:rsid w:val="00BE2FDD"/>
    <w:rsid w:val="00BE544C"/>
    <w:rsid w:val="00BE65A9"/>
    <w:rsid w:val="00BE6AAC"/>
    <w:rsid w:val="00BE6DF8"/>
    <w:rsid w:val="00BF0138"/>
    <w:rsid w:val="00C00A54"/>
    <w:rsid w:val="00C0174E"/>
    <w:rsid w:val="00C02223"/>
    <w:rsid w:val="00C023DA"/>
    <w:rsid w:val="00C02D96"/>
    <w:rsid w:val="00C03A50"/>
    <w:rsid w:val="00C04EBB"/>
    <w:rsid w:val="00C052F1"/>
    <w:rsid w:val="00C07DC3"/>
    <w:rsid w:val="00C07FC4"/>
    <w:rsid w:val="00C10D7F"/>
    <w:rsid w:val="00C117E0"/>
    <w:rsid w:val="00C127AD"/>
    <w:rsid w:val="00C12C74"/>
    <w:rsid w:val="00C13E9C"/>
    <w:rsid w:val="00C13FDE"/>
    <w:rsid w:val="00C15121"/>
    <w:rsid w:val="00C16653"/>
    <w:rsid w:val="00C17F1C"/>
    <w:rsid w:val="00C20D76"/>
    <w:rsid w:val="00C21C92"/>
    <w:rsid w:val="00C2315A"/>
    <w:rsid w:val="00C23530"/>
    <w:rsid w:val="00C23A81"/>
    <w:rsid w:val="00C26266"/>
    <w:rsid w:val="00C274F5"/>
    <w:rsid w:val="00C31FA3"/>
    <w:rsid w:val="00C32ED7"/>
    <w:rsid w:val="00C33C03"/>
    <w:rsid w:val="00C367F6"/>
    <w:rsid w:val="00C4165D"/>
    <w:rsid w:val="00C41A40"/>
    <w:rsid w:val="00C41DEF"/>
    <w:rsid w:val="00C4395A"/>
    <w:rsid w:val="00C4554E"/>
    <w:rsid w:val="00C4557B"/>
    <w:rsid w:val="00C47BD4"/>
    <w:rsid w:val="00C50BFD"/>
    <w:rsid w:val="00C50C83"/>
    <w:rsid w:val="00C52DDA"/>
    <w:rsid w:val="00C52EE1"/>
    <w:rsid w:val="00C53B80"/>
    <w:rsid w:val="00C55078"/>
    <w:rsid w:val="00C55DC3"/>
    <w:rsid w:val="00C61250"/>
    <w:rsid w:val="00C61405"/>
    <w:rsid w:val="00C63645"/>
    <w:rsid w:val="00C66CAC"/>
    <w:rsid w:val="00C678C2"/>
    <w:rsid w:val="00C70549"/>
    <w:rsid w:val="00C71E97"/>
    <w:rsid w:val="00C71ECF"/>
    <w:rsid w:val="00C71F5E"/>
    <w:rsid w:val="00C738C2"/>
    <w:rsid w:val="00C768AF"/>
    <w:rsid w:val="00C774F5"/>
    <w:rsid w:val="00C7785C"/>
    <w:rsid w:val="00C801FF"/>
    <w:rsid w:val="00C87004"/>
    <w:rsid w:val="00C9121B"/>
    <w:rsid w:val="00C92893"/>
    <w:rsid w:val="00C92A68"/>
    <w:rsid w:val="00C9310C"/>
    <w:rsid w:val="00C939B7"/>
    <w:rsid w:val="00C9528C"/>
    <w:rsid w:val="00CA0E18"/>
    <w:rsid w:val="00CA2933"/>
    <w:rsid w:val="00CA398B"/>
    <w:rsid w:val="00CA50D6"/>
    <w:rsid w:val="00CA6775"/>
    <w:rsid w:val="00CA6965"/>
    <w:rsid w:val="00CA77BA"/>
    <w:rsid w:val="00CB1E06"/>
    <w:rsid w:val="00CB258F"/>
    <w:rsid w:val="00CB3F5A"/>
    <w:rsid w:val="00CB5555"/>
    <w:rsid w:val="00CB69E4"/>
    <w:rsid w:val="00CB731E"/>
    <w:rsid w:val="00CC269B"/>
    <w:rsid w:val="00CC44E6"/>
    <w:rsid w:val="00CC61C8"/>
    <w:rsid w:val="00CC6386"/>
    <w:rsid w:val="00CC735D"/>
    <w:rsid w:val="00CD27E4"/>
    <w:rsid w:val="00CD2A47"/>
    <w:rsid w:val="00CD45B0"/>
    <w:rsid w:val="00CD6E8E"/>
    <w:rsid w:val="00CE0F16"/>
    <w:rsid w:val="00CE152A"/>
    <w:rsid w:val="00CE22E1"/>
    <w:rsid w:val="00CE2BB8"/>
    <w:rsid w:val="00CE3077"/>
    <w:rsid w:val="00CE3CBB"/>
    <w:rsid w:val="00CE4C97"/>
    <w:rsid w:val="00CE56BD"/>
    <w:rsid w:val="00CE58DF"/>
    <w:rsid w:val="00CE743B"/>
    <w:rsid w:val="00CF067D"/>
    <w:rsid w:val="00CF22EF"/>
    <w:rsid w:val="00CF24C5"/>
    <w:rsid w:val="00CF2711"/>
    <w:rsid w:val="00CF2E97"/>
    <w:rsid w:val="00CF735A"/>
    <w:rsid w:val="00CF7E56"/>
    <w:rsid w:val="00D004F8"/>
    <w:rsid w:val="00D00824"/>
    <w:rsid w:val="00D01AA4"/>
    <w:rsid w:val="00D01D07"/>
    <w:rsid w:val="00D029B7"/>
    <w:rsid w:val="00D056CC"/>
    <w:rsid w:val="00D067AB"/>
    <w:rsid w:val="00D13586"/>
    <w:rsid w:val="00D14AC4"/>
    <w:rsid w:val="00D14B67"/>
    <w:rsid w:val="00D15F23"/>
    <w:rsid w:val="00D202DB"/>
    <w:rsid w:val="00D219E5"/>
    <w:rsid w:val="00D21B3B"/>
    <w:rsid w:val="00D221DF"/>
    <w:rsid w:val="00D2341B"/>
    <w:rsid w:val="00D238D6"/>
    <w:rsid w:val="00D25071"/>
    <w:rsid w:val="00D255B3"/>
    <w:rsid w:val="00D26A52"/>
    <w:rsid w:val="00D27EF7"/>
    <w:rsid w:val="00D30B0F"/>
    <w:rsid w:val="00D30C17"/>
    <w:rsid w:val="00D3477B"/>
    <w:rsid w:val="00D361BB"/>
    <w:rsid w:val="00D378C4"/>
    <w:rsid w:val="00D37FEA"/>
    <w:rsid w:val="00D40492"/>
    <w:rsid w:val="00D41678"/>
    <w:rsid w:val="00D435A2"/>
    <w:rsid w:val="00D44408"/>
    <w:rsid w:val="00D47B28"/>
    <w:rsid w:val="00D5195A"/>
    <w:rsid w:val="00D52902"/>
    <w:rsid w:val="00D52A4B"/>
    <w:rsid w:val="00D52F04"/>
    <w:rsid w:val="00D53B6D"/>
    <w:rsid w:val="00D53E7C"/>
    <w:rsid w:val="00D568E2"/>
    <w:rsid w:val="00D56A12"/>
    <w:rsid w:val="00D56D81"/>
    <w:rsid w:val="00D57181"/>
    <w:rsid w:val="00D576D4"/>
    <w:rsid w:val="00D6013E"/>
    <w:rsid w:val="00D624C9"/>
    <w:rsid w:val="00D62521"/>
    <w:rsid w:val="00D6299F"/>
    <w:rsid w:val="00D63AE5"/>
    <w:rsid w:val="00D6534C"/>
    <w:rsid w:val="00D65910"/>
    <w:rsid w:val="00D708BD"/>
    <w:rsid w:val="00D7163C"/>
    <w:rsid w:val="00D72AE5"/>
    <w:rsid w:val="00D732AA"/>
    <w:rsid w:val="00D73961"/>
    <w:rsid w:val="00D740FD"/>
    <w:rsid w:val="00D758D4"/>
    <w:rsid w:val="00D82580"/>
    <w:rsid w:val="00D8260B"/>
    <w:rsid w:val="00D82B02"/>
    <w:rsid w:val="00D82D3D"/>
    <w:rsid w:val="00D83023"/>
    <w:rsid w:val="00D83B92"/>
    <w:rsid w:val="00D8497D"/>
    <w:rsid w:val="00D85561"/>
    <w:rsid w:val="00D87110"/>
    <w:rsid w:val="00D8753C"/>
    <w:rsid w:val="00D90248"/>
    <w:rsid w:val="00D920DE"/>
    <w:rsid w:val="00D92C38"/>
    <w:rsid w:val="00D92D95"/>
    <w:rsid w:val="00D93061"/>
    <w:rsid w:val="00D93B3F"/>
    <w:rsid w:val="00D952CF"/>
    <w:rsid w:val="00DA5E81"/>
    <w:rsid w:val="00DA6410"/>
    <w:rsid w:val="00DB1D9D"/>
    <w:rsid w:val="00DB2258"/>
    <w:rsid w:val="00DB2400"/>
    <w:rsid w:val="00DB4073"/>
    <w:rsid w:val="00DB4133"/>
    <w:rsid w:val="00DB57BD"/>
    <w:rsid w:val="00DB66DA"/>
    <w:rsid w:val="00DB728C"/>
    <w:rsid w:val="00DC295B"/>
    <w:rsid w:val="00DC37C4"/>
    <w:rsid w:val="00DC6973"/>
    <w:rsid w:val="00DD0F4D"/>
    <w:rsid w:val="00DD10A3"/>
    <w:rsid w:val="00DD5040"/>
    <w:rsid w:val="00DD5119"/>
    <w:rsid w:val="00DD631D"/>
    <w:rsid w:val="00DD7804"/>
    <w:rsid w:val="00DE1D5F"/>
    <w:rsid w:val="00DE5009"/>
    <w:rsid w:val="00DE6F41"/>
    <w:rsid w:val="00DF05ED"/>
    <w:rsid w:val="00DF41EE"/>
    <w:rsid w:val="00DF4FAD"/>
    <w:rsid w:val="00DF56C0"/>
    <w:rsid w:val="00DF741A"/>
    <w:rsid w:val="00E03058"/>
    <w:rsid w:val="00E05FA2"/>
    <w:rsid w:val="00E068B2"/>
    <w:rsid w:val="00E06F5D"/>
    <w:rsid w:val="00E12B59"/>
    <w:rsid w:val="00E13010"/>
    <w:rsid w:val="00E13BAB"/>
    <w:rsid w:val="00E16780"/>
    <w:rsid w:val="00E21568"/>
    <w:rsid w:val="00E23772"/>
    <w:rsid w:val="00E2472B"/>
    <w:rsid w:val="00E24E08"/>
    <w:rsid w:val="00E250F9"/>
    <w:rsid w:val="00E25977"/>
    <w:rsid w:val="00E30ABF"/>
    <w:rsid w:val="00E313D6"/>
    <w:rsid w:val="00E32080"/>
    <w:rsid w:val="00E32C7B"/>
    <w:rsid w:val="00E338DC"/>
    <w:rsid w:val="00E35501"/>
    <w:rsid w:val="00E36E13"/>
    <w:rsid w:val="00E404D1"/>
    <w:rsid w:val="00E414F9"/>
    <w:rsid w:val="00E432F2"/>
    <w:rsid w:val="00E4523A"/>
    <w:rsid w:val="00E503C1"/>
    <w:rsid w:val="00E50826"/>
    <w:rsid w:val="00E561D9"/>
    <w:rsid w:val="00E57365"/>
    <w:rsid w:val="00E603D9"/>
    <w:rsid w:val="00E60725"/>
    <w:rsid w:val="00E61696"/>
    <w:rsid w:val="00E64906"/>
    <w:rsid w:val="00E67394"/>
    <w:rsid w:val="00E70766"/>
    <w:rsid w:val="00E71B03"/>
    <w:rsid w:val="00E816D6"/>
    <w:rsid w:val="00E84B15"/>
    <w:rsid w:val="00E85841"/>
    <w:rsid w:val="00E86A3A"/>
    <w:rsid w:val="00E926EE"/>
    <w:rsid w:val="00E93DE7"/>
    <w:rsid w:val="00E9617A"/>
    <w:rsid w:val="00E96DB4"/>
    <w:rsid w:val="00EA0448"/>
    <w:rsid w:val="00EA1722"/>
    <w:rsid w:val="00EA393B"/>
    <w:rsid w:val="00EA59C4"/>
    <w:rsid w:val="00EB4973"/>
    <w:rsid w:val="00EC29A1"/>
    <w:rsid w:val="00EC2E0A"/>
    <w:rsid w:val="00EC6E91"/>
    <w:rsid w:val="00EC7B37"/>
    <w:rsid w:val="00ED0F13"/>
    <w:rsid w:val="00ED190B"/>
    <w:rsid w:val="00ED2165"/>
    <w:rsid w:val="00ED22C2"/>
    <w:rsid w:val="00ED3E0E"/>
    <w:rsid w:val="00ED55C1"/>
    <w:rsid w:val="00ED6347"/>
    <w:rsid w:val="00ED7CEC"/>
    <w:rsid w:val="00EE50A7"/>
    <w:rsid w:val="00EE6711"/>
    <w:rsid w:val="00EE6B17"/>
    <w:rsid w:val="00EE6BFE"/>
    <w:rsid w:val="00EE6DE1"/>
    <w:rsid w:val="00EE77FB"/>
    <w:rsid w:val="00EE7DFD"/>
    <w:rsid w:val="00EF2532"/>
    <w:rsid w:val="00EF3A85"/>
    <w:rsid w:val="00EF4291"/>
    <w:rsid w:val="00EF471A"/>
    <w:rsid w:val="00EF4FCC"/>
    <w:rsid w:val="00EF5A2D"/>
    <w:rsid w:val="00EF6A0C"/>
    <w:rsid w:val="00EF74E2"/>
    <w:rsid w:val="00EF78E3"/>
    <w:rsid w:val="00F042A9"/>
    <w:rsid w:val="00F06327"/>
    <w:rsid w:val="00F065A0"/>
    <w:rsid w:val="00F06E9E"/>
    <w:rsid w:val="00F079D4"/>
    <w:rsid w:val="00F10148"/>
    <w:rsid w:val="00F130EE"/>
    <w:rsid w:val="00F13A80"/>
    <w:rsid w:val="00F147E8"/>
    <w:rsid w:val="00F152BB"/>
    <w:rsid w:val="00F15337"/>
    <w:rsid w:val="00F16321"/>
    <w:rsid w:val="00F16D6D"/>
    <w:rsid w:val="00F175FA"/>
    <w:rsid w:val="00F21311"/>
    <w:rsid w:val="00F22D5F"/>
    <w:rsid w:val="00F2351D"/>
    <w:rsid w:val="00F25513"/>
    <w:rsid w:val="00F30BCF"/>
    <w:rsid w:val="00F30F64"/>
    <w:rsid w:val="00F34800"/>
    <w:rsid w:val="00F3796F"/>
    <w:rsid w:val="00F37D6F"/>
    <w:rsid w:val="00F434CE"/>
    <w:rsid w:val="00F43900"/>
    <w:rsid w:val="00F440F7"/>
    <w:rsid w:val="00F45D84"/>
    <w:rsid w:val="00F45FED"/>
    <w:rsid w:val="00F47EF1"/>
    <w:rsid w:val="00F577DE"/>
    <w:rsid w:val="00F6065C"/>
    <w:rsid w:val="00F621D4"/>
    <w:rsid w:val="00F6245D"/>
    <w:rsid w:val="00F62EFE"/>
    <w:rsid w:val="00F63526"/>
    <w:rsid w:val="00F65D5E"/>
    <w:rsid w:val="00F65EE9"/>
    <w:rsid w:val="00F66494"/>
    <w:rsid w:val="00F71784"/>
    <w:rsid w:val="00F72A9D"/>
    <w:rsid w:val="00F7507A"/>
    <w:rsid w:val="00F75608"/>
    <w:rsid w:val="00F76E23"/>
    <w:rsid w:val="00F77C60"/>
    <w:rsid w:val="00F80E99"/>
    <w:rsid w:val="00F81EE3"/>
    <w:rsid w:val="00F8526E"/>
    <w:rsid w:val="00F90A75"/>
    <w:rsid w:val="00F94D20"/>
    <w:rsid w:val="00F94E43"/>
    <w:rsid w:val="00F96F4D"/>
    <w:rsid w:val="00F97953"/>
    <w:rsid w:val="00FA1195"/>
    <w:rsid w:val="00FA4406"/>
    <w:rsid w:val="00FA46CE"/>
    <w:rsid w:val="00FA62CB"/>
    <w:rsid w:val="00FA6C8B"/>
    <w:rsid w:val="00FB04AE"/>
    <w:rsid w:val="00FB110B"/>
    <w:rsid w:val="00FB343F"/>
    <w:rsid w:val="00FB4601"/>
    <w:rsid w:val="00FB480A"/>
    <w:rsid w:val="00FB732F"/>
    <w:rsid w:val="00FB7AFA"/>
    <w:rsid w:val="00FC19EE"/>
    <w:rsid w:val="00FC27F9"/>
    <w:rsid w:val="00FC3FDD"/>
    <w:rsid w:val="00FC4488"/>
    <w:rsid w:val="00FC5A21"/>
    <w:rsid w:val="00FC7490"/>
    <w:rsid w:val="00FD2C65"/>
    <w:rsid w:val="00FD5C66"/>
    <w:rsid w:val="00FD76AA"/>
    <w:rsid w:val="00FE0025"/>
    <w:rsid w:val="00FE20E9"/>
    <w:rsid w:val="00FE32FD"/>
    <w:rsid w:val="00FE51DF"/>
    <w:rsid w:val="00FE6CB7"/>
    <w:rsid w:val="00FF02A0"/>
    <w:rsid w:val="00FF141A"/>
    <w:rsid w:val="00FF332A"/>
    <w:rsid w:val="00FF5813"/>
    <w:rsid w:val="01F14874"/>
    <w:rsid w:val="078609C8"/>
    <w:rsid w:val="0EF62B37"/>
    <w:rsid w:val="1DA75434"/>
    <w:rsid w:val="25347170"/>
    <w:rsid w:val="30DF5EF3"/>
    <w:rsid w:val="37456815"/>
    <w:rsid w:val="41813EF7"/>
    <w:rsid w:val="4EB945A5"/>
    <w:rsid w:val="51432148"/>
    <w:rsid w:val="52BC5E44"/>
    <w:rsid w:val="591830D9"/>
    <w:rsid w:val="72802162"/>
    <w:rsid w:val="7673353C"/>
    <w:rsid w:val="78CE5EA3"/>
    <w:rsid w:val="79951FA3"/>
    <w:rsid w:val="7DDB2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endarrow="open"/>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ocked="1"/>
    <w:lsdException w:qFormat="1"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iPriority="39" w:semiHidden="0" w:name="toc 2" w:locked="1"/>
    <w:lsdException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b/>
      <w:kern w:val="36"/>
      <w:sz w:val="48"/>
      <w:szCs w:val="20"/>
      <w:lang w:val="zh-CN"/>
    </w:rPr>
  </w:style>
  <w:style w:type="paragraph" w:styleId="3">
    <w:name w:val="heading 2"/>
    <w:basedOn w:val="1"/>
    <w:next w:val="1"/>
    <w:link w:val="42"/>
    <w:unhideWhenUsed/>
    <w:qFormat/>
    <w:locked/>
    <w:uiPriority w:val="0"/>
    <w:pPr>
      <w:keepNext/>
      <w:keepLines/>
      <w:spacing w:before="260" w:after="260" w:line="416" w:lineRule="auto"/>
      <w:outlineLvl w:val="1"/>
    </w:pPr>
    <w:rPr>
      <w:rFonts w:ascii="Cambria" w:hAnsi="Cambria"/>
      <w:b/>
      <w:bCs/>
      <w:sz w:val="32"/>
      <w:szCs w:val="32"/>
      <w:lang w:val="zh-CN"/>
    </w:rPr>
  </w:style>
  <w:style w:type="paragraph" w:styleId="4">
    <w:name w:val="heading 3"/>
    <w:basedOn w:val="1"/>
    <w:next w:val="1"/>
    <w:link w:val="51"/>
    <w:unhideWhenUsed/>
    <w:qFormat/>
    <w:locked/>
    <w:uiPriority w:val="9"/>
    <w:pPr>
      <w:keepNext/>
      <w:keepLines/>
      <w:spacing w:before="260" w:after="260" w:line="416" w:lineRule="auto"/>
      <w:outlineLvl w:val="2"/>
    </w:pPr>
    <w:rPr>
      <w:b/>
      <w:bCs/>
      <w:sz w:val="32"/>
      <w:szCs w:val="32"/>
    </w:rPr>
  </w:style>
  <w:style w:type="paragraph" w:styleId="5">
    <w:name w:val="heading 4"/>
    <w:basedOn w:val="1"/>
    <w:next w:val="1"/>
    <w:link w:val="49"/>
    <w:semiHidden/>
    <w:unhideWhenUsed/>
    <w:qFormat/>
    <w:locked/>
    <w:uiPriority w:val="0"/>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44"/>
    <w:unhideWhenUsed/>
    <w:qFormat/>
    <w:uiPriority w:val="99"/>
    <w:rPr>
      <w:sz w:val="20"/>
      <w:szCs w:val="20"/>
      <w:lang w:val="zh-CN"/>
    </w:rPr>
  </w:style>
  <w:style w:type="paragraph" w:styleId="7">
    <w:name w:val="toc 3"/>
    <w:basedOn w:val="1"/>
    <w:next w:val="1"/>
    <w:locked/>
    <w:uiPriority w:val="39"/>
    <w:pPr>
      <w:ind w:left="840" w:leftChars="400"/>
    </w:pPr>
  </w:style>
  <w:style w:type="paragraph" w:styleId="8">
    <w:name w:val="Balloon Text"/>
    <w:basedOn w:val="1"/>
    <w:link w:val="23"/>
    <w:semiHidden/>
    <w:qFormat/>
    <w:uiPriority w:val="99"/>
    <w:rPr>
      <w:kern w:val="0"/>
      <w:sz w:val="18"/>
      <w:szCs w:val="20"/>
      <w:lang w:val="zh-CN"/>
    </w:rPr>
  </w:style>
  <w:style w:type="paragraph" w:styleId="9">
    <w:name w:val="footer"/>
    <w:basedOn w:val="1"/>
    <w:link w:val="25"/>
    <w:qFormat/>
    <w:uiPriority w:val="99"/>
    <w:pPr>
      <w:tabs>
        <w:tab w:val="center" w:pos="4153"/>
        <w:tab w:val="right" w:pos="8306"/>
      </w:tabs>
      <w:snapToGrid w:val="0"/>
      <w:jc w:val="left"/>
    </w:pPr>
    <w:rPr>
      <w:kern w:val="0"/>
      <w:sz w:val="18"/>
      <w:szCs w:val="20"/>
      <w:lang w:val="zh-CN"/>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kern w:val="0"/>
      <w:sz w:val="18"/>
      <w:szCs w:val="20"/>
      <w:lang w:val="zh-CN"/>
    </w:rPr>
  </w:style>
  <w:style w:type="paragraph" w:styleId="11">
    <w:name w:val="toc 1"/>
    <w:basedOn w:val="1"/>
    <w:next w:val="1"/>
    <w:qFormat/>
    <w:locked/>
    <w:uiPriority w:val="39"/>
  </w:style>
  <w:style w:type="paragraph" w:styleId="12">
    <w:name w:val="Body Text Indent 3"/>
    <w:basedOn w:val="1"/>
    <w:link w:val="27"/>
    <w:qFormat/>
    <w:uiPriority w:val="99"/>
    <w:pPr>
      <w:tabs>
        <w:tab w:val="left" w:pos="900"/>
      </w:tabs>
      <w:ind w:right="288" w:rightChars="137" w:firstLine="900"/>
      <w:jc w:val="center"/>
    </w:pPr>
    <w:rPr>
      <w:rFonts w:ascii="Times New Roman" w:hAnsi="Times New Roman"/>
      <w:b/>
      <w:kern w:val="0"/>
      <w:sz w:val="24"/>
      <w:szCs w:val="20"/>
      <w:lang w:val="zh-CN"/>
    </w:rPr>
  </w:style>
  <w:style w:type="paragraph" w:styleId="13">
    <w:name w:val="toc 2"/>
    <w:basedOn w:val="1"/>
    <w:next w:val="1"/>
    <w:unhideWhenUsed/>
    <w:qFormat/>
    <w:locked/>
    <w:uiPriority w:val="39"/>
    <w:pPr>
      <w:spacing w:line="360" w:lineRule="auto"/>
      <w:ind w:left="420" w:leftChars="200" w:firstLine="200" w:firstLineChars="200"/>
    </w:pPr>
    <w:rPr>
      <w:rFonts w:ascii="Times New Roman" w:hAnsi="Times New Roman"/>
      <w:sz w:val="24"/>
    </w:rPr>
  </w:style>
  <w:style w:type="paragraph" w:styleId="14">
    <w:name w:val="annotation subject"/>
    <w:basedOn w:val="6"/>
    <w:next w:val="6"/>
    <w:link w:val="45"/>
    <w:semiHidden/>
    <w:unhideWhenUsed/>
    <w:qFormat/>
    <w:uiPriority w:val="99"/>
    <w:rPr>
      <w:b/>
      <w:bCs/>
    </w:rPr>
  </w:style>
  <w:style w:type="table" w:styleId="16">
    <w:name w:val="Table Grid"/>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page number"/>
    <w:qFormat/>
    <w:uiPriority w:val="0"/>
  </w:style>
  <w:style w:type="character" w:styleId="19">
    <w:name w:val="FollowedHyperlink"/>
    <w:basedOn w:val="17"/>
    <w:semiHidden/>
    <w:unhideWhenUsed/>
    <w:qFormat/>
    <w:uiPriority w:val="99"/>
    <w:rPr>
      <w:color w:val="954F72" w:themeColor="followedHyperlink"/>
      <w:u w:val="single"/>
      <w14:textFill>
        <w14:solidFill>
          <w14:schemeClr w14:val="folHlink"/>
        </w14:solidFill>
      </w14:textFill>
    </w:rPr>
  </w:style>
  <w:style w:type="character" w:styleId="20">
    <w:name w:val="Hyperlink"/>
    <w:qFormat/>
    <w:uiPriority w:val="99"/>
    <w:rPr>
      <w:rFonts w:cs="Times New Roman"/>
      <w:color w:val="0000FF"/>
      <w:u w:val="single"/>
    </w:rPr>
  </w:style>
  <w:style w:type="character" w:styleId="21">
    <w:name w:val="annotation reference"/>
    <w:unhideWhenUsed/>
    <w:qFormat/>
    <w:uiPriority w:val="99"/>
    <w:rPr>
      <w:sz w:val="16"/>
      <w:szCs w:val="16"/>
    </w:rPr>
  </w:style>
  <w:style w:type="character" w:customStyle="1" w:styleId="22">
    <w:name w:val="标题 1 Char"/>
    <w:link w:val="2"/>
    <w:qFormat/>
    <w:locked/>
    <w:uiPriority w:val="9"/>
    <w:rPr>
      <w:rFonts w:ascii="宋体" w:hAnsi="宋体" w:eastAsia="宋体" w:cs="Times New Roman"/>
      <w:b/>
      <w:kern w:val="36"/>
      <w:sz w:val="48"/>
    </w:rPr>
  </w:style>
  <w:style w:type="character" w:customStyle="1" w:styleId="23">
    <w:name w:val="批注框文本 Char"/>
    <w:link w:val="8"/>
    <w:semiHidden/>
    <w:locked/>
    <w:uiPriority w:val="99"/>
    <w:rPr>
      <w:rFonts w:cs="Times New Roman"/>
      <w:sz w:val="18"/>
    </w:rPr>
  </w:style>
  <w:style w:type="character" w:styleId="24">
    <w:name w:val="Placeholder Text"/>
    <w:semiHidden/>
    <w:qFormat/>
    <w:uiPriority w:val="99"/>
    <w:rPr>
      <w:rFonts w:cs="Times New Roman"/>
      <w:color w:val="808080"/>
    </w:rPr>
  </w:style>
  <w:style w:type="character" w:customStyle="1" w:styleId="25">
    <w:name w:val="页脚 Char"/>
    <w:link w:val="9"/>
    <w:qFormat/>
    <w:locked/>
    <w:uiPriority w:val="99"/>
    <w:rPr>
      <w:rFonts w:cs="Times New Roman"/>
      <w:sz w:val="18"/>
    </w:rPr>
  </w:style>
  <w:style w:type="character" w:customStyle="1" w:styleId="26">
    <w:name w:val="页眉 Char"/>
    <w:link w:val="10"/>
    <w:locked/>
    <w:uiPriority w:val="99"/>
    <w:rPr>
      <w:rFonts w:cs="Times New Roman"/>
      <w:sz w:val="18"/>
    </w:rPr>
  </w:style>
  <w:style w:type="character" w:customStyle="1" w:styleId="27">
    <w:name w:val="正文文本缩进 3 Char"/>
    <w:link w:val="12"/>
    <w:qFormat/>
    <w:locked/>
    <w:uiPriority w:val="99"/>
    <w:rPr>
      <w:rFonts w:ascii="Times New Roman" w:hAnsi="Times New Roman" w:eastAsia="宋体" w:cs="Times New Roman"/>
      <w:b/>
      <w:sz w:val="24"/>
    </w:rPr>
  </w:style>
  <w:style w:type="character" w:customStyle="1" w:styleId="28">
    <w:name w:val="发布"/>
    <w:qFormat/>
    <w:uiPriority w:val="99"/>
    <w:rPr>
      <w:rFonts w:ascii="黑体" w:eastAsia="黑体"/>
      <w:spacing w:val="22"/>
      <w:w w:val="100"/>
      <w:position w:val="3"/>
      <w:sz w:val="28"/>
    </w:rPr>
  </w:style>
  <w:style w:type="paragraph" w:customStyle="1" w:styleId="29">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0">
    <w:name w:val="发布部门"/>
    <w:next w:val="1"/>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1">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32">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3">
    <w:name w:val="实施日期"/>
    <w:basedOn w:val="34"/>
    <w:qFormat/>
    <w:uiPriority w:val="99"/>
    <w:pPr>
      <w:framePr w:hSpace="0" w:xAlign="right"/>
      <w:jc w:val="right"/>
    </w:pPr>
  </w:style>
  <w:style w:type="paragraph" w:customStyle="1" w:styleId="34">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styleId="35">
    <w:name w:val="List Paragraph"/>
    <w:basedOn w:val="1"/>
    <w:qFormat/>
    <w:uiPriority w:val="99"/>
    <w:pPr>
      <w:ind w:firstLine="420" w:firstLineChars="200"/>
    </w:pPr>
  </w:style>
  <w:style w:type="paragraph" w:customStyle="1" w:styleId="36">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37">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8">
    <w:name w:val="TOC Heading1"/>
    <w:basedOn w:val="2"/>
    <w:next w:val="1"/>
    <w:qFormat/>
    <w:uiPriority w:val="99"/>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39">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40">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41">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character" w:customStyle="1" w:styleId="42">
    <w:name w:val="标题 2 Char"/>
    <w:link w:val="3"/>
    <w:semiHidden/>
    <w:qFormat/>
    <w:uiPriority w:val="0"/>
    <w:rPr>
      <w:rFonts w:ascii="Cambria" w:hAnsi="Cambria" w:eastAsia="宋体" w:cs="Times New Roman"/>
      <w:b/>
      <w:bCs/>
      <w:kern w:val="2"/>
      <w:sz w:val="32"/>
      <w:szCs w:val="32"/>
    </w:rPr>
  </w:style>
  <w:style w:type="paragraph" w:customStyle="1" w:styleId="43">
    <w:name w:val="Char Char Char Char"/>
    <w:basedOn w:val="1"/>
    <w:uiPriority w:val="0"/>
    <w:pPr>
      <w:widowControl/>
      <w:spacing w:after="160" w:line="240" w:lineRule="exact"/>
      <w:jc w:val="left"/>
    </w:pPr>
    <w:rPr>
      <w:rFonts w:ascii="Times New Roman" w:hAnsi="Times New Roman"/>
      <w:szCs w:val="20"/>
    </w:rPr>
  </w:style>
  <w:style w:type="character" w:customStyle="1" w:styleId="44">
    <w:name w:val="批注文字 Char"/>
    <w:link w:val="6"/>
    <w:qFormat/>
    <w:uiPriority w:val="0"/>
    <w:rPr>
      <w:kern w:val="2"/>
    </w:rPr>
  </w:style>
  <w:style w:type="character" w:customStyle="1" w:styleId="45">
    <w:name w:val="批注主题 Char"/>
    <w:link w:val="14"/>
    <w:semiHidden/>
    <w:uiPriority w:val="99"/>
    <w:rPr>
      <w:b/>
      <w:bCs/>
      <w:kern w:val="2"/>
    </w:rPr>
  </w:style>
  <w:style w:type="paragraph" w:customStyle="1" w:styleId="4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7">
    <w:name w:val="Bullet Point List"/>
    <w:basedOn w:val="1"/>
    <w:qFormat/>
    <w:uiPriority w:val="0"/>
    <w:pPr>
      <w:widowControl/>
      <w:numPr>
        <w:ilvl w:val="0"/>
        <w:numId w:val="1"/>
      </w:numPr>
      <w:spacing w:after="200" w:line="276" w:lineRule="auto"/>
      <w:ind w:firstLine="0"/>
      <w:contextualSpacing/>
    </w:pPr>
    <w:rPr>
      <w:rFonts w:ascii="Times New Roman" w:hAnsi="Times New Roman" w:eastAsia="MS PGothic"/>
      <w:kern w:val="0"/>
      <w:sz w:val="24"/>
      <w:lang w:eastAsia="ja-JP"/>
    </w:rPr>
  </w:style>
  <w:style w:type="table" w:customStyle="1" w:styleId="48">
    <w:name w:val="网格表 1 浅色1"/>
    <w:basedOn w:val="15"/>
    <w:qFormat/>
    <w:uiPriority w:val="46"/>
    <w:rPr>
      <w:rFonts w:ascii="Times New Roman" w:hAnsi="Times New Roman"/>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character" w:customStyle="1" w:styleId="49">
    <w:name w:val="标题 4 Char"/>
    <w:link w:val="5"/>
    <w:qFormat/>
    <w:uiPriority w:val="9"/>
    <w:rPr>
      <w:rFonts w:ascii="Cambria" w:hAnsi="Cambria" w:eastAsia="宋体" w:cs="Times New Roman"/>
      <w:b/>
      <w:bCs/>
      <w:kern w:val="2"/>
      <w:sz w:val="28"/>
      <w:szCs w:val="28"/>
    </w:rPr>
  </w:style>
  <w:style w:type="character" w:customStyle="1" w:styleId="50">
    <w:name w:val="fontstyle21"/>
    <w:qFormat/>
    <w:uiPriority w:val="0"/>
    <w:rPr>
      <w:rFonts w:hint="eastAsia" w:ascii="宋体" w:hAnsi="宋体" w:eastAsia="宋体"/>
      <w:color w:val="000000"/>
      <w:sz w:val="22"/>
      <w:szCs w:val="22"/>
    </w:rPr>
  </w:style>
  <w:style w:type="character" w:customStyle="1" w:styleId="51">
    <w:name w:val="标题 3 Char"/>
    <w:link w:val="4"/>
    <w:qFormat/>
    <w:uiPriority w:val="9"/>
    <w:rPr>
      <w:b/>
      <w:bCs/>
      <w:kern w:val="2"/>
      <w:sz w:val="32"/>
      <w:szCs w:val="32"/>
    </w:rPr>
  </w:style>
  <w:style w:type="paragraph" w:customStyle="1" w:styleId="52">
    <w:name w:val="TOC 标题1"/>
    <w:basedOn w:val="2"/>
    <w:next w:val="1"/>
    <w:unhideWhenUsed/>
    <w:qFormat/>
    <w:uiPriority w:val="39"/>
    <w:pPr>
      <w:keepNext/>
      <w:keepLines/>
      <w:spacing w:before="240" w:beforeAutospacing="0" w:after="0" w:afterAutospacing="0" w:line="259" w:lineRule="auto"/>
      <w:outlineLvl w:val="9"/>
    </w:pPr>
    <w:rPr>
      <w:rFonts w:ascii="Calibri Light" w:hAnsi="Calibri Light"/>
      <w:b w:val="0"/>
      <w:color w:val="2E74B5"/>
      <w:kern w:val="0"/>
      <w:sz w:val="32"/>
      <w:szCs w:val="32"/>
      <w:lang w:val="en-US"/>
    </w:rPr>
  </w:style>
  <w:style w:type="paragraph" w:customStyle="1" w:styleId="5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4">
    <w:name w:val="目次、标准名称标题"/>
    <w:basedOn w:val="1"/>
    <w:next w:val="1"/>
    <w:uiPriority w:val="99"/>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55">
    <w:name w:val="章标题"/>
    <w:next w:val="1"/>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6">
    <w:name w:val="段"/>
    <w:link w:val="5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57">
    <w:name w:val="段 Char"/>
    <w:link w:val="56"/>
    <w:qFormat/>
    <w:uiPriority w:val="0"/>
    <w:rPr>
      <w:rFonts w:ascii="宋体" w:hAnsi="Times New Roman"/>
      <w:sz w:val="21"/>
    </w:rPr>
  </w:style>
  <w:style w:type="character" w:customStyle="1" w:styleId="58">
    <w:name w:val="批注文字 字符"/>
    <w:semiHidden/>
    <w:qFormat/>
    <w:uiPriority w:val="99"/>
    <w:rPr>
      <w:rFonts w:ascii="Times New Roman" w:hAnsi="Times New Roman" w:eastAsia="宋体"/>
      <w:sz w:val="24"/>
    </w:rPr>
  </w:style>
  <w:style w:type="paragraph" w:customStyle="1" w:styleId="59">
    <w:name w:val="列项●（二级）"/>
    <w:qFormat/>
    <w:uiPriority w:val="0"/>
    <w:pPr>
      <w:tabs>
        <w:tab w:val="left" w:pos="760"/>
        <w:tab w:val="left" w:pos="840"/>
      </w:tabs>
      <w:jc w:val="both"/>
    </w:pPr>
    <w:rPr>
      <w:rFonts w:ascii="宋体" w:hAnsi="Times New Roman" w:eastAsia="宋体" w:cs="Times New Roman"/>
      <w:sz w:val="21"/>
      <w:lang w:val="en-US" w:eastAsia="zh-CN" w:bidi="ar-SA"/>
    </w:rPr>
  </w:style>
  <w:style w:type="paragraph" w:customStyle="1" w:styleId="60">
    <w:name w:val="附录章标题"/>
    <w:next w:val="56"/>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1">
    <w:name w:val="修订1"/>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1.emf"/><Relationship Id="rId21" Type="http://schemas.openxmlformats.org/officeDocument/2006/relationships/oleObject" Target="embeddings/oleObject3.bin"/><Relationship Id="rId20" Type="http://schemas.openxmlformats.org/officeDocument/2006/relationships/image" Target="media/image10.e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9.emf"/><Relationship Id="rId17" Type="http://schemas.openxmlformats.org/officeDocument/2006/relationships/image" Target="media/image8.emf"/><Relationship Id="rId16" Type="http://schemas.openxmlformats.org/officeDocument/2006/relationships/image" Target="media/image7.emf"/><Relationship Id="rId15" Type="http://schemas.openxmlformats.org/officeDocument/2006/relationships/image" Target="media/image6.emf"/><Relationship Id="rId14" Type="http://schemas.openxmlformats.org/officeDocument/2006/relationships/image" Target="media/image5.emf"/><Relationship Id="rId13" Type="http://schemas.openxmlformats.org/officeDocument/2006/relationships/image" Target="media/image4.emf"/><Relationship Id="rId12" Type="http://schemas.openxmlformats.org/officeDocument/2006/relationships/image" Target="media/image3.emf"/><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61850A-0007-4FC1-A28B-51C910E80A9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2182</Words>
  <Characters>12440</Characters>
  <Lines>103</Lines>
  <Paragraphs>29</Paragraphs>
  <TotalTime>208</TotalTime>
  <ScaleCrop>false</ScaleCrop>
  <LinksUpToDate>false</LinksUpToDate>
  <CharactersWithSpaces>14593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2020-09-25T01:20:00Z</dcterms:created>
  <dc:creator>dwh</dc:creator>
  <cp:lastModifiedBy>CathayMok</cp:lastModifiedBy>
  <cp:lastPrinted>2020-10-08T08:35:00Z</cp:lastPrinted>
  <dcterms:modified xsi:type="dcterms:W3CDTF">2020-10-12T02:35:46Z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