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framePr/>
      </w:pPr>
      <w:bookmarkStart w:id="18" w:name="_GoBack"/>
      <w:bookmarkEnd w:id="18"/>
      <w:r>
        <w:rPr>
          <w:rFonts w:ascii="Times New Roman"/>
        </w:rPr>
        <w:t>ICS</w:t>
      </w:r>
      <w:r>
        <w:t> </w:t>
      </w:r>
      <w:r>
        <w:rPr>
          <w:rFonts w:hint="eastAsia"/>
        </w:rPr>
        <w:t>77.040</w:t>
      </w:r>
    </w:p>
    <w:p>
      <w:pPr>
        <w:pStyle w:val="41"/>
        <w:framePr/>
      </w:pPr>
      <w:r>
        <w:rPr>
          <w:rFonts w:hint="eastAsia"/>
        </w:rPr>
        <w:t>H17</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41"/>
              <w:framePr/>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ri/s1QAAAAcBAAAPAAAAAAAAAAEAIAAAACIAAABkcnMvZG93bnJl&#10;di54bWxQSwECFAAUAAAACACHTuJABeQ0JI4BAAAWAwAADgAAAAAAAAABACAAAAAkAQAAZHJzL2Uy&#10;b0RvYy54bWxQSwUGAAAAAAYABgBZAQAAJAUAAAAA&#10;">
                      <v:fill on="t" focussize="0,0"/>
                      <v:stroke on="f"/>
                      <v:imagedata o:title=""/>
                      <o:lock v:ext="edit" aspectratio="f"/>
                      <v:textbox>
                        <w:txbxContent>
                          <w:p/>
                        </w:txbxContent>
                      </v:textbox>
                    </v:rect>
                  </w:pict>
                </mc:Fallback>
              </mc:AlternateContent>
            </w:r>
          </w:p>
        </w:tc>
      </w:tr>
    </w:tbl>
    <w:p>
      <w:pPr>
        <w:pStyle w:val="31"/>
        <w:framePr w:w="5892" w:h="1523" w:hRule="exact" w:vAnchor="page" w:hAnchor="page" w:x="4996" w:y="816"/>
      </w:pPr>
      <w:r>
        <w:t>YS</w:t>
      </w:r>
    </w:p>
    <w:p>
      <w:pPr>
        <w:pStyle w:val="38"/>
        <w:framePr/>
      </w:pPr>
      <w:r>
        <w:rPr>
          <w:rFonts w:hint="eastAsia"/>
        </w:rPr>
        <w:t>中华人民共和国有色金属行业标准</w:t>
      </w:r>
    </w:p>
    <w:p>
      <w:pPr>
        <w:pStyle w:val="21"/>
        <w:framePr/>
        <w:wordWrap w:val="0"/>
      </w:pPr>
      <w:r>
        <w:rPr>
          <w:rFonts w:ascii="Times New Roman"/>
        </w:rPr>
        <w:t>YS/T</w:t>
      </w:r>
      <w:r>
        <w:rPr>
          <w:rFonts w:hint="eastAsia" w:ascii="Times New Roman"/>
        </w:rPr>
        <w:t xml:space="preserve"> </w:t>
      </w:r>
      <w:r>
        <w:rPr>
          <w:rFonts w:hint="eastAsia" w:hAnsi="黑体"/>
        </w:rPr>
        <w:t>XXXX-</w:t>
      </w:r>
      <w:r>
        <w:rPr>
          <w:rFonts w:hAnsi="黑体"/>
        </w:rPr>
        <w:t>XXXX</w:t>
      </w:r>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33"/>
              <w:framePr/>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5g8svWAAAACAEAAA8AAAAAAAAAAQAgAAAAIgAAAGRycy9kb3ducmV2Lnht&#10;bFBLAQIUABQAAAAIAIdO4kAiMooUiQEAABYDAAAOAAAAAAAAAAEAIAAAACUBAABkcnMvZTJvRG9j&#10;LnhtbFBLBQYAAAAABgAGAFkBAAAgBQAAAAA=&#10;">
                      <v:fill on="t" focussize="0,0"/>
                      <v:stroke on="f"/>
                      <v:imagedata o:title=""/>
                      <o:lock v:ext="edit" aspectratio="f"/>
                      <v:textbox>
                        <w:txbxContent>
                          <w:p/>
                        </w:txbxContent>
                      </v:textbox>
                    </v:rect>
                  </w:pict>
                </mc:Fallback>
              </mc:AlternateContent>
            </w:r>
          </w:p>
        </w:tc>
      </w:tr>
    </w:tbl>
    <w:p>
      <w:pPr>
        <w:pStyle w:val="21"/>
        <w:framePr/>
      </w:pPr>
    </w:p>
    <w:p>
      <w:pPr>
        <w:pStyle w:val="21"/>
        <w:framePr/>
      </w:pPr>
    </w:p>
    <w:p>
      <w:pPr>
        <w:pStyle w:val="34"/>
        <w:framePr/>
      </w:pPr>
      <w:r>
        <w:rPr>
          <w:rFonts w:hint="eastAsia"/>
        </w:rPr>
        <w:t>六氯乙硅烷组分含量的测定  气相色谱法</w:t>
      </w: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6"/>
              <w:framePr/>
              <w:rPr>
                <w:rFonts w:ascii="黑体" w:hAnsi="黑体" w:eastAsia="黑体"/>
              </w:rPr>
            </w:pPr>
            <w:r>
              <w:rPr>
                <w:rFonts w:ascii="Times New Roman" w:eastAsia="黑体"/>
                <w:szCs w:val="21"/>
              </w:rPr>
              <w:t xml:space="preserve">Determination of component content of </w:t>
            </w:r>
            <w:r>
              <w:rPr>
                <w:rFonts w:hint="eastAsia" w:ascii="Times New Roman" w:eastAsia="黑体"/>
                <w:szCs w:val="21"/>
              </w:rPr>
              <w:t>h</w:t>
            </w:r>
            <w:r>
              <w:rPr>
                <w:rFonts w:ascii="Times New Roman" w:eastAsia="黑体"/>
                <w:szCs w:val="21"/>
              </w:rPr>
              <w:t>exachlorodisilane</w:t>
            </w:r>
            <w:r>
              <w:rPr>
                <w:rFonts w:hint="eastAsia" w:ascii="Times New Roman" w:eastAsia="黑体"/>
                <w:szCs w:val="21"/>
              </w:rPr>
              <w:t>—G</w:t>
            </w:r>
            <w:r>
              <w:rPr>
                <w:rFonts w:ascii="Times New Roman" w:eastAsia="黑体"/>
                <w:szCs w:val="21"/>
              </w:rPr>
              <w:t xml:space="preserve">as </w:t>
            </w:r>
            <w:r>
              <w:rPr>
                <w:rFonts w:hint="eastAsia" w:ascii="Times New Roman" w:eastAsia="黑体"/>
                <w:szCs w:val="21"/>
              </w:rPr>
              <w:t>c</w:t>
            </w:r>
            <w:r>
              <w:rPr>
                <w:rFonts w:ascii="Times New Roman" w:eastAsia="黑体"/>
                <w:szCs w:val="21"/>
              </w:rPr>
              <w:t>hromatography</w:t>
            </w:r>
            <w:r>
              <w:rPr>
                <w:rFonts w:ascii="黑体" w:hAnsi="黑体" w:eastAsia="黑体"/>
                <w:szCs w:val="21"/>
              </w:rPr>
              <w:t xml:space="preserve"> </w:t>
            </w:r>
            <w:r>
              <w:rPr>
                <w:rFonts w:ascii="黑体" w:hAnsi="黑体" w:eastAsia="黑体"/>
                <w:sz w:val="21"/>
                <w:szCs w:val="21"/>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BYmuktUAAAAKAQAADwAAAAAAAAABACAAAAAiAAAAZHJzL2Rvd25yZXYueG1s&#10;UEsBAhQAFAAAAAgAh07iQH9igpaJAQAAFgMAAA4AAAAAAAAAAQAgAAAAJAEAAGRycy9lMm9Eb2Mu&#10;eG1sUEsFBgAAAAAGAAYAWQEAAB8FAAAAAA==&#10;">
                      <v:fill on="t" focussize="0,0"/>
                      <v:stroke on="f"/>
                      <v:imagedata o:title=""/>
                      <o:lock v:ext="edit" aspectratio="f"/>
                      <v:textbox>
                        <w:txbxContent>
                          <w:p/>
                        </w:txbxContent>
                      </v:textbox>
                      <w10:anchorlock/>
                    </v:rect>
                  </w:pict>
                </mc:Fallback>
              </mc:AlternateContent>
            </w:r>
            <w:r>
              <w:rPr>
                <w:rFonts w:ascii="黑体" w:hAnsi="黑体" w:eastAsia="黑体"/>
                <w:sz w:val="21"/>
                <w:szCs w:val="21"/>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D4Yvl1gAAAAkBAAAPAAAAAAAAAAEAIAAAACIAAABkcnMvZG93bnJldi54&#10;bWxQSwECFAAUAAAACACHTuJAP6uvvIoBAAAWAwAADgAAAAAAAAABACAAAAAlAQAAZHJzL2Uyb0Rv&#10;Yy54bWxQSwUGAAAAAAYABgBZAQAAIQU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37"/>
              <w:framePr/>
              <w:rPr>
                <w:sz w:val="24"/>
                <w:szCs w:val="24"/>
              </w:rPr>
            </w:pPr>
            <w:r>
              <w:rPr>
                <w:rFonts w:hint="eastAsia"/>
                <w:sz w:val="24"/>
                <w:szCs w:val="24"/>
              </w:rPr>
              <w:t>(送审稿)</w:t>
            </w:r>
          </w:p>
        </w:tc>
      </w:tr>
    </w:tbl>
    <w:p>
      <w:pPr>
        <w:pStyle w:val="45"/>
        <w:framePr/>
        <w:numPr>
          <w:ilvl w:val="0"/>
          <w:numId w:val="0"/>
        </w:num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6"/>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CBTJDDywEAAI0DAAAOAAAAAAAAAAEAIAAAACUBAABk&#10;cnMvZTJvRG9jLnhtbFBLBQYAAAAABgAGAFkBAABiBQAAAAA=&#10;">
                <v:fill on="f" focussize="0,0"/>
                <v:stroke color="#000000" joinstyle="round"/>
                <v:imagedata o:title=""/>
                <o:lock v:ext="edit" aspectratio="f"/>
                <w10:anchorlock/>
              </v:line>
            </w:pict>
          </mc:Fallback>
        </mc:AlternateContent>
      </w:r>
    </w:p>
    <w:p>
      <w:pPr>
        <w:pStyle w:val="46"/>
        <w:framePr/>
      </w:pPr>
      <w:r>
        <w:rPr>
          <w:rFonts w:hint="eastAsia" w:ascii="黑体"/>
        </w:rPr>
        <w:t>XXXX</w:t>
      </w:r>
      <w:r>
        <w:rPr>
          <w:rFonts w:ascii="黑体"/>
        </w:rPr>
        <w:t>-</w:t>
      </w:r>
      <w:r>
        <w:t xml:space="preserve"> </w:t>
      </w:r>
      <w:r>
        <w:rPr>
          <w:rFonts w:hint="eastAsia" w:ascii="黑体"/>
        </w:rPr>
        <w:t>XX</w:t>
      </w:r>
      <w:r>
        <w:rPr>
          <w:rFonts w:ascii="黑体"/>
        </w:rPr>
        <w:t>-</w:t>
      </w:r>
      <w:r>
        <w:rPr>
          <w:rFonts w:hint="eastAsia" w:ascii="黑体"/>
        </w:rPr>
        <w:t>XX</w:t>
      </w:r>
      <w:r>
        <w:rPr>
          <w:rFonts w:hint="eastAsia"/>
        </w:rPr>
        <w:t>实施</w:t>
      </w:r>
    </w:p>
    <w:p>
      <w:pPr>
        <w:pStyle w:val="39"/>
        <w:framePr w:w="6460" w:h="600" w:hRule="exact" w:x="2589" w:y="15093"/>
      </w:pPr>
      <w:r>
        <w:rPr>
          <w:rFonts w:hint="eastAsia"/>
        </w:rPr>
        <w:t>中华人民共和国工业和信息化部</w:t>
      </w:r>
    </w:p>
    <w:p>
      <w:pPr>
        <w:pStyle w:val="14"/>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9104630</wp:posOffset>
                </wp:positionV>
                <wp:extent cx="611505" cy="457200"/>
                <wp:effectExtent l="4445" t="4445" r="8890" b="10795"/>
                <wp:wrapNone/>
                <wp:docPr id="7" name="文本框 7"/>
                <wp:cNvGraphicFramePr/>
                <a:graphic xmlns:a="http://schemas.openxmlformats.org/drawingml/2006/main">
                  <a:graphicData uri="http://schemas.microsoft.com/office/word/2010/wordprocessingShape">
                    <wps:wsp>
                      <wps:cNvSpPr txBox="1"/>
                      <wps:spPr>
                        <a:xfrm>
                          <a:off x="0" y="0"/>
                          <a:ext cx="611505" cy="4572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upright="1"/>
                    </wps:wsp>
                  </a:graphicData>
                </a:graphic>
              </wp:anchor>
            </w:drawing>
          </mc:Choice>
          <mc:Fallback>
            <w:pict>
              <v:shape id="_x0000_s1026" o:spid="_x0000_s1026" o:spt="202" type="#_x0000_t202" style="position:absolute;left:0pt;margin-left:378.45pt;margin-top:716.9pt;height:36pt;width:48.15pt;z-index:251666432;mso-width-relative:page;mso-height-relative:page;" fillcolor="#FFFFFF" filled="t" stroked="t" coordsize="21600,21600" o:gfxdata="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xizfvbAAAADQEAAA8AAAAAAAAAAQAgAAAAIgAAAGRycy9kb3ducmV2LnhtbFBLAQIUABQAAAAI&#10;AIdO4kBqoW5u6gEAAOcDAAAOAAAAAAAAAAEAIAAAACoBAABkcnMvZTJvRG9jLnhtbFBLBQYAAAAA&#10;BgAGAFkBAACGBQAAAAA=&#10;">
                <v:fill on="t" focussize="0,0"/>
                <v:stroke color="#FFFFFF"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8"/>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OxoHerMAQAAjQMAAA4AAAAAAAAAAQAgAAAAJgEA&#10;AGRycy9lMm9Eb2MueG1sUEsFBgAAAAAGAAYAWQEAAGQFAAAAAA==&#10;">
                <v:fill on="f" focussize="0,0"/>
                <v:stroke color="#000000" joinstyle="round"/>
                <v:imagedata o:title=""/>
                <o:lock v:ext="edit" aspectratio="f"/>
              </v:line>
            </w:pict>
          </mc:Fallback>
        </mc:AlternateContent>
      </w:r>
    </w:p>
    <w:p>
      <w:pPr>
        <w:pStyle w:val="40"/>
      </w:pPr>
      <w:r>
        <w:rPr>
          <w:rFonts w:hint="eastAsia"/>
        </w:rPr>
        <w:t>前</w:t>
      </w:r>
      <w:bookmarkStart w:id="0" w:name="BKQY"/>
      <w:r>
        <w:t>  </w:t>
      </w:r>
      <w:r>
        <w:rPr>
          <w:rFonts w:hint="eastAsia"/>
        </w:rPr>
        <w:t>言</w:t>
      </w:r>
      <w:bookmarkEnd w:id="0"/>
    </w:p>
    <w:p>
      <w:pPr>
        <w:ind w:firstLine="420" w:firstLineChars="200"/>
        <w:rPr>
          <w:rFonts w:ascii="宋体"/>
        </w:rPr>
      </w:pPr>
      <w:r>
        <w:rPr>
          <w:rFonts w:hint="eastAsia" w:ascii="宋体"/>
        </w:rPr>
        <w:t>本文件按照GB/T 1.1-2009给出的规则起草。</w:t>
      </w:r>
    </w:p>
    <w:p>
      <w:pPr>
        <w:ind w:firstLine="420"/>
      </w:pPr>
      <w:r>
        <w:rPr>
          <w:rFonts w:hint="eastAsia"/>
        </w:rPr>
        <w:t>本文件由全国有色金属标准化技术委员会</w:t>
      </w:r>
      <w:r>
        <w:rPr>
          <w:rFonts w:hint="eastAsia" w:ascii="宋体" w:hAnsi="宋体"/>
        </w:rPr>
        <w:t>（SAC/TC243）、全国半导体设备和材料标准化技术委员会材料分技术委员会（SAC/TC203/SC2）提出并归口。</w:t>
      </w:r>
    </w:p>
    <w:p>
      <w:pPr>
        <w:ind w:firstLine="420"/>
      </w:pPr>
      <w:r>
        <w:rPr>
          <w:rFonts w:hint="eastAsia"/>
        </w:rPr>
        <w:t>本文件起草单位：洛阳中硅高科技有限公司、</w:t>
      </w:r>
    </w:p>
    <w:p>
      <w:pPr>
        <w:pStyle w:val="47"/>
      </w:pPr>
      <w:r>
        <w:rPr>
          <w:rFonts w:hint="eastAsia"/>
        </w:rPr>
        <w:t>本文件主要起草人：</w:t>
      </w:r>
    </w:p>
    <w:p>
      <w:pPr>
        <w:tabs>
          <w:tab w:val="left" w:pos="854"/>
        </w:tabs>
        <w:ind w:left="840" w:hanging="420"/>
        <w:rPr>
          <w:rFonts w:ascii="宋体"/>
          <w:kern w:val="0"/>
          <w:szCs w:val="20"/>
        </w:rPr>
      </w:pPr>
    </w:p>
    <w:p>
      <w:pPr>
        <w:pStyle w:val="14"/>
      </w:pPr>
    </w:p>
    <w:p>
      <w:pPr>
        <w:pStyle w:val="1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22"/>
      </w:pPr>
      <w:r>
        <w:rPr>
          <w:rFonts w:hint="eastAsia"/>
        </w:rPr>
        <w:t>六氯乙硅烷组分含量的测定 气相色谱法</w:t>
      </w:r>
    </w:p>
    <w:p>
      <w:pPr>
        <w:widowControl/>
        <w:autoSpaceDE w:val="0"/>
        <w:autoSpaceDN w:val="0"/>
        <w:ind w:firstLine="420" w:firstLineChars="200"/>
        <w:rPr>
          <w:bCs/>
        </w:rPr>
      </w:pPr>
      <w:r>
        <w:rPr>
          <w:rFonts w:hint="eastAsia" w:ascii="黑体" w:eastAsia="黑体"/>
          <w:bCs/>
          <w:color w:val="000000" w:themeColor="text1"/>
          <w:szCs w:val="21"/>
        </w:rPr>
        <w:t xml:space="preserve">警示——使用本标准的人员应有正规实验室工作的实践经验。本标准并未指出所有可能的安全问题。使用者有责任采取适当的安全和健康措施，并保证符合国家有关法规规定的条件。 </w:t>
      </w:r>
    </w:p>
    <w:p>
      <w:pPr>
        <w:pStyle w:val="19"/>
        <w:spacing w:before="312" w:after="312"/>
        <w:jc w:val="left"/>
        <w:rPr>
          <w:rFonts w:ascii="Times New Roman"/>
        </w:rPr>
      </w:pPr>
      <w:bookmarkStart w:id="1" w:name="_Toc325636225"/>
      <w:bookmarkStart w:id="2" w:name="_Toc325641012"/>
      <w:r>
        <w:rPr>
          <w:rFonts w:ascii="Times New Roman"/>
        </w:rPr>
        <w:t>范围</w:t>
      </w:r>
      <w:bookmarkEnd w:id="1"/>
      <w:bookmarkEnd w:id="2"/>
    </w:p>
    <w:p>
      <w:pPr>
        <w:ind w:firstLine="420" w:firstLineChars="200"/>
        <w:jc w:val="left"/>
        <w:rPr>
          <w:rFonts w:eastAsiaTheme="minorEastAsia"/>
        </w:rPr>
      </w:pPr>
      <w:r>
        <w:rPr>
          <w:rFonts w:eastAsiaTheme="minorEastAsia"/>
        </w:rPr>
        <w:t>本</w:t>
      </w:r>
      <w:r>
        <w:rPr>
          <w:rFonts w:hint="eastAsia" w:eastAsiaTheme="minorEastAsia"/>
        </w:rPr>
        <w:t>文件</w:t>
      </w:r>
      <w:r>
        <w:rPr>
          <w:rFonts w:eastAsiaTheme="minorEastAsia"/>
        </w:rPr>
        <w:t>规定了六氯乙硅烷</w:t>
      </w:r>
      <w:r>
        <w:rPr>
          <w:rFonts w:hint="eastAsia" w:eastAsiaTheme="minorEastAsia"/>
        </w:rPr>
        <w:t>中三氯氢硅、四氯化硅、六氯乙硅烷及其他高沸</w:t>
      </w:r>
      <w:r>
        <w:rPr>
          <w:rFonts w:eastAsiaTheme="minorEastAsia"/>
        </w:rPr>
        <w:t>组分含量的</w:t>
      </w:r>
      <w:r>
        <w:rPr>
          <w:rFonts w:hint="eastAsia" w:eastAsiaTheme="minorEastAsia"/>
        </w:rPr>
        <w:t>气相色谱</w:t>
      </w:r>
      <w:r>
        <w:rPr>
          <w:rFonts w:eastAsiaTheme="minorEastAsia"/>
        </w:rPr>
        <w:t>测定方法。</w:t>
      </w:r>
    </w:p>
    <w:p>
      <w:pPr>
        <w:ind w:firstLine="420" w:firstLineChars="200"/>
        <w:jc w:val="left"/>
        <w:rPr>
          <w:rFonts w:eastAsiaTheme="minorEastAsia"/>
        </w:rPr>
      </w:pPr>
      <w:r>
        <w:rPr>
          <w:rFonts w:eastAsiaTheme="minorEastAsia"/>
        </w:rPr>
        <w:t>本</w:t>
      </w:r>
      <w:r>
        <w:rPr>
          <w:rFonts w:hint="eastAsia" w:eastAsiaTheme="minorEastAsia"/>
        </w:rPr>
        <w:t>文件</w:t>
      </w:r>
      <w:r>
        <w:rPr>
          <w:rFonts w:eastAsiaTheme="minorEastAsia"/>
        </w:rPr>
        <w:t>适用于</w:t>
      </w:r>
      <w:r>
        <w:rPr>
          <w:rFonts w:hint="eastAsia" w:eastAsiaTheme="minorEastAsia"/>
        </w:rPr>
        <w:t>六氯乙硅烷</w:t>
      </w:r>
      <w:r>
        <w:rPr>
          <w:rFonts w:eastAsiaTheme="minorEastAsia"/>
        </w:rPr>
        <w:t>中</w:t>
      </w:r>
      <w:r>
        <w:rPr>
          <w:rFonts w:hint="eastAsia" w:eastAsiaTheme="minorEastAsia"/>
        </w:rPr>
        <w:t>三氯氢硅、四氯化硅、六氯乙硅烷及其他高沸</w:t>
      </w:r>
      <w:r>
        <w:rPr>
          <w:rFonts w:eastAsiaTheme="minorEastAsia"/>
        </w:rPr>
        <w:t>组分含量的测定</w:t>
      </w:r>
      <w:r>
        <w:rPr>
          <w:rFonts w:hint="eastAsia" w:eastAsiaTheme="minorEastAsia"/>
        </w:rPr>
        <w:t>。各组分</w:t>
      </w:r>
      <w:r>
        <w:rPr>
          <w:rFonts w:eastAsiaTheme="minorEastAsia"/>
        </w:rPr>
        <w:t>的测定范围（质量分数）为</w:t>
      </w:r>
      <w:r>
        <w:t>0.001</w:t>
      </w:r>
      <w:r>
        <w:rPr>
          <w:rFonts w:hint="eastAsia"/>
        </w:rPr>
        <w:t xml:space="preserve"> </w:t>
      </w:r>
      <w:r>
        <w:t>%～100</w:t>
      </w:r>
      <w:r>
        <w:rPr>
          <w:rFonts w:hint="eastAsia"/>
        </w:rPr>
        <w:t xml:space="preserve"> </w:t>
      </w:r>
      <w:r>
        <w:t>%。</w:t>
      </w:r>
    </w:p>
    <w:p>
      <w:pPr>
        <w:pStyle w:val="19"/>
        <w:spacing w:before="312" w:after="312"/>
        <w:jc w:val="left"/>
        <w:rPr>
          <w:rFonts w:ascii="Times New Roman"/>
        </w:rPr>
      </w:pPr>
      <w:bookmarkStart w:id="3" w:name="_Toc325641013"/>
      <w:bookmarkStart w:id="4" w:name="_Toc325636226"/>
      <w:r>
        <w:rPr>
          <w:rFonts w:ascii="Times New Roman"/>
        </w:rPr>
        <w:t>规范性引用文件</w:t>
      </w:r>
      <w:bookmarkEnd w:id="3"/>
      <w:bookmarkEnd w:id="4"/>
    </w:p>
    <w:p>
      <w:pPr>
        <w:ind w:firstLine="420" w:firstLineChars="200"/>
        <w:jc w:val="left"/>
      </w:pPr>
      <w:r>
        <w:rPr>
          <w:rFonts w:eastAsia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pPr>
      <w:r>
        <w:t>GB/T 3723  工业用化学产品采样安全通则</w:t>
      </w:r>
    </w:p>
    <w:p>
      <w:pPr>
        <w:ind w:firstLine="420" w:firstLineChars="200"/>
        <w:jc w:val="left"/>
      </w:pPr>
      <w:r>
        <w:t>GB/T 6680  液体化工产品采样通则</w:t>
      </w:r>
    </w:p>
    <w:p>
      <w:pPr>
        <w:ind w:firstLine="420" w:firstLineChars="200"/>
        <w:jc w:val="left"/>
      </w:pPr>
      <w:r>
        <w:t>GB/T 9722  化学试剂 气相色谱法通则</w:t>
      </w:r>
    </w:p>
    <w:p>
      <w:pPr>
        <w:pStyle w:val="19"/>
        <w:spacing w:before="312" w:after="312"/>
        <w:jc w:val="left"/>
        <w:rPr>
          <w:rFonts w:ascii="Times New Roman"/>
        </w:rPr>
      </w:pPr>
      <w:bookmarkStart w:id="5" w:name="_Toc325636227"/>
      <w:bookmarkEnd w:id="5"/>
      <w:r>
        <w:rPr>
          <w:rFonts w:hint="eastAsia" w:ascii="Times New Roman"/>
        </w:rPr>
        <w:t>术语</w:t>
      </w:r>
    </w:p>
    <w:p>
      <w:pPr>
        <w:pStyle w:val="14"/>
        <w:rPr>
          <w:rFonts w:eastAsiaTheme="minorEastAsia"/>
        </w:rPr>
      </w:pPr>
      <w:r>
        <w:rPr>
          <w:rFonts w:hint="eastAsia" w:eastAsiaTheme="minorEastAsia"/>
        </w:rPr>
        <w:t>本文件没有需要界定的术语和定义。</w:t>
      </w:r>
    </w:p>
    <w:p>
      <w:pPr>
        <w:pStyle w:val="19"/>
        <w:spacing w:before="312" w:after="312"/>
        <w:jc w:val="left"/>
        <w:rPr>
          <w:rFonts w:ascii="Times New Roman"/>
        </w:rPr>
      </w:pPr>
      <w:r>
        <w:rPr>
          <w:rFonts w:ascii="Times New Roman"/>
        </w:rPr>
        <w:t>原理</w:t>
      </w:r>
    </w:p>
    <w:p>
      <w:pPr>
        <w:pStyle w:val="14"/>
        <w:jc w:val="left"/>
        <w:rPr>
          <w:rFonts w:ascii="Times New Roman" w:eastAsiaTheme="minorEastAsia"/>
          <w:szCs w:val="22"/>
        </w:rPr>
      </w:pPr>
      <w:r>
        <w:rPr>
          <w:rFonts w:ascii="Times New Roman" w:eastAsiaTheme="minorEastAsia"/>
          <w:szCs w:val="22"/>
        </w:rPr>
        <w:t>在规定的条件下将适量的六氯乙硅烷样品注入配有热导检测器</w:t>
      </w:r>
      <w:r>
        <w:rPr>
          <w:rFonts w:ascii="Times New Roman"/>
          <w:szCs w:val="22"/>
        </w:rPr>
        <w:t>（TCD）</w:t>
      </w:r>
      <w:r>
        <w:rPr>
          <w:rFonts w:ascii="Times New Roman" w:eastAsiaTheme="minorEastAsia"/>
          <w:szCs w:val="22"/>
        </w:rPr>
        <w:t>的气相色谱仪中，六氯乙硅烷中各组分被色谱柱有效地分离，通过面积归一化法计算出各组分的含量。</w:t>
      </w:r>
    </w:p>
    <w:p>
      <w:pPr>
        <w:pStyle w:val="19"/>
        <w:spacing w:before="312" w:after="312"/>
        <w:jc w:val="left"/>
        <w:rPr>
          <w:rFonts w:ascii="Times New Roman"/>
        </w:rPr>
      </w:pPr>
      <w:r>
        <w:rPr>
          <w:rFonts w:hint="eastAsia" w:ascii="Times New Roman"/>
        </w:rPr>
        <w:t>试验条件</w:t>
      </w:r>
    </w:p>
    <w:p>
      <w:pPr>
        <w:jc w:val="left"/>
        <w:rPr>
          <w:rFonts w:eastAsia="黑体"/>
        </w:rPr>
      </w:pPr>
      <w:r>
        <w:rPr>
          <w:rFonts w:hint="eastAsia" w:eastAsia="黑体"/>
        </w:rPr>
        <w:t>5</w:t>
      </w:r>
      <w:r>
        <w:rPr>
          <w:rFonts w:eastAsia="黑体"/>
        </w:rPr>
        <w:t>.1 环境温度：18 ℃~28 ℃。</w:t>
      </w:r>
    </w:p>
    <w:p>
      <w:pPr>
        <w:jc w:val="left"/>
        <w:rPr>
          <w:rFonts w:eastAsia="黑体"/>
        </w:rPr>
      </w:pPr>
      <w:r>
        <w:rPr>
          <w:rFonts w:hint="eastAsia" w:eastAsia="黑体"/>
        </w:rPr>
        <w:t>5</w:t>
      </w:r>
      <w:r>
        <w:rPr>
          <w:rFonts w:eastAsia="黑体"/>
        </w:rPr>
        <w:t>.2 环境湿度：&lt;60 %RH。</w:t>
      </w:r>
    </w:p>
    <w:p>
      <w:pPr>
        <w:pStyle w:val="19"/>
        <w:spacing w:before="312" w:after="312"/>
        <w:jc w:val="left"/>
      </w:pPr>
      <w:r>
        <w:rPr>
          <w:rFonts w:ascii="Times New Roman"/>
        </w:rPr>
        <w:t>试剂</w:t>
      </w:r>
      <w:r>
        <w:rPr>
          <w:rFonts w:hint="eastAsia" w:ascii="Times New Roman"/>
        </w:rPr>
        <w:t>或材料</w:t>
      </w:r>
    </w:p>
    <w:p>
      <w:pPr>
        <w:jc w:val="left"/>
        <w:rPr>
          <w:rFonts w:eastAsiaTheme="minorEastAsia"/>
          <w:szCs w:val="21"/>
        </w:rPr>
      </w:pPr>
      <w:r>
        <w:rPr>
          <w:rFonts w:hint="eastAsia" w:eastAsia="黑体"/>
        </w:rPr>
        <w:t>6</w:t>
      </w:r>
      <w:r>
        <w:rPr>
          <w:rFonts w:eastAsia="黑体"/>
        </w:rPr>
        <w:t>.1</w:t>
      </w:r>
      <w:r>
        <w:rPr>
          <w:rFonts w:eastAsiaTheme="minorEastAsia"/>
        </w:rPr>
        <w:t xml:space="preserve">  载气：</w:t>
      </w:r>
      <w:r>
        <w:rPr>
          <w:rFonts w:eastAsiaTheme="minorEastAsia"/>
          <w:kern w:val="0"/>
          <w:szCs w:val="20"/>
        </w:rPr>
        <w:t>氢气或氦气，纯度（体积分数）不小于</w:t>
      </w:r>
      <w:r>
        <w:rPr>
          <w:kern w:val="0"/>
          <w:szCs w:val="20"/>
        </w:rPr>
        <w:t>99.999</w:t>
      </w:r>
      <w:r>
        <w:rPr>
          <w:rFonts w:hint="eastAsia"/>
          <w:kern w:val="0"/>
          <w:szCs w:val="20"/>
        </w:rPr>
        <w:t xml:space="preserve"> </w:t>
      </w:r>
      <w:r>
        <w:rPr>
          <w:kern w:val="0"/>
          <w:szCs w:val="20"/>
        </w:rPr>
        <w:t>%</w:t>
      </w:r>
      <w:r>
        <w:rPr>
          <w:rFonts w:eastAsiaTheme="minorEastAsia"/>
          <w:szCs w:val="21"/>
        </w:rPr>
        <w:t>，需用硅胶和分子筛干燥净化。</w:t>
      </w:r>
    </w:p>
    <w:p>
      <w:pPr>
        <w:pStyle w:val="19"/>
        <w:spacing w:before="312" w:after="312"/>
        <w:jc w:val="left"/>
        <w:rPr>
          <w:rFonts w:ascii="Times New Roman"/>
        </w:rPr>
      </w:pPr>
      <w:r>
        <w:rPr>
          <w:rFonts w:hint="eastAsia" w:ascii="Times New Roman"/>
        </w:rPr>
        <w:t>仪器设备</w:t>
      </w:r>
    </w:p>
    <w:p>
      <w:pPr>
        <w:jc w:val="left"/>
        <w:rPr>
          <w:rFonts w:eastAsiaTheme="minorEastAsia"/>
        </w:rPr>
      </w:pPr>
      <w:r>
        <w:rPr>
          <w:rFonts w:hint="eastAsia" w:eastAsia="黑体"/>
        </w:rPr>
        <w:t>7</w:t>
      </w:r>
      <w:r>
        <w:rPr>
          <w:rFonts w:eastAsia="黑体"/>
        </w:rPr>
        <w:t>.1</w:t>
      </w:r>
      <w:r>
        <w:rPr>
          <w:rFonts w:eastAsiaTheme="minorEastAsia"/>
        </w:rPr>
        <w:t xml:space="preserve">  气相色谱仪：配备热导</w:t>
      </w:r>
      <w:r>
        <w:t>检测器（TCD），整机的稳定性和灵敏度应符合GB/T 9722的</w:t>
      </w:r>
      <w:r>
        <w:rPr>
          <w:rFonts w:eastAsiaTheme="minorEastAsia"/>
        </w:rPr>
        <w:t>规定。</w:t>
      </w:r>
    </w:p>
    <w:p>
      <w:pPr>
        <w:jc w:val="left"/>
        <w:rPr>
          <w:rFonts w:eastAsiaTheme="minorEastAsia"/>
        </w:rPr>
      </w:pPr>
      <w:r>
        <w:rPr>
          <w:rFonts w:hint="eastAsia" w:eastAsia="黑体"/>
        </w:rPr>
        <w:t>7</w:t>
      </w:r>
      <w:r>
        <w:rPr>
          <w:rFonts w:eastAsia="黑体"/>
        </w:rPr>
        <w:t>.2</w:t>
      </w:r>
      <w:r>
        <w:rPr>
          <w:rFonts w:eastAsiaTheme="minorEastAsia"/>
        </w:rPr>
        <w:t xml:space="preserve">  色谱柱：固定相为</w:t>
      </w:r>
      <w:r>
        <w:t>100%二甲基聚硅</w:t>
      </w:r>
      <w:r>
        <w:rPr>
          <w:rFonts w:eastAsiaTheme="minorEastAsia"/>
        </w:rPr>
        <w:t>氧烷的填充柱或能达到同等分离程度的毛细管柱。</w:t>
      </w:r>
    </w:p>
    <w:p>
      <w:pPr>
        <w:jc w:val="left"/>
      </w:pPr>
      <w:r>
        <w:rPr>
          <w:rFonts w:hint="eastAsia" w:eastAsia="黑体"/>
        </w:rPr>
        <w:t>7</w:t>
      </w:r>
      <w:r>
        <w:rPr>
          <w:rFonts w:eastAsia="黑体"/>
        </w:rPr>
        <w:t>.3</w:t>
      </w:r>
      <w:r>
        <w:t xml:space="preserve">  微量进样器：10 μL。</w:t>
      </w:r>
    </w:p>
    <w:p>
      <w:pPr>
        <w:pStyle w:val="19"/>
        <w:spacing w:before="312" w:after="312"/>
        <w:jc w:val="left"/>
        <w:rPr>
          <w:rFonts w:ascii="Times New Roman"/>
          <w:szCs w:val="22"/>
        </w:rPr>
      </w:pPr>
      <w:r>
        <w:rPr>
          <w:rFonts w:hint="eastAsia" w:ascii="Times New Roman"/>
          <w:szCs w:val="22"/>
        </w:rPr>
        <w:t>样品</w:t>
      </w:r>
    </w:p>
    <w:p>
      <w:pPr>
        <w:rPr>
          <w:rFonts w:ascii="宋体" w:hAnsi="宋体"/>
        </w:rPr>
      </w:pPr>
      <w:r>
        <w:rPr>
          <w:rFonts w:hint="eastAsia" w:ascii="黑体" w:hAnsi="黑体" w:eastAsia="黑体"/>
        </w:rPr>
        <w:t>8</w:t>
      </w:r>
      <w:r>
        <w:rPr>
          <w:rFonts w:ascii="黑体" w:hAnsi="黑体" w:eastAsia="黑体"/>
        </w:rPr>
        <w:t>.1</w:t>
      </w:r>
      <w:r>
        <w:rPr>
          <w:rFonts w:ascii="宋体" w:hAnsi="宋体"/>
        </w:rPr>
        <w:t xml:space="preserve">  </w:t>
      </w:r>
      <w:r>
        <w:t>采样中的安全事项应符合GB/T 3723的规定，采样原则及一般规定应符合GB/T 6678和GB/T 6680的规定</w:t>
      </w:r>
      <w:r>
        <w:rPr>
          <w:rFonts w:hint="eastAsia" w:hAnsi="宋体"/>
        </w:rPr>
        <w:t>。</w:t>
      </w:r>
    </w:p>
    <w:p>
      <w:pPr>
        <w:jc w:val="left"/>
      </w:pPr>
      <w:r>
        <w:rPr>
          <w:rFonts w:hint="eastAsia" w:ascii="黑体" w:hAnsi="黑体" w:eastAsia="黑体"/>
        </w:rPr>
        <w:t>8</w:t>
      </w:r>
      <w:r>
        <w:rPr>
          <w:rFonts w:ascii="黑体" w:hAnsi="黑体" w:eastAsia="黑体"/>
        </w:rPr>
        <w:t>.</w:t>
      </w:r>
      <w:r>
        <w:rPr>
          <w:rFonts w:hint="eastAsia" w:ascii="黑体" w:hAnsi="黑体" w:eastAsia="黑体"/>
        </w:rPr>
        <w:t>2</w:t>
      </w:r>
      <w:r>
        <w:rPr>
          <w:rFonts w:ascii="宋体" w:hAnsi="宋体"/>
        </w:rPr>
        <w:t xml:space="preserve"> </w:t>
      </w:r>
      <w:r>
        <w:rPr>
          <w:rFonts w:hint="eastAsia" w:asciiTheme="minorEastAsia" w:hAnsiTheme="minorEastAsia" w:eastAsiaTheme="minorEastAsia"/>
        </w:rPr>
        <w:t>采样用取样瓶应清洁干燥，采样时应尽量避免与空气接触，采样结束后应立即加盖密封。</w:t>
      </w:r>
    </w:p>
    <w:p>
      <w:pPr>
        <w:pStyle w:val="19"/>
        <w:spacing w:before="312" w:after="312"/>
        <w:jc w:val="left"/>
        <w:rPr>
          <w:rFonts w:ascii="Times New Roman"/>
        </w:rPr>
      </w:pPr>
      <w:bookmarkStart w:id="6" w:name="_Toc325641018"/>
      <w:bookmarkStart w:id="7" w:name="_Toc278274740"/>
      <w:bookmarkStart w:id="8" w:name="_Toc278274761"/>
      <w:bookmarkStart w:id="9" w:name="_Toc278274915"/>
      <w:r>
        <w:rPr>
          <w:rFonts w:hint="eastAsia" w:ascii="Times New Roman"/>
        </w:rPr>
        <w:t>试验步骤</w:t>
      </w:r>
      <w:bookmarkEnd w:id="6"/>
      <w:bookmarkEnd w:id="7"/>
      <w:bookmarkEnd w:id="8"/>
      <w:bookmarkEnd w:id="9"/>
    </w:p>
    <w:p>
      <w:pPr>
        <w:pStyle w:val="14"/>
        <w:spacing w:before="156" w:beforeLines="50" w:after="156" w:afterLines="50"/>
        <w:ind w:firstLine="0" w:firstLineChars="0"/>
        <w:rPr>
          <w:rFonts w:ascii="黑体" w:hAnsi="黑体" w:eastAsia="黑体"/>
        </w:rPr>
      </w:pPr>
      <w:r>
        <w:rPr>
          <w:rFonts w:hint="eastAsia" w:ascii="黑体" w:hAnsi="黑体" w:eastAsia="黑体"/>
        </w:rPr>
        <w:t>9.1  测定</w:t>
      </w:r>
    </w:p>
    <w:p>
      <w:pPr>
        <w:rPr>
          <w:rFonts w:asciiTheme="minorEastAsia" w:hAnsiTheme="minorEastAsia" w:eastAsiaTheme="minorEastAsia"/>
          <w:szCs w:val="21"/>
        </w:rPr>
      </w:pPr>
      <w:r>
        <w:rPr>
          <w:rFonts w:hint="eastAsia" w:ascii="黑体" w:hAnsi="黑体" w:eastAsia="黑体"/>
        </w:rPr>
        <w:t>9.1</w:t>
      </w:r>
      <w:r>
        <w:rPr>
          <w:rFonts w:ascii="黑体" w:hAnsi="黑体" w:eastAsia="黑体"/>
        </w:rPr>
        <w:t xml:space="preserve">.1  </w:t>
      </w:r>
      <w:r>
        <w:rPr>
          <w:rFonts w:hint="eastAsia" w:asciiTheme="minorEastAsia" w:hAnsiTheme="minorEastAsia" w:eastAsiaTheme="minorEastAsia"/>
          <w:szCs w:val="21"/>
        </w:rPr>
        <w:t>气相色谱仪启动后进行必要的调节，以达到适宜的色谱操作条件。推荐的气相色谱仪测定条件见表1。</w:t>
      </w:r>
    </w:p>
    <w:p>
      <w:pPr>
        <w:pStyle w:val="14"/>
        <w:spacing w:before="156" w:beforeLines="50" w:after="156" w:afterLines="50"/>
        <w:ind w:firstLine="0" w:firstLineChars="0"/>
        <w:jc w:val="center"/>
        <w:rPr>
          <w:rFonts w:ascii="黑体" w:hAnsi="黑体" w:eastAsia="黑体"/>
        </w:rPr>
      </w:pPr>
      <w:r>
        <w:rPr>
          <w:rFonts w:hint="eastAsia" w:ascii="黑体" w:hAnsi="黑体" w:eastAsia="黑体"/>
        </w:rPr>
        <w:t>表1 推荐的气相色谱仪测定条件（填充柱）</w:t>
      </w:r>
    </w:p>
    <w:tbl>
      <w:tblPr>
        <w:tblStyle w:val="8"/>
        <w:tblW w:w="8217"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644"/>
        <w:gridCol w:w="6573"/>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1644"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参数名称</w:t>
            </w:r>
          </w:p>
        </w:tc>
        <w:tc>
          <w:tcPr>
            <w:tcW w:w="6573"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参数值</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1644"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载气和流速</w:t>
            </w:r>
          </w:p>
        </w:tc>
        <w:tc>
          <w:tcPr>
            <w:tcW w:w="6573"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载气为氢气或氦气，流速为30</w:t>
            </w:r>
            <w:r>
              <w:rPr>
                <w:rFonts w:hint="eastAsia" w:ascii="Times New Roman"/>
                <w:sz w:val="20"/>
              </w:rPr>
              <w:t xml:space="preserve"> </w:t>
            </w:r>
            <w:r>
              <w:rPr>
                <w:rFonts w:ascii="Times New Roman"/>
                <w:sz w:val="20"/>
              </w:rPr>
              <w:t>mL/min-40</w:t>
            </w:r>
            <w:r>
              <w:rPr>
                <w:rFonts w:hint="eastAsia" w:ascii="Times New Roman"/>
                <w:sz w:val="20"/>
              </w:rPr>
              <w:t xml:space="preserve"> </w:t>
            </w:r>
            <w:r>
              <w:rPr>
                <w:rFonts w:ascii="Times New Roman"/>
                <w:sz w:val="20"/>
              </w:rPr>
              <w:t>mL/min</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1644"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柱温程序</w:t>
            </w:r>
          </w:p>
        </w:tc>
        <w:tc>
          <w:tcPr>
            <w:tcW w:w="6573"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初始温度150</w:t>
            </w:r>
            <w:r>
              <w:rPr>
                <w:rFonts w:hint="eastAsia" w:ascii="Times New Roman"/>
                <w:sz w:val="20"/>
              </w:rPr>
              <w:t xml:space="preserve"> </w:t>
            </w:r>
            <w:r>
              <w:rPr>
                <w:rFonts w:ascii="Times New Roman"/>
                <w:sz w:val="20"/>
              </w:rPr>
              <w:t>℃（保持20</w:t>
            </w:r>
            <w:r>
              <w:rPr>
                <w:rFonts w:hint="eastAsia" w:ascii="Times New Roman"/>
                <w:sz w:val="20"/>
              </w:rPr>
              <w:t xml:space="preserve"> </w:t>
            </w:r>
            <w:r>
              <w:rPr>
                <w:rFonts w:ascii="Times New Roman"/>
                <w:sz w:val="20"/>
              </w:rPr>
              <w:t>min），以20</w:t>
            </w:r>
            <w:r>
              <w:rPr>
                <w:rFonts w:hint="eastAsia" w:ascii="Times New Roman"/>
                <w:sz w:val="20"/>
              </w:rPr>
              <w:t xml:space="preserve"> </w:t>
            </w:r>
            <w:r>
              <w:rPr>
                <w:rFonts w:ascii="Times New Roman"/>
                <w:sz w:val="20"/>
              </w:rPr>
              <w:t>℃/min速率升到200</w:t>
            </w:r>
            <w:r>
              <w:rPr>
                <w:rFonts w:hint="eastAsia" w:ascii="Times New Roman"/>
                <w:sz w:val="20"/>
              </w:rPr>
              <w:t xml:space="preserve"> </w:t>
            </w:r>
            <w:r>
              <w:rPr>
                <w:rFonts w:ascii="Times New Roman"/>
                <w:sz w:val="20"/>
              </w:rPr>
              <w:t>℃，保持5</w:t>
            </w:r>
            <w:r>
              <w:rPr>
                <w:rFonts w:hint="eastAsia" w:ascii="Times New Roman"/>
                <w:sz w:val="20"/>
              </w:rPr>
              <w:t xml:space="preserve"> </w:t>
            </w:r>
            <w:r>
              <w:rPr>
                <w:rFonts w:ascii="Times New Roman"/>
                <w:sz w:val="20"/>
              </w:rPr>
              <w:t>min</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1644"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进样口温度</w:t>
            </w:r>
          </w:p>
        </w:tc>
        <w:tc>
          <w:tcPr>
            <w:tcW w:w="6573"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200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1644"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检测器温度</w:t>
            </w:r>
          </w:p>
        </w:tc>
        <w:tc>
          <w:tcPr>
            <w:tcW w:w="6573" w:type="dxa"/>
            <w:tcBorders>
              <w:top w:val="single" w:color="auto" w:sz="8" w:space="0"/>
              <w:bottom w:val="single" w:color="auto" w:sz="8" w:space="0"/>
            </w:tcBorders>
            <w:vAlign w:val="center"/>
          </w:tcPr>
          <w:p>
            <w:pPr>
              <w:pStyle w:val="14"/>
              <w:widowControl w:val="0"/>
              <w:spacing w:line="360" w:lineRule="auto"/>
              <w:ind w:firstLine="0" w:firstLineChars="0"/>
              <w:jc w:val="center"/>
              <w:rPr>
                <w:rFonts w:ascii="Times New Roman"/>
                <w:sz w:val="20"/>
              </w:rPr>
            </w:pPr>
            <w:r>
              <w:rPr>
                <w:rFonts w:ascii="Times New Roman"/>
                <w:sz w:val="20"/>
              </w:rPr>
              <w:t>250 ℃</w:t>
            </w:r>
          </w:p>
        </w:tc>
      </w:tr>
    </w:tbl>
    <w:p>
      <w:pPr>
        <w:rPr>
          <w:rFonts w:ascii="黑体" w:hAnsi="黑体" w:eastAsia="黑体"/>
        </w:rPr>
      </w:pPr>
    </w:p>
    <w:p>
      <w:pPr>
        <w:rPr>
          <w:rFonts w:asciiTheme="minorEastAsia" w:hAnsiTheme="minorEastAsia" w:eastAsiaTheme="minorEastAsia"/>
          <w:szCs w:val="21"/>
        </w:rPr>
      </w:pPr>
      <w:r>
        <w:rPr>
          <w:rFonts w:hint="eastAsia" w:ascii="黑体" w:hAnsi="黑体" w:eastAsia="黑体"/>
        </w:rPr>
        <w:t>9.1</w:t>
      </w:r>
      <w:r>
        <w:rPr>
          <w:rFonts w:ascii="黑体" w:hAnsi="黑体" w:eastAsia="黑体"/>
        </w:rPr>
        <w:t xml:space="preserve">.2  </w:t>
      </w:r>
      <w:r>
        <w:rPr>
          <w:rFonts w:hint="eastAsia" w:asciiTheme="minorEastAsia" w:hAnsiTheme="minorEastAsia" w:eastAsiaTheme="minorEastAsia"/>
          <w:szCs w:val="21"/>
        </w:rPr>
        <w:t>气相色谱仪达到设定的操作条件并稳定后，</w:t>
      </w:r>
      <w:r>
        <w:rPr>
          <w:rFonts w:hint="eastAsia" w:asciiTheme="minorEastAsia" w:hAnsiTheme="minorEastAsia" w:eastAsiaTheme="minorEastAsia"/>
        </w:rPr>
        <w:t>用微量</w:t>
      </w:r>
      <w:r>
        <w:rPr>
          <w:rFonts w:hint="eastAsia" w:hAnsi="宋体"/>
        </w:rPr>
        <w:t>进样器</w:t>
      </w:r>
      <w:r>
        <w:rPr>
          <w:rFonts w:hint="eastAsia" w:asciiTheme="minorEastAsia" w:hAnsiTheme="minorEastAsia" w:eastAsiaTheme="minorEastAsia"/>
        </w:rPr>
        <w:t>取</w:t>
      </w:r>
      <w:r>
        <w:rPr>
          <w:rFonts w:eastAsiaTheme="minorEastAsia"/>
        </w:rPr>
        <w:t>1 μL~3 μL</w:t>
      </w:r>
      <w:r>
        <w:rPr>
          <w:rFonts w:hint="eastAsia" w:eastAsiaTheme="minorEastAsia"/>
        </w:rPr>
        <w:t>六氯乙硅烷</w:t>
      </w:r>
      <w:r>
        <w:rPr>
          <w:rFonts w:hint="eastAsia" w:asciiTheme="minorEastAsia" w:hAnsiTheme="minorEastAsia" w:eastAsiaTheme="minorEastAsia"/>
        </w:rPr>
        <w:t>样品，快速注入气相色谱仪进样口，开始测定，</w:t>
      </w:r>
      <w:r>
        <w:rPr>
          <w:rFonts w:hint="eastAsia" w:asciiTheme="minorEastAsia" w:hAnsiTheme="minorEastAsia" w:eastAsiaTheme="minorEastAsia"/>
          <w:szCs w:val="21"/>
        </w:rPr>
        <w:t>用色谱工作站记录各组分的峰面积，</w:t>
      </w:r>
      <w:r>
        <w:rPr>
          <w:rFonts w:hint="eastAsia" w:asciiTheme="minorEastAsia" w:hAnsiTheme="minorEastAsia" w:eastAsiaTheme="minorEastAsia"/>
        </w:rPr>
        <w:t>采用面积归一化法定量计算样品中各组分的含量。</w:t>
      </w:r>
    </w:p>
    <w:p>
      <w:pPr>
        <w:pStyle w:val="19"/>
        <w:spacing w:before="312" w:after="312"/>
        <w:jc w:val="left"/>
        <w:rPr>
          <w:rFonts w:ascii="Times New Roman"/>
        </w:rPr>
      </w:pPr>
      <w:r>
        <w:rPr>
          <w:rFonts w:hint="eastAsia" w:ascii="Times New Roman"/>
        </w:rPr>
        <w:t>试验数据处理</w:t>
      </w:r>
    </w:p>
    <w:p>
      <w:pPr>
        <w:pStyle w:val="19"/>
        <w:numPr>
          <w:ilvl w:val="0"/>
          <w:numId w:val="0"/>
        </w:numPr>
        <w:spacing w:before="312" w:after="312"/>
        <w:ind w:firstLine="315" w:firstLineChars="150"/>
        <w:rPr>
          <w:rFonts w:ascii="Times New Roman" w:eastAsia="宋体"/>
        </w:rPr>
      </w:pPr>
      <w:r>
        <w:rPr>
          <w:rFonts w:hint="eastAsia" w:ascii="Times New Roman" w:eastAsiaTheme="minorEastAsia"/>
        </w:rPr>
        <w:t>六氯乙硅烷</w:t>
      </w:r>
      <w:r>
        <w:rPr>
          <w:rFonts w:ascii="Times New Roman" w:eastAsiaTheme="minorEastAsia"/>
        </w:rPr>
        <w:t>中</w:t>
      </w:r>
      <w:r>
        <w:rPr>
          <w:rFonts w:hint="eastAsia" w:ascii="Times New Roman" w:eastAsiaTheme="minorEastAsia"/>
        </w:rPr>
        <w:t>各组分</w:t>
      </w:r>
      <w:r>
        <w:rPr>
          <w:rFonts w:ascii="Times New Roman" w:eastAsiaTheme="minorEastAsia"/>
        </w:rPr>
        <w:t>的含量</w:t>
      </w:r>
      <w:r>
        <w:rPr>
          <w:rFonts w:ascii="Times New Roman" w:eastAsia="宋体"/>
        </w:rPr>
        <w:t>按式（1）计算，结果以质量分数表示：</w:t>
      </w:r>
    </w:p>
    <w:p>
      <w:pPr>
        <w:pStyle w:val="56"/>
        <w:jc w:val="right"/>
        <w:rPr>
          <w:rFonts w:ascii="Times New Roman" w:eastAsia="黑体"/>
        </w:rPr>
      </w:pPr>
      <m:oMath>
        <m:sSub>
          <m:sSubPr>
            <m:ctrlPr>
              <w:rPr>
                <w:rFonts w:ascii="Cambria Math" w:hAnsi="Cambria Math"/>
                <w:szCs w:val="21"/>
              </w:rPr>
            </m:ctrlPr>
          </m:sSubPr>
          <m:e>
            <m:r>
              <w:rPr>
                <w:rFonts w:ascii="Cambria Math" w:hAnsi="Cambria Math"/>
                <w:szCs w:val="21"/>
              </w:rPr>
              <m:t>W</m:t>
            </m:r>
            <m:ctrlPr>
              <w:rPr>
                <w:rFonts w:ascii="Cambria Math" w:hAnsi="Cambria Math"/>
                <w:szCs w:val="21"/>
              </w:rPr>
            </m:ctrlPr>
          </m:e>
          <m:sub>
            <m:r>
              <w:rPr>
                <w:rFonts w:ascii="Cambria Math" w:hAnsi="Cambria Math"/>
                <w:szCs w:val="21"/>
              </w:rPr>
              <m:t>i</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A</m:t>
                </m:r>
                <m:ctrlPr>
                  <w:rPr>
                    <w:rFonts w:ascii="Cambria Math" w:hAnsi="Cambria Math"/>
                    <w:i/>
                    <w:szCs w:val="21"/>
                  </w:rPr>
                </m:ctrlPr>
              </m:e>
              <m:sub>
                <m:r>
                  <w:rPr>
                    <w:rFonts w:ascii="Cambria Math" w:hAnsi="Cambria Math"/>
                    <w:szCs w:val="21"/>
                  </w:rPr>
                  <m:t>i</m:t>
                </m:r>
                <m:ctrlPr>
                  <w:rPr>
                    <w:rFonts w:ascii="Cambria Math" w:hAnsi="Cambria Math"/>
                    <w:i/>
                    <w:szCs w:val="21"/>
                  </w:rPr>
                </m:ctrlPr>
              </m:sub>
            </m:sSub>
            <m:ctrlPr>
              <w:rPr>
                <w:rFonts w:ascii="Cambria Math" w:hAnsi="Cambria Math"/>
                <w:szCs w:val="21"/>
              </w:rPr>
            </m:ctrlPr>
          </m:num>
          <m:den>
            <m:nary>
              <m:naryPr>
                <m:chr m:val="∑"/>
                <m:limLoc m:val="undOvr"/>
                <m:subHide m:val="1"/>
                <m:supHide m:val="1"/>
                <m:ctrlPr>
                  <w:rPr>
                    <w:rFonts w:ascii="Cambria Math" w:hAnsi="Cambria Math"/>
                    <w:szCs w:val="21"/>
                  </w:rPr>
                </m:ctrlPr>
              </m:naryPr>
              <m:sub>
                <m:ctrlPr>
                  <w:rPr>
                    <w:rFonts w:ascii="Cambria Math" w:hAnsi="Cambria Math"/>
                    <w:szCs w:val="21"/>
                  </w:rPr>
                </m:ctrlPr>
              </m:sub>
              <m:sup>
                <m:ctrlPr>
                  <w:rPr>
                    <w:rFonts w:ascii="Cambria Math" w:hAnsi="Cambria Math"/>
                    <w:szCs w:val="21"/>
                  </w:rPr>
                </m:ctrlPr>
              </m:sup>
              <m:e>
                <m:sSub>
                  <m:sSubPr>
                    <m:ctrlPr>
                      <w:rPr>
                        <w:rFonts w:ascii="Cambria Math" w:hAnsi="Cambria Math"/>
                        <w:szCs w:val="21"/>
                      </w:rPr>
                    </m:ctrlPr>
                  </m:sSubPr>
                  <m:e>
                    <m:r>
                      <w:rPr>
                        <w:rFonts w:ascii="Cambria Math" w:hAnsi="Cambria Math"/>
                        <w:szCs w:val="21"/>
                      </w:rPr>
                      <m:t>A</m:t>
                    </m:r>
                    <m:ctrlPr>
                      <w:rPr>
                        <w:rFonts w:ascii="Cambria Math" w:hAnsi="Cambria Math"/>
                        <w:szCs w:val="21"/>
                      </w:rPr>
                    </m:ctrlPr>
                  </m:e>
                  <m:sub>
                    <m:r>
                      <w:rPr>
                        <w:rFonts w:ascii="Cambria Math" w:hAnsi="Cambria Math"/>
                        <w:szCs w:val="21"/>
                      </w:rPr>
                      <m:t>i</m:t>
                    </m:r>
                    <m:ctrlPr>
                      <w:rPr>
                        <w:rFonts w:ascii="Cambria Math" w:hAnsi="Cambria Math"/>
                        <w:szCs w:val="21"/>
                      </w:rPr>
                    </m:ctrlPr>
                  </m:sub>
                </m:sSub>
                <m:ctrlPr>
                  <w:rPr>
                    <w:rFonts w:ascii="Cambria Math" w:hAnsi="Cambria Math"/>
                    <w:szCs w:val="21"/>
                  </w:rPr>
                </m:ctrlPr>
              </m:e>
            </m:nary>
            <m:ctrlPr>
              <w:rPr>
                <w:rFonts w:ascii="Cambria Math" w:hAnsi="Cambria Math"/>
                <w:szCs w:val="21"/>
              </w:rPr>
            </m:ctrlPr>
          </m:den>
        </m:f>
        <m:r>
          <m:rPr>
            <m:sty m:val="p"/>
          </m:rPr>
          <w:rPr>
            <w:rFonts w:ascii="Cambria Math" w:hAnsi="Cambria Math"/>
            <w:szCs w:val="21"/>
          </w:rPr>
          <m:t>×100%</m:t>
        </m:r>
      </m:oMath>
      <w:r>
        <w:rPr>
          <w:rFonts w:hint="eastAsia" w:ascii="Times New Roman"/>
        </w:rPr>
        <w:t>………………………………………</w:t>
      </w:r>
      <w:r>
        <w:rPr>
          <w:rFonts w:ascii="Times New Roman"/>
        </w:rPr>
        <w:t>（1）</w:t>
      </w:r>
    </w:p>
    <w:p>
      <w:pPr>
        <w:pStyle w:val="19"/>
        <w:numPr>
          <w:ilvl w:val="0"/>
          <w:numId w:val="0"/>
        </w:numPr>
        <w:spacing w:beforeLines="0" w:afterLines="0"/>
        <w:ind w:firstLine="420" w:firstLineChars="200"/>
        <w:rPr>
          <w:rFonts w:asciiTheme="minorEastAsia" w:hAnsiTheme="minorEastAsia" w:eastAsiaTheme="minorEastAsia"/>
        </w:rPr>
      </w:pPr>
      <w:r>
        <w:rPr>
          <w:rFonts w:asciiTheme="minorEastAsia" w:hAnsiTheme="minorEastAsia" w:eastAsiaTheme="minorEastAsia"/>
        </w:rPr>
        <w:t>式中：</w:t>
      </w:r>
    </w:p>
    <w:p>
      <w:pPr>
        <w:pStyle w:val="19"/>
        <w:numPr>
          <w:ilvl w:val="0"/>
          <w:numId w:val="0"/>
        </w:numPr>
        <w:spacing w:beforeLines="0" w:afterLines="0"/>
        <w:ind w:firstLine="420" w:firstLineChars="200"/>
        <w:rPr>
          <w:rFonts w:ascii="Times New Roman" w:eastAsiaTheme="minorEastAsia"/>
        </w:rPr>
      </w:pPr>
      <w:r>
        <w:rPr>
          <w:rFonts w:ascii="Times New Roman" w:eastAsiaTheme="minorEastAsia"/>
          <w:i/>
          <w:iCs/>
        </w:rPr>
        <w:t>W</w:t>
      </w:r>
      <w:r>
        <w:rPr>
          <w:rFonts w:ascii="Times New Roman" w:eastAsiaTheme="minorEastAsia"/>
          <w:i/>
          <w:iCs/>
          <w:vertAlign w:val="subscript"/>
        </w:rPr>
        <w:t>i</w:t>
      </w:r>
      <w:r>
        <w:rPr>
          <w:rFonts w:ascii="Times New Roman" w:eastAsiaTheme="minorEastAsia"/>
        </w:rPr>
        <w:t>——</w:t>
      </w:r>
      <w:r>
        <w:rPr>
          <w:rFonts w:hint="eastAsia" w:ascii="Times New Roman" w:eastAsiaTheme="minorEastAsia"/>
        </w:rPr>
        <w:t>六氯乙硅烷</w:t>
      </w:r>
      <w:r>
        <w:rPr>
          <w:rFonts w:ascii="Times New Roman" w:eastAsiaTheme="minorEastAsia"/>
        </w:rPr>
        <w:t>中</w:t>
      </w:r>
      <w:r>
        <w:rPr>
          <w:rFonts w:hint="eastAsia" w:ascii="Times New Roman" w:eastAsiaTheme="minorEastAsia"/>
          <w:i/>
          <w:iCs/>
        </w:rPr>
        <w:t>i</w:t>
      </w:r>
      <w:r>
        <w:rPr>
          <w:rFonts w:ascii="Times New Roman" w:eastAsiaTheme="minorEastAsia"/>
        </w:rPr>
        <w:t>组分的</w:t>
      </w:r>
      <w:r>
        <w:rPr>
          <w:rFonts w:hint="eastAsia" w:ascii="Times New Roman" w:eastAsiaTheme="minorEastAsia"/>
        </w:rPr>
        <w:t>含量，</w:t>
      </w:r>
      <w:r>
        <w:rPr>
          <w:rFonts w:hint="eastAsia" w:ascii="Times New Roman" w:eastAsiaTheme="minorEastAsia"/>
          <w:i/>
          <w:iCs/>
        </w:rPr>
        <w:t>i</w:t>
      </w:r>
      <w:r>
        <w:rPr>
          <w:rFonts w:hint="eastAsia" w:ascii="Times New Roman" w:eastAsiaTheme="minorEastAsia"/>
        </w:rPr>
        <w:t>为三氯氢硅、四氯化硅、六氯乙硅烷及其他高沸组分</w:t>
      </w:r>
      <w:r>
        <w:rPr>
          <w:rFonts w:ascii="Times New Roman" w:eastAsiaTheme="minorEastAsia"/>
        </w:rPr>
        <w:t>；</w:t>
      </w:r>
    </w:p>
    <w:p>
      <w:pPr>
        <w:pStyle w:val="19"/>
        <w:numPr>
          <w:ilvl w:val="0"/>
          <w:numId w:val="0"/>
        </w:numPr>
        <w:spacing w:beforeLines="0" w:afterLines="0"/>
        <w:ind w:firstLine="420" w:firstLineChars="200"/>
        <w:rPr>
          <w:rFonts w:ascii="Times New Roman" w:eastAsiaTheme="minorEastAsia"/>
        </w:rPr>
      </w:pPr>
      <w:r>
        <w:rPr>
          <w:rFonts w:ascii="Times New Roman" w:eastAsiaTheme="minorEastAsia"/>
          <w:i/>
          <w:iCs/>
        </w:rPr>
        <w:t>A</w:t>
      </w:r>
      <w:r>
        <w:rPr>
          <w:rFonts w:ascii="Times New Roman" w:eastAsiaTheme="minorEastAsia"/>
          <w:i/>
          <w:iCs/>
          <w:vertAlign w:val="subscript"/>
        </w:rPr>
        <w:t>i</w:t>
      </w:r>
      <w:r>
        <w:rPr>
          <w:rFonts w:ascii="Times New Roman" w:eastAsiaTheme="minorEastAsia"/>
        </w:rPr>
        <w:t>——</w:t>
      </w:r>
      <w:r>
        <w:rPr>
          <w:rFonts w:hint="eastAsia" w:ascii="Times New Roman" w:eastAsiaTheme="minorEastAsia"/>
        </w:rPr>
        <w:t>六氯乙硅烷</w:t>
      </w:r>
      <w:r>
        <w:rPr>
          <w:rFonts w:ascii="Times New Roman" w:eastAsiaTheme="minorEastAsia"/>
        </w:rPr>
        <w:t>中</w:t>
      </w:r>
      <w:r>
        <w:rPr>
          <w:rFonts w:hint="eastAsia" w:ascii="Times New Roman" w:eastAsiaTheme="minorEastAsia"/>
          <w:i/>
          <w:iCs/>
        </w:rPr>
        <w:t>i</w:t>
      </w:r>
      <w:r>
        <w:rPr>
          <w:rFonts w:ascii="Times New Roman" w:eastAsiaTheme="minorEastAsia"/>
        </w:rPr>
        <w:t>组分的峰面积</w:t>
      </w:r>
      <w:r>
        <w:rPr>
          <w:rFonts w:hint="eastAsia" w:ascii="Times New Roman" w:eastAsiaTheme="minorEastAsia"/>
        </w:rPr>
        <w:t>，单位为微伏</w:t>
      </w:r>
      <w:r>
        <w:rPr>
          <w:rFonts w:ascii="Times New Roman" w:eastAsiaTheme="minorEastAsia"/>
        </w:rPr>
        <w:t>·</w:t>
      </w:r>
      <w:r>
        <w:rPr>
          <w:rFonts w:hint="eastAsia" w:ascii="Times New Roman" w:eastAsiaTheme="minorEastAsia"/>
        </w:rPr>
        <w:t>秒</w:t>
      </w:r>
      <w:r>
        <w:rPr>
          <w:rFonts w:ascii="Times New Roman" w:eastAsiaTheme="minorEastAsia"/>
        </w:rPr>
        <w:t>（µV·s）；</w:t>
      </w:r>
    </w:p>
    <w:p>
      <w:pPr>
        <w:pStyle w:val="14"/>
        <w:rPr>
          <w:rFonts w:ascii="Times New Roman" w:eastAsiaTheme="minorEastAsia"/>
        </w:rPr>
      </w:pPr>
      <m:oMath>
        <m:nary>
          <m:naryPr>
            <m:chr m:val="∑"/>
            <m:limLoc m:val="undOvr"/>
            <m:subHide m:val="1"/>
            <m:supHide m:val="1"/>
            <m:ctrlPr>
              <w:rPr>
                <w:rFonts w:ascii="Cambria Math" w:hAnsi="Cambria Math" w:eastAsiaTheme="minorEastAsia"/>
              </w:rPr>
            </m:ctrlPr>
          </m:naryPr>
          <m:sub>
            <m:ctrlPr>
              <w:rPr>
                <w:rFonts w:ascii="Cambria Math" w:hAnsi="Cambria Math" w:eastAsiaTheme="minorEastAsia"/>
              </w:rPr>
            </m:ctrlPr>
          </m:sub>
          <m:sup>
            <m:ctrlPr>
              <w:rPr>
                <w:rFonts w:ascii="Cambria Math" w:hAnsi="Cambria Math" w:eastAsiaTheme="minorEastAsia"/>
              </w:rPr>
            </m:ctrlPr>
          </m:sup>
          <m:e>
            <m:sSub>
              <m:sSubPr>
                <m:ctrlPr>
                  <w:rPr>
                    <w:rFonts w:ascii="Cambria Math" w:hAnsi="Cambria Math" w:eastAsiaTheme="minorEastAsia"/>
                    <w:i/>
                  </w:rPr>
                </m:ctrlPr>
              </m:sSubPr>
              <m:e>
                <m:r>
                  <w:rPr>
                    <w:rFonts w:ascii="Cambria Math" w:hAnsi="Cambria Math" w:eastAsiaTheme="minorEastAsia"/>
                  </w:rPr>
                  <m:t>A</m:t>
                </m:r>
                <m:ctrlPr>
                  <w:rPr>
                    <w:rFonts w:ascii="Cambria Math" w:hAnsi="Cambria Math" w:eastAsiaTheme="minorEastAsia"/>
                    <w:i/>
                  </w:rPr>
                </m:ctrlPr>
              </m:e>
              <m:sub>
                <m:r>
                  <w:rPr>
                    <w:rFonts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rPr>
            </m:ctrlPr>
          </m:e>
        </m:nary>
      </m:oMath>
      <w:r>
        <w:rPr>
          <w:rFonts w:ascii="Times New Roman" w:eastAsiaTheme="minorEastAsia"/>
        </w:rPr>
        <w:t>——</w:t>
      </w:r>
      <w:r>
        <w:rPr>
          <w:rFonts w:hint="eastAsia" w:ascii="Times New Roman" w:eastAsiaTheme="minorEastAsia"/>
        </w:rPr>
        <w:t>六氯乙硅烷</w:t>
      </w:r>
      <w:r>
        <w:rPr>
          <w:rFonts w:ascii="Times New Roman" w:eastAsiaTheme="minorEastAsia"/>
        </w:rPr>
        <w:t>中各组分的峰面积之和</w:t>
      </w:r>
      <w:r>
        <w:rPr>
          <w:rFonts w:hint="eastAsia" w:ascii="Times New Roman" w:eastAsiaTheme="minorEastAsia"/>
        </w:rPr>
        <w:t>，单位为微伏</w:t>
      </w:r>
      <w:r>
        <w:rPr>
          <w:rFonts w:ascii="Times New Roman" w:eastAsiaTheme="minorEastAsia"/>
        </w:rPr>
        <w:t>·</w:t>
      </w:r>
      <w:r>
        <w:rPr>
          <w:rFonts w:hint="eastAsia" w:ascii="Times New Roman" w:eastAsiaTheme="minorEastAsia"/>
        </w:rPr>
        <w:t>秒</w:t>
      </w:r>
      <w:r>
        <w:rPr>
          <w:rFonts w:ascii="Times New Roman" w:eastAsiaTheme="minorEastAsia"/>
        </w:rPr>
        <w:t>（µV·s）</w:t>
      </w:r>
      <w:r>
        <w:rPr>
          <w:rFonts w:hint="eastAsia" w:ascii="Times New Roman" w:eastAsiaTheme="minorEastAsia"/>
        </w:rPr>
        <w:t>。</w:t>
      </w:r>
    </w:p>
    <w:p>
      <w:pPr>
        <w:pStyle w:val="14"/>
        <w:rPr>
          <w:rFonts w:ascii="Times New Roman" w:eastAsiaTheme="minorEastAsia"/>
        </w:rPr>
      </w:pPr>
      <w:r>
        <w:rPr>
          <w:rFonts w:hint="eastAsia" w:asciiTheme="minorEastAsia" w:hAnsiTheme="minorEastAsia" w:eastAsiaTheme="minorEastAsia"/>
          <w:szCs w:val="21"/>
        </w:rPr>
        <w:t>取两次平行测定结果的算数平均值为测定结果，结果保留至小数点后三位。</w:t>
      </w:r>
    </w:p>
    <w:p>
      <w:pPr>
        <w:pStyle w:val="19"/>
        <w:spacing w:before="312" w:after="312"/>
        <w:jc w:val="left"/>
        <w:rPr>
          <w:rFonts w:ascii="Times New Roman"/>
        </w:rPr>
      </w:pPr>
      <w:r>
        <w:rPr>
          <w:rFonts w:hint="eastAsia" w:ascii="Times New Roman"/>
        </w:rPr>
        <w:t>精密度</w:t>
      </w:r>
    </w:p>
    <w:p>
      <w:pPr>
        <w:pStyle w:val="16"/>
        <w:numPr>
          <w:ilvl w:val="0"/>
          <w:numId w:val="0"/>
        </w:numPr>
        <w:spacing w:before="156" w:after="156"/>
      </w:pPr>
      <w:r>
        <w:rPr>
          <w:rFonts w:hint="eastAsia"/>
        </w:rPr>
        <w:t>11.1</w:t>
      </w:r>
      <w:r>
        <w:t xml:space="preserve">  </w:t>
      </w:r>
      <w:r>
        <w:rPr>
          <w:rFonts w:hint="eastAsia"/>
        </w:rPr>
        <w:t>重复性限</w:t>
      </w:r>
    </w:p>
    <w:p>
      <w:pPr>
        <w:pStyle w:val="14"/>
        <w:rPr>
          <w:rFonts w:asciiTheme="minorEastAsia" w:hAnsiTheme="minorEastAsia" w:eastAsiaTheme="minorEastAsia"/>
        </w:rPr>
      </w:pPr>
      <w:r>
        <w:rPr>
          <w:rFonts w:ascii="Times New Roman" w:eastAsiaTheme="minorEastAsia"/>
        </w:rPr>
        <w:t>在重复性条件下获得的两次独立测试结果的测定值，在表2给出的平均值范围内，这两个测试结果的绝对差值不超过重复性限（</w:t>
      </w:r>
      <w:r>
        <w:rPr>
          <w:rFonts w:ascii="Times New Roman" w:eastAsiaTheme="minorEastAsia"/>
          <w:i/>
          <w:iCs/>
        </w:rPr>
        <w:t>r</w:t>
      </w:r>
      <w:r>
        <w:rPr>
          <w:rFonts w:ascii="Times New Roman" w:eastAsiaTheme="minorEastAsia"/>
        </w:rPr>
        <w:t>），超过重复性限(</w:t>
      </w:r>
      <w:r>
        <w:rPr>
          <w:rFonts w:ascii="Times New Roman" w:eastAsiaTheme="minorEastAsia"/>
          <w:i/>
          <w:iCs/>
        </w:rPr>
        <w:t>r</w:t>
      </w:r>
      <w:r>
        <w:rPr>
          <w:rFonts w:ascii="Times New Roman" w:eastAsiaTheme="minorEastAsia"/>
        </w:rPr>
        <w:t>)的情况不超过5%，重复性限（</w:t>
      </w:r>
      <w:r>
        <w:rPr>
          <w:rFonts w:ascii="Times New Roman" w:eastAsiaTheme="minorEastAsia"/>
          <w:i/>
          <w:iCs/>
        </w:rPr>
        <w:t>r</w:t>
      </w:r>
      <w:r>
        <w:rPr>
          <w:rFonts w:ascii="Times New Roman" w:eastAsiaTheme="minorEastAsia"/>
        </w:rPr>
        <w:t>）按表2数据采用线性内插法求得</w:t>
      </w:r>
      <w:r>
        <w:rPr>
          <w:rFonts w:hint="eastAsia" w:asciiTheme="minorEastAsia" w:hAnsiTheme="minorEastAsia" w:eastAsiaTheme="minorEastAsia"/>
        </w:rPr>
        <w:t>。</w:t>
      </w:r>
    </w:p>
    <w:p>
      <w:pPr>
        <w:pStyle w:val="42"/>
        <w:tabs>
          <w:tab w:val="left" w:pos="360"/>
          <w:tab w:val="clear" w:pos="720"/>
        </w:tabs>
        <w:spacing w:before="156" w:after="156"/>
      </w:pPr>
      <w:r>
        <w:rPr>
          <w:rFonts w:hint="eastAsia"/>
        </w:rPr>
        <w:t>表2</w:t>
      </w:r>
      <w:r>
        <w:t xml:space="preserve">  </w:t>
      </w:r>
      <w:r>
        <w:rPr>
          <w:rFonts w:hint="eastAsia"/>
        </w:rPr>
        <w:t>重复性限</w:t>
      </w:r>
    </w:p>
    <w:tbl>
      <w:tblPr>
        <w:tblStyle w:val="7"/>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418"/>
        <w:gridCol w:w="1417"/>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093" w:type="dxa"/>
            <w:vAlign w:val="center"/>
          </w:tcPr>
          <w:p>
            <w:pPr>
              <w:jc w:val="center"/>
              <w:rPr>
                <w:sz w:val="18"/>
                <w:szCs w:val="18"/>
              </w:rPr>
            </w:pPr>
            <w:r>
              <w:rPr>
                <w:sz w:val="18"/>
                <w:szCs w:val="18"/>
              </w:rPr>
              <w:t>含量/%</w:t>
            </w:r>
          </w:p>
        </w:tc>
        <w:tc>
          <w:tcPr>
            <w:tcW w:w="1417" w:type="dxa"/>
            <w:vAlign w:val="center"/>
          </w:tcPr>
          <w:p>
            <w:pPr>
              <w:widowControl/>
              <w:ind w:left="1"/>
              <w:jc w:val="center"/>
              <w:textAlignment w:val="center"/>
              <w:rPr>
                <w:kern w:val="0"/>
                <w:sz w:val="22"/>
                <w:szCs w:val="22"/>
              </w:rPr>
            </w:pPr>
            <w:r>
              <w:rPr>
                <w:rFonts w:hint="eastAsia"/>
                <w:kern w:val="0"/>
                <w:sz w:val="22"/>
                <w:szCs w:val="22"/>
                <w:lang w:bidi="ar"/>
              </w:rPr>
              <w:t>20.00</w:t>
            </w:r>
          </w:p>
        </w:tc>
        <w:tc>
          <w:tcPr>
            <w:tcW w:w="1418" w:type="dxa"/>
            <w:vAlign w:val="center"/>
          </w:tcPr>
          <w:p>
            <w:pPr>
              <w:widowControl/>
              <w:ind w:left="1"/>
              <w:jc w:val="center"/>
              <w:textAlignment w:val="center"/>
              <w:rPr>
                <w:kern w:val="0"/>
                <w:sz w:val="22"/>
                <w:szCs w:val="22"/>
              </w:rPr>
            </w:pPr>
            <w:r>
              <w:rPr>
                <w:rFonts w:hint="eastAsia"/>
                <w:kern w:val="0"/>
                <w:sz w:val="22"/>
                <w:szCs w:val="22"/>
                <w:lang w:bidi="ar"/>
              </w:rPr>
              <w:t>40.00</w:t>
            </w:r>
          </w:p>
        </w:tc>
        <w:tc>
          <w:tcPr>
            <w:tcW w:w="1417" w:type="dxa"/>
            <w:vAlign w:val="center"/>
          </w:tcPr>
          <w:p>
            <w:pPr>
              <w:widowControl/>
              <w:ind w:left="1"/>
              <w:jc w:val="center"/>
              <w:textAlignment w:val="center"/>
              <w:rPr>
                <w:kern w:val="0"/>
                <w:sz w:val="22"/>
                <w:szCs w:val="22"/>
              </w:rPr>
            </w:pPr>
            <w:r>
              <w:rPr>
                <w:rFonts w:hint="eastAsia"/>
                <w:kern w:val="0"/>
                <w:sz w:val="22"/>
                <w:szCs w:val="22"/>
                <w:lang w:bidi="ar"/>
              </w:rPr>
              <w:t>60.00</w:t>
            </w:r>
          </w:p>
        </w:tc>
        <w:tc>
          <w:tcPr>
            <w:tcW w:w="1418" w:type="dxa"/>
            <w:vAlign w:val="center"/>
          </w:tcPr>
          <w:p>
            <w:pPr>
              <w:jc w:val="center"/>
              <w:rPr>
                <w:kern w:val="0"/>
                <w:sz w:val="22"/>
                <w:szCs w:val="22"/>
              </w:rPr>
            </w:pPr>
            <w:r>
              <w:rPr>
                <w:rFonts w:hint="eastAsia"/>
                <w:sz w:val="22"/>
                <w:szCs w:val="22"/>
              </w:rPr>
              <w:t>80.00</w:t>
            </w:r>
          </w:p>
        </w:tc>
        <w:tc>
          <w:tcPr>
            <w:tcW w:w="1418" w:type="dxa"/>
            <w:vAlign w:val="center"/>
          </w:tcPr>
          <w:p>
            <w:pPr>
              <w:jc w:val="center"/>
              <w:rPr>
                <w:kern w:val="0"/>
                <w:sz w:val="22"/>
                <w:szCs w:val="22"/>
              </w:rPr>
            </w:pPr>
            <w:r>
              <w:rPr>
                <w:rFonts w:hint="eastAsia"/>
                <w:sz w:val="22"/>
                <w:szCs w:val="22"/>
              </w:rPr>
              <w:t>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jc w:val="center"/>
              <w:rPr>
                <w:rFonts w:eastAsiaTheme="minorEastAsia"/>
                <w:sz w:val="18"/>
                <w:szCs w:val="18"/>
              </w:rPr>
            </w:pPr>
            <w:r>
              <w:rPr>
                <w:rFonts w:eastAsiaTheme="minorEastAsia"/>
              </w:rPr>
              <w:t>重复性限（</w:t>
            </w:r>
            <w:r>
              <w:rPr>
                <w:rFonts w:eastAsiaTheme="minorEastAsia"/>
                <w:i/>
                <w:iCs/>
              </w:rPr>
              <w:t>r</w:t>
            </w:r>
            <w:r>
              <w:rPr>
                <w:rFonts w:eastAsiaTheme="minorEastAsia"/>
              </w:rPr>
              <w:t>）/%</w:t>
            </w:r>
          </w:p>
        </w:tc>
        <w:tc>
          <w:tcPr>
            <w:tcW w:w="1417" w:type="dxa"/>
            <w:vAlign w:val="center"/>
          </w:tcPr>
          <w:p>
            <w:pPr>
              <w:widowControl/>
              <w:ind w:left="1"/>
              <w:jc w:val="center"/>
              <w:textAlignment w:val="center"/>
              <w:rPr>
                <w:kern w:val="0"/>
                <w:sz w:val="22"/>
                <w:szCs w:val="22"/>
                <w:highlight w:val="red"/>
              </w:rPr>
            </w:pPr>
            <w:r>
              <w:rPr>
                <w:rFonts w:hint="eastAsia"/>
                <w:kern w:val="0"/>
                <w:sz w:val="22"/>
                <w:szCs w:val="22"/>
                <w:lang w:bidi="ar"/>
              </w:rPr>
              <w:t>0.31</w:t>
            </w:r>
          </w:p>
        </w:tc>
        <w:tc>
          <w:tcPr>
            <w:tcW w:w="1418" w:type="dxa"/>
            <w:vAlign w:val="center"/>
          </w:tcPr>
          <w:p>
            <w:pPr>
              <w:widowControl/>
              <w:ind w:left="1"/>
              <w:jc w:val="center"/>
              <w:textAlignment w:val="center"/>
              <w:rPr>
                <w:kern w:val="0"/>
                <w:sz w:val="22"/>
                <w:szCs w:val="22"/>
                <w:highlight w:val="red"/>
              </w:rPr>
            </w:pPr>
            <w:r>
              <w:rPr>
                <w:kern w:val="0"/>
                <w:sz w:val="22"/>
                <w:szCs w:val="22"/>
                <w:lang w:bidi="ar"/>
              </w:rPr>
              <w:t>0</w:t>
            </w:r>
            <w:r>
              <w:rPr>
                <w:rFonts w:hint="eastAsia"/>
                <w:kern w:val="0"/>
                <w:sz w:val="22"/>
                <w:szCs w:val="22"/>
                <w:lang w:bidi="ar"/>
              </w:rPr>
              <w:t>.5</w:t>
            </w:r>
            <w:r>
              <w:rPr>
                <w:kern w:val="0"/>
                <w:sz w:val="22"/>
                <w:szCs w:val="22"/>
                <w:lang w:bidi="ar"/>
              </w:rPr>
              <w:t>3</w:t>
            </w:r>
          </w:p>
        </w:tc>
        <w:tc>
          <w:tcPr>
            <w:tcW w:w="1417" w:type="dxa"/>
            <w:vAlign w:val="center"/>
          </w:tcPr>
          <w:p>
            <w:pPr>
              <w:widowControl/>
              <w:ind w:left="1"/>
              <w:jc w:val="center"/>
              <w:textAlignment w:val="center"/>
              <w:rPr>
                <w:kern w:val="0"/>
                <w:sz w:val="22"/>
                <w:szCs w:val="22"/>
                <w:highlight w:val="red"/>
              </w:rPr>
            </w:pPr>
            <w:r>
              <w:rPr>
                <w:rFonts w:hint="eastAsia"/>
                <w:kern w:val="0"/>
                <w:sz w:val="22"/>
                <w:szCs w:val="22"/>
                <w:lang w:bidi="ar"/>
              </w:rPr>
              <w:t>0.76</w:t>
            </w:r>
          </w:p>
        </w:tc>
        <w:tc>
          <w:tcPr>
            <w:tcW w:w="1418" w:type="dxa"/>
            <w:vAlign w:val="center"/>
          </w:tcPr>
          <w:p>
            <w:pPr>
              <w:jc w:val="center"/>
              <w:rPr>
                <w:kern w:val="0"/>
                <w:sz w:val="22"/>
                <w:szCs w:val="22"/>
                <w:highlight w:val="red"/>
              </w:rPr>
            </w:pPr>
            <w:r>
              <w:rPr>
                <w:rFonts w:hint="eastAsia"/>
                <w:sz w:val="22"/>
                <w:szCs w:val="22"/>
              </w:rPr>
              <w:t>0.67</w:t>
            </w:r>
          </w:p>
        </w:tc>
        <w:tc>
          <w:tcPr>
            <w:tcW w:w="1418" w:type="dxa"/>
            <w:vAlign w:val="center"/>
          </w:tcPr>
          <w:p>
            <w:pPr>
              <w:jc w:val="center"/>
              <w:rPr>
                <w:kern w:val="0"/>
                <w:sz w:val="22"/>
                <w:szCs w:val="22"/>
                <w:highlight w:val="red"/>
              </w:rPr>
            </w:pPr>
            <w:r>
              <w:rPr>
                <w:rFonts w:hint="eastAsia"/>
                <w:sz w:val="22"/>
                <w:szCs w:val="22"/>
              </w:rPr>
              <w:t>0.44</w:t>
            </w:r>
          </w:p>
        </w:tc>
      </w:tr>
    </w:tbl>
    <w:p>
      <w:pPr>
        <w:pStyle w:val="19"/>
        <w:spacing w:before="312" w:after="312"/>
        <w:jc w:val="left"/>
        <w:rPr>
          <w:rFonts w:ascii="Times New Roman"/>
        </w:rPr>
      </w:pPr>
      <w:bookmarkStart w:id="10" w:name="_Toc278274764"/>
      <w:bookmarkStart w:id="11" w:name="_Toc278274918"/>
      <w:bookmarkStart w:id="12" w:name="_Toc255217320"/>
      <w:bookmarkStart w:id="13" w:name="_Toc255217274"/>
      <w:bookmarkStart w:id="14" w:name="_Toc278274750"/>
      <w:bookmarkStart w:id="15" w:name="_Toc325641021"/>
      <w:bookmarkStart w:id="16" w:name="_Toc255307407"/>
      <w:r>
        <w:rPr>
          <w:rFonts w:hint="eastAsia" w:ascii="Times New Roman"/>
        </w:rPr>
        <w:t>质量保证与控制</w:t>
      </w:r>
      <w:bookmarkEnd w:id="10"/>
      <w:bookmarkEnd w:id="11"/>
      <w:bookmarkEnd w:id="12"/>
      <w:bookmarkEnd w:id="13"/>
      <w:bookmarkEnd w:id="14"/>
      <w:bookmarkEnd w:id="15"/>
      <w:bookmarkEnd w:id="16"/>
    </w:p>
    <w:p>
      <w:pPr>
        <w:pStyle w:val="14"/>
      </w:pPr>
      <w:bookmarkStart w:id="17" w:name="_Toc255217275"/>
      <w:r>
        <w:rPr>
          <w:rFonts w:hint="eastAsia"/>
        </w:rPr>
        <w:t>根据日常样品检测工作量定期校核本分析方法的有效性(例如每天、每周或每月一次)。当过程失控时，应找出原因，纠正错误后，重新进行校核</w:t>
      </w:r>
      <w:bookmarkEnd w:id="17"/>
      <w:r>
        <w:rPr>
          <w:rFonts w:hint="eastAsia"/>
        </w:rPr>
        <w:t>。</w:t>
      </w:r>
    </w:p>
    <w:p>
      <w:pPr>
        <w:pStyle w:val="19"/>
        <w:spacing w:before="312" w:after="312"/>
        <w:jc w:val="left"/>
        <w:rPr>
          <w:rFonts w:ascii="Times New Roman"/>
        </w:rPr>
      </w:pPr>
      <w:r>
        <w:rPr>
          <w:rFonts w:hint="eastAsia" w:ascii="Times New Roman"/>
        </w:rPr>
        <w:t>试验报告</w:t>
      </w:r>
    </w:p>
    <w:p>
      <w:pPr>
        <w:pStyle w:val="14"/>
      </w:pPr>
      <w:r>
        <w:rPr>
          <w:rFonts w:hint="eastAsia"/>
        </w:rPr>
        <w:t>试验报告应包含以下内容：</w:t>
      </w:r>
    </w:p>
    <w:p>
      <w:pPr>
        <w:pStyle w:val="14"/>
        <w:numPr>
          <w:ilvl w:val="0"/>
          <w:numId w:val="7"/>
        </w:numPr>
        <w:tabs>
          <w:tab w:val="center" w:pos="426"/>
          <w:tab w:val="clear" w:pos="4201"/>
          <w:tab w:val="clear" w:pos="9298"/>
        </w:tabs>
        <w:ind w:left="0" w:firstLine="420"/>
      </w:pPr>
      <w:r>
        <w:rPr>
          <w:rFonts w:hint="eastAsia"/>
        </w:rPr>
        <w:t>样品名称和编号；</w:t>
      </w:r>
    </w:p>
    <w:p>
      <w:pPr>
        <w:pStyle w:val="14"/>
        <w:numPr>
          <w:ilvl w:val="0"/>
          <w:numId w:val="7"/>
        </w:numPr>
        <w:tabs>
          <w:tab w:val="center" w:pos="426"/>
          <w:tab w:val="clear" w:pos="4201"/>
          <w:tab w:val="clear" w:pos="9298"/>
        </w:tabs>
        <w:ind w:left="0" w:firstLine="420"/>
      </w:pPr>
      <w:r>
        <w:rPr>
          <w:rFonts w:hint="eastAsia"/>
        </w:rPr>
        <w:t>样品状态；</w:t>
      </w:r>
    </w:p>
    <w:p>
      <w:pPr>
        <w:pStyle w:val="14"/>
        <w:numPr>
          <w:ilvl w:val="0"/>
          <w:numId w:val="7"/>
        </w:numPr>
        <w:tabs>
          <w:tab w:val="center" w:pos="426"/>
          <w:tab w:val="clear" w:pos="4201"/>
          <w:tab w:val="clear" w:pos="9298"/>
        </w:tabs>
        <w:ind w:left="0" w:firstLine="420"/>
      </w:pPr>
      <w:r>
        <w:rPr>
          <w:rFonts w:hint="eastAsia"/>
        </w:rPr>
        <w:t>测定结果及表示；</w:t>
      </w:r>
    </w:p>
    <w:p>
      <w:pPr>
        <w:pStyle w:val="27"/>
        <w:numPr>
          <w:ilvl w:val="0"/>
          <w:numId w:val="7"/>
        </w:numPr>
        <w:tabs>
          <w:tab w:val="center" w:pos="426"/>
        </w:tabs>
        <w:ind w:left="0" w:firstLine="420" w:firstLineChars="200"/>
      </w:pPr>
      <w:r>
        <w:rPr>
          <w:rFonts w:hint="eastAsia"/>
        </w:rPr>
        <w:t>分析操作人员；</w:t>
      </w:r>
    </w:p>
    <w:p>
      <w:pPr>
        <w:pStyle w:val="14"/>
        <w:numPr>
          <w:ilvl w:val="0"/>
          <w:numId w:val="7"/>
        </w:numPr>
        <w:tabs>
          <w:tab w:val="center" w:pos="426"/>
          <w:tab w:val="clear" w:pos="4201"/>
          <w:tab w:val="clear" w:pos="9298"/>
        </w:tabs>
        <w:ind w:left="0" w:firstLine="420"/>
      </w:pPr>
      <w:r>
        <w:rPr>
          <w:rFonts w:hint="eastAsia"/>
        </w:rPr>
        <w:t>本标准编号；</w:t>
      </w:r>
    </w:p>
    <w:p>
      <w:pPr>
        <w:pStyle w:val="14"/>
        <w:numPr>
          <w:ilvl w:val="0"/>
          <w:numId w:val="7"/>
        </w:numPr>
        <w:tabs>
          <w:tab w:val="center" w:pos="426"/>
          <w:tab w:val="clear" w:pos="4201"/>
          <w:tab w:val="clear" w:pos="9298"/>
        </w:tabs>
        <w:ind w:left="0" w:firstLine="420"/>
      </w:pPr>
      <w:r>
        <w:rPr>
          <w:rFonts w:hint="eastAsia"/>
        </w:rPr>
        <w:t>试验日期；</w:t>
      </w:r>
    </w:p>
    <w:p>
      <w:pPr>
        <w:pStyle w:val="14"/>
        <w:numPr>
          <w:ilvl w:val="0"/>
          <w:numId w:val="7"/>
        </w:numPr>
        <w:tabs>
          <w:tab w:val="center" w:pos="426"/>
          <w:tab w:val="clear" w:pos="4201"/>
          <w:tab w:val="clear" w:pos="9298"/>
        </w:tabs>
        <w:ind w:left="0" w:firstLine="420"/>
      </w:pPr>
      <w:r>
        <w:rPr>
          <w:rFonts w:hint="eastAsia"/>
        </w:rPr>
        <w:t>其他。</w:t>
      </w:r>
    </w:p>
    <w:p/>
    <w:p>
      <w:pPr>
        <w:pStyle w:val="44"/>
        <w:framePr w:hAnchor="page" w:x="4451" w:y="308"/>
      </w:pPr>
      <w:r>
        <w:t>_________________________________</w:t>
      </w:r>
    </w:p>
    <w:p>
      <w:pPr>
        <w:pStyle w:val="14"/>
      </w:pPr>
    </w:p>
    <w:p>
      <w:pPr>
        <w:widowControl/>
        <w:jc w:val="left"/>
      </w:pPr>
    </w:p>
    <w:sectPr>
      <w:pgSz w:w="11906" w:h="16838"/>
      <w:pgMar w:top="567" w:right="1134" w:bottom="1134" w:left="1418"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YS/</w:t>
    </w:r>
    <w:r>
      <w:rPr>
        <w:rFonts w:hint="eastAsia"/>
      </w:rPr>
      <w:t>T</w:t>
    </w:r>
    <w:r>
      <w:t xml:space="preserve"> </w:t>
    </w:r>
    <w:r>
      <w:rPr>
        <w:rFonts w:hint="eastAsia"/>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30"/>
      <w:suff w:val="nothing"/>
      <w:lvlText w:val="注%1："/>
      <w:lvlJc w:val="left"/>
      <w:pPr>
        <w:ind w:left="448" w:hanging="448"/>
      </w:pPr>
      <w:rPr>
        <w:rFonts w:hint="eastAsia" w:ascii="黑体" w:eastAsia="黑体"/>
        <w:b w:val="0"/>
        <w:i w:val="0"/>
        <w:sz w:val="18"/>
        <w:szCs w:val="18"/>
        <w:vertAlign w:val="baseline"/>
      </w:rPr>
    </w:lvl>
    <w:lvl w:ilvl="1" w:tentative="0">
      <w:start w:val="1"/>
      <w:numFmt w:val="lowerLetter"/>
      <w:lvlText w:val="%2)"/>
      <w:lvlJc w:val="left"/>
      <w:pPr>
        <w:tabs>
          <w:tab w:val="left" w:pos="-183"/>
        </w:tabs>
        <w:ind w:left="809" w:hanging="629"/>
      </w:pPr>
      <w:rPr>
        <w:rFonts w:hint="eastAsia"/>
        <w:vertAlign w:val="baseline"/>
      </w:rPr>
    </w:lvl>
    <w:lvl w:ilvl="2" w:tentative="0">
      <w:start w:val="1"/>
      <w:numFmt w:val="lowerRoman"/>
      <w:lvlText w:val="%3."/>
      <w:lvlJc w:val="right"/>
      <w:pPr>
        <w:tabs>
          <w:tab w:val="left" w:pos="-183"/>
        </w:tabs>
        <w:ind w:left="809" w:hanging="629"/>
      </w:pPr>
      <w:rPr>
        <w:rFonts w:hint="eastAsia"/>
        <w:vertAlign w:val="baseline"/>
      </w:rPr>
    </w:lvl>
    <w:lvl w:ilvl="3" w:tentative="0">
      <w:start w:val="1"/>
      <w:numFmt w:val="decimal"/>
      <w:lvlText w:val="%4."/>
      <w:lvlJc w:val="left"/>
      <w:pPr>
        <w:tabs>
          <w:tab w:val="left" w:pos="-183"/>
        </w:tabs>
        <w:ind w:left="809" w:hanging="629"/>
      </w:pPr>
      <w:rPr>
        <w:rFonts w:hint="eastAsia"/>
        <w:vertAlign w:val="baseline"/>
      </w:rPr>
    </w:lvl>
    <w:lvl w:ilvl="4" w:tentative="0">
      <w:start w:val="1"/>
      <w:numFmt w:val="lowerLetter"/>
      <w:lvlText w:val="%5)"/>
      <w:lvlJc w:val="left"/>
      <w:pPr>
        <w:tabs>
          <w:tab w:val="left" w:pos="-183"/>
        </w:tabs>
        <w:ind w:left="809" w:hanging="629"/>
      </w:pPr>
      <w:rPr>
        <w:rFonts w:hint="eastAsia"/>
        <w:vertAlign w:val="baseline"/>
      </w:rPr>
    </w:lvl>
    <w:lvl w:ilvl="5" w:tentative="0">
      <w:start w:val="1"/>
      <w:numFmt w:val="lowerRoman"/>
      <w:lvlText w:val="%6."/>
      <w:lvlJc w:val="right"/>
      <w:pPr>
        <w:tabs>
          <w:tab w:val="left" w:pos="-183"/>
        </w:tabs>
        <w:ind w:left="809" w:hanging="629"/>
      </w:pPr>
      <w:rPr>
        <w:rFonts w:hint="eastAsia"/>
        <w:vertAlign w:val="baseline"/>
      </w:rPr>
    </w:lvl>
    <w:lvl w:ilvl="6" w:tentative="0">
      <w:start w:val="1"/>
      <w:numFmt w:val="decimal"/>
      <w:lvlText w:val="%7."/>
      <w:lvlJc w:val="left"/>
      <w:pPr>
        <w:tabs>
          <w:tab w:val="left" w:pos="-183"/>
        </w:tabs>
        <w:ind w:left="809" w:hanging="629"/>
      </w:pPr>
      <w:rPr>
        <w:rFonts w:hint="eastAsia"/>
        <w:vertAlign w:val="baseline"/>
      </w:rPr>
    </w:lvl>
    <w:lvl w:ilvl="7" w:tentative="0">
      <w:start w:val="1"/>
      <w:numFmt w:val="lowerLetter"/>
      <w:lvlText w:val="%8)"/>
      <w:lvlJc w:val="left"/>
      <w:pPr>
        <w:tabs>
          <w:tab w:val="left" w:pos="-183"/>
        </w:tabs>
        <w:ind w:left="809" w:hanging="629"/>
      </w:pPr>
      <w:rPr>
        <w:rFonts w:hint="eastAsia"/>
        <w:vertAlign w:val="baseline"/>
      </w:rPr>
    </w:lvl>
    <w:lvl w:ilvl="8" w:tentative="0">
      <w:start w:val="1"/>
      <w:numFmt w:val="lowerRoman"/>
      <w:lvlText w:val="%9."/>
      <w:lvlJc w:val="right"/>
      <w:pPr>
        <w:tabs>
          <w:tab w:val="left" w:pos="-183"/>
        </w:tabs>
        <w:ind w:left="809" w:hanging="629"/>
      </w:pPr>
      <w:rPr>
        <w:rFonts w:hint="eastAsia"/>
        <w:vertAlign w:val="baseline"/>
      </w:r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993" w:hanging="567"/>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567"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557C2AF5"/>
    <w:multiLevelType w:val="multilevel"/>
    <w:tmpl w:val="557C2AF5"/>
    <w:lvl w:ilvl="0" w:tentative="0">
      <w:start w:val="1"/>
      <w:numFmt w:val="decimal"/>
      <w:pStyle w:val="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43"/>
      <w:suff w:val="nothing"/>
      <w:lvlText w:val="表%1　"/>
      <w:lvlJc w:val="left"/>
      <w:pPr>
        <w:ind w:left="2127" w:firstLine="0"/>
      </w:pPr>
      <w:rPr>
        <w:rFonts w:hint="eastAsia" w:ascii="黑体" w:hAnsi="Times New Roman" w:eastAsia="黑体"/>
        <w:b w:val="0"/>
        <w:i w:val="0"/>
        <w:sz w:val="21"/>
      </w:rPr>
    </w:lvl>
    <w:lvl w:ilvl="1" w:tentative="0">
      <w:start w:val="1"/>
      <w:numFmt w:val="decimal"/>
      <w:lvlText w:val="%1.%2"/>
      <w:lvlJc w:val="left"/>
      <w:pPr>
        <w:tabs>
          <w:tab w:val="left" w:pos="3119"/>
        </w:tabs>
        <w:ind w:left="3119" w:hanging="567"/>
      </w:pPr>
      <w:rPr>
        <w:rFonts w:hint="eastAsia"/>
      </w:rPr>
    </w:lvl>
    <w:lvl w:ilvl="2" w:tentative="0">
      <w:start w:val="1"/>
      <w:numFmt w:val="decimal"/>
      <w:lvlText w:val="%1.%2.%3"/>
      <w:lvlJc w:val="left"/>
      <w:pPr>
        <w:tabs>
          <w:tab w:val="left" w:pos="3545"/>
        </w:tabs>
        <w:ind w:left="3545" w:hanging="567"/>
      </w:pPr>
      <w:rPr>
        <w:rFonts w:hint="eastAsia"/>
      </w:rPr>
    </w:lvl>
    <w:lvl w:ilvl="3" w:tentative="0">
      <w:start w:val="1"/>
      <w:numFmt w:val="decimal"/>
      <w:lvlText w:val="%1.%2.%3.%4"/>
      <w:lvlJc w:val="left"/>
      <w:pPr>
        <w:tabs>
          <w:tab w:val="left" w:pos="4111"/>
        </w:tabs>
        <w:ind w:left="4111" w:hanging="708"/>
      </w:pPr>
      <w:rPr>
        <w:rFonts w:hint="eastAsia"/>
      </w:rPr>
    </w:lvl>
    <w:lvl w:ilvl="4" w:tentative="0">
      <w:start w:val="1"/>
      <w:numFmt w:val="decimal"/>
      <w:lvlText w:val="%1.%2.%3.%4.%5"/>
      <w:lvlJc w:val="left"/>
      <w:pPr>
        <w:tabs>
          <w:tab w:val="left" w:pos="4678"/>
        </w:tabs>
        <w:ind w:left="4678" w:hanging="850"/>
      </w:pPr>
      <w:rPr>
        <w:rFonts w:hint="eastAsia"/>
      </w:rPr>
    </w:lvl>
    <w:lvl w:ilvl="5" w:tentative="0">
      <w:start w:val="1"/>
      <w:numFmt w:val="decimal"/>
      <w:lvlText w:val="%1.%2.%3.%4.%5.%6"/>
      <w:lvlJc w:val="left"/>
      <w:pPr>
        <w:tabs>
          <w:tab w:val="left" w:pos="5387"/>
        </w:tabs>
        <w:ind w:left="5387" w:hanging="1134"/>
      </w:pPr>
      <w:rPr>
        <w:rFonts w:hint="eastAsia"/>
      </w:rPr>
    </w:lvl>
    <w:lvl w:ilvl="6" w:tentative="0">
      <w:start w:val="1"/>
      <w:numFmt w:val="decimal"/>
      <w:lvlText w:val="%1.%2.%3.%4.%5.%6.%7"/>
      <w:lvlJc w:val="left"/>
      <w:pPr>
        <w:tabs>
          <w:tab w:val="left" w:pos="5954"/>
        </w:tabs>
        <w:ind w:left="5954" w:hanging="1276"/>
      </w:pPr>
      <w:rPr>
        <w:rFonts w:hint="eastAsia"/>
      </w:rPr>
    </w:lvl>
    <w:lvl w:ilvl="7" w:tentative="0">
      <w:start w:val="1"/>
      <w:numFmt w:val="decimal"/>
      <w:lvlText w:val="%1.%2.%3.%4.%5.%6.%7.%8"/>
      <w:lvlJc w:val="left"/>
      <w:pPr>
        <w:tabs>
          <w:tab w:val="left" w:pos="6521"/>
        </w:tabs>
        <w:ind w:left="6521" w:hanging="1418"/>
      </w:pPr>
      <w:rPr>
        <w:rFonts w:hint="eastAsia"/>
      </w:rPr>
    </w:lvl>
    <w:lvl w:ilvl="8" w:tentative="0">
      <w:start w:val="1"/>
      <w:numFmt w:val="decimal"/>
      <w:lvlText w:val="%1.%2.%3.%4.%5.%6.%7.%8.%9"/>
      <w:lvlJc w:val="left"/>
      <w:pPr>
        <w:tabs>
          <w:tab w:val="left" w:pos="7229"/>
        </w:tabs>
        <w:ind w:left="7229" w:hanging="1700"/>
      </w:pPr>
      <w:rPr>
        <w:rFonts w:hint="eastAsia"/>
      </w:rPr>
    </w:lvl>
  </w:abstractNum>
  <w:abstractNum w:abstractNumId="5">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73B55FD"/>
    <w:multiLevelType w:val="multilevel"/>
    <w:tmpl w:val="773B55FD"/>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8E"/>
    <w:rsid w:val="00032109"/>
    <w:rsid w:val="00036F42"/>
    <w:rsid w:val="00097494"/>
    <w:rsid w:val="000A1430"/>
    <w:rsid w:val="000E6985"/>
    <w:rsid w:val="000F6431"/>
    <w:rsid w:val="000F6B84"/>
    <w:rsid w:val="000F7651"/>
    <w:rsid w:val="001242F0"/>
    <w:rsid w:val="00172A27"/>
    <w:rsid w:val="001819FA"/>
    <w:rsid w:val="00197E32"/>
    <w:rsid w:val="001D522E"/>
    <w:rsid w:val="00245386"/>
    <w:rsid w:val="002960C9"/>
    <w:rsid w:val="002A2FC2"/>
    <w:rsid w:val="002B0C80"/>
    <w:rsid w:val="002B1115"/>
    <w:rsid w:val="002B3BC8"/>
    <w:rsid w:val="002F4377"/>
    <w:rsid w:val="00325D20"/>
    <w:rsid w:val="00340EA3"/>
    <w:rsid w:val="0038262F"/>
    <w:rsid w:val="003867F7"/>
    <w:rsid w:val="00386A49"/>
    <w:rsid w:val="003959C1"/>
    <w:rsid w:val="003961E4"/>
    <w:rsid w:val="003A5805"/>
    <w:rsid w:val="003B6C0A"/>
    <w:rsid w:val="00402972"/>
    <w:rsid w:val="004158D1"/>
    <w:rsid w:val="00422E2B"/>
    <w:rsid w:val="00431FC3"/>
    <w:rsid w:val="0046566A"/>
    <w:rsid w:val="00467FF8"/>
    <w:rsid w:val="00492E3B"/>
    <w:rsid w:val="004C3F93"/>
    <w:rsid w:val="004C4F46"/>
    <w:rsid w:val="004E5B74"/>
    <w:rsid w:val="004E664E"/>
    <w:rsid w:val="00510A78"/>
    <w:rsid w:val="00520310"/>
    <w:rsid w:val="00531436"/>
    <w:rsid w:val="005317E9"/>
    <w:rsid w:val="00581C45"/>
    <w:rsid w:val="00583A89"/>
    <w:rsid w:val="0058431E"/>
    <w:rsid w:val="00585D40"/>
    <w:rsid w:val="005D73E9"/>
    <w:rsid w:val="005F0F96"/>
    <w:rsid w:val="005F44C3"/>
    <w:rsid w:val="00660CE9"/>
    <w:rsid w:val="00672A87"/>
    <w:rsid w:val="00684CCF"/>
    <w:rsid w:val="00690CED"/>
    <w:rsid w:val="006F7978"/>
    <w:rsid w:val="00742280"/>
    <w:rsid w:val="0075105D"/>
    <w:rsid w:val="00756607"/>
    <w:rsid w:val="007601B7"/>
    <w:rsid w:val="00782F1B"/>
    <w:rsid w:val="007B063C"/>
    <w:rsid w:val="007B7FFE"/>
    <w:rsid w:val="007D73C7"/>
    <w:rsid w:val="007F43EB"/>
    <w:rsid w:val="00865A74"/>
    <w:rsid w:val="008C2F48"/>
    <w:rsid w:val="0091388A"/>
    <w:rsid w:val="009170AF"/>
    <w:rsid w:val="009344BC"/>
    <w:rsid w:val="0099502C"/>
    <w:rsid w:val="009A19F8"/>
    <w:rsid w:val="009A4887"/>
    <w:rsid w:val="009D4EA0"/>
    <w:rsid w:val="009D6437"/>
    <w:rsid w:val="009F367E"/>
    <w:rsid w:val="009F36CF"/>
    <w:rsid w:val="00A0500F"/>
    <w:rsid w:val="00A6406D"/>
    <w:rsid w:val="00A673D1"/>
    <w:rsid w:val="00A75BC8"/>
    <w:rsid w:val="00A90145"/>
    <w:rsid w:val="00AF2A40"/>
    <w:rsid w:val="00AF32F3"/>
    <w:rsid w:val="00B20846"/>
    <w:rsid w:val="00B2221D"/>
    <w:rsid w:val="00B24FE9"/>
    <w:rsid w:val="00B6269B"/>
    <w:rsid w:val="00BA4C07"/>
    <w:rsid w:val="00BD3D50"/>
    <w:rsid w:val="00BF7E65"/>
    <w:rsid w:val="00CA578D"/>
    <w:rsid w:val="00CD0DBD"/>
    <w:rsid w:val="00CF0BC7"/>
    <w:rsid w:val="00CF49E8"/>
    <w:rsid w:val="00CF5515"/>
    <w:rsid w:val="00D1386A"/>
    <w:rsid w:val="00D32703"/>
    <w:rsid w:val="00D36814"/>
    <w:rsid w:val="00D45156"/>
    <w:rsid w:val="00D55421"/>
    <w:rsid w:val="00D554EB"/>
    <w:rsid w:val="00D81DC2"/>
    <w:rsid w:val="00D85239"/>
    <w:rsid w:val="00DB0FCB"/>
    <w:rsid w:val="00DD5C57"/>
    <w:rsid w:val="00DE05F3"/>
    <w:rsid w:val="00DF5C27"/>
    <w:rsid w:val="00DF7F1B"/>
    <w:rsid w:val="00E06089"/>
    <w:rsid w:val="00E25177"/>
    <w:rsid w:val="00E265D5"/>
    <w:rsid w:val="00E828D2"/>
    <w:rsid w:val="00EB6105"/>
    <w:rsid w:val="00ED2448"/>
    <w:rsid w:val="00EF522D"/>
    <w:rsid w:val="00EF6AFD"/>
    <w:rsid w:val="00F04B68"/>
    <w:rsid w:val="00F06FE3"/>
    <w:rsid w:val="00F136A6"/>
    <w:rsid w:val="00F16554"/>
    <w:rsid w:val="00F51417"/>
    <w:rsid w:val="00FA5592"/>
    <w:rsid w:val="00FA5CE4"/>
    <w:rsid w:val="00FC38DF"/>
    <w:rsid w:val="00FD360A"/>
    <w:rsid w:val="00FD77F4"/>
    <w:rsid w:val="00FE3C04"/>
    <w:rsid w:val="00FE688A"/>
    <w:rsid w:val="055D5B79"/>
    <w:rsid w:val="06885290"/>
    <w:rsid w:val="0794179E"/>
    <w:rsid w:val="09396BBE"/>
    <w:rsid w:val="098E0DC3"/>
    <w:rsid w:val="0B364690"/>
    <w:rsid w:val="0B69264C"/>
    <w:rsid w:val="0E2E7056"/>
    <w:rsid w:val="0EC60D3B"/>
    <w:rsid w:val="10ED78CC"/>
    <w:rsid w:val="154C3328"/>
    <w:rsid w:val="15687040"/>
    <w:rsid w:val="15D241ED"/>
    <w:rsid w:val="1BAF7FDB"/>
    <w:rsid w:val="1C1A55B8"/>
    <w:rsid w:val="1CDD2EAB"/>
    <w:rsid w:val="1F5A5546"/>
    <w:rsid w:val="1FED5127"/>
    <w:rsid w:val="229611E4"/>
    <w:rsid w:val="24A01389"/>
    <w:rsid w:val="27667999"/>
    <w:rsid w:val="28543146"/>
    <w:rsid w:val="2B912D94"/>
    <w:rsid w:val="2F8302F4"/>
    <w:rsid w:val="2FEB7736"/>
    <w:rsid w:val="31924AD2"/>
    <w:rsid w:val="334125A2"/>
    <w:rsid w:val="36A74248"/>
    <w:rsid w:val="37CD1099"/>
    <w:rsid w:val="40390B7F"/>
    <w:rsid w:val="427F1685"/>
    <w:rsid w:val="43611526"/>
    <w:rsid w:val="43FA0AE0"/>
    <w:rsid w:val="44E67090"/>
    <w:rsid w:val="46AB2E4F"/>
    <w:rsid w:val="49372569"/>
    <w:rsid w:val="4C976B8D"/>
    <w:rsid w:val="4FE26733"/>
    <w:rsid w:val="522F4F82"/>
    <w:rsid w:val="547402A5"/>
    <w:rsid w:val="55592B1F"/>
    <w:rsid w:val="57CF7D7D"/>
    <w:rsid w:val="58762955"/>
    <w:rsid w:val="5FCA21E2"/>
    <w:rsid w:val="61514BA7"/>
    <w:rsid w:val="6302283F"/>
    <w:rsid w:val="66E62B43"/>
    <w:rsid w:val="6943358B"/>
    <w:rsid w:val="6A586B37"/>
    <w:rsid w:val="6BC87556"/>
    <w:rsid w:val="6CEB6FD0"/>
    <w:rsid w:val="6FA77747"/>
    <w:rsid w:val="71D740CA"/>
    <w:rsid w:val="721B5F96"/>
    <w:rsid w:val="72864F26"/>
    <w:rsid w:val="748F5DCF"/>
    <w:rsid w:val="76A1422C"/>
    <w:rsid w:val="77CE1D9C"/>
    <w:rsid w:val="78DE704D"/>
    <w:rsid w:val="7AA43A73"/>
    <w:rsid w:val="7C236DF9"/>
    <w:rsid w:val="7C54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50"/>
    <w:semiHidden/>
    <w:unhideWhenUsed/>
    <w:qFormat/>
    <w:uiPriority w:val="99"/>
    <w:pPr>
      <w:jc w:val="left"/>
    </w:pPr>
  </w:style>
  <w:style w:type="paragraph" w:styleId="3">
    <w:name w:val="Balloon Text"/>
    <w:basedOn w:val="1"/>
    <w:link w:val="52"/>
    <w:semiHidden/>
    <w:unhideWhenUsed/>
    <w:qFormat/>
    <w:uiPriority w:val="99"/>
    <w:rPr>
      <w:sz w:val="18"/>
      <w:szCs w:val="18"/>
    </w:rPr>
  </w:style>
  <w:style w:type="paragraph" w:styleId="4">
    <w:name w:val="footer"/>
    <w:basedOn w:val="1"/>
    <w:link w:val="49"/>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51"/>
    <w:semiHidden/>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sz w:val="18"/>
    </w:rPr>
  </w:style>
  <w:style w:type="character" w:styleId="11">
    <w:name w:val="Hyperlink"/>
    <w:basedOn w:val="9"/>
    <w:qFormat/>
    <w:uiPriority w:val="0"/>
    <w:rPr>
      <w:color w:val="0000FF"/>
      <w:spacing w:val="0"/>
      <w:w w:val="100"/>
      <w:szCs w:val="21"/>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9"/>
    <w:link w:val="14"/>
    <w:qFormat/>
    <w:uiPriority w:val="0"/>
    <w:rPr>
      <w:rFonts w:ascii="宋体" w:hAnsi="Times New Roman" w:eastAsia="宋体" w:cs="Times New Roman"/>
      <w:kern w:val="0"/>
      <w:szCs w:val="20"/>
    </w:rPr>
  </w:style>
  <w:style w:type="paragraph" w:customStyle="1" w:styleId="16">
    <w:name w:val="一级条标题"/>
    <w:next w:val="14"/>
    <w:qFormat/>
    <w:uiPriority w:val="0"/>
    <w:pPr>
      <w:numPr>
        <w:ilvl w:val="1"/>
        <w:numId w:val="1"/>
      </w:numPr>
      <w:spacing w:beforeLines="50" w:afterLines="50"/>
      <w:ind w:left="567"/>
      <w:outlineLvl w:val="2"/>
    </w:pPr>
    <w:rPr>
      <w:rFonts w:ascii="黑体" w:hAnsi="Times New Roman" w:eastAsia="黑体" w:cs="Times New Roman"/>
      <w:sz w:val="21"/>
      <w:szCs w:val="21"/>
      <w:lang w:val="en-US" w:eastAsia="zh-CN" w:bidi="ar-SA"/>
    </w:rPr>
  </w:style>
  <w:style w:type="paragraph" w:customStyle="1" w:styleId="1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9">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6"/>
    <w:next w:val="14"/>
    <w:qFormat/>
    <w:uiPriority w:val="0"/>
    <w:pPr>
      <w:numPr>
        <w:ilvl w:val="2"/>
      </w:numPr>
      <w:spacing w:before="50" w:after="50"/>
      <w:outlineLvl w:val="3"/>
    </w:p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目次、标准名称标题"/>
    <w:basedOn w:val="1"/>
    <w:next w:val="1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三级条标题"/>
    <w:basedOn w:val="20"/>
    <w:next w:val="14"/>
    <w:qFormat/>
    <w:uiPriority w:val="0"/>
    <w:pPr>
      <w:numPr>
        <w:ilvl w:val="3"/>
      </w:numPr>
      <w:outlineLvl w:val="4"/>
    </w:pPr>
  </w:style>
  <w:style w:type="paragraph" w:customStyle="1" w:styleId="24">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5">
    <w:name w:val="四级条标题"/>
    <w:basedOn w:val="23"/>
    <w:next w:val="14"/>
    <w:qFormat/>
    <w:uiPriority w:val="0"/>
    <w:pPr>
      <w:numPr>
        <w:ilvl w:val="4"/>
      </w:numPr>
      <w:outlineLvl w:val="5"/>
    </w:pPr>
  </w:style>
  <w:style w:type="paragraph" w:customStyle="1" w:styleId="26">
    <w:name w:val="五级条标题"/>
    <w:basedOn w:val="25"/>
    <w:next w:val="14"/>
    <w:qFormat/>
    <w:uiPriority w:val="0"/>
    <w:pPr>
      <w:numPr>
        <w:ilvl w:val="5"/>
      </w:numPr>
      <w:outlineLvl w:val="6"/>
    </w:p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29">
    <w:name w:val="二级无"/>
    <w:basedOn w:val="20"/>
    <w:qFormat/>
    <w:uiPriority w:val="0"/>
    <w:pPr>
      <w:spacing w:beforeLines="0" w:afterLines="0"/>
      <w:ind w:left="0"/>
    </w:pPr>
    <w:rPr>
      <w:rFonts w:ascii="宋体" w:eastAsia="宋体"/>
    </w:rPr>
  </w:style>
  <w:style w:type="paragraph" w:customStyle="1" w:styleId="30">
    <w:name w:val="注×：（正文）"/>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32">
    <w:name w:val="发布"/>
    <w:basedOn w:val="9"/>
    <w:qFormat/>
    <w:uiPriority w:val="0"/>
    <w:rPr>
      <w:rFonts w:ascii="黑体" w:eastAsia="黑体"/>
      <w:spacing w:val="85"/>
      <w:w w:val="100"/>
      <w:position w:val="3"/>
      <w:sz w:val="28"/>
      <w:szCs w:val="28"/>
    </w:rPr>
  </w:style>
  <w:style w:type="paragraph" w:customStyle="1" w:styleId="3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封面标准英文名称"/>
    <w:basedOn w:val="34"/>
    <w:qFormat/>
    <w:uiPriority w:val="0"/>
    <w:pPr>
      <w:framePr/>
      <w:spacing w:before="370" w:line="400" w:lineRule="exact"/>
    </w:pPr>
    <w:rPr>
      <w:rFonts w:ascii="Times New Roman"/>
      <w:sz w:val="28"/>
      <w:szCs w:val="28"/>
    </w:rPr>
  </w:style>
  <w:style w:type="paragraph" w:customStyle="1" w:styleId="3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37">
    <w:name w:val="封面标准文稿编辑信息"/>
    <w:basedOn w:val="36"/>
    <w:qFormat/>
    <w:uiPriority w:val="0"/>
    <w:pPr>
      <w:framePr/>
      <w:spacing w:before="180" w:line="180" w:lineRule="exact"/>
    </w:pPr>
    <w:rPr>
      <w:sz w:val="21"/>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40">
    <w:name w:val="前言、引言标题"/>
    <w:next w:val="1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2">
    <w:name w:val="正文表标题"/>
    <w:next w:val="14"/>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43">
    <w:name w:val="正文图标题"/>
    <w:next w:val="14"/>
    <w:qFormat/>
    <w:uiPriority w:val="0"/>
    <w:pPr>
      <w:numPr>
        <w:ilvl w:val="0"/>
        <w:numId w:val="4"/>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其他发布日期"/>
    <w:basedOn w:val="1"/>
    <w:qFormat/>
    <w:uiPriority w:val="0"/>
    <w:pPr>
      <w:framePr w:w="3997" w:h="471" w:hRule="exact" w:vSpace="181" w:wrap="around" w:vAnchor="page" w:hAnchor="page" w:x="1419" w:y="14097" w:anchorLock="1"/>
      <w:widowControl/>
      <w:numPr>
        <w:ilvl w:val="0"/>
        <w:numId w:val="5"/>
      </w:numPr>
      <w:jc w:val="left"/>
    </w:pPr>
    <w:rPr>
      <w:rFonts w:eastAsia="黑体"/>
      <w:kern w:val="0"/>
      <w:sz w:val="28"/>
      <w:szCs w:val="20"/>
    </w:rPr>
  </w:style>
  <w:style w:type="paragraph" w:customStyle="1" w:styleId="46">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47">
    <w:name w:val="标准正文"/>
    <w:basedOn w:val="1"/>
    <w:link w:val="48"/>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48">
    <w:name w:val="标准正文 Char"/>
    <w:basedOn w:val="9"/>
    <w:link w:val="47"/>
    <w:qFormat/>
    <w:uiPriority w:val="0"/>
    <w:rPr>
      <w:rFonts w:ascii="宋体" w:hAnsi="Times New Roman" w:eastAsia="宋体" w:cs="Times New Roman"/>
      <w:kern w:val="0"/>
      <w:szCs w:val="20"/>
    </w:rPr>
  </w:style>
  <w:style w:type="character" w:customStyle="1" w:styleId="49">
    <w:name w:val="页脚 字符"/>
    <w:basedOn w:val="9"/>
    <w:link w:val="4"/>
    <w:semiHidden/>
    <w:qFormat/>
    <w:uiPriority w:val="99"/>
    <w:rPr>
      <w:rFonts w:ascii="Times New Roman" w:hAnsi="Times New Roman" w:eastAsia="宋体" w:cs="Times New Roman"/>
      <w:sz w:val="18"/>
      <w:szCs w:val="18"/>
    </w:rPr>
  </w:style>
  <w:style w:type="character" w:customStyle="1" w:styleId="50">
    <w:name w:val="批注文字 字符"/>
    <w:basedOn w:val="9"/>
    <w:link w:val="2"/>
    <w:semiHidden/>
    <w:qFormat/>
    <w:uiPriority w:val="99"/>
    <w:rPr>
      <w:rFonts w:ascii="Times New Roman" w:hAnsi="Times New Roman" w:eastAsia="宋体" w:cs="Times New Roman"/>
      <w:kern w:val="2"/>
      <w:sz w:val="21"/>
      <w:szCs w:val="24"/>
    </w:rPr>
  </w:style>
  <w:style w:type="character" w:customStyle="1" w:styleId="51">
    <w:name w:val="批注主题 字符"/>
    <w:basedOn w:val="50"/>
    <w:link w:val="6"/>
    <w:semiHidden/>
    <w:qFormat/>
    <w:uiPriority w:val="99"/>
    <w:rPr>
      <w:rFonts w:ascii="Times New Roman" w:hAnsi="Times New Roman" w:eastAsia="宋体" w:cs="Times New Roman"/>
      <w:b/>
      <w:bCs/>
      <w:kern w:val="2"/>
      <w:sz w:val="21"/>
      <w:szCs w:val="24"/>
    </w:rPr>
  </w:style>
  <w:style w:type="character" w:customStyle="1" w:styleId="52">
    <w:name w:val="批注框文本 字符"/>
    <w:basedOn w:val="9"/>
    <w:link w:val="3"/>
    <w:semiHidden/>
    <w:qFormat/>
    <w:uiPriority w:val="99"/>
    <w:rPr>
      <w:rFonts w:ascii="Times New Roman" w:hAnsi="Times New Roman" w:eastAsia="宋体" w:cs="Times New Roman"/>
      <w:kern w:val="2"/>
      <w:sz w:val="18"/>
      <w:szCs w:val="18"/>
    </w:rPr>
  </w:style>
  <w:style w:type="paragraph" w:customStyle="1" w:styleId="53">
    <w:name w:val="正文1"/>
    <w:qFormat/>
    <w:uiPriority w:val="0"/>
    <w:pPr>
      <w:jc w:val="both"/>
    </w:pPr>
    <w:rPr>
      <w:rFonts w:ascii="Calibri" w:hAnsi="Calibri" w:eastAsia="宋体" w:cs="Times New Roman"/>
      <w:kern w:val="2"/>
      <w:sz w:val="21"/>
      <w:lang w:val="en-US" w:eastAsia="zh-CN" w:bidi="ar-SA"/>
    </w:rPr>
  </w:style>
  <w:style w:type="character" w:customStyle="1" w:styleId="54">
    <w:name w:val="font21"/>
    <w:basedOn w:val="9"/>
    <w:qFormat/>
    <w:uiPriority w:val="0"/>
    <w:rPr>
      <w:rFonts w:hint="eastAsia" w:ascii="宋体" w:hAnsi="宋体" w:eastAsia="宋体" w:cs="宋体"/>
      <w:color w:val="000000"/>
      <w:sz w:val="21"/>
      <w:szCs w:val="21"/>
      <w:u w:val="none"/>
    </w:rPr>
  </w:style>
  <w:style w:type="character" w:customStyle="1" w:styleId="55">
    <w:name w:val="font01"/>
    <w:basedOn w:val="9"/>
    <w:qFormat/>
    <w:uiPriority w:val="0"/>
    <w:rPr>
      <w:rFonts w:hint="default" w:ascii="Times New Roman" w:hAnsi="Times New Roman" w:cs="Times New Roman"/>
      <w:color w:val="000000"/>
      <w:sz w:val="21"/>
      <w:szCs w:val="21"/>
      <w:u w:val="none"/>
    </w:rPr>
  </w:style>
  <w:style w:type="paragraph" w:customStyle="1" w:styleId="56">
    <w:name w:val="正文公式编号制表符"/>
    <w:basedOn w:val="14"/>
    <w:next w:val="14"/>
    <w:qFormat/>
    <w:uiPriority w:val="0"/>
    <w:pPr>
      <w:ind w:firstLine="0" w:firstLineChars="0"/>
    </w:pPr>
  </w:style>
  <w:style w:type="character" w:customStyle="1" w:styleId="57">
    <w:name w:val="apple-converted-space"/>
    <w:basedOn w:val="9"/>
    <w:qFormat/>
    <w:uiPriority w:val="0"/>
  </w:style>
  <w:style w:type="paragraph" w:customStyle="1" w:styleId="58">
    <w:name w:val="附录标识"/>
    <w:basedOn w:val="1"/>
    <w:next w:val="1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316</Words>
  <Characters>1807</Characters>
  <Lines>15</Lines>
  <Paragraphs>4</Paragraphs>
  <TotalTime>0</TotalTime>
  <ScaleCrop>false</ScaleCrop>
  <LinksUpToDate>false</LinksUpToDate>
  <CharactersWithSpaces>2119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2018-10-20T05:39:00Z</dcterms:created>
  <dc:creator>DT</dc:creator>
  <cp:lastModifiedBy>CathayMok</cp:lastModifiedBy>
  <dcterms:modified xsi:type="dcterms:W3CDTF">2020-10-10T08:56:41Z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