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-56515</wp:posOffset>
                </wp:positionH>
                <wp:positionV relativeFrom="margin">
                  <wp:posOffset>-50165</wp:posOffset>
                </wp:positionV>
                <wp:extent cx="2540000" cy="657860"/>
                <wp:effectExtent l="0" t="0" r="12700" b="8890"/>
                <wp:wrapNone/>
                <wp:docPr id="15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7"/>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w:t>
                            </w:r>
                            <w:r>
                              <w:rPr>
                                <w:rFonts w:hint="eastAsia" w:ascii="宋体" w:hAnsi="宋体" w:eastAsia="宋体"/>
                                <w:color w:val="000000"/>
                              </w:rPr>
                              <w:t>77.120</w:t>
                            </w:r>
                            <w:r>
                              <w:rPr>
                                <w:rFonts w:ascii="宋体" w:hAnsi="宋体" w:eastAsia="宋体"/>
                                <w:color w:val="000000"/>
                              </w:rPr>
                              <w:t xml:space="preserve"> </w:t>
                            </w:r>
                          </w:p>
                          <w:p>
                            <w:pPr>
                              <w:pStyle w:val="17"/>
                              <w:snapToGrid w:val="0"/>
                              <w:rPr>
                                <w:rFonts w:ascii="宋体" w:hAnsi="宋体" w:eastAsia="宋体"/>
                                <w:color w:val="000000"/>
                              </w:rPr>
                            </w:pPr>
                            <w:r>
                              <w:rPr>
                                <w:rFonts w:ascii="宋体" w:hAnsi="宋体" w:eastAsia="宋体"/>
                                <w:b/>
                                <w:color w:val="000000"/>
                              </w:rPr>
                              <w:t xml:space="preserve">H </w:t>
                            </w:r>
                            <w:r>
                              <w:rPr>
                                <w:rFonts w:hint="eastAsia" w:ascii="宋体" w:hAnsi="宋体" w:eastAsia="宋体"/>
                                <w:b/>
                                <w:color w:val="000000"/>
                              </w:rPr>
                              <w:t>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4.45pt;margin-top:-3.95pt;height:51.8pt;width:200pt;mso-position-horizontal-relative:margin;mso-position-vertical-relative:margin;z-index:1024;mso-width-relative:page;mso-height-relative:page;" fillcolor="#FFFFFF" filled="t" stroked="f" coordsize="21600,21600" o:allowincell="f" o:gfxdata="UEsDBAoAAAAAAIdO4kAAAAAAAAAAAAAAAAAEAAAAZHJzL1BLAwQUAAAACACHTuJAwy+769gAAAAI&#10;AQAADwAAAGRycy9kb3ducmV2LnhtbE2PwW7CMBBE75X6D9ZW6qUCJ1QFEuIgFdpbe4AiziZekqjx&#10;OrIdAn/f7ak9jVYzmn1TrK+2Exf0oXWkIJ0mIJAqZ1qqFRy+3idLECFqMrpzhApuGGBd3t8VOjdu&#10;pB1e9rEWXEIh1wqaGPtcylA1aHWYuh6JvbPzVkc+fS2N1yOX207OkmQurW6JPzS6x02D1fd+sArm&#10;Wz+MO9o8bQ9vH/qzr2fH19tRqceHNFmBiHiNf2H4xWd0KJnp5AYyQXQKJsuMk6wLVvafszQFcVKQ&#10;vSxAloX8P6D8AVBLAwQUAAAACACHTuJASVKGtfwBAADtAwAADgAAAGRycy9lMm9Eb2MueG1srVPb&#10;jtsgEH2v1H9AvDdOoiZdWXFW26xSVdpepG0/AGOwUTFDBxI7/foOOEm3u29V/YAGmDnMOXO8uR17&#10;y44KgwFX8cVszplyEhrj2op//7Z/c8NZiMI1woJTFT+pwG+3r19tBl+qJXRgG4WMQFwoB1/xLkZf&#10;FkWQnepFmIFXji41YC8ibbEtGhQDofe2WM7n62IAbDyCVCHQ6f10ybcZX2sl4xetg4rMVpx6i3nF&#10;vNZpLbYbUbYofGfkuQ3xD130wjh69Ap1L6JgBzQvoHojEQLoOJPQF6C1kSpzIDaL+TM2j53wKnMh&#10;cYK/yhT+H6z8fPyKzDQ0u9WKMyd6GpLu90jBIqkz+FBS0qOntDi+h5EyM9PgH0D+CMzBrhOuVXeI&#10;MHRKNNRdriyelE44IYHUwydo6BFxiJCBRo19ko7EYIROUzpdJ6PGyCQdLldv5/RxJuluvXp3s86j&#10;K0R5qfYY4gcFPUtBxZEmn9HF8SFE4kGpl5T0WABrmr2xNm+wrXcW2VGQS/b5S9Sp5K8061Kyg1Q2&#10;XU8nKvvs/EwinXhOjONYj2cRa2hORB9h8iD9MxR0gL84G8h/FQ8/DwIVZ/ajIwmTWS8BXoL6Eggn&#10;qbTikbMp3MXJ1AePpu0IeRqSgzuSWZusQGpt6oK4pQ15KrM8+z+Z9uk+Z/35S7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vu+vYAAAACAEAAA8AAAAAAAAAAQAgAAAAIgAAAGRycy9kb3ducmV2&#10;LnhtbFBLAQIUABQAAAAIAIdO4kBJUoa1/AEAAO0DAAAOAAAAAAAAAAEAIAAAACcBAABkcnMvZTJv&#10;RG9jLnhtbFBLBQYAAAAABgAGAFkBAACVBQAAAAA=&#10;">
                <v:fill on="t" focussize="0,0"/>
                <v:stroke on="f"/>
                <v:imagedata o:title=""/>
                <o:lock v:ext="edit" aspectratio="f"/>
                <v:textbox inset="0mm,0mm,0mm,0mm">
                  <w:txbxContent>
                    <w:p>
                      <w:pPr>
                        <w:pStyle w:val="17"/>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w:t>
                      </w:r>
                      <w:r>
                        <w:rPr>
                          <w:rFonts w:hint="eastAsia" w:ascii="宋体" w:hAnsi="宋体" w:eastAsia="宋体"/>
                          <w:color w:val="000000"/>
                        </w:rPr>
                        <w:t>77.120</w:t>
                      </w:r>
                      <w:r>
                        <w:rPr>
                          <w:rFonts w:ascii="宋体" w:hAnsi="宋体" w:eastAsia="宋体"/>
                          <w:color w:val="000000"/>
                        </w:rPr>
                        <w:t xml:space="preserve"> </w:t>
                      </w:r>
                    </w:p>
                    <w:p>
                      <w:pPr>
                        <w:pStyle w:val="17"/>
                        <w:snapToGrid w:val="0"/>
                        <w:rPr>
                          <w:rFonts w:ascii="宋体" w:hAnsi="宋体" w:eastAsia="宋体"/>
                          <w:color w:val="000000"/>
                        </w:rPr>
                      </w:pPr>
                      <w:r>
                        <w:rPr>
                          <w:rFonts w:ascii="宋体" w:hAnsi="宋体" w:eastAsia="宋体"/>
                          <w:b/>
                          <w:color w:val="000000"/>
                        </w:rPr>
                        <w:t xml:space="preserve">H </w:t>
                      </w:r>
                      <w:r>
                        <w:rPr>
                          <w:rFonts w:hint="eastAsia" w:ascii="宋体" w:hAnsi="宋体" w:eastAsia="宋体"/>
                          <w:b/>
                          <w:color w:val="000000"/>
                        </w:rPr>
                        <w:t>01</w:t>
                      </w:r>
                    </w:p>
                  </w:txbxContent>
                </v:textbox>
                <w10:anchorlock/>
              </v:shape>
            </w:pict>
          </mc:Fallback>
        </mc:AlternateContent>
      </w:r>
    </w:p>
    <w:p>
      <w:pPr>
        <w:rPr>
          <w:sz w:val="28"/>
          <w:szCs w:val="28"/>
        </w:rPr>
      </w:pPr>
      <w:r>
        <w:rPr>
          <w:sz w:val="28"/>
          <w:szCs w:val="28"/>
        </w:rPr>
        <mc:AlternateContent>
          <mc:Choice Requires="wps">
            <w:drawing>
              <wp:anchor distT="0" distB="0" distL="114300" distR="114300" simplePos="0" relativeHeight="1024" behindDoc="0" locked="1" layoutInCell="1" allowOverlap="1">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ffectLst/>
                      </wps:spPr>
                      <wps:txbx>
                        <w:txbxContent>
                          <w:p>
                            <w:pPr>
                              <w:pStyle w:val="32"/>
                            </w:pPr>
                            <w:r>
                              <w:t>T/CNIA</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145pt;margin-top:-6.25pt;height:56.7pt;width:299.5pt;mso-position-horizontal-relative:margin;mso-position-vertical-relative:margin;z-index:1024;mso-width-relative:page;mso-height-relative:page;" fillcolor="#FFFFFF" filled="t" stroked="f" coordsize="21600,21600"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P7UiNX7AQAA7QMAAA4AAABkcnMvZTJvRG9jLnhtbK1T&#10;wW7bMAy9D9g/CLovTlqsTY04RZciw4BuHdD1A2RZsoXJokYpsbOvHyUnWdHdivkgUBL5xPf4vLod&#10;e8v2CoMBV/HFbM6ZchIa49qKP//YflhyFqJwjbDgVMUPKvDb9ft3q8GX6gI6sI1CRiAulIOveBej&#10;L4siyE71IszAK0eXGrAXkbbYFg2KgdB7W1zM51fFANh4BKlCoNP76ZKvM77WSsZHrYOKzFaceot5&#10;xbzWaS3WK1G2KHxn5LEN8YYuemEcPXqGuhdRsB2af6B6IxEC6DiT0BegtZEqcyA2i/krNk+d8Cpz&#10;IXGCP8sU/h+s/Lb/jsw0NLuba86c6GlIut8iBcukzuBDSUlPntLi+AlGysxMg38A+TMwB5tOuFbd&#10;IcLQKdFQd4tUWbwonXBCAqmHr9DQI2IXIQONGvskHYnBCJ2mdDhPRo2RSTq8XM4vrz7SlaS7axr8&#10;TR5dIcpTtccQPyvoWQoqjjT5jC72DyGmbkR5SkmPBbCm2Rpr8wbbemOR7QW5ZJu/TOBVmnUp2UEq&#10;mxCnE5V9dnwmkU48J8ZxrMejiDU0B6KPMHmQ/hkKOsDfnA3kv4qHXzuBijP7xZGEyaynAE9BfQqE&#10;k1Ra8cjZFG7iZOqdR9N2hDwNycEdyaxNViC1NnVxHA55Kgtz9H8y7ct9zvr7l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VmtrZAAAACwEAAA8AAAAAAAAAAQAgAAAAIgAAAGRycy9kb3ducmV2&#10;LnhtbFBLAQIUABQAAAAIAIdO4kD+1IjV+wEAAO0DAAAOAAAAAAAAAAEAIAAAACgBAABkcnMvZTJv&#10;RG9jLnhtbFBLBQYAAAAABgAGAFkBAACVBQAAAAA=&#10;">
                <v:fill on="t" focussize="0,0"/>
                <v:stroke on="f"/>
                <v:imagedata o:title=""/>
                <o:lock v:ext="edit" aspectratio="f"/>
                <v:textbox inset="0mm,0mm,0mm,0mm">
                  <w:txbxContent>
                    <w:p>
                      <w:pPr>
                        <w:pStyle w:val="32"/>
                      </w:pPr>
                      <w:r>
                        <w:t>T/CNIA</w:t>
                      </w:r>
                    </w:p>
                  </w:txbxContent>
                </v:textbox>
                <w10:anchorlock/>
              </v:shape>
            </w:pict>
          </mc:Fallback>
        </mc:AlternateContent>
      </w:r>
      <w:r>
        <w:rPr>
          <w:sz w:val="28"/>
          <w:szCs w:val="28"/>
        </w:rPr>
        <w:t xml:space="preserve">                                          </w:t>
      </w: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-278765</wp:posOffset>
                </wp:positionH>
                <wp:positionV relativeFrom="margin">
                  <wp:posOffset>960755</wp:posOffset>
                </wp:positionV>
                <wp:extent cx="6120130" cy="391160"/>
                <wp:effectExtent l="0" t="0" r="13970" b="8890"/>
                <wp:wrapNone/>
                <wp:docPr id="154"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16"/>
                              <w:jc w:val="center"/>
                              <w:rPr>
                                <w:sz w:val="48"/>
                                <w:szCs w:val="48"/>
                              </w:rPr>
                            </w:pPr>
                            <w:r>
                              <w:rPr>
                                <w:rFonts w:hint="eastAsia"/>
                                <w:sz w:val="48"/>
                                <w:szCs w:val="48"/>
                              </w:rPr>
                              <w:t>中国有色金属工业协会标准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1024;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HWasnD6AQAA7QMAAA4AAABkcnMvZTJvRG9jLnhtbK1T&#10;247TMBB9R+IfLL/TNF2oIGq6WroqQlou0sIHOI6TWNgeM3ablK9n7LRltbwh8mCN7ZnjOWdONreT&#10;NeyoMGhwNS8XS86Uk9Bq19f8+7f9q7echShcKww4VfOTCvx2+/LFZvSVWsEAplXICMSFavQ1H2L0&#10;VVEEOSgrwgK8cnTZAVoRaYt90aIYCd2aYrVcrosRsPUIUoVAp/fzJd9m/K5TMn7puqAiMzWn3mJe&#10;Ma9NWovtRlQ9Cj9oeW5D/EMXVmhHj16h7kUU7ID6LyirJUKALi4k2AK6TkuVORCbcvmMzeMgvMpc&#10;SJzgrzKF/wcrPx+/ItMtze7Na86csDSkzu6RglVSZ/ShoqRHT2lxeg8TZWamwT+A/BGYg90gXK/u&#10;EGEclGipuzJVFk9KZ5yQQJrxE7T0iDhEyEBThzZJR2IwQqcpna6TUVNkkg7XJclzQ1eS7m7eleU6&#10;j64Q1aXaY4gfFFiWgpojTT6ji+NDiKkbUV1S0mMBjG732pi8wb7ZGWRHQS7Z5y8TeJZmXEp2kMpm&#10;xPlEZZ+dn0mkE8+ZcZya6SxiA+2J6CPMHqR/hoIB8BdnI/mv5uHnQaDizHx0JGEy6yXAS9BcAuEk&#10;ldY8cjaHuzib+uBR9wMhz0NycEcydzorkFqbuzgPhzyVhTn7P5n26T5n/flL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MhpNkAAAALAQAADwAAAAAAAAABACAAAAAiAAAAZHJzL2Rvd25yZXYu&#10;eG1sUEsBAhQAFAAAAAgAh07iQHWasnD6AQAA7QMAAA4AAAAAAAAAAQAgAAAAKAEAAGRycy9lMm9E&#10;b2MueG1sUEsFBgAAAAAGAAYAWQEAAJQFAAAAAA==&#10;">
                <v:fill on="t" focussize="0,0"/>
                <v:stroke on="f"/>
                <v:imagedata o:title=""/>
                <o:lock v:ext="edit" aspectratio="f"/>
                <v:textbox inset="0mm,0mm,0mm,0mm">
                  <w:txbxContent>
                    <w:p>
                      <w:pPr>
                        <w:pStyle w:val="16"/>
                        <w:jc w:val="center"/>
                        <w:rPr>
                          <w:sz w:val="48"/>
                          <w:szCs w:val="48"/>
                        </w:rPr>
                      </w:pPr>
                      <w:r>
                        <w:rPr>
                          <w:rFonts w:hint="eastAsia"/>
                          <w:sz w:val="48"/>
                          <w:szCs w:val="48"/>
                        </w:rPr>
                        <w:t>中国有色金属工业协会标准</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-278765</wp:posOffset>
                </wp:positionH>
                <wp:positionV relativeFrom="margin">
                  <wp:posOffset>1534795</wp:posOffset>
                </wp:positionV>
                <wp:extent cx="6084570" cy="297180"/>
                <wp:effectExtent l="0" t="0" r="11430" b="7620"/>
                <wp:wrapNone/>
                <wp:docPr id="153"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ffectLst/>
                      </wps:spPr>
                      <wps:txbx>
                        <w:txbxContent>
                          <w:p>
                            <w:pPr>
                              <w:pStyle w:val="18"/>
                              <w:spacing w:before="0"/>
                            </w:pPr>
                            <w:r>
                              <w:t>T/CNIA XXXX-20XX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20.85pt;height:23.4pt;width:479.1pt;mso-position-horizontal-relative:margin;mso-position-vertical-relative:margin;z-index:1024;mso-width-relative:page;mso-height-relative:page;" fillcolor="#FFFFFF" filled="t"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in9y0fwBAADtAwAADgAAAGRycy9lMm9Eb2MueG1s&#10;rVPLbtswELwX6D8QvNeynSZxBctB6sBFgfQBpP0AiiIloiKXXdKW3K/vkrLdIL0V1YFYkrvDndnR&#10;+m60PTsoDAZcxRezOWfKSWiMayv+/dvuzYqzEIVrRA9OVfyoAr/bvH61HnypltBB3yhkBOJCOfiK&#10;dzH6siiC7JQVYQZeObrUgFZE2mJbNCgGQrd9sZzPb4oBsPEIUoVApw/TJd9kfK2VjF+0DiqyvuLU&#10;W8wr5rVOa7FZi7JF4TsjT22If+jCCuPo0QvUg4iC7dH8BWWNRAig40yCLUBrI1XmQGwW8xdsnjrh&#10;VeZC4gR/kSn8P1j5+fAVmWlodtdXnDlhaUja7pCCq6TO4ENJSU+e0uL4HkbKzEyDfwT5IzAH2064&#10;Vt0jwtAp0VB3i1RZPCudcEICqYdP0NAjYh8hA40abZKOxGCETlM6XiajxsgkHd7MV2+vb+lK0t3y&#10;3e1ilUdXiPJc7THEDwosS0HFkSaf0cXhMcTUjSjPKemxAL1pdqbv8wbbetsjOwhyyS5/mcCLtN6l&#10;ZAepbEKcTlT22emZRDrxnBjHsR5PItbQHIk+wuRB+mco6AB/cTaQ/yoefu4FKs76j44kTGY9B3gO&#10;6nMgnKTSikfOpnAbJ1PvPZq2I+RpSA7uSWZtsgKptamL03DIU1mYk/+TaZ/vc9afv3T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4wjfbAAAACwEAAA8AAAAAAAAAAQAgAAAAIgAAAGRycy9kb3du&#10;cmV2LnhtbFBLAQIUABQAAAAIAIdO4kCKf3LR/AEAAO0DAAAOAAAAAAAAAAEAIAAAACoBAABkcnMv&#10;ZTJvRG9jLnhtbFBLBQYAAAAABgAGAFkBAACYBQAAAAA=&#10;">
                <v:fill on="t" focussize="0,0"/>
                <v:stroke on="f"/>
                <v:imagedata o:title=""/>
                <o:lock v:ext="edit" aspectratio="f"/>
                <v:textbox inset="0mm,0mm,0mm,0mm">
                  <w:txbxContent>
                    <w:p>
                      <w:pPr>
                        <w:pStyle w:val="18"/>
                        <w:spacing w:before="0"/>
                      </w:pPr>
                      <w:r>
                        <w:t>T/CNIA XXXX-20XX</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-393065</wp:posOffset>
                </wp:positionH>
                <wp:positionV relativeFrom="paragraph">
                  <wp:posOffset>247015</wp:posOffset>
                </wp:positionV>
                <wp:extent cx="6121400" cy="0"/>
                <wp:effectExtent l="0" t="0" r="0" b="0"/>
                <wp:wrapNone/>
                <wp:docPr id="152" name="Line 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6" o:spid="_x0000_s1026" o:spt="20" style="position:absolute;left:0pt;margin-left:-30.95pt;margin-top:19.45pt;height:0pt;width:482pt;z-index:1024;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Dx4++gswEAAGIDAAAOAAAAZHJzL2Uyb0RvYy54bWytU01v&#10;2zAMvQ/ofxB0b/yBLRuMOD2kSC/ZFqDdD1Ak2RYqiYKkxM6/H6XEWdfdhvogmCL5+PhIrR4mo8lJ&#10;+qDAtrRalJRIy0Eo27f018v2/hslITIrmAYrW3qWgT6s7z6tRtfIGgbQQnqCIDY0o2vpEKNriiLw&#10;QRoWFuCkRWcH3rCIpu8L4dmI6EYXdVkuixG8cB64DAFvHy9Ous74XSd5/Nl1QUaiW4rcYj59Pg/p&#10;LNYr1vSeuUHxKw32HywMUxaL3qAeWWTk6NU/UEZxDwG6uOBgCug6xWXuAbupynfdPA/MydwLihPc&#10;TabwcbD8x2nviRI4uy81JZYZHNJOWUmWSZvRhQZDNnbvU3d8ss9uB/w1EAubgdleZo4vZ4dpVcoo&#10;/kpJRnBY4TB+B4Ex7BghCzV13iRIlIBMeR7n2zzkFAnHy2VVV59LHBuffQVr5kTnQ3ySYEj6aalG&#10;zhmYnXYhJiKsmUNSHQtbpXUet7ZkRLb1V4ROrgBaieTNhu8PG+3JieHGbPOX23oX5uFoxaWKtilP&#10;5mW7lp7bvgh4AHHe+1kbHGQmd126tClv7azgn6ex/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dAtb1wAAAAkBAAAPAAAAAAAAAAEAIAAAACIAAABkcnMvZG93bnJldi54bWxQSwECFAAUAAAACACH&#10;TuJA8ePvoLMBAABiAwAADgAAAAAAAAABACAAAAAmAQAAZHJzL2Uyb0RvYy54bWxQSwUGAAAAAAYA&#10;BgBZAQAASwUAAAAA&#10;">
                <v:fill on="f" focussize="0,0"/>
                <v:stroke weight="1pt" color="#FFFFFF" joinstyle="round"/>
                <v:imagedata o:title=""/>
                <o:lock v:ext="edit" aspectratio="f"/>
              </v:lin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-359410</wp:posOffset>
                </wp:positionH>
                <wp:positionV relativeFrom="paragraph">
                  <wp:posOffset>0</wp:posOffset>
                </wp:positionV>
                <wp:extent cx="6200775" cy="0"/>
                <wp:effectExtent l="0" t="0" r="0" b="0"/>
                <wp:wrapNone/>
                <wp:docPr id="151" name="AutoShape 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4" o:spid="_x0000_s1026" o:spt="32" type="#_x0000_t32" style="position:absolute;left:0pt;margin-left:-28.3pt;margin-top:0pt;height:0pt;width:488.25pt;z-index:1024;mso-width-relative:page;mso-height-relative:page;" filled="f" stroked="t"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HGtWK/AAQAAdAMAAA4AAABkcnMvZTJvRG9jLnhtbK1TwW7bMAy9&#10;D9g/CLovjoOl3Yw4xZCiu3RbgHYfoEiyLUwSBUqJk78fpcRZt92K+iBYJvke+R69ujs6yw4aowHf&#10;8no250x7Ccr4vuU/nx8+fOIsJuGVsOB1y0868rv1+3erMTR6AQNYpZERiI/NGFo+pBSaqopy0E7E&#10;GQTtKdgBOpHoin2lUIyE7my1mM9vqhFQBQSpY6Sv9+cgXxf8rtMy/ei6qBOzLafeUjmxnLt8VuuV&#10;aHoUYTDy0oZ4RRdOGE+kV6h7kQTbo/kPyhmJEKFLMwmugq4zUpcZaJp6/s80T4MIusxC4sRwlSm+&#10;Haz8ftgiM4q8W9aceeHIpC/7BIWbfcwCjSE2lLfxW8wjyqN/Co8gf0XmYTMI3+uS/HwKVFvniuqv&#10;knyJgWh24zdQlCMIv6h17NBlSNKBHYspp6sp+piYpI83ZPPt7ZIzOcUq0UyFAWP6qsGx/NLymFCY&#10;fkgb8J6sB6wLjTg8xpTbEs1UkFk9PBhrywZYz8aWf14ulqUggjUqB3NaxH63scgOIu9QecqMFHmZ&#10;hrD36kxifa7TZf0uzJMGZzV3oE5bnIQia0tvlzXMu/PyXuT8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ca1Yr8ABAAB0AwAADgAAAAAAAAABACAAAAAiAQAAZHJzL2Uyb0RvYy54bWxQ&#10;SwUGAAAAAAYABgBZAQAAVAUAAAAA&#10;">
                <v:fill on="f" focussize="0,0"/>
                <v:stroke color="#000000" joinstyle="round"/>
                <v:imagedata o:title=""/>
                <o:lock v:ext="edit" aspectratio="f"/>
              </v:shape>
            </w:pict>
          </mc:Fallback>
        </mc:AlternateContent>
      </w:r>
    </w:p>
    <w:p>
      <w:pPr>
        <w:rPr>
          <w:sz w:val="28"/>
          <w:szCs w:val="28"/>
        </w:rPr>
      </w:pPr>
    </w:p>
    <w:p>
      <w:pPr>
        <w:rPr>
          <w:sz w:val="28"/>
          <w:szCs w:val="28"/>
        </w:rPr>
      </w:pPr>
      <w:r>
        <mc:AlternateContent>
          <mc:Choice Requires="wps">
            <w:drawing>
              <wp:anchor distT="0" distB="0" distL="114300" distR="114300" simplePos="0" relativeHeight="1024" behindDoc="0" locked="1" layoutInCell="0" allowOverlap="1">
                <wp:simplePos x="0" y="0"/>
                <wp:positionH relativeFrom="margin">
                  <wp:posOffset>-323850</wp:posOffset>
                </wp:positionH>
                <wp:positionV relativeFrom="margin">
                  <wp:posOffset>2222500</wp:posOffset>
                </wp:positionV>
                <wp:extent cx="5969000" cy="4655820"/>
                <wp:effectExtent l="0" t="0" r="12700" b="11430"/>
                <wp:wrapNone/>
                <wp:docPr id="150"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a:effectLst/>
                      </wps:spPr>
                      <wps:txbx>
                        <w:txbxContent>
                          <w:p>
                            <w:pPr>
                              <w:pStyle w:val="19"/>
                            </w:pPr>
                          </w:p>
                          <w:p>
                            <w:pPr>
                              <w:pStyle w:val="19"/>
                            </w:pPr>
                          </w:p>
                          <w:p>
                            <w:pPr>
                              <w:jc w:val="center"/>
                              <w:rPr>
                                <w:rFonts w:ascii="黑体" w:hAnsi="黑体" w:eastAsia="黑体"/>
                                <w:kern w:val="0"/>
                                <w:sz w:val="44"/>
                              </w:rPr>
                            </w:pPr>
                            <w:r>
                              <w:rPr>
                                <w:rFonts w:hint="eastAsia" w:ascii="黑体" w:hAnsi="黑体" w:eastAsia="黑体"/>
                                <w:kern w:val="0"/>
                                <w:sz w:val="44"/>
                              </w:rPr>
                              <w:t>绿色设计产品评价技术规范</w:t>
                            </w:r>
                            <w:r>
                              <w:rPr>
                                <w:rFonts w:ascii="黑体" w:hAnsi="黑体" w:eastAsia="黑体"/>
                                <w:kern w:val="0"/>
                                <w:sz w:val="44"/>
                              </w:rPr>
                              <w:t>——</w:t>
                            </w:r>
                            <w:r>
                              <w:rPr>
                                <w:rFonts w:hint="eastAsia" w:ascii="黑体" w:hAnsi="黑体" w:eastAsia="黑体"/>
                                <w:kern w:val="0"/>
                                <w:sz w:val="44"/>
                              </w:rPr>
                              <w:t>锂</w:t>
                            </w:r>
                          </w:p>
                          <w:p>
                            <w:pPr>
                              <w:jc w:val="center"/>
                              <w:rPr>
                                <w:rFonts w:ascii="Times New Roman" w:hAnsi="Times New Roman"/>
                                <w:bCs/>
                                <w:sz w:val="30"/>
                              </w:rPr>
                            </w:pPr>
                            <w:r>
                              <w:rPr>
                                <w:rFonts w:ascii="Times New Roman" w:hAnsi="Times New Roman"/>
                                <w:bCs/>
                                <w:sz w:val="30"/>
                              </w:rPr>
                              <w:t xml:space="preserve">Specification for green-design product assessment –lithium </w:t>
                            </w:r>
                          </w:p>
                          <w:p>
                            <w:pPr>
                              <w:jc w:val="center"/>
                              <w:rPr>
                                <w:b/>
                                <w:sz w:val="30"/>
                                <w:szCs w:val="30"/>
                              </w:rPr>
                            </w:pPr>
                          </w:p>
                          <w:p>
                            <w:pPr>
                              <w:pStyle w:val="22"/>
                              <w:rPr>
                                <w:b/>
                                <w:sz w:val="30"/>
                                <w:szCs w:val="30"/>
                              </w:rPr>
                            </w:pPr>
                          </w:p>
                          <w:p>
                            <w:pPr>
                              <w:pStyle w:val="21"/>
                            </w:pPr>
                          </w:p>
                          <w:p>
                            <w:pPr>
                              <w:pStyle w:val="2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pt;height:366.6pt;width:470pt;mso-position-horizontal-relative:margin;mso-position-vertical-relative:margin;z-index:1024;mso-width-relative:page;mso-height-relative:page;" fillcolor="#FFFFFF" filled="t" stroked="f" coordsize="21600,21600" o:allowincell="f" o:gfxdata="UEsDBAoAAAAAAIdO4kAAAAAAAAAAAAAAAAAEAAAAZHJzL1BLAwQUAAAACACHTuJAfX0p1doAAAAM&#10;AQAADwAAAGRycy9kb3ducmV2LnhtbE2PwU7DMBBE70j8g7VIXFBrJ1WrEOJUooUbHFqqnrexSSLi&#10;dRQ7Tfv3LCd6m9E+zc4U64vrxNkOofWkIZkrEJYqb1qqNRy+3mcZiBCRDHaerIarDbAu7+8KzI2f&#10;aGfP+1gLDqGQo4Ymxj6XMlSNdRjmvrfEt28/OIxsh1qaAScOd51MlVpJhy3xhwZ7u2ls9bMfnYbV&#10;dhinHW2etoe3D/zs6/T4ej1q/fiQqBcQ0V7iPwx/9bk6lNzp5EcyQXQaZsuEt0QNi6ViwUSWPbM4&#10;MaqyRQqyLOTtiPIXUEsDBBQAAAAIAIdO4kApTsNX/AEAAO4DAAAOAAAAZHJzL2Uyb0RvYy54bWyt&#10;U9tu2zAMfR+wfxD0vtgJmqA14hRdigwDugvQ7QNkWbaFyaJGKbGzrx8lO1nRvQ3Tg0BJ5CHPIbW9&#10;H3vDTgq9Blvy5SLnTFkJtbZtyb9/O7y75cwHYWthwKqSn5Xn97u3b7aDK9QKOjC1QkYg1heDK3kX&#10;giuyzMtO9cIvwClLjw1gLwIdsc1qFAOh9yZb5fkmGwBrhyCV93T7OD3yXcJvGiXDl6bxKjBTcqot&#10;pB3TXsU9221F0aJwnZZzGeIfquiFtpT0CvUogmBH1H9B9VoieGjCQkKfQdNoqRIHYrPMX7F57oRT&#10;iQuJ491VJv//YOXn01dkuqberUkfK3pqUtMfkIybqM7gfEFOz47cwvgeRvJMTL17AvnDMwv7TthW&#10;PSDC0ClRU3XLGJm9CJ1wfASphk9QUxJxDJCAxgb7KB2JwQidqjhfO6PGwCRdru82d3lOT5Lebjbr&#10;9e0q9S4TxSXcoQ8fFPQsGiVHan2CF6cnH2I5ori4xGwejK4P2ph0wLbaG2QnQWNySCsxeOVmbHS2&#10;EMMmxOlGpUGb00TWkehEOYzVOKtYQX0m/gjTENKnIaMD/MXZQANYcv/zKFBxZj5a0jBO68XAi1Fd&#10;DGElhZY8cDaZ+zBN9dGhbjtCnrpk4YF0bnRSIJY2VTF3h4YqCTN/gDi1L8/J68833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X0p1doAAAAMAQAADwAAAAAAAAABACAAAAAiAAAAZHJzL2Rvd25y&#10;ZXYueG1sUEsBAhQAFAAAAAgAh07iQClOw1f8AQAA7gMAAA4AAAAAAAAAAQAgAAAAKQEAAGRycy9l&#10;Mm9Eb2MueG1sUEsFBgAAAAAGAAYAWQEAAJcFAAAAAA==&#10;">
                <v:fill on="t" focussize="0,0"/>
                <v:stroke on="f"/>
                <v:imagedata o:title=""/>
                <o:lock v:ext="edit" aspectratio="f"/>
                <v:textbox inset="0mm,0mm,0mm,0mm">
                  <w:txbxContent>
                    <w:p>
                      <w:pPr>
                        <w:pStyle w:val="19"/>
                      </w:pPr>
                    </w:p>
                    <w:p>
                      <w:pPr>
                        <w:pStyle w:val="19"/>
                      </w:pPr>
                    </w:p>
                    <w:p>
                      <w:pPr>
                        <w:jc w:val="center"/>
                        <w:rPr>
                          <w:rFonts w:ascii="黑体" w:hAnsi="黑体" w:eastAsia="黑体"/>
                          <w:kern w:val="0"/>
                          <w:sz w:val="44"/>
                        </w:rPr>
                      </w:pPr>
                      <w:r>
                        <w:rPr>
                          <w:rFonts w:hint="eastAsia" w:ascii="黑体" w:hAnsi="黑体" w:eastAsia="黑体"/>
                          <w:kern w:val="0"/>
                          <w:sz w:val="44"/>
                        </w:rPr>
                        <w:t>绿色设计产品评价技术规范</w:t>
                      </w:r>
                      <w:r>
                        <w:rPr>
                          <w:rFonts w:ascii="黑体" w:hAnsi="黑体" w:eastAsia="黑体"/>
                          <w:kern w:val="0"/>
                          <w:sz w:val="44"/>
                        </w:rPr>
                        <w:t>——</w:t>
                      </w:r>
                      <w:r>
                        <w:rPr>
                          <w:rFonts w:hint="eastAsia" w:ascii="黑体" w:hAnsi="黑体" w:eastAsia="黑体"/>
                          <w:kern w:val="0"/>
                          <w:sz w:val="44"/>
                        </w:rPr>
                        <w:t>锂</w:t>
                      </w:r>
                    </w:p>
                    <w:p>
                      <w:pPr>
                        <w:jc w:val="center"/>
                        <w:rPr>
                          <w:rFonts w:ascii="Times New Roman" w:hAnsi="Times New Roman"/>
                          <w:bCs/>
                          <w:sz w:val="30"/>
                        </w:rPr>
                      </w:pPr>
                      <w:r>
                        <w:rPr>
                          <w:rFonts w:ascii="Times New Roman" w:hAnsi="Times New Roman"/>
                          <w:bCs/>
                          <w:sz w:val="30"/>
                        </w:rPr>
                        <w:t xml:space="preserve">Specification for green-design product assessment –lithium </w:t>
                      </w:r>
                    </w:p>
                    <w:p>
                      <w:pPr>
                        <w:jc w:val="center"/>
                        <w:rPr>
                          <w:b/>
                          <w:sz w:val="30"/>
                          <w:szCs w:val="30"/>
                        </w:rPr>
                      </w:pPr>
                    </w:p>
                    <w:p>
                      <w:pPr>
                        <w:pStyle w:val="22"/>
                        <w:rPr>
                          <w:b/>
                          <w:sz w:val="30"/>
                          <w:szCs w:val="30"/>
                        </w:rPr>
                      </w:pPr>
                    </w:p>
                    <w:p>
                      <w:pPr>
                        <w:pStyle w:val="21"/>
                      </w:pPr>
                    </w:p>
                    <w:p>
                      <w:pPr>
                        <w:pStyle w:val="20"/>
                      </w:pPr>
                    </w:p>
                  </w:txbxContent>
                </v:textbox>
                <w10:anchorlock/>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mc:AlternateContent>
          <mc:Choice Requires="wps">
            <w:drawing>
              <wp:anchor distT="0" distB="0" distL="114300" distR="114300" simplePos="0" relativeHeight="1024" behindDoc="0" locked="1" layoutInCell="1" allowOverlap="1">
                <wp:simplePos x="0" y="0"/>
                <wp:positionH relativeFrom="margin">
                  <wp:posOffset>3836035</wp:posOffset>
                </wp:positionH>
                <wp:positionV relativeFrom="margin">
                  <wp:posOffset>7323455</wp:posOffset>
                </wp:positionV>
                <wp:extent cx="2019300" cy="312420"/>
                <wp:effectExtent l="0" t="0" r="0" b="11430"/>
                <wp:wrapNone/>
                <wp:docPr id="14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4"/>
                            </w:pPr>
                            <w:r>
                              <w:t>202X-xx-xx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1024;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NRCYT/6AQAA7QMAAA4AAABkcnMvZTJvRG9jLnhtbK1T&#10;UW/TMBB+R+I/WH6nabtpYlHTaXQqQhowafADHMdOLByfObtNyq/n7KRlGm+IPFhn++7zfd992dyN&#10;vWVHhcGAq/hqseRMOQmNcW3Fv3/bv3vPWYjCNcKCUxU/qcDvtm/fbAZfqjV0YBuFjEBcKAdf8S5G&#10;XxZFkJ3qRViAV44uNWAvIm2xLRoUA6H3tlgvlzfFANh4BKlCoNOH6ZJvM77WSsavWgcVma049Rbz&#10;inmt01psN6JsUfjOyLkN8Q9d9MI4evQC9SCiYAc0f0H1RiIE0HEhoS9AayNV5kBsVstXbJ474VXm&#10;QuIEf5Ep/D9Y+eX4hMw0NLvrW86c6GlIut8jBTdJncGHkpKePaXF8QOMlJmZBv8I8kdgDnadcK26&#10;R4ShU6Kh7lapsnhROuGEBFIPn6GhR8QhQgYaNfZJOhKDETpN6XSZjBojk3RI4txeLelK0t3Van29&#10;zqMrRHmu9hjiRwU9S0HFkSaf0cXxMcTUjSjPKemxANY0e2Nt3mBb7yyyoyCX7POXCbxKsy4lO0hl&#10;E+J0orLP5mcS6cRzYhzHepxFrKE5EX2EyYP0z1DQAf7ibCD/VTz8PAhUnNlPjiRMZj0HeA7qcyCc&#10;pNKKR86mcBcnUx88mrYj5GlIDu5JZm2yAqm1qYt5OOSpLMzs/2Tal/uc9ecv3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NRCYT/6AQAA7QMAAA4AAAAAAAAAAQAgAAAAKAEAAGRycy9lMm9E&#10;b2MueG1sUEsFBgAAAAAGAAYAWQEAAJQFAAAAAA==&#10;">
                <v:fill on="t" focussize="0,0"/>
                <v:stroke on="f"/>
                <v:imagedata o:title=""/>
                <o:lock v:ext="edit" aspectratio="f"/>
                <v:textbox inset="0mm,0mm,0mm,0mm">
                  <w:txbxContent>
                    <w:p>
                      <w:pPr>
                        <w:pStyle w:val="24"/>
                      </w:pPr>
                      <w:r>
                        <w:t>202X-xx-xx</w:t>
                      </w:r>
                      <w:r>
                        <w:rPr>
                          <w:rFonts w:hint="eastAsia"/>
                        </w:rPr>
                        <w:t>实施</w:t>
                      </w:r>
                    </w:p>
                  </w:txbxContent>
                </v:textbox>
                <w10:anchorlock/>
              </v:shape>
            </w:pict>
          </mc:Fallback>
        </mc:AlternateContent>
      </w:r>
      <w:r>
        <mc:AlternateContent>
          <mc:Choice Requires="wps">
            <w:drawing>
              <wp:anchor distT="0" distB="0" distL="114300" distR="114300" simplePos="0" relativeHeight="1024" behindDoc="0" locked="1" layoutInCell="1" allowOverlap="1">
                <wp:simplePos x="0" y="0"/>
                <wp:positionH relativeFrom="margin">
                  <wp:posOffset>-278765</wp:posOffset>
                </wp:positionH>
                <wp:positionV relativeFrom="margin">
                  <wp:posOffset>7350125</wp:posOffset>
                </wp:positionV>
                <wp:extent cx="2019300" cy="312420"/>
                <wp:effectExtent l="0" t="0" r="0" b="11430"/>
                <wp:wrapNone/>
                <wp:docPr id="14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3"/>
                            </w:pPr>
                            <w:r>
                              <w:t>202X-xx-xx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1024;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H1mSp/6AQAA7QMAAA4AAABkcnMvZTJvRG9jLnht&#10;bK1T247TMBB9R+IfLL/TtN0FQdR0tXRVhLRcpIUPcBw7sbA9Zuw2Wb6esdOW1fKGyIM1tmeO55w5&#10;2dxMzrKjwmjAN3y1WHKmvITO+L7h37/tX73lLCbhO2HBq4Y/qshvti9fbMZQqzUMYDuFjEB8rMfQ&#10;8CGlUFdVlINyIi4gKE+XGtCJRFvsqw7FSOjOVuvl8k01AnYBQaoY6fRuvuTbgq+1kumL1lElZhtO&#10;vaWyYlnbvFbbjah7FGEw8tSG+IcunDCeHr1A3Ykk2AHNX1DOSIQIOi0kuAq0NlIVDsRmtXzG5mEQ&#10;QRUuJE4MF5ni/4OVn49fkZmOZndNo/LC0ZC02yMFr7M6Y4g1JT0ESkvTe5goszCN4R7kj8g87Abh&#10;e3WLCOOgREfdrXJl9aR0xokZpB0/QUePiEOCAjRpdFk6EoMROk3p8TIZNSUm6ZDEeXe1pCtJd1er&#10;9fW6jK4S9bk6YEwfFDiWg4YjTb6gi+N9TLkbUZ9T8mMRrOn2xtqywb7dWWRHQS7Zl68QeJZmfU72&#10;kMtmxPlEFZ+dnsmkM8+ZcZra6SRiC90j0UeYPUj/DAUD4C/ORvJfw+PPg0DFmf3oScJs1nOA56A9&#10;B8JLKm144mwOd2k29SGg6QdCnofk4ZZk1qYokFubuzgNhzxVhDn5P5v26b5k/flL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H1mSp/6AQAA7QMAAA4AAAAAAAAAAQAgAAAAKwEAAGRycy9l&#10;Mm9Eb2MueG1sUEsFBgAAAAAGAAYAWQEAAJcFAAAAAA==&#10;">
                <v:fill on="t" focussize="0,0"/>
                <v:stroke on="f"/>
                <v:imagedata o:title=""/>
                <o:lock v:ext="edit" aspectratio="f"/>
                <v:textbox inset="0mm,0mm,0mm,0mm">
                  <w:txbxContent>
                    <w:p>
                      <w:pPr>
                        <w:pStyle w:val="23"/>
                      </w:pPr>
                      <w:r>
                        <w:t>202X-xx-xx</w:t>
                      </w:r>
                      <w:r>
                        <w:rPr>
                          <w:rFonts w:hint="eastAsia"/>
                        </w:rPr>
                        <w:t>发布</w:t>
                      </w:r>
                    </w:p>
                  </w:txbxContent>
                </v:textbox>
                <w10:anchorlock/>
              </v:shape>
            </w:pict>
          </mc:Fallback>
        </mc:AlternateContent>
      </w:r>
    </w:p>
    <w:p>
      <w:pPr>
        <w:rPr>
          <w:sz w:val="28"/>
          <w:szCs w:val="28"/>
        </w:rPr>
      </w:pPr>
      <w:r>
        <mc:AlternateContent>
          <mc:Choice Requires="wps">
            <w:drawing>
              <wp:anchor distT="0" distB="0" distL="114300" distR="114300" simplePos="0" relativeHeight="1024" behindDoc="0" locked="0" layoutInCell="1" allowOverlap="1">
                <wp:simplePos x="0" y="0"/>
                <wp:positionH relativeFrom="column">
                  <wp:posOffset>-323850</wp:posOffset>
                </wp:positionH>
                <wp:positionV relativeFrom="paragraph">
                  <wp:posOffset>320040</wp:posOffset>
                </wp:positionV>
                <wp:extent cx="6200775" cy="0"/>
                <wp:effectExtent l="0" t="0" r="0" b="0"/>
                <wp:wrapNone/>
                <wp:docPr id="147" name="AutoShape 224"/>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224" o:spid="_x0000_s1026" o:spt="32" type="#_x0000_t32" style="position:absolute;left:0pt;margin-left:-25.5pt;margin-top:25.2pt;height:0pt;width:488.25pt;z-index:1024;mso-width-relative:page;mso-height-relative:page;" filled="f" stroked="t"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PRi5hLCAQAAdgMAAA4AAABkcnMvZTJvRG9jLnhtbK1TwW7b&#10;MAy9D9g/CLovToym2Yw4xZCiu3RbgHYfoEiyLVQWBUqJnb8fpcRpt92G+iBYJvke+R69vht7y44a&#10;gwFX88Vszpl2EpRxbc1/PT98+sxZiMIpYcHpmp904Hebjx/Wg690CR1YpZERiAvV4Gvexeirogiy&#10;070IM/DaUbAB7EWkK7aFQjEQem+Lcj6/LQZA5RGkDoG+3p+DfJPxm0bL+LNpgo7M1px6i/nEfO7T&#10;WWzWompR+M7ISxviP7rohXFEeoW6F1GwA5p/oHojEQI0cSahL6BpjNR5BppmMf9rmqdOeJ1nIXGC&#10;v8oU3g9W/jjukBlF3t2sOHOiJ5O+HiJkblaWN0miwYeKMrduh2lIObon/wjyJTAH2064Vuf055On&#10;6kWqKP4oSZfgiWg/fAdFOYIYsl5jg32CJCXYmG05XW3RY2SSPt6S0avVkjM5xQpRTYUeQ/ymoWfp&#10;peYhojBtF7fgHJkPuMg04vgYYmpLVFNBYnXwYKzNO2AdG2r+ZVkuc0EAa1QKprSA7X5rkR1F2qL8&#10;5Bkp8jYN4eDUmcS6VKfzAl6YJw3Oau5BnXY4CUXm5t4ui5i25+09y/n6u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wIsFLWAAAACQEAAA8AAAAAAAAAAQAgAAAAIgAAAGRycy9kb3ducmV2Lnht&#10;bFBLAQIUABQAAAAIAIdO4kD0YuYSwgEAAHYDAAAOAAAAAAAAAAEAIAAAACUBAABkcnMvZTJvRG9j&#10;LnhtbFBLBQYAAAAABgAGAFkBAABZ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-278765</wp:posOffset>
                </wp:positionH>
                <wp:positionV relativeFrom="paragraph">
                  <wp:posOffset>217805</wp:posOffset>
                </wp:positionV>
                <wp:extent cx="6121400" cy="0"/>
                <wp:effectExtent l="0" t="0" r="0" b="0"/>
                <wp:wrapNone/>
                <wp:docPr id="146"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0" o:spid="_x0000_s1026" o:spt="20" style="position:absolute;left:0pt;margin-left:-21.95pt;margin-top:17.15pt;height:0pt;width:482pt;z-index:1024;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jbkEIrQBAABjAwAADgAAAGRycy9lMm9Eb2MueG1srVPB&#10;btswDL0P2D8Iui+2gyIbjDg9pMgu2Rag3QcwkmwLk0RBUmLn70epSbZ1t2E+CKZIPj4+UuvH2Rp2&#10;ViFqdB1vFjVnygmU2g0d//6y+/CJs5jASTDoVMcvKvLHzft368m3aokjGqkCIxAX28l3fEzJt1UV&#10;xagsxAV65cjZY7CQyAxDJQNMhG5NtazrVTVhkD6gUDHS7dOrk28Kft8rkb71fVSJmY4Tt1TOUM5j&#10;PqvNGtohgB+1uNKAf2BhQTsqeod6ggTsFPRfUFaLgBH7tBBoK+x7LVTpgbpp6jfdPI/gVemFxIn+&#10;LlP8f7Di6/kQmJY0u4cVZw4sDWmvnWJNEWfysaWYrTuE3J6Y3bPfo/gRmcPtCG5QheTLxVNek+Ws&#10;/kjJRvRU4jh9QUkxcEpYlJr7YDMkacDmMpDLfSBqTkzQ5apZNg81zU3cfBW0t0QfYvqs0LL803FD&#10;pAswnPcxZSLQ3kJyHYc7bUyZt3FsIrbLjwSdXRGNltlbjDActyawM9DK7MpX2noTFvDk5GsV43Ke&#10;Ktt2LX1rO+9hbI8oL4dw04YmWchdty6vyu92UfDX29j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eR2DYAAAACQEAAA8AAAAAAAAAAQAgAAAAIgAAAGRycy9kb3ducmV2LnhtbFBLAQIUABQAAAAI&#10;AIdO4kCNuQQitAEAAGMDAAAOAAAAAAAAAAEAIAAAACcBAABkcnMvZTJvRG9jLnhtbFBLBQYAAAAA&#10;BgAGAFkBAABNBQAAAAA=&#10;">
                <v:fill on="f" focussize="0,0"/>
                <v:stroke weight="1pt" color="#FFFFFF" joinstyle="round"/>
                <v:imagedata o:title=""/>
                <o:lock v:ext="edit" aspectratio="f"/>
              </v:line>
            </w:pict>
          </mc:Fallback>
        </mc:AlternateContent>
      </w:r>
    </w:p>
    <w:p>
      <w:pPr>
        <w:widowControl/>
        <w:jc w:val="center"/>
        <w:rPr>
          <w:b/>
          <w:sz w:val="32"/>
          <w:szCs w:val="32"/>
        </w:rPr>
      </w:pPr>
      <w:r>
        <w:rPr>
          <w:sz w:val="28"/>
        </w:rPr>
        <mc:AlternateContent>
          <mc:Choice Requires="wps">
            <w:drawing>
              <wp:anchor distT="0" distB="0" distL="114300" distR="114300" simplePos="0" relativeHeight="1024" behindDoc="0" locked="1" layoutInCell="1" allowOverlap="1">
                <wp:simplePos x="0" y="0"/>
                <wp:positionH relativeFrom="margin">
                  <wp:posOffset>-264795</wp:posOffset>
                </wp:positionH>
                <wp:positionV relativeFrom="margin">
                  <wp:posOffset>8100060</wp:posOffset>
                </wp:positionV>
                <wp:extent cx="6120130" cy="786130"/>
                <wp:effectExtent l="0" t="0" r="13970" b="13970"/>
                <wp:wrapNone/>
                <wp:docPr id="145"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26"/>
                              <w:rPr>
                                <w:spacing w:val="0"/>
                                <w:sz w:val="32"/>
                                <w:szCs w:val="32"/>
                              </w:rPr>
                            </w:pPr>
                            <w:r>
                              <w:rPr>
                                <w:rFonts w:hint="eastAsia"/>
                                <w:spacing w:val="0"/>
                                <w:sz w:val="32"/>
                                <w:szCs w:val="32"/>
                              </w:rPr>
                              <w:t>中 国 有 色 金 属 工 业 协 会</w:t>
                            </w:r>
                          </w:p>
                          <w:p>
                            <w:pPr>
                              <w:pStyle w:val="26"/>
                              <w:rPr>
                                <w:sz w:val="32"/>
                                <w:szCs w:val="32"/>
                              </w:rPr>
                            </w:pPr>
                            <w:r>
                              <w:rPr>
                                <w:rFonts w:hint="eastAsia"/>
                                <w:spacing w:val="0"/>
                                <w:w w:val="130"/>
                                <w:sz w:val="32"/>
                                <w:szCs w:val="32"/>
                              </w:rPr>
                              <w:t xml:space="preserve">中  国  有  色  金  属  学  会 </w:t>
                            </w:r>
                            <w:r>
                              <w:rPr>
                                <w:rFonts w:hint="eastAsia"/>
                                <w:spacing w:val="-20"/>
                                <w:sz w:val="32"/>
                                <w:szCs w:val="32"/>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85pt;margin-top:637.8pt;height:61.9pt;width:481.9pt;mso-position-horizontal-relative:margin;mso-position-vertical-relative:margin;z-index:1024;mso-width-relative:page;mso-height-relative:page;" fillcolor="#FFFFFF" filled="t"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B/BHB73AQAA7QMAAA4AAABkcnMvZTJvRG9jLnht&#10;bK1T227bMAx9H7B/EPS+OOm2tDDiFF2KDAO6C9DtA2RZsoVZokYpsbOvHyU7abe9DfODQFHkIXl4&#10;vLkdbc+OCoMBV/HVYsmZchIa49qKf/u6f3XDWYjCNaIHpyp+UoHfbl++2Ay+VFfQQd8oZATiQjn4&#10;incx+rIoguyUFWEBXjl61IBWRLpiWzQoBkK3fXG1XK6LAbDxCFKFQN776ZFvM77WSsbPWgcVWV9x&#10;6i3mE/NZp7PYbkTZovCdkXMb4h+6sMI4KnqBuhdRsAOav6CskQgBdFxIsAVobaTKM9A0q+Uf0zx2&#10;wqs8C5ET/IWm8P9g5afjF2Smod29ecuZE5aWpO0eybhO7Aw+lBT06Cksju9gpMg8afAPIL8H5mDX&#10;CdeqO0QYOiUa6m6VMotnqRNOSCD18BEaKiIOETLQqNEm6ogMRui0pdNlM2qMTJJzvSJ6XtOTpLfr&#10;m3WyUwlRnrM9hvhegWXJqDjS5jO6OD6EOIWeQ1KxAL1p9qbv8wXbetcjOwpSyT5/M/pvYb1LwQ5S&#10;2oQ4eVTW2VwmDZ3mnCaOYz1SaHLW0JxofIRJg/TPkNEB/uRsIP1VPPw4CFSc9R8cUZjEejbwbNRn&#10;QzhJqRWPnE3mLk6iPng0bUfI05Ic3BHN2mQGnrqYl0OayhzO+k+ifX7PUU9/6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6PMdwAAAANAQAADwAAAAAAAAABACAAAAAiAAAAZHJzL2Rvd25yZXYu&#10;eG1sUEsBAhQAFAAAAAgAh07iQB/BHB73AQAA7QMAAA4AAAAAAAAAAQAgAAAAKwEAAGRycy9lMm9E&#10;b2MueG1sUEsFBgAAAAAGAAYAWQEAAJQFAAAAAA==&#10;">
                <v:fill on="t" focussize="0,0"/>
                <v:stroke on="f"/>
                <v:imagedata o:title=""/>
                <o:lock v:ext="edit" aspectratio="f"/>
                <v:textbox inset="0mm,0mm,0mm,0mm">
                  <w:txbxContent>
                    <w:p>
                      <w:pPr>
                        <w:pStyle w:val="26"/>
                        <w:rPr>
                          <w:spacing w:val="0"/>
                          <w:sz w:val="32"/>
                          <w:szCs w:val="32"/>
                        </w:rPr>
                      </w:pPr>
                      <w:r>
                        <w:rPr>
                          <w:rFonts w:hint="eastAsia"/>
                          <w:spacing w:val="0"/>
                          <w:sz w:val="32"/>
                          <w:szCs w:val="32"/>
                        </w:rPr>
                        <w:t>中 国 有 色 金 属 工 业 协 会</w:t>
                      </w:r>
                    </w:p>
                    <w:p>
                      <w:pPr>
                        <w:pStyle w:val="26"/>
                        <w:rPr>
                          <w:sz w:val="32"/>
                          <w:szCs w:val="32"/>
                        </w:rPr>
                      </w:pPr>
                      <w:r>
                        <w:rPr>
                          <w:rFonts w:hint="eastAsia"/>
                          <w:spacing w:val="0"/>
                          <w:w w:val="130"/>
                          <w:sz w:val="32"/>
                          <w:szCs w:val="32"/>
                        </w:rPr>
                        <w:t xml:space="preserve">中  国  有  色  金  属  学  会 </w:t>
                      </w:r>
                      <w:r>
                        <w:rPr>
                          <w:rFonts w:hint="eastAsia"/>
                          <w:spacing w:val="-20"/>
                          <w:sz w:val="32"/>
                          <w:szCs w:val="32"/>
                        </w:rPr>
                        <w:t>发布</w:t>
                      </w:r>
                    </w:p>
                  </w:txbxContent>
                </v:textbox>
                <w10:anchorlock/>
              </v:shape>
            </w:pict>
          </mc:Fallback>
        </mc:AlternateContent>
      </w:r>
      <w:r>
        <w:rPr>
          <w:sz w:val="28"/>
        </w:rPr>
        <w:br w:type="page"/>
      </w:r>
    </w:p>
    <w:p>
      <w:pPr>
        <w:pStyle w:val="31"/>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7"/>
        <w:tabs>
          <w:tab w:val="right" w:leader="dot" w:pos="8296"/>
        </w:tabs>
        <w:spacing w:line="360" w:lineRule="auto"/>
        <w:rPr>
          <w:rFonts w:ascii="宋体" w:hAnsi="宋体"/>
        </w:rPr>
      </w:pPr>
      <w:r>
        <w:rPr>
          <w:rFonts w:ascii="黑体"/>
        </w:rPr>
        <w:fldChar w:fldCharType="begin"/>
      </w:r>
      <w:r>
        <w:rPr>
          <w:rFonts w:ascii="黑体"/>
        </w:rPr>
        <w:instrText xml:space="preserve"> TOC \o "1-3" \h \z \u </w:instrText>
      </w:r>
      <w:r>
        <w:rPr>
          <w:rFonts w:ascii="黑体"/>
        </w:rPr>
        <w:fldChar w:fldCharType="separate"/>
      </w:r>
      <w:r>
        <w:fldChar w:fldCharType="begin"/>
      </w:r>
      <w:r>
        <w:instrText xml:space="preserve"> HYPERLINK \l "_Toc508953211" </w:instrText>
      </w:r>
      <w:r>
        <w:fldChar w:fldCharType="separate"/>
      </w:r>
      <w:r>
        <w:rPr>
          <w:rStyle w:val="10"/>
          <w:rFonts w:hint="eastAsia" w:ascii="宋体" w:hAnsi="宋体"/>
        </w:rPr>
        <w:t>前</w:t>
      </w:r>
      <w:r>
        <w:rPr>
          <w:rStyle w:val="10"/>
          <w:rFonts w:ascii="宋体" w:hAnsi="宋体"/>
        </w:rPr>
        <w:t xml:space="preserve">    </w:t>
      </w:r>
      <w:r>
        <w:rPr>
          <w:rStyle w:val="10"/>
          <w:rFonts w:hint="eastAsia" w:ascii="宋体" w:hAnsi="宋体"/>
        </w:rPr>
        <w:t>言</w:t>
      </w:r>
      <w:r>
        <w:rPr>
          <w:rFonts w:ascii="宋体" w:hAnsi="宋体"/>
        </w:rPr>
        <w:tab/>
      </w:r>
      <w:r>
        <w:rPr>
          <w:rFonts w:ascii="宋体" w:hAnsi="宋体"/>
        </w:rPr>
        <w:t>1</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"_Toc508953212" </w:instrText>
      </w:r>
      <w:r>
        <w:fldChar w:fldCharType="separate"/>
      </w:r>
      <w:r>
        <w:rPr>
          <w:rStyle w:val="10"/>
          <w:rFonts w:ascii="宋体" w:hAnsi="宋体"/>
        </w:rPr>
        <w:t xml:space="preserve">1 </w:t>
      </w:r>
      <w:r>
        <w:rPr>
          <w:rStyle w:val="10"/>
          <w:rFonts w:hint="eastAsia" w:ascii="宋体" w:hAnsi="宋体"/>
        </w:rPr>
        <w:t>适用范围</w:t>
      </w:r>
      <w:r>
        <w:rPr>
          <w:rFonts w:ascii="宋体" w:hAnsi="宋体"/>
        </w:rPr>
        <w:tab/>
      </w:r>
      <w:r>
        <w:rPr>
          <w:rFonts w:ascii="宋体" w:hAnsi="宋体"/>
        </w:rPr>
        <w:t>2</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"_Toc508953213" </w:instrText>
      </w:r>
      <w:r>
        <w:fldChar w:fldCharType="separate"/>
      </w:r>
      <w:r>
        <w:rPr>
          <w:rStyle w:val="10"/>
          <w:rFonts w:ascii="宋体" w:hAnsi="宋体"/>
        </w:rPr>
        <w:t xml:space="preserve">2 </w:t>
      </w:r>
      <w:r>
        <w:rPr>
          <w:rStyle w:val="10"/>
          <w:rFonts w:hint="eastAsia" w:ascii="宋体" w:hAnsi="宋体"/>
        </w:rPr>
        <w:t>规范性引用文件</w:t>
      </w:r>
      <w:r>
        <w:rPr>
          <w:rFonts w:ascii="宋体" w:hAnsi="宋体"/>
        </w:rPr>
        <w:tab/>
      </w:r>
      <w:r>
        <w:rPr>
          <w:rFonts w:ascii="宋体" w:hAnsi="宋体"/>
        </w:rPr>
        <w:t>2</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"_Toc508953214" </w:instrText>
      </w:r>
      <w:r>
        <w:fldChar w:fldCharType="separate"/>
      </w:r>
      <w:r>
        <w:rPr>
          <w:rStyle w:val="10"/>
          <w:rFonts w:ascii="宋体" w:hAnsi="宋体"/>
        </w:rPr>
        <w:t xml:space="preserve">3 </w:t>
      </w:r>
      <w:r>
        <w:rPr>
          <w:rStyle w:val="10"/>
          <w:rFonts w:hint="eastAsia" w:ascii="宋体" w:hAnsi="宋体"/>
        </w:rPr>
        <w:t>术语和定义</w:t>
      </w:r>
      <w:r>
        <w:rPr>
          <w:rFonts w:ascii="宋体" w:hAnsi="宋体"/>
        </w:rPr>
        <w:tab/>
      </w:r>
      <w:r>
        <w:rPr>
          <w:rFonts w:ascii="宋体" w:hAnsi="宋体"/>
        </w:rPr>
        <w:t>2</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"_Toc508953215" </w:instrText>
      </w:r>
      <w:r>
        <w:fldChar w:fldCharType="separate"/>
      </w:r>
      <w:r>
        <w:rPr>
          <w:rStyle w:val="10"/>
          <w:rFonts w:ascii="宋体" w:hAnsi="宋体"/>
        </w:rPr>
        <w:t xml:space="preserve">4 </w:t>
      </w:r>
      <w:r>
        <w:rPr>
          <w:rStyle w:val="10"/>
          <w:rFonts w:hint="eastAsia" w:ascii="宋体" w:hAnsi="宋体"/>
        </w:rPr>
        <w:t>评价要求</w:t>
      </w:r>
      <w:r>
        <w:rPr>
          <w:rFonts w:ascii="宋体" w:hAnsi="宋体"/>
        </w:rPr>
        <w:tab/>
      </w:r>
      <w:r>
        <w:rPr>
          <w:rFonts w:ascii="宋体" w:hAnsi="宋体"/>
        </w:rPr>
        <w:t>3</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"_Toc508953216" </w:instrText>
      </w:r>
      <w:r>
        <w:fldChar w:fldCharType="separate"/>
      </w:r>
      <w:r>
        <w:rPr>
          <w:rStyle w:val="10"/>
          <w:rFonts w:ascii="宋体" w:hAnsi="宋体"/>
        </w:rPr>
        <w:t xml:space="preserve">5 </w:t>
      </w:r>
      <w:r>
        <w:rPr>
          <w:rStyle w:val="10"/>
          <w:rFonts w:hint="eastAsia" w:ascii="宋体" w:hAnsi="宋体"/>
        </w:rPr>
        <w:t>生命周期评价报告编制方法</w:t>
      </w:r>
      <w:r>
        <w:rPr>
          <w:rFonts w:ascii="宋体" w:hAnsi="宋体"/>
        </w:rPr>
        <w:tab/>
      </w:r>
      <w:r>
        <w:rPr>
          <w:rFonts w:ascii="宋体" w:hAnsi="宋体"/>
        </w:rPr>
        <w:t>5</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"_Toc508953217" </w:instrText>
      </w:r>
      <w:r>
        <w:fldChar w:fldCharType="separate"/>
      </w:r>
      <w:r>
        <w:rPr>
          <w:rStyle w:val="10"/>
          <w:rFonts w:ascii="宋体" w:hAnsi="宋体"/>
        </w:rPr>
        <w:t xml:space="preserve">6 </w:t>
      </w:r>
      <w:r>
        <w:rPr>
          <w:rStyle w:val="10"/>
          <w:rFonts w:hint="eastAsia" w:ascii="宋体" w:hAnsi="宋体"/>
        </w:rPr>
        <w:t>评价方法</w:t>
      </w:r>
      <w:r>
        <w:rPr>
          <w:rFonts w:ascii="宋体" w:hAnsi="宋体"/>
        </w:rPr>
        <w:tab/>
      </w:r>
      <w:r>
        <w:rPr>
          <w:rFonts w:ascii="宋体" w:hAnsi="宋体"/>
        </w:rPr>
        <w:t>6</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"_Toc508953218" </w:instrText>
      </w:r>
      <w:r>
        <w:fldChar w:fldCharType="separate"/>
      </w:r>
      <w:r>
        <w:rPr>
          <w:rStyle w:val="10"/>
          <w:rFonts w:hint="eastAsia" w:ascii="宋体" w:hAnsi="宋体"/>
        </w:rPr>
        <w:t>附录</w:t>
      </w:r>
      <w:r>
        <w:rPr>
          <w:rStyle w:val="10"/>
          <w:rFonts w:ascii="宋体" w:hAnsi="宋体"/>
        </w:rPr>
        <w:t>A</w:t>
      </w:r>
      <w:r>
        <w:rPr>
          <w:rFonts w:ascii="宋体" w:hAnsi="宋体"/>
        </w:rPr>
        <w:tab/>
      </w:r>
      <w:r>
        <w:rPr>
          <w:rFonts w:ascii="宋体" w:hAnsi="宋体"/>
        </w:rPr>
        <w:t>5</w:t>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"_Toc508953219" </w:instrText>
      </w:r>
      <w:r>
        <w:fldChar w:fldCharType="separate"/>
      </w:r>
      <w:r>
        <w:rPr>
          <w:rStyle w:val="10"/>
          <w:rFonts w:hint="eastAsia" w:ascii="宋体" w:hAnsi="宋体"/>
        </w:rPr>
        <w:t>附录</w:t>
      </w:r>
      <w:r>
        <w:rPr>
          <w:rStyle w:val="10"/>
          <w:rFonts w:ascii="宋体" w:hAnsi="宋体"/>
        </w:rPr>
        <w:t>B</w:t>
      </w:r>
      <w:r>
        <w:rPr>
          <w:rFonts w:ascii="宋体" w:hAnsi="宋体"/>
        </w:rPr>
        <w:tab/>
      </w:r>
      <w:r>
        <w:rPr>
          <w:rFonts w:ascii="宋体" w:hAnsi="宋体"/>
        </w:rPr>
        <w:fldChar w:fldCharType="begin"/>
      </w:r>
      <w:r>
        <w:rPr>
          <w:rFonts w:ascii="宋体" w:hAnsi="宋体"/>
        </w:rPr>
        <w:instrText xml:space="preserve"> PAGEREF _Toc508953219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"_Toc508953220" </w:instrText>
      </w:r>
      <w:r>
        <w:fldChar w:fldCharType="separate"/>
      </w:r>
      <w:r>
        <w:rPr>
          <w:rStyle w:val="10"/>
          <w:rFonts w:hint="eastAsia" w:ascii="宋体" w:hAnsi="宋体"/>
        </w:rPr>
        <w:t>附录</w:t>
      </w:r>
      <w:r>
        <w:rPr>
          <w:rStyle w:val="10"/>
          <w:rFonts w:ascii="宋体" w:hAnsi="宋体"/>
        </w:rPr>
        <w:t>C</w:t>
      </w:r>
      <w:r>
        <w:rPr>
          <w:rFonts w:ascii="宋体" w:hAnsi="宋体"/>
        </w:rPr>
        <w:tab/>
      </w:r>
      <w:r>
        <w:rPr>
          <w:rFonts w:hint="eastAsia" w:ascii="宋体" w:hAnsi="宋体"/>
        </w:rPr>
        <w:t>17</w:t>
      </w:r>
      <w:r>
        <w:rPr>
          <w:rFonts w:hint="eastAsia" w:ascii="宋体" w:hAnsi="宋体"/>
        </w:rPr>
        <w:fldChar w:fldCharType="end"/>
      </w:r>
    </w:p>
    <w:p>
      <w:pPr>
        <w:pStyle w:val="7"/>
        <w:tabs>
          <w:tab w:val="right" w:leader="dot" w:pos="8296"/>
        </w:tabs>
        <w:spacing w:line="360" w:lineRule="auto"/>
        <w:rPr>
          <w:rFonts w:ascii="宋体" w:hAnsi="宋体"/>
        </w:rPr>
      </w:pPr>
      <w:r>
        <w:fldChar w:fldCharType="begin"/>
      </w:r>
      <w:r>
        <w:instrText xml:space="preserve"> HYPERLINK \l "_Toc508953220" </w:instrText>
      </w:r>
      <w:r>
        <w:fldChar w:fldCharType="separate"/>
      </w:r>
      <w:r>
        <w:rPr>
          <w:rStyle w:val="10"/>
          <w:rFonts w:hint="eastAsia" w:ascii="宋体" w:hAnsi="宋体"/>
        </w:rPr>
        <w:t>附录</w:t>
      </w:r>
      <w:r>
        <w:rPr>
          <w:rStyle w:val="10"/>
          <w:rFonts w:ascii="宋体" w:hAnsi="宋体"/>
        </w:rPr>
        <w:t>D</w:t>
      </w:r>
      <w:r>
        <w:rPr>
          <w:rFonts w:ascii="宋体" w:hAnsi="宋体"/>
        </w:rPr>
        <w:tab/>
      </w:r>
      <w:r>
        <w:rPr>
          <w:rFonts w:ascii="宋体" w:hAnsi="宋体"/>
        </w:rPr>
        <w:t>21</w:t>
      </w:r>
      <w:r>
        <w:rPr>
          <w:rFonts w:ascii="宋体" w:hAnsi="宋体"/>
        </w:rPr>
        <w:fldChar w:fldCharType="end"/>
      </w:r>
    </w:p>
    <w:p>
      <w:pPr>
        <w:pStyle w:val="7"/>
        <w:tabs>
          <w:tab w:val="right" w:leader="dot" w:pos="8296"/>
        </w:tabs>
        <w:rPr>
          <w:rFonts w:ascii="黑体"/>
        </w:rPr>
      </w:pPr>
    </w:p>
    <w:p>
      <w:pPr>
        <w:rPr>
          <w:rFonts w:ascii="黑体" w:eastAsia="黑体"/>
        </w:rPr>
      </w:pPr>
      <w:r>
        <w:rPr>
          <w:rFonts w:ascii="黑体"/>
        </w:rPr>
        <w:fldChar w:fldCharType="end"/>
      </w:r>
    </w:p>
    <w:p>
      <w:pPr>
        <w:widowControl/>
        <w:jc w:val="left"/>
        <w:rPr>
          <w:rFonts w:ascii="黑体" w:eastAsia="黑体"/>
          <w:sz w:val="28"/>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jc w:val="left"/>
        <w:rPr>
          <w:sz w:val="28"/>
        </w:rPr>
      </w:pPr>
    </w:p>
    <w:p>
      <w:pPr>
        <w:jc w:val="center"/>
        <w:outlineLvl w:val="0"/>
        <w:rPr>
          <w:rFonts w:ascii="黑体" w:hAnsi="黑体" w:eastAsia="黑体"/>
          <w:bCs/>
          <w:sz w:val="32"/>
          <w:szCs w:val="24"/>
        </w:rPr>
      </w:pPr>
      <w:bookmarkStart w:id="0" w:name="_Toc508953211"/>
      <w:r>
        <w:rPr>
          <w:rFonts w:hint="eastAsia" w:ascii="黑体" w:hAnsi="黑体" w:eastAsia="黑体"/>
          <w:bCs/>
          <w:sz w:val="32"/>
          <w:szCs w:val="24"/>
        </w:rPr>
        <w:t>前</w:t>
      </w:r>
      <w:r>
        <w:rPr>
          <w:rFonts w:ascii="黑体" w:hAnsi="黑体" w:eastAsia="黑体"/>
          <w:bCs/>
          <w:sz w:val="32"/>
          <w:szCs w:val="24"/>
        </w:rPr>
        <w:t xml:space="preserve">   </w:t>
      </w:r>
      <w:r>
        <w:rPr>
          <w:rFonts w:hint="eastAsia" w:ascii="黑体" w:hAnsi="黑体" w:eastAsia="黑体"/>
          <w:bCs/>
          <w:sz w:val="32"/>
          <w:szCs w:val="24"/>
        </w:rPr>
        <w:t>言</w:t>
      </w:r>
      <w:bookmarkEnd w:id="0"/>
    </w:p>
    <w:p>
      <w:pPr>
        <w:spacing w:line="360" w:lineRule="auto"/>
        <w:ind w:firstLine="2730" w:firstLineChars="1300"/>
        <w:rPr>
          <w:rFonts w:eastAsia="黑体"/>
        </w:rPr>
      </w:pPr>
    </w:p>
    <w:p>
      <w:pPr>
        <w:spacing w:line="360" w:lineRule="auto"/>
        <w:ind w:firstLine="420" w:firstLineChars="200"/>
        <w:rPr>
          <w:rFonts w:ascii="Times New Roman" w:hAnsi="Times New Roman"/>
        </w:rPr>
      </w:pPr>
      <w:r>
        <w:rPr>
          <w:rFonts w:hint="eastAsia" w:ascii="Times New Roman" w:hAnsi="Times New Roman" w:cs="宋体"/>
          <w:color w:val="000000"/>
          <w:kern w:val="0"/>
          <w:szCs w:val="21"/>
        </w:rPr>
        <w:t>本标准按照</w:t>
      </w:r>
      <w:r>
        <w:rPr>
          <w:rFonts w:ascii="Times New Roman" w:hAnsi="Times New Roman" w:cs="宋体"/>
          <w:color w:val="000000"/>
          <w:kern w:val="0"/>
          <w:szCs w:val="21"/>
        </w:rPr>
        <w:t>GT/T1.1-2020</w:t>
      </w:r>
      <w:r>
        <w:rPr>
          <w:rFonts w:hint="eastAsia" w:ascii="Times New Roman" w:hAnsi="Times New Roman" w:cs="宋体"/>
          <w:color w:val="000000"/>
          <w:kern w:val="0"/>
          <w:szCs w:val="21"/>
        </w:rPr>
        <w:t>给出的规则起草。</w:t>
      </w:r>
    </w:p>
    <w:p>
      <w:pPr>
        <w:spacing w:line="360" w:lineRule="auto"/>
        <w:ind w:firstLine="420" w:firstLineChars="200"/>
        <w:rPr>
          <w:rFonts w:ascii="Times New Roman" w:hAnsi="Times New Roman"/>
          <w:szCs w:val="21"/>
        </w:rPr>
      </w:pPr>
      <w:r>
        <w:rPr>
          <w:rFonts w:hint="eastAsia" w:ascii="Times New Roman" w:hAnsi="Times New Roman"/>
          <w:szCs w:val="21"/>
        </w:rPr>
        <w:t>本标准由工业和信息化部节能与综合利用司、中国有色金属工业协会提出。</w:t>
      </w:r>
    </w:p>
    <w:p>
      <w:pPr>
        <w:spacing w:line="360" w:lineRule="auto"/>
        <w:ind w:firstLine="420" w:firstLineChars="200"/>
        <w:rPr>
          <w:rFonts w:ascii="Times New Roman" w:hAnsi="Times New Roman"/>
          <w:szCs w:val="21"/>
        </w:rPr>
      </w:pPr>
      <w:r>
        <w:rPr>
          <w:rFonts w:hint="eastAsia" w:ascii="Times New Roman" w:hAnsi="Times New Roman"/>
          <w:szCs w:val="21"/>
        </w:rPr>
        <w:t>本标准由全国有色金属标准化技术委员会(SAC/TC243)归口。</w:t>
      </w:r>
    </w:p>
    <w:p>
      <w:pPr>
        <w:spacing w:line="360" w:lineRule="auto"/>
        <w:ind w:firstLine="420" w:firstLineChars="200"/>
        <w:rPr>
          <w:rFonts w:ascii="Times New Roman" w:hAnsi="Times New Roman"/>
        </w:rPr>
      </w:pPr>
      <w:r>
        <w:rPr>
          <w:rFonts w:hint="eastAsia" w:ascii="Times New Roman" w:hAnsi="Times New Roman"/>
          <w:szCs w:val="21"/>
        </w:rPr>
        <w:t>本标准</w:t>
      </w:r>
      <w:r>
        <w:rPr>
          <w:rFonts w:hint="eastAsia" w:ascii="Times New Roman" w:hAnsi="Times New Roman"/>
        </w:rPr>
        <w:t>负责起草</w:t>
      </w:r>
      <w:r>
        <w:rPr>
          <w:rFonts w:hint="eastAsia" w:ascii="Times New Roman" w:hAnsi="Times New Roman"/>
          <w:szCs w:val="21"/>
        </w:rPr>
        <w:t>单位：</w:t>
      </w:r>
      <w:r>
        <w:rPr>
          <w:rFonts w:hint="eastAsia" w:ascii="Times New Roman" w:hAnsi="Times New Roman"/>
        </w:rPr>
        <w:t>江西赣锋锂业股份有限公司。</w:t>
      </w:r>
    </w:p>
    <w:p>
      <w:pPr>
        <w:spacing w:line="360" w:lineRule="auto"/>
        <w:ind w:firstLine="420" w:firstLineChars="200"/>
        <w:rPr>
          <w:rFonts w:ascii="Times New Roman" w:hAnsi="Times New Roman"/>
          <w:b/>
          <w:bCs/>
          <w:szCs w:val="21"/>
        </w:rPr>
      </w:pPr>
      <w:r>
        <w:rPr>
          <w:rFonts w:hint="eastAsia" w:ascii="Times New Roman" w:hAnsi="Times New Roman"/>
          <w:szCs w:val="21"/>
        </w:rPr>
        <w:t>本标准参加起草单位：宜春赣锋锂业有限公司、</w:t>
      </w:r>
      <w:r>
        <w:rPr>
          <w:rFonts w:ascii="Times New Roman" w:hAnsi="Times New Roman"/>
          <w:szCs w:val="21"/>
        </w:rPr>
        <w:t>天齐锂业股份有限公司</w:t>
      </w:r>
      <w:r>
        <w:rPr>
          <w:rFonts w:hint="eastAsia" w:ascii="Times New Roman" w:hAnsi="Times New Roman"/>
          <w:szCs w:val="21"/>
        </w:rPr>
        <w:t>、中核建中核燃料元件有限公司锂业分公司、金昆仑锂业有限公司。</w:t>
      </w:r>
    </w:p>
    <w:p>
      <w:pPr>
        <w:pStyle w:val="8"/>
        <w:spacing w:line="360" w:lineRule="auto"/>
        <w:ind w:firstLine="420" w:firstLineChars="200"/>
        <w:jc w:val="both"/>
        <w:rPr>
          <w:b w:val="0"/>
        </w:rPr>
      </w:pPr>
      <w:r>
        <w:rPr>
          <w:rFonts w:hint="eastAsia"/>
          <w:b w:val="0"/>
        </w:rPr>
        <w:t>本标准起草人：</w:t>
      </w:r>
      <w:r>
        <w:rPr>
          <w:rFonts w:hint="eastAsia"/>
          <w:b w:val="0"/>
          <w:szCs w:val="21"/>
        </w:rPr>
        <w:t>李良彬、彭良平、严庆生、李强、涂明</w:t>
      </w:r>
      <w:r>
        <w:rPr>
          <w:b w:val="0"/>
          <w:szCs w:val="21"/>
        </w:rPr>
        <w:t>江</w:t>
      </w:r>
      <w:r>
        <w:rPr>
          <w:rFonts w:hint="eastAsia"/>
          <w:b w:val="0"/>
          <w:szCs w:val="21"/>
        </w:rPr>
        <w:t>、梅锦涛、江礼伦、庞全世、徐荣</w:t>
      </w:r>
      <w:r>
        <w:rPr>
          <w:rFonts w:hint="eastAsia"/>
          <w:b w:val="0"/>
        </w:rPr>
        <w:t>。</w:t>
      </w:r>
    </w:p>
    <w:p>
      <w:pPr>
        <w:widowControl/>
        <w:jc w:val="left"/>
        <w:rPr>
          <w:rFonts w:ascii="Times New Roman" w:hAnsi="Times New Roman"/>
          <w:sz w:val="28"/>
          <w:szCs w:val="28"/>
        </w:rPr>
      </w:pPr>
    </w:p>
    <w:p>
      <w:pPr>
        <w:widowControl/>
        <w:jc w:val="center"/>
        <w:rPr>
          <w:rFonts w:ascii="黑体" w:hAnsi="黑体" w:eastAsia="黑体"/>
          <w:sz w:val="24"/>
          <w:szCs w:val="28"/>
        </w:rPr>
      </w:pPr>
      <w:r>
        <w:rPr>
          <w:rFonts w:ascii="Times New Roman" w:hAnsi="Times New Roman"/>
          <w:sz w:val="24"/>
          <w:szCs w:val="28"/>
        </w:rPr>
        <w:br w:type="page"/>
      </w:r>
      <w:r>
        <w:rPr>
          <w:rFonts w:hint="eastAsia" w:ascii="黑体" w:hAnsi="黑体" w:eastAsia="黑体"/>
          <w:sz w:val="32"/>
          <w:szCs w:val="32"/>
        </w:rPr>
        <w:t>绿色设计产品评价技术规范——锂</w:t>
      </w:r>
    </w:p>
    <w:p>
      <w:pPr>
        <w:spacing w:before="312" w:beforeLines="100" w:line="360" w:lineRule="auto"/>
        <w:jc w:val="left"/>
        <w:outlineLvl w:val="0"/>
        <w:rPr>
          <w:rFonts w:ascii="黑体" w:hAnsi="黑体" w:eastAsia="黑体"/>
          <w:szCs w:val="18"/>
        </w:rPr>
      </w:pPr>
      <w:bookmarkStart w:id="1" w:name="_Toc508953212"/>
      <w:r>
        <w:rPr>
          <w:rFonts w:ascii="黑体" w:hAnsi="黑体" w:eastAsia="黑体"/>
          <w:szCs w:val="18"/>
        </w:rPr>
        <w:t xml:space="preserve">1  </w:t>
      </w:r>
      <w:r>
        <w:rPr>
          <w:rFonts w:hint="eastAsia" w:ascii="黑体" w:hAnsi="黑体" w:eastAsia="黑体"/>
          <w:szCs w:val="18"/>
        </w:rPr>
        <w:t>范围</w:t>
      </w:r>
      <w:bookmarkEnd w:id="1"/>
    </w:p>
    <w:p>
      <w:pPr>
        <w:spacing w:line="360" w:lineRule="auto"/>
        <w:ind w:firstLine="420" w:firstLineChars="200"/>
        <w:jc w:val="left"/>
        <w:rPr>
          <w:rFonts w:ascii="Times New Roman" w:hAnsi="Times New Roman"/>
          <w:szCs w:val="18"/>
        </w:rPr>
      </w:pPr>
      <w:r>
        <w:rPr>
          <w:rFonts w:hint="eastAsia" w:ascii="Times New Roman" w:hAnsi="Times New Roman"/>
          <w:szCs w:val="18"/>
        </w:rPr>
        <w:t>本标准规定了锂的绿色设计产品评价的要求、评价术语和定义、评价报告编制方法、评价方法和产品生命周期评价报告编制方法。</w:t>
      </w:r>
    </w:p>
    <w:p>
      <w:pPr>
        <w:spacing w:line="360" w:lineRule="auto"/>
        <w:ind w:firstLine="420" w:firstLineChars="200"/>
        <w:jc w:val="left"/>
        <w:rPr>
          <w:rFonts w:ascii="Times New Roman" w:hAnsi="Times New Roman"/>
          <w:szCs w:val="18"/>
        </w:rPr>
      </w:pPr>
      <w:r>
        <w:rPr>
          <w:rFonts w:hint="eastAsia" w:ascii="Times New Roman" w:hAnsi="Times New Roman"/>
          <w:szCs w:val="18"/>
        </w:rPr>
        <w:t>本标准适用于电解法制备金属锂的绿色设计产品评价。</w:t>
      </w:r>
    </w:p>
    <w:p>
      <w:pPr>
        <w:spacing w:before="312" w:beforeLines="100" w:line="360" w:lineRule="auto"/>
        <w:jc w:val="left"/>
        <w:outlineLvl w:val="0"/>
        <w:rPr>
          <w:rFonts w:ascii="黑体" w:hAnsi="黑体" w:eastAsia="黑体"/>
          <w:szCs w:val="18"/>
        </w:rPr>
      </w:pPr>
      <w:bookmarkStart w:id="2" w:name="_Toc508953213"/>
      <w:r>
        <w:rPr>
          <w:rFonts w:ascii="黑体" w:hAnsi="黑体" w:eastAsia="黑体"/>
          <w:szCs w:val="18"/>
        </w:rPr>
        <w:t xml:space="preserve">2  </w:t>
      </w:r>
      <w:r>
        <w:rPr>
          <w:rFonts w:hint="eastAsia" w:ascii="黑体" w:hAnsi="黑体" w:eastAsia="黑体"/>
          <w:szCs w:val="18"/>
        </w:rPr>
        <w:t>规范性引用文件</w:t>
      </w:r>
      <w:bookmarkEnd w:id="2"/>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下列文件中的内容通过文中的规范性引用而构成本文件的必不可少的条款，其中，注日期的引用文件，仅该日期的版本适用于本文件；不注日期的引用文件，其最新版本（包括所有的修改单）适用于本文件。</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GB/T 2589 综合能耗计算通则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GB/T 4369</w:t>
      </w:r>
      <w:r>
        <w:rPr>
          <w:rFonts w:hint="eastAsia" w:ascii="Times New Roman" w:hAnsi="Times New Roman"/>
          <w:szCs w:val="21"/>
        </w:rPr>
        <w:tab/>
      </w:r>
      <w:r>
        <w:rPr>
          <w:rFonts w:hint="eastAsia" w:ascii="Times New Roman" w:hAnsi="Times New Roman"/>
          <w:szCs w:val="21"/>
        </w:rPr>
        <w:t>锂</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8978</w:t>
      </w:r>
      <w:r>
        <w:rPr>
          <w:rFonts w:hint="eastAsia" w:ascii="Times New Roman" w:hAnsi="Times New Roman"/>
          <w:szCs w:val="21"/>
          <w:lang w:val="en-US" w:eastAsia="zh-CN"/>
        </w:rPr>
        <w:t xml:space="preserve"> </w:t>
      </w:r>
      <w:r>
        <w:rPr>
          <w:rFonts w:hint="eastAsia" w:ascii="Times New Roman" w:hAnsi="Times New Roman"/>
          <w:szCs w:val="21"/>
        </w:rPr>
        <w:tab/>
      </w:r>
      <w:r>
        <w:rPr>
          <w:rFonts w:hint="eastAsia" w:ascii="Times New Roman" w:hAnsi="Times New Roman"/>
          <w:szCs w:val="21"/>
        </w:rPr>
        <w:t>污水综合排放标准</w:t>
      </w:r>
    </w:p>
    <w:p>
      <w:pPr>
        <w:spacing w:line="360" w:lineRule="auto"/>
        <w:ind w:firstLine="420" w:firstLineChars="200"/>
        <w:jc w:val="left"/>
        <w:rPr>
          <w:rFonts w:hint="eastAsia"/>
          <w:szCs w:val="21"/>
          <w:lang w:val="de-DE"/>
        </w:rPr>
      </w:pPr>
      <w:r>
        <w:rPr>
          <w:rFonts w:hint="eastAsia"/>
          <w:szCs w:val="21"/>
          <w:lang w:val="de-DE"/>
        </w:rPr>
        <w:t>GB/T 10575</w:t>
      </w:r>
      <w:r>
        <w:rPr>
          <w:rFonts w:hint="eastAsia"/>
          <w:szCs w:val="21"/>
          <w:lang w:val="en-US" w:eastAsia="zh-CN"/>
        </w:rPr>
        <w:t xml:space="preserve">  </w:t>
      </w:r>
      <w:r>
        <w:rPr>
          <w:rFonts w:hint="eastAsia"/>
          <w:szCs w:val="21"/>
          <w:lang w:val="de-DE"/>
        </w:rPr>
        <w:t>无水氯化锂</w:t>
      </w:r>
      <w:r>
        <w:rPr>
          <w:rFonts w:hint="eastAsia"/>
          <w:szCs w:val="21"/>
          <w:lang w:val="en-US" w:eastAsia="zh-CN"/>
        </w:rPr>
        <w:t xml:space="preserve"> </w:t>
      </w:r>
    </w:p>
    <w:p>
      <w:pPr>
        <w:spacing w:line="360" w:lineRule="auto"/>
        <w:ind w:firstLine="420" w:firstLineChars="200"/>
        <w:jc w:val="left"/>
        <w:rPr>
          <w:rFonts w:hint="eastAsia"/>
          <w:szCs w:val="21"/>
          <w:lang w:val="de-DE"/>
        </w:rPr>
      </w:pPr>
      <w:r>
        <w:rPr>
          <w:rFonts w:hint="eastAsia"/>
          <w:szCs w:val="21"/>
          <w:lang w:val="de-DE"/>
        </w:rPr>
        <w:t>GB</w:t>
      </w:r>
      <w:r>
        <w:rPr>
          <w:rFonts w:hint="eastAsia"/>
          <w:szCs w:val="21"/>
          <w:lang w:val="en-US" w:eastAsia="zh-CN"/>
        </w:rPr>
        <w:t xml:space="preserve"> </w:t>
      </w:r>
      <w:r>
        <w:rPr>
          <w:rFonts w:hint="eastAsia"/>
          <w:szCs w:val="21"/>
          <w:lang w:val="de-DE"/>
        </w:rPr>
        <w:t xml:space="preserve">12348  </w:t>
      </w:r>
      <w:r>
        <w:rPr>
          <w:rFonts w:hint="eastAsia"/>
          <w:szCs w:val="21"/>
          <w:lang w:val="en-US" w:eastAsia="zh-CN"/>
        </w:rPr>
        <w:t xml:space="preserve"> </w:t>
      </w:r>
      <w:r>
        <w:rPr>
          <w:rFonts w:hint="eastAsia"/>
          <w:szCs w:val="21"/>
          <w:lang w:val="de-DE"/>
        </w:rPr>
        <w:t>工业企业厂界环境噪声排放标准</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16297</w:t>
      </w:r>
      <w:bookmarkStart w:id="14" w:name="_GoBack"/>
      <w:bookmarkEnd w:id="14"/>
      <w:r>
        <w:rPr>
          <w:rFonts w:hint="eastAsia" w:ascii="Times New Roman" w:hAnsi="Times New Roman"/>
          <w:szCs w:val="21"/>
        </w:rPr>
        <w:tab/>
      </w:r>
      <w:r>
        <w:rPr>
          <w:rFonts w:hint="eastAsia" w:ascii="Times New Roman" w:hAnsi="Times New Roman"/>
          <w:szCs w:val="21"/>
        </w:rPr>
        <w:t>大气污染物综合排放标准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GB/T 16157</w:t>
      </w:r>
      <w:r>
        <w:rPr>
          <w:rFonts w:hint="eastAsia" w:ascii="Times New Roman" w:hAnsi="Times New Roman"/>
          <w:szCs w:val="21"/>
        </w:rPr>
        <w:tab/>
      </w:r>
      <w:r>
        <w:rPr>
          <w:rFonts w:hint="eastAsia" w:ascii="Times New Roman" w:hAnsi="Times New Roman"/>
          <w:szCs w:val="21"/>
        </w:rPr>
        <w:t>固定污染源排气中颗粒物测定与气态污染物采样方法</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GB/T 16297</w:t>
      </w:r>
      <w:r>
        <w:rPr>
          <w:rFonts w:hint="eastAsia" w:ascii="Times New Roman" w:hAnsi="Times New Roman"/>
          <w:szCs w:val="21"/>
        </w:rPr>
        <w:tab/>
      </w:r>
      <w:r>
        <w:rPr>
          <w:rFonts w:hint="eastAsia" w:ascii="Times New Roman" w:hAnsi="Times New Roman"/>
          <w:szCs w:val="21"/>
        </w:rPr>
        <w:t>大气污染物综合排放标准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 17167</w:t>
      </w:r>
      <w:r>
        <w:rPr>
          <w:rFonts w:hint="eastAsia" w:ascii="Times New Roman" w:hAnsi="Times New Roman"/>
          <w:szCs w:val="21"/>
        </w:rPr>
        <w:tab/>
      </w:r>
      <w:r>
        <w:rPr>
          <w:rFonts w:hint="eastAsia" w:ascii="Times New Roman" w:hAnsi="Times New Roman"/>
          <w:szCs w:val="21"/>
        </w:rPr>
        <w:t>用能单位能源计量器具配比和管理通则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 18597 危险废物贮存污染控制标准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 18599</w:t>
      </w:r>
      <w:r>
        <w:rPr>
          <w:rFonts w:ascii="Times New Roman" w:hAnsi="Times New Roman"/>
          <w:szCs w:val="21"/>
        </w:rPr>
        <w:t xml:space="preserve"> </w:t>
      </w:r>
      <w:r>
        <w:rPr>
          <w:rFonts w:hint="eastAsia" w:ascii="Times New Roman" w:hAnsi="Times New Roman"/>
          <w:szCs w:val="21"/>
        </w:rPr>
        <w:t>一般工业固体废物贮存</w:t>
      </w:r>
    </w:p>
    <w:p>
      <w:pPr>
        <w:spacing w:line="360" w:lineRule="auto"/>
        <w:ind w:firstLine="420" w:firstLineChars="200"/>
        <w:jc w:val="left"/>
        <w:rPr>
          <w:rFonts w:ascii="Times New Roman" w:hAnsi="Times New Roman"/>
          <w:szCs w:val="21"/>
        </w:rPr>
      </w:pPr>
      <w:r>
        <w:rPr>
          <w:rFonts w:hint="eastAsia" w:ascii="Times New Roman" w:hAnsi="Times New Roman"/>
          <w:szCs w:val="21"/>
        </w:rPr>
        <w:t>GB/T 19001</w:t>
      </w:r>
      <w:r>
        <w:rPr>
          <w:rFonts w:hint="eastAsia" w:ascii="Times New Roman" w:hAnsi="Times New Roman"/>
          <w:szCs w:val="21"/>
        </w:rPr>
        <w:tab/>
      </w:r>
      <w:r>
        <w:rPr>
          <w:rFonts w:hint="eastAsia" w:ascii="Times New Roman" w:hAnsi="Times New Roman"/>
          <w:szCs w:val="21"/>
        </w:rPr>
        <w:t>质量管理体系 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GB/T 23331</w:t>
      </w:r>
      <w:r>
        <w:rPr>
          <w:rFonts w:hint="eastAsia" w:ascii="Times New Roman" w:hAnsi="Times New Roman"/>
          <w:szCs w:val="21"/>
        </w:rPr>
        <w:tab/>
      </w:r>
      <w:r>
        <w:rPr>
          <w:rFonts w:hint="eastAsia" w:ascii="Times New Roman" w:hAnsi="Times New Roman"/>
          <w:szCs w:val="21"/>
        </w:rPr>
        <w:t>能源管理体系 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24001</w:t>
      </w:r>
      <w:r>
        <w:rPr>
          <w:rFonts w:hint="eastAsia" w:ascii="Times New Roman" w:hAnsi="Times New Roman"/>
          <w:szCs w:val="21"/>
        </w:rPr>
        <w:tab/>
      </w:r>
      <w:r>
        <w:rPr>
          <w:rFonts w:hint="eastAsia" w:ascii="Times New Roman" w:hAnsi="Times New Roman"/>
          <w:szCs w:val="21"/>
        </w:rPr>
        <w:t>环境管理体系 要求及使用指南</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24020</w:t>
      </w:r>
      <w:r>
        <w:rPr>
          <w:rFonts w:hint="eastAsia" w:ascii="Times New Roman" w:hAnsi="Times New Roman"/>
          <w:szCs w:val="21"/>
        </w:rPr>
        <w:tab/>
      </w:r>
      <w:r>
        <w:rPr>
          <w:rFonts w:hint="eastAsia" w:ascii="Times New Roman" w:hAnsi="Times New Roman"/>
          <w:szCs w:val="21"/>
        </w:rPr>
        <w:t>环境管理环境标志和声明 原则和程序</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24025</w:t>
      </w:r>
      <w:r>
        <w:rPr>
          <w:rFonts w:hint="eastAsia" w:ascii="Times New Roman" w:hAnsi="Times New Roman"/>
          <w:szCs w:val="21"/>
        </w:rPr>
        <w:tab/>
      </w:r>
      <w:r>
        <w:rPr>
          <w:rFonts w:hint="eastAsia" w:ascii="Times New Roman" w:hAnsi="Times New Roman"/>
          <w:szCs w:val="21"/>
        </w:rPr>
        <w:t>环境标志和声明Ⅲ型环境声明 原则和程序</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24040</w:t>
      </w:r>
      <w:r>
        <w:rPr>
          <w:rFonts w:hint="eastAsia" w:ascii="Times New Roman" w:hAnsi="Times New Roman"/>
          <w:szCs w:val="21"/>
        </w:rPr>
        <w:tab/>
      </w:r>
      <w:r>
        <w:rPr>
          <w:rFonts w:hint="eastAsia" w:ascii="Times New Roman" w:hAnsi="Times New Roman"/>
          <w:szCs w:val="21"/>
        </w:rPr>
        <w:t>环境管理 生命周期评价 原则与框架</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24044</w:t>
      </w:r>
      <w:r>
        <w:rPr>
          <w:rFonts w:hint="eastAsia" w:ascii="Times New Roman" w:hAnsi="Times New Roman"/>
          <w:szCs w:val="21"/>
        </w:rPr>
        <w:tab/>
      </w:r>
      <w:r>
        <w:rPr>
          <w:rFonts w:hint="eastAsia" w:ascii="Times New Roman" w:hAnsi="Times New Roman"/>
          <w:szCs w:val="21"/>
        </w:rPr>
        <w:t>环境管理 生命周期评价 要求与指南</w:t>
      </w:r>
    </w:p>
    <w:p>
      <w:pPr>
        <w:spacing w:line="360" w:lineRule="auto"/>
        <w:ind w:firstLine="420" w:firstLineChars="200"/>
        <w:jc w:val="left"/>
        <w:rPr>
          <w:rFonts w:ascii="Times New Roman" w:hAnsi="Times New Roman"/>
          <w:szCs w:val="21"/>
        </w:rPr>
      </w:pPr>
      <w:r>
        <w:rPr>
          <w:rFonts w:hint="eastAsia" w:ascii="Times New Roman" w:hAnsi="Times New Roman"/>
          <w:szCs w:val="21"/>
        </w:rPr>
        <w:t>GB/T 24289</w:t>
      </w:r>
      <w:r>
        <w:rPr>
          <w:rFonts w:hint="eastAsia" w:ascii="Times New Roman" w:hAnsi="Times New Roman"/>
          <w:szCs w:val="21"/>
        </w:rPr>
        <w:tab/>
      </w:r>
      <w:r>
        <w:rPr>
          <w:rFonts w:hint="eastAsia" w:ascii="Times New Roman" w:hAnsi="Times New Roman"/>
          <w:szCs w:val="21"/>
        </w:rPr>
        <w:t>用水单位水计量器具配备和管理通则</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GB/T 28001 职业健康安全管理体系 要求</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 31573</w:t>
      </w:r>
      <w:r>
        <w:rPr>
          <w:rFonts w:hint="eastAsia" w:ascii="Times New Roman" w:hAnsi="Times New Roman"/>
          <w:szCs w:val="21"/>
        </w:rPr>
        <w:tab/>
      </w:r>
      <w:r>
        <w:rPr>
          <w:rFonts w:hint="eastAsia" w:ascii="Times New Roman" w:hAnsi="Times New Roman"/>
          <w:szCs w:val="21"/>
        </w:rPr>
        <w:t>无机化学工业污染物排放标准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GB/T 32161-2015</w:t>
      </w:r>
      <w:r>
        <w:rPr>
          <w:rFonts w:hint="eastAsia" w:ascii="Times New Roman" w:hAnsi="Times New Roman"/>
          <w:szCs w:val="21"/>
        </w:rPr>
        <w:tab/>
      </w:r>
      <w:r>
        <w:rPr>
          <w:rFonts w:hint="eastAsia" w:ascii="Times New Roman" w:hAnsi="Times New Roman"/>
          <w:szCs w:val="21"/>
        </w:rPr>
        <w:t>生态设计产品评价通则</w:t>
      </w:r>
    </w:p>
    <w:p>
      <w:pPr>
        <w:spacing w:line="360" w:lineRule="auto"/>
        <w:ind w:firstLine="420" w:firstLineChars="200"/>
        <w:jc w:val="left"/>
        <w:rPr>
          <w:rFonts w:ascii="Times New Roman" w:hAnsi="Times New Roman"/>
          <w:szCs w:val="21"/>
        </w:rPr>
      </w:pPr>
      <w:r>
        <w:rPr>
          <w:rFonts w:hint="eastAsia" w:ascii="Times New Roman" w:hAnsi="Times New Roman"/>
          <w:szCs w:val="21"/>
        </w:rPr>
        <w:t>GB/T 32162</w:t>
      </w:r>
      <w:r>
        <w:rPr>
          <w:rFonts w:hint="eastAsia" w:ascii="Times New Roman" w:hAnsi="Times New Roman"/>
          <w:szCs w:val="21"/>
        </w:rPr>
        <w:tab/>
      </w:r>
      <w:r>
        <w:rPr>
          <w:rFonts w:hint="eastAsia" w:ascii="Times New Roman" w:hAnsi="Times New Roman"/>
          <w:szCs w:val="21"/>
        </w:rPr>
        <w:t>生态设计产品标识</w:t>
      </w:r>
    </w:p>
    <w:p>
      <w:pPr>
        <w:spacing w:line="360" w:lineRule="auto"/>
        <w:ind w:firstLine="420" w:firstLineChars="200"/>
        <w:jc w:val="left"/>
        <w:rPr>
          <w:rFonts w:hint="eastAsia" w:ascii="Times New Roman" w:hAnsi="Times New Roman"/>
          <w:szCs w:val="21"/>
        </w:rPr>
      </w:pPr>
      <w:r>
        <w:rPr>
          <w:rFonts w:hint="eastAsia" w:ascii="Times New Roman" w:hAnsi="Times New Roman"/>
          <w:szCs w:val="21"/>
        </w:rPr>
        <w:t>GB/T 33000</w:t>
      </w:r>
      <w:r>
        <w:rPr>
          <w:rFonts w:hint="eastAsia" w:ascii="Times New Roman" w:hAnsi="Times New Roman"/>
          <w:szCs w:val="21"/>
        </w:rPr>
        <w:tab/>
      </w:r>
      <w:r>
        <w:rPr>
          <w:rFonts w:hint="eastAsia" w:ascii="Times New Roman" w:hAnsi="Times New Roman"/>
          <w:szCs w:val="21"/>
        </w:rPr>
        <w:t>企业安全生产标准化基本规范</w:t>
      </w:r>
    </w:p>
    <w:p>
      <w:pPr>
        <w:spacing w:line="360" w:lineRule="auto"/>
        <w:ind w:firstLine="420" w:firstLineChars="200"/>
        <w:jc w:val="left"/>
        <w:rPr>
          <w:rFonts w:ascii="Times New Roman" w:hAnsi="Times New Roman"/>
          <w:szCs w:val="21"/>
        </w:rPr>
      </w:pPr>
      <w:r>
        <w:rPr>
          <w:rFonts w:hint="eastAsia" w:ascii="Times New Roman" w:hAnsi="Times New Roman"/>
          <w:szCs w:val="21"/>
        </w:rPr>
        <w:t>GB</w:t>
      </w:r>
      <w:r>
        <w:rPr>
          <w:rFonts w:ascii="Times New Roman" w:hAnsi="Times New Roman"/>
          <w:szCs w:val="21"/>
        </w:rPr>
        <w:t xml:space="preserve"> </w:t>
      </w:r>
      <w:r>
        <w:rPr>
          <w:rFonts w:hint="eastAsia" w:ascii="Times New Roman" w:hAnsi="Times New Roman"/>
          <w:szCs w:val="21"/>
        </w:rPr>
        <w:t>50919-2013</w:t>
      </w:r>
      <w:r>
        <w:rPr>
          <w:rFonts w:hint="eastAsia" w:ascii="Times New Roman" w:hAnsi="Times New Roman"/>
          <w:szCs w:val="21"/>
        </w:rPr>
        <w:tab/>
      </w:r>
      <w:r>
        <w:rPr>
          <w:rFonts w:hint="eastAsia" w:ascii="Times New Roman" w:hAnsi="Times New Roman"/>
          <w:szCs w:val="21"/>
        </w:rPr>
        <w:t>有色金属冶炼厂节能设计规范</w:t>
      </w:r>
    </w:p>
    <w:p>
      <w:pPr>
        <w:spacing w:line="360" w:lineRule="auto"/>
        <w:ind w:firstLine="420" w:firstLineChars="200"/>
        <w:jc w:val="left"/>
        <w:rPr>
          <w:rFonts w:hint="eastAsia" w:ascii="Times New Roman" w:hAnsi="Times New Roman"/>
          <w:szCs w:val="21"/>
        </w:rPr>
      </w:pPr>
    </w:p>
    <w:p>
      <w:pPr>
        <w:spacing w:before="312" w:beforeLines="100" w:line="360" w:lineRule="auto"/>
        <w:jc w:val="left"/>
        <w:outlineLvl w:val="0"/>
        <w:rPr>
          <w:rFonts w:ascii="黑体" w:hAnsi="黑体" w:eastAsia="黑体"/>
          <w:szCs w:val="18"/>
        </w:rPr>
      </w:pPr>
      <w:bookmarkStart w:id="3" w:name="_Toc508953214"/>
      <w:r>
        <w:rPr>
          <w:rFonts w:ascii="黑体" w:hAnsi="黑体" w:eastAsia="黑体"/>
          <w:szCs w:val="18"/>
        </w:rPr>
        <w:t xml:space="preserve">3  </w:t>
      </w:r>
      <w:r>
        <w:rPr>
          <w:rFonts w:hint="eastAsia" w:ascii="黑体" w:hAnsi="黑体" w:eastAsia="黑体"/>
          <w:szCs w:val="18"/>
        </w:rPr>
        <w:t>术语和定义</w:t>
      </w:r>
      <w:bookmarkEnd w:id="3"/>
    </w:p>
    <w:p>
      <w:pPr>
        <w:spacing w:line="360" w:lineRule="auto"/>
        <w:ind w:firstLine="420" w:firstLineChars="200"/>
        <w:jc w:val="left"/>
        <w:outlineLvl w:val="0"/>
        <w:rPr>
          <w:rFonts w:ascii="Times New Roman" w:hAnsi="Times New Roman"/>
          <w:szCs w:val="18"/>
        </w:rPr>
      </w:pPr>
      <w:r>
        <w:rPr>
          <w:rFonts w:hint="eastAsia" w:ascii="Times New Roman" w:hAnsi="Times New Roman"/>
          <w:szCs w:val="18"/>
        </w:rPr>
        <w:t>下列术语和定义适用于本文件。</w:t>
      </w:r>
    </w:p>
    <w:p>
      <w:pPr>
        <w:spacing w:before="312" w:beforeLines="100" w:line="360" w:lineRule="auto"/>
        <w:jc w:val="left"/>
        <w:outlineLvl w:val="0"/>
        <w:rPr>
          <w:rFonts w:ascii="黑体" w:hAnsi="黑体" w:eastAsia="黑体"/>
          <w:szCs w:val="18"/>
        </w:rPr>
      </w:pPr>
      <w:r>
        <w:rPr>
          <w:rFonts w:ascii="黑体" w:hAnsi="黑体" w:eastAsia="黑体"/>
          <w:szCs w:val="18"/>
        </w:rPr>
        <w:t xml:space="preserve">3.1  </w:t>
      </w:r>
      <w:r>
        <w:rPr>
          <w:rFonts w:hint="eastAsia" w:ascii="黑体" w:hAnsi="黑体" w:eastAsia="黑体"/>
          <w:szCs w:val="18"/>
        </w:rPr>
        <w:t>绿色设计/生态设计</w:t>
      </w:r>
      <w:r>
        <w:rPr>
          <w:rFonts w:ascii="黑体" w:hAnsi="黑体" w:eastAsia="黑体"/>
          <w:szCs w:val="18"/>
        </w:rPr>
        <w:t>Green-design</w:t>
      </w:r>
      <w:r>
        <w:rPr>
          <w:rFonts w:hint="eastAsia" w:ascii="黑体" w:hAnsi="黑体" w:eastAsia="黑体"/>
          <w:szCs w:val="18"/>
        </w:rPr>
        <w:t>/</w:t>
      </w:r>
      <w:r>
        <w:rPr>
          <w:rFonts w:ascii="黑体" w:hAnsi="黑体" w:eastAsia="黑体"/>
          <w:szCs w:val="18"/>
        </w:rPr>
        <w:t>Eco-design</w:t>
      </w:r>
    </w:p>
    <w:p>
      <w:pPr>
        <w:spacing w:line="360" w:lineRule="auto"/>
        <w:ind w:firstLine="420" w:firstLineChars="200"/>
        <w:jc w:val="left"/>
        <w:rPr>
          <w:rFonts w:ascii="Times New Roman" w:hAnsi="Times New Roman"/>
          <w:szCs w:val="18"/>
        </w:rPr>
      </w:pPr>
      <w:r>
        <w:rPr>
          <w:rFonts w:hint="eastAsia" w:ascii="Times New Roman" w:hAnsi="Times New Roman"/>
          <w:szCs w:val="18"/>
        </w:rPr>
        <w:t>按照全生命周期的理念，在产品设计开发阶段系统考虑原材料选用、生产、销售、包装、运输、使用、回收、处理等各个环节对资源环境造成的影响，力求产品在全生命周期中最大程度降低资源消耗、尽可能少用或不用有毒有害物质的原材料，减少污染物产生和排放，从而实现环境保护的活动。</w:t>
      </w:r>
    </w:p>
    <w:p>
      <w:pPr>
        <w:spacing w:line="360" w:lineRule="auto"/>
        <w:ind w:firstLine="420" w:firstLineChars="200"/>
        <w:jc w:val="left"/>
        <w:rPr>
          <w:rFonts w:ascii="Times New Roman" w:hAnsi="Times New Roman"/>
          <w:szCs w:val="18"/>
        </w:rPr>
      </w:pPr>
      <w:r>
        <w:rPr>
          <w:rFonts w:hint="eastAsia" w:ascii="Times New Roman" w:hAnsi="Times New Roman"/>
          <w:szCs w:val="18"/>
        </w:rPr>
        <w:t>注：生态设计也称环境意识设计。</w:t>
      </w:r>
    </w:p>
    <w:p>
      <w:pPr>
        <w:spacing w:line="360" w:lineRule="auto"/>
        <w:jc w:val="left"/>
        <w:rPr>
          <w:rFonts w:ascii="Times New Roman" w:hAnsi="Times New Roman"/>
          <w:bCs/>
          <w:szCs w:val="18"/>
        </w:rPr>
      </w:pPr>
      <w:r>
        <w:rPr>
          <w:rFonts w:ascii="黑体" w:hAnsi="黑体" w:eastAsia="黑体"/>
          <w:szCs w:val="18"/>
        </w:rPr>
        <w:t xml:space="preserve">3.2 </w:t>
      </w:r>
      <w:r>
        <w:rPr>
          <w:rFonts w:hint="eastAsia" w:ascii="黑体" w:hAnsi="黑体" w:eastAsia="黑体"/>
          <w:szCs w:val="18"/>
        </w:rPr>
        <w:t>绿色设计产品/生态设计产品</w:t>
      </w:r>
      <w:r>
        <w:rPr>
          <w:rFonts w:ascii="黑体" w:hAnsi="黑体" w:eastAsia="黑体"/>
          <w:szCs w:val="18"/>
        </w:rPr>
        <w:t>Green-design products</w:t>
      </w:r>
      <w:r>
        <w:rPr>
          <w:rFonts w:hint="eastAsia" w:ascii="黑体" w:hAnsi="黑体" w:eastAsia="黑体"/>
          <w:szCs w:val="18"/>
        </w:rPr>
        <w:t>/</w:t>
      </w:r>
      <w:r>
        <w:rPr>
          <w:rFonts w:ascii="黑体" w:hAnsi="黑体" w:eastAsia="黑体"/>
          <w:szCs w:val="18"/>
        </w:rPr>
        <w:t xml:space="preserve"> Eco-design</w:t>
      </w:r>
      <w:r>
        <w:rPr>
          <w:rFonts w:ascii="黑体" w:hAnsi="黑体" w:eastAsia="黑体"/>
          <w:b/>
          <w:sz w:val="24"/>
          <w:szCs w:val="21"/>
        </w:rPr>
        <w:t xml:space="preserve"> </w:t>
      </w:r>
      <w:r>
        <w:rPr>
          <w:rFonts w:ascii="黑体" w:hAnsi="黑体" w:eastAsia="黑体"/>
          <w:bCs/>
          <w:szCs w:val="18"/>
        </w:rPr>
        <w:t>products</w:t>
      </w:r>
    </w:p>
    <w:p>
      <w:pPr>
        <w:spacing w:line="360" w:lineRule="auto"/>
        <w:jc w:val="left"/>
        <w:rPr>
          <w:rFonts w:ascii="Times New Roman" w:hAnsi="Times New Roman"/>
          <w:szCs w:val="21"/>
        </w:rPr>
      </w:pPr>
      <w:r>
        <w:rPr>
          <w:rFonts w:ascii="Times New Roman" w:hAnsi="Times New Roman"/>
          <w:sz w:val="24"/>
          <w:szCs w:val="21"/>
        </w:rPr>
        <w:t xml:space="preserve">  </w:t>
      </w:r>
      <w:r>
        <w:rPr>
          <w:rFonts w:hint="eastAsia" w:ascii="Times New Roman" w:hAnsi="Times New Roman"/>
          <w:sz w:val="24"/>
          <w:szCs w:val="21"/>
        </w:rPr>
        <w:t xml:space="preserve"> </w:t>
      </w:r>
      <w:r>
        <w:rPr>
          <w:rFonts w:ascii="Times New Roman" w:hAnsi="Times New Roman"/>
          <w:szCs w:val="21"/>
        </w:rPr>
        <w:t xml:space="preserve"> </w:t>
      </w:r>
      <w:r>
        <w:rPr>
          <w:rFonts w:hint="eastAsia" w:ascii="Times New Roman" w:hAnsi="Times New Roman"/>
          <w:szCs w:val="21"/>
        </w:rPr>
        <w:t>符合绿色设计理念和评价要求的产品。</w:t>
      </w:r>
    </w:p>
    <w:p>
      <w:pPr>
        <w:spacing w:line="360" w:lineRule="auto"/>
        <w:jc w:val="left"/>
        <w:rPr>
          <w:rFonts w:ascii="黑体" w:hAnsi="黑体" w:eastAsia="黑体"/>
          <w:szCs w:val="18"/>
        </w:rPr>
      </w:pPr>
      <w:r>
        <w:rPr>
          <w:rFonts w:ascii="黑体" w:hAnsi="黑体" w:eastAsia="黑体"/>
          <w:szCs w:val="18"/>
        </w:rPr>
        <w:t xml:space="preserve">3.3 </w:t>
      </w:r>
      <w:r>
        <w:rPr>
          <w:rFonts w:hint="eastAsia" w:ascii="黑体" w:hAnsi="黑体" w:eastAsia="黑体"/>
          <w:szCs w:val="18"/>
        </w:rPr>
        <w:t>评价指标基准值</w:t>
      </w:r>
      <w:r>
        <w:rPr>
          <w:rFonts w:ascii="黑体" w:hAnsi="黑体" w:eastAsia="黑体"/>
          <w:szCs w:val="18"/>
        </w:rPr>
        <w:t>Reference value of evaluation index</w:t>
      </w:r>
    </w:p>
    <w:p>
      <w:pPr>
        <w:spacing w:line="360" w:lineRule="auto"/>
        <w:ind w:firstLine="420" w:firstLineChars="200"/>
        <w:jc w:val="left"/>
        <w:rPr>
          <w:rFonts w:ascii="Times New Roman" w:hAnsi="Times New Roman"/>
          <w:szCs w:val="21"/>
        </w:rPr>
      </w:pPr>
      <w:r>
        <w:rPr>
          <w:rFonts w:hint="eastAsia" w:ascii="Times New Roman" w:hAnsi="Times New Roman"/>
          <w:szCs w:val="21"/>
        </w:rPr>
        <w:t>为评价产品绿色设计而设定的指标参考值。</w:t>
      </w:r>
    </w:p>
    <w:p>
      <w:pPr>
        <w:spacing w:line="360" w:lineRule="auto"/>
        <w:jc w:val="left"/>
        <w:rPr>
          <w:rFonts w:ascii="黑体" w:hAnsi="黑体" w:eastAsia="黑体"/>
          <w:szCs w:val="18"/>
        </w:rPr>
      </w:pPr>
      <w:r>
        <w:rPr>
          <w:rFonts w:ascii="黑体" w:hAnsi="黑体" w:eastAsia="黑体"/>
          <w:szCs w:val="18"/>
        </w:rPr>
        <w:t xml:space="preserve">3.4 </w:t>
      </w:r>
      <w:r>
        <w:rPr>
          <w:rFonts w:hint="eastAsia" w:ascii="黑体" w:hAnsi="黑体" w:eastAsia="黑体"/>
          <w:szCs w:val="18"/>
        </w:rPr>
        <w:t>现场数据</w:t>
      </w:r>
      <w:r>
        <w:rPr>
          <w:rFonts w:ascii="黑体" w:hAnsi="黑体" w:eastAsia="黑体"/>
          <w:szCs w:val="18"/>
        </w:rPr>
        <w:t>Field data</w:t>
      </w:r>
    </w:p>
    <w:p>
      <w:pPr>
        <w:spacing w:line="360" w:lineRule="auto"/>
        <w:ind w:firstLine="420" w:firstLineChars="200"/>
        <w:jc w:val="left"/>
        <w:rPr>
          <w:rFonts w:ascii="Times New Roman" w:hAnsi="Times New Roman"/>
          <w:szCs w:val="21"/>
        </w:rPr>
      </w:pPr>
      <w:r>
        <w:rPr>
          <w:rFonts w:hint="eastAsia" w:ascii="Times New Roman" w:hAnsi="Times New Roman"/>
          <w:szCs w:val="21"/>
        </w:rPr>
        <w:t>通过直接定量测量方式获得的产品生命周期活动数据。</w:t>
      </w:r>
    </w:p>
    <w:p>
      <w:pPr>
        <w:spacing w:line="360" w:lineRule="auto"/>
        <w:jc w:val="left"/>
        <w:rPr>
          <w:rFonts w:ascii="黑体" w:hAnsi="黑体" w:eastAsia="黑体"/>
          <w:szCs w:val="18"/>
        </w:rPr>
      </w:pPr>
      <w:r>
        <w:rPr>
          <w:rFonts w:ascii="黑体" w:hAnsi="黑体" w:eastAsia="黑体"/>
          <w:szCs w:val="18"/>
        </w:rPr>
        <w:t xml:space="preserve">3.5 </w:t>
      </w:r>
      <w:r>
        <w:rPr>
          <w:rFonts w:hint="eastAsia" w:ascii="黑体" w:hAnsi="黑体" w:eastAsia="黑体"/>
          <w:szCs w:val="18"/>
        </w:rPr>
        <w:t>背景数据</w:t>
      </w:r>
      <w:r>
        <w:rPr>
          <w:rFonts w:ascii="黑体" w:hAnsi="黑体" w:eastAsia="黑体"/>
          <w:szCs w:val="18"/>
        </w:rPr>
        <w:t>Background data</w:t>
      </w:r>
    </w:p>
    <w:p>
      <w:pPr>
        <w:spacing w:line="360" w:lineRule="auto"/>
        <w:ind w:firstLine="420" w:firstLineChars="200"/>
        <w:jc w:val="left"/>
        <w:rPr>
          <w:rFonts w:ascii="Times New Roman" w:hAnsi="Times New Roman"/>
          <w:szCs w:val="21"/>
        </w:rPr>
      </w:pPr>
      <w:r>
        <w:rPr>
          <w:rFonts w:hint="eastAsia" w:ascii="Times New Roman" w:hAnsi="Times New Roman"/>
          <w:szCs w:val="21"/>
        </w:rPr>
        <w:t>通过直接测量以外的来源获得的产品生命周期活动数据。</w:t>
      </w:r>
    </w:p>
    <w:p>
      <w:pPr>
        <w:spacing w:line="360" w:lineRule="auto"/>
        <w:jc w:val="left"/>
        <w:rPr>
          <w:rFonts w:ascii="黑体" w:hAnsi="黑体" w:eastAsia="黑体"/>
          <w:szCs w:val="18"/>
        </w:rPr>
      </w:pPr>
      <w:r>
        <w:rPr>
          <w:rFonts w:ascii="黑体" w:hAnsi="黑体" w:eastAsia="黑体"/>
          <w:szCs w:val="18"/>
        </w:rPr>
        <w:t>3.</w:t>
      </w:r>
      <w:r>
        <w:rPr>
          <w:rFonts w:hint="eastAsia" w:ascii="黑体" w:hAnsi="黑体" w:eastAsia="黑体"/>
          <w:szCs w:val="18"/>
        </w:rPr>
        <w:t>6</w:t>
      </w:r>
      <w:r>
        <w:rPr>
          <w:rFonts w:ascii="黑体" w:hAnsi="黑体" w:eastAsia="黑体"/>
          <w:szCs w:val="18"/>
        </w:rPr>
        <w:t xml:space="preserve"> </w:t>
      </w:r>
      <w:r>
        <w:rPr>
          <w:rFonts w:hint="eastAsia" w:ascii="黑体" w:hAnsi="黑体" w:eastAsia="黑体"/>
          <w:szCs w:val="18"/>
        </w:rPr>
        <w:t>生命周期</w:t>
      </w:r>
      <w:r>
        <w:rPr>
          <w:rFonts w:ascii="黑体" w:hAnsi="黑体" w:eastAsia="黑体"/>
          <w:szCs w:val="18"/>
        </w:rPr>
        <w:t>The life cycle</w:t>
      </w:r>
    </w:p>
    <w:p>
      <w:pPr>
        <w:spacing w:line="360" w:lineRule="auto"/>
        <w:ind w:firstLine="420" w:firstLineChars="200"/>
        <w:jc w:val="left"/>
        <w:rPr>
          <w:rFonts w:ascii="Times New Roman" w:hAnsi="Times New Roman"/>
          <w:szCs w:val="21"/>
        </w:rPr>
      </w:pPr>
      <w:r>
        <w:rPr>
          <w:rFonts w:hint="eastAsia" w:ascii="Times New Roman" w:hAnsi="Times New Roman"/>
          <w:szCs w:val="21"/>
        </w:rPr>
        <w:t>产品系统中前后衔接的一系列阶段，从自然界或从从自然资源中获取原材料，直至最终处置。</w:t>
      </w:r>
    </w:p>
    <w:p>
      <w:pPr>
        <w:spacing w:line="360" w:lineRule="auto"/>
        <w:jc w:val="left"/>
        <w:rPr>
          <w:rFonts w:ascii="黑体" w:hAnsi="黑体" w:eastAsia="黑体"/>
          <w:szCs w:val="18"/>
        </w:rPr>
      </w:pPr>
      <w:r>
        <w:rPr>
          <w:rFonts w:ascii="黑体" w:hAnsi="黑体" w:eastAsia="黑体"/>
          <w:szCs w:val="18"/>
        </w:rPr>
        <w:t>3.</w:t>
      </w:r>
      <w:r>
        <w:rPr>
          <w:rFonts w:hint="eastAsia" w:ascii="黑体" w:hAnsi="黑体" w:eastAsia="黑体"/>
          <w:szCs w:val="18"/>
        </w:rPr>
        <w:t>7</w:t>
      </w:r>
      <w:r>
        <w:rPr>
          <w:rFonts w:ascii="黑体" w:hAnsi="黑体" w:eastAsia="黑体"/>
          <w:szCs w:val="18"/>
        </w:rPr>
        <w:t xml:space="preserve"> </w:t>
      </w:r>
      <w:r>
        <w:rPr>
          <w:rFonts w:hint="eastAsia" w:ascii="黑体" w:hAnsi="黑体" w:eastAsia="黑体"/>
          <w:szCs w:val="18"/>
        </w:rPr>
        <w:t>生命周期清单分析</w:t>
      </w:r>
      <w:r>
        <w:rPr>
          <w:rFonts w:ascii="黑体" w:hAnsi="黑体" w:eastAsia="黑体"/>
          <w:szCs w:val="18"/>
        </w:rPr>
        <w:t>Life cycle inventory</w:t>
      </w:r>
    </w:p>
    <w:p>
      <w:pPr>
        <w:spacing w:line="360" w:lineRule="auto"/>
        <w:ind w:firstLine="420" w:firstLineChars="200"/>
        <w:jc w:val="left"/>
        <w:rPr>
          <w:rFonts w:ascii="Times New Roman" w:hAnsi="Times New Roman"/>
          <w:szCs w:val="21"/>
        </w:rPr>
      </w:pPr>
      <w:r>
        <w:rPr>
          <w:rFonts w:hint="eastAsia" w:ascii="Times New Roman" w:hAnsi="Times New Roman"/>
          <w:szCs w:val="21"/>
        </w:rPr>
        <w:t>生命周期中对所研究产品整个生命周期中输入和输出进行汇编和量化的阶段。</w:t>
      </w:r>
    </w:p>
    <w:p>
      <w:pPr>
        <w:spacing w:line="360" w:lineRule="auto"/>
        <w:jc w:val="left"/>
        <w:rPr>
          <w:rFonts w:ascii="黑体" w:hAnsi="黑体" w:eastAsia="黑体"/>
          <w:szCs w:val="18"/>
        </w:rPr>
      </w:pPr>
      <w:r>
        <w:rPr>
          <w:rFonts w:ascii="黑体" w:hAnsi="黑体" w:eastAsia="黑体"/>
          <w:szCs w:val="18"/>
        </w:rPr>
        <w:t>3.</w:t>
      </w:r>
      <w:r>
        <w:rPr>
          <w:rFonts w:hint="eastAsia" w:ascii="黑体" w:hAnsi="黑体" w:eastAsia="黑体"/>
          <w:szCs w:val="18"/>
        </w:rPr>
        <w:t>8</w:t>
      </w:r>
      <w:r>
        <w:rPr>
          <w:rFonts w:ascii="黑体" w:hAnsi="黑体" w:eastAsia="黑体"/>
          <w:szCs w:val="18"/>
        </w:rPr>
        <w:t xml:space="preserve"> </w:t>
      </w:r>
      <w:r>
        <w:rPr>
          <w:rFonts w:hint="eastAsia" w:ascii="黑体" w:hAnsi="黑体" w:eastAsia="黑体"/>
          <w:szCs w:val="18"/>
        </w:rPr>
        <w:t>生命周期评价报告</w:t>
      </w:r>
      <w:r>
        <w:rPr>
          <w:rFonts w:ascii="黑体" w:hAnsi="黑体" w:eastAsia="黑体"/>
          <w:szCs w:val="18"/>
        </w:rPr>
        <w:t>R</w:t>
      </w:r>
      <w:r>
        <w:rPr>
          <w:rFonts w:hint="eastAsia" w:ascii="黑体" w:hAnsi="黑体" w:eastAsia="黑体"/>
          <w:szCs w:val="18"/>
        </w:rPr>
        <w:t>ep</w:t>
      </w:r>
      <w:r>
        <w:rPr>
          <w:rFonts w:ascii="黑体" w:hAnsi="黑体" w:eastAsia="黑体"/>
          <w:szCs w:val="18"/>
        </w:rPr>
        <w:t>ort for Life cycle assessment</w:t>
      </w:r>
    </w:p>
    <w:p>
      <w:pPr>
        <w:spacing w:line="360" w:lineRule="auto"/>
        <w:ind w:firstLine="420" w:firstLineChars="200"/>
        <w:jc w:val="left"/>
        <w:rPr>
          <w:rFonts w:ascii="Times New Roman" w:hAnsi="Times New Roman"/>
          <w:szCs w:val="21"/>
        </w:rPr>
      </w:pPr>
      <w:r>
        <w:rPr>
          <w:rFonts w:hint="eastAsia" w:ascii="Times New Roman" w:hAnsi="Times New Roman"/>
          <w:szCs w:val="21"/>
        </w:rPr>
        <w:t>根据生命周期评价方法编制的，用于披露产品绿色设计情况以及全生命周期环境影响信息的报告。</w:t>
      </w:r>
    </w:p>
    <w:p>
      <w:pPr>
        <w:spacing w:line="360" w:lineRule="auto"/>
        <w:jc w:val="left"/>
        <w:rPr>
          <w:rFonts w:ascii="黑体" w:hAnsi="黑体" w:eastAsia="黑体"/>
          <w:szCs w:val="18"/>
        </w:rPr>
      </w:pPr>
      <w:r>
        <w:rPr>
          <w:rFonts w:ascii="黑体" w:hAnsi="黑体" w:eastAsia="黑体"/>
          <w:szCs w:val="18"/>
        </w:rPr>
        <w:t>3.</w:t>
      </w:r>
      <w:r>
        <w:rPr>
          <w:rFonts w:hint="eastAsia" w:ascii="黑体" w:hAnsi="黑体" w:eastAsia="黑体"/>
          <w:szCs w:val="18"/>
        </w:rPr>
        <w:t>9</w:t>
      </w:r>
      <w:r>
        <w:rPr>
          <w:rFonts w:ascii="黑体" w:hAnsi="黑体" w:eastAsia="黑体"/>
          <w:szCs w:val="18"/>
        </w:rPr>
        <w:t xml:space="preserve"> </w:t>
      </w:r>
      <w:r>
        <w:rPr>
          <w:rFonts w:hint="eastAsia" w:ascii="黑体" w:hAnsi="黑体" w:eastAsia="黑体"/>
          <w:szCs w:val="18"/>
        </w:rPr>
        <w:t>生命周期评价</w:t>
      </w:r>
      <w:r>
        <w:rPr>
          <w:rFonts w:ascii="黑体" w:hAnsi="黑体" w:eastAsia="黑体"/>
          <w:szCs w:val="18"/>
        </w:rPr>
        <w:t>Life cycle assessment</w:t>
      </w:r>
    </w:p>
    <w:p>
      <w:pPr>
        <w:spacing w:line="360" w:lineRule="auto"/>
        <w:ind w:firstLine="420" w:firstLineChars="200"/>
        <w:jc w:val="left"/>
        <w:rPr>
          <w:rFonts w:ascii="Times New Roman" w:hAnsi="Times New Roman"/>
          <w:szCs w:val="21"/>
        </w:rPr>
      </w:pPr>
      <w:r>
        <w:rPr>
          <w:rFonts w:hint="eastAsia" w:ascii="Times New Roman" w:hAnsi="Times New Roman"/>
          <w:szCs w:val="21"/>
        </w:rPr>
        <w:t>对一个产品系统的生命周期中输入、输出及其潜在的环境影响的汇编和评价。</w:t>
      </w:r>
    </w:p>
    <w:p>
      <w:pPr>
        <w:spacing w:line="360" w:lineRule="auto"/>
        <w:jc w:val="left"/>
        <w:rPr>
          <w:rFonts w:ascii="黑体" w:hAnsi="黑体" w:eastAsia="黑体"/>
          <w:szCs w:val="18"/>
        </w:rPr>
      </w:pPr>
      <w:r>
        <w:rPr>
          <w:rFonts w:ascii="黑体" w:hAnsi="黑体" w:eastAsia="黑体"/>
          <w:szCs w:val="18"/>
        </w:rPr>
        <w:t xml:space="preserve">3.10 </w:t>
      </w:r>
      <w:r>
        <w:rPr>
          <w:rFonts w:hint="eastAsia" w:ascii="黑体" w:hAnsi="黑体" w:eastAsia="黑体"/>
          <w:szCs w:val="18"/>
        </w:rPr>
        <w:t>生命周期影响评价</w:t>
      </w:r>
      <w:r>
        <w:rPr>
          <w:rFonts w:ascii="黑体" w:hAnsi="黑体" w:eastAsia="黑体"/>
          <w:szCs w:val="18"/>
        </w:rPr>
        <w:t>Life cycle impact assessment</w:t>
      </w:r>
    </w:p>
    <w:p>
      <w:pPr>
        <w:spacing w:line="360" w:lineRule="auto"/>
        <w:ind w:firstLine="420" w:firstLineChars="200"/>
        <w:jc w:val="left"/>
        <w:rPr>
          <w:rFonts w:ascii="Times New Roman" w:hAnsi="Times New Roman"/>
          <w:szCs w:val="21"/>
        </w:rPr>
      </w:pPr>
      <w:r>
        <w:rPr>
          <w:rFonts w:hint="eastAsia" w:ascii="Times New Roman" w:hAnsi="Times New Roman"/>
          <w:szCs w:val="21"/>
        </w:rPr>
        <w:t>生命周期评价中理解和评价产品系统在产品整个生命周期中的潜在环境影响大小和重要性的阶段。</w:t>
      </w:r>
    </w:p>
    <w:p>
      <w:pPr>
        <w:spacing w:line="360" w:lineRule="auto"/>
        <w:jc w:val="left"/>
        <w:rPr>
          <w:rFonts w:ascii="黑体" w:hAnsi="黑体" w:eastAsia="黑体"/>
          <w:szCs w:val="18"/>
        </w:rPr>
      </w:pPr>
      <w:bookmarkStart w:id="4" w:name="_Toc508953215"/>
      <w:r>
        <w:rPr>
          <w:rFonts w:ascii="黑体" w:hAnsi="黑体" w:eastAsia="黑体"/>
          <w:szCs w:val="18"/>
        </w:rPr>
        <w:t xml:space="preserve">4 </w:t>
      </w:r>
      <w:r>
        <w:rPr>
          <w:rFonts w:hint="eastAsia" w:ascii="黑体" w:hAnsi="黑体" w:eastAsia="黑体"/>
          <w:szCs w:val="18"/>
        </w:rPr>
        <w:t>评价要求</w:t>
      </w:r>
      <w:bookmarkEnd w:id="4"/>
    </w:p>
    <w:p>
      <w:pPr>
        <w:spacing w:line="360" w:lineRule="auto"/>
        <w:jc w:val="left"/>
        <w:rPr>
          <w:rFonts w:ascii="黑体" w:hAnsi="黑体" w:eastAsia="黑体"/>
          <w:szCs w:val="18"/>
        </w:rPr>
      </w:pPr>
      <w:r>
        <w:rPr>
          <w:rFonts w:ascii="黑体" w:hAnsi="黑体" w:eastAsia="黑体"/>
          <w:szCs w:val="18"/>
        </w:rPr>
        <w:t xml:space="preserve">4.1 </w:t>
      </w:r>
      <w:r>
        <w:rPr>
          <w:rFonts w:hint="eastAsia" w:ascii="黑体" w:hAnsi="黑体" w:eastAsia="黑体"/>
          <w:szCs w:val="18"/>
        </w:rPr>
        <w:t>基本要求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生产企业要满足以下要求，包括但不限于：</w:t>
      </w:r>
    </w:p>
    <w:p>
      <w:pPr>
        <w:spacing w:line="360" w:lineRule="auto"/>
        <w:ind w:firstLine="420" w:firstLineChars="200"/>
        <w:jc w:val="left"/>
        <w:rPr>
          <w:rFonts w:ascii="Times New Roman" w:hAnsi="Times New Roman"/>
          <w:szCs w:val="21"/>
        </w:rPr>
      </w:pPr>
      <w:r>
        <w:rPr>
          <w:rFonts w:hint="eastAsia" w:ascii="Times New Roman" w:hAnsi="Times New Roman"/>
          <w:szCs w:val="21"/>
        </w:rPr>
        <w:t>a）企业达到国家锂行业准入条件要求，企业生产的产品质量要达到</w:t>
      </w:r>
      <w:r>
        <w:rPr>
          <w:rFonts w:ascii="Times New Roman" w:hAnsi="Times New Roman"/>
          <w:szCs w:val="21"/>
        </w:rPr>
        <w:t xml:space="preserve">GB/T </w:t>
      </w:r>
      <w:r>
        <w:rPr>
          <w:rFonts w:hint="eastAsia" w:ascii="Times New Roman" w:hAnsi="Times New Roman"/>
          <w:szCs w:val="21"/>
        </w:rPr>
        <w:t>4369《锂》的要求，企业的安全管理应达到G</w:t>
      </w:r>
      <w:r>
        <w:rPr>
          <w:rFonts w:ascii="Times New Roman" w:hAnsi="Times New Roman"/>
          <w:szCs w:val="21"/>
        </w:rPr>
        <w:t>B</w:t>
      </w:r>
      <w:r>
        <w:rPr>
          <w:rFonts w:hint="eastAsia" w:ascii="Times New Roman" w:hAnsi="Times New Roman"/>
          <w:szCs w:val="21"/>
        </w:rPr>
        <w:t>/</w:t>
      </w:r>
      <w:r>
        <w:rPr>
          <w:rFonts w:ascii="Times New Roman" w:hAnsi="Times New Roman"/>
          <w:szCs w:val="21"/>
        </w:rPr>
        <w:t>T33000</w:t>
      </w:r>
      <w:r>
        <w:rPr>
          <w:rFonts w:hint="eastAsia" w:ascii="Times New Roman" w:hAnsi="Times New Roman"/>
          <w:szCs w:val="21"/>
        </w:rPr>
        <w:t>的要求，并通过州/市三级安全标准化验收；</w:t>
      </w:r>
    </w:p>
    <w:p>
      <w:pPr>
        <w:spacing w:line="360" w:lineRule="auto"/>
        <w:ind w:firstLine="420" w:firstLineChars="200"/>
        <w:jc w:val="left"/>
        <w:rPr>
          <w:rFonts w:ascii="Times New Roman" w:hAnsi="Times New Roman"/>
          <w:color w:val="000000" w:themeColor="text1"/>
          <w:szCs w:val="21"/>
        </w:rPr>
      </w:pPr>
      <w:r>
        <w:rPr>
          <w:rFonts w:hint="eastAsia" w:ascii="Times New Roman" w:hAnsi="Times New Roman"/>
          <w:szCs w:val="21"/>
        </w:rPr>
        <w:t>b）企业近三年无较大安全事故、无重大环境污染事件及无群体性职业病事件；污染物总量控制应达到国家和地方污染物总量控制指标；应严格执行节能环保相关国家标准并提供标准清单，生产企业的污染物中生产污水通过污水处理站处理后排放应达到</w:t>
      </w:r>
      <w:r>
        <w:rPr>
          <w:rFonts w:ascii="Times New Roman" w:hAnsi="Times New Roman"/>
          <w:color w:val="000000" w:themeColor="text1"/>
          <w:szCs w:val="21"/>
        </w:rPr>
        <w:t>GB 3</w:t>
      </w:r>
      <w:r>
        <w:rPr>
          <w:rFonts w:hint="eastAsia" w:ascii="Times New Roman" w:hAnsi="Times New Roman"/>
          <w:color w:val="000000" w:themeColor="text1"/>
          <w:szCs w:val="21"/>
        </w:rPr>
        <w:t>1573《无机化学工业污染物排放标准》的相关要求；工业废气排放标准满足G</w:t>
      </w:r>
      <w:r>
        <w:rPr>
          <w:rFonts w:ascii="Times New Roman" w:hAnsi="Times New Roman"/>
          <w:color w:val="000000" w:themeColor="text1"/>
          <w:szCs w:val="21"/>
        </w:rPr>
        <w:t>B16297</w:t>
      </w:r>
      <w:r>
        <w:rPr>
          <w:rFonts w:hint="eastAsia" w:ascii="Times New Roman" w:hAnsi="Times New Roman"/>
          <w:color w:val="000000" w:themeColor="text1"/>
          <w:szCs w:val="21"/>
        </w:rPr>
        <w:t>《大气污染物综合排放标准》的排放标准；</w:t>
      </w:r>
    </w:p>
    <w:p>
      <w:pPr>
        <w:spacing w:line="360" w:lineRule="auto"/>
        <w:ind w:firstLine="420" w:firstLineChars="200"/>
        <w:jc w:val="left"/>
        <w:rPr>
          <w:rFonts w:ascii="Times New Roman" w:hAnsi="Times New Roman"/>
          <w:szCs w:val="21"/>
        </w:rPr>
      </w:pPr>
      <w:r>
        <w:rPr>
          <w:rFonts w:hint="eastAsia" w:ascii="Times New Roman" w:hAnsi="Times New Roman"/>
          <w:szCs w:val="21"/>
        </w:rPr>
        <w:t>c）企业应按照</w:t>
      </w:r>
      <w:r>
        <w:rPr>
          <w:rFonts w:ascii="Times New Roman" w:hAnsi="Times New Roman"/>
          <w:szCs w:val="21"/>
        </w:rPr>
        <w:t>GB/T 24001</w:t>
      </w:r>
      <w:r>
        <w:rPr>
          <w:rFonts w:hint="eastAsia" w:ascii="Times New Roman" w:hAnsi="Times New Roman"/>
          <w:szCs w:val="21"/>
        </w:rPr>
        <w:t>、</w:t>
      </w:r>
      <w:r>
        <w:rPr>
          <w:rFonts w:ascii="Times New Roman" w:hAnsi="Times New Roman"/>
          <w:szCs w:val="21"/>
        </w:rPr>
        <w:t>GB/T 23331</w:t>
      </w:r>
      <w:r>
        <w:rPr>
          <w:rFonts w:hint="eastAsia" w:ascii="Times New Roman" w:hAnsi="Times New Roman"/>
          <w:szCs w:val="21"/>
        </w:rPr>
        <w:t>、</w:t>
      </w:r>
      <w:r>
        <w:rPr>
          <w:rFonts w:ascii="Times New Roman" w:hAnsi="Times New Roman"/>
          <w:szCs w:val="21"/>
        </w:rPr>
        <w:t>GB/T 19001</w:t>
      </w:r>
      <w:r>
        <w:rPr>
          <w:rFonts w:hint="eastAsia" w:ascii="Times New Roman" w:hAnsi="Times New Roman"/>
          <w:szCs w:val="21"/>
        </w:rPr>
        <w:t>和</w:t>
      </w:r>
      <w:r>
        <w:rPr>
          <w:rFonts w:ascii="Times New Roman" w:hAnsi="Times New Roman"/>
          <w:szCs w:val="21"/>
        </w:rPr>
        <w:t>GB/T 28001</w:t>
      </w:r>
      <w:r>
        <w:rPr>
          <w:rFonts w:hint="eastAsia" w:ascii="Times New Roman" w:hAnsi="Times New Roman"/>
          <w:szCs w:val="21"/>
        </w:rPr>
        <w:t>分别建立并运行环境管理体系、能源管理体系、质量管理体系和职业健康安全管理体系；</w:t>
      </w:r>
    </w:p>
    <w:p>
      <w:pPr>
        <w:spacing w:line="360" w:lineRule="auto"/>
        <w:ind w:firstLine="420" w:firstLineChars="200"/>
        <w:jc w:val="left"/>
        <w:rPr>
          <w:rFonts w:ascii="Times New Roman" w:hAnsi="Times New Roman"/>
          <w:szCs w:val="21"/>
        </w:rPr>
      </w:pPr>
      <w:r>
        <w:rPr>
          <w:rFonts w:hint="eastAsia" w:ascii="Times New Roman" w:hAnsi="Times New Roman"/>
          <w:szCs w:val="21"/>
        </w:rPr>
        <w:t>d）锂单位产品能源消耗要达到整个行业的先进水平；应按照G</w:t>
      </w:r>
      <w:r>
        <w:rPr>
          <w:rFonts w:ascii="Times New Roman" w:hAnsi="Times New Roman"/>
          <w:szCs w:val="21"/>
        </w:rPr>
        <w:t>B 17167</w:t>
      </w:r>
      <w:r>
        <w:rPr>
          <w:rFonts w:hint="eastAsia" w:ascii="Times New Roman" w:hAnsi="Times New Roman"/>
          <w:szCs w:val="21"/>
        </w:rPr>
        <w:t>配备能源计量器具，并根据环保法律法规和标准要求配备污染物检测和在线监控设备。</w:t>
      </w:r>
    </w:p>
    <w:p>
      <w:pPr>
        <w:spacing w:line="360" w:lineRule="auto"/>
        <w:ind w:firstLine="420" w:firstLineChars="200"/>
        <w:jc w:val="left"/>
        <w:rPr>
          <w:rFonts w:ascii="Times New Roman" w:hAnsi="Times New Roman"/>
          <w:szCs w:val="21"/>
        </w:rPr>
      </w:pPr>
      <w:r>
        <w:rPr>
          <w:rFonts w:hint="eastAsia" w:ascii="Times New Roman" w:hAnsi="Times New Roman"/>
          <w:szCs w:val="21"/>
        </w:rPr>
        <w:t>e）企业宜开展绿色供应链管理，对产品主要原材料供应方、生产协作方、相关服务方等提出相关质量、环境、能源和安全等方面的管理要求，并建立绿色供应链管理绩效评价机制、程序，确定评价指标和评价方法。</w:t>
      </w:r>
    </w:p>
    <w:p>
      <w:pPr>
        <w:spacing w:line="360" w:lineRule="auto"/>
        <w:ind w:firstLine="420" w:firstLineChars="200"/>
        <w:jc w:val="left"/>
        <w:rPr>
          <w:rFonts w:ascii="Times New Roman" w:hAnsi="Times New Roman"/>
          <w:color w:val="000000" w:themeColor="text1"/>
          <w:szCs w:val="21"/>
        </w:rPr>
      </w:pPr>
      <w:r>
        <w:rPr>
          <w:rFonts w:hint="eastAsia" w:ascii="Times New Roman" w:hAnsi="Times New Roman"/>
          <w:szCs w:val="21"/>
        </w:rPr>
        <w:t>f）企业生产金属锂所产固废应进行无害化/资源化处理，一般固体废弃物按照G</w:t>
      </w:r>
      <w:r>
        <w:rPr>
          <w:rFonts w:ascii="Times New Roman" w:hAnsi="Times New Roman"/>
          <w:szCs w:val="21"/>
        </w:rPr>
        <w:t>B 18599</w:t>
      </w:r>
      <w:r>
        <w:rPr>
          <w:rFonts w:hint="eastAsia" w:ascii="Times New Roman" w:hAnsi="Times New Roman"/>
          <w:szCs w:val="21"/>
        </w:rPr>
        <w:t>的要求进行贮存、处置，危险固废按照G</w:t>
      </w:r>
      <w:r>
        <w:rPr>
          <w:rFonts w:ascii="Times New Roman" w:hAnsi="Times New Roman"/>
          <w:szCs w:val="21"/>
        </w:rPr>
        <w:t>B 18597</w:t>
      </w:r>
      <w:r>
        <w:rPr>
          <w:rFonts w:hint="eastAsia" w:ascii="Times New Roman" w:hAnsi="Times New Roman"/>
          <w:szCs w:val="21"/>
        </w:rPr>
        <w:t>要求进行收集、贮存、运输、处置。</w:t>
      </w:r>
    </w:p>
    <w:p>
      <w:pPr>
        <w:spacing w:line="360" w:lineRule="auto"/>
        <w:ind w:firstLine="420" w:firstLineChars="200"/>
        <w:jc w:val="left"/>
        <w:rPr>
          <w:rFonts w:ascii="Times New Roman" w:hAnsi="Times New Roman"/>
          <w:szCs w:val="21"/>
        </w:rPr>
      </w:pPr>
      <w:r>
        <w:rPr>
          <w:rFonts w:hint="eastAsia" w:ascii="Times New Roman" w:hAnsi="Times New Roman"/>
          <w:szCs w:val="21"/>
        </w:rPr>
        <w:t>g）生产企业应选用国家鼓励的低污染、低排放、低能耗、经济高效的清洁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定要求；</w:t>
      </w:r>
    </w:p>
    <w:p>
      <w:pPr>
        <w:spacing w:line="360" w:lineRule="auto"/>
        <w:ind w:firstLine="480" w:firstLineChars="200"/>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 xml:space="preserve">4.2 </w:t>
      </w:r>
      <w:r>
        <w:rPr>
          <w:rFonts w:hint="eastAsia" w:ascii="黑体" w:hAnsi="黑体" w:eastAsia="黑体"/>
          <w:szCs w:val="18"/>
        </w:rPr>
        <w:t>评价指标要求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评价指标由一级指标和二级指标组成。一级指标包括资源属性指标、能源属性指标、环境属性指标和产品属性指标。二级指标应标明所属的生命周期阶段，即原材料获取、产品生产、产品包装等阶段。</w:t>
      </w:r>
    </w:p>
    <w:p>
      <w:pPr>
        <w:spacing w:line="360" w:lineRule="auto"/>
        <w:ind w:firstLine="420" w:firstLineChars="200"/>
        <w:jc w:val="left"/>
        <w:rPr>
          <w:rFonts w:ascii="Times New Roman" w:hAnsi="Times New Roman"/>
          <w:szCs w:val="21"/>
        </w:rPr>
      </w:pPr>
      <w:r>
        <w:rPr>
          <w:rFonts w:hint="eastAsia" w:ascii="Times New Roman" w:hAnsi="Times New Roman"/>
          <w:szCs w:val="21"/>
        </w:rPr>
        <w:t>本标准的功能单位为</w:t>
      </w:r>
      <w:r>
        <w:rPr>
          <w:rFonts w:ascii="Times New Roman" w:hAnsi="Times New Roman"/>
          <w:szCs w:val="21"/>
        </w:rPr>
        <w:t>t</w:t>
      </w:r>
      <w:r>
        <w:rPr>
          <w:rFonts w:hint="eastAsia" w:ascii="Times New Roman" w:hAnsi="Times New Roman"/>
          <w:szCs w:val="21"/>
        </w:rPr>
        <w:t>（锂）</w:t>
      </w:r>
    </w:p>
    <w:p>
      <w:pPr>
        <w:spacing w:line="360" w:lineRule="auto"/>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1  </w:t>
      </w:r>
      <w:r>
        <w:rPr>
          <w:rFonts w:hint="eastAsia" w:ascii="Times New Roman" w:hAnsi="Times New Roman"/>
          <w:b/>
          <w:sz w:val="18"/>
          <w:szCs w:val="18"/>
        </w:rPr>
        <w:t>锂产品评价指标</w:t>
      </w:r>
    </w:p>
    <w:tbl>
      <w:tblPr>
        <w:tblStyle w:val="11"/>
        <w:tblW w:w="8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7"/>
        <w:gridCol w:w="2232"/>
        <w:gridCol w:w="851"/>
        <w:gridCol w:w="1306"/>
        <w:gridCol w:w="111"/>
        <w:gridCol w:w="1291"/>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7" w:type="dxa"/>
            <w:vAlign w:val="center"/>
          </w:tcPr>
          <w:p>
            <w:pPr>
              <w:jc w:val="center"/>
              <w:rPr>
                <w:rFonts w:ascii="Times New Roman" w:hAnsi="Times New Roman"/>
                <w:b/>
                <w:sz w:val="18"/>
                <w:szCs w:val="18"/>
              </w:rPr>
            </w:pPr>
            <w:r>
              <w:rPr>
                <w:rFonts w:hint="eastAsia" w:ascii="Times New Roman" w:hAnsi="Times New Roman"/>
                <w:b/>
                <w:sz w:val="18"/>
                <w:szCs w:val="18"/>
              </w:rPr>
              <w:t>一级指标</w:t>
            </w:r>
          </w:p>
        </w:tc>
        <w:tc>
          <w:tcPr>
            <w:tcW w:w="2232" w:type="dxa"/>
            <w:vAlign w:val="center"/>
          </w:tcPr>
          <w:p>
            <w:pPr>
              <w:jc w:val="center"/>
              <w:rPr>
                <w:rFonts w:ascii="Times New Roman" w:hAnsi="Times New Roman"/>
                <w:b/>
                <w:sz w:val="18"/>
                <w:szCs w:val="18"/>
              </w:rPr>
            </w:pPr>
            <w:r>
              <w:rPr>
                <w:rFonts w:hint="eastAsia" w:ascii="Times New Roman" w:hAnsi="Times New Roman"/>
                <w:b/>
                <w:sz w:val="18"/>
                <w:szCs w:val="18"/>
              </w:rPr>
              <w:t>二级指标</w:t>
            </w:r>
          </w:p>
        </w:tc>
        <w:tc>
          <w:tcPr>
            <w:tcW w:w="851" w:type="dxa"/>
            <w:vAlign w:val="center"/>
          </w:tcPr>
          <w:p>
            <w:pPr>
              <w:jc w:val="center"/>
              <w:rPr>
                <w:rFonts w:ascii="Times New Roman" w:hAnsi="Times New Roman"/>
                <w:b/>
                <w:sz w:val="18"/>
                <w:szCs w:val="18"/>
              </w:rPr>
            </w:pPr>
            <w:r>
              <w:rPr>
                <w:rFonts w:hint="eastAsia" w:ascii="Times New Roman" w:hAnsi="Times New Roman"/>
                <w:b/>
                <w:sz w:val="18"/>
                <w:szCs w:val="18"/>
              </w:rPr>
              <w:t>单位</w:t>
            </w:r>
          </w:p>
        </w:tc>
        <w:tc>
          <w:tcPr>
            <w:tcW w:w="1417" w:type="dxa"/>
            <w:gridSpan w:val="2"/>
            <w:vAlign w:val="center"/>
          </w:tcPr>
          <w:p>
            <w:pPr>
              <w:jc w:val="center"/>
              <w:rPr>
                <w:rFonts w:ascii="Times New Roman" w:hAnsi="Times New Roman"/>
                <w:b/>
                <w:sz w:val="18"/>
                <w:szCs w:val="18"/>
              </w:rPr>
            </w:pPr>
            <w:r>
              <w:rPr>
                <w:rFonts w:hint="eastAsia" w:ascii="Times New Roman" w:hAnsi="Times New Roman"/>
                <w:b/>
                <w:sz w:val="18"/>
                <w:szCs w:val="18"/>
              </w:rPr>
              <w:t>基准值</w:t>
            </w:r>
          </w:p>
        </w:tc>
        <w:tc>
          <w:tcPr>
            <w:tcW w:w="1291" w:type="dxa"/>
            <w:vAlign w:val="center"/>
          </w:tcPr>
          <w:p>
            <w:pPr>
              <w:jc w:val="center"/>
              <w:rPr>
                <w:rFonts w:ascii="Times New Roman" w:hAnsi="Times New Roman"/>
                <w:b/>
                <w:sz w:val="18"/>
                <w:szCs w:val="18"/>
              </w:rPr>
            </w:pPr>
            <w:r>
              <w:rPr>
                <w:rFonts w:hint="eastAsia" w:ascii="Times New Roman" w:hAnsi="Times New Roman"/>
                <w:b/>
                <w:sz w:val="18"/>
                <w:szCs w:val="18"/>
              </w:rPr>
              <w:t>判断依据</w:t>
            </w:r>
          </w:p>
        </w:tc>
        <w:tc>
          <w:tcPr>
            <w:tcW w:w="1402" w:type="dxa"/>
            <w:vAlign w:val="center"/>
          </w:tcPr>
          <w:p>
            <w:pPr>
              <w:jc w:val="center"/>
              <w:rPr>
                <w:rFonts w:ascii="Times New Roman" w:hAnsi="Times New Roman"/>
                <w:b/>
                <w:sz w:val="18"/>
                <w:szCs w:val="18"/>
              </w:rPr>
            </w:pPr>
            <w:r>
              <w:rPr>
                <w:rFonts w:hint="eastAsia" w:ascii="Times New Roman" w:hAnsi="Times New Roman"/>
                <w:b/>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imes New Roman" w:hAnsi="Times New Roman"/>
                <w:b/>
                <w:sz w:val="18"/>
                <w:szCs w:val="18"/>
              </w:rPr>
            </w:pPr>
            <w:r>
              <w:rPr>
                <w:rFonts w:hint="eastAsia" w:ascii="Times New Roman" w:hAnsi="Times New Roman"/>
                <w:b/>
                <w:sz w:val="18"/>
                <w:szCs w:val="18"/>
              </w:rPr>
              <w:t>资源属性</w:t>
            </w:r>
          </w:p>
        </w:tc>
        <w:tc>
          <w:tcPr>
            <w:tcW w:w="2232" w:type="dxa"/>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氯化锂</w:t>
            </w:r>
          </w:p>
        </w:tc>
        <w:tc>
          <w:tcPr>
            <w:tcW w:w="851" w:type="dxa"/>
            <w:vAlign w:val="center"/>
          </w:tcPr>
          <w:p>
            <w:pPr>
              <w:jc w:val="center"/>
              <w:rPr>
                <w:rFonts w:ascii="Times New Roman" w:hAnsi="Times New Roman" w:cs="Calibri"/>
                <w:sz w:val="18"/>
                <w:szCs w:val="18"/>
              </w:rPr>
            </w:pPr>
            <w:r>
              <w:rPr>
                <w:rFonts w:hint="eastAsia" w:ascii="Times New Roman" w:hAnsi="Times New Roman" w:cs="Calibri"/>
                <w:sz w:val="18"/>
                <w:szCs w:val="18"/>
              </w:rPr>
              <w:t>t/t</w:t>
            </w:r>
          </w:p>
        </w:tc>
        <w:tc>
          <w:tcPr>
            <w:tcW w:w="1417" w:type="dxa"/>
            <w:gridSpan w:val="2"/>
            <w:vAlign w:val="center"/>
          </w:tcPr>
          <w:p>
            <w:pPr>
              <w:jc w:val="center"/>
              <w:rPr>
                <w:rFonts w:ascii="Times New Roman" w:hAnsi="Times New Roman" w:cs="宋体"/>
                <w:sz w:val="18"/>
                <w:szCs w:val="18"/>
              </w:rPr>
            </w:pPr>
            <w:r>
              <w:rPr>
                <w:rFonts w:hint="eastAsia" w:ascii="Times New Roman" w:hAnsi="Times New Roman"/>
                <w:sz w:val="18"/>
                <w:szCs w:val="18"/>
                <w:highlight w:val="yellow"/>
              </w:rPr>
              <w:t>≤6.</w:t>
            </w:r>
            <w:r>
              <w:rPr>
                <w:rFonts w:ascii="Times New Roman" w:hAnsi="Times New Roman"/>
                <w:sz w:val="18"/>
                <w:szCs w:val="18"/>
              </w:rPr>
              <w:t>16</w:t>
            </w:r>
          </w:p>
        </w:tc>
        <w:tc>
          <w:tcPr>
            <w:tcW w:w="1291" w:type="dxa"/>
            <w:vAlign w:val="center"/>
          </w:tcPr>
          <w:p>
            <w:pPr>
              <w:jc w:val="center"/>
              <w:rPr>
                <w:rFonts w:ascii="Times New Roman" w:hAnsi="Times New Roman"/>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sz w:val="18"/>
                <w:szCs w:val="18"/>
              </w:rPr>
            </w:pPr>
          </w:p>
        </w:tc>
        <w:tc>
          <w:tcPr>
            <w:tcW w:w="2232" w:type="dxa"/>
            <w:vAlign w:val="center"/>
          </w:tcPr>
          <w:p>
            <w:pPr>
              <w:jc w:val="center"/>
              <w:rPr>
                <w:rFonts w:ascii="Times New Roman" w:hAnsi="Times New Roman" w:cs="宋体"/>
                <w:color w:val="000000"/>
                <w:sz w:val="18"/>
                <w:szCs w:val="18"/>
              </w:rPr>
            </w:pPr>
            <w:r>
              <w:rPr>
                <w:rFonts w:hint="eastAsia" w:ascii="Times New Roman" w:hAnsi="Times New Roman"/>
                <w:color w:val="000000"/>
                <w:sz w:val="18"/>
                <w:szCs w:val="18"/>
              </w:rPr>
              <w:t>氯化钾</w:t>
            </w:r>
          </w:p>
        </w:tc>
        <w:tc>
          <w:tcPr>
            <w:tcW w:w="851" w:type="dxa"/>
            <w:vAlign w:val="center"/>
          </w:tcPr>
          <w:p>
            <w:pPr>
              <w:jc w:val="center"/>
              <w:rPr>
                <w:rFonts w:ascii="Times New Roman" w:hAnsi="Times New Roman" w:cs="宋体"/>
                <w:sz w:val="18"/>
                <w:szCs w:val="18"/>
              </w:rPr>
            </w:pPr>
            <w:r>
              <w:rPr>
                <w:rFonts w:ascii="Times New Roman" w:hAnsi="Times New Roman"/>
                <w:sz w:val="18"/>
                <w:szCs w:val="18"/>
              </w:rPr>
              <w:t>t</w:t>
            </w:r>
            <w:r>
              <w:rPr>
                <w:rFonts w:ascii="Times New Roman" w:hAnsi="Times New Roman" w:cs="Calibri"/>
                <w:sz w:val="18"/>
                <w:szCs w:val="18"/>
              </w:rPr>
              <w:t>/t</w:t>
            </w:r>
          </w:p>
        </w:tc>
        <w:tc>
          <w:tcPr>
            <w:tcW w:w="1417" w:type="dxa"/>
            <w:gridSpan w:val="2"/>
            <w:vAlign w:val="center"/>
          </w:tcPr>
          <w:p>
            <w:pPr>
              <w:jc w:val="center"/>
              <w:rPr>
                <w:rFonts w:ascii="Times New Roman" w:hAnsi="Times New Roman" w:cs="宋体"/>
                <w:sz w:val="18"/>
                <w:szCs w:val="18"/>
              </w:rPr>
            </w:pPr>
            <w:r>
              <w:rPr>
                <w:rFonts w:hint="eastAsia" w:ascii="Times New Roman" w:hAnsi="Times New Roman"/>
                <w:sz w:val="18"/>
                <w:szCs w:val="18"/>
              </w:rPr>
              <w:t>≤0.0</w:t>
            </w:r>
            <w:r>
              <w:rPr>
                <w:rFonts w:ascii="Times New Roman" w:hAnsi="Times New Roman"/>
                <w:sz w:val="18"/>
                <w:szCs w:val="18"/>
              </w:rPr>
              <w:t>2</w:t>
            </w:r>
          </w:p>
        </w:tc>
        <w:tc>
          <w:tcPr>
            <w:tcW w:w="1291" w:type="dxa"/>
            <w:vAlign w:val="center"/>
          </w:tcPr>
          <w:p>
            <w:pPr>
              <w:jc w:val="center"/>
              <w:rPr>
                <w:rFonts w:ascii="Times New Roman" w:hAnsi="Times New Roman"/>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imes New Roman" w:hAnsi="Times New Roman"/>
                <w:b/>
                <w:sz w:val="18"/>
                <w:szCs w:val="18"/>
              </w:rPr>
            </w:pPr>
            <w:r>
              <w:rPr>
                <w:rFonts w:hint="eastAsia" w:ascii="Times New Roman" w:hAnsi="Times New Roman"/>
                <w:b/>
                <w:sz w:val="18"/>
                <w:szCs w:val="18"/>
              </w:rPr>
              <w:t>能源属性</w:t>
            </w:r>
          </w:p>
        </w:tc>
        <w:tc>
          <w:tcPr>
            <w:tcW w:w="2232" w:type="dxa"/>
            <w:vAlign w:val="center"/>
          </w:tcPr>
          <w:p>
            <w:pPr>
              <w:jc w:val="center"/>
              <w:rPr>
                <w:rFonts w:ascii="Times New Roman" w:hAnsi="Times New Roman"/>
                <w:sz w:val="18"/>
                <w:szCs w:val="18"/>
              </w:rPr>
            </w:pPr>
            <w:r>
              <w:rPr>
                <w:rFonts w:hint="eastAsia" w:ascii="Times New Roman" w:hAnsi="Times New Roman"/>
                <w:sz w:val="18"/>
                <w:szCs w:val="18"/>
              </w:rPr>
              <w:t>电（工业级锂）</w:t>
            </w:r>
          </w:p>
        </w:tc>
        <w:tc>
          <w:tcPr>
            <w:tcW w:w="851" w:type="dxa"/>
            <w:vAlign w:val="center"/>
          </w:tcPr>
          <w:p>
            <w:pPr>
              <w:jc w:val="center"/>
              <w:rPr>
                <w:rFonts w:ascii="Times New Roman" w:hAnsi="Times New Roman"/>
                <w:sz w:val="18"/>
                <w:szCs w:val="18"/>
              </w:rPr>
            </w:pPr>
            <w:r>
              <w:rPr>
                <w:rFonts w:ascii="Times New Roman" w:hAnsi="Times New Roman"/>
                <w:sz w:val="18"/>
                <w:szCs w:val="18"/>
              </w:rPr>
              <w:t>kgce/t</w:t>
            </w:r>
          </w:p>
        </w:tc>
        <w:tc>
          <w:tcPr>
            <w:tcW w:w="1417" w:type="dxa"/>
            <w:gridSpan w:val="2"/>
            <w:vAlign w:val="center"/>
          </w:tcPr>
          <w:p>
            <w:pPr>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5920.90</w:t>
            </w:r>
          </w:p>
        </w:tc>
        <w:tc>
          <w:tcPr>
            <w:tcW w:w="1291" w:type="dxa"/>
            <w:vAlign w:val="center"/>
          </w:tcPr>
          <w:p>
            <w:pPr>
              <w:jc w:val="center"/>
              <w:rPr>
                <w:rFonts w:ascii="Times New Roman" w:hAnsi="Times New Roman"/>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b/>
                <w:sz w:val="18"/>
                <w:szCs w:val="18"/>
              </w:rPr>
            </w:pPr>
          </w:p>
        </w:tc>
        <w:tc>
          <w:tcPr>
            <w:tcW w:w="2232" w:type="dxa"/>
            <w:vAlign w:val="center"/>
          </w:tcPr>
          <w:p>
            <w:pPr>
              <w:jc w:val="center"/>
              <w:rPr>
                <w:rFonts w:ascii="Times New Roman" w:hAnsi="Times New Roman"/>
                <w:sz w:val="18"/>
                <w:szCs w:val="18"/>
              </w:rPr>
            </w:pPr>
            <w:r>
              <w:rPr>
                <w:rFonts w:hint="eastAsia" w:ascii="Times New Roman" w:hAnsi="Times New Roman"/>
                <w:sz w:val="18"/>
                <w:szCs w:val="18"/>
              </w:rPr>
              <w:t>电（电池级锂）</w:t>
            </w:r>
          </w:p>
        </w:tc>
        <w:tc>
          <w:tcPr>
            <w:tcW w:w="851" w:type="dxa"/>
            <w:vAlign w:val="center"/>
          </w:tcPr>
          <w:p>
            <w:pPr>
              <w:jc w:val="center"/>
              <w:rPr>
                <w:rFonts w:ascii="Times New Roman" w:hAnsi="Times New Roman"/>
                <w:sz w:val="18"/>
                <w:szCs w:val="18"/>
              </w:rPr>
            </w:pPr>
            <w:r>
              <w:rPr>
                <w:rFonts w:ascii="Times New Roman" w:hAnsi="Times New Roman"/>
                <w:sz w:val="18"/>
                <w:szCs w:val="18"/>
              </w:rPr>
              <w:t>kgce/t</w:t>
            </w:r>
          </w:p>
        </w:tc>
        <w:tc>
          <w:tcPr>
            <w:tcW w:w="1417" w:type="dxa"/>
            <w:gridSpan w:val="2"/>
            <w:vAlign w:val="center"/>
          </w:tcPr>
          <w:p>
            <w:pPr>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6333.05</w:t>
            </w:r>
          </w:p>
        </w:tc>
        <w:tc>
          <w:tcPr>
            <w:tcW w:w="1291" w:type="dxa"/>
            <w:vAlign w:val="center"/>
          </w:tcPr>
          <w:p>
            <w:pPr>
              <w:jc w:val="center"/>
              <w:rPr>
                <w:rFonts w:ascii="Times New Roman" w:hAnsi="Times New Roman"/>
                <w:color w:val="0070C0"/>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jc w:val="center"/>
              <w:rPr>
                <w:rFonts w:ascii="Times New Roman" w:hAnsi="Times New Roman"/>
                <w:b/>
                <w:sz w:val="18"/>
                <w:szCs w:val="18"/>
              </w:rPr>
            </w:pPr>
            <w:r>
              <w:rPr>
                <w:rFonts w:hint="eastAsia" w:ascii="Times New Roman" w:hAnsi="Times New Roman"/>
                <w:b/>
                <w:sz w:val="18"/>
                <w:szCs w:val="18"/>
              </w:rPr>
              <w:t>环境属性</w:t>
            </w:r>
          </w:p>
        </w:tc>
        <w:tc>
          <w:tcPr>
            <w:tcW w:w="2232" w:type="dxa"/>
            <w:vAlign w:val="center"/>
          </w:tcPr>
          <w:p>
            <w:pPr>
              <w:jc w:val="center"/>
              <w:rPr>
                <w:rFonts w:ascii="Times New Roman" w:hAnsi="Times New Roman" w:cs="宋体"/>
                <w:sz w:val="18"/>
                <w:szCs w:val="18"/>
              </w:rPr>
            </w:pPr>
            <w:r>
              <w:rPr>
                <w:rFonts w:hint="eastAsia" w:ascii="Times New Roman" w:hAnsi="Times New Roman"/>
                <w:sz w:val="18"/>
                <w:szCs w:val="18"/>
              </w:rPr>
              <w:t>达标排放与总量控制率</w:t>
            </w:r>
          </w:p>
        </w:tc>
        <w:tc>
          <w:tcPr>
            <w:tcW w:w="851" w:type="dxa"/>
            <w:vAlign w:val="center"/>
          </w:tcPr>
          <w:p>
            <w:pPr>
              <w:rPr>
                <w:rFonts w:ascii="Times New Roman" w:hAnsi="Times New Roman" w:cs="Calibri"/>
                <w:color w:val="000000"/>
                <w:sz w:val="18"/>
                <w:szCs w:val="18"/>
              </w:rPr>
            </w:pPr>
            <w:r>
              <w:rPr>
                <w:rFonts w:hint="eastAsia" w:ascii="Times New Roman" w:hAnsi="Times New Roman" w:cs="Calibri"/>
                <w:color w:val="000000"/>
                <w:sz w:val="18"/>
                <w:szCs w:val="18"/>
              </w:rPr>
              <w:t>　%</w:t>
            </w:r>
          </w:p>
        </w:tc>
        <w:tc>
          <w:tcPr>
            <w:tcW w:w="1417" w:type="dxa"/>
            <w:gridSpan w:val="2"/>
            <w:vAlign w:val="center"/>
          </w:tcPr>
          <w:p>
            <w:pPr>
              <w:jc w:val="center"/>
              <w:rPr>
                <w:rFonts w:ascii="Times New Roman" w:hAnsi="Times New Roman" w:cs="Calibri"/>
                <w:color w:val="000000"/>
                <w:sz w:val="18"/>
                <w:szCs w:val="18"/>
              </w:rPr>
            </w:pPr>
            <w:r>
              <w:rPr>
                <w:rFonts w:hint="eastAsia" w:ascii="Times New Roman" w:hAnsi="Times New Roman" w:cs="Calibri"/>
                <w:color w:val="000000"/>
                <w:sz w:val="18"/>
                <w:szCs w:val="18"/>
              </w:rPr>
              <w:t>100</w:t>
            </w:r>
          </w:p>
        </w:tc>
        <w:tc>
          <w:tcPr>
            <w:tcW w:w="1291" w:type="dxa"/>
            <w:vAlign w:val="center"/>
          </w:tcPr>
          <w:p>
            <w:pPr>
              <w:jc w:val="center"/>
              <w:rPr>
                <w:rFonts w:ascii="Times New Roman" w:hAnsi="Times New Roman" w:cs="Calibri"/>
                <w:color w:val="0070C0"/>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sz w:val="18"/>
                <w:szCs w:val="18"/>
              </w:rPr>
            </w:pPr>
          </w:p>
        </w:tc>
        <w:tc>
          <w:tcPr>
            <w:tcW w:w="2232" w:type="dxa"/>
            <w:vAlign w:val="center"/>
          </w:tcPr>
          <w:p>
            <w:pPr>
              <w:jc w:val="center"/>
              <w:rPr>
                <w:rFonts w:ascii="Times New Roman" w:hAnsi="Times New Roman" w:cs="宋体"/>
                <w:sz w:val="18"/>
                <w:szCs w:val="18"/>
              </w:rPr>
            </w:pPr>
            <w:r>
              <w:rPr>
                <w:rFonts w:hint="eastAsia" w:ascii="Times New Roman" w:hAnsi="Times New Roman"/>
                <w:sz w:val="18"/>
                <w:szCs w:val="18"/>
              </w:rPr>
              <w:t>污染物生产指标</w:t>
            </w:r>
          </w:p>
        </w:tc>
        <w:tc>
          <w:tcPr>
            <w:tcW w:w="851" w:type="dxa"/>
            <w:vAlign w:val="center"/>
          </w:tcPr>
          <w:p>
            <w:pPr>
              <w:jc w:val="center"/>
              <w:rPr>
                <w:rFonts w:ascii="Times New Roman" w:hAnsi="Times New Roman" w:cs="Calibri"/>
                <w:sz w:val="18"/>
                <w:szCs w:val="18"/>
              </w:rPr>
            </w:pPr>
            <w:r>
              <w:rPr>
                <w:rFonts w:hint="eastAsia" w:ascii="Times New Roman" w:hAnsi="Times New Roman" w:cs="Calibri"/>
                <w:sz w:val="18"/>
                <w:szCs w:val="18"/>
              </w:rPr>
              <w:t>—</w:t>
            </w:r>
          </w:p>
        </w:tc>
        <w:tc>
          <w:tcPr>
            <w:tcW w:w="2708" w:type="dxa"/>
            <w:gridSpan w:val="3"/>
            <w:vAlign w:val="center"/>
          </w:tcPr>
          <w:p>
            <w:pPr>
              <w:jc w:val="left"/>
              <w:rPr>
                <w:rFonts w:ascii="Times New Roman" w:hAnsi="Times New Roman" w:cs="Calibri"/>
                <w:color w:val="0070C0"/>
                <w:sz w:val="18"/>
                <w:szCs w:val="18"/>
              </w:rPr>
            </w:pPr>
            <w:r>
              <w:rPr>
                <w:rFonts w:hint="eastAsia" w:ascii="Times New Roman" w:hAnsi="Times New Roman" w:cs="宋体"/>
                <w:sz w:val="18"/>
                <w:szCs w:val="18"/>
              </w:rPr>
              <w:t>符合GB 8978《</w:t>
            </w:r>
            <w:r>
              <w:rPr>
                <w:rFonts w:hint="eastAsia" w:ascii="Times New Roman" w:hAnsi="Times New Roman"/>
                <w:sz w:val="18"/>
                <w:szCs w:val="18"/>
              </w:rPr>
              <w:t>污水综合排放标准》</w:t>
            </w:r>
            <w:r>
              <w:rPr>
                <w:rFonts w:hint="eastAsia" w:ascii="Times New Roman" w:hAnsi="Times New Roman" w:cs="宋体"/>
                <w:sz w:val="18"/>
                <w:szCs w:val="18"/>
              </w:rPr>
              <w:t>、GB16297《</w:t>
            </w:r>
            <w:r>
              <w:rPr>
                <w:rFonts w:hint="eastAsia" w:ascii="Times New Roman" w:hAnsi="Times New Roman"/>
                <w:sz w:val="18"/>
                <w:szCs w:val="18"/>
              </w:rPr>
              <w:t>大气污染物综合排放标准》</w:t>
            </w:r>
            <w:r>
              <w:rPr>
                <w:rFonts w:hint="eastAsia" w:ascii="Times New Roman" w:hAnsi="Times New Roman" w:cs="宋体"/>
                <w:sz w:val="18"/>
                <w:szCs w:val="18"/>
              </w:rPr>
              <w:t>相关排放标准要求及各地相应的排放要求</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sz w:val="18"/>
                <w:szCs w:val="18"/>
              </w:rPr>
            </w:pPr>
          </w:p>
        </w:tc>
        <w:tc>
          <w:tcPr>
            <w:tcW w:w="2232" w:type="dxa"/>
            <w:vAlign w:val="center"/>
          </w:tcPr>
          <w:p>
            <w:pPr>
              <w:jc w:val="center"/>
              <w:rPr>
                <w:rFonts w:ascii="Times New Roman" w:hAnsi="Times New Roman" w:cs="宋体"/>
                <w:sz w:val="18"/>
                <w:szCs w:val="18"/>
              </w:rPr>
            </w:pPr>
            <w:r>
              <w:rPr>
                <w:rFonts w:hint="eastAsia" w:ascii="Times New Roman" w:hAnsi="Times New Roman" w:cs="宋体"/>
                <w:sz w:val="18"/>
                <w:szCs w:val="18"/>
              </w:rPr>
              <w:t>单位产品废水生产总量</w:t>
            </w:r>
          </w:p>
        </w:tc>
        <w:tc>
          <w:tcPr>
            <w:tcW w:w="851" w:type="dxa"/>
            <w:vAlign w:val="center"/>
          </w:tcPr>
          <w:p>
            <w:pPr>
              <w:jc w:val="center"/>
              <w:rPr>
                <w:rFonts w:ascii="Times New Roman" w:hAnsi="Times New Roman" w:cs="Calibri"/>
                <w:sz w:val="18"/>
                <w:szCs w:val="18"/>
              </w:rPr>
            </w:pPr>
            <w:r>
              <w:rPr>
                <w:rFonts w:hint="eastAsia" w:ascii="Times New Roman" w:hAnsi="Times New Roman" w:cs="Calibri"/>
                <w:sz w:val="18"/>
                <w:szCs w:val="18"/>
              </w:rPr>
              <w:t>t/t</w:t>
            </w:r>
          </w:p>
        </w:tc>
        <w:tc>
          <w:tcPr>
            <w:tcW w:w="2708" w:type="dxa"/>
            <w:gridSpan w:val="3"/>
            <w:vAlign w:val="center"/>
          </w:tcPr>
          <w:p>
            <w:pPr>
              <w:jc w:val="center"/>
              <w:rPr>
                <w:rFonts w:ascii="Times New Roman" w:hAnsi="Times New Roman" w:cs="宋体"/>
                <w:sz w:val="18"/>
                <w:szCs w:val="18"/>
              </w:rPr>
            </w:pPr>
            <w:r>
              <w:rPr>
                <w:rFonts w:hint="eastAsia" w:ascii="Times New Roman" w:hAnsi="Times New Roman" w:cs="宋体"/>
                <w:sz w:val="18"/>
                <w:szCs w:val="18"/>
              </w:rPr>
              <w:t>0</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sz w:val="18"/>
                <w:szCs w:val="18"/>
              </w:rPr>
            </w:pPr>
          </w:p>
        </w:tc>
        <w:tc>
          <w:tcPr>
            <w:tcW w:w="2232" w:type="dxa"/>
            <w:vAlign w:val="center"/>
          </w:tcPr>
          <w:p>
            <w:pPr>
              <w:jc w:val="center"/>
              <w:rPr>
                <w:rFonts w:ascii="Times New Roman" w:hAnsi="Times New Roman" w:cs="宋体"/>
                <w:sz w:val="18"/>
                <w:szCs w:val="18"/>
              </w:rPr>
            </w:pPr>
            <w:r>
              <w:rPr>
                <w:rFonts w:hint="eastAsia" w:ascii="Times New Roman" w:hAnsi="Times New Roman" w:cs="宋体"/>
                <w:sz w:val="18"/>
                <w:szCs w:val="18"/>
              </w:rPr>
              <w:t>企业环境管理体系</w:t>
            </w:r>
          </w:p>
        </w:tc>
        <w:tc>
          <w:tcPr>
            <w:tcW w:w="851" w:type="dxa"/>
            <w:vAlign w:val="center"/>
          </w:tcPr>
          <w:p>
            <w:pPr>
              <w:jc w:val="center"/>
              <w:rPr>
                <w:rFonts w:ascii="Times New Roman" w:hAnsi="Times New Roman" w:cs="Calibri"/>
                <w:sz w:val="18"/>
                <w:szCs w:val="18"/>
              </w:rPr>
            </w:pPr>
            <w:r>
              <w:rPr>
                <w:rFonts w:hint="eastAsia" w:ascii="Times New Roman" w:hAnsi="Times New Roman" w:cs="Calibri"/>
                <w:sz w:val="18"/>
                <w:szCs w:val="18"/>
              </w:rPr>
              <w:t>—</w:t>
            </w:r>
          </w:p>
        </w:tc>
        <w:tc>
          <w:tcPr>
            <w:tcW w:w="2708" w:type="dxa"/>
            <w:gridSpan w:val="3"/>
            <w:vAlign w:val="center"/>
          </w:tcPr>
          <w:p>
            <w:pPr>
              <w:rPr>
                <w:rFonts w:ascii="Times New Roman" w:hAnsi="Times New Roman" w:cs="Calibri"/>
                <w:color w:val="0070C0"/>
                <w:sz w:val="18"/>
                <w:szCs w:val="18"/>
              </w:rPr>
            </w:pPr>
            <w:r>
              <w:rPr>
                <w:rFonts w:hint="eastAsia" w:ascii="Times New Roman" w:hAnsi="Times New Roman" w:cs="宋体"/>
                <w:sz w:val="18"/>
                <w:szCs w:val="18"/>
              </w:rPr>
              <w:t>建立有GB/T 24001环境管理体系，并取得认证，能行之有效；全部完成年度环境目</w:t>
            </w:r>
            <w:r>
              <w:rPr>
                <w:rFonts w:hint="eastAsia" w:ascii="Times New Roman" w:hAnsi="Times New Roman" w:cs="宋体"/>
                <w:color w:val="000000"/>
                <w:sz w:val="18"/>
                <w:szCs w:val="18"/>
              </w:rPr>
              <w:t>标、指标和环境管理方案</w:t>
            </w:r>
            <w:r>
              <w:rPr>
                <w:rFonts w:hint="eastAsia" w:ascii="Times New Roman" w:hAnsi="Times New Roman"/>
                <w:color w:val="000000"/>
                <w:sz w:val="18"/>
                <w:szCs w:val="18"/>
              </w:rPr>
              <w:t>≥90%，并达到环境持续改进的要求；环境管理手册、程序文件及作业文件齐备、有效；应急预案完整</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1" w:hRule="atLeast"/>
          <w:jc w:val="center"/>
        </w:trPr>
        <w:tc>
          <w:tcPr>
            <w:tcW w:w="1227" w:type="dxa"/>
            <w:vMerge w:val="restart"/>
            <w:vAlign w:val="center"/>
          </w:tcPr>
          <w:p>
            <w:pPr>
              <w:jc w:val="center"/>
              <w:rPr>
                <w:rFonts w:ascii="Times New Roman" w:hAnsi="Times New Roman"/>
                <w:b/>
                <w:sz w:val="18"/>
                <w:szCs w:val="18"/>
              </w:rPr>
            </w:pPr>
            <w:r>
              <w:rPr>
                <w:rFonts w:hint="eastAsia" w:ascii="Times New Roman" w:hAnsi="Times New Roman"/>
                <w:b/>
                <w:sz w:val="18"/>
                <w:szCs w:val="18"/>
              </w:rPr>
              <w:t>质量属性</w:t>
            </w:r>
          </w:p>
        </w:tc>
        <w:tc>
          <w:tcPr>
            <w:tcW w:w="2232" w:type="dxa"/>
            <w:vAlign w:val="center"/>
          </w:tcPr>
          <w:p>
            <w:pPr>
              <w:jc w:val="center"/>
              <w:rPr>
                <w:rFonts w:ascii="Times New Roman" w:hAnsi="Times New Roman"/>
                <w:sz w:val="18"/>
                <w:szCs w:val="18"/>
              </w:rPr>
            </w:pPr>
            <w:r>
              <w:rPr>
                <w:rFonts w:hint="eastAsia" w:ascii="Times New Roman" w:hAnsi="Times New Roman"/>
                <w:sz w:val="18"/>
                <w:szCs w:val="18"/>
              </w:rPr>
              <w:t>产品种类</w:t>
            </w:r>
          </w:p>
        </w:tc>
        <w:tc>
          <w:tcPr>
            <w:tcW w:w="3559" w:type="dxa"/>
            <w:gridSpan w:val="4"/>
            <w:vAlign w:val="center"/>
          </w:tcPr>
          <w:p>
            <w:pPr>
              <w:jc w:val="left"/>
              <w:rPr>
                <w:rFonts w:ascii="Times New Roman" w:hAnsi="Times New Roman"/>
                <w:color w:val="000000"/>
                <w:sz w:val="18"/>
                <w:szCs w:val="18"/>
              </w:rPr>
            </w:pPr>
            <w:r>
              <w:rPr>
                <w:rFonts w:hint="eastAsia" w:ascii="Times New Roman" w:hAnsi="Times New Roman"/>
                <w:color w:val="000000"/>
                <w:sz w:val="18"/>
                <w:szCs w:val="18"/>
              </w:rPr>
              <w:t>满足GB/T 4369 锂 产品要求</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jc w:val="center"/>
              <w:rPr>
                <w:rFonts w:ascii="Times New Roman" w:hAnsi="Times New Roman"/>
                <w:color w:val="0070C0"/>
                <w:sz w:val="18"/>
                <w:szCs w:val="18"/>
              </w:rPr>
            </w:pPr>
          </w:p>
        </w:tc>
        <w:tc>
          <w:tcPr>
            <w:tcW w:w="2232" w:type="dxa"/>
            <w:vAlign w:val="center"/>
          </w:tcPr>
          <w:p>
            <w:pPr>
              <w:jc w:val="center"/>
              <w:rPr>
                <w:rFonts w:ascii="Times New Roman" w:hAnsi="Times New Roman"/>
                <w:sz w:val="18"/>
                <w:szCs w:val="18"/>
              </w:rPr>
            </w:pPr>
            <w:r>
              <w:rPr>
                <w:rFonts w:hint="eastAsia" w:ascii="Times New Roman" w:hAnsi="Times New Roman"/>
                <w:sz w:val="18"/>
                <w:szCs w:val="18"/>
              </w:rPr>
              <w:t>产品合格率</w:t>
            </w:r>
          </w:p>
        </w:tc>
        <w:tc>
          <w:tcPr>
            <w:tcW w:w="851" w:type="dxa"/>
            <w:vAlign w:val="center"/>
          </w:tcPr>
          <w:p>
            <w:pPr>
              <w:jc w:val="center"/>
              <w:rPr>
                <w:rFonts w:ascii="Times New Roman" w:hAnsi="Times New Roman"/>
                <w:sz w:val="18"/>
                <w:szCs w:val="18"/>
              </w:rPr>
            </w:pPr>
            <w:r>
              <w:rPr>
                <w:rFonts w:hint="eastAsia" w:ascii="Times New Roman" w:hAnsi="Times New Roman"/>
                <w:sz w:val="18"/>
                <w:szCs w:val="18"/>
              </w:rPr>
              <w:t>%</w:t>
            </w:r>
          </w:p>
        </w:tc>
        <w:tc>
          <w:tcPr>
            <w:tcW w:w="1306" w:type="dxa"/>
            <w:vAlign w:val="center"/>
          </w:tcPr>
          <w:p>
            <w:pPr>
              <w:jc w:val="center"/>
              <w:rPr>
                <w:rFonts w:ascii="Times New Roman" w:hAnsi="Times New Roman"/>
                <w:sz w:val="18"/>
                <w:szCs w:val="18"/>
              </w:rPr>
            </w:pPr>
            <w:r>
              <w:rPr>
                <w:rFonts w:hint="eastAsia" w:ascii="Times New Roman" w:hAnsi="Times New Roman"/>
                <w:sz w:val="18"/>
                <w:szCs w:val="18"/>
              </w:rPr>
              <w:t>≥95</w:t>
            </w:r>
          </w:p>
        </w:tc>
        <w:tc>
          <w:tcPr>
            <w:tcW w:w="1402" w:type="dxa"/>
            <w:gridSpan w:val="2"/>
            <w:vAlign w:val="center"/>
          </w:tcPr>
          <w:p>
            <w:pPr>
              <w:jc w:val="center"/>
              <w:rPr>
                <w:rFonts w:ascii="Times New Roman" w:hAnsi="Times New Roman"/>
                <w:color w:val="0070C0"/>
                <w:sz w:val="18"/>
                <w:szCs w:val="18"/>
              </w:rPr>
            </w:pPr>
            <w:r>
              <w:rPr>
                <w:rFonts w:hint="eastAsia" w:ascii="Times New Roman" w:hAnsi="Times New Roman" w:cs="宋体"/>
                <w:sz w:val="18"/>
                <w:szCs w:val="18"/>
              </w:rPr>
              <w:t>现场</w:t>
            </w:r>
            <w:r>
              <w:rPr>
                <w:rFonts w:hint="eastAsia" w:ascii="Times New Roman" w:hAnsi="Times New Roman"/>
                <w:sz w:val="18"/>
                <w:szCs w:val="18"/>
              </w:rPr>
              <w:t>数据</w:t>
            </w:r>
          </w:p>
        </w:tc>
        <w:tc>
          <w:tcPr>
            <w:tcW w:w="1402" w:type="dxa"/>
            <w:vAlign w:val="center"/>
          </w:tcPr>
          <w:p>
            <w:pPr>
              <w:jc w:val="center"/>
              <w:rPr>
                <w:rFonts w:ascii="Times New Roman" w:hAnsi="Times New Roman"/>
                <w:sz w:val="18"/>
                <w:szCs w:val="18"/>
              </w:rPr>
            </w:pPr>
            <w:r>
              <w:rPr>
                <w:rFonts w:hint="eastAsia" w:ascii="Times New Roman" w:hAnsi="Times New Roman"/>
                <w:sz w:val="18"/>
                <w:szCs w:val="18"/>
              </w:rPr>
              <w:t>生产</w:t>
            </w:r>
          </w:p>
        </w:tc>
      </w:tr>
    </w:tbl>
    <w:p>
      <w:pPr>
        <w:spacing w:line="360" w:lineRule="auto"/>
        <w:jc w:val="left"/>
        <w:rPr>
          <w:rFonts w:ascii="Times New Roman" w:hAnsi="Times New Roman"/>
          <w:sz w:val="18"/>
          <w:szCs w:val="18"/>
        </w:rPr>
      </w:pPr>
    </w:p>
    <w:p>
      <w:pPr>
        <w:spacing w:line="360" w:lineRule="auto"/>
        <w:jc w:val="left"/>
        <w:rPr>
          <w:rFonts w:ascii="黑体" w:hAnsi="黑体" w:eastAsia="黑体"/>
          <w:szCs w:val="18"/>
        </w:rPr>
      </w:pPr>
      <w:r>
        <w:rPr>
          <w:rFonts w:ascii="黑体" w:hAnsi="黑体" w:eastAsia="黑体"/>
          <w:szCs w:val="18"/>
        </w:rPr>
        <w:t xml:space="preserve">4.3 </w:t>
      </w:r>
      <w:r>
        <w:rPr>
          <w:rFonts w:hint="eastAsia" w:ascii="黑体" w:hAnsi="黑体" w:eastAsia="黑体"/>
          <w:szCs w:val="18"/>
        </w:rPr>
        <w:t>数据来源</w:t>
      </w:r>
    </w:p>
    <w:p>
      <w:pPr>
        <w:spacing w:line="360" w:lineRule="auto"/>
        <w:jc w:val="left"/>
        <w:rPr>
          <w:rFonts w:ascii="黑体" w:hAnsi="黑体" w:eastAsia="黑体"/>
          <w:szCs w:val="18"/>
        </w:rPr>
      </w:pPr>
      <w:r>
        <w:rPr>
          <w:rFonts w:ascii="黑体" w:hAnsi="黑体" w:eastAsia="黑体"/>
          <w:szCs w:val="18"/>
        </w:rPr>
        <w:t xml:space="preserve">4.3.1 </w:t>
      </w:r>
      <w:r>
        <w:rPr>
          <w:rFonts w:hint="eastAsia" w:ascii="黑体" w:hAnsi="黑体" w:eastAsia="黑体"/>
          <w:szCs w:val="18"/>
        </w:rPr>
        <w:t>统计</w:t>
      </w:r>
    </w:p>
    <w:p>
      <w:pPr>
        <w:spacing w:line="360" w:lineRule="auto"/>
        <w:ind w:firstLine="420" w:firstLineChars="200"/>
        <w:jc w:val="left"/>
        <w:rPr>
          <w:rFonts w:ascii="Times New Roman" w:hAnsi="Times New Roman"/>
          <w:szCs w:val="21"/>
        </w:rPr>
      </w:pPr>
      <w:r>
        <w:rPr>
          <w:rFonts w:hint="eastAsia" w:ascii="Times New Roman" w:hAnsi="Times New Roman"/>
          <w:szCs w:val="21"/>
        </w:rPr>
        <w:t>企业的原辅材料及能源使用量、产品产量、副产品产量、废水、废气和固体废弃物产生量及相关技术经济指标等，以月报表或年报表为准。</w:t>
      </w:r>
    </w:p>
    <w:p>
      <w:pPr>
        <w:spacing w:line="360" w:lineRule="auto"/>
        <w:jc w:val="left"/>
        <w:rPr>
          <w:rFonts w:ascii="黑体" w:hAnsi="黑体" w:eastAsia="黑体"/>
          <w:szCs w:val="18"/>
        </w:rPr>
      </w:pPr>
      <w:r>
        <w:rPr>
          <w:rFonts w:ascii="黑体" w:hAnsi="黑体" w:eastAsia="黑体"/>
          <w:szCs w:val="18"/>
        </w:rPr>
        <w:t xml:space="preserve">4.3.2 </w:t>
      </w:r>
      <w:r>
        <w:rPr>
          <w:rFonts w:hint="eastAsia" w:ascii="黑体" w:hAnsi="黑体" w:eastAsia="黑体"/>
          <w:szCs w:val="18"/>
        </w:rPr>
        <w:t>实测</w:t>
      </w:r>
    </w:p>
    <w:p>
      <w:pPr>
        <w:spacing w:line="360" w:lineRule="auto"/>
        <w:ind w:firstLine="420" w:firstLineChars="200"/>
        <w:jc w:val="left"/>
        <w:rPr>
          <w:rFonts w:ascii="Times New Roman" w:hAnsi="Times New Roman"/>
          <w:szCs w:val="21"/>
        </w:rPr>
      </w:pPr>
      <w:r>
        <w:rPr>
          <w:rFonts w:hint="eastAsia" w:ascii="Times New Roman" w:hAnsi="Times New Roman"/>
          <w:szCs w:val="21"/>
        </w:rPr>
        <w:t>企业的原辅材料及能源使用量、产品产量、副产品产量、废水、废气和固体废弃物产生量及相关技术经济指标等，也可选取有代表性的生产时间段进行同步实测，所选取等生产时间段一般不少于一个月。</w:t>
      </w:r>
    </w:p>
    <w:p>
      <w:pPr>
        <w:spacing w:line="360" w:lineRule="auto"/>
        <w:jc w:val="left"/>
        <w:rPr>
          <w:rFonts w:ascii="黑体" w:hAnsi="黑体" w:eastAsia="黑体"/>
          <w:szCs w:val="18"/>
        </w:rPr>
      </w:pPr>
      <w:r>
        <w:rPr>
          <w:rFonts w:ascii="黑体" w:hAnsi="黑体" w:eastAsia="黑体"/>
          <w:szCs w:val="18"/>
        </w:rPr>
        <w:t xml:space="preserve">4.3.2 </w:t>
      </w:r>
      <w:r>
        <w:rPr>
          <w:rFonts w:hint="eastAsia" w:ascii="黑体" w:hAnsi="黑体" w:eastAsia="黑体"/>
          <w:szCs w:val="18"/>
        </w:rPr>
        <w:t>采样和监测</w:t>
      </w:r>
    </w:p>
    <w:p>
      <w:pPr>
        <w:spacing w:line="360" w:lineRule="auto"/>
        <w:ind w:firstLine="420" w:firstLineChars="200"/>
        <w:jc w:val="left"/>
        <w:rPr>
          <w:rFonts w:ascii="Times New Roman" w:hAnsi="Times New Roman"/>
          <w:szCs w:val="21"/>
        </w:rPr>
      </w:pPr>
      <w:r>
        <w:rPr>
          <w:rFonts w:hint="eastAsia" w:ascii="Times New Roman" w:hAnsi="Times New Roman"/>
          <w:szCs w:val="21"/>
        </w:rPr>
        <w:t>污染物排放指标的采样和监测按照相关技术规范执行，并采用相应的国家或行业标准进行分析。</w:t>
      </w:r>
    </w:p>
    <w:p>
      <w:pPr>
        <w:spacing w:line="360" w:lineRule="auto"/>
        <w:jc w:val="left"/>
        <w:rPr>
          <w:rFonts w:ascii="黑体" w:hAnsi="黑体" w:eastAsia="黑体"/>
          <w:szCs w:val="18"/>
        </w:rPr>
      </w:pPr>
      <w:bookmarkStart w:id="5" w:name="_Toc508953216"/>
      <w:r>
        <w:rPr>
          <w:rFonts w:ascii="黑体" w:hAnsi="黑体" w:eastAsia="黑体"/>
          <w:szCs w:val="18"/>
        </w:rPr>
        <w:t xml:space="preserve">5 </w:t>
      </w:r>
      <w:r>
        <w:rPr>
          <w:rFonts w:hint="eastAsia" w:ascii="黑体" w:hAnsi="黑体" w:eastAsia="黑体"/>
          <w:szCs w:val="18"/>
        </w:rPr>
        <w:t>生命周期评价报告编制方法</w:t>
      </w:r>
      <w:bookmarkEnd w:id="5"/>
    </w:p>
    <w:p>
      <w:pPr>
        <w:spacing w:line="360" w:lineRule="auto"/>
        <w:jc w:val="left"/>
        <w:rPr>
          <w:rFonts w:ascii="黑体" w:hAnsi="黑体" w:eastAsia="黑体"/>
          <w:szCs w:val="18"/>
        </w:rPr>
      </w:pPr>
      <w:r>
        <w:rPr>
          <w:rFonts w:ascii="黑体" w:hAnsi="黑体" w:eastAsia="黑体"/>
          <w:szCs w:val="18"/>
        </w:rPr>
        <w:t xml:space="preserve">5.1 </w:t>
      </w:r>
      <w:r>
        <w:rPr>
          <w:rFonts w:hint="eastAsia" w:ascii="黑体" w:hAnsi="黑体" w:eastAsia="黑体"/>
          <w:szCs w:val="18"/>
        </w:rPr>
        <w:t>生命周期评价方法</w:t>
      </w:r>
    </w:p>
    <w:p>
      <w:pPr>
        <w:spacing w:line="360" w:lineRule="auto"/>
        <w:ind w:firstLine="420" w:firstLineChars="200"/>
        <w:jc w:val="left"/>
        <w:rPr>
          <w:rFonts w:ascii="Times New Roman" w:hAnsi="Times New Roman"/>
          <w:szCs w:val="21"/>
        </w:rPr>
      </w:pPr>
      <w:r>
        <w:rPr>
          <w:rFonts w:hint="eastAsia" w:ascii="Times New Roman" w:hAnsi="Times New Roman"/>
          <w:szCs w:val="21"/>
        </w:rPr>
        <w:t>应依据附录</w:t>
      </w:r>
      <w:r>
        <w:rPr>
          <w:rFonts w:ascii="Times New Roman" w:hAnsi="Times New Roman"/>
          <w:szCs w:val="21"/>
        </w:rPr>
        <w:t>B</w:t>
      </w:r>
      <w:r>
        <w:rPr>
          <w:rFonts w:hint="eastAsia" w:ascii="Times New Roman" w:hAnsi="Times New Roman"/>
          <w:szCs w:val="21"/>
        </w:rPr>
        <w:t>中生命周期评价方法和附录</w:t>
      </w:r>
      <w:r>
        <w:rPr>
          <w:rFonts w:ascii="Times New Roman" w:hAnsi="Times New Roman"/>
          <w:szCs w:val="21"/>
        </w:rPr>
        <w:t>C</w:t>
      </w:r>
      <w:r>
        <w:rPr>
          <w:rFonts w:hint="eastAsia" w:ascii="Times New Roman" w:hAnsi="Times New Roman"/>
          <w:szCs w:val="21"/>
        </w:rPr>
        <w:t>中数据收集表格，来对锂产品进行生命周期评价。</w:t>
      </w:r>
    </w:p>
    <w:p>
      <w:pPr>
        <w:spacing w:line="360" w:lineRule="auto"/>
        <w:jc w:val="left"/>
        <w:rPr>
          <w:rFonts w:ascii="黑体" w:hAnsi="黑体" w:eastAsia="黑体"/>
          <w:szCs w:val="18"/>
        </w:rPr>
      </w:pPr>
      <w:r>
        <w:rPr>
          <w:rFonts w:ascii="黑体" w:hAnsi="黑体" w:eastAsia="黑体"/>
          <w:szCs w:val="18"/>
        </w:rPr>
        <w:t xml:space="preserve">5.2 </w:t>
      </w:r>
      <w:r>
        <w:rPr>
          <w:rFonts w:hint="eastAsia" w:ascii="黑体" w:hAnsi="黑体" w:eastAsia="黑体"/>
          <w:szCs w:val="18"/>
        </w:rPr>
        <w:t>生命周期评价报告框架</w:t>
      </w:r>
    </w:p>
    <w:p>
      <w:pPr>
        <w:spacing w:line="360" w:lineRule="auto"/>
        <w:jc w:val="left"/>
        <w:rPr>
          <w:rFonts w:ascii="黑体" w:hAnsi="黑体" w:eastAsia="黑体"/>
          <w:szCs w:val="18"/>
        </w:rPr>
      </w:pPr>
      <w:r>
        <w:rPr>
          <w:rFonts w:ascii="黑体" w:hAnsi="黑体" w:eastAsia="黑体"/>
          <w:szCs w:val="18"/>
        </w:rPr>
        <w:t xml:space="preserve">5.2.1 </w:t>
      </w:r>
      <w:r>
        <w:rPr>
          <w:rFonts w:hint="eastAsia" w:ascii="黑体" w:hAnsi="黑体" w:eastAsia="黑体"/>
          <w:szCs w:val="18"/>
        </w:rPr>
        <w:t>基本信息</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报告应提供报告信息、申请者信息、评估对象信息、采用的标准信息等基本信息；</w:t>
      </w:r>
    </w:p>
    <w:p>
      <w:pPr>
        <w:spacing w:line="360" w:lineRule="auto"/>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w:t>
      </w:r>
      <w:r>
        <w:rPr>
          <w:rFonts w:hint="eastAsia" w:ascii="Times New Roman" w:hAnsi="Times New Roman"/>
          <w:szCs w:val="21"/>
        </w:rPr>
        <w:t>报告信息包括：报告编号、编制人员、审核人员、发布日期等；</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申请者信息包括：公司全称、组织机构代码、地址、联系人、联系方式等；</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评估对象信息包括：产品型号</w:t>
      </w:r>
      <w:r>
        <w:rPr>
          <w:rFonts w:ascii="Times New Roman" w:hAnsi="Times New Roman"/>
          <w:szCs w:val="21"/>
        </w:rPr>
        <w:t>/</w:t>
      </w:r>
      <w:r>
        <w:rPr>
          <w:rFonts w:hint="eastAsia" w:ascii="Times New Roman" w:hAnsi="Times New Roman"/>
          <w:szCs w:val="21"/>
        </w:rPr>
        <w:t>类型、主要技术参数、制造商及厂址等；</w:t>
      </w:r>
    </w:p>
    <w:p>
      <w:pPr>
        <w:spacing w:line="360" w:lineRule="auto"/>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采用的标准信息包括：标准名称及标准号等。</w:t>
      </w:r>
    </w:p>
    <w:p>
      <w:pPr>
        <w:spacing w:line="360" w:lineRule="auto"/>
        <w:jc w:val="left"/>
        <w:rPr>
          <w:rFonts w:ascii="黑体" w:hAnsi="黑体" w:eastAsia="黑体"/>
          <w:szCs w:val="18"/>
        </w:rPr>
      </w:pPr>
      <w:r>
        <w:rPr>
          <w:rFonts w:ascii="黑体" w:hAnsi="黑体" w:eastAsia="黑体"/>
          <w:szCs w:val="18"/>
        </w:rPr>
        <w:t xml:space="preserve">5.2.2 </w:t>
      </w:r>
      <w:r>
        <w:rPr>
          <w:rFonts w:hint="eastAsia" w:ascii="黑体" w:hAnsi="黑体" w:eastAsia="黑体"/>
          <w:szCs w:val="18"/>
        </w:rPr>
        <w:t>符合性评价</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报告中应提供对基本要求和评价指标要求的符合性情况，并提供所有评价指标比基期改进情况的说明。</w:t>
      </w:r>
    </w:p>
    <w:p>
      <w:pPr>
        <w:spacing w:line="360" w:lineRule="auto"/>
        <w:jc w:val="left"/>
        <w:rPr>
          <w:rFonts w:ascii="黑体" w:hAnsi="黑体" w:eastAsia="黑体"/>
          <w:szCs w:val="18"/>
        </w:rPr>
      </w:pPr>
      <w:r>
        <w:rPr>
          <w:rFonts w:ascii="黑体" w:hAnsi="黑体" w:eastAsia="黑体"/>
          <w:szCs w:val="18"/>
        </w:rPr>
        <w:t xml:space="preserve">5.2.3 </w:t>
      </w:r>
      <w:r>
        <w:rPr>
          <w:rFonts w:hint="eastAsia" w:ascii="黑体" w:hAnsi="黑体" w:eastAsia="黑体"/>
          <w:szCs w:val="18"/>
        </w:rPr>
        <w:t>生命周期评价</w:t>
      </w:r>
    </w:p>
    <w:p>
      <w:pPr>
        <w:spacing w:line="360" w:lineRule="auto"/>
        <w:jc w:val="left"/>
        <w:rPr>
          <w:rFonts w:ascii="黑体" w:hAnsi="黑体" w:eastAsia="黑体"/>
          <w:szCs w:val="18"/>
        </w:rPr>
      </w:pPr>
      <w:r>
        <w:rPr>
          <w:rFonts w:hint="eastAsia" w:ascii="黑体" w:hAnsi="黑体" w:eastAsia="黑体"/>
          <w:szCs w:val="18"/>
        </w:rPr>
        <w:t>5.2.3.1 评价对象及工具</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报告中应详细描述评估的对象（锂）、功能单位和锂产品主要功能，提供锂产品的化学成分及主要理化性能，绘制说明锂产品的系统边界，披露所使用的基于中国数据的生命周期评价工具。</w:t>
      </w:r>
    </w:p>
    <w:p>
      <w:pPr>
        <w:spacing w:line="360" w:lineRule="auto"/>
        <w:jc w:val="left"/>
        <w:rPr>
          <w:rFonts w:ascii="黑体" w:hAnsi="黑体" w:eastAsia="黑体"/>
          <w:szCs w:val="18"/>
        </w:rPr>
      </w:pPr>
      <w:r>
        <w:rPr>
          <w:rFonts w:hint="eastAsia" w:ascii="黑体" w:hAnsi="黑体" w:eastAsia="黑体"/>
          <w:szCs w:val="18"/>
        </w:rPr>
        <w:t>5.2.3.2 生命周期清单分析</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报告中应提供考虑的生命周期阶段，说明每个阶段所考虑的清单因子及收集到的现场数据或背景数据，涉及到数据分配的情况应说明分配方法和结果。</w:t>
      </w:r>
    </w:p>
    <w:p>
      <w:pPr>
        <w:spacing w:line="360" w:lineRule="auto"/>
        <w:jc w:val="left"/>
        <w:rPr>
          <w:rFonts w:ascii="黑体" w:hAnsi="黑体" w:eastAsia="黑体"/>
          <w:szCs w:val="18"/>
        </w:rPr>
      </w:pPr>
      <w:r>
        <w:rPr>
          <w:rFonts w:hint="eastAsia" w:ascii="黑体" w:hAnsi="黑体" w:eastAsia="黑体"/>
          <w:szCs w:val="18"/>
        </w:rPr>
        <w:t>5.2.3.3 生命周期影响评价</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报告中应提供锂产品生命周期各阶段的不同影响类型的特征化值，并对不同影响类在各个生命周期阶段的分布情况进行比较分析。</w:t>
      </w:r>
    </w:p>
    <w:p>
      <w:pPr>
        <w:spacing w:line="360" w:lineRule="auto"/>
        <w:jc w:val="left"/>
        <w:rPr>
          <w:rFonts w:ascii="黑体" w:hAnsi="黑体" w:eastAsia="黑体"/>
          <w:szCs w:val="18"/>
        </w:rPr>
      </w:pPr>
      <w:r>
        <w:rPr>
          <w:rFonts w:ascii="黑体" w:hAnsi="黑体" w:eastAsia="黑体"/>
          <w:szCs w:val="18"/>
        </w:rPr>
        <w:t xml:space="preserve">5.2.4 </w:t>
      </w:r>
      <w:r>
        <w:rPr>
          <w:rFonts w:hint="eastAsia" w:ascii="黑体" w:hAnsi="黑体" w:eastAsia="黑体"/>
          <w:szCs w:val="18"/>
        </w:rPr>
        <w:t>绿色设计改进方案</w:t>
      </w:r>
    </w:p>
    <w:p>
      <w:pPr>
        <w:spacing w:line="360" w:lineRule="auto"/>
        <w:ind w:firstLine="420" w:firstLineChars="200"/>
        <w:jc w:val="left"/>
        <w:rPr>
          <w:rFonts w:ascii="Times New Roman" w:hAnsi="Times New Roman"/>
          <w:szCs w:val="21"/>
        </w:rPr>
      </w:pPr>
      <w:r>
        <w:rPr>
          <w:rFonts w:hint="eastAsia" w:ascii="Times New Roman" w:hAnsi="Times New Roman"/>
          <w:szCs w:val="21"/>
        </w:rPr>
        <w:t>在分析指标的符合性评价结果以及生命周期评价结果的基础上，提出锂产品绿色设计改进的具体方案。</w:t>
      </w:r>
    </w:p>
    <w:p>
      <w:pPr>
        <w:spacing w:line="360" w:lineRule="auto"/>
        <w:jc w:val="left"/>
        <w:rPr>
          <w:rFonts w:ascii="黑体" w:hAnsi="黑体" w:eastAsia="黑体"/>
          <w:szCs w:val="18"/>
        </w:rPr>
      </w:pPr>
      <w:r>
        <w:rPr>
          <w:rFonts w:ascii="黑体" w:hAnsi="黑体" w:eastAsia="黑体"/>
          <w:szCs w:val="18"/>
        </w:rPr>
        <w:t xml:space="preserve">5.2.5 </w:t>
      </w:r>
      <w:r>
        <w:rPr>
          <w:rFonts w:hint="eastAsia" w:ascii="黑体" w:hAnsi="黑体" w:eastAsia="黑体"/>
          <w:szCs w:val="18"/>
        </w:rPr>
        <w:t>评价报告主要结论</w:t>
      </w:r>
    </w:p>
    <w:p>
      <w:pPr>
        <w:spacing w:line="360" w:lineRule="auto"/>
        <w:ind w:firstLine="420" w:firstLineChars="200"/>
        <w:jc w:val="left"/>
        <w:rPr>
          <w:rFonts w:ascii="Times New Roman" w:hAnsi="Times New Roman"/>
          <w:szCs w:val="21"/>
        </w:rPr>
      </w:pPr>
      <w:r>
        <w:rPr>
          <w:rFonts w:hint="eastAsia" w:ascii="Times New Roman" w:hAnsi="Times New Roman"/>
          <w:szCs w:val="21"/>
        </w:rPr>
        <w:t>应该说明锂产品对评价指标的符合性结论、生命周期评价结果、提出的改进方案，并根据评价结论初步判断该产品是否为绿色设计产品。</w:t>
      </w:r>
    </w:p>
    <w:p>
      <w:pPr>
        <w:spacing w:line="360" w:lineRule="auto"/>
        <w:jc w:val="left"/>
        <w:rPr>
          <w:rFonts w:ascii="黑体" w:hAnsi="黑体" w:eastAsia="黑体"/>
          <w:szCs w:val="18"/>
        </w:rPr>
      </w:pPr>
      <w:r>
        <w:rPr>
          <w:rFonts w:ascii="黑体" w:hAnsi="黑体" w:eastAsia="黑体"/>
          <w:szCs w:val="18"/>
        </w:rPr>
        <w:t>5.2.</w:t>
      </w:r>
      <w:r>
        <w:rPr>
          <w:rFonts w:hint="eastAsia" w:ascii="黑体" w:hAnsi="黑体" w:eastAsia="黑体"/>
          <w:szCs w:val="18"/>
        </w:rPr>
        <w:t>6</w:t>
      </w:r>
      <w:r>
        <w:rPr>
          <w:rFonts w:ascii="黑体" w:hAnsi="黑体" w:eastAsia="黑体"/>
          <w:szCs w:val="18"/>
        </w:rPr>
        <w:t xml:space="preserve"> </w:t>
      </w:r>
      <w:r>
        <w:rPr>
          <w:rFonts w:hint="eastAsia" w:ascii="黑体" w:hAnsi="黑体" w:eastAsia="黑体"/>
          <w:szCs w:val="18"/>
        </w:rPr>
        <w:t>附件</w:t>
      </w:r>
    </w:p>
    <w:p>
      <w:pPr>
        <w:spacing w:line="360" w:lineRule="auto"/>
        <w:ind w:firstLine="420" w:firstLineChars="200"/>
        <w:jc w:val="left"/>
        <w:rPr>
          <w:rFonts w:ascii="Times New Roman" w:hAnsi="Times New Roman"/>
          <w:szCs w:val="21"/>
        </w:rPr>
      </w:pPr>
      <w:r>
        <w:rPr>
          <w:rFonts w:hint="eastAsia" w:ascii="Times New Roman" w:hAnsi="Times New Roman"/>
          <w:szCs w:val="21"/>
        </w:rPr>
        <w:t>报告中应在附件中提供：</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）锂产品化学成分分析检测结果；</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）锂产品工艺表（包括工艺名称、工艺过程）</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）各单元过程的数据收集表；</w:t>
      </w:r>
    </w:p>
    <w:p>
      <w:pPr>
        <w:spacing w:line="360" w:lineRule="auto"/>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）其他。</w:t>
      </w:r>
    </w:p>
    <w:p>
      <w:pPr>
        <w:spacing w:line="360" w:lineRule="auto"/>
        <w:jc w:val="left"/>
        <w:rPr>
          <w:rFonts w:ascii="黑体" w:hAnsi="黑体" w:eastAsia="黑体"/>
          <w:szCs w:val="18"/>
        </w:rPr>
      </w:pPr>
      <w:bookmarkStart w:id="6" w:name="_Toc508953217"/>
      <w:r>
        <w:rPr>
          <w:rFonts w:ascii="黑体" w:hAnsi="黑体" w:eastAsia="黑体"/>
          <w:szCs w:val="18"/>
        </w:rPr>
        <w:t xml:space="preserve">6 </w:t>
      </w:r>
      <w:r>
        <w:rPr>
          <w:rFonts w:hint="eastAsia" w:ascii="黑体" w:hAnsi="黑体" w:eastAsia="黑体"/>
          <w:szCs w:val="18"/>
        </w:rPr>
        <w:t>评价方法</w:t>
      </w:r>
      <w:bookmarkEnd w:id="6"/>
    </w:p>
    <w:p>
      <w:pPr>
        <w:spacing w:line="360" w:lineRule="auto"/>
        <w:jc w:val="left"/>
        <w:rPr>
          <w:rFonts w:ascii="黑体" w:hAnsi="黑体" w:eastAsia="黑体"/>
          <w:szCs w:val="18"/>
        </w:rPr>
      </w:pPr>
      <w:r>
        <w:rPr>
          <w:rFonts w:ascii="黑体" w:hAnsi="黑体" w:eastAsia="黑体"/>
          <w:szCs w:val="18"/>
        </w:rPr>
        <w:t xml:space="preserve">6.1 </w:t>
      </w:r>
      <w:r>
        <w:rPr>
          <w:rFonts w:hint="eastAsia" w:ascii="黑体" w:hAnsi="黑体" w:eastAsia="黑体"/>
          <w:szCs w:val="18"/>
        </w:rPr>
        <w:t>评价方法</w:t>
      </w:r>
    </w:p>
    <w:p>
      <w:pPr>
        <w:spacing w:line="360" w:lineRule="auto"/>
        <w:ind w:firstLine="420" w:firstLineChars="200"/>
        <w:jc w:val="left"/>
        <w:rPr>
          <w:rFonts w:ascii="Times New Roman" w:hAnsi="Times New Roman"/>
          <w:szCs w:val="21"/>
        </w:rPr>
      </w:pPr>
      <w:r>
        <w:rPr>
          <w:rFonts w:hint="eastAsia" w:ascii="Times New Roman" w:hAnsi="Times New Roman"/>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pPr>
        <w:spacing w:line="360" w:lineRule="auto"/>
        <w:ind w:firstLine="420" w:firstLineChars="200"/>
        <w:jc w:val="left"/>
        <w:rPr>
          <w:rFonts w:ascii="Times New Roman" w:hAnsi="Times New Roman"/>
          <w:szCs w:val="21"/>
        </w:rPr>
      </w:pPr>
      <w:r>
        <w:rPr>
          <w:rFonts w:hint="eastAsia" w:ascii="Times New Roman" w:hAnsi="Times New Roman"/>
          <w:szCs w:val="21"/>
        </w:rPr>
        <w:t>锂产品同时满足以下两个条件，即可判断为绿色设计产品：</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）满足基本要求（见</w:t>
      </w:r>
      <w:r>
        <w:rPr>
          <w:rFonts w:ascii="Times New Roman" w:hAnsi="Times New Roman"/>
          <w:szCs w:val="21"/>
        </w:rPr>
        <w:t>4.1</w:t>
      </w:r>
      <w:r>
        <w:rPr>
          <w:rFonts w:hint="eastAsia" w:ascii="Times New Roman" w:hAnsi="Times New Roman"/>
          <w:szCs w:val="21"/>
        </w:rPr>
        <w:t>）和评价指标要求（见</w:t>
      </w:r>
      <w:r>
        <w:rPr>
          <w:rFonts w:ascii="Times New Roman" w:hAnsi="Times New Roman"/>
          <w:szCs w:val="21"/>
        </w:rPr>
        <w:t>4.2</w:t>
      </w:r>
      <w:r>
        <w:rPr>
          <w:rFonts w:hint="eastAsia" w:ascii="Times New Roman" w:hAnsi="Times New Roman"/>
          <w:szCs w:val="21"/>
        </w:rPr>
        <w:t>）；</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）提供锂产品生命周期评价报告（见</w:t>
      </w:r>
      <w:r>
        <w:rPr>
          <w:rFonts w:ascii="Times New Roman" w:hAnsi="Times New Roman"/>
          <w:szCs w:val="21"/>
        </w:rPr>
        <w:t>5.2</w:t>
      </w:r>
      <w:r>
        <w:rPr>
          <w:rFonts w:hint="eastAsia" w:ascii="Times New Roman" w:hAnsi="Times New Roman"/>
          <w:szCs w:val="21"/>
        </w:rPr>
        <w:t>）。</w:t>
      </w:r>
    </w:p>
    <w:p>
      <w:pPr>
        <w:spacing w:line="360" w:lineRule="auto"/>
        <w:jc w:val="left"/>
        <w:rPr>
          <w:rFonts w:ascii="黑体" w:hAnsi="黑体" w:eastAsia="黑体"/>
          <w:szCs w:val="18"/>
        </w:rPr>
      </w:pPr>
      <w:r>
        <w:rPr>
          <w:rFonts w:ascii="黑体" w:hAnsi="黑体" w:eastAsia="黑体"/>
          <w:szCs w:val="18"/>
        </w:rPr>
        <w:t xml:space="preserve">6.2 </w:t>
      </w:r>
      <w:r>
        <w:rPr>
          <w:rFonts w:hint="eastAsia" w:ascii="黑体" w:hAnsi="黑体" w:eastAsia="黑体"/>
          <w:szCs w:val="18"/>
        </w:rPr>
        <w:t>评价流程</w:t>
      </w:r>
    </w:p>
    <w:p>
      <w:pPr>
        <w:spacing w:line="360" w:lineRule="auto"/>
        <w:ind w:firstLine="420" w:firstLineChars="200"/>
        <w:jc w:val="left"/>
        <w:rPr>
          <w:rFonts w:ascii="Times New Roman" w:hAnsi="Times New Roman"/>
          <w:szCs w:val="21"/>
        </w:rPr>
      </w:pPr>
      <w:r>
        <w:rPr>
          <w:rFonts w:hint="eastAsia" w:ascii="Times New Roman" w:hAnsi="Times New Roman"/>
          <w:szCs w:val="21"/>
        </w:rPr>
        <w:t>根据锂产品的特点，明确评价的范围；根据评价指标体系中的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rFonts w:ascii="Times New Roman" w:hAnsi="Times New Roman"/>
          <w:szCs w:val="21"/>
        </w:rPr>
        <w:t>1</w:t>
      </w:r>
      <w:r>
        <w:rPr>
          <w:rFonts w:hint="eastAsia" w:ascii="Times New Roman" w:hAnsi="Times New Roman"/>
          <w:szCs w:val="21"/>
        </w:rPr>
        <w:t>。</w:t>
      </w:r>
    </w:p>
    <w:p>
      <w:pPr>
        <w:spacing w:line="360" w:lineRule="auto"/>
        <w:jc w:val="left"/>
        <w:rPr>
          <w:rFonts w:ascii="Times New Roman" w:hAnsi="Times New Roman"/>
          <w:sz w:val="24"/>
          <w:szCs w:val="21"/>
        </w:rPr>
      </w:pPr>
    </w:p>
    <w:p>
      <w:pPr>
        <w:spacing w:line="360" w:lineRule="auto"/>
        <w:rPr>
          <w:rFonts w:ascii="Times New Roman" w:hAnsi="Times New Roman"/>
          <w:sz w:val="24"/>
          <w:szCs w:val="21"/>
        </w:rPr>
      </w:pPr>
      <w:r>
        <w:rPr>
          <w:rFonts w:ascii="Times New Roman" w:hAnsi="Times New Roman"/>
          <w:sz w:val="24"/>
          <w:szCs w:val="21"/>
        </w:rPr>
        <mc:AlternateContent>
          <mc:Choice Requires="wpc">
            <w:drawing>
              <wp:inline distT="0" distB="0" distL="114300" distR="114300">
                <wp:extent cx="5023485" cy="4452620"/>
                <wp:effectExtent l="0" t="0" r="0" b="0"/>
                <wp:docPr id="33" name="画布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2" name="Rectangle 166"/>
                        <wps:cNvSpPr/>
                        <wps:spPr>
                          <a:xfrm>
                            <a:off x="532109" y="772703"/>
                            <a:ext cx="1089718" cy="3023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基本要求</w:t>
                              </w:r>
                            </w:p>
                          </w:txbxContent>
                        </wps:txbx>
                        <wps:bodyPr anchor="ctr" upright="1"/>
                      </wps:wsp>
                      <wps:wsp>
                        <wps:cNvPr id="3" name="AutoShape 168"/>
                        <wps:cNvCnPr/>
                        <wps:spPr>
                          <a:xfrm>
                            <a:off x="1073118" y="410802"/>
                            <a:ext cx="3800" cy="361902"/>
                          </a:xfrm>
                          <a:prstGeom prst="straightConnector1">
                            <a:avLst/>
                          </a:prstGeom>
                          <a:ln w="9525" cap="flat" cmpd="sng">
                            <a:solidFill>
                              <a:srgbClr val="000000"/>
                            </a:solidFill>
                            <a:prstDash val="solid"/>
                            <a:headEnd type="none" w="med" len="med"/>
                            <a:tailEnd type="triangle" w="med" len="med"/>
                          </a:ln>
                        </wps:spPr>
                        <wps:bodyPr/>
                      </wps:wsp>
                      <wps:wsp>
                        <wps:cNvPr id="4" name="Rectangle 170"/>
                        <wps:cNvSpPr/>
                        <wps:spPr>
                          <a:xfrm>
                            <a:off x="528309" y="2049709"/>
                            <a:ext cx="1089618" cy="3023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评价指标要求</w:t>
                              </w:r>
                            </w:p>
                          </w:txbxContent>
                        </wps:txbx>
                        <wps:bodyPr anchor="ctr" upright="1"/>
                      </wps:wsp>
                      <wps:wsp>
                        <wps:cNvPr id="5" name="Rectangle 171"/>
                        <wps:cNvSpPr/>
                        <wps:spPr>
                          <a:xfrm>
                            <a:off x="3542060" y="2049709"/>
                            <a:ext cx="1232521" cy="3023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生命周期评价报告</w:t>
                              </w:r>
                            </w:p>
                          </w:txbxContent>
                        </wps:txbx>
                        <wps:bodyPr anchor="ctr" upright="1"/>
                      </wps:wsp>
                      <wps:wsp>
                        <wps:cNvPr id="6" name="AutoShape 172"/>
                        <wps:cNvCnPr/>
                        <wps:spPr>
                          <a:xfrm flipH="1">
                            <a:off x="1073118" y="1075005"/>
                            <a:ext cx="3800" cy="974704"/>
                          </a:xfrm>
                          <a:prstGeom prst="straightConnector1">
                            <a:avLst/>
                          </a:prstGeom>
                          <a:ln w="9525" cap="flat" cmpd="sng">
                            <a:solidFill>
                              <a:srgbClr val="000000"/>
                            </a:solidFill>
                            <a:prstDash val="solid"/>
                            <a:headEnd type="none" w="med" len="med"/>
                            <a:tailEnd type="triangle" w="med" len="med"/>
                          </a:ln>
                        </wps:spPr>
                        <wps:bodyPr/>
                      </wps:wsp>
                      <wps:wsp>
                        <wps:cNvPr id="7" name="Text Box 173"/>
                        <wps:cNvSpPr txBox="1"/>
                        <wps:spPr>
                          <a:xfrm>
                            <a:off x="1135419" y="1157505"/>
                            <a:ext cx="250104" cy="581003"/>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vert="eaVert" lIns="18000" tIns="10800" rIns="18000" bIns="10800" anchor="ctr" upright="1"/>
                      </wps:wsp>
                      <wps:wsp>
                        <wps:cNvPr id="8" name="Oval 174"/>
                        <wps:cNvSpPr/>
                        <wps:spPr>
                          <a:xfrm>
                            <a:off x="1904332" y="1264806"/>
                            <a:ext cx="962016" cy="539802"/>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非绿色设计产品</w:t>
                              </w:r>
                            </w:p>
                          </w:txbxContent>
                        </wps:txbx>
                        <wps:bodyPr lIns="18000" tIns="10800" rIns="18000" bIns="10800" upright="1"/>
                      </wps:wsp>
                      <wps:wsp>
                        <wps:cNvPr id="9" name="AutoShape 175"/>
                        <wps:cNvCnPr/>
                        <wps:spPr>
                          <a:xfrm>
                            <a:off x="1621827" y="923804"/>
                            <a:ext cx="763913" cy="341002"/>
                          </a:xfrm>
                          <a:prstGeom prst="bentConnector2">
                            <a:avLst/>
                          </a:prstGeom>
                          <a:ln w="9525" cap="flat" cmpd="sng">
                            <a:solidFill>
                              <a:srgbClr val="000000"/>
                            </a:solidFill>
                            <a:prstDash val="solid"/>
                            <a:miter/>
                            <a:headEnd type="none" w="med" len="med"/>
                            <a:tailEnd type="triangle" w="med" len="med"/>
                          </a:ln>
                        </wps:spPr>
                        <wps:bodyPr/>
                      </wps:wsp>
                      <wps:wsp>
                        <wps:cNvPr id="10" name="AutoShape 176"/>
                        <wps:cNvCnPr/>
                        <wps:spPr>
                          <a:xfrm flipV="1">
                            <a:off x="1617927" y="1804608"/>
                            <a:ext cx="767813" cy="396202"/>
                          </a:xfrm>
                          <a:prstGeom prst="bentConnector2">
                            <a:avLst/>
                          </a:prstGeom>
                          <a:ln w="9525" cap="flat" cmpd="sng">
                            <a:solidFill>
                              <a:srgbClr val="000000"/>
                            </a:solidFill>
                            <a:prstDash val="solid"/>
                            <a:miter/>
                            <a:headEnd type="none" w="med" len="med"/>
                            <a:tailEnd type="triangle" w="med" len="med"/>
                          </a:ln>
                        </wps:spPr>
                        <wps:bodyPr/>
                      </wps:wsp>
                      <wps:wsp>
                        <wps:cNvPr id="11" name="AutoShape 178"/>
                        <wps:cNvCnPr/>
                        <wps:spPr>
                          <a:xfrm rot="10800000">
                            <a:off x="2858148" y="1534707"/>
                            <a:ext cx="675611" cy="666103"/>
                          </a:xfrm>
                          <a:prstGeom prst="bentConnector3">
                            <a:avLst>
                              <a:gd name="adj1" fmla="val 25278"/>
                            </a:avLst>
                          </a:prstGeom>
                          <a:ln w="9525" cap="flat" cmpd="sng">
                            <a:solidFill>
                              <a:srgbClr val="000000"/>
                            </a:solidFill>
                            <a:prstDash val="solid"/>
                            <a:miter/>
                            <a:headEnd type="none" w="med" len="med"/>
                            <a:tailEnd type="triangle" w="med" len="med"/>
                          </a:ln>
                        </wps:spPr>
                        <wps:bodyPr/>
                      </wps:wsp>
                      <wps:wsp>
                        <wps:cNvPr id="12" name="Text Box 179"/>
                        <wps:cNvSpPr txBox="1"/>
                        <wps:spPr>
                          <a:xfrm>
                            <a:off x="1697329" y="722503"/>
                            <a:ext cx="688412" cy="177201"/>
                          </a:xfrm>
                          <a:prstGeom prst="rect">
                            <a:avLst/>
                          </a:prstGeom>
                          <a:solidFill>
                            <a:srgbClr val="FFFFFF"/>
                          </a:solidFill>
                          <a:ln w="9525">
                            <a:noFill/>
                            <a:miter/>
                          </a:ln>
                        </wps:spPr>
                        <wps:txbx>
                          <w:txbxContent>
                            <w:p>
                              <w:pPr>
                                <w:rPr>
                                  <w:sz w:val="18"/>
                                  <w:szCs w:val="18"/>
                                </w:rPr>
                              </w:pPr>
                              <w:r>
                                <w:rPr>
                                  <w:rFonts w:hint="eastAsia"/>
                                  <w:sz w:val="18"/>
                                  <w:szCs w:val="18"/>
                                </w:rPr>
                                <w:t>不符合要求</w:t>
                              </w:r>
                            </w:p>
                          </w:txbxContent>
                        </wps:txbx>
                        <wps:bodyPr lIns="18000" tIns="10800" rIns="18000" bIns="10800" anchor="ctr" upright="1"/>
                      </wps:wsp>
                      <wps:wsp>
                        <wps:cNvPr id="13" name="Text Box 180"/>
                        <wps:cNvSpPr txBox="1"/>
                        <wps:spPr>
                          <a:xfrm>
                            <a:off x="1672628" y="1998909"/>
                            <a:ext cx="688312" cy="177201"/>
                          </a:xfrm>
                          <a:prstGeom prst="rect">
                            <a:avLst/>
                          </a:prstGeom>
                          <a:solidFill>
                            <a:srgbClr val="FFFFFF"/>
                          </a:solidFill>
                          <a:ln w="9525">
                            <a:noFill/>
                            <a:miter/>
                          </a:ln>
                        </wps:spPr>
                        <wps:txbx>
                          <w:txbxContent>
                            <w:p>
                              <w:pPr>
                                <w:rPr>
                                  <w:sz w:val="18"/>
                                  <w:szCs w:val="18"/>
                                </w:rPr>
                              </w:pPr>
                              <w:r>
                                <w:rPr>
                                  <w:rFonts w:hint="eastAsia"/>
                                  <w:sz w:val="18"/>
                                  <w:szCs w:val="18"/>
                                </w:rPr>
                                <w:t>未符合要求</w:t>
                              </w:r>
                            </w:p>
                          </w:txbxContent>
                        </wps:txbx>
                        <wps:bodyPr lIns="18000" tIns="10800" rIns="18000" bIns="10800" anchor="ctr" upright="1"/>
                      </wps:wsp>
                      <wps:wsp>
                        <wps:cNvPr id="14" name="Text Box 181"/>
                        <wps:cNvSpPr txBox="1"/>
                        <wps:spPr>
                          <a:xfrm>
                            <a:off x="3059452" y="1595007"/>
                            <a:ext cx="250204" cy="666203"/>
                          </a:xfrm>
                          <a:prstGeom prst="rect">
                            <a:avLst/>
                          </a:prstGeom>
                          <a:solidFill>
                            <a:srgbClr val="FFFFFF"/>
                          </a:solidFill>
                          <a:ln w="9525">
                            <a:noFill/>
                            <a:miter/>
                          </a:ln>
                        </wps:spPr>
                        <wps:txbx>
                          <w:txbxContent>
                            <w:p>
                              <w:pPr>
                                <w:rPr>
                                  <w:sz w:val="18"/>
                                  <w:szCs w:val="18"/>
                                </w:rPr>
                              </w:pPr>
                              <w:r>
                                <w:rPr>
                                  <w:rFonts w:hint="eastAsia"/>
                                  <w:sz w:val="18"/>
                                  <w:szCs w:val="18"/>
                                </w:rPr>
                                <w:t>未通过审核</w:t>
                              </w:r>
                            </w:p>
                          </w:txbxContent>
                        </wps:txbx>
                        <wps:bodyPr vert="eaVert" lIns="18000" tIns="10800" rIns="18000" bIns="10800" anchor="ctr" upright="1"/>
                      </wps:wsp>
                      <wps:wsp>
                        <wps:cNvPr id="15" name="AutoShape 182"/>
                        <wps:cNvSpPr/>
                        <wps:spPr>
                          <a:xfrm>
                            <a:off x="1656028" y="2712612"/>
                            <a:ext cx="1487825" cy="57340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
                                <w:rPr>
                                  <w:rFonts w:hint="eastAsia"/>
                                </w:rPr>
                                <w:t>同时满足？</w:t>
                              </w:r>
                            </w:p>
                          </w:txbxContent>
                        </wps:txbx>
                        <wps:bodyPr lIns="18000" tIns="10800" rIns="18000" bIns="10800" upright="1"/>
                      </wps:wsp>
                      <wps:wsp>
                        <wps:cNvPr id="16" name="AutoShape 183"/>
                        <wps:cNvCnPr/>
                        <wps:spPr>
                          <a:xfrm rot="-5400000" flipH="1">
                            <a:off x="1040718" y="2384411"/>
                            <a:ext cx="647711" cy="582903"/>
                          </a:xfrm>
                          <a:prstGeom prst="bentConnector2">
                            <a:avLst/>
                          </a:prstGeom>
                          <a:ln w="9525" cap="flat" cmpd="sng">
                            <a:solidFill>
                              <a:srgbClr val="000000"/>
                            </a:solidFill>
                            <a:prstDash val="solid"/>
                            <a:miter/>
                            <a:headEnd type="none" w="med" len="med"/>
                            <a:tailEnd type="triangle" w="med" len="med"/>
                          </a:ln>
                        </wps:spPr>
                        <wps:bodyPr/>
                      </wps:wsp>
                      <wps:wsp>
                        <wps:cNvPr id="17" name="AutoShape 184"/>
                        <wps:cNvCnPr/>
                        <wps:spPr>
                          <a:xfrm rot="5400000">
                            <a:off x="3327356" y="2168510"/>
                            <a:ext cx="647711" cy="1014705"/>
                          </a:xfrm>
                          <a:prstGeom prst="bentConnector2">
                            <a:avLst/>
                          </a:prstGeom>
                          <a:ln w="9525" cap="flat" cmpd="sng">
                            <a:solidFill>
                              <a:srgbClr val="000000"/>
                            </a:solidFill>
                            <a:prstDash val="solid"/>
                            <a:miter/>
                            <a:headEnd type="none" w="med" len="med"/>
                            <a:tailEnd type="triangle" w="med" len="med"/>
                          </a:ln>
                        </wps:spPr>
                        <wps:bodyPr/>
                      </wps:wsp>
                      <wps:wsp>
                        <wps:cNvPr id="18" name="Text Box 185"/>
                        <wps:cNvSpPr txBox="1"/>
                        <wps:spPr>
                          <a:xfrm>
                            <a:off x="1104919" y="2767912"/>
                            <a:ext cx="522609" cy="177101"/>
                          </a:xfrm>
                          <a:prstGeom prst="rect">
                            <a:avLst/>
                          </a:prstGeom>
                          <a:solidFill>
                            <a:srgbClr val="FFFFFF"/>
                          </a:solidFill>
                          <a:ln w="9525">
                            <a:noFill/>
                            <a:miter/>
                          </a:ln>
                        </wps:spPr>
                        <wps:txbx>
                          <w:txbxContent>
                            <w:p>
                              <w:pPr>
                                <w:rPr>
                                  <w:sz w:val="18"/>
                                  <w:szCs w:val="18"/>
                                </w:rPr>
                              </w:pPr>
                              <w:r>
                                <w:rPr>
                                  <w:rFonts w:hint="eastAsia"/>
                                  <w:sz w:val="18"/>
                                  <w:szCs w:val="18"/>
                                </w:rPr>
                                <w:t>符合要求</w:t>
                              </w:r>
                            </w:p>
                          </w:txbxContent>
                        </wps:txbx>
                        <wps:bodyPr lIns="18000" tIns="10800" rIns="18000" bIns="10800" anchor="ctr" upright="1"/>
                      </wps:wsp>
                      <wps:wsp>
                        <wps:cNvPr id="19" name="Text Box 186"/>
                        <wps:cNvSpPr txBox="1"/>
                        <wps:spPr>
                          <a:xfrm>
                            <a:off x="3434758" y="2767912"/>
                            <a:ext cx="522609" cy="177101"/>
                          </a:xfrm>
                          <a:prstGeom prst="rect">
                            <a:avLst/>
                          </a:prstGeom>
                          <a:solidFill>
                            <a:srgbClr val="FFFFFF"/>
                          </a:solidFill>
                          <a:ln w="9525">
                            <a:noFill/>
                            <a:miter/>
                          </a:ln>
                        </wps:spPr>
                        <wps:txbx>
                          <w:txbxContent>
                            <w:p>
                              <w:pPr>
                                <w:jc w:val="center"/>
                                <w:rPr>
                                  <w:sz w:val="18"/>
                                  <w:szCs w:val="18"/>
                                </w:rPr>
                              </w:pPr>
                              <w:r>
                                <w:rPr>
                                  <w:rFonts w:hint="eastAsia"/>
                                  <w:sz w:val="18"/>
                                  <w:szCs w:val="18"/>
                                </w:rPr>
                                <w:t>通过审核</w:t>
                              </w:r>
                            </w:p>
                          </w:txbxContent>
                        </wps:txbx>
                        <wps:bodyPr lIns="18000" tIns="10800" rIns="18000" bIns="10800" anchor="ctr" upright="1"/>
                      </wps:wsp>
                      <wps:wsp>
                        <wps:cNvPr id="20" name="Oval 187"/>
                        <wps:cNvSpPr/>
                        <wps:spPr>
                          <a:xfrm>
                            <a:off x="1816731" y="3821317"/>
                            <a:ext cx="1184320" cy="53980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绿色设计产品</w:t>
                              </w:r>
                            </w:p>
                          </w:txbxContent>
                        </wps:txbx>
                        <wps:bodyPr lIns="18000" tIns="10800" rIns="18000" bIns="10800" anchor="ctr" upright="1"/>
                      </wps:wsp>
                      <wps:wsp>
                        <wps:cNvPr id="21" name="AutoShape 188"/>
                        <wps:cNvCnPr/>
                        <wps:spPr>
                          <a:xfrm>
                            <a:off x="2400341" y="3286015"/>
                            <a:ext cx="8800" cy="535302"/>
                          </a:xfrm>
                          <a:prstGeom prst="straightConnector1">
                            <a:avLst/>
                          </a:prstGeom>
                          <a:ln w="9525" cap="flat" cmpd="sng">
                            <a:solidFill>
                              <a:srgbClr val="000000"/>
                            </a:solidFill>
                            <a:prstDash val="solid"/>
                            <a:headEnd type="none" w="med" len="med"/>
                            <a:tailEnd type="triangle" w="med" len="med"/>
                          </a:ln>
                        </wps:spPr>
                        <wps:bodyPr/>
                      </wps:wsp>
                      <wps:wsp>
                        <wps:cNvPr id="22" name="Text Box 189"/>
                        <wps:cNvSpPr txBox="1"/>
                        <wps:spPr>
                          <a:xfrm>
                            <a:off x="2429541" y="3426415"/>
                            <a:ext cx="250204" cy="244501"/>
                          </a:xfrm>
                          <a:prstGeom prst="rect">
                            <a:avLst/>
                          </a:prstGeom>
                          <a:solidFill>
                            <a:srgbClr val="FFFFFF"/>
                          </a:solidFill>
                          <a:ln w="9525">
                            <a:noFill/>
                            <a:miter/>
                          </a:ln>
                        </wps:spPr>
                        <wps:txbx>
                          <w:txbxContent>
                            <w:p>
                              <w:pPr/>
                              <w:r>
                                <w:rPr>
                                  <w:rFonts w:hint="eastAsia"/>
                                </w:rPr>
                                <w:t>是</w:t>
                              </w:r>
                            </w:p>
                          </w:txbxContent>
                        </wps:txbx>
                        <wps:bodyPr vert="eaVert" lIns="18000" tIns="10800" rIns="18000" bIns="10800" anchor="ctr" upright="1"/>
                      </wps:wsp>
                      <wpg:wgp>
                        <wpg:cNvPr id="31" name="组合 119"/>
                        <wpg:cNvGrpSpPr/>
                        <wpg:grpSpPr>
                          <a:xfrm>
                            <a:off x="528309" y="108500"/>
                            <a:ext cx="4250072" cy="1580607"/>
                            <a:chOff x="5283" y="1085"/>
                            <a:chExt cx="42500" cy="15806"/>
                          </a:xfrm>
                        </wpg:grpSpPr>
                        <wpg:grpSp>
                          <wpg:cNvPr id="26" name="组合 118"/>
                          <wpg:cNvGrpSpPr/>
                          <wpg:grpSpPr>
                            <a:xfrm>
                              <a:off x="5283" y="1085"/>
                              <a:ext cx="42462" cy="3023"/>
                              <a:chOff x="5283" y="1085"/>
                              <a:chExt cx="42462" cy="3023"/>
                            </a:xfrm>
                          </wpg:grpSpPr>
                          <wps:wsp>
                            <wps:cNvPr id="23" name="Rectangle 163"/>
                            <wps:cNvSpPr/>
                            <wps:spPr>
                              <a:xfrm>
                                <a:off x="5283" y="1085"/>
                                <a:ext cx="10896" cy="30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目的和范围确定</w:t>
                                  </w:r>
                                </w:p>
                              </w:txbxContent>
                            </wps:txbx>
                            <wps:bodyPr anchor="ctr" upright="1"/>
                          </wps:wsp>
                          <wps:wsp>
                            <wps:cNvPr id="24" name="Rectangle 164"/>
                            <wps:cNvSpPr/>
                            <wps:spPr>
                              <a:xfrm>
                                <a:off x="35420" y="1085"/>
                                <a:ext cx="12325" cy="30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生命周期清单分析</w:t>
                                  </w:r>
                                </w:p>
                              </w:txbxContent>
                            </wps:txbx>
                            <wps:bodyPr anchor="ctr" upright="1"/>
                          </wps:wsp>
                          <wps:wsp>
                            <wps:cNvPr id="25" name="AutoShape 165"/>
                            <wps:cNvCnPr/>
                            <wps:spPr>
                              <a:xfrm>
                                <a:off x="16179" y="2596"/>
                                <a:ext cx="19241" cy="7"/>
                              </a:xfrm>
                              <a:prstGeom prst="straightConnector1">
                                <a:avLst/>
                              </a:prstGeom>
                              <a:ln w="9525" cap="flat" cmpd="sng">
                                <a:solidFill>
                                  <a:srgbClr val="000000"/>
                                </a:solidFill>
                                <a:prstDash val="solid"/>
                                <a:headEnd type="none" w="med" len="med"/>
                                <a:tailEnd type="triangle" w="med" len="med"/>
                              </a:ln>
                            </wps:spPr>
                            <wps:bodyPr/>
                          </wps:wsp>
                        </wpg:grpSp>
                        <wps:wsp>
                          <wps:cNvPr id="27" name="Rectangle 167"/>
                          <wps:cNvSpPr/>
                          <wps:spPr>
                            <a:xfrm>
                              <a:off x="35458" y="7727"/>
                              <a:ext cx="12325" cy="30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生命周期影响评价</w:t>
                                </w:r>
                              </w:p>
                            </w:txbxContent>
                          </wps:txbx>
                          <wps:bodyPr anchor="ctr" upright="1"/>
                        </wps:wsp>
                        <wps:wsp>
                          <wps:cNvPr id="28" name="AutoShape 169"/>
                          <wps:cNvCnPr/>
                          <wps:spPr>
                            <a:xfrm>
                              <a:off x="41585" y="4108"/>
                              <a:ext cx="1" cy="3620"/>
                            </a:xfrm>
                            <a:prstGeom prst="straightConnector1">
                              <a:avLst/>
                            </a:prstGeom>
                            <a:ln w="9525" cap="flat" cmpd="sng">
                              <a:solidFill>
                                <a:srgbClr val="000000"/>
                              </a:solidFill>
                              <a:prstDash val="solid"/>
                              <a:headEnd type="none" w="med" len="med"/>
                              <a:tailEnd type="triangle" w="med" len="med"/>
                            </a:ln>
                          </wps:spPr>
                          <wps:bodyPr/>
                        </wps:wsp>
                        <wps:wsp>
                          <wps:cNvPr id="29" name="AutoShape 177"/>
                          <wps:cNvCnPr/>
                          <wps:spPr>
                            <a:xfrm flipH="1">
                              <a:off x="41585" y="10751"/>
                              <a:ext cx="39" cy="3117"/>
                            </a:xfrm>
                            <a:prstGeom prst="straightConnector1">
                              <a:avLst/>
                            </a:prstGeom>
                            <a:ln w="9525" cap="flat" cmpd="sng">
                              <a:solidFill>
                                <a:srgbClr val="000000"/>
                              </a:solidFill>
                              <a:prstDash val="solid"/>
                              <a:headEnd type="none" w="med" len="med"/>
                              <a:tailEnd type="triangle" w="med" len="med"/>
                            </a:ln>
                          </wps:spPr>
                          <wps:bodyPr/>
                        </wps:wsp>
                        <wps:wsp>
                          <wps:cNvPr id="30" name="Rectangle 167"/>
                          <wps:cNvSpPr/>
                          <wps:spPr>
                            <a:xfrm>
                              <a:off x="35458" y="13868"/>
                              <a:ext cx="12325" cy="30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生命周期解释</w:t>
                                </w:r>
                              </w:p>
                            </w:txbxContent>
                          </wps:txbx>
                          <wps:bodyPr anchor="ctr" upright="1"/>
                        </wps:wsp>
                      </wpg:wgp>
                      <wps:wsp>
                        <wps:cNvPr id="32" name="AutoShape 169"/>
                        <wps:cNvCnPr/>
                        <wps:spPr>
                          <a:xfrm>
                            <a:off x="4154770" y="1689108"/>
                            <a:ext cx="100" cy="361902"/>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160" o:spid="_x0000_s1026" o:spt="203" style="height:350.6pt;width:395.55pt;" coordsize="5023485,4452620" editas="canvas"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LkuHkdsCAAAQkUAAA4AAABkcnMvZTJvRG9jLnhtbO1cTW/b&#10;RhC9F+h/IHhPxF1+C5GDNmnSAkUTNGnutERJLCiSIGnLObeHHnvojymQ3xPkb/TNLkmtKFGSlVqW&#10;YfpgU+b37NuZN29m9ez5zSLWrsO8iNJkpLOnhq6FyTidRMlspP/2/tUTT9eKMkgmQZwm4Uj/GBb6&#10;84tvv3m2zIYhT+dpPAlzDRdJiuEyG+nzssyGg0ExnoeLoHiaZmGCndM0XwQlPuazwSQPlrj6Ih5w&#10;w3AGyzSfZHk6DosC/30pd+oX4vrTaTgu30ynRVhq8UjHs5Xidy5+X9LvwcWzYDjLg2wejavHCI54&#10;ikUQJbhpc6mXQRloV3m0calFNM7TIp2WT8fpYpBOp9E4FO+At2FG621e5+lVJt5lNlzOssZMMG3L&#10;TkdfdvzL9dtciyYj3TR1LQkWGKMv/3z6/O8fGnOEeZbZbIijXufZu+xtDnvRP2byE73xzTRf0F+8&#10;i3YjDPuxMWx4U2pj/NM2uGl5tq6Nsc+ybO7wyvTjOcZn47zx/Ic9Zw7qGw/WHmeZAUbFylLF11nq&#10;3TzIQjEABdmgshSvDfUr4BUksziErRyCEt0exzWGKoYFbLbFSrbJmeHrGszhutw1TAnE2l7M8HyX&#10;YeqQvUwYz2B0QPPSwTDLi/J1mC402hjpOZ5E4C+4/rko5aH1IXT7Io2jyasojsWHfHb5Is616wCT&#10;4pX4qa6+dlicaMuR7tucxi3A3JzGQYnNRQa0FMlM3G/tjEK9sCF+tl2YHuxlUMzlA4gryNdfRGWY&#10;4+GD4TwMJj8kE638mAGQCVyHTg+zCCe6FofwNLQljiyDKD7kSNguTmBCGiI5KLRV3lze4DK0eZlO&#10;PmKAg2Q8T+EgxmWua1dZHs3msK80Px0GdMnj7xxmzXz87qpMBRIBM4/emp4DMHuRVPOxfqN6TjST&#10;kRmuyQhHNO0AKoNLo9U4Mz0DTlGAzGG+3NsNsqLMAzLHizRJgLc0Z7sgd3r4HAuaMo/ELN4Ose3A&#10;kWjBWAhAnQ4U1hbf41Z++lDfwz2z8j3csHwX22Im1aAg5+P0zudxOx/4fEkGlBjnCi9YOZ/9Mc60&#10;LW6AQ5Dz2Q40bnKbsz7KPeYo59RAU6KcK8LU7iinTeMo+5EiM/GFinyq8Q7btmHY675tFfB813IN&#10;i/b2AW+dU51XwHNrfLyn+PR9eqMxV7BlxQ9p5Q12VCyN/t/BuhmDT2KSdjNmAx8teHAbSRhCLDEi&#10;22OG5OXdALlj2k3ITlKi7SJA1/R4+wBtUlmk5aCuYfABfzHEPyXIhhgYH+XB8gMYIT7k6p5Ldc/5&#10;kGFwWBmP3iBrAQTEzFUgAAPtGnjfsEwTeRvGlXHH8gyRrgXDmvP4DtJvuCIx8KZfEeXugQ9jeJ+C&#10;UsNg+KBTrmM5c3dKdig6j8HjveZj8BsSgmqkEg6kwuEB+ZjDmcfh0oBDnyMYCRivYOg6ps+Q94mM&#10;DAnbvozsMkxW2RjfhcbTZ2O1tzo+mX9IeRmDH91EhyoKdaBD8JgPbR7jMNevcAKPbTmGyPtVoLhe&#10;AxRyXoIxdfurHiht5ee+EniGfGcTKAfIOlqekhBFIZtCuMJ6uQeuYkmVh9kmeK27znod13bovuRW&#10;HMdh+2jNGlrMlVuhe84m1eMHk99xyekihl5OMRmpnCteAygUIVEwa1WE7H1Qo+DfiS7NGmFa4cpC&#10;3FGI0sFc2fFdk1cSNQcxbknUjudZdEPCFIOGfc8K9VdS5WPIyPmQY4oE0qesBt5ri4KHD7yL8kzl&#10;TXzf89v6IEbe7Ef+PGoErNGDlZFvy3SHjrxp2D5qczJLsn2oJ604Ai8AIa+JI3xfHOnT41PVilij&#10;1yrJiafKaPv1WubYjlFNfO4iTcYkXy8MWJ7riWogfL7tmta+8Z9EwSJNJisCIdU2lRN01w/7wmSl&#10;aVSFyWNC1L3my6SnbDBdT9XuulIiwXSf2JZkuh1Kr2WICjmgiETassBv18DqWK5bc17b4/4+rK5x&#10;3j6VbgriNGWJPp6uxMkayVf1ZargtxM3NWyUBAnSn2vagCOBBTV0G9l6J1iYwZBBCV2nz6e39Vxs&#10;F/juLZ9ulGGFAamqHAW+QxkQg/rvVwUC7jqu3w6BNucO1c6rrAdYISB14+S8GdAxIeWMsp5GkFVG&#10;XlXcbjPypgXdxJZZTz/ydZnoTItBaB6smIWsBnkiT1FEDsxJ+tRVBvSYg74oEQ5MjzMTEWctHKBl&#10;yjLpJjTN7b4cdIq+u4fti6iLZZPrHqDqKiyFg++aVgVL7jkGkro1WHpNt55t2ugK3R16+m49Of3J&#10;EdwXOeFbFFnvWEWWW9xH+4J0Wxaq2G18qPIMR5f1wyYnJ+teqLrZG23+brrrGwfx5dOfn//+S2Og&#10;mSJM3aq73l71bqISBIVu3UNYgICB7inJT220OdQSXtNnT1eQCh/Ol2evuu3F+crZax6m3Wl/Ervx&#10;RkRo7FZ51VvbrfXWdeuHxS2nshh12tcmqZYl7DHXxqlNKtC21inWJTRlAKVp01EFF2LEu7nRlvet&#10;DSX6giU4akM1b9svSHgECxJ4U2xQ8aUKM/vxJZqCO2Yio37gHmCPd8ULjf4Gi3ZUMadD+VNYNKPW&#10;GQEwbvutLj/mc+JPlNWJjK/bffXkeSd5XgW3E62Fol4oiQzV9dwu7YfrqQQeWnIn43wT23rX87jX&#10;u1Ddc9P1qKnafteDhIzWuMK70Fq7FsCquIZWPdrRe55zXnNAbU8bYHBVb9MBhq2lyhUsaElKq0xp&#10;VsUELNPsQ9KWBb6YKFuW7d6XnmM2wvP/EYaY6cn1vKu+3p4Cn++i75OTHlqwsuGGnFvHJDRCALaI&#10;Sqh8+5uBiVYAESM2+xXg4VeuABcIwRd1iPhefakIfROI+hnb6lefXP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woAAFtDb250ZW50X1R5cGVz&#10;XS54bWxQSwECFAAKAAAAAACHTuJAAAAAAAAAAAAAAAAABgAAAAAAAAAAABAAAAC9CQAAX3JlbHMv&#10;UEsBAhQAFAAAAAgAh07iQIoUZjzRAAAAlAEAAAsAAAAAAAAAAQAgAAAA4QkAAF9yZWxzLy5yZWxz&#10;UEsBAhQACgAAAAAAh07iQAAAAAAAAAAAAAAAAAQAAAAAAAAAAAAQAAAAAAAAAGRycy9QSwECFAAU&#10;AAAACACHTuJAbZrKI9YAAAAFAQAADwAAAAAAAAABACAAAAAiAAAAZHJzL2Rvd25yZXYueG1sUEsB&#10;AhQAFAAAAAgAh07iQLkuHkdsCAAAQkUAAA4AAAAAAAAAAQAgAAAAJQEAAGRycy9lMm9Eb2MueG1s&#10;UEsFBgAAAAAGAAYAWQEAAAMMAAAAAA==&#10;">
                <o:lock v:ext="edit" aspectratio="f"/>
                <v:rect id="画布 160" o:spid="_x0000_s1026" o:spt="1" style="position:absolute;left:0;top:0;height:4452620;width:5023485;" filled="f" stroked="f" coordsize="21600,21600"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OPA6q9vCAAAy0QAAA4AAABkcnMvZTJvRG9jLnhtbO1cy5Kb&#10;RhTdpyr/QLGPh27eKsupxI6dVKViV+J434PQI4WAAjwa77PIMv+T70nlN3Jud4NaDyTNOKORY2ah&#10;AQEN3X2499xzb+vp17fLzLpJq3pR5GObPXFsK82TYrLIZ2P717cvv4psq25EPhFZkadj+0Na218/&#10;+/KLp6tylPJiXmSTtLLQSF6PVuXYnjdNObq6qpN5uhT1k6JMcxycFtVSNNitZleTSqzQ+jK74o4T&#10;XK2KalJWRZLWNb59oQ7az2T702maNK+n0zptrGxs49ka+VnJz2v6vHr2VIxmlSjni0Q/hrjHUyzF&#10;IsdNu6ZeiEZY76vFTlPLRVIVdTFtniTF8qqYThdJKvuA3jBnqzfPRX4jatmZBKPTPiC2/sN2r2f0&#10;3HnxcpFlGI0rtD6i7+j/CvOT0uEst1ZjO/a5L3vZnS1Gy0WTVnQdnaQv15etSsxpXXazW3/cU/8y&#10;F2UqB6MeJT/dvKmsxWRsc9vKxRLI+hlzLfJZllosCGhe6fY475fyDT0f7dXYpN7cTqsl/cfwW7dj&#10;23c5c2Lb+jC2w5CHjqtQkd42VoLDzInikAHHCU5wHe46jE5Ah9t2yqpuXqXF0qKNsV3hSeQwiZsf&#10;60ad2p5Ct62LbDGh4ZY71ez6eVZZNwIIfSn/dOsbpxkTYCUCL8o0Ew0eaVliDOp8Ju+3cUVtNuzI&#10;v30N04O9EPVcPYBsQXW/nVgxmqdi8l0+sZoPJcY5x3tsExqW6cS2shSvPW2hm2LUiEV2yplrsLST&#10;QtPT3F7f6pm6LiYfMMEiT+YF3takqWzrfVktZnOMrxp+jS41sw8OM7eF2Tfvm0IiETCLqNcaZs/z&#10;YzBjTugywhFg5AFUDleD1uLMjRxYKAmygMXqaD/I6qYSNBzPizwH3oqKHYLc+eFzX9A01UK+xfsh&#10;th84Ci30op0XFF4LCsP2hNKnaFCcYHt45Grbwx0vDrEt36QWFGR8gsH4fN7Gx9+HM2kFT8aZ63vc&#10;CWBfYHz2A4273Ods8HKfs5cLWqAZXi6Ubuqwl7Om2aL8njyzQatMf4dt33H8Tdu2dnhx6IWOR0cH&#10;h7fJqS7L4YUtPt6Sf/q2uLVYKNmyYYes5hYHNEuj73tYN2OwSUzRbsZ84GMLHtxHRAQXS4zIj5ij&#10;eHk/QB6YdhOyD8Y9bU+pz7tUFjEyqGsq3uE/pviHHNEQA+OjoFTtgBFipzKPXJtHLocMg8OqmOs1&#10;ohZAQL65BgQ0K+6b+NjxXBdxG+aV8cCLHBmuiVHLeeIAsTBMkZx4N9ZEuX/i0wzWp6bQUIw+6ZDr&#10;vpy5PyTbbz520XkfPD5qPAa7oSBoeippQDQOT4jHAs4iDpMGHMYczkjCeA3DMHBjhrhPRmQI2I5F&#10;ZNdpvo7G+CE0nj8a+/hg/lOKyxjs6C46TFGoBx2Sx7zb5jEBC2ONE1hsL3Bk3G8CJYw6oJDxkoyp&#10;314NQFGBuvIP9L4+VgDPEO/sAuUEWceqChKiyGWTCzdYL4/AVTyl8jDfBa8NN1lvEPoB3ZfMShAE&#10;7Bit2UCLuzYrdM/ZRD++mPyGJqfLDOI1+WSEcqHsBlAoXaJk1qYIOdigh9WlWSdMG1xZijsGUTqZ&#10;Kwdx6HItUXMQ4y2JOogij25ImGLQsB9Zof5IqnwfMnI55Jg8gbIp64mPtkXB0yc+5AHX1iSOo3hb&#10;H8TMu8PMX0aOgHV6sDHz2zLdqTPvOn7s+TpK8mOoJ1t+BFYAQl7nR/gxPzKEx+WZckWs02uN4CQy&#10;ZbTjeQEW+IGjX3weIkzGS76ZGPCiMEI6VkXJoesdm//JQiyLfLImEEptMzlBf/5wSExqTUMnJu/j&#10;oh41XiY9ZYfpRqZ21xcSSab7le8pptuj9HqOzJCDfiCQ9jzw2w2wBl4YtpzXj3h8DKsbnHcIpR8z&#10;QuokX9OWmYLfQdy0sDECJEh/oesDjgQW5NB9ROu9YGEOQwQldZ0hnt5Xc7Ff4Hu0eLpThg0GZKpy&#10;5PhOZUAM6n+sEwQ8DMJ42wX6nAeUO9dRD7BCQOrHyWUzoPu4lAuKejpB1ph5U3G7y8y7HnQTX0U9&#10;w8y3aaILTQbxTmxV2aBIximGyKGZk1L71kVzuviORSxAXZR0B27Emcu24hyUTHku3YRec39IB52j&#10;7u7TtkVUxbLLdU9QdQ2WwsF3XU/DkkeBg6Bug6VEXbWe7/qoCj3seoZqPfX6P6bYz/costF9FVnu&#10;8RjlC8psechib+PDlGe456GW4TBCLpucnK16YTZazdYV41hDsLUg4E7186+q4n0JwWNVzoyKcXI2&#10;yjz889fvf//5h8VAMqWTkme9qkriKvqLmdojy9BWe7dV4+vKTeSBoM9RG+ukoAcAOKidUuzUR5FD&#10;K+Al89e67hwtSADR9erqZP6drjqX1xtX0/GO2qLOdYZVC/JBVffkTpfReJBx452E0I2btql3Hret&#10;XreFHx73Aj1iVGffDslpw7Vzae9onWNVQpcE+NlYlmDKLR3G2rKhvQDrGShZFazA0Q5U11sxaiW9&#10;YTnC/3Y5Au9SDSa+TFnmOL5kSXAfwKgaeADY57vehWZ/h0MHppTTo/sZHJpR4YwEGPfjrRo/FnNi&#10;TxTTyXiv33wN1PkgdV5TgTNlt6gSSiHDND13C/pherS8QwvuNokTG0zP573ahbKeu6bHDNSOmx6E&#10;Y6DUlGKglXZbANN+DYV6G6R6hzgNlueg5aFY/sHXXVLR0w4YQtPa9IBhb6JyDQtakLKVpHR1KgGL&#10;NAeXtGd5L1y0XuHdhiyPqea4nez8X7gh5kZqNe86gB/80OUu+ZakB0LRmSgPLVbZMULBnT0SiiAA&#10;WvgkZL3jXbdEq3+ID7vD6u/0I1d/Ax/48YoykZKZ/nUP+kkOcx/b5m+QPPs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goAAFtDb250ZW50X1R5&#10;cGVzXS54bWxQSwECFAAKAAAAAACHTuJAAAAAAAAAAAAAAAAABgAAAAAAAAAAABAAAADACQAAX3Jl&#10;bHMvUEsBAhQAFAAAAAgAh07iQIoUZjzRAAAAlAEAAAsAAAAAAAAAAQAgAAAA5AkAAF9yZWxzLy5y&#10;ZWxzUEsBAhQACgAAAAAAh07iQAAAAAAAAAAAAAAAAAQAAAAAAAAAAAAQAAAAAAAAAGRycy9QSwEC&#10;FAAUAAAACACHTuJAbZrKI9YAAAAFAQAADwAAAAAAAAABACAAAAAiAAAAZHJzL2Rvd25yZXYueG1s&#10;UEsBAhQAFAAAAAgAh07iQOPA6q9vCAAAy0QAAA4AAAAAAAAAAQAgAAAAJQEAAGRycy9lMm9Eb2Mu&#10;eG1sUEsFBgAAAAAGAAYAWQEAAAYMAAAAAA==&#10;">
                  <v:fill on="f" focussize="0,0"/>
                  <v:stroke on="f" joinstyle="miter"/>
                  <v:imagedata o:title=""/>
                  <o:lock v:ext="edit" aspectratio="t"/>
                </v:rect>
                <v:rect id="Rectangle 166" o:spid="_x0000_s1026" o:spt="1" style="position:absolute;left:532109;top:772703;height:302301;width:108971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fill on="t" focussize="0,0"/>
                  <v:stroke color="#000000" joinstyle="miter"/>
                  <v:imagedata o:title=""/>
                  <o:lock v:ext="edit" aspectratio="f"/>
                  <v:textbox>
                    <w:txbxContent>
                      <w:p>
                        <w:pPr>
                          <w:jc w:val="center"/>
                          <w:rPr>
                            <w:sz w:val="18"/>
                            <w:szCs w:val="18"/>
                          </w:rPr>
                        </w:pPr>
                        <w:r>
                          <w:rPr>
                            <w:rFonts w:hint="eastAsia"/>
                            <w:sz w:val="18"/>
                            <w:szCs w:val="18"/>
                          </w:rPr>
                          <w:t>基本要求</w:t>
                        </w:r>
                      </w:p>
                    </w:txbxContent>
                  </v:textbox>
                </v:rect>
                <v:shape id="AutoShape 168" o:spid="_x0000_s1026" o:spt="32" type="#_x0000_t32" style="position:absolute;left:1073118;top:410801;height:361901;width:3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fill on="f" focussize="0,0"/>
                  <v:stroke color="#000000" joinstyle="round" endarrow="block"/>
                  <v:imagedata o:title=""/>
                  <o:lock v:ext="edit" aspectratio="f"/>
                </v:shape>
                <v:rect id="Rectangle 170" o:spid="_x0000_s1026" o:spt="1" style="position:absolute;left:528308;top:2049709;height:302301;width:108961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DLsMA&#10;AADcAAAADwAAAGRycy9kb3ducmV2LnhtbERPTWvCQBC9C/0PyxR6Ed1UR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DLs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171" o:spid="_x0000_s1026" o:spt="1" style="position:absolute;left:3542059;top:2049709;height:302301;width:123252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172" o:spid="_x0000_s1026" o:spt="32" type="#_x0000_t32" style="position:absolute;left:1073118;top:1075004;flip:x;height:974704;width:3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EWMAAAADcAAAADwAAAGRycy9kb3ducmV2LnhtbERPS4vCMBC+C/sfwizsTdMVVqQaRYUF&#10;8bL4AD0OzdgGm0lpYlP//UYQvM3H95z5sre16Kj1xrGC71EGgrhw2nCp4HT8HU5B+ICssXZMCh7k&#10;Ybn4GMwx1y7ynrpDKEUKYZ+jgiqEJpfSFxVZ9CPXECfu6lqLIcG2lLrFmMJtLcd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BFjAAAAA3AAAAA8AAAAAAAAAAAAAAAAA&#10;oQIAAGRycy9kb3ducmV2LnhtbFBLBQYAAAAABAAEAPkAAACOAwAAAAA=&#10;">
                  <v:fill on="f" focussize="0,0"/>
                  <v:stroke color="#000000" joinstyle="round" endarrow="block"/>
                  <v:imagedata o:title=""/>
                  <o:lock v:ext="edit" aspectratio="f"/>
                </v:shape>
                <v:shape id="Text Box 173" o:spid="_x0000_s1026" o:spt="202" type="#_x0000_t202" style="position:absolute;left:1135419;top:1157505;height:581002;width:25010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WTcIA&#10;AADcAAAADwAAAGRycy9kb3ducmV2LnhtbERP24rCMBB9F/Yfwiz4Ipoq4qUaRQRR8MXt+gFjM7bd&#10;bSalSW39e7Ow4NscznXW286U4kG1KywrGI8iEMSp1QVnCq7fh+EChPPIGkvLpOBJDrabj94aY21b&#10;/qJH4jMRQtjFqCD3voqldGlOBt3IVsSBu9vaoA+wzqSusQ3hppSTKJpJgwWHhhwr2ueU/iaNUTAt&#10;59N71ixne3PTl+PPc3Bpz41S/c9utwLhqfNv8b/7pMP8yRz+ngkX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FZNwgAAANwAAAAPAAAAAAAAAAAAAAAAAJgCAABkcnMvZG93&#10;bnJldi54bWxQSwUGAAAAAAQABAD1AAAAhwM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符合要求</w:t>
                        </w:r>
                      </w:p>
                    </w:txbxContent>
                  </v:textbox>
                </v:shape>
                <v:shape id="Oval 174" o:spid="_x0000_s1026" o:spt="3" type="#_x0000_t3" style="position:absolute;left:1904332;top:1264805;height:539802;width:96201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lyccA&#10;AADcAAAADwAAAGRycy9kb3ducmV2LnhtbESPQU/DMAyF75P4D5GRuEws3Q5TVZZNE2ITnMYGB45W&#10;Y9pC43RJaDt+PT4g7WbrPb/3ebUZXat6CrHxbGA+y0ARl942XBl4f9vd56BiQrbYeiYDF4qwWd9M&#10;VlhYP/CR+lOqlIRwLNBAnVJXaB3LmhzGme+IRfv0wWGSNVTaBhwk3LV6kWVL7bBhaaixo8eayu/T&#10;jzPwlPvX/DgN5334WL5sv36rfjwMxtzdjtsHUInGdDX/Xz9bwV8IrTwjE+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pcnHAAAA3AAAAA8AAAAAAAAAAAAAAAAAmAIAAGRy&#10;cy9kb3ducmV2LnhtbFBLBQYAAAAABAAEAPUAAACMAwAAAAA=&#10;">
                  <v:fill on="t" focussize="0,0"/>
                  <v:stroke color="#000000" joinstyle="round"/>
                  <v:imagedata o:title=""/>
                  <o:lock v:ext="edit" aspectratio="f"/>
                  <v:textbox inset="0.5mm,0.3mm,0.5mm,0.3mm">
                    <w:txbxContent>
                      <w:p>
                        <w:pPr>
                          <w:rPr>
                            <w:sz w:val="18"/>
                            <w:szCs w:val="18"/>
                          </w:rPr>
                        </w:pPr>
                        <w:r>
                          <w:rPr>
                            <w:rFonts w:hint="eastAsia"/>
                            <w:sz w:val="18"/>
                            <w:szCs w:val="18"/>
                          </w:rPr>
                          <w:t>非绿色设计产品</w:t>
                        </w:r>
                      </w:p>
                    </w:txbxContent>
                  </v:textbox>
                </v:shape>
                <v:shape id="AutoShape 175" o:spid="_x0000_s1026" o:spt="33" type="#_x0000_t33" style="position:absolute;left:1621827;top:923804;height:341001;width:763912;"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xysMAAADcAAAADwAAAGRycy9kb3ducmV2LnhtbERPPW/CMBDdkfofrKvEVpwwUBpwEKrU&#10;FrE1dGA84iNJG5+DbUjor6+RKrHd0/u85WowrbiQ841lBekkAUFcWt1wpeBr9/Y0B+EDssbWMim4&#10;kodV/jBaYqZtz590KUIlYgj7DBXUIXSZlL6syaCf2I44ckfrDIYIXSW1wz6Gm1ZOk2QmDTYcG2rs&#10;6LWm8qc4GwUf6+/eyd/98+mQnjX277NtcUKlxo/DegEi0BDu4n/3Rsf50xe4PRMv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rccrDAAAA3AAAAA8AAAAAAAAAAAAA&#10;AAAAoQIAAGRycy9kb3ducmV2LnhtbFBLBQYAAAAABAAEAPkAAACRAwAAAAA=&#10;">
                  <v:fill on="f" focussize="0,0"/>
                  <v:stroke color="#000000" joinstyle="miter" endarrow="block"/>
                  <v:imagedata o:title=""/>
                  <o:lock v:ext="edit" aspectratio="f"/>
                </v:shape>
                <v:shape id="AutoShape 176" o:spid="_x0000_s1026" o:spt="33" type="#_x0000_t33" style="position:absolute;left:1617927;top:1804608;flip:y;height:396201;width:767812;"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9cMMAAADcAAAADwAAAGRycy9kb3ducmV2LnhtbESPQWvDMAyF74P9B6PBbquzBLqR1Qml&#10;tGzHtdsPELEah8ZysL02/ffTodCbxHt679Oqnf2ozhTTENjA66IARdwFO3Bv4Pdn9/IOKmVki2Ng&#10;MnClBG3z+LDC2oYL7+l8yL2SEE41GnA5T7XWqXPkMS3CRCzaMUSPWdbYaxvxIuF+1GVRLLXHgaXB&#10;4UQbR93p8OcNrKu33b6Ln1Vym+9lOZen6ThsjXl+mtcfoDLN+W6+XX9Zwa8EX56RCXT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rPXDDAAAA3AAAAA8AAAAAAAAAAAAA&#10;AAAAoQIAAGRycy9kb3ducmV2LnhtbFBLBQYAAAAABAAEAPkAAACRAwAAAAA=&#10;">
                  <v:fill on="f" focussize="0,0"/>
                  <v:stroke color="#000000" joinstyle="miter" endarrow="block"/>
                  <v:imagedata o:title=""/>
                  <o:lock v:ext="edit" aspectratio="f"/>
                </v:shape>
                <v:shape id="AutoShape 178" o:spid="_x0000_s1026" o:spt="34" type="#_x0000_t34" style="position:absolute;left:2858148;top:1534706;height:666102;width:675611;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2O70AAADcAAAADwAAAGRycy9kb3ducmV2LnhtbERPTYvCMBC9C/6HMII3Ta3gSjVKEQSP&#10;6up9aMa2mExKErX+e7Ow4G0e73PW294a8SQfWscKZtMMBHHldMu1gsvvfrIEESKyRuOYFLwpwHYz&#10;HKyx0O7FJ3qeYy1SCIcCFTQxdoWUoWrIYpi6jjhxN+ctxgR9LbXHVwq3RuZZtpAWW04NDXa0a6i6&#10;nx9WQXnMr/vy8POeX0p/NXh8nExPSo1HfbkCEamPX/G/+6DT/HkOf8+kC+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YtNju9AAAA3AAAAA8AAAAAAAAAAAAAAAAAoQIA&#10;AGRycy9kb3ducmV2LnhtbFBLBQYAAAAABAAEAPkAAACLAwAAAAA=&#10;" adj="5460">
                  <v:fill on="f" focussize="0,0"/>
                  <v:stroke color="#000000" joinstyle="miter" endarrow="block"/>
                  <v:imagedata o:title=""/>
                  <o:lock v:ext="edit" aspectratio="f"/>
                </v:shape>
                <v:shape id="Text Box 179" o:spid="_x0000_s1026" o:spt="202" type="#_x0000_t202" style="position:absolute;left:1697328;top:722503;height:177200;width:688411;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1mcIA&#10;AADcAAAADwAAAGRycy9kb3ducmV2LnhtbERPS4vCMBC+C/6HMIK3NVXB1a5RRFA87MUH6x6HZrYt&#10;NpOSpFr31xtB8DYf33Pmy9ZU4krOl5YVDAcJCOLM6pJzBafj5mMKwgdkjZVlUnAnD8tFtzPHVNsb&#10;7+l6CLmIIexTVFCEUKdS+qwgg35ga+LI/VlnMETocqkd3mK4qeQoSSbSYMmxocCa1gVll0NjFPwk&#10;s7OebZvJb565c/NfTctP+laq32tXXyACteEtfrl3Os4fj+H5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PWZwgAAANwAAAAPAAAAAAAAAAAAAAAAAJgCAABkcnMvZG93&#10;bnJldi54bWxQSwUGAAAAAAQABAD1AAAAhwMAAAAA&#10;">
                  <v:fill on="t" focussize="0,0"/>
                  <v:stroke on="f" joinstyle="miter"/>
                  <v:imagedata o:title=""/>
                  <o:lock v:ext="edit" aspectratio="f"/>
                  <v:textbox inset="0.5mm,0.3mm,0.5mm,0.3mm">
                    <w:txbxContent>
                      <w:p>
                        <w:pPr>
                          <w:rPr>
                            <w:sz w:val="18"/>
                            <w:szCs w:val="18"/>
                          </w:rPr>
                        </w:pPr>
                        <w:r>
                          <w:rPr>
                            <w:rFonts w:hint="eastAsia"/>
                            <w:sz w:val="18"/>
                            <w:szCs w:val="18"/>
                          </w:rPr>
                          <w:t>不符合要求</w:t>
                        </w:r>
                      </w:p>
                    </w:txbxContent>
                  </v:textbox>
                </v:shape>
                <v:shape id="Text Box 180" o:spid="_x0000_s1026" o:spt="202" type="#_x0000_t202" style="position:absolute;left:1672628;top:1998908;height:177200;width:688311;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t7cMA&#10;AADcAAAADwAAAGRycy9kb3ducmV2LnhtbERPTWvCQBC9F/wPywjemo1a1KRZRQotPfSildrjkJ0m&#10;wexs2N1o6q93C0Jv83ifU2wG04ozOd9YVjBNUhDEpdUNVwoOn6+PKxA+IGtsLZOCX/KwWY8eCsy1&#10;vfCOzvtQiRjCPkcFdQhdLqUvazLoE9sRR+7HOoMhQldJ7fASw00rZ2m6kAYbjg01dvRSU3na90bB&#10;V5oddfbWL76r0h37a7tqlvSh1GQ8bJ9BBBrCv/juftdx/vwJ/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1t7cMAAADcAAAADwAAAAAAAAAAAAAAAACYAgAAZHJzL2Rv&#10;d25yZXYueG1sUEsFBgAAAAAEAAQA9QAAAIgDAAAAAA==&#10;">
                  <v:fill on="t" focussize="0,0"/>
                  <v:stroke on="f" joinstyle="miter"/>
                  <v:imagedata o:title=""/>
                  <o:lock v:ext="edit" aspectratio="f"/>
                  <v:textbox inset="0.5mm,0.3mm,0.5mm,0.3mm">
                    <w:txbxContent>
                      <w:p>
                        <w:pPr>
                          <w:rPr>
                            <w:sz w:val="18"/>
                            <w:szCs w:val="18"/>
                          </w:rPr>
                        </w:pPr>
                        <w:r>
                          <w:rPr>
                            <w:rFonts w:hint="eastAsia"/>
                            <w:sz w:val="18"/>
                            <w:szCs w:val="18"/>
                          </w:rPr>
                          <w:t>未符合要求</w:t>
                        </w:r>
                      </w:p>
                    </w:txbxContent>
                  </v:textbox>
                </v:shape>
                <v:shape id="Text Box 181" o:spid="_x0000_s1026" o:spt="202" type="#_x0000_t202" style="position:absolute;left:3059451;top:1595007;height:666202;width:25020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7fMIA&#10;AADcAAAADwAAAGRycy9kb3ducmV2LnhtbERP22rCQBB9L/gPywi+FN203qOrFEEs+OLtA8bsmMRm&#10;Z0N2Y+LfdwsF3+ZwrrNct6YQD6pcblnBxyACQZxYnXOq4HLe9mcgnEfWWFgmBU9ysF513pYYa9vw&#10;kR4nn4oQwi5GBZn3ZSylSzIy6Aa2JA7czVYGfYBVKnWFTQg3hfyMook0mHNoyLCkTUbJz6k2CkbF&#10;dHRL6/lkY676sLs/3w/Nvlaq122/FiA8tf4l/nd/6zB/OIa/Z8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1/t8wgAAANwAAAAPAAAAAAAAAAAAAAAAAJgCAABkcnMvZG93&#10;bnJldi54bWxQSwUGAAAAAAQABAD1AAAAhwMAAAAA&#10;">
                  <v:fill on="t" focussize="0,0"/>
                  <v:stroke on="f" joinstyle="miter"/>
                  <v:imagedata o:title=""/>
                  <o:lock v:ext="edit" aspectratio="f"/>
                  <v:textbox inset="0.5mm,0.3mm,0.5mm,0.3mm" style="layout-flow:vertical-ideographic;">
                    <w:txbxContent>
                      <w:p>
                        <w:pPr>
                          <w:rPr>
                            <w:sz w:val="18"/>
                            <w:szCs w:val="18"/>
                          </w:rPr>
                        </w:pPr>
                        <w:r>
                          <w:rPr>
                            <w:rFonts w:hint="eastAsia"/>
                            <w:sz w:val="18"/>
                            <w:szCs w:val="18"/>
                          </w:rPr>
                          <w:t>未通过审核</w:t>
                        </w:r>
                      </w:p>
                    </w:txbxContent>
                  </v:textbox>
                </v:shape>
                <v:shape id="AutoShape 182" o:spid="_x0000_s1026" o:spt="4" type="#_x0000_t4" style="position:absolute;left:1656028;top:2712612;height:573402;width:1487825;"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cMIA&#10;AADcAAAADwAAAGRycy9kb3ducmV2LnhtbERPS2vCQBC+F/wPywi9FN2kLUGiq9jaQA691Md9yI7Z&#10;YHY2ZteY/vtuodDbfHzPWW1G24qBet84VpDOExDEldMN1wqOh2K2AOEDssbWMSn4Jg+b9eRhhbl2&#10;d/6iYR9qEUPY56jAhNDlUvrKkEU/dx1x5M6utxgi7Gupe7zHcNvK5yTJpMWGY4PBjt4NVZf9zSq4&#10;Ut2kJ/n0+SbLj11hTUv8mir1OB23SxCBxvAv/nOXOs5/y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0ZwwgAAANwAAAAPAAAAAAAAAAAAAAAAAJgCAABkcnMvZG93&#10;bnJldi54bWxQSwUGAAAAAAQABAD1AAAAhwMAAAAA&#10;">
                  <v:fill on="t" focussize="0,0"/>
                  <v:stroke color="#000000" joinstyle="miter"/>
                  <v:imagedata o:title=""/>
                  <o:lock v:ext="edit" aspectratio="f"/>
                  <v:textbox inset="0.5mm,0.3mm,0.5mm,0.3mm">
                    <w:txbxContent>
                      <w:p>
                        <w:pPr/>
                        <w:r>
                          <w:rPr>
                            <w:rFonts w:hint="eastAsia"/>
                          </w:rPr>
                          <w:t>同时满足？</w:t>
                        </w:r>
                      </w:p>
                    </w:txbxContent>
                  </v:textbox>
                </v:shape>
                <v:shape id="AutoShape 183" o:spid="_x0000_s1026" o:spt="33" type="#_x0000_t33" style="position:absolute;left:1040717;top:2384410;flip:x;height:582902;width:64771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TvsEAAADcAAAADwAAAGRycy9kb3ducmV2LnhtbERPS4vCMBC+C/6HMAveNF0FXbpGWXyA&#10;IB7sCnocmmlTbCalidr99xtB8DYf33Pmy87W4k6trxwr+BwlIIhzpysuFZx+t8MvED4ga6wdk4I/&#10;8rBc9HtzTLV78JHuWShFDGGfogITQpNK6XNDFv3INcSRK1xrMUTYllK3+IjhtpbjJJlKixXHBoMN&#10;rQzl1+xmFezdRRbuYlbF2pz91d82+nw4KTX46H6+QQTqwlv8cu90nD+ZwfOZe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tO+wQAAANwAAAAPAAAAAAAAAAAAAAAA&#10;AKECAABkcnMvZG93bnJldi54bWxQSwUGAAAAAAQABAD5AAAAjwMAAAAA&#10;">
                  <v:fill on="f" focussize="0,0"/>
                  <v:stroke color="#000000" joinstyle="miter" endarrow="block"/>
                  <v:imagedata o:title=""/>
                  <o:lock v:ext="edit" aspectratio="f"/>
                </v:shape>
                <v:shape id="AutoShape 184" o:spid="_x0000_s1026" o:spt="33" type="#_x0000_t33" style="position:absolute;left:3327356;top:2168509;height:1014704;width:647710;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V3MUAAADcAAAADwAAAGRycy9kb3ducmV2LnhtbESPQWvDMAyF74P9B6PBbqvTFcrI6pbS&#10;dizsMNa0P0DEWhway8F20+zfT4fBbhLv6b1Pq83kezVSTF1gA/NZAYq4Cbbj1sD59Pb0AiplZIt9&#10;YDLwQwk26/u7FZY23PhIY51bJSGcSjTgch5KrVPjyGOahYFYtO8QPWZZY6ttxJuE+14/F8VSe+xY&#10;GhwOtHPUXOqrN7BcbIv36+feV676IF+Pu3j46ox5fJi2r6AyTfnf/HddWc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EV3MUAAADcAAAADwAAAAAAAAAA&#10;AAAAAAChAgAAZHJzL2Rvd25yZXYueG1sUEsFBgAAAAAEAAQA+QAAAJMDAAAAAA==&#10;">
                  <v:fill on="f" focussize="0,0"/>
                  <v:stroke color="#000000" joinstyle="miter" endarrow="block"/>
                  <v:imagedata o:title=""/>
                  <o:lock v:ext="edit" aspectratio="f"/>
                </v:shape>
                <v:shape id="Text Box 185" o:spid="_x0000_s1026" o:spt="202" type="#_x0000_t202" style="position:absolute;left:1104918;top:2767912;height:177100;width:522608;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Yk8UA&#10;AADcAAAADwAAAGRycy9kb3ducmV2LnhtbESPQWvCQBCF7wX/wzKCt7qxiNXoKiJUPPRSW9TjkB2T&#10;YHY27G407a/vHAq9zfDevPfNatO7Rt0pxNqzgck4A0VceFtzaeDr8+15DiomZIuNZzLwTRE268HT&#10;CnPrH/xB92MqlYRwzNFAlVKbax2LihzGsW+JRbv64DDJGkptAz4k3DX6Jctm2mHN0lBhS7uKitux&#10;cwZO2eJsF/tudimLcO5+mnn9Su/GjIb9dgkqUZ/+zX/XByv4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BiTxQAAANwAAAAPAAAAAAAAAAAAAAAAAJgCAABkcnMv&#10;ZG93bnJldi54bWxQSwUGAAAAAAQABAD1AAAAigMAAAAA&#10;">
                  <v:fill on="t" focussize="0,0"/>
                  <v:stroke on="f" joinstyle="miter"/>
                  <v:imagedata o:title=""/>
                  <o:lock v:ext="edit" aspectratio="f"/>
                  <v:textbox inset="0.5mm,0.3mm,0.5mm,0.3mm">
                    <w:txbxContent>
                      <w:p>
                        <w:pPr>
                          <w:rPr>
                            <w:sz w:val="18"/>
                            <w:szCs w:val="18"/>
                          </w:rPr>
                        </w:pPr>
                        <w:r>
                          <w:rPr>
                            <w:rFonts w:hint="eastAsia"/>
                            <w:sz w:val="18"/>
                            <w:szCs w:val="18"/>
                          </w:rPr>
                          <w:t>符合要求</w:t>
                        </w:r>
                      </w:p>
                    </w:txbxContent>
                  </v:textbox>
                </v:shape>
                <v:shape id="Text Box 186" o:spid="_x0000_s1026" o:spt="202" type="#_x0000_t202" style="position:absolute;left:3434758;top:2767912;height:177100;width:522608;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CMIA&#10;AADcAAAADwAAAGRycy9kb3ducmV2LnhtbERPS4vCMBC+L/gfwgjeNFXERzWKCMoevOgu6nFoxrbY&#10;TEqSatdfbxYW9jYf33OW69ZU4kHOl5YVDAcJCOLM6pJzBd9fu/4MhA/IGivLpOCHPKxXnY8lpto+&#10;+UiPU8hFDGGfooIihDqV0mcFGfQDWxNH7madwRChy6V2+IzhppKjJJlIgyXHhgJr2haU3U+NUXBO&#10;5hc93zeTa565S/OqZuWUDkr1uu1mASJQG/7Ff+5PHeePh/D7TL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0IwgAAANwAAAAPAAAAAAAAAAAAAAAAAJgCAABkcnMvZG93&#10;bnJldi54bWxQSwUGAAAAAAQABAD1AAAAhwMAAAAA&#10;">
                  <v:fill on="t" focussize="0,0"/>
                  <v:stroke on="f" joinstyle="miter"/>
                  <v:imagedata o:title=""/>
                  <o:lock v:ext="edit" aspectratio="f"/>
                  <v:textbox inset="0.5mm,0.3mm,0.5mm,0.3mm">
                    <w:txbxContent>
                      <w:p>
                        <w:pPr>
                          <w:jc w:val="center"/>
                          <w:rPr>
                            <w:sz w:val="18"/>
                            <w:szCs w:val="18"/>
                          </w:rPr>
                        </w:pPr>
                        <w:r>
                          <w:rPr>
                            <w:rFonts w:hint="eastAsia"/>
                            <w:sz w:val="18"/>
                            <w:szCs w:val="18"/>
                          </w:rPr>
                          <w:t>通过审核</w:t>
                        </w:r>
                      </w:p>
                    </w:txbxContent>
                  </v:textbox>
                </v:shape>
                <v:shape id="Oval 187" o:spid="_x0000_s1026" o:spt="3" type="#_x0000_t3" style="position:absolute;left:1816730;top:3821317;height:539802;width:118432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188" o:spid="_x0000_s1026" o:spt="32" type="#_x0000_t32" style="position:absolute;left:2400340;top:3286014;height:535302;width:8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fill on="f" focussize="0,0"/>
                  <v:stroke color="#000000" joinstyle="round" endarrow="block"/>
                  <v:imagedata o:title=""/>
                  <o:lock v:ext="edit" aspectratio="f"/>
                </v:shape>
                <v:shape id="Text Box 189" o:spid="_x0000_s1026" o:spt="202" type="#_x0000_t202" style="position:absolute;left:2429541;top:3426415;height:244501;width:250204;v-text-anchor:middle;"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tmsMA&#10;AADcAAAADwAAAGRycy9kb3ducmV2LnhtbERPzWrCQBC+C32HZQq9FLOpBNumrlIEqeBF0z7AmB2T&#10;tLuzIbsx8e1doeBtPr7fWaxGa8SZOt84VvCSpCCIS6cbrhT8fG+mbyB8QNZoHJOCC3lYLR8mC8y1&#10;G/hA5yJUIoawz1FBHUKbS+nLmiz6xLXEkTu5zmKIsKuk7nCI4dbIWZrOpcWGY0ONLa1rKv+K3irI&#10;zGt2qvr3+doe9f7r9/K8H3a9Uk+P4+cHiEBjuIv/3Vsd52c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tmsMAAADcAAAADwAAAAAAAAAAAAAAAACYAgAAZHJzL2Rv&#10;d25yZXYueG1sUEsFBgAAAAAEAAQA9QAAAIgDAAAAAA==&#10;">
                  <v:fill on="t" focussize="0,0"/>
                  <v:stroke on="f" joinstyle="miter"/>
                  <v:imagedata o:title=""/>
                  <o:lock v:ext="edit" aspectratio="f"/>
                  <v:textbox inset="0.5mm,0.3mm,0.5mm,0.3mm" style="layout-flow:vertical-ideographic;">
                    <w:txbxContent>
                      <w:p>
                        <w:pPr/>
                        <w:r>
                          <w:rPr>
                            <w:rFonts w:hint="eastAsia"/>
                          </w:rPr>
                          <w:t>是</w:t>
                        </w:r>
                      </w:p>
                    </w:txbxContent>
                  </v:textbox>
                </v:shape>
                <v:group id="组合 119" o:spid="_x0000_s1026" o:spt="203" style="position:absolute;left:528308;top:108500;height:1580607;width:4250071;" coordorigin="5283,1085" coordsize="42500,15806" o:gfxdata="UEsDBAoAAAAAAIdO4kAAAAAAAAAAAAAAAAAEAAAAZHJzL1BLAwQUAAAACACHTuJA+oGLWNUAAAAF&#10;AQAADwAAAGRycy9kb3ducmV2LnhtbE2PT0vDQBDF74LfYRnBm93div9iNkWKeiqCrSDepsk0Cc3O&#10;huw2ab+9oxe9DG94w3u/yRdH36mRhtgGdmBnBhRxGaqWawcfm5ere1AxIVfYBSYHJ4qwKM7Pcsyq&#10;MPE7jetUKwnhmKGDJqU+0zqWDXmMs9ATi7cLg8ck61DrasBJwn2n58bcao8tS0ODPS0bKvfrg3fw&#10;OuH0dG2fx9V+tzx9bW7ePleWnLu8sOYRVKJj+juGH3xBh0KYtuHAVVSdA3kk/U7x7h6sBbUVYewc&#10;dJHr//TFN1BLAwQUAAAACACHTuJAIPySQK8DAADCEwAADgAAAGRycy9lMm9Eb2MueG1s7VjJbtsw&#10;EL0X6D8QvDfaLC9C5KDI1kPRBk37AYxELYBEEiQdO/ceeuz/9HuK/kaH1GLHS5OmrVEg1kEWRXI4&#10;y5s3Yx2fLOoK3VKpSs5i7B25GFGW8LRkeYw/fbx4NcZIacJSUnFGY3xHFT6ZvnxxPBcR9XnBq5RK&#10;BEKYiuYixoXWInIclRS0JuqIC8pgMuOyJhqGMndSSeYgva4c33WHzpzLVEieUKXg7VkziadWfpbR&#10;RL/PMkU1qmIMuml7l/Z+Y+7O9JhEuSSiKJNWDfIELWpSMji0F3VGNEEzWW6IqstEcsUzfZTw2uFZ&#10;VibU2gDWeO6aNZeSz4S1JY/muejdBK5d89OTxSbvbq8kKtMYBx5GjNQQox/fPn//+gV53sS4Zy7y&#10;CFZdSnEtrmT7Im9GxuJFJmvzC7agRYxDfxy4E4zuAA3uOHRbF9OFRglMD3x4NfIxSsyCcOwO3VET&#10;hKSASHUS+v3d3Pnq/pXdZt7plHCMrr1q/eDf+s0fbvhtbLR6gt/WrF76bDBsPRa4ftC55HHu2ti6&#10;01uQgGqJMfVnGLsuiKAWusqgp8UYKN9i7ANkJmF5RZE3tBbNhV3YY0xFCuC2A2A7HAWAm0A0DLQ6&#10;R/XWkkhIpS8pr5F5iLEEDWzKktu3Sjcw6paYYxWvyvSirCo7kPnNaSXRLQEeubBXi7x7yyqG5jGe&#10;hH4IWhCgs6wiGh5rAQmmWG7Pu7dDrQp27bVNsFHsjKiiUcBKaGBQl5pKUJ5EBSXpOUuRvhOQwwzY&#10;FhtlappiVFEgZ/NkV2pSVo9ZCb6rGKSXCU0TDPOkFzcLC28V3fD0DiJLWFJw4NRES4xmQpZ5Af71&#10;rB1mB8DKpMM+8DXYhq+B0cScD0B8GF9BOPChUrT81Xisy0TPD2xoDwB7rgCDxG6K5OuZ5pbkgMDC&#10;FYCdsrZIdjnTFae+QnpDb9QUSD8EurIp2QNs4g+gDhsGs2VxN30pLYlJtFPOGDAZl96vyGz/xPRU&#10;OtKytHVhO3ltp6SGh8CRlqos3SxbgX1Rz6hDxmpps0H8HeoJoV82wR/5bVvUI+NAPc+8tgEyNqmn&#10;bdFtbXuYegbQcQODAcAG0CutUU/bOA2h+plUWvJW1xW1jdOBeZbN0Bbm2U+jAwVkAwyjVbbZAQaU&#10;VaV4Y7oz0zO2/9mWsPDcUWgbNxJ1xBPAUbaj9rxDSdrSTz+6JO0FGAG0rg0w/kYZ8oLxcJ0mDnXo&#10;v61DtumBD0WWvduPWuZL1OrYNknLT2/T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PqBi1jVAAAA&#10;BQEAAA8AAAAAAAAAAQAgAAAAIgAAAGRycy9kb3ducmV2LnhtbFBLAQIUABQAAAAIAIdO4kAg/JJA&#10;rwMAAMITAAAOAAAAAAAAAAEAIAAAACQBAABkcnMvZTJvRG9jLnhtbFBLBQYAAAAABgAGAFkBAABF&#10;BwAAAAA=&#10;">
                  <o:lock v:ext="edit" aspectratio="f"/>
                  <v:group id="组合 118" o:spid="_x0000_s1026" o:spt="203" style="position:absolute;left:5283;top:1085;height:3023;width:42462;" coordorigin="5283,1085" coordsize="42462,3023"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Rectangle 163" o:spid="_x0000_s1026" o:spt="1" style="position:absolute;left:5283;top:1085;height:3023;width:1089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X5MMA&#10;AADcAAAADwAAAGRycy9kb3ducmV2LnhtbERPTWvCQBC9C/0PyxS8iG7soZboKqFUaqmHJvHibchO&#10;s6HZ2ZBdY/rvuwXB2zze52x2o23FQL1vHCtYLhIQxJXTDdcKTuV+/gLCB2SNrWNS8EsedtuHyQZT&#10;7a6c01CEWsQQ9ikqMCF0qZS+MmTRL1xHHLlv11sMEfa11D1eY7ht5VOSPEuLDccGgx29Gqp+iotV&#10;cHZH95Yl9N6Z8iMMsyz//CpypaaPY7YGEWgMd/HNfdBx/nIF/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X5M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目的和范围确定</w:t>
                            </w:r>
                          </w:p>
                        </w:txbxContent>
                      </v:textbox>
                    </v:rect>
                    <v:rect id="Rectangle 164" o:spid="_x0000_s1026" o:spt="1" style="position:absolute;left:35420;top:1085;height:3023;width:1232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DlsYA&#10;AADcAAAADwAAAGRycy9kb3ducmV2LnhtbESPQWvDMAyF74P9B6PBLmN1ukMZad0SxsY22sOS9rKb&#10;iNU4NJZD7KXZv68Ohd4k3tN7n1abyXdqpCG2gQ3MZxko4jrYlhsDh/3H8yuomJAtdoHJwD9F2Kzv&#10;71aY23DmksYqNUpCOOZowKXU51rH2pHHOAs9sWjHMHhMsg6NtgOeJdx3+iX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PDlsYAAADcAAAADwAAAAAAAAAAAAAAAACYAgAAZHJz&#10;L2Rvd25yZXYueG1sUEsFBgAAAAAEAAQA9QAAAIsDAAAAAA==&#10;">
                      <v:fill on="t" focussize="0,0"/>
                      <v:stroke color="#000000" joinstyle="miter"/>
                      <v:imagedata o:title=""/>
                      <o:lock v:ext="edit" aspectratio="f"/>
                      <v:textbox>
                        <w:txbxContent>
                          <w:p>
                            <w:pPr>
                              <w:jc w:val="center"/>
                              <w:rPr>
                                <w:sz w:val="18"/>
                                <w:szCs w:val="18"/>
                              </w:rPr>
                            </w:pPr>
                            <w:r>
                              <w:rPr>
                                <w:rFonts w:hint="eastAsia"/>
                                <w:sz w:val="18"/>
                                <w:szCs w:val="18"/>
                              </w:rPr>
                              <w:t>生命周期清单分析</w:t>
                            </w:r>
                          </w:p>
                        </w:txbxContent>
                      </v:textbox>
                    </v:rect>
                    <v:shape id="AutoShape 165" o:spid="_x0000_s1026" o:spt="32" type="#_x0000_t32" style="position:absolute;left:16179;top:2596;height:7;width:1924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fill on="f" focussize="0,0"/>
                      <v:stroke color="#000000" joinstyle="round" endarrow="block"/>
                      <v:imagedata o:title=""/>
                      <o:lock v:ext="edit" aspectratio="f"/>
                    </v:shape>
                  </v:group>
                  <v:rect id="Rectangle 167" o:spid="_x0000_s1026" o:spt="1" style="position:absolute;left:35458;top:7727;height:3023;width:1232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169" o:spid="_x0000_s1026" o:spt="32" type="#_x0000_t32" style="position:absolute;left:41585;top:4108;height:3620;width:1;"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77" o:spid="_x0000_s1026" o:spt="32" type="#_x0000_t32" style="position:absolute;left:41585;top:10751;flip:x;height:3117;width:3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fill on="f" focussize="0,0"/>
                    <v:stroke color="#000000" joinstyle="round" endarrow="block"/>
                    <v:imagedata o:title=""/>
                    <o:lock v:ext="edit" aspectratio="f"/>
                  </v:shape>
                  <v:rect id="Rectangle 167" o:spid="_x0000_s1026" o:spt="1" style="position:absolute;left:35458;top:13868;height:3023;width:12325;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gtsMA&#10;AADcAAAADwAAAGRycy9kb3ducmV2LnhtbERPTWvCQBC9F/wPywi9FN3EQympawhiqaU9NLEXb0N2&#10;zAazsyG7xvTfdwuCt3m8z1nnk+3ESINvHStIlwkI4trplhsFP4e3xQsIH5A1do5JwS95yDezhzVm&#10;2l25pLEKjYgh7DNUYELoMyl9bciiX7qeOHInN1gMEQ6N1ANeY7jt5CpJnqXFlmODwZ62hupzdbEK&#10;ju7L7YqE3ntz+AjjU1F+flelUo/zqXgFEWgKd/HNvddx/iqF/2fiB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gtsMAAADcAAAADwAAAAAAAAAAAAAAAACYAgAAZHJzL2Rv&#10;d25yZXYueG1sUEsFBgAAAAAEAAQA9QAAAIgDAAAAAA==&#10;">
                    <v:fill on="t" focussize="0,0"/>
                    <v:stroke color="#000000" joinstyle="miter"/>
                    <v:imagedata o:title=""/>
                    <o:lock v:ext="edit" aspectratio="f"/>
                    <v:textbox>
                      <w:txbxContent>
                        <w:p>
                          <w:pPr>
                            <w:jc w:val="center"/>
                            <w:rPr>
                              <w:sz w:val="18"/>
                              <w:szCs w:val="18"/>
                            </w:rPr>
                          </w:pPr>
                          <w:r>
                            <w:rPr>
                              <w:rFonts w:hint="eastAsia"/>
                              <w:sz w:val="18"/>
                              <w:szCs w:val="18"/>
                            </w:rPr>
                            <w:t>生命周期解释</w:t>
                          </w:r>
                        </w:p>
                      </w:txbxContent>
                    </v:textbox>
                  </v:rect>
                </v:group>
                <v:shape id="AutoShape 169" o:spid="_x0000_s1026" o:spt="32" type="#_x0000_t32" style="position:absolute;left:4154770;top:1689107;height:361901;width:100;" filled="f" stroked="t" coordsize="21600,21600" o:gfxdata="UEsDBAoAAAAAAIdO4kAAAAAAAAAAAAAAAAAEAAAAZHJzL1BLAwQUAAAACACHTuJAGoYtRtUAAAAF&#10;AQAADwAAAGRycy9kb3ducmV2LnhtbE2PT0vEMBDF74LfIYzgzU26h+rWpgu6iL0ouCviMduMTbCZ&#10;lCb7z0/v6EUvwxve8N5v6uUxDGKPU/KRNBQzBQKpi9ZTr+F183B1AyJlQ9YMkVDDCRMsm/Oz2lQ2&#10;HugF9+vcCw6hVBkNLuexkjJ1DoNJszgisfcRp2Ayr1Mv7WQOHB4GOVeqlMF44gZnRrx32H2ud0FD&#10;Xr2fXPnW3S388+bxqfRfbduutL68KNQtiIzH/HcMP/iMDg0zbeOObBKDBn4k/072rhdFAWLLQhVz&#10;kE0t/9M331BLAwQUAAAACACHTuJASKcuB9sBAACmAwAADgAAAGRycy9lMm9Eb2MueG1srVPJbtsw&#10;EL0X6D8QvNeSnNixBctBYTe9FK2Bth8w5iIR4AaSsey/75By4i7opagO1JCzvfc43DyejSYnEaJy&#10;tqPNrKZEWOa4sn1Hv397ereiJCawHLSzoqMXEenj9u2bzehbMXeD01wEgkVsbEff0SEl31ZVZIMw&#10;EGfOC4tO6YKBhNvQVzzAiNWNruZ1vaxGF7gPjokY8XQ/Oem21JdSsPRFyigS0R1FbKmsoazHvFbb&#10;DbR9AD8odoUB/4DCgLLY9LXUHhKQ56D+KGUUCy46mWbMmcpJqZgoHJBNU//G5usAXhQuKE70rzLF&#10;/1eWfT4dAlG8o3dzSiwYvKP3z8mV1qRZrrNCo48tBu7sIVx30R9CpnuWweQ/EiHnjt43i/uHB9T5&#10;grOwXK2bejUpLM6JMAxoanQy9N4tm3U9z87qVsWHmD4KZ0g2OhpTANUPaeesxYt0oSkSw+lTTFPi&#10;S0KGoC0ZO7pezBfYAXCUpIaEpvFILtq+5EanFX9SWueMGPrjTgdygjwc5bsC+iUsN9lDHKa44ppI&#10;DQL4B8tJunhUzeJ80wzBCE6JFvgcsoVAoU2g9C0yBQW213+JRj20RVmy6JPM2To6finql3MchiLc&#10;dXDztP28L9m357X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qGLUbVAAAABQEAAA8AAAAAAAAA&#10;AQAgAAAAIgAAAGRycy9kb3ducmV2LnhtbFBLAQIUABQAAAAIAIdO4kBIpy4H2wEAAKYDAAAOAAAA&#10;AAAAAAEAIAAAACQBAABkcnMvZTJvRG9jLnhtbFBLBQYAAAAABgAGAFkBAABxBQAAAAA=&#10;">
                  <v:fill on="f" focussize="0,0"/>
                  <v:stroke color="#000000" joinstyle="round" endarrow="block"/>
                  <v:imagedata o:title=""/>
                  <o:lock v:ext="edit" aspectratio="f"/>
                </v:shape>
                <w10:wrap type="none"/>
                <w10:anchorlock/>
              </v:group>
            </w:pict>
          </mc:Fallback>
        </mc:AlternateContent>
      </w:r>
    </w:p>
    <w:p>
      <w:pPr>
        <w:spacing w:line="360" w:lineRule="auto"/>
        <w:jc w:val="center"/>
        <w:rPr>
          <w:rFonts w:ascii="黑体" w:hAnsi="黑体" w:eastAsia="黑体"/>
          <w:bCs/>
          <w:sz w:val="18"/>
          <w:szCs w:val="15"/>
        </w:rPr>
      </w:pPr>
      <w:r>
        <w:rPr>
          <w:rFonts w:hint="eastAsia" w:ascii="黑体" w:hAnsi="黑体" w:eastAsia="黑体"/>
          <w:bCs/>
          <w:sz w:val="18"/>
          <w:szCs w:val="15"/>
        </w:rPr>
        <w:t>图</w:t>
      </w:r>
      <w:r>
        <w:rPr>
          <w:rFonts w:ascii="黑体" w:hAnsi="黑体" w:eastAsia="黑体"/>
          <w:bCs/>
          <w:sz w:val="18"/>
          <w:szCs w:val="15"/>
        </w:rPr>
        <w:t xml:space="preserve">1  </w:t>
      </w:r>
      <w:r>
        <w:rPr>
          <w:rFonts w:hint="eastAsia" w:ascii="黑体" w:hAnsi="黑体" w:eastAsia="黑体"/>
          <w:bCs/>
          <w:sz w:val="18"/>
          <w:szCs w:val="15"/>
        </w:rPr>
        <w:t>锂绿色设计产品评价流程</w:t>
      </w:r>
    </w:p>
    <w:p>
      <w:pPr>
        <w:widowControl/>
        <w:spacing w:line="360" w:lineRule="auto"/>
        <w:jc w:val="center"/>
        <w:rPr>
          <w:rFonts w:ascii="黑体" w:hAnsi="黑体" w:eastAsia="黑体"/>
          <w:sz w:val="32"/>
          <w:szCs w:val="24"/>
        </w:rPr>
      </w:pPr>
      <w:r>
        <w:rPr>
          <w:rFonts w:ascii="Times New Roman" w:hAnsi="Times New Roman"/>
          <w:sz w:val="24"/>
          <w:szCs w:val="21"/>
        </w:rPr>
        <w:br w:type="page"/>
      </w:r>
      <w:bookmarkStart w:id="7" w:name="_Toc508953218"/>
      <w:r>
        <w:rPr>
          <w:rFonts w:hint="eastAsia" w:ascii="黑体" w:hAnsi="黑体" w:eastAsia="黑体"/>
          <w:sz w:val="32"/>
          <w:szCs w:val="24"/>
        </w:rPr>
        <w:t>附录</w:t>
      </w:r>
      <w:r>
        <w:rPr>
          <w:rFonts w:ascii="黑体" w:hAnsi="黑体" w:eastAsia="黑体"/>
          <w:sz w:val="32"/>
          <w:szCs w:val="24"/>
        </w:rPr>
        <w:t>A</w:t>
      </w:r>
      <w:bookmarkEnd w:id="7"/>
    </w:p>
    <w:p>
      <w:pPr>
        <w:spacing w:line="360" w:lineRule="auto"/>
        <w:jc w:val="center"/>
        <w:rPr>
          <w:rFonts w:ascii="黑体" w:hAnsi="黑体" w:eastAsia="黑体"/>
          <w:sz w:val="32"/>
          <w:szCs w:val="24"/>
        </w:rPr>
      </w:pPr>
      <w:r>
        <w:rPr>
          <w:rFonts w:hint="eastAsia" w:ascii="黑体" w:hAnsi="黑体" w:eastAsia="黑体"/>
          <w:sz w:val="32"/>
          <w:szCs w:val="24"/>
        </w:rPr>
        <w:t>（规范性附录）</w:t>
      </w:r>
    </w:p>
    <w:p>
      <w:pPr>
        <w:spacing w:line="360" w:lineRule="auto"/>
        <w:jc w:val="center"/>
        <w:rPr>
          <w:rFonts w:ascii="黑体" w:hAnsi="黑体" w:eastAsia="黑体"/>
          <w:sz w:val="32"/>
          <w:szCs w:val="24"/>
        </w:rPr>
      </w:pPr>
      <w:r>
        <w:rPr>
          <w:rFonts w:hint="eastAsia" w:ascii="黑体" w:hAnsi="黑体" w:eastAsia="黑体"/>
          <w:sz w:val="32"/>
          <w:szCs w:val="24"/>
        </w:rPr>
        <w:t>评价指标计算方法和检测方法</w:t>
      </w:r>
    </w:p>
    <w:p>
      <w:pPr>
        <w:spacing w:line="360" w:lineRule="auto"/>
        <w:jc w:val="left"/>
        <w:rPr>
          <w:rFonts w:ascii="黑体" w:hAnsi="黑体" w:eastAsia="黑体"/>
          <w:sz w:val="24"/>
          <w:szCs w:val="21"/>
        </w:rPr>
      </w:pPr>
    </w:p>
    <w:p>
      <w:pPr>
        <w:spacing w:line="360" w:lineRule="auto"/>
        <w:jc w:val="left"/>
        <w:rPr>
          <w:rFonts w:ascii="黑体" w:hAnsi="黑体" w:eastAsia="黑体"/>
          <w:szCs w:val="18"/>
        </w:rPr>
      </w:pPr>
      <w:r>
        <w:rPr>
          <w:rFonts w:ascii="黑体" w:hAnsi="黑体" w:eastAsia="黑体"/>
          <w:szCs w:val="18"/>
        </w:rPr>
        <w:t xml:space="preserve">A.1 </w:t>
      </w:r>
      <w:r>
        <w:rPr>
          <w:rFonts w:hint="eastAsia" w:ascii="黑体" w:hAnsi="黑体" w:eastAsia="黑体"/>
          <w:szCs w:val="18"/>
        </w:rPr>
        <w:t>总则</w:t>
      </w:r>
    </w:p>
    <w:p>
      <w:pPr>
        <w:spacing w:line="360" w:lineRule="auto"/>
        <w:ind w:firstLine="420" w:firstLineChars="200"/>
        <w:jc w:val="left"/>
        <w:rPr>
          <w:rFonts w:ascii="Times New Roman" w:hAnsi="Times New Roman"/>
          <w:szCs w:val="18"/>
        </w:rPr>
      </w:pPr>
      <w:r>
        <w:rPr>
          <w:rFonts w:hint="eastAsia" w:ascii="Times New Roman" w:hAnsi="Times New Roman"/>
          <w:szCs w:val="18"/>
        </w:rPr>
        <w:t>本附录</w:t>
      </w:r>
      <w:r>
        <w:rPr>
          <w:rFonts w:ascii="Times New Roman" w:hAnsi="Times New Roman"/>
          <w:szCs w:val="18"/>
        </w:rPr>
        <w:t>A</w:t>
      </w:r>
      <w:r>
        <w:rPr>
          <w:rFonts w:hint="eastAsia" w:ascii="Times New Roman" w:hAnsi="Times New Roman"/>
          <w:szCs w:val="18"/>
        </w:rPr>
        <w:t>适用于锂产品评价指标的计算方法和检测方法。</w:t>
      </w:r>
    </w:p>
    <w:p>
      <w:pPr>
        <w:spacing w:line="360" w:lineRule="auto"/>
        <w:jc w:val="left"/>
        <w:rPr>
          <w:rFonts w:ascii="黑体" w:hAnsi="黑体" w:eastAsia="黑体"/>
          <w:szCs w:val="18"/>
        </w:rPr>
      </w:pPr>
      <w:r>
        <w:rPr>
          <w:rFonts w:ascii="黑体" w:hAnsi="黑体" w:eastAsia="黑体"/>
          <w:szCs w:val="18"/>
        </w:rPr>
        <w:t xml:space="preserve">A.2 </w:t>
      </w:r>
      <w:r>
        <w:rPr>
          <w:rFonts w:hint="eastAsia" w:ascii="黑体" w:hAnsi="黑体" w:eastAsia="黑体"/>
          <w:szCs w:val="18"/>
        </w:rPr>
        <w:t>评价指标计算方法</w:t>
      </w:r>
    </w:p>
    <w:p>
      <w:pPr>
        <w:spacing w:line="360" w:lineRule="auto"/>
        <w:jc w:val="left"/>
        <w:rPr>
          <w:rFonts w:ascii="黑体" w:hAnsi="黑体" w:eastAsia="黑体"/>
          <w:szCs w:val="18"/>
        </w:rPr>
      </w:pPr>
      <w:r>
        <w:rPr>
          <w:rFonts w:ascii="黑体" w:hAnsi="黑体" w:eastAsia="黑体"/>
          <w:szCs w:val="18"/>
        </w:rPr>
        <w:t xml:space="preserve">A.2.1 </w:t>
      </w:r>
      <w:r>
        <w:rPr>
          <w:rFonts w:hint="eastAsia" w:ascii="黑体" w:hAnsi="黑体" w:eastAsia="黑体"/>
          <w:szCs w:val="18"/>
        </w:rPr>
        <w:t>资源消耗指标</w:t>
      </w:r>
    </w:p>
    <w:p>
      <w:pPr>
        <w:spacing w:line="360" w:lineRule="auto"/>
        <w:ind w:firstLine="420" w:firstLineChars="200"/>
        <w:jc w:val="left"/>
        <w:rPr>
          <w:rFonts w:ascii="Times New Roman" w:hAnsi="Times New Roman"/>
          <w:szCs w:val="18"/>
        </w:rPr>
      </w:pPr>
      <w:r>
        <w:rPr>
          <w:rFonts w:hint="eastAsia" w:ascii="Times New Roman" w:hAnsi="Times New Roman"/>
          <w:szCs w:val="18"/>
        </w:rPr>
        <w:t>资源消耗指标（</w:t>
      </w:r>
      <w:r>
        <w:rPr>
          <w:rFonts w:ascii="Times New Roman" w:hAnsi="Times New Roman"/>
          <w:szCs w:val="18"/>
        </w:rPr>
        <w:t>A.1</w:t>
      </w:r>
      <w:r>
        <w:rPr>
          <w:rFonts w:hint="eastAsia" w:ascii="Times New Roman" w:hAnsi="Times New Roman"/>
          <w:szCs w:val="18"/>
        </w:rPr>
        <w:t>）式计算：</w:t>
      </w:r>
    </w:p>
    <w:p>
      <w:pPr>
        <w:spacing w:line="360" w:lineRule="auto"/>
        <w:ind w:firstLine="420" w:firstLineChars="200"/>
        <w:jc w:val="left"/>
        <w:rPr>
          <w:rFonts w:ascii="Times New Roman" w:hAnsi="Times New Roman"/>
          <w:szCs w:val="18"/>
        </w:rPr>
      </w:pPr>
      <w:r>
        <w:rPr>
          <w:rFonts w:ascii="Times New Roman" w:hAnsi="Times New Roman"/>
          <w:szCs w:val="18"/>
        </w:rPr>
        <w:t xml:space="preserve">  </w:t>
      </w:r>
      <w:r>
        <w:rPr>
          <w:rFonts w:ascii="Times New Roman" w:hAnsi="Times New Roman"/>
          <w:szCs w:val="18"/>
        </w:rPr>
        <w:fldChar w:fldCharType="begin"/>
      </w:r>
      <w:r>
        <w:rPr>
          <w:rFonts w:ascii="Times New Roman" w:hAnsi="Times New Roman"/>
          <w:szCs w:val="18"/>
        </w:rPr>
        <w:instrText xml:space="preserve"> QUOTE </w:instrText>
      </w:r>
      <w:r>
        <w:rPr>
          <w:rFonts w:ascii="Times New Roman" w:hAnsi="Times New Roman"/>
          <w:position w:val="-24"/>
          <w:szCs w:val="18"/>
        </w:rPr>
        <w:drawing>
          <wp:inline distT="0" distB="0" distL="114300" distR="114300">
            <wp:extent cx="525780" cy="403860"/>
            <wp:effectExtent l="0" t="0" r="7620" b="0"/>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25780" cy="403860"/>
                    </a:xfrm>
                    <a:prstGeom prst="rect">
                      <a:avLst/>
                    </a:prstGeom>
                    <a:noFill/>
                    <a:ln w="9525">
                      <a:noFill/>
                      <a:miter/>
                    </a:ln>
                  </pic:spPr>
                </pic:pic>
              </a:graphicData>
            </a:graphic>
          </wp:inline>
        </w:drawing>
      </w:r>
      <w:r>
        <w:rPr>
          <w:rFonts w:ascii="Times New Roman" w:hAnsi="Times New Roman"/>
          <w:szCs w:val="18"/>
        </w:rPr>
        <w:instrText xml:space="preserve"> </w:instrText>
      </w:r>
      <w:r>
        <w:rPr>
          <w:rFonts w:ascii="Times New Roman" w:hAnsi="Times New Roman"/>
          <w:szCs w:val="18"/>
        </w:rPr>
        <w:fldChar w:fldCharType="end"/>
      </w:r>
      <w:r>
        <w:rPr>
          <w:rFonts w:hint="eastAsia" w:ascii="Times New Roman" w:hAnsi="Times New Roman"/>
          <w:szCs w:val="18"/>
        </w:rPr>
        <w:t xml:space="preserve">           </w:t>
      </w:r>
      <w:r>
        <w:rPr>
          <w:rFonts w:ascii="Times New Roman" w:hAnsi="Times New Roman"/>
          <w:position w:val="-30"/>
          <w:szCs w:val="18"/>
        </w:rPr>
        <w:object>
          <v:shape id="_x0000_i1026" o:spt="75" type="#_x0000_t75" style="height:34.8pt;width:49.2pt;" o:ole="t" filled="f" o:preferrelative="t" stroked="f" coordsize="21600,21600">
            <v:path/>
            <v:fill on="f" focussize="0,0"/>
            <v:stroke on="f" joinstyle="miter"/>
            <v:imagedata r:id="rId8" o:title=""/>
            <o:lock v:ext="edit" aspectratio="t"/>
            <w10:wrap type="none"/>
            <w10:anchorlock/>
          </v:shape>
          <o:OLEObject Type="Embed" ProgID="Equations" ShapeID="_x0000_i1026" DrawAspect="Content" ObjectID="_1468075725" r:id="rId7">
            <o:LockedField>false</o:LockedField>
          </o:OLEObject>
        </w:object>
      </w:r>
      <w:r>
        <w:rPr>
          <w:rFonts w:hint="eastAsia" w:ascii="Times New Roman" w:hAnsi="Times New Roman"/>
          <w:szCs w:val="18"/>
        </w:rPr>
        <w:t>…………（</w:t>
      </w:r>
      <w:r>
        <w:rPr>
          <w:rFonts w:ascii="Times New Roman" w:hAnsi="Times New Roman"/>
          <w:szCs w:val="18"/>
        </w:rPr>
        <w:t>A.1</w:t>
      </w:r>
      <w:r>
        <w:rPr>
          <w:rFonts w:hint="eastAsia" w:ascii="Times New Roman" w:hAnsi="Times New Roman"/>
          <w:szCs w:val="18"/>
        </w:rPr>
        <w:t>）</w:t>
      </w:r>
    </w:p>
    <w:p>
      <w:pPr>
        <w:spacing w:line="360" w:lineRule="auto"/>
        <w:jc w:val="left"/>
        <w:rPr>
          <w:rFonts w:ascii="Times New Roman" w:hAnsi="Times New Roman"/>
          <w:szCs w:val="18"/>
        </w:rPr>
      </w:pPr>
      <w:r>
        <w:rPr>
          <w:rFonts w:hint="eastAsia" w:ascii="Times New Roman" w:hAnsi="Times New Roman"/>
          <w:szCs w:val="18"/>
        </w:rPr>
        <w:t>式中：</w:t>
      </w:r>
    </w:p>
    <w:p>
      <w:pPr>
        <w:spacing w:line="360" w:lineRule="auto"/>
        <w:ind w:firstLine="420" w:firstLineChars="200"/>
        <w:jc w:val="left"/>
        <w:rPr>
          <w:rFonts w:ascii="Times New Roman" w:hAnsi="Times New Roman"/>
          <w:szCs w:val="18"/>
        </w:rPr>
      </w:pPr>
      <w:r>
        <w:rPr>
          <w:rFonts w:ascii="Times New Roman" w:hAnsi="Times New Roman"/>
          <w:i/>
          <w:szCs w:val="18"/>
        </w:rPr>
        <w:t>R</w:t>
      </w:r>
      <w:r>
        <w:rPr>
          <w:rFonts w:ascii="Times New Roman" w:hAnsi="Times New Roman"/>
          <w:szCs w:val="18"/>
          <w:vertAlign w:val="subscript"/>
        </w:rPr>
        <w:t>i</w:t>
      </w:r>
      <w:r>
        <w:rPr>
          <w:rFonts w:ascii="Times New Roman" w:hAnsi="Times New Roman"/>
          <w:szCs w:val="18"/>
        </w:rPr>
        <w:t>——单位</w:t>
      </w:r>
      <w:r>
        <w:rPr>
          <w:rFonts w:hint="eastAsia" w:ascii="Times New Roman" w:hAnsi="Times New Roman"/>
          <w:szCs w:val="18"/>
        </w:rPr>
        <w:t>锂</w:t>
      </w:r>
      <w:r>
        <w:rPr>
          <w:rFonts w:ascii="Times New Roman" w:hAnsi="Times New Roman"/>
          <w:szCs w:val="18"/>
        </w:rPr>
        <w:t>某种资源消耗指标，单位为公斤每吨、吨每吨、立方米每吨（kg/t、t/t、m</w:t>
      </w:r>
      <w:r>
        <w:rPr>
          <w:rFonts w:ascii="Times New Roman" w:hAnsi="Times New Roman"/>
          <w:szCs w:val="18"/>
          <w:vertAlign w:val="superscript"/>
        </w:rPr>
        <w:t>3</w:t>
      </w:r>
      <w:r>
        <w:rPr>
          <w:rFonts w:ascii="Times New Roman" w:hAnsi="Times New Roman"/>
          <w:szCs w:val="18"/>
        </w:rPr>
        <w:t>/t）。</w:t>
      </w:r>
    </w:p>
    <w:p>
      <w:pPr>
        <w:spacing w:line="360" w:lineRule="auto"/>
        <w:ind w:firstLine="420" w:firstLineChars="200"/>
        <w:jc w:val="left"/>
        <w:rPr>
          <w:rFonts w:ascii="Times New Roman" w:hAnsi="Times New Roman"/>
          <w:szCs w:val="18"/>
        </w:rPr>
      </w:pPr>
      <w:r>
        <w:rPr>
          <w:rFonts w:ascii="Times New Roman" w:hAnsi="Times New Roman"/>
          <w:i/>
          <w:szCs w:val="18"/>
        </w:rPr>
        <w:t>P</w:t>
      </w:r>
      <w:r>
        <w:rPr>
          <w:rFonts w:ascii="Times New Roman" w:hAnsi="Times New Roman"/>
          <w:szCs w:val="18"/>
          <w:vertAlign w:val="subscript"/>
        </w:rPr>
        <w:t xml:space="preserve">Sb </w:t>
      </w:r>
      <w:r>
        <w:rPr>
          <w:rFonts w:ascii="Times New Roman" w:hAnsi="Times New Roman"/>
          <w:szCs w:val="18"/>
        </w:rPr>
        <w:t>——同期产品</w:t>
      </w:r>
      <w:r>
        <w:rPr>
          <w:rFonts w:hint="eastAsia" w:ascii="Times New Roman" w:hAnsi="Times New Roman"/>
          <w:szCs w:val="18"/>
        </w:rPr>
        <w:t>锂</w:t>
      </w:r>
      <w:r>
        <w:rPr>
          <w:rFonts w:ascii="Times New Roman" w:hAnsi="Times New Roman"/>
          <w:szCs w:val="18"/>
        </w:rPr>
        <w:t>的质量，单位为吨（t）。</w:t>
      </w:r>
    </w:p>
    <w:p>
      <w:pPr>
        <w:spacing w:line="360" w:lineRule="auto"/>
        <w:ind w:firstLine="420" w:firstLineChars="200"/>
        <w:jc w:val="left"/>
        <w:rPr>
          <w:rFonts w:ascii="Times New Roman" w:hAnsi="Times New Roman"/>
          <w:szCs w:val="18"/>
        </w:rPr>
      </w:pPr>
      <w:r>
        <w:rPr>
          <w:rFonts w:ascii="Times New Roman" w:hAnsi="Times New Roman"/>
          <w:i/>
          <w:szCs w:val="18"/>
        </w:rPr>
        <w:t>R</w:t>
      </w:r>
      <w:r>
        <w:rPr>
          <w:rFonts w:ascii="Times New Roman" w:hAnsi="Times New Roman"/>
          <w:szCs w:val="18"/>
        </w:rPr>
        <w:t xml:space="preserve"> ——某种资源消耗的总质量，单位为公斤、吨、立方米（kg、t、m</w:t>
      </w:r>
      <w:r>
        <w:rPr>
          <w:rFonts w:ascii="Times New Roman" w:hAnsi="Times New Roman"/>
          <w:szCs w:val="18"/>
          <w:vertAlign w:val="superscript"/>
        </w:rPr>
        <w:t>3</w:t>
      </w:r>
      <w:r>
        <w:rPr>
          <w:rFonts w:ascii="Times New Roman" w:hAnsi="Times New Roman"/>
          <w:szCs w:val="18"/>
        </w:rPr>
        <w:t>）。</w:t>
      </w:r>
    </w:p>
    <w:p>
      <w:pPr>
        <w:spacing w:line="360" w:lineRule="auto"/>
        <w:jc w:val="left"/>
        <w:rPr>
          <w:rFonts w:ascii="黑体" w:hAnsi="黑体" w:eastAsia="黑体"/>
          <w:szCs w:val="18"/>
        </w:rPr>
      </w:pPr>
      <w:r>
        <w:rPr>
          <w:rFonts w:ascii="黑体" w:hAnsi="黑体" w:eastAsia="黑体"/>
          <w:szCs w:val="18"/>
        </w:rPr>
        <w:t xml:space="preserve">A.2.2 </w:t>
      </w:r>
      <w:r>
        <w:rPr>
          <w:rFonts w:hint="eastAsia" w:ascii="黑体" w:hAnsi="黑体" w:eastAsia="黑体"/>
          <w:szCs w:val="18"/>
        </w:rPr>
        <w:t>能源消耗指标</w:t>
      </w:r>
    </w:p>
    <w:p>
      <w:pPr>
        <w:spacing w:line="360" w:lineRule="auto"/>
        <w:ind w:firstLine="420" w:firstLineChars="200"/>
        <w:jc w:val="left"/>
        <w:rPr>
          <w:rFonts w:ascii="Times New Roman" w:hAnsi="Times New Roman"/>
          <w:szCs w:val="18"/>
        </w:rPr>
      </w:pPr>
      <w:r>
        <w:rPr>
          <w:rFonts w:hint="eastAsia" w:ascii="Times New Roman" w:hAnsi="Times New Roman"/>
          <w:szCs w:val="18"/>
        </w:rPr>
        <w:t>能源消耗按照（</w:t>
      </w:r>
      <w:r>
        <w:rPr>
          <w:rFonts w:ascii="Times New Roman" w:hAnsi="Times New Roman"/>
          <w:szCs w:val="18"/>
        </w:rPr>
        <w:t>A.2</w:t>
      </w:r>
      <w:r>
        <w:rPr>
          <w:rFonts w:hint="eastAsia" w:ascii="Times New Roman" w:hAnsi="Times New Roman"/>
          <w:szCs w:val="18"/>
        </w:rPr>
        <w:t>）式计算：</w:t>
      </w:r>
    </w:p>
    <w:p>
      <w:pPr>
        <w:spacing w:line="360" w:lineRule="auto"/>
        <w:ind w:firstLine="420" w:firstLineChars="200"/>
        <w:jc w:val="left"/>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QUOTE </w:instrText>
      </w:r>
      <w:r>
        <w:rPr>
          <w:rFonts w:ascii="Times New Roman" w:hAnsi="Times New Roman"/>
          <w:position w:val="-24"/>
          <w:szCs w:val="18"/>
        </w:rPr>
        <w:drawing>
          <wp:inline distT="0" distB="0" distL="114300" distR="114300">
            <wp:extent cx="518160" cy="403860"/>
            <wp:effectExtent l="0" t="0" r="15240" b="0"/>
            <wp:docPr id="8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18160" cy="403860"/>
                    </a:xfrm>
                    <a:prstGeom prst="rect">
                      <a:avLst/>
                    </a:prstGeom>
                    <a:noFill/>
                    <a:ln w="9525">
                      <a:noFill/>
                      <a:miter/>
                    </a:ln>
                  </pic:spPr>
                </pic:pic>
              </a:graphicData>
            </a:graphic>
          </wp:inline>
        </w:drawing>
      </w:r>
      <w:r>
        <w:rPr>
          <w:rFonts w:ascii="Times New Roman" w:hAnsi="Times New Roman"/>
          <w:szCs w:val="18"/>
        </w:rPr>
        <w:instrText xml:space="preserve"> </w:instrText>
      </w:r>
      <w:r>
        <w:rPr>
          <w:rFonts w:ascii="Times New Roman" w:hAnsi="Times New Roman"/>
          <w:szCs w:val="18"/>
        </w:rPr>
        <w:fldChar w:fldCharType="end"/>
      </w:r>
      <w:r>
        <w:rPr>
          <w:rFonts w:hint="eastAsia" w:ascii="Times New Roman" w:hAnsi="Times New Roman"/>
          <w:szCs w:val="18"/>
        </w:rPr>
        <w:t xml:space="preserve">        </w:t>
      </w:r>
      <w:r>
        <w:rPr>
          <w:rFonts w:ascii="Times New Roman" w:hAnsi="Times New Roman"/>
          <w:position w:val="-30"/>
          <w:szCs w:val="18"/>
        </w:rPr>
        <w:object>
          <v:shape id="_x0000_i1028" o:spt="75" type="#_x0000_t75" style="height:34.8pt;width:49.8pt;" o:ole="t" filled="f" o:preferrelative="t" stroked="f" coordsize="21600,21600">
            <v:path/>
            <v:fill on="f" focussize="0,0"/>
            <v:stroke on="f" joinstyle="miter"/>
            <v:imagedata r:id="rId11" o:title=""/>
            <o:lock v:ext="edit" aspectratio="t"/>
            <w10:wrap type="none"/>
            <w10:anchorlock/>
          </v:shape>
          <o:OLEObject Type="Embed" ProgID="Equations" ShapeID="_x0000_i1028" DrawAspect="Content" ObjectID="_1468075726" r:id="rId10">
            <o:LockedField>false</o:LockedField>
          </o:OLEObject>
        </w:object>
      </w:r>
      <w:r>
        <w:rPr>
          <w:rFonts w:ascii="Times New Roman" w:hAnsi="Times New Roman"/>
          <w:szCs w:val="18"/>
        </w:rPr>
        <w:fldChar w:fldCharType="begin"/>
      </w:r>
      <w:r>
        <w:rPr>
          <w:rFonts w:ascii="Times New Roman" w:hAnsi="Times New Roman"/>
          <w:szCs w:val="18"/>
        </w:rPr>
        <w:instrText xml:space="preserve"> QUOTE  </w:instrText>
      </w:r>
      <w:r>
        <w:rPr>
          <w:rFonts w:ascii="Times New Roman" w:hAnsi="Times New Roman"/>
          <w:szCs w:val="18"/>
        </w:rPr>
        <w:fldChar w:fldCharType="end"/>
      </w:r>
      <w:r>
        <w:rPr>
          <w:rFonts w:hint="eastAsia" w:ascii="Times New Roman" w:hAnsi="Times New Roman"/>
          <w:szCs w:val="18"/>
        </w:rPr>
        <w:t>…………（</w:t>
      </w:r>
      <w:r>
        <w:rPr>
          <w:rFonts w:ascii="Times New Roman" w:hAnsi="Times New Roman"/>
          <w:szCs w:val="18"/>
        </w:rPr>
        <w:t>A.2</w:t>
      </w:r>
      <w:r>
        <w:rPr>
          <w:rFonts w:hint="eastAsia" w:ascii="Times New Roman" w:hAnsi="Times New Roman"/>
          <w:szCs w:val="18"/>
        </w:rPr>
        <w:t>）</w:t>
      </w:r>
    </w:p>
    <w:p>
      <w:pPr>
        <w:spacing w:line="360" w:lineRule="auto"/>
        <w:jc w:val="left"/>
        <w:rPr>
          <w:rFonts w:ascii="Times New Roman" w:hAnsi="Times New Roman"/>
          <w:szCs w:val="18"/>
        </w:rPr>
      </w:pPr>
      <w:r>
        <w:rPr>
          <w:rFonts w:hint="eastAsia" w:ascii="Times New Roman" w:hAnsi="Times New Roman"/>
          <w:szCs w:val="18"/>
        </w:rPr>
        <w:t>式中：</w:t>
      </w:r>
    </w:p>
    <w:p>
      <w:pPr>
        <w:spacing w:line="360" w:lineRule="auto"/>
        <w:ind w:firstLine="420" w:firstLineChars="200"/>
        <w:jc w:val="left"/>
        <w:rPr>
          <w:rFonts w:ascii="Times New Roman" w:hAnsi="Times New Roman"/>
          <w:szCs w:val="18"/>
        </w:rPr>
      </w:pPr>
      <w:r>
        <w:rPr>
          <w:rFonts w:ascii="Times New Roman" w:hAnsi="Times New Roman"/>
          <w:i/>
          <w:szCs w:val="18"/>
        </w:rPr>
        <w:t>E</w:t>
      </w:r>
      <w:r>
        <w:rPr>
          <w:rFonts w:ascii="Times New Roman" w:hAnsi="Times New Roman"/>
          <w:szCs w:val="18"/>
          <w:vertAlign w:val="subscript"/>
        </w:rPr>
        <w:t xml:space="preserve">i </w:t>
      </w:r>
      <w:r>
        <w:rPr>
          <w:rFonts w:ascii="Times New Roman" w:hAnsi="Times New Roman"/>
          <w:szCs w:val="18"/>
        </w:rPr>
        <w:t>——单位</w:t>
      </w:r>
      <w:r>
        <w:rPr>
          <w:rFonts w:hint="eastAsia" w:ascii="Times New Roman" w:hAnsi="Times New Roman"/>
          <w:szCs w:val="18"/>
        </w:rPr>
        <w:t>锂</w:t>
      </w:r>
      <w:r>
        <w:rPr>
          <w:rFonts w:ascii="Times New Roman" w:hAnsi="Times New Roman"/>
          <w:szCs w:val="18"/>
        </w:rPr>
        <w:t>某种能源消耗指标，单位为公斤每吨、千瓦时每吨（kg/t、t/t）。</w:t>
      </w:r>
    </w:p>
    <w:p>
      <w:pPr>
        <w:spacing w:line="360" w:lineRule="auto"/>
        <w:ind w:firstLine="420" w:firstLineChars="200"/>
        <w:jc w:val="left"/>
        <w:rPr>
          <w:rFonts w:ascii="Times New Roman" w:hAnsi="Times New Roman"/>
          <w:szCs w:val="18"/>
        </w:rPr>
      </w:pPr>
      <w:r>
        <w:rPr>
          <w:rFonts w:ascii="Times New Roman" w:hAnsi="Times New Roman"/>
          <w:i/>
          <w:szCs w:val="18"/>
        </w:rPr>
        <w:t>P</w:t>
      </w:r>
      <w:r>
        <w:rPr>
          <w:rFonts w:ascii="Times New Roman" w:hAnsi="Times New Roman"/>
          <w:szCs w:val="18"/>
          <w:vertAlign w:val="subscript"/>
        </w:rPr>
        <w:t xml:space="preserve">Sb </w:t>
      </w:r>
      <w:r>
        <w:rPr>
          <w:rFonts w:ascii="Times New Roman" w:hAnsi="Times New Roman"/>
          <w:szCs w:val="18"/>
        </w:rPr>
        <w:t>——同期产品</w:t>
      </w:r>
      <w:r>
        <w:rPr>
          <w:rFonts w:hint="eastAsia" w:ascii="Times New Roman" w:hAnsi="Times New Roman"/>
          <w:szCs w:val="18"/>
        </w:rPr>
        <w:t>锂</w:t>
      </w:r>
      <w:r>
        <w:rPr>
          <w:rFonts w:ascii="Times New Roman" w:hAnsi="Times New Roman"/>
          <w:szCs w:val="18"/>
        </w:rPr>
        <w:t>的质量，单位为吨（t）。</w:t>
      </w:r>
    </w:p>
    <w:p>
      <w:pPr>
        <w:spacing w:line="360" w:lineRule="auto"/>
        <w:ind w:firstLine="420" w:firstLineChars="200"/>
        <w:jc w:val="left"/>
        <w:rPr>
          <w:rFonts w:ascii="Times New Roman" w:hAnsi="Times New Roman"/>
          <w:szCs w:val="18"/>
        </w:rPr>
      </w:pPr>
      <w:r>
        <w:rPr>
          <w:rFonts w:ascii="Times New Roman" w:hAnsi="Times New Roman"/>
          <w:i/>
          <w:szCs w:val="18"/>
        </w:rPr>
        <w:t>E</w:t>
      </w:r>
      <w:r>
        <w:rPr>
          <w:rFonts w:ascii="Times New Roman" w:hAnsi="Times New Roman"/>
          <w:szCs w:val="18"/>
        </w:rPr>
        <w:t xml:space="preserve"> ——某种能源消耗的总量，单位为公斤、千瓦时（kg、kwh）。</w:t>
      </w:r>
    </w:p>
    <w:p>
      <w:pPr>
        <w:spacing w:line="360" w:lineRule="auto"/>
        <w:jc w:val="left"/>
        <w:rPr>
          <w:rFonts w:ascii="黑体" w:hAnsi="黑体" w:eastAsia="黑体"/>
          <w:szCs w:val="18"/>
        </w:rPr>
      </w:pPr>
      <w:r>
        <w:rPr>
          <w:rFonts w:ascii="黑体" w:hAnsi="黑体" w:eastAsia="黑体"/>
          <w:szCs w:val="18"/>
        </w:rPr>
        <w:t xml:space="preserve">A.2.3 </w:t>
      </w:r>
      <w:r>
        <w:rPr>
          <w:rFonts w:hint="eastAsia" w:ascii="黑体" w:hAnsi="黑体" w:eastAsia="黑体"/>
          <w:szCs w:val="18"/>
        </w:rPr>
        <w:t>污染物环境排放指标</w:t>
      </w:r>
    </w:p>
    <w:p>
      <w:pPr>
        <w:spacing w:line="360" w:lineRule="auto"/>
        <w:ind w:firstLine="420" w:firstLineChars="200"/>
        <w:jc w:val="left"/>
        <w:rPr>
          <w:rFonts w:ascii="Times New Roman" w:hAnsi="Times New Roman"/>
          <w:szCs w:val="18"/>
        </w:rPr>
      </w:pPr>
      <w:r>
        <w:rPr>
          <w:rFonts w:hint="eastAsia" w:ascii="Times New Roman" w:hAnsi="Times New Roman"/>
          <w:szCs w:val="18"/>
        </w:rPr>
        <w:t>污染物环境排放污染物排放量按照（</w:t>
      </w:r>
      <w:r>
        <w:rPr>
          <w:rFonts w:ascii="Times New Roman" w:hAnsi="Times New Roman"/>
          <w:szCs w:val="18"/>
        </w:rPr>
        <w:t>A.3</w:t>
      </w:r>
      <w:r>
        <w:rPr>
          <w:rFonts w:hint="eastAsia" w:ascii="Times New Roman" w:hAnsi="Times New Roman"/>
          <w:szCs w:val="18"/>
        </w:rPr>
        <w:t>）式计算：</w:t>
      </w:r>
    </w:p>
    <w:p>
      <w:pPr>
        <w:spacing w:line="360" w:lineRule="auto"/>
        <w:ind w:firstLine="420" w:firstLineChars="200"/>
        <w:jc w:val="left"/>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QUOTE </w:instrText>
      </w:r>
      <w:r>
        <w:rPr>
          <w:rFonts w:ascii="Times New Roman" w:hAnsi="Times New Roman"/>
          <w:position w:val="-24"/>
          <w:szCs w:val="18"/>
        </w:rPr>
        <w:drawing>
          <wp:inline distT="0" distB="0" distL="114300" distR="114300">
            <wp:extent cx="548640" cy="403860"/>
            <wp:effectExtent l="0" t="0" r="3810" b="0"/>
            <wp:docPr id="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48640" cy="403860"/>
                    </a:xfrm>
                    <a:prstGeom prst="rect">
                      <a:avLst/>
                    </a:prstGeom>
                    <a:noFill/>
                    <a:ln w="9525">
                      <a:noFill/>
                      <a:miter/>
                    </a:ln>
                  </pic:spPr>
                </pic:pic>
              </a:graphicData>
            </a:graphic>
          </wp:inline>
        </w:drawing>
      </w:r>
      <w:r>
        <w:rPr>
          <w:rFonts w:ascii="Times New Roman" w:hAnsi="Times New Roman"/>
          <w:szCs w:val="18"/>
        </w:rPr>
        <w:instrText xml:space="preserve"> </w:instrText>
      </w:r>
      <w:r>
        <w:rPr>
          <w:rFonts w:ascii="Times New Roman" w:hAnsi="Times New Roman"/>
          <w:szCs w:val="18"/>
        </w:rPr>
        <w:fldChar w:fldCharType="end"/>
      </w:r>
      <w:r>
        <w:rPr>
          <w:rFonts w:hint="eastAsia" w:ascii="Times New Roman" w:hAnsi="Times New Roman"/>
          <w:szCs w:val="18"/>
        </w:rPr>
        <w:t xml:space="preserve">    </w:t>
      </w:r>
      <w:r>
        <w:rPr>
          <w:rFonts w:ascii="Times New Roman" w:hAnsi="Times New Roman"/>
          <w:position w:val="-30"/>
          <w:szCs w:val="18"/>
        </w:rPr>
        <w:object>
          <v:shape id="_x0000_i1030" o:spt="75" type="#_x0000_t75" style="height:34.8pt;width:48pt;" o:ole="t" filled="f" o:preferrelative="t" stroked="f" coordsize="21600,21600">
            <v:path/>
            <v:fill on="f" focussize="0,0"/>
            <v:stroke on="f" joinstyle="miter"/>
            <v:imagedata r:id="rId14" o:title=""/>
            <o:lock v:ext="edit" aspectratio="t"/>
            <w10:wrap type="none"/>
            <w10:anchorlock/>
          </v:shape>
          <o:OLEObject Type="Embed" ProgID="Equations" ShapeID="_x0000_i1030" DrawAspect="Content" ObjectID="_1468075727" r:id="rId13">
            <o:LockedField>false</o:LockedField>
          </o:OLEObject>
        </w:object>
      </w:r>
      <w:r>
        <w:rPr>
          <w:rFonts w:hint="eastAsia" w:ascii="Times New Roman" w:hAnsi="Times New Roman"/>
          <w:szCs w:val="18"/>
        </w:rPr>
        <w:t>…………（</w:t>
      </w:r>
      <w:r>
        <w:rPr>
          <w:rFonts w:ascii="Times New Roman" w:hAnsi="Times New Roman"/>
          <w:szCs w:val="18"/>
        </w:rPr>
        <w:t>A.3</w:t>
      </w:r>
      <w:r>
        <w:rPr>
          <w:rFonts w:hint="eastAsia" w:ascii="Times New Roman" w:hAnsi="Times New Roman"/>
          <w:szCs w:val="18"/>
        </w:rPr>
        <w:t>）</w:t>
      </w:r>
    </w:p>
    <w:p>
      <w:pPr>
        <w:spacing w:line="360" w:lineRule="auto"/>
        <w:jc w:val="left"/>
        <w:rPr>
          <w:rFonts w:ascii="Times New Roman" w:hAnsi="Times New Roman"/>
          <w:szCs w:val="18"/>
        </w:rPr>
      </w:pPr>
      <w:r>
        <w:rPr>
          <w:rFonts w:hint="eastAsia" w:ascii="Times New Roman" w:hAnsi="Times New Roman"/>
          <w:szCs w:val="18"/>
        </w:rPr>
        <w:t>式中：</w:t>
      </w:r>
    </w:p>
    <w:p>
      <w:pPr>
        <w:spacing w:line="360" w:lineRule="auto"/>
        <w:ind w:firstLine="420" w:firstLineChars="200"/>
        <w:jc w:val="left"/>
        <w:rPr>
          <w:rFonts w:ascii="Times New Roman" w:hAnsi="Times New Roman"/>
          <w:szCs w:val="18"/>
        </w:rPr>
      </w:pPr>
      <w:r>
        <w:rPr>
          <w:rFonts w:ascii="Times New Roman" w:hAnsi="Times New Roman"/>
          <w:i/>
          <w:szCs w:val="18"/>
        </w:rPr>
        <w:t>W</w:t>
      </w:r>
      <w:r>
        <w:rPr>
          <w:rFonts w:ascii="Times New Roman" w:hAnsi="Times New Roman"/>
          <w:szCs w:val="18"/>
          <w:vertAlign w:val="subscript"/>
        </w:rPr>
        <w:t>i</w:t>
      </w:r>
      <w:r>
        <w:rPr>
          <w:rFonts w:ascii="Times New Roman" w:hAnsi="Times New Roman"/>
          <w:szCs w:val="18"/>
        </w:rPr>
        <w:t xml:space="preserve">  ——单位</w:t>
      </w:r>
      <w:r>
        <w:rPr>
          <w:rFonts w:hint="eastAsia" w:ascii="Times New Roman" w:hAnsi="Times New Roman"/>
          <w:szCs w:val="18"/>
        </w:rPr>
        <w:t>锂</w:t>
      </w:r>
      <w:r>
        <w:rPr>
          <w:rFonts w:ascii="Times New Roman" w:hAnsi="Times New Roman"/>
          <w:szCs w:val="18"/>
        </w:rPr>
        <w:t>向环境排放的第i种污染物的量，单位为克/吨（g/t）、千克/吨（kg/t）。</w:t>
      </w:r>
    </w:p>
    <w:p>
      <w:pPr>
        <w:spacing w:line="360" w:lineRule="auto"/>
        <w:ind w:firstLine="420" w:firstLineChars="200"/>
        <w:jc w:val="left"/>
        <w:rPr>
          <w:rFonts w:ascii="Times New Roman" w:hAnsi="Times New Roman"/>
          <w:szCs w:val="18"/>
        </w:rPr>
      </w:pPr>
      <w:r>
        <w:rPr>
          <w:rFonts w:ascii="Times New Roman" w:hAnsi="Times New Roman"/>
          <w:i/>
          <w:szCs w:val="18"/>
        </w:rPr>
        <w:t>D</w:t>
      </w:r>
      <w:r>
        <w:rPr>
          <w:rFonts w:ascii="Times New Roman" w:hAnsi="Times New Roman"/>
          <w:szCs w:val="18"/>
          <w:vertAlign w:val="subscript"/>
        </w:rPr>
        <w:t>i</w:t>
      </w:r>
      <w:r>
        <w:rPr>
          <w:rFonts w:ascii="Times New Roman" w:hAnsi="Times New Roman"/>
          <w:szCs w:val="18"/>
        </w:rPr>
        <w:t xml:space="preserve">  </w:t>
      </w:r>
      <w:r>
        <w:rPr>
          <w:rFonts w:ascii="Times New Roman" w:hAnsi="Times New Roman"/>
          <w:szCs w:val="18"/>
          <w:vertAlign w:val="subscript"/>
        </w:rPr>
        <w:t xml:space="preserve">  </w:t>
      </w:r>
      <w:r>
        <w:rPr>
          <w:rFonts w:ascii="Times New Roman" w:hAnsi="Times New Roman"/>
          <w:szCs w:val="18"/>
        </w:rPr>
        <w:t>——向环境排放的第i种污染物的总量，单位为克（g）、千克（kg）。</w:t>
      </w:r>
    </w:p>
    <w:p>
      <w:pPr>
        <w:spacing w:line="360" w:lineRule="auto"/>
        <w:ind w:firstLine="420" w:firstLineChars="200"/>
        <w:jc w:val="left"/>
        <w:rPr>
          <w:rFonts w:ascii="Times New Roman" w:hAnsi="Times New Roman"/>
          <w:szCs w:val="18"/>
        </w:rPr>
      </w:pPr>
      <w:r>
        <w:rPr>
          <w:rFonts w:ascii="Times New Roman" w:hAnsi="Times New Roman"/>
          <w:i/>
          <w:szCs w:val="18"/>
        </w:rPr>
        <w:t>P</w:t>
      </w:r>
      <w:r>
        <w:rPr>
          <w:rFonts w:ascii="Times New Roman" w:hAnsi="Times New Roman"/>
          <w:szCs w:val="18"/>
          <w:vertAlign w:val="subscript"/>
        </w:rPr>
        <w:t>Sb</w:t>
      </w:r>
      <w:r>
        <w:rPr>
          <w:rFonts w:ascii="Times New Roman" w:hAnsi="Times New Roman"/>
          <w:szCs w:val="18"/>
        </w:rPr>
        <w:t xml:space="preserve">   ——同期产品</w:t>
      </w:r>
      <w:r>
        <w:rPr>
          <w:rFonts w:hint="eastAsia" w:ascii="Times New Roman" w:hAnsi="Times New Roman"/>
          <w:szCs w:val="18"/>
        </w:rPr>
        <w:t>锂</w:t>
      </w:r>
      <w:r>
        <w:rPr>
          <w:rFonts w:ascii="Times New Roman" w:hAnsi="Times New Roman"/>
          <w:szCs w:val="18"/>
        </w:rPr>
        <w:t>的质量，单位为吨（t）。</w:t>
      </w:r>
    </w:p>
    <w:p>
      <w:pPr>
        <w:spacing w:line="360" w:lineRule="auto"/>
        <w:jc w:val="left"/>
        <w:rPr>
          <w:rFonts w:ascii="黑体" w:hAnsi="黑体" w:eastAsia="黑体"/>
          <w:szCs w:val="18"/>
        </w:rPr>
      </w:pPr>
      <w:r>
        <w:rPr>
          <w:rFonts w:ascii="黑体" w:hAnsi="黑体" w:eastAsia="黑体"/>
          <w:szCs w:val="18"/>
        </w:rPr>
        <w:t xml:space="preserve">A.2.4 </w:t>
      </w:r>
      <w:r>
        <w:rPr>
          <w:rFonts w:hint="eastAsia" w:ascii="黑体" w:hAnsi="黑体" w:eastAsia="黑体"/>
          <w:szCs w:val="18"/>
        </w:rPr>
        <w:t>产品属性指标</w:t>
      </w:r>
    </w:p>
    <w:p>
      <w:pPr>
        <w:spacing w:line="360" w:lineRule="auto"/>
        <w:ind w:firstLine="420" w:firstLineChars="200"/>
        <w:jc w:val="left"/>
        <w:rPr>
          <w:rFonts w:ascii="Times New Roman" w:hAnsi="Times New Roman"/>
          <w:szCs w:val="18"/>
        </w:rPr>
      </w:pPr>
      <w:r>
        <w:rPr>
          <w:rFonts w:hint="eastAsia" w:ascii="Times New Roman" w:hAnsi="Times New Roman"/>
          <w:szCs w:val="18"/>
        </w:rPr>
        <w:t>锂产品携带的有害物质指标按照（</w:t>
      </w:r>
      <w:r>
        <w:rPr>
          <w:rFonts w:ascii="Times New Roman" w:hAnsi="Times New Roman"/>
          <w:szCs w:val="18"/>
        </w:rPr>
        <w:t>A.4</w:t>
      </w:r>
      <w:r>
        <w:rPr>
          <w:rFonts w:hint="eastAsia" w:ascii="Times New Roman" w:hAnsi="Times New Roman"/>
          <w:szCs w:val="18"/>
        </w:rPr>
        <w:t>）式计算：</w:t>
      </w:r>
    </w:p>
    <w:p>
      <w:pPr>
        <w:spacing w:line="360" w:lineRule="auto"/>
        <w:ind w:firstLine="420" w:firstLineChars="200"/>
        <w:jc w:val="left"/>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 QUOTE </w:instrText>
      </w:r>
      <w:r>
        <w:rPr>
          <w:rFonts w:ascii="Times New Roman" w:hAnsi="Times New Roman"/>
          <w:position w:val="-24"/>
          <w:szCs w:val="18"/>
        </w:rPr>
        <w:drawing>
          <wp:inline distT="0" distB="0" distL="114300" distR="114300">
            <wp:extent cx="547370" cy="401955"/>
            <wp:effectExtent l="0" t="0" r="508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47370" cy="401955"/>
                    </a:xfrm>
                    <a:prstGeom prst="rect">
                      <a:avLst/>
                    </a:prstGeom>
                    <a:noFill/>
                    <a:ln w="9525">
                      <a:noFill/>
                      <a:miter/>
                    </a:ln>
                  </pic:spPr>
                </pic:pic>
              </a:graphicData>
            </a:graphic>
          </wp:inline>
        </w:drawing>
      </w:r>
      <w:r>
        <w:rPr>
          <w:rFonts w:ascii="Times New Roman" w:hAnsi="Times New Roman"/>
          <w:szCs w:val="18"/>
        </w:rPr>
        <w:instrText xml:space="preserve"> </w:instrText>
      </w:r>
      <w:r>
        <w:rPr>
          <w:rFonts w:ascii="Times New Roman" w:hAnsi="Times New Roman"/>
          <w:szCs w:val="18"/>
        </w:rPr>
        <w:fldChar w:fldCharType="end"/>
      </w:r>
      <w:r>
        <w:rPr>
          <w:rFonts w:ascii="Times New Roman" w:hAnsi="Times New Roman"/>
          <w:position w:val="-30"/>
          <w:szCs w:val="18"/>
        </w:rPr>
        <w:object>
          <v:shape id="_x0000_i1032" o:spt="75" type="#_x0000_t75" style="height:34.9pt;width:48pt;" o:ole="t" filled="f" o:preferrelative="t" stroked="f" coordsize="21600,21600">
            <v:path/>
            <v:fill on="f" focussize="0,0"/>
            <v:stroke on="f" joinstyle="miter"/>
            <v:imagedata r:id="rId16" o:title=""/>
            <o:lock v:ext="edit" aspectratio="t"/>
            <w10:wrap type="none"/>
            <w10:anchorlock/>
          </v:shape>
          <o:OLEObject Type="Embed" ProgID="Equations" ShapeID="_x0000_i1032" DrawAspect="Content" ObjectID="_1468075728" r:id="rId15">
            <o:LockedField>false</o:LockedField>
          </o:OLEObject>
        </w:object>
      </w:r>
      <w:r>
        <w:rPr>
          <w:rFonts w:hint="eastAsia" w:ascii="Times New Roman" w:hAnsi="Times New Roman"/>
          <w:szCs w:val="18"/>
        </w:rPr>
        <w:t>…………（</w:t>
      </w:r>
      <w:r>
        <w:rPr>
          <w:rFonts w:ascii="Times New Roman" w:hAnsi="Times New Roman"/>
          <w:szCs w:val="18"/>
        </w:rPr>
        <w:t>A.4</w:t>
      </w:r>
      <w:r>
        <w:rPr>
          <w:rFonts w:hint="eastAsia" w:ascii="Times New Roman" w:hAnsi="Times New Roman"/>
          <w:szCs w:val="18"/>
        </w:rPr>
        <w:t>）</w:t>
      </w:r>
    </w:p>
    <w:p>
      <w:pPr>
        <w:spacing w:line="360" w:lineRule="auto"/>
        <w:jc w:val="left"/>
        <w:rPr>
          <w:rFonts w:ascii="Times New Roman" w:hAnsi="Times New Roman"/>
          <w:szCs w:val="18"/>
        </w:rPr>
      </w:pPr>
      <w:r>
        <w:rPr>
          <w:rFonts w:hint="eastAsia" w:ascii="Times New Roman" w:hAnsi="Times New Roman"/>
          <w:szCs w:val="18"/>
        </w:rPr>
        <w:t>式中：</w:t>
      </w:r>
    </w:p>
    <w:p>
      <w:pPr>
        <w:spacing w:line="360" w:lineRule="auto"/>
        <w:ind w:firstLine="420" w:firstLineChars="200"/>
        <w:jc w:val="left"/>
        <w:rPr>
          <w:rFonts w:ascii="Times New Roman" w:hAnsi="Times New Roman"/>
          <w:szCs w:val="18"/>
        </w:rPr>
      </w:pPr>
      <w:r>
        <w:rPr>
          <w:rFonts w:ascii="Times New Roman" w:hAnsi="Times New Roman"/>
          <w:i/>
          <w:szCs w:val="18"/>
        </w:rPr>
        <w:t>W</w:t>
      </w:r>
      <w:r>
        <w:rPr>
          <w:rFonts w:ascii="Times New Roman" w:hAnsi="Times New Roman"/>
          <w:szCs w:val="18"/>
          <w:vertAlign w:val="subscript"/>
        </w:rPr>
        <w:t>i</w:t>
      </w:r>
      <w:r>
        <w:rPr>
          <w:rFonts w:ascii="Times New Roman" w:hAnsi="Times New Roman"/>
          <w:szCs w:val="18"/>
        </w:rPr>
        <w:t xml:space="preserve">  ——单位</w:t>
      </w:r>
      <w:r>
        <w:rPr>
          <w:rFonts w:hint="eastAsia" w:ascii="Times New Roman" w:hAnsi="Times New Roman"/>
          <w:szCs w:val="18"/>
        </w:rPr>
        <w:t>锂</w:t>
      </w:r>
      <w:r>
        <w:rPr>
          <w:rFonts w:ascii="Times New Roman" w:hAnsi="Times New Roman"/>
          <w:szCs w:val="18"/>
        </w:rPr>
        <w:t>携带的有害物质的量，单位为克/吨（g/t）。</w:t>
      </w:r>
    </w:p>
    <w:p>
      <w:pPr>
        <w:spacing w:line="360" w:lineRule="auto"/>
        <w:ind w:firstLine="420" w:firstLineChars="200"/>
        <w:jc w:val="left"/>
        <w:rPr>
          <w:rFonts w:ascii="Times New Roman" w:hAnsi="Times New Roman"/>
          <w:szCs w:val="18"/>
        </w:rPr>
      </w:pPr>
      <w:r>
        <w:rPr>
          <w:rFonts w:ascii="Times New Roman" w:hAnsi="Times New Roman"/>
          <w:i/>
          <w:szCs w:val="18"/>
        </w:rPr>
        <w:t>D</w:t>
      </w:r>
      <w:r>
        <w:rPr>
          <w:rFonts w:ascii="Times New Roman" w:hAnsi="Times New Roman"/>
          <w:szCs w:val="18"/>
          <w:vertAlign w:val="subscript"/>
        </w:rPr>
        <w:t>i</w:t>
      </w:r>
      <w:r>
        <w:rPr>
          <w:rFonts w:ascii="Times New Roman" w:hAnsi="Times New Roman"/>
          <w:szCs w:val="18"/>
        </w:rPr>
        <w:t xml:space="preserve">  </w:t>
      </w:r>
      <w:r>
        <w:rPr>
          <w:rFonts w:ascii="Times New Roman" w:hAnsi="Times New Roman"/>
          <w:szCs w:val="18"/>
          <w:vertAlign w:val="subscript"/>
        </w:rPr>
        <w:t xml:space="preserve">  </w:t>
      </w:r>
      <w:r>
        <w:rPr>
          <w:rFonts w:ascii="Times New Roman" w:hAnsi="Times New Roman"/>
          <w:szCs w:val="18"/>
        </w:rPr>
        <w:t>——产品</w:t>
      </w:r>
      <w:r>
        <w:rPr>
          <w:rFonts w:hint="eastAsia" w:ascii="Times New Roman" w:hAnsi="Times New Roman"/>
          <w:szCs w:val="18"/>
        </w:rPr>
        <w:t>锂</w:t>
      </w:r>
      <w:r>
        <w:rPr>
          <w:rFonts w:ascii="Times New Roman" w:hAnsi="Times New Roman"/>
          <w:szCs w:val="18"/>
        </w:rPr>
        <w:t>携带的有害物质总量，单位为克（g）。</w:t>
      </w:r>
    </w:p>
    <w:p>
      <w:pPr>
        <w:spacing w:line="360" w:lineRule="auto"/>
        <w:ind w:firstLine="420" w:firstLineChars="200"/>
        <w:jc w:val="left"/>
        <w:rPr>
          <w:rFonts w:ascii="Times New Roman" w:hAnsi="Times New Roman"/>
          <w:szCs w:val="18"/>
        </w:rPr>
      </w:pPr>
      <w:r>
        <w:rPr>
          <w:rFonts w:ascii="Times New Roman" w:hAnsi="Times New Roman"/>
          <w:i/>
          <w:szCs w:val="18"/>
        </w:rPr>
        <w:t>P</w:t>
      </w:r>
      <w:r>
        <w:rPr>
          <w:rFonts w:ascii="Times New Roman" w:hAnsi="Times New Roman"/>
          <w:szCs w:val="18"/>
          <w:vertAlign w:val="subscript"/>
        </w:rPr>
        <w:t>Sb</w:t>
      </w:r>
      <w:r>
        <w:rPr>
          <w:rFonts w:ascii="Times New Roman" w:hAnsi="Times New Roman"/>
          <w:szCs w:val="18"/>
        </w:rPr>
        <w:t xml:space="preserve">   ——同期产品</w:t>
      </w:r>
      <w:r>
        <w:rPr>
          <w:rFonts w:hint="eastAsia" w:ascii="Times New Roman" w:hAnsi="Times New Roman"/>
          <w:szCs w:val="18"/>
        </w:rPr>
        <w:t>锂</w:t>
      </w:r>
      <w:r>
        <w:rPr>
          <w:rFonts w:ascii="Times New Roman" w:hAnsi="Times New Roman"/>
          <w:szCs w:val="18"/>
        </w:rPr>
        <w:t>的质量，单位为吨（t）。</w:t>
      </w:r>
    </w:p>
    <w:p>
      <w:pPr>
        <w:spacing w:line="360" w:lineRule="auto"/>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 xml:space="preserve">A.3 </w:t>
      </w:r>
      <w:r>
        <w:rPr>
          <w:rFonts w:hint="eastAsia" w:ascii="黑体" w:hAnsi="黑体" w:eastAsia="黑体"/>
          <w:szCs w:val="18"/>
        </w:rPr>
        <w:t xml:space="preserve">评价指标检测方法                                     </w:t>
      </w:r>
    </w:p>
    <w:p>
      <w:pPr>
        <w:spacing w:line="360" w:lineRule="auto"/>
        <w:jc w:val="left"/>
        <w:rPr>
          <w:rFonts w:ascii="黑体" w:hAnsi="黑体" w:eastAsia="黑体"/>
          <w:szCs w:val="18"/>
        </w:rPr>
      </w:pPr>
      <w:r>
        <w:rPr>
          <w:rFonts w:ascii="黑体" w:hAnsi="黑体" w:eastAsia="黑体"/>
          <w:szCs w:val="18"/>
        </w:rPr>
        <w:t xml:space="preserve">A.3.1 </w:t>
      </w:r>
      <w:r>
        <w:rPr>
          <w:rFonts w:hint="eastAsia" w:ascii="黑体" w:hAnsi="黑体" w:eastAsia="黑体"/>
          <w:szCs w:val="18"/>
        </w:rPr>
        <w:t>水污染物浓度的检测方法</w:t>
      </w:r>
    </w:p>
    <w:p>
      <w:pPr>
        <w:spacing w:line="360" w:lineRule="auto"/>
        <w:ind w:firstLine="420" w:firstLineChars="200"/>
        <w:jc w:val="left"/>
        <w:rPr>
          <w:rFonts w:ascii="Times New Roman" w:hAnsi="Times New Roman"/>
          <w:szCs w:val="18"/>
        </w:rPr>
      </w:pPr>
      <w:r>
        <w:rPr>
          <w:rFonts w:hint="eastAsia" w:ascii="Times New Roman" w:hAnsi="Times New Roman"/>
          <w:szCs w:val="18"/>
        </w:rPr>
        <w:t>向环境排放的水污染物浓度的检测方法见表</w:t>
      </w:r>
      <w:r>
        <w:rPr>
          <w:rFonts w:ascii="Times New Roman" w:hAnsi="Times New Roman"/>
          <w:szCs w:val="18"/>
        </w:rPr>
        <w:t>A.1</w:t>
      </w:r>
    </w:p>
    <w:p>
      <w:pPr>
        <w:spacing w:line="360" w:lineRule="auto"/>
        <w:jc w:val="center"/>
        <w:rPr>
          <w:rFonts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A.1    </w:t>
      </w:r>
      <w:r>
        <w:rPr>
          <w:rFonts w:hint="eastAsia" w:ascii="黑体" w:hAnsi="黑体" w:eastAsia="黑体"/>
          <w:sz w:val="18"/>
          <w:szCs w:val="18"/>
        </w:rPr>
        <w:t>水污染物浓度的检测方法</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污染物项目</w:t>
            </w:r>
          </w:p>
        </w:tc>
        <w:tc>
          <w:tcPr>
            <w:tcW w:w="5387" w:type="dxa"/>
            <w:vAlign w:val="center"/>
          </w:tcPr>
          <w:p>
            <w:pPr>
              <w:jc w:val="center"/>
              <w:rPr>
                <w:rFonts w:ascii="Times New Roman" w:hAnsi="Times New Roman"/>
                <w:sz w:val="18"/>
                <w:szCs w:val="18"/>
              </w:rPr>
            </w:pPr>
            <w:r>
              <w:rPr>
                <w:rFonts w:hint="eastAsia" w:ascii="Times New Roman" w:hAnsi="Times New Roman"/>
                <w:sz w:val="18"/>
                <w:szCs w:val="18"/>
              </w:rPr>
              <w:t>检测方法标准名称</w:t>
            </w:r>
          </w:p>
        </w:tc>
        <w:tc>
          <w:tcPr>
            <w:tcW w:w="1326" w:type="dxa"/>
            <w:vAlign w:val="center"/>
          </w:tcPr>
          <w:p>
            <w:pPr>
              <w:jc w:val="center"/>
              <w:rPr>
                <w:rFonts w:ascii="Times New Roman" w:hAnsi="Times New Roman"/>
                <w:sz w:val="18"/>
                <w:szCs w:val="18"/>
              </w:rPr>
            </w:pPr>
            <w:r>
              <w:rPr>
                <w:rFonts w:hint="eastAsia" w:ascii="Times New Roman" w:hAnsi="Times New Roman"/>
                <w:sz w:val="18"/>
                <w:szCs w:val="18"/>
              </w:rPr>
              <w:t>方法标准</w:t>
            </w:r>
          </w:p>
          <w:p>
            <w:pPr>
              <w:jc w:val="center"/>
              <w:rPr>
                <w:rFonts w:ascii="Times New Roman" w:hAnsi="Times New Roman"/>
                <w:sz w:val="18"/>
                <w:szCs w:val="18"/>
              </w:rPr>
            </w:pPr>
            <w:r>
              <w:rPr>
                <w:rFonts w:hint="eastAsia" w:ascii="Times New Roman" w:hAnsi="Times New Roman"/>
                <w:sz w:val="18"/>
                <w:szCs w:val="18"/>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sz w:val="18"/>
                <w:szCs w:val="18"/>
              </w:rPr>
            </w:pPr>
            <w:r>
              <w:rPr>
                <w:rFonts w:hint="eastAsia" w:ascii="Times New Roman" w:hAnsi="Times New Roman"/>
                <w:sz w:val="18"/>
                <w:szCs w:val="18"/>
              </w:rPr>
              <w:t>1</w:t>
            </w:r>
          </w:p>
        </w:tc>
        <w:tc>
          <w:tcPr>
            <w:tcW w:w="992" w:type="dxa"/>
            <w:vMerge w:val="restart"/>
            <w:vAlign w:val="center"/>
          </w:tcPr>
          <w:p>
            <w:pPr>
              <w:jc w:val="center"/>
              <w:rPr>
                <w:rFonts w:ascii="Times New Roman" w:hAnsi="Times New Roman"/>
                <w:sz w:val="18"/>
                <w:szCs w:val="18"/>
              </w:rPr>
            </w:pPr>
            <w:r>
              <w:rPr>
                <w:rFonts w:hint="eastAsia" w:ascii="Times New Roman" w:hAnsi="Times New Roman"/>
                <w:sz w:val="18"/>
                <w:szCs w:val="18"/>
              </w:rPr>
              <w:t xml:space="preserve">COD  </w:t>
            </w:r>
          </w:p>
        </w:tc>
        <w:tc>
          <w:tcPr>
            <w:tcW w:w="5387" w:type="dxa"/>
          </w:tcPr>
          <w:p>
            <w:pPr>
              <w:jc w:val="left"/>
              <w:rPr>
                <w:rFonts w:ascii="Times New Roman" w:hAnsi="Times New Roman"/>
                <w:sz w:val="18"/>
                <w:szCs w:val="18"/>
              </w:rPr>
            </w:pPr>
            <w:r>
              <w:rPr>
                <w:rFonts w:hint="eastAsia" w:ascii="Times New Roman" w:hAnsi="Times New Roman"/>
                <w:sz w:val="18"/>
                <w:szCs w:val="18"/>
              </w:rPr>
              <w:t>水质</w:t>
            </w:r>
            <w:r>
              <w:rPr>
                <w:rFonts w:ascii="Times New Roman" w:hAnsi="Times New Roman"/>
                <w:sz w:val="18"/>
                <w:szCs w:val="18"/>
              </w:rPr>
              <w:t xml:space="preserve"> </w:t>
            </w:r>
            <w:r>
              <w:rPr>
                <w:rFonts w:hint="eastAsia" w:ascii="Times New Roman" w:hAnsi="Times New Roman"/>
                <w:sz w:val="18"/>
                <w:szCs w:val="18"/>
              </w:rPr>
              <w:t>化学需氧量的额测定 重铬酸盐法</w:t>
            </w:r>
          </w:p>
        </w:tc>
        <w:tc>
          <w:tcPr>
            <w:tcW w:w="1326" w:type="dxa"/>
          </w:tcPr>
          <w:p>
            <w:pPr>
              <w:jc w:val="left"/>
              <w:rPr>
                <w:rFonts w:ascii="Times New Roman" w:hAnsi="Times New Roman"/>
                <w:sz w:val="18"/>
                <w:szCs w:val="18"/>
              </w:rPr>
            </w:pPr>
            <w:r>
              <w:rPr>
                <w:rFonts w:hint="eastAsia" w:ascii="Times New Roman" w:hAnsi="Times New Roman"/>
                <w:sz w:val="18"/>
                <w:szCs w:val="18"/>
              </w:rPr>
              <w:t>GB/T11914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sz w:val="18"/>
                <w:szCs w:val="18"/>
              </w:rPr>
            </w:pPr>
          </w:p>
        </w:tc>
        <w:tc>
          <w:tcPr>
            <w:tcW w:w="992" w:type="dxa"/>
            <w:vMerge w:val="continue"/>
            <w:vAlign w:val="center"/>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化学需氧量的额测定 快速消解分光光度发</w:t>
            </w:r>
          </w:p>
        </w:tc>
        <w:tc>
          <w:tcPr>
            <w:tcW w:w="1326" w:type="dxa"/>
          </w:tcPr>
          <w:p>
            <w:pPr>
              <w:jc w:val="left"/>
              <w:rPr>
                <w:rFonts w:ascii="Times New Roman" w:hAnsi="Times New Roman"/>
                <w:sz w:val="18"/>
                <w:szCs w:val="18"/>
              </w:rPr>
            </w:pPr>
            <w:r>
              <w:rPr>
                <w:rFonts w:hint="eastAsia" w:ascii="Times New Roman" w:hAnsi="Times New Roman"/>
                <w:sz w:val="18"/>
                <w:szCs w:val="18"/>
              </w:rPr>
              <w:t>HJ/T399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sz w:val="18"/>
                <w:szCs w:val="18"/>
              </w:rPr>
            </w:pPr>
          </w:p>
        </w:tc>
        <w:tc>
          <w:tcPr>
            <w:tcW w:w="992" w:type="dxa"/>
            <w:vMerge w:val="continue"/>
            <w:vAlign w:val="center"/>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高氯废水 化学需氧量的测定 氯气校正法</w:t>
            </w:r>
          </w:p>
        </w:tc>
        <w:tc>
          <w:tcPr>
            <w:tcW w:w="1326" w:type="dxa"/>
          </w:tcPr>
          <w:p>
            <w:pPr>
              <w:jc w:val="left"/>
              <w:rPr>
                <w:rFonts w:ascii="Times New Roman" w:hAnsi="Times New Roman"/>
                <w:sz w:val="18"/>
                <w:szCs w:val="18"/>
              </w:rPr>
            </w:pPr>
            <w:r>
              <w:rPr>
                <w:rFonts w:hint="eastAsia" w:ascii="Times New Roman" w:hAnsi="Times New Roman"/>
                <w:sz w:val="18"/>
                <w:szCs w:val="18"/>
              </w:rPr>
              <w:t>HJ/T70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sz w:val="18"/>
                <w:szCs w:val="18"/>
              </w:rPr>
            </w:pPr>
          </w:p>
        </w:tc>
        <w:tc>
          <w:tcPr>
            <w:tcW w:w="992" w:type="dxa"/>
            <w:vMerge w:val="continue"/>
            <w:vAlign w:val="center"/>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高氯废水 化学需氧量的测定 碘化钾碱性高锰酸钾法</w:t>
            </w:r>
          </w:p>
        </w:tc>
        <w:tc>
          <w:tcPr>
            <w:tcW w:w="1326" w:type="dxa"/>
          </w:tcPr>
          <w:p>
            <w:pPr>
              <w:jc w:val="left"/>
              <w:rPr>
                <w:rFonts w:ascii="Times New Roman" w:hAnsi="Times New Roman"/>
                <w:sz w:val="18"/>
                <w:szCs w:val="18"/>
              </w:rPr>
            </w:pPr>
            <w:r>
              <w:rPr>
                <w:rFonts w:hint="eastAsia" w:ascii="Times New Roman" w:hAnsi="Times New Roman"/>
                <w:sz w:val="18"/>
                <w:szCs w:val="18"/>
              </w:rPr>
              <w:t>HJ/T132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left"/>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w:t>
            </w:r>
            <w:r>
              <w:rPr>
                <w:rFonts w:ascii="Times New Roman" w:hAnsi="Times New Roman"/>
                <w:sz w:val="18"/>
                <w:szCs w:val="18"/>
              </w:rPr>
              <w:t xml:space="preserve"> 65</w:t>
            </w:r>
            <w:r>
              <w:rPr>
                <w:rFonts w:hint="eastAsia" w:ascii="Times New Roman" w:hAnsi="Times New Roman"/>
                <w:sz w:val="18"/>
                <w:szCs w:val="18"/>
              </w:rPr>
              <w:t>种元素的测定</w:t>
            </w:r>
            <w:r>
              <w:rPr>
                <w:rFonts w:ascii="Times New Roman" w:hAnsi="Times New Roman"/>
                <w:sz w:val="18"/>
                <w:szCs w:val="18"/>
              </w:rPr>
              <w:t xml:space="preserve"> </w:t>
            </w:r>
            <w:r>
              <w:rPr>
                <w:rFonts w:hint="eastAsia" w:ascii="Times New Roman" w:hAnsi="Times New Roman"/>
                <w:sz w:val="18"/>
                <w:szCs w:val="18"/>
              </w:rPr>
              <w:t>电感耦合等离子体质谱法</w:t>
            </w:r>
          </w:p>
        </w:tc>
        <w:tc>
          <w:tcPr>
            <w:tcW w:w="1326" w:type="dxa"/>
          </w:tcPr>
          <w:p>
            <w:pPr>
              <w:jc w:val="left"/>
              <w:rPr>
                <w:rFonts w:ascii="Times New Roman" w:hAnsi="Times New Roman"/>
                <w:sz w:val="18"/>
                <w:szCs w:val="18"/>
              </w:rPr>
            </w:pPr>
            <w:r>
              <w:rPr>
                <w:rFonts w:ascii="Times New Roman" w:hAnsi="Times New Roman"/>
                <w:sz w:val="18"/>
                <w:szCs w:val="18"/>
              </w:rPr>
              <w:t>HJ 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sz w:val="18"/>
                <w:szCs w:val="18"/>
              </w:rPr>
            </w:pPr>
            <w:r>
              <w:rPr>
                <w:rFonts w:hint="eastAsia" w:ascii="Times New Roman" w:hAnsi="Times New Roman"/>
                <w:sz w:val="18"/>
                <w:szCs w:val="18"/>
              </w:rPr>
              <w:t>2</w:t>
            </w:r>
          </w:p>
        </w:tc>
        <w:tc>
          <w:tcPr>
            <w:tcW w:w="992" w:type="dxa"/>
            <w:vMerge w:val="restart"/>
            <w:vAlign w:val="center"/>
          </w:tcPr>
          <w:p>
            <w:pPr>
              <w:jc w:val="center"/>
              <w:rPr>
                <w:rFonts w:ascii="Times New Roman" w:hAnsi="Times New Roman"/>
                <w:sz w:val="18"/>
                <w:szCs w:val="18"/>
              </w:rPr>
            </w:pPr>
            <w:r>
              <w:rPr>
                <w:rFonts w:hint="eastAsia" w:ascii="Times New Roman" w:hAnsi="Times New Roman"/>
                <w:sz w:val="18"/>
                <w:szCs w:val="18"/>
              </w:rPr>
              <w:t>PH</w:t>
            </w:r>
          </w:p>
        </w:tc>
        <w:tc>
          <w:tcPr>
            <w:tcW w:w="5387" w:type="dxa"/>
          </w:tcPr>
          <w:p>
            <w:pPr>
              <w:jc w:val="left"/>
              <w:rPr>
                <w:rFonts w:ascii="Times New Roman" w:hAnsi="Times New Roman"/>
                <w:sz w:val="18"/>
                <w:szCs w:val="18"/>
              </w:rPr>
            </w:pPr>
            <w:r>
              <w:rPr>
                <w:rFonts w:hint="eastAsia" w:ascii="Times New Roman" w:hAnsi="Times New Roman"/>
                <w:sz w:val="18"/>
                <w:szCs w:val="18"/>
              </w:rPr>
              <w:t>水质 PH值的测定 玻璃电极法</w:t>
            </w:r>
          </w:p>
        </w:tc>
        <w:tc>
          <w:tcPr>
            <w:tcW w:w="1326" w:type="dxa"/>
          </w:tcPr>
          <w:p>
            <w:pPr>
              <w:jc w:val="left"/>
              <w:rPr>
                <w:rFonts w:ascii="Times New Roman" w:hAnsi="Times New Roman"/>
                <w:sz w:val="18"/>
                <w:szCs w:val="18"/>
              </w:rPr>
            </w:pPr>
            <w:r>
              <w:rPr>
                <w:rFonts w:hint="eastAsia" w:ascii="Times New Roman" w:hAnsi="Times New Roman"/>
                <w:sz w:val="18"/>
                <w:szCs w:val="18"/>
              </w:rPr>
              <w:t>GB/T6920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left"/>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w:t>
            </w:r>
            <w:r>
              <w:rPr>
                <w:rFonts w:ascii="Times New Roman" w:hAnsi="Times New Roman"/>
                <w:sz w:val="18"/>
                <w:szCs w:val="18"/>
              </w:rPr>
              <w:t xml:space="preserve"> 65</w:t>
            </w:r>
            <w:r>
              <w:rPr>
                <w:rFonts w:hint="eastAsia" w:ascii="Times New Roman" w:hAnsi="Times New Roman"/>
                <w:sz w:val="18"/>
                <w:szCs w:val="18"/>
              </w:rPr>
              <w:t>种元素的测定</w:t>
            </w:r>
            <w:r>
              <w:rPr>
                <w:rFonts w:ascii="Times New Roman" w:hAnsi="Times New Roman"/>
                <w:sz w:val="18"/>
                <w:szCs w:val="18"/>
              </w:rPr>
              <w:t xml:space="preserve"> </w:t>
            </w:r>
            <w:r>
              <w:rPr>
                <w:rFonts w:hint="eastAsia" w:ascii="Times New Roman" w:hAnsi="Times New Roman"/>
                <w:sz w:val="18"/>
                <w:szCs w:val="18"/>
              </w:rPr>
              <w:t>电感耦合等离子体质谱法</w:t>
            </w:r>
          </w:p>
        </w:tc>
        <w:tc>
          <w:tcPr>
            <w:tcW w:w="1326" w:type="dxa"/>
          </w:tcPr>
          <w:p>
            <w:pPr>
              <w:jc w:val="left"/>
              <w:rPr>
                <w:rFonts w:ascii="Times New Roman" w:hAnsi="Times New Roman"/>
                <w:sz w:val="18"/>
                <w:szCs w:val="18"/>
              </w:rPr>
            </w:pPr>
            <w:r>
              <w:rPr>
                <w:rFonts w:ascii="Times New Roman" w:hAnsi="Times New Roman"/>
                <w:sz w:val="18"/>
                <w:szCs w:val="18"/>
              </w:rPr>
              <w:t>HJ 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tcPr>
          <w:p>
            <w:pPr>
              <w:jc w:val="cente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3</w:t>
            </w:r>
          </w:p>
        </w:tc>
        <w:tc>
          <w:tcPr>
            <w:tcW w:w="992" w:type="dxa"/>
            <w:vMerge w:val="restart"/>
          </w:tcPr>
          <w:p>
            <w:pPr>
              <w:jc w:val="cente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总氮</w:t>
            </w:r>
          </w:p>
        </w:tc>
        <w:tc>
          <w:tcPr>
            <w:tcW w:w="5387" w:type="dxa"/>
          </w:tcPr>
          <w:p>
            <w:pPr>
              <w:jc w:val="left"/>
              <w:rPr>
                <w:rFonts w:ascii="Times New Roman" w:hAnsi="Times New Roman"/>
                <w:sz w:val="18"/>
                <w:szCs w:val="18"/>
              </w:rPr>
            </w:pPr>
            <w:r>
              <w:rPr>
                <w:rFonts w:hint="eastAsia" w:ascii="Times New Roman" w:hAnsi="Times New Roman"/>
                <w:sz w:val="18"/>
                <w:szCs w:val="18"/>
              </w:rPr>
              <w:t>水质 总氮的测定 气相分子吸收光谱</w:t>
            </w:r>
          </w:p>
        </w:tc>
        <w:tc>
          <w:tcPr>
            <w:tcW w:w="1326" w:type="dxa"/>
          </w:tcPr>
          <w:p>
            <w:pPr>
              <w:jc w:val="left"/>
              <w:rPr>
                <w:rFonts w:ascii="Times New Roman" w:hAnsi="Times New Roman"/>
                <w:sz w:val="18"/>
                <w:szCs w:val="18"/>
              </w:rPr>
            </w:pPr>
            <w:r>
              <w:rPr>
                <w:rFonts w:hint="eastAsia" w:ascii="Times New Roman" w:hAnsi="Times New Roman"/>
                <w:sz w:val="18"/>
                <w:szCs w:val="18"/>
              </w:rPr>
              <w:t>HJ/T 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总氮的测定 碱性过硫酸钾消解紫光分光光度法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HJ 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总氮的测定 连续流动—盐酸萘乙二胺分光光度法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HJ 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总氮的测定 连续注射—盐酸萘乙二胺分光光度法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HJ 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w:t>
            </w:r>
            <w:r>
              <w:rPr>
                <w:rFonts w:ascii="Times New Roman" w:hAnsi="Times New Roman"/>
                <w:sz w:val="18"/>
                <w:szCs w:val="18"/>
              </w:rPr>
              <w:t xml:space="preserve"> 65</w:t>
            </w:r>
            <w:r>
              <w:rPr>
                <w:rFonts w:hint="eastAsia" w:ascii="Times New Roman" w:hAnsi="Times New Roman"/>
                <w:sz w:val="18"/>
                <w:szCs w:val="18"/>
              </w:rPr>
              <w:t>种元素的测定</w:t>
            </w:r>
            <w:r>
              <w:rPr>
                <w:rFonts w:ascii="Times New Roman" w:hAnsi="Times New Roman"/>
                <w:sz w:val="18"/>
                <w:szCs w:val="18"/>
              </w:rPr>
              <w:t xml:space="preserve"> </w:t>
            </w:r>
            <w:r>
              <w:rPr>
                <w:rFonts w:hint="eastAsia" w:ascii="Times New Roman" w:hAnsi="Times New Roman"/>
                <w:sz w:val="18"/>
                <w:szCs w:val="18"/>
              </w:rPr>
              <w:t>电感耦合等离子体质谱法</w:t>
            </w:r>
          </w:p>
        </w:tc>
        <w:tc>
          <w:tcPr>
            <w:tcW w:w="1326" w:type="dxa"/>
          </w:tcPr>
          <w:p>
            <w:pPr>
              <w:jc w:val="left"/>
              <w:rPr>
                <w:rFonts w:ascii="Times New Roman" w:hAnsi="Times New Roman"/>
                <w:sz w:val="18"/>
                <w:szCs w:val="18"/>
              </w:rPr>
            </w:pPr>
            <w:r>
              <w:rPr>
                <w:rFonts w:ascii="Times New Roman" w:hAnsi="Times New Roman"/>
                <w:sz w:val="18"/>
                <w:szCs w:val="18"/>
              </w:rPr>
              <w:t>HJ 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tcPr>
          <w:p>
            <w:pPr>
              <w:jc w:val="cente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4</w:t>
            </w:r>
          </w:p>
          <w:p>
            <w:pPr>
              <w:jc w:val="center"/>
              <w:rPr>
                <w:rFonts w:ascii="Times New Roman" w:hAnsi="Times New Roman"/>
                <w:sz w:val="18"/>
                <w:szCs w:val="18"/>
              </w:rPr>
            </w:pPr>
          </w:p>
        </w:tc>
        <w:tc>
          <w:tcPr>
            <w:tcW w:w="992" w:type="dxa"/>
            <w:vMerge w:val="restart"/>
          </w:tcPr>
          <w:p>
            <w:pPr>
              <w:jc w:val="cente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总磷</w:t>
            </w:r>
          </w:p>
        </w:tc>
        <w:tc>
          <w:tcPr>
            <w:tcW w:w="5387" w:type="dxa"/>
          </w:tcPr>
          <w:p>
            <w:pPr>
              <w:jc w:val="left"/>
              <w:rPr>
                <w:rFonts w:ascii="Times New Roman" w:hAnsi="Times New Roman"/>
                <w:sz w:val="18"/>
                <w:szCs w:val="18"/>
              </w:rPr>
            </w:pPr>
            <w:r>
              <w:rPr>
                <w:rFonts w:hint="eastAsia" w:ascii="Times New Roman" w:hAnsi="Times New Roman"/>
                <w:sz w:val="18"/>
                <w:szCs w:val="18"/>
              </w:rPr>
              <w:t>水质 总磷的的测定 钼酸铵分光光度法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GB 11893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磷酸盐和总磷的测定 连续流动—钼氨酸分光光度法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HJ 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 磷酸盐和总磷的测定 连续注射—钼氨酸分光光度法</w:t>
            </w:r>
          </w:p>
        </w:tc>
        <w:tc>
          <w:tcPr>
            <w:tcW w:w="1326" w:type="dxa"/>
          </w:tcPr>
          <w:p>
            <w:pPr>
              <w:jc w:val="left"/>
              <w:rPr>
                <w:rFonts w:ascii="Times New Roman" w:hAnsi="Times New Roman"/>
                <w:sz w:val="18"/>
                <w:szCs w:val="18"/>
              </w:rPr>
            </w:pPr>
            <w:r>
              <w:rPr>
                <w:rFonts w:hint="eastAsia" w:ascii="Times New Roman" w:hAnsi="Times New Roman"/>
                <w:sz w:val="18"/>
                <w:szCs w:val="18"/>
              </w:rPr>
              <w:t>HJ 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tcPr>
          <w:p>
            <w:pPr>
              <w:jc w:val="center"/>
              <w:rPr>
                <w:rFonts w:ascii="Times New Roman" w:hAnsi="Times New Roman"/>
                <w:sz w:val="18"/>
                <w:szCs w:val="18"/>
              </w:rPr>
            </w:pPr>
          </w:p>
        </w:tc>
        <w:tc>
          <w:tcPr>
            <w:tcW w:w="992" w:type="dxa"/>
            <w:vMerge w:val="continue"/>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水质</w:t>
            </w:r>
            <w:r>
              <w:rPr>
                <w:rFonts w:ascii="Times New Roman" w:hAnsi="Times New Roman"/>
                <w:sz w:val="18"/>
                <w:szCs w:val="18"/>
              </w:rPr>
              <w:t xml:space="preserve"> 65</w:t>
            </w:r>
            <w:r>
              <w:rPr>
                <w:rFonts w:hint="eastAsia" w:ascii="Times New Roman" w:hAnsi="Times New Roman"/>
                <w:sz w:val="18"/>
                <w:szCs w:val="18"/>
              </w:rPr>
              <w:t>种元素的测定</w:t>
            </w:r>
            <w:r>
              <w:rPr>
                <w:rFonts w:ascii="Times New Roman" w:hAnsi="Times New Roman"/>
                <w:sz w:val="18"/>
                <w:szCs w:val="18"/>
              </w:rPr>
              <w:t xml:space="preserve"> </w:t>
            </w:r>
            <w:r>
              <w:rPr>
                <w:rFonts w:hint="eastAsia" w:ascii="Times New Roman" w:hAnsi="Times New Roman"/>
                <w:sz w:val="18"/>
                <w:szCs w:val="18"/>
              </w:rPr>
              <w:t>电感耦合等离子体质谱法</w:t>
            </w:r>
          </w:p>
        </w:tc>
        <w:tc>
          <w:tcPr>
            <w:tcW w:w="1326" w:type="dxa"/>
          </w:tcPr>
          <w:p>
            <w:pPr>
              <w:jc w:val="left"/>
              <w:rPr>
                <w:rFonts w:ascii="Times New Roman" w:hAnsi="Times New Roman"/>
                <w:sz w:val="18"/>
                <w:szCs w:val="18"/>
              </w:rPr>
            </w:pPr>
            <w:r>
              <w:rPr>
                <w:rFonts w:ascii="Times New Roman" w:hAnsi="Times New Roman"/>
                <w:sz w:val="18"/>
                <w:szCs w:val="18"/>
              </w:rPr>
              <w:t>HJ 700</w:t>
            </w:r>
          </w:p>
        </w:tc>
      </w:tr>
    </w:tbl>
    <w:p>
      <w:pPr>
        <w:spacing w:line="360" w:lineRule="auto"/>
        <w:jc w:val="left"/>
        <w:rPr>
          <w:rFonts w:ascii="黑体" w:hAnsi="黑体" w:eastAsia="黑体"/>
          <w:szCs w:val="18"/>
        </w:rPr>
      </w:pPr>
      <w:r>
        <w:rPr>
          <w:rFonts w:ascii="黑体" w:hAnsi="黑体" w:eastAsia="黑体"/>
          <w:szCs w:val="18"/>
        </w:rPr>
        <w:t xml:space="preserve">A.3.2 </w:t>
      </w:r>
      <w:r>
        <w:rPr>
          <w:rFonts w:hint="eastAsia" w:ascii="黑体" w:hAnsi="黑体" w:eastAsia="黑体"/>
          <w:szCs w:val="18"/>
        </w:rPr>
        <w:t>大气污染物浓度的检测方法</w:t>
      </w:r>
    </w:p>
    <w:p>
      <w:pPr>
        <w:spacing w:line="360" w:lineRule="auto"/>
        <w:jc w:val="left"/>
        <w:rPr>
          <w:rFonts w:ascii="Times New Roman" w:hAnsi="Times New Roman"/>
          <w:szCs w:val="18"/>
        </w:rPr>
      </w:pPr>
      <w:r>
        <w:rPr>
          <w:rFonts w:hint="eastAsia" w:ascii="Times New Roman" w:hAnsi="Times New Roman"/>
          <w:szCs w:val="18"/>
        </w:rPr>
        <w:t>向环境排放的大气污染物浓度的检测方法见</w:t>
      </w:r>
      <w:r>
        <w:rPr>
          <w:rFonts w:ascii="Times New Roman" w:hAnsi="Times New Roman"/>
          <w:szCs w:val="18"/>
        </w:rPr>
        <w:t>A.2</w:t>
      </w:r>
    </w:p>
    <w:p>
      <w:pPr>
        <w:spacing w:line="360" w:lineRule="auto"/>
        <w:jc w:val="left"/>
        <w:rPr>
          <w:rFonts w:ascii="Times New Roman" w:hAnsi="Times New Roman"/>
          <w:szCs w:val="18"/>
        </w:rPr>
      </w:pPr>
    </w:p>
    <w:p>
      <w:pPr>
        <w:spacing w:line="360" w:lineRule="auto"/>
        <w:jc w:val="center"/>
        <w:rPr>
          <w:rFonts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A.2    </w:t>
      </w:r>
      <w:r>
        <w:rPr>
          <w:rFonts w:hint="eastAsia" w:ascii="黑体" w:hAnsi="黑体" w:eastAsia="黑体"/>
          <w:sz w:val="18"/>
          <w:szCs w:val="18"/>
        </w:rPr>
        <w:t>大气污染物浓度的检测方法</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污染物项目</w:t>
            </w:r>
          </w:p>
        </w:tc>
        <w:tc>
          <w:tcPr>
            <w:tcW w:w="5387" w:type="dxa"/>
            <w:vAlign w:val="center"/>
          </w:tcPr>
          <w:p>
            <w:pPr>
              <w:jc w:val="center"/>
              <w:rPr>
                <w:rFonts w:ascii="Times New Roman" w:hAnsi="Times New Roman"/>
                <w:sz w:val="18"/>
                <w:szCs w:val="18"/>
              </w:rPr>
            </w:pPr>
            <w:r>
              <w:rPr>
                <w:rFonts w:hint="eastAsia" w:ascii="Times New Roman" w:hAnsi="Times New Roman"/>
                <w:sz w:val="18"/>
                <w:szCs w:val="18"/>
              </w:rPr>
              <w:t>检测方法标准名称</w:t>
            </w:r>
          </w:p>
        </w:tc>
        <w:tc>
          <w:tcPr>
            <w:tcW w:w="1326" w:type="dxa"/>
            <w:vAlign w:val="center"/>
          </w:tcPr>
          <w:p>
            <w:pPr>
              <w:jc w:val="center"/>
              <w:rPr>
                <w:rFonts w:ascii="Times New Roman" w:hAnsi="Times New Roman"/>
                <w:sz w:val="18"/>
                <w:szCs w:val="18"/>
              </w:rPr>
            </w:pPr>
            <w:r>
              <w:rPr>
                <w:rFonts w:hint="eastAsia" w:ascii="Times New Roman" w:hAnsi="Times New Roman"/>
                <w:sz w:val="18"/>
                <w:szCs w:val="18"/>
              </w:rPr>
              <w:t>方法标准</w:t>
            </w:r>
            <w:r>
              <w:rPr>
                <w:rFonts w:ascii="Times New Roman" w:hAnsi="Times New Roman"/>
                <w:sz w:val="18"/>
                <w:szCs w:val="18"/>
              </w:rPr>
              <w:br w:type="textWrapping"/>
            </w:r>
            <w:r>
              <w:rPr>
                <w:rFonts w:hint="eastAsia" w:ascii="Times New Roman" w:hAnsi="Times New Roman"/>
                <w:sz w:val="18"/>
                <w:szCs w:val="18"/>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992" w:type="dxa"/>
            <w:vMerge w:val="restart"/>
            <w:vAlign w:val="center"/>
          </w:tcPr>
          <w:p>
            <w:pPr>
              <w:jc w:val="center"/>
              <w:rPr>
                <w:rFonts w:ascii="Times New Roman" w:hAnsi="Times New Roman"/>
                <w:sz w:val="18"/>
                <w:szCs w:val="18"/>
              </w:rPr>
            </w:pPr>
            <w:r>
              <w:rPr>
                <w:rFonts w:hint="eastAsia" w:ascii="Times New Roman" w:hAnsi="Times New Roman"/>
                <w:sz w:val="18"/>
                <w:szCs w:val="18"/>
              </w:rPr>
              <w:t>氯气</w:t>
            </w:r>
          </w:p>
        </w:tc>
        <w:tc>
          <w:tcPr>
            <w:tcW w:w="5387" w:type="dxa"/>
          </w:tcPr>
          <w:p>
            <w:pPr>
              <w:jc w:val="left"/>
              <w:rPr>
                <w:rFonts w:ascii="Times New Roman" w:hAnsi="Times New Roman"/>
                <w:sz w:val="18"/>
                <w:szCs w:val="18"/>
              </w:rPr>
            </w:pPr>
            <w:r>
              <w:rPr>
                <w:rFonts w:hint="eastAsia" w:ascii="Times New Roman" w:hAnsi="Times New Roman"/>
                <w:sz w:val="18"/>
                <w:szCs w:val="18"/>
              </w:rPr>
              <w:t>固定污染源排气中氯气的测定</w:t>
            </w:r>
            <w:r>
              <w:rPr>
                <w:rFonts w:ascii="Times New Roman" w:hAnsi="Times New Roman"/>
                <w:sz w:val="18"/>
                <w:szCs w:val="18"/>
              </w:rPr>
              <w:t xml:space="preserve"> </w:t>
            </w:r>
            <w:r>
              <w:rPr>
                <w:rFonts w:hint="eastAsia" w:ascii="Times New Roman" w:hAnsi="Times New Roman"/>
                <w:sz w:val="18"/>
                <w:szCs w:val="18"/>
              </w:rPr>
              <w:t>碘量法（暂行）</w:t>
            </w:r>
          </w:p>
        </w:tc>
        <w:tc>
          <w:tcPr>
            <w:tcW w:w="1326" w:type="dxa"/>
          </w:tcPr>
          <w:p>
            <w:pPr>
              <w:jc w:val="left"/>
              <w:rPr>
                <w:rFonts w:ascii="Times New Roman" w:hAnsi="Times New Roman"/>
                <w:sz w:val="18"/>
                <w:szCs w:val="18"/>
              </w:rPr>
            </w:pPr>
            <w:r>
              <w:rPr>
                <w:rFonts w:ascii="Times New Roman" w:hAnsi="Times New Roman"/>
                <w:sz w:val="18"/>
                <w:szCs w:val="18"/>
              </w:rPr>
              <w:t>HJ/</w:t>
            </w:r>
            <w:r>
              <w:rPr>
                <w:rFonts w:hint="eastAsia" w:ascii="Times New Roman" w:hAnsi="Times New Roman"/>
                <w:sz w:val="18"/>
                <w:szCs w:val="18"/>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sz w:val="18"/>
                <w:szCs w:val="18"/>
              </w:rPr>
            </w:pPr>
          </w:p>
        </w:tc>
        <w:tc>
          <w:tcPr>
            <w:tcW w:w="992" w:type="dxa"/>
            <w:vMerge w:val="continue"/>
            <w:vAlign w:val="center"/>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固定污染源排气中氯气的测定 甲基橙分光光度法</w:t>
            </w:r>
          </w:p>
        </w:tc>
        <w:tc>
          <w:tcPr>
            <w:tcW w:w="1326" w:type="dxa"/>
          </w:tcPr>
          <w:p>
            <w:pPr>
              <w:jc w:val="left"/>
              <w:rPr>
                <w:rFonts w:ascii="Times New Roman" w:hAnsi="Times New Roman"/>
                <w:sz w:val="18"/>
                <w:szCs w:val="18"/>
              </w:rPr>
            </w:pPr>
            <w:r>
              <w:rPr>
                <w:rFonts w:ascii="Times New Roman" w:hAnsi="Times New Roman"/>
                <w:sz w:val="18"/>
                <w:szCs w:val="18"/>
              </w:rPr>
              <w:t>HJ/</w:t>
            </w:r>
            <w:r>
              <w:rPr>
                <w:rFonts w:hint="eastAsia" w:ascii="Times New Roman" w:hAnsi="Times New Roman"/>
                <w:sz w:val="18"/>
                <w:szCs w:val="18"/>
              </w:rPr>
              <w:t>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992" w:type="dxa"/>
            <w:vMerge w:val="restart"/>
            <w:vAlign w:val="center"/>
          </w:tcPr>
          <w:p>
            <w:pPr>
              <w:jc w:val="center"/>
              <w:rPr>
                <w:rFonts w:ascii="Times New Roman" w:hAnsi="Times New Roman"/>
                <w:sz w:val="18"/>
                <w:szCs w:val="18"/>
              </w:rPr>
            </w:pPr>
            <w:r>
              <w:rPr>
                <w:rFonts w:hint="eastAsia" w:ascii="Times New Roman" w:hAnsi="Times New Roman"/>
                <w:sz w:val="18"/>
                <w:szCs w:val="18"/>
              </w:rPr>
              <w:t>颗粒物</w:t>
            </w:r>
          </w:p>
        </w:tc>
        <w:tc>
          <w:tcPr>
            <w:tcW w:w="5387" w:type="dxa"/>
          </w:tcPr>
          <w:p>
            <w:pPr>
              <w:jc w:val="left"/>
              <w:rPr>
                <w:rFonts w:ascii="Times New Roman" w:hAnsi="Times New Roman"/>
                <w:sz w:val="18"/>
                <w:szCs w:val="18"/>
              </w:rPr>
            </w:pPr>
            <w:r>
              <w:rPr>
                <w:rFonts w:hint="eastAsia" w:ascii="Times New Roman" w:hAnsi="Times New Roman"/>
                <w:sz w:val="18"/>
                <w:szCs w:val="18"/>
              </w:rPr>
              <w:t>固定污染源排气中颗粒物测定与气态污染物采样方法</w:t>
            </w:r>
          </w:p>
        </w:tc>
        <w:tc>
          <w:tcPr>
            <w:tcW w:w="1326" w:type="dxa"/>
          </w:tcPr>
          <w:p>
            <w:pPr>
              <w:jc w:val="left"/>
              <w:rPr>
                <w:rFonts w:ascii="Times New Roman" w:hAnsi="Times New Roman"/>
                <w:sz w:val="18"/>
                <w:szCs w:val="18"/>
              </w:rPr>
            </w:pPr>
            <w:r>
              <w:rPr>
                <w:rFonts w:ascii="Times New Roman" w:hAnsi="Times New Roman"/>
                <w:sz w:val="18"/>
                <w:szCs w:val="18"/>
              </w:rPr>
              <w:t>GB/T 16157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sz w:val="18"/>
                <w:szCs w:val="18"/>
              </w:rPr>
            </w:pPr>
          </w:p>
        </w:tc>
        <w:tc>
          <w:tcPr>
            <w:tcW w:w="992" w:type="dxa"/>
            <w:vMerge w:val="continue"/>
            <w:vAlign w:val="center"/>
          </w:tcPr>
          <w:p>
            <w:pPr>
              <w:jc w:val="center"/>
              <w:rPr>
                <w:rFonts w:ascii="Times New Roman" w:hAnsi="Times New Roman"/>
                <w:sz w:val="18"/>
                <w:szCs w:val="18"/>
              </w:rPr>
            </w:pPr>
          </w:p>
        </w:tc>
        <w:tc>
          <w:tcPr>
            <w:tcW w:w="5387" w:type="dxa"/>
          </w:tcPr>
          <w:p>
            <w:pPr>
              <w:jc w:val="left"/>
              <w:rPr>
                <w:rFonts w:ascii="Times New Roman" w:hAnsi="Times New Roman"/>
                <w:sz w:val="18"/>
                <w:szCs w:val="18"/>
              </w:rPr>
            </w:pPr>
            <w:r>
              <w:rPr>
                <w:rFonts w:hint="eastAsia" w:ascii="Times New Roman" w:hAnsi="Times New Roman"/>
                <w:sz w:val="18"/>
                <w:szCs w:val="18"/>
              </w:rPr>
              <w:t>环境空气</w:t>
            </w:r>
            <w:r>
              <w:rPr>
                <w:rFonts w:ascii="Times New Roman" w:hAnsi="Times New Roman"/>
                <w:sz w:val="18"/>
                <w:szCs w:val="18"/>
              </w:rPr>
              <w:t xml:space="preserve"> </w:t>
            </w:r>
            <w:r>
              <w:rPr>
                <w:rFonts w:hint="eastAsia" w:ascii="Times New Roman" w:hAnsi="Times New Roman"/>
                <w:sz w:val="18"/>
                <w:szCs w:val="18"/>
              </w:rPr>
              <w:t>总悬浮物颗粒的测定</w:t>
            </w:r>
            <w:r>
              <w:rPr>
                <w:rFonts w:ascii="Times New Roman" w:hAnsi="Times New Roman"/>
                <w:sz w:val="18"/>
                <w:szCs w:val="18"/>
              </w:rPr>
              <w:t xml:space="preserve"> </w:t>
            </w:r>
            <w:r>
              <w:rPr>
                <w:rFonts w:hint="eastAsia" w:ascii="Times New Roman" w:hAnsi="Times New Roman"/>
                <w:sz w:val="18"/>
                <w:szCs w:val="18"/>
              </w:rPr>
              <w:t>重量法</w:t>
            </w:r>
          </w:p>
        </w:tc>
        <w:tc>
          <w:tcPr>
            <w:tcW w:w="1326" w:type="dxa"/>
          </w:tcPr>
          <w:p>
            <w:pPr>
              <w:jc w:val="left"/>
              <w:rPr>
                <w:rFonts w:ascii="Times New Roman" w:hAnsi="Times New Roman"/>
                <w:sz w:val="18"/>
                <w:szCs w:val="18"/>
              </w:rPr>
            </w:pPr>
            <w:r>
              <w:rPr>
                <w:rFonts w:ascii="Times New Roman" w:hAnsi="Times New Roman"/>
                <w:sz w:val="18"/>
                <w:szCs w:val="18"/>
              </w:rPr>
              <w:t>GB/T 15432</w:t>
            </w:r>
          </w:p>
        </w:tc>
      </w:tr>
    </w:tbl>
    <w:p>
      <w:pPr>
        <w:spacing w:line="360" w:lineRule="auto"/>
        <w:jc w:val="left"/>
        <w:rPr>
          <w:rFonts w:ascii="Times New Roman" w:hAnsi="Times New Roman"/>
          <w:sz w:val="24"/>
          <w:szCs w:val="21"/>
        </w:rPr>
      </w:pPr>
      <w:r>
        <w:rPr>
          <w:rFonts w:hint="eastAsia" w:ascii="Times New Roman" w:hAnsi="Times New Roman"/>
          <w:sz w:val="24"/>
          <w:szCs w:val="21"/>
        </w:rPr>
        <w:t xml:space="preserve"> </w:t>
      </w:r>
    </w:p>
    <w:p>
      <w:pPr>
        <w:spacing w:line="360" w:lineRule="auto"/>
        <w:jc w:val="left"/>
        <w:rPr>
          <w:rFonts w:ascii="黑体" w:hAnsi="黑体" w:eastAsia="黑体"/>
          <w:szCs w:val="18"/>
        </w:rPr>
      </w:pPr>
      <w:r>
        <w:rPr>
          <w:rFonts w:ascii="黑体" w:hAnsi="黑体" w:eastAsia="黑体"/>
          <w:szCs w:val="18"/>
        </w:rPr>
        <w:t xml:space="preserve">A.3.3 </w:t>
      </w:r>
      <w:r>
        <w:rPr>
          <w:rFonts w:hint="eastAsia" w:ascii="黑体" w:hAnsi="黑体" w:eastAsia="黑体"/>
          <w:szCs w:val="18"/>
        </w:rPr>
        <w:t>锂产品中有害元素浓度的检测方法</w:t>
      </w:r>
    </w:p>
    <w:p>
      <w:pPr>
        <w:spacing w:line="360" w:lineRule="auto"/>
        <w:jc w:val="left"/>
        <w:rPr>
          <w:rFonts w:ascii="Times New Roman" w:hAnsi="Times New Roman"/>
          <w:szCs w:val="21"/>
        </w:rPr>
      </w:pPr>
      <w:r>
        <w:rPr>
          <w:rFonts w:hint="eastAsia" w:ascii="Times New Roman" w:hAnsi="Times New Roman"/>
          <w:szCs w:val="21"/>
        </w:rPr>
        <w:t>锂产品中有害元素物质浓度的检测方法见</w:t>
      </w:r>
      <w:r>
        <w:rPr>
          <w:rFonts w:ascii="Times New Roman" w:hAnsi="Times New Roman"/>
          <w:szCs w:val="21"/>
        </w:rPr>
        <w:t>A.3</w:t>
      </w:r>
    </w:p>
    <w:p>
      <w:pPr>
        <w:spacing w:line="360" w:lineRule="auto"/>
        <w:jc w:val="center"/>
        <w:rPr>
          <w:rFonts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A.3    </w:t>
      </w:r>
      <w:r>
        <w:rPr>
          <w:rFonts w:hint="eastAsia" w:ascii="黑体" w:hAnsi="黑体" w:eastAsia="黑体"/>
          <w:sz w:val="18"/>
          <w:szCs w:val="18"/>
        </w:rPr>
        <w:t>锂产品中有害元素浓度的检测方法</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5387"/>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污染物项目</w:t>
            </w:r>
          </w:p>
        </w:tc>
        <w:tc>
          <w:tcPr>
            <w:tcW w:w="5387" w:type="dxa"/>
            <w:vAlign w:val="center"/>
          </w:tcPr>
          <w:p>
            <w:pPr>
              <w:jc w:val="center"/>
              <w:rPr>
                <w:rFonts w:ascii="Times New Roman" w:hAnsi="Times New Roman"/>
                <w:sz w:val="18"/>
                <w:szCs w:val="18"/>
              </w:rPr>
            </w:pPr>
            <w:r>
              <w:rPr>
                <w:rFonts w:hint="eastAsia" w:ascii="Times New Roman" w:hAnsi="Times New Roman"/>
                <w:sz w:val="18"/>
                <w:szCs w:val="18"/>
              </w:rPr>
              <w:t>检测方法标准名称</w:t>
            </w:r>
          </w:p>
        </w:tc>
        <w:tc>
          <w:tcPr>
            <w:tcW w:w="1326" w:type="dxa"/>
            <w:vAlign w:val="center"/>
          </w:tcPr>
          <w:p>
            <w:pPr>
              <w:jc w:val="center"/>
              <w:rPr>
                <w:rFonts w:ascii="Times New Roman" w:hAnsi="Times New Roman"/>
                <w:sz w:val="18"/>
                <w:szCs w:val="18"/>
              </w:rPr>
            </w:pPr>
            <w:r>
              <w:rPr>
                <w:rFonts w:hint="eastAsia" w:ascii="Times New Roman" w:hAnsi="Times New Roman"/>
                <w:sz w:val="18"/>
                <w:szCs w:val="18"/>
              </w:rPr>
              <w:t>方法标准</w:t>
            </w:r>
            <w:r>
              <w:rPr>
                <w:rFonts w:ascii="Times New Roman" w:hAnsi="Times New Roman"/>
                <w:sz w:val="18"/>
                <w:szCs w:val="18"/>
              </w:rPr>
              <w:br w:type="textWrapping"/>
            </w:r>
            <w:r>
              <w:rPr>
                <w:rFonts w:hint="eastAsia" w:ascii="Times New Roman" w:hAnsi="Times New Roman"/>
                <w:sz w:val="18"/>
                <w:szCs w:val="18"/>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ascii="Times New Roman" w:hAnsi="Times New Roman"/>
                <w:sz w:val="18"/>
                <w:szCs w:val="18"/>
              </w:rPr>
              <w:t>1</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镍</w:t>
            </w:r>
          </w:p>
        </w:tc>
        <w:tc>
          <w:tcPr>
            <w:tcW w:w="5387" w:type="dxa"/>
            <w:vAlign w:val="center"/>
          </w:tcPr>
          <w:p>
            <w:pPr>
              <w:rPr>
                <w:rFonts w:ascii="Times New Roman" w:hAnsi="Times New Roman"/>
                <w:sz w:val="18"/>
                <w:szCs w:val="18"/>
              </w:rPr>
            </w:pPr>
            <w:r>
              <w:rPr>
                <w:rFonts w:hint="eastAsia" w:ascii="Times New Roman" w:hAnsi="Times New Roman"/>
                <w:sz w:val="18"/>
                <w:szCs w:val="18"/>
              </w:rPr>
              <w:t xml:space="preserve">锂化学分析方法 </w:t>
            </w:r>
            <w:r>
              <w:rPr>
                <w:rFonts w:hint="eastAsia" w:ascii="Times New Roman" w:hAnsi="Times New Roman"/>
                <w:bCs/>
                <w:sz w:val="18"/>
                <w:szCs w:val="18"/>
              </w:rPr>
              <w:t>镍量的测定α—联呋喃甲酰二亏萃取光度法</w:t>
            </w:r>
          </w:p>
        </w:tc>
        <w:tc>
          <w:tcPr>
            <w:tcW w:w="1326" w:type="dxa"/>
            <w:vAlign w:val="center"/>
          </w:tcPr>
          <w:p>
            <w:pPr>
              <w:rPr>
                <w:rFonts w:ascii="Times New Roman" w:hAnsi="Times New Roman"/>
                <w:sz w:val="18"/>
                <w:szCs w:val="18"/>
              </w:rPr>
            </w:pPr>
            <w:r>
              <w:rPr>
                <w:rFonts w:ascii="Times New Roman" w:hAnsi="Times New Roman"/>
                <w:bCs/>
                <w:sz w:val="18"/>
                <w:szCs w:val="18"/>
              </w:rPr>
              <w:t xml:space="preserve">GB/T </w:t>
            </w:r>
            <w:r>
              <w:rPr>
                <w:rFonts w:hint="eastAsia" w:ascii="Times New Roman" w:hAnsi="Times New Roman"/>
                <w:bCs/>
                <w:sz w:val="18"/>
                <w:szCs w:val="18"/>
              </w:rPr>
              <w:t>2093.7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ascii="Times New Roman" w:hAnsi="Times New Roman"/>
                <w:sz w:val="18"/>
                <w:szCs w:val="18"/>
              </w:rPr>
              <w:t>2</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铅</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IEC62321-5:2013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ascii="Times New Roman" w:hAnsi="Times New Roman"/>
                <w:sz w:val="18"/>
                <w:szCs w:val="18"/>
              </w:rPr>
              <w:t>3</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镉</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IEC62321-5:2013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ascii="Times New Roman" w:hAnsi="Times New Roman"/>
                <w:sz w:val="18"/>
                <w:szCs w:val="18"/>
              </w:rPr>
              <w:t>4</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汞</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IEC62321-4:2013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铬</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多溴联苯</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IEC62321-6:2015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多溴二苯醚</w:t>
            </w:r>
          </w:p>
        </w:tc>
        <w:tc>
          <w:tcPr>
            <w:tcW w:w="5387" w:type="dxa"/>
            <w:vAlign w:val="center"/>
          </w:tcPr>
          <w:p>
            <w:pPr>
              <w:rPr>
                <w:rFonts w:ascii="Times New Roman" w:hAnsi="Times New Roman"/>
                <w:sz w:val="18"/>
                <w:szCs w:val="18"/>
              </w:rPr>
            </w:pPr>
            <w:r>
              <w:rPr>
                <w:rFonts w:hint="eastAsia" w:ascii="Times New Roman" w:hAnsi="Times New Roman"/>
                <w:sz w:val="18"/>
                <w:szCs w:val="18"/>
              </w:rPr>
              <w:t>电子电气产品中限用六种（铅、镉、汞、六价铬、多溴联苯、多溴二苯醚）物质浓度测定程序</w:t>
            </w:r>
          </w:p>
        </w:tc>
        <w:tc>
          <w:tcPr>
            <w:tcW w:w="1326" w:type="dxa"/>
            <w:vAlign w:val="center"/>
          </w:tcPr>
          <w:p>
            <w:pPr>
              <w:rPr>
                <w:rFonts w:ascii="Times New Roman" w:hAnsi="Times New Roman"/>
                <w:sz w:val="18"/>
                <w:szCs w:val="18"/>
              </w:rPr>
            </w:pPr>
            <w:r>
              <w:rPr>
                <w:rFonts w:hint="eastAsia" w:ascii="Times New Roman" w:hAnsi="Times New Roman"/>
                <w:sz w:val="18"/>
                <w:szCs w:val="18"/>
              </w:rPr>
              <w:t>IEC62321-6:2015</w:t>
            </w:r>
          </w:p>
        </w:tc>
      </w:tr>
    </w:tbl>
    <w:p>
      <w:pPr>
        <w:spacing w:line="360" w:lineRule="auto"/>
        <w:jc w:val="left"/>
        <w:rPr>
          <w:rFonts w:ascii="Times New Roman" w:hAnsi="Times New Roman"/>
          <w:color w:val="FF0000"/>
          <w:sz w:val="24"/>
          <w:szCs w:val="21"/>
        </w:rPr>
      </w:pPr>
    </w:p>
    <w:p>
      <w:pPr>
        <w:spacing w:line="360" w:lineRule="auto"/>
        <w:jc w:val="center"/>
        <w:rPr>
          <w:rFonts w:ascii="黑体" w:hAnsi="黑体" w:eastAsia="黑体"/>
          <w:sz w:val="32"/>
          <w:szCs w:val="24"/>
        </w:rPr>
      </w:pPr>
      <w:r>
        <w:rPr>
          <w:rFonts w:ascii="Times New Roman" w:hAnsi="Times New Roman"/>
          <w:color w:val="FF0000"/>
          <w:sz w:val="24"/>
          <w:szCs w:val="21"/>
        </w:rPr>
        <w:br w:type="page"/>
      </w:r>
      <w:bookmarkStart w:id="8" w:name="_Toc508953219"/>
      <w:r>
        <w:rPr>
          <w:rFonts w:hint="eastAsia" w:ascii="黑体" w:hAnsi="黑体" w:eastAsia="黑体"/>
          <w:sz w:val="32"/>
          <w:szCs w:val="24"/>
        </w:rPr>
        <w:t>附录</w:t>
      </w:r>
      <w:r>
        <w:rPr>
          <w:rFonts w:ascii="黑体" w:hAnsi="黑体" w:eastAsia="黑体"/>
          <w:sz w:val="32"/>
          <w:szCs w:val="24"/>
        </w:rPr>
        <w:t>B</w:t>
      </w:r>
      <w:bookmarkEnd w:id="8"/>
    </w:p>
    <w:p>
      <w:pPr>
        <w:spacing w:line="360" w:lineRule="auto"/>
        <w:jc w:val="center"/>
        <w:rPr>
          <w:rFonts w:ascii="黑体" w:hAnsi="黑体" w:eastAsia="黑体"/>
          <w:sz w:val="32"/>
          <w:szCs w:val="24"/>
        </w:rPr>
      </w:pPr>
      <w:r>
        <w:rPr>
          <w:rFonts w:hint="eastAsia" w:ascii="黑体" w:hAnsi="黑体" w:eastAsia="黑体"/>
          <w:sz w:val="32"/>
          <w:szCs w:val="24"/>
        </w:rPr>
        <w:t>（规范性附录）</w:t>
      </w:r>
    </w:p>
    <w:p>
      <w:pPr>
        <w:spacing w:line="360" w:lineRule="auto"/>
        <w:jc w:val="center"/>
        <w:rPr>
          <w:rFonts w:ascii="黑体" w:hAnsi="黑体" w:eastAsia="黑体"/>
          <w:sz w:val="32"/>
          <w:szCs w:val="24"/>
        </w:rPr>
      </w:pPr>
      <w:r>
        <w:rPr>
          <w:rFonts w:hint="eastAsia" w:ascii="黑体" w:hAnsi="黑体" w:eastAsia="黑体"/>
          <w:sz w:val="32"/>
          <w:szCs w:val="24"/>
        </w:rPr>
        <w:t>锂产品生命周期评价方法</w:t>
      </w:r>
    </w:p>
    <w:p>
      <w:pPr>
        <w:spacing w:line="360" w:lineRule="auto"/>
        <w:jc w:val="left"/>
        <w:rPr>
          <w:rFonts w:ascii="黑体" w:hAnsi="黑体" w:eastAsia="黑体"/>
          <w:b/>
          <w:bCs/>
          <w:sz w:val="24"/>
          <w:szCs w:val="21"/>
        </w:rPr>
      </w:pPr>
    </w:p>
    <w:p>
      <w:pPr>
        <w:spacing w:line="360" w:lineRule="auto"/>
        <w:jc w:val="left"/>
        <w:rPr>
          <w:rFonts w:ascii="黑体" w:hAnsi="黑体" w:eastAsia="黑体"/>
          <w:szCs w:val="18"/>
        </w:rPr>
      </w:pPr>
      <w:r>
        <w:rPr>
          <w:rFonts w:ascii="黑体" w:hAnsi="黑体" w:eastAsia="黑体"/>
          <w:szCs w:val="18"/>
        </w:rPr>
        <w:t xml:space="preserve">B.1 </w:t>
      </w:r>
      <w:r>
        <w:rPr>
          <w:rFonts w:hint="eastAsia" w:ascii="黑体" w:hAnsi="黑体" w:eastAsia="黑体"/>
          <w:szCs w:val="18"/>
        </w:rPr>
        <w:t>概况</w:t>
      </w:r>
    </w:p>
    <w:p>
      <w:pPr>
        <w:spacing w:line="360" w:lineRule="auto"/>
        <w:ind w:firstLine="420" w:firstLineChars="200"/>
        <w:jc w:val="left"/>
        <w:rPr>
          <w:rFonts w:ascii="Times New Roman" w:hAnsi="Times New Roman"/>
          <w:szCs w:val="18"/>
        </w:rPr>
      </w:pPr>
      <w:r>
        <w:rPr>
          <w:rFonts w:hint="eastAsia" w:ascii="Times New Roman" w:hAnsi="Times New Roman"/>
          <w:szCs w:val="18"/>
        </w:rPr>
        <w:t>依据</w:t>
      </w:r>
      <w:r>
        <w:rPr>
          <w:rFonts w:ascii="Times New Roman" w:hAnsi="Times New Roman"/>
          <w:szCs w:val="18"/>
        </w:rPr>
        <w:t>GB/T 24040</w:t>
      </w:r>
      <w:r>
        <w:rPr>
          <w:rFonts w:hint="eastAsia" w:ascii="Times New Roman" w:hAnsi="Times New Roman"/>
          <w:szCs w:val="18"/>
        </w:rPr>
        <w:t>和</w:t>
      </w:r>
      <w:r>
        <w:rPr>
          <w:rFonts w:ascii="Times New Roman" w:hAnsi="Times New Roman"/>
          <w:szCs w:val="18"/>
        </w:rPr>
        <w:t>GB/T 24044</w:t>
      </w:r>
      <w:r>
        <w:rPr>
          <w:rFonts w:hint="eastAsia" w:ascii="Times New Roman" w:hAnsi="Times New Roman"/>
          <w:szCs w:val="18"/>
        </w:rPr>
        <w:t>，建立锂产品的生命周期评价方法。</w:t>
      </w:r>
    </w:p>
    <w:p>
      <w:pPr>
        <w:spacing w:line="360" w:lineRule="auto"/>
        <w:ind w:firstLine="420" w:firstLineChars="200"/>
        <w:jc w:val="left"/>
        <w:rPr>
          <w:rFonts w:ascii="Times New Roman" w:hAnsi="Times New Roman"/>
          <w:szCs w:val="18"/>
        </w:rPr>
      </w:pPr>
      <w:r>
        <w:rPr>
          <w:rFonts w:hint="eastAsia" w:ascii="Times New Roman" w:hAnsi="Times New Roman"/>
          <w:szCs w:val="18"/>
        </w:rPr>
        <w:t>生命周期评价的过程应包括目的和范围的确定、清单分析、解释和报告等。具体如下：</w:t>
      </w:r>
    </w:p>
    <w:p>
      <w:pPr>
        <w:spacing w:line="360" w:lineRule="auto"/>
        <w:ind w:firstLine="420" w:firstLineChars="200"/>
        <w:jc w:val="left"/>
        <w:rPr>
          <w:rFonts w:ascii="Times New Roman" w:hAnsi="Times New Roman"/>
          <w:szCs w:val="18"/>
        </w:rPr>
      </w:pPr>
      <w:r>
        <w:rPr>
          <w:rFonts w:ascii="Times New Roman" w:hAnsi="Times New Roman"/>
          <w:szCs w:val="18"/>
        </w:rPr>
        <w:t>a</w:t>
      </w:r>
      <w:r>
        <w:rPr>
          <w:rFonts w:hint="eastAsia" w:ascii="Times New Roman" w:hAnsi="Times New Roman"/>
          <w:szCs w:val="18"/>
        </w:rPr>
        <w:t>）目的和范围确定：研究确定评价的目的，确定评价对象及功能单位，界定系统边界和时间边界，明确影响类型、必备要素和可选要素，提出数据及其质量要求，给出评价报告的形式。</w:t>
      </w:r>
    </w:p>
    <w:p>
      <w:pPr>
        <w:spacing w:line="360" w:lineRule="auto"/>
        <w:ind w:firstLine="420" w:firstLineChars="200"/>
        <w:jc w:val="left"/>
        <w:rPr>
          <w:rFonts w:ascii="Times New Roman" w:hAnsi="Times New Roman"/>
          <w:szCs w:val="18"/>
        </w:rPr>
      </w:pPr>
      <w:r>
        <w:rPr>
          <w:rFonts w:ascii="Times New Roman" w:hAnsi="Times New Roman"/>
          <w:szCs w:val="18"/>
        </w:rPr>
        <w:t>b</w:t>
      </w:r>
      <w:r>
        <w:rPr>
          <w:rFonts w:hint="eastAsia" w:ascii="Times New Roman" w:hAnsi="Times New Roman"/>
          <w:szCs w:val="18"/>
        </w:rPr>
        <w:t>）清单分析：主要包括数据收集准备、数据的收集、数据的确认、数据与单元过程的关联、数据与功能单位的关联、清单计算方法、数据合并和数据分配等。</w:t>
      </w:r>
    </w:p>
    <w:p>
      <w:pPr>
        <w:spacing w:line="360" w:lineRule="auto"/>
        <w:ind w:firstLine="420" w:firstLineChars="200"/>
        <w:jc w:val="left"/>
        <w:rPr>
          <w:rFonts w:ascii="Times New Roman" w:hAnsi="Times New Roman"/>
          <w:szCs w:val="18"/>
        </w:rPr>
      </w:pPr>
      <w:r>
        <w:rPr>
          <w:rFonts w:ascii="Times New Roman" w:hAnsi="Times New Roman"/>
          <w:szCs w:val="18"/>
        </w:rPr>
        <w:t>c</w:t>
      </w:r>
      <w:r>
        <w:rPr>
          <w:rFonts w:hint="eastAsia" w:ascii="Times New Roman" w:hAnsi="Times New Roman"/>
          <w:szCs w:val="18"/>
        </w:rPr>
        <w:t>）影响评价：选取影响类型、类型参数和特征化模型，将生命周期清单数据划分到所选的影响类型，计算类型特征化值。</w:t>
      </w:r>
    </w:p>
    <w:p>
      <w:pPr>
        <w:spacing w:line="360" w:lineRule="auto"/>
        <w:ind w:firstLine="420" w:firstLineChars="200"/>
        <w:jc w:val="left"/>
        <w:rPr>
          <w:rFonts w:ascii="Times New Roman" w:hAnsi="Times New Roman"/>
          <w:szCs w:val="18"/>
        </w:rPr>
      </w:pPr>
      <w:r>
        <w:rPr>
          <w:rFonts w:ascii="Times New Roman" w:hAnsi="Times New Roman"/>
          <w:szCs w:val="18"/>
        </w:rPr>
        <w:t>d</w:t>
      </w:r>
      <w:r>
        <w:rPr>
          <w:rFonts w:hint="eastAsia" w:ascii="Times New Roman" w:hAnsi="Times New Roman"/>
          <w:szCs w:val="18"/>
        </w:rPr>
        <w:t>）解释和报告：综合考虑清单分析和影响评价，对评价结果进行完整性、敏感性、一致性和不确定性检查，并对结论、建议和局限性进行说明，编制产品生命周期评价报告。</w:t>
      </w:r>
    </w:p>
    <w:p>
      <w:pPr>
        <w:spacing w:line="360" w:lineRule="auto"/>
        <w:jc w:val="left"/>
        <w:rPr>
          <w:rFonts w:ascii="黑体" w:hAnsi="黑体" w:eastAsia="黑体"/>
          <w:szCs w:val="18"/>
        </w:rPr>
      </w:pPr>
      <w:r>
        <w:rPr>
          <w:rFonts w:ascii="黑体" w:hAnsi="黑体" w:eastAsia="黑体"/>
          <w:szCs w:val="18"/>
        </w:rPr>
        <w:t xml:space="preserve">B.2 </w:t>
      </w:r>
      <w:r>
        <w:rPr>
          <w:rFonts w:hint="eastAsia" w:ascii="黑体" w:hAnsi="黑体" w:eastAsia="黑体"/>
          <w:szCs w:val="18"/>
        </w:rPr>
        <w:t>范围确定</w:t>
      </w:r>
    </w:p>
    <w:p>
      <w:pPr>
        <w:spacing w:line="360" w:lineRule="auto"/>
        <w:jc w:val="left"/>
        <w:rPr>
          <w:rFonts w:ascii="黑体" w:hAnsi="黑体" w:eastAsia="黑体"/>
          <w:szCs w:val="18"/>
        </w:rPr>
      </w:pPr>
      <w:r>
        <w:rPr>
          <w:rFonts w:ascii="黑体" w:hAnsi="黑体" w:eastAsia="黑体"/>
          <w:szCs w:val="18"/>
        </w:rPr>
        <w:t xml:space="preserve">B.2.1 </w:t>
      </w:r>
      <w:r>
        <w:rPr>
          <w:rFonts w:hint="eastAsia" w:ascii="黑体" w:hAnsi="黑体" w:eastAsia="黑体"/>
          <w:szCs w:val="18"/>
        </w:rPr>
        <w:t>总则</w:t>
      </w:r>
    </w:p>
    <w:p>
      <w:pPr>
        <w:spacing w:line="360" w:lineRule="auto"/>
        <w:ind w:firstLine="420" w:firstLineChars="200"/>
        <w:jc w:val="left"/>
        <w:rPr>
          <w:rFonts w:ascii="Times New Roman" w:hAnsi="Times New Roman"/>
          <w:szCs w:val="18"/>
        </w:rPr>
      </w:pPr>
      <w:r>
        <w:rPr>
          <w:rFonts w:hint="eastAsia" w:ascii="Times New Roman" w:hAnsi="Times New Roman"/>
          <w:szCs w:val="18"/>
        </w:rPr>
        <w:t>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pPr>
        <w:spacing w:line="360" w:lineRule="auto"/>
        <w:jc w:val="left"/>
        <w:rPr>
          <w:rFonts w:ascii="黑体" w:hAnsi="黑体" w:eastAsia="黑体"/>
          <w:szCs w:val="18"/>
        </w:rPr>
      </w:pPr>
      <w:r>
        <w:rPr>
          <w:rFonts w:ascii="黑体" w:hAnsi="黑体" w:eastAsia="黑体"/>
          <w:szCs w:val="18"/>
        </w:rPr>
        <w:t xml:space="preserve">B.2.2 </w:t>
      </w:r>
      <w:r>
        <w:rPr>
          <w:rFonts w:hint="eastAsia" w:ascii="黑体" w:hAnsi="黑体" w:eastAsia="黑体"/>
          <w:szCs w:val="18"/>
        </w:rPr>
        <w:t>评价范围</w:t>
      </w:r>
    </w:p>
    <w:p>
      <w:pPr>
        <w:spacing w:line="360" w:lineRule="auto"/>
        <w:ind w:firstLine="420" w:firstLineChars="200"/>
        <w:jc w:val="left"/>
        <w:rPr>
          <w:rFonts w:ascii="Times New Roman" w:hAnsi="Times New Roman"/>
          <w:szCs w:val="18"/>
        </w:rPr>
      </w:pPr>
      <w:r>
        <w:rPr>
          <w:rFonts w:hint="eastAsia" w:ascii="Times New Roman" w:hAnsi="Times New Roman"/>
          <w:szCs w:val="18"/>
        </w:rPr>
        <w:t>锂产品生命周期评价范围包括LiCl—KCl熔盐电解、粗锂精炼阶段。粗锂精炼包括粗锂熔融化料和蒸馏除杂工序。</w:t>
      </w:r>
    </w:p>
    <w:p>
      <w:pPr>
        <w:spacing w:line="360" w:lineRule="auto"/>
        <w:ind w:firstLine="420" w:firstLineChars="200"/>
        <w:jc w:val="left"/>
        <w:rPr>
          <w:rFonts w:ascii="Times New Roman" w:hAnsi="Times New Roman"/>
          <w:szCs w:val="18"/>
        </w:rPr>
      </w:pPr>
      <w:r>
        <w:rPr>
          <w:rFonts w:hint="eastAsia" w:ascii="Times New Roman" w:hAnsi="Times New Roman"/>
          <w:szCs w:val="18"/>
        </w:rPr>
        <w:t>功能单位为</w:t>
      </w:r>
      <w:r>
        <w:rPr>
          <w:rFonts w:ascii="Times New Roman" w:hAnsi="Times New Roman"/>
          <w:szCs w:val="18"/>
        </w:rPr>
        <w:t>1t</w:t>
      </w:r>
      <w:r>
        <w:rPr>
          <w:rFonts w:hint="eastAsia" w:ascii="Times New Roman" w:hAnsi="Times New Roman"/>
          <w:szCs w:val="18"/>
        </w:rPr>
        <w:t>（锂）。</w:t>
      </w:r>
    </w:p>
    <w:p>
      <w:pPr>
        <w:spacing w:line="360" w:lineRule="auto"/>
        <w:ind w:firstLine="420" w:firstLineChars="200"/>
        <w:jc w:val="left"/>
        <w:rPr>
          <w:rFonts w:ascii="Times New Roman" w:hAnsi="Times New Roman"/>
          <w:szCs w:val="18"/>
        </w:rPr>
      </w:pPr>
      <w:r>
        <w:rPr>
          <w:rFonts w:hint="eastAsia" w:ascii="Times New Roman" w:hAnsi="Times New Roman"/>
          <w:szCs w:val="18"/>
        </w:rPr>
        <w:t>根据锂产品的实际生产、使用情况，产品评价的系统边界如图</w:t>
      </w:r>
      <w:r>
        <w:rPr>
          <w:rFonts w:ascii="Times New Roman" w:hAnsi="Times New Roman"/>
          <w:szCs w:val="18"/>
        </w:rPr>
        <w:t>B.1</w:t>
      </w:r>
      <w:r>
        <w:rPr>
          <w:rFonts w:hint="eastAsia" w:ascii="Times New Roman" w:hAnsi="Times New Roman"/>
          <w:szCs w:val="18"/>
        </w:rPr>
        <w:t>所示：</w:t>
      </w:r>
    </w:p>
    <w:p>
      <w:pPr>
        <w:spacing w:line="360" w:lineRule="auto"/>
        <w:ind w:firstLine="420" w:firstLineChars="200"/>
        <w:jc w:val="left"/>
        <w:rPr>
          <w:rFonts w:ascii="Times New Roman" w:hAnsi="Times New Roman"/>
          <w:szCs w:val="18"/>
        </w:rPr>
      </w:pPr>
      <w:r>
        <w:rPr>
          <w:rFonts w:ascii="Times New Roman" w:hAnsi="Times New Roman"/>
          <w:szCs w:val="18"/>
        </w:rPr>
        <mc:AlternateContent>
          <mc:Choice Requires="wpc">
            <w:drawing>
              <wp:inline distT="0" distB="0" distL="114300" distR="114300">
                <wp:extent cx="4751705" cy="3131820"/>
                <wp:effectExtent l="0" t="0" r="10795" b="10795"/>
                <wp:docPr id="53" name="画布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g:wgp>
                        <wpg:cNvPr id="52" name="Group 141"/>
                        <wpg:cNvGrpSpPr/>
                        <wpg:grpSpPr>
                          <a:xfrm>
                            <a:off x="194945" y="186055"/>
                            <a:ext cx="4556760" cy="2945765"/>
                            <a:chOff x="2120" y="1748"/>
                            <a:chExt cx="7470" cy="4830"/>
                          </a:xfrm>
                        </wpg:grpSpPr>
                        <wps:wsp>
                          <wps:cNvPr id="34" name="AutoShape 142"/>
                          <wps:cNvSpPr/>
                          <wps:spPr>
                            <a:xfrm>
                              <a:off x="2120" y="2051"/>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原材料</w:t>
                                </w:r>
                              </w:p>
                            </w:txbxContent>
                          </wps:txbx>
                          <wps:bodyPr upright="1"/>
                        </wps:wsp>
                        <wps:wsp>
                          <wps:cNvPr id="35" name="AutoShape 143"/>
                          <wps:cNvSpPr/>
                          <wps:spPr>
                            <a:xfrm>
                              <a:off x="2120" y="3390"/>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能源</w:t>
                                </w:r>
                              </w:p>
                            </w:txbxContent>
                          </wps:txbx>
                          <wps:bodyPr upright="1"/>
                        </wps:wsp>
                        <wps:wsp>
                          <wps:cNvPr id="36" name="AutoShape 144"/>
                          <wps:cNvSpPr/>
                          <wps:spPr>
                            <a:xfrm>
                              <a:off x="2150" y="4736"/>
                              <a:ext cx="1466" cy="545"/>
                            </a:xfrm>
                            <a:prstGeom prst="flowChartProcess">
                              <a:avLst/>
                            </a:prstGeom>
                            <a:solidFill>
                              <a:srgbClr val="FFFFFF"/>
                            </a:solidFill>
                            <a:ln w="9525" cap="flat" cmpd="sng">
                              <a:solidFill>
                                <a:schemeClr val="tx1"/>
                              </a:solidFill>
                              <a:prstDash val="solid"/>
                              <a:miter/>
                              <a:headEnd type="none" w="med" len="med"/>
                              <a:tailEnd type="none" w="med" len="med"/>
                            </a:ln>
                          </wps:spPr>
                          <wps:txbx>
                            <w:txbxContent>
                              <w:p>
                                <w:pPr>
                                  <w:jc w:val="center"/>
                                </w:pPr>
                                <w:r>
                                  <w:rPr>
                                    <w:rFonts w:hint="eastAsia"/>
                                  </w:rPr>
                                  <w:t>水</w:t>
                                </w:r>
                              </w:p>
                            </w:txbxContent>
                          </wps:txbx>
                          <wps:bodyPr upright="1"/>
                        </wps:wsp>
                        <wps:wsp>
                          <wps:cNvPr id="37" name="AutoShape 145"/>
                          <wps:cNvSpPr/>
                          <wps:spPr>
                            <a:xfrm>
                              <a:off x="4550" y="1748"/>
                              <a:ext cx="2663" cy="3831"/>
                            </a:xfrm>
                            <a:prstGeom prst="flowChartProcess">
                              <a:avLst/>
                            </a:prstGeom>
                            <a:solidFill>
                              <a:srgbClr val="FFFFFF">
                                <a:alpha val="0"/>
                              </a:srgbClr>
                            </a:solidFill>
                            <a:ln w="9525" cap="flat" cmpd="sng">
                              <a:solidFill>
                                <a:srgbClr val="000000"/>
                              </a:solidFill>
                              <a:prstDash val="dash"/>
                              <a:miter/>
                              <a:headEnd type="none" w="med" len="med"/>
                              <a:tailEnd type="none" w="med" len="med"/>
                            </a:ln>
                          </wps:spPr>
                          <wps:bodyPr upright="1"/>
                        </wps:wsp>
                        <wps:wsp>
                          <wps:cNvPr id="38" name="AutoShape 146"/>
                          <wps:cNvSpPr/>
                          <wps:spPr>
                            <a:xfrm>
                              <a:off x="5098" y="4736"/>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锂包装</w:t>
                                </w:r>
                              </w:p>
                            </w:txbxContent>
                          </wps:txbx>
                          <wps:bodyPr upright="1"/>
                        </wps:wsp>
                        <wps:wsp>
                          <wps:cNvPr id="39" name="AutoShape 147"/>
                          <wps:cNvSpPr/>
                          <wps:spPr>
                            <a:xfrm>
                              <a:off x="5121" y="2051"/>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Cs w:val="21"/>
                                  </w:rPr>
                                  <w:t>熔盐电解</w:t>
                                </w:r>
                              </w:p>
                            </w:txbxContent>
                          </wps:txbx>
                          <wps:bodyPr upright="1"/>
                        </wps:wsp>
                        <wps:wsp>
                          <wps:cNvPr id="40" name="AutoShape 148"/>
                          <wps:cNvSpPr/>
                          <wps:spPr>
                            <a:xfrm>
                              <a:off x="5012" y="3264"/>
                              <a:ext cx="1657" cy="81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粗锂精炼</w:t>
                                </w:r>
                              </w:p>
                            </w:txbxContent>
                          </wps:txbx>
                          <wps:bodyPr upright="1"/>
                        </wps:wsp>
                        <wps:wsp>
                          <wps:cNvPr id="41" name="AutoShape 149"/>
                          <wps:cNvCnPr/>
                          <wps:spPr>
                            <a:xfrm flipH="1">
                              <a:off x="5841" y="2596"/>
                              <a:ext cx="13" cy="668"/>
                            </a:xfrm>
                            <a:prstGeom prst="straightConnector1">
                              <a:avLst/>
                            </a:prstGeom>
                            <a:ln w="9525" cap="flat" cmpd="sng">
                              <a:solidFill>
                                <a:srgbClr val="000000"/>
                              </a:solidFill>
                              <a:prstDash val="solid"/>
                              <a:headEnd type="none" w="med" len="med"/>
                              <a:tailEnd type="triangle" w="med" len="med"/>
                            </a:ln>
                          </wps:spPr>
                          <wps:bodyPr/>
                        </wps:wsp>
                        <wps:wsp>
                          <wps:cNvPr id="42" name="AutoShape 150"/>
                          <wps:cNvCnPr/>
                          <wps:spPr>
                            <a:xfrm flipH="1">
                              <a:off x="5831" y="4081"/>
                              <a:ext cx="10" cy="655"/>
                            </a:xfrm>
                            <a:prstGeom prst="straightConnector1">
                              <a:avLst/>
                            </a:prstGeom>
                            <a:ln w="9525" cap="flat" cmpd="sng">
                              <a:solidFill>
                                <a:srgbClr val="000000"/>
                              </a:solidFill>
                              <a:prstDash val="solid"/>
                              <a:headEnd type="none" w="med" len="med"/>
                              <a:tailEnd type="triangle" w="med" len="med"/>
                            </a:ln>
                          </wps:spPr>
                          <wps:bodyPr/>
                        </wps:wsp>
                        <wps:wsp>
                          <wps:cNvPr id="43" name="AutoShape 151"/>
                          <wps:cNvCnPr/>
                          <wps:spPr>
                            <a:xfrm>
                              <a:off x="5831" y="5281"/>
                              <a:ext cx="1" cy="752"/>
                            </a:xfrm>
                            <a:prstGeom prst="straightConnector1">
                              <a:avLst/>
                            </a:prstGeom>
                            <a:ln w="9525" cap="flat" cmpd="sng">
                              <a:solidFill>
                                <a:srgbClr val="000000"/>
                              </a:solidFill>
                              <a:prstDash val="solid"/>
                              <a:headEnd type="none" w="med" len="med"/>
                              <a:tailEnd type="triangle" w="med" len="med"/>
                            </a:ln>
                          </wps:spPr>
                          <wps:bodyPr/>
                        </wps:wsp>
                        <wps:wsp>
                          <wps:cNvPr id="44" name="AutoShape 152"/>
                          <wps:cNvSpPr/>
                          <wps:spPr>
                            <a:xfrm>
                              <a:off x="5098" y="6033"/>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销售</w:t>
                                </w:r>
                              </w:p>
                            </w:txbxContent>
                          </wps:txbx>
                          <wps:bodyPr upright="1"/>
                        </wps:wsp>
                        <wps:wsp>
                          <wps:cNvPr id="45" name="AutoShape 153"/>
                          <wps:cNvSpPr/>
                          <wps:spPr>
                            <a:xfrm>
                              <a:off x="7880" y="3390"/>
                              <a:ext cx="1466"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废物排放</w:t>
                                </w:r>
                              </w:p>
                            </w:txbxContent>
                          </wps:txbx>
                          <wps:bodyPr upright="1"/>
                        </wps:wsp>
                        <wps:wsp>
                          <wps:cNvPr id="46" name="AutoShape 154"/>
                          <wps:cNvCnPr/>
                          <wps:spPr>
                            <a:xfrm flipV="1">
                              <a:off x="7213" y="3663"/>
                              <a:ext cx="667" cy="1"/>
                            </a:xfrm>
                            <a:prstGeom prst="straightConnector1">
                              <a:avLst/>
                            </a:prstGeom>
                            <a:ln w="9525" cap="flat" cmpd="sng">
                              <a:solidFill>
                                <a:srgbClr val="000000"/>
                              </a:solidFill>
                              <a:prstDash val="solid"/>
                              <a:headEnd type="none" w="med" len="med"/>
                              <a:tailEnd type="triangle" w="med" len="med"/>
                            </a:ln>
                          </wps:spPr>
                          <wps:bodyPr/>
                        </wps:wsp>
                        <wps:wsp>
                          <wps:cNvPr id="47" name="AutoShape 155"/>
                          <wps:cNvCnPr/>
                          <wps:spPr>
                            <a:xfrm>
                              <a:off x="3586" y="3663"/>
                              <a:ext cx="964" cy="1"/>
                            </a:xfrm>
                            <a:prstGeom prst="straightConnector1">
                              <a:avLst/>
                            </a:prstGeom>
                            <a:ln w="9525" cap="flat" cmpd="sng">
                              <a:solidFill>
                                <a:srgbClr val="000000"/>
                              </a:solidFill>
                              <a:prstDash val="solid"/>
                              <a:headEnd type="none" w="med" len="med"/>
                              <a:tailEnd type="triangle" w="med" len="med"/>
                            </a:ln>
                          </wps:spPr>
                          <wps:bodyPr/>
                        </wps:wsp>
                        <wps:wsp>
                          <wps:cNvPr id="48" name="AutoShape 156"/>
                          <wps:cNvCnPr/>
                          <wps:spPr>
                            <a:xfrm>
                              <a:off x="3588" y="2335"/>
                              <a:ext cx="964" cy="1"/>
                            </a:xfrm>
                            <a:prstGeom prst="straightConnector1">
                              <a:avLst/>
                            </a:prstGeom>
                            <a:ln w="9525" cap="flat" cmpd="sng">
                              <a:solidFill>
                                <a:srgbClr val="000000"/>
                              </a:solidFill>
                              <a:prstDash val="solid"/>
                              <a:headEnd type="none" w="med" len="med"/>
                              <a:tailEnd type="triangle" w="med" len="med"/>
                            </a:ln>
                          </wps:spPr>
                          <wps:bodyPr/>
                        </wps:wsp>
                        <wps:wsp>
                          <wps:cNvPr id="49" name="AutoShape 157"/>
                          <wps:cNvCnPr/>
                          <wps:spPr>
                            <a:xfrm>
                              <a:off x="3632" y="5011"/>
                              <a:ext cx="964" cy="1"/>
                            </a:xfrm>
                            <a:prstGeom prst="straightConnector1">
                              <a:avLst/>
                            </a:prstGeom>
                            <a:ln w="9525" cap="flat" cmpd="sng">
                              <a:solidFill>
                                <a:schemeClr val="tx1"/>
                              </a:solidFill>
                              <a:prstDash val="solid"/>
                              <a:headEnd type="none" w="med" len="med"/>
                              <a:tailEnd type="triangle" w="med" len="med"/>
                            </a:ln>
                          </wps:spPr>
                          <wps:bodyPr/>
                        </wps:wsp>
                        <wps:wsp>
                          <wps:cNvPr id="50" name="AutoShape 158"/>
                          <wps:cNvSpPr/>
                          <wps:spPr>
                            <a:xfrm>
                              <a:off x="8124" y="2051"/>
                              <a:ext cx="1466" cy="545"/>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系统边界</w:t>
                                </w:r>
                              </w:p>
                            </w:txbxContent>
                          </wps:txbx>
                          <wps:bodyPr upright="1"/>
                        </wps:wsp>
                        <wps:wsp>
                          <wps:cNvPr id="51" name="AutoShape 159"/>
                          <wps:cNvCnPr/>
                          <wps:spPr>
                            <a:xfrm flipV="1">
                              <a:off x="7271" y="2324"/>
                              <a:ext cx="853" cy="40"/>
                            </a:xfrm>
                            <a:prstGeom prst="straightConnector1">
                              <a:avLst/>
                            </a:prstGeom>
                            <a:ln w="9525" cap="flat" cmpd="sng">
                              <a:solidFill>
                                <a:srgbClr val="000000"/>
                              </a:solidFill>
                              <a:prstDash val="solid"/>
                              <a:headEnd type="triangle" w="med" len="med"/>
                              <a:tailEnd type="none" w="med" len="med"/>
                            </a:ln>
                          </wps:spPr>
                          <wps:bodyPr/>
                        </wps:wsp>
                      </wpg:wgp>
                    </wpc:wpc>
                  </a:graphicData>
                </a:graphic>
              </wp:inline>
            </w:drawing>
          </mc:Choice>
          <mc:Fallback>
            <w:pict>
              <v:group id="画布 139" o:spid="_x0000_s1026" o:spt="203" style="height:246.6pt;width:374.15pt;" coordsize="4751705,3131820" editas="canvas" o:gfxdata="UEsDBAoAAAAAAIdO4kAAAAAAAAAAAAAAAAAEAAAAZHJzL1BLAwQUAAAACACHTuJA3FxxUdgAAAAF&#10;AQAADwAAAGRycy9kb3ducmV2LnhtbE2PT2vCQBDF74V+h2UKXopu/IO1aSYehKKUghit5zU7TUKz&#10;szG7Jvbbd+2lvQw83uO93yTLq6lFR62rLCOMRxEI4tzqiguEw/51uADhvGKtasuE8E0Olun9XaJi&#10;bXveUZf5QoQSdrFCKL1vYildXpJRbmQb4uB92tYoH2RbSN2qPpSbWk6iaC6NqjgslKqhVUn5V3Yx&#10;CH2+7Y7797XcPh43ls+b8yr7eEMcPIyjFxCerv4vDDf8gA5pYDrZC2snaoTwiP+9wXuaLaYgTgiz&#10;5+kEZJrI//TpD1BLAwQUAAAACACHTuJAftuaqSsFAAA8LAAADgAAAGRycy9lMm9Eb2MueG1s7VrL&#10;buM2FN0X6D8I2jfWi5IsxBkUySRdFG2Aabtn9AYkUSCV2Fn3F/oxBfo9RX+jl5e0LNtyY2eQx0zl&#10;hS1ZFEUeHd177hHPP6zqynhIuShZszDtM8s00iZmSdnkC/PXX66/C01DdLRJaMWadGE+psL8cPHt&#10;N+fLNkodVrAqSbkBnTQiWrYLs+i6NprNRFykNRVnrE0bOJgxXtMOdnk+SzhdQu91NXMsy58tGU9a&#10;zuJUCPj3Sh00L7D/LEvj7ucsE2lnVAsTxtbhN8fvO/k9uzinUc5pW5SxHgZ9xihqWjZw0b6rK9pR&#10;456Xe13VZcyZYFl3FrN6xrKsjFOcA8zGtnZmc8PZfYtzyaNl3vYwAbQ7OD272/inh1tulMnCJK5p&#10;NLSGe/TPH3/9/efvhu3OJTzLNo+g1Q1vP7W3XP+Rqz0541XGa/kLczFWCOxjD2y66owY/vQCYgcW&#10;MY0Yjrm2a4eOhj4u4P7snRcXH584c7a+8EyOrx9Ov/PCWDlrrPAWGbZnPwMqe+7NPQAFMLFD3yJE&#10;sbEHjRA/8IG0EjQHWga+btGD5tiAI54feKE6ewNd4AX6ZC90Ee6DoMGzJzb0Ep9Hr08FbVNkrZDE&#10;0fRyvTVk3993DNsAbI6CDRv29BKRAKaNcKufrmMRBJxGa7Bsz/cVUgQgBZb2c6VRy0V3k7LakBsL&#10;M6vY8rKgvLtVYQOfW/rwo+jUaevmcgCCVWVyXVYV7vD87rLixgOFYHKNH32lrWZVYywX5pw4ku8U&#10;YlpW0Q426xaeMtHkeL2tM8SwYws/Yx3LgV1RUagBYA+yGY3qsks5bhUpTT42idE9tvAgNxByTTmY&#10;Ok1Mo0ohQsstbNnRsjqmJeBYNQDnsl3fFrnVre5W0I3cvGPJI9zj+5aXeQHw4o3B5sAp1eTlyQVQ&#10;q9g1JJcrZyqHCCw8gVyuO9fBaSLXRC7IVxBY9snlnUguogK1F0B3+ABO5JrIBeQKxsiFGezoyOUR&#10;TS67VwFrcjm+D7IOVVfoqsi8Fk4vmxdlWqJVW1CVrNbyQ2c6TM9bKfCVkmYC6VM9fq+fM99FooRy&#10;bD+WYUQ6mm7EmkMvoEmnWAZ6TgrEt2LUe1Nh8zFyBSclSmI7NpJrkvgTuYb1owf6aT9yYdF7QuSy&#10;oXCXFoTjo34b1I8+gUwsE2VoI2On+vF/VD+CfTNCLm1/IQsvG+19ratgJaOMrCrbH2TRKwWPtsBI&#10;KPuTpg2Z74p9rcZ8H5l7mGSi41TW05esacDEZFxd4YBN8UrqaZDsnms0dLykTV4dsCXGzQYlnKBo&#10;emVXAdypfVaA1N64CqexAgQ4yiYr3DWvtE/nKwtwYsW2WfXOWNH75AOvSdmROhEdYMVWhNBcIM4e&#10;F1QWCghaoxMV3jUVxjxtdeNO0CS6mvItFw3LgSaZPG35zDw31Rx2v8cDyjurpuSboT3BCy/pNtnn&#10;aU87CENlO06e9lRNbVVTY542GXraB5IYCt7fdgRv4NiQFGVdJe3GLXfb93VZ9YT5OOld9c5T5o03&#10;07tjXrSSpEcrG5eEQK1RKsyh5sYKe6LCyBvZ8Zz0ZlQY84nJ0Cc+EB8GIheooHxix3V3ljZMVPiC&#10;quAxVxfMso0OOYIKvquMN2LZO7XvRIUvhwryNeO+JD3Ngw1tB9KANMe+4jU8hxcHTWt4mnx8gRhY&#10;KCPkOtaD3ZekgfZgXeDbliQN5UpH6fTDKwU48LVYLP/trNLo8xZ8jQiRzcpLdGZxiSrCqZfTyjWw&#10;w31stVn0e/E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3FxxUdgAAAAFAQAADwAAAAAAAAABACAA&#10;AAAiAAAAZHJzL2Rvd25yZXYueG1sUEsBAhQAFAAAAAgAh07iQH7bmqkrBQAAPCwAAA4AAAAAAAAA&#10;AQAgAAAAJwEAAGRycy9lMm9Eb2MueG1sUEsFBgAAAAAGAAYAWQEAAMQIAAAAAA==&#10;">
                <o:lock v:ext="edit" aspectratio="f"/>
                <v:rect id="画布 139" o:spid="_x0000_s1026" o:spt="1" style="position:absolute;left:0;top:0;height:3131820;width:4751705;" filled="f" stroked="f" coordsize="21600,21600" o:gfxdata="UEsDBAoAAAAAAIdO4kAAAAAAAAAAAAAAAAAEAAAAZHJzL1BLAwQUAAAACACHTuJA3FxxUdgAAAAF&#10;AQAADwAAAGRycy9kb3ducmV2LnhtbE2PT2vCQBDF74V+h2UKXopu/IO1aSYehKKUghit5zU7TUKz&#10;szG7Jvbbd+2lvQw83uO93yTLq6lFR62rLCOMRxEI4tzqiguEw/51uADhvGKtasuE8E0Olun9XaJi&#10;bXveUZf5QoQSdrFCKL1vYildXpJRbmQb4uB92tYoH2RbSN2qPpSbWk6iaC6NqjgslKqhVUn5V3Yx&#10;CH2+7Y7797XcPh43ls+b8yr7eEMcPIyjFxCerv4vDDf8gA5pYDrZC2snaoTwiP+9wXuaLaYgTgiz&#10;5+kEZJrI//TpD1BLAwQUAAAACACHTuJANqqaQDcFAADFKwAADgAAAGRycy9lMm9Eb2MueG1s7VpN&#10;b+M2EL0X6H8QdG+sL0qyEGdROJv0ULQBtu2d1jcgiQLJxM6/7wwp2bItd+Nsk3gX8sGWLJIiR29m&#10;3jzx+tOmroynlIuSNQvTvrJMI21ilpRNvjD//uvul9A0hKRNQivWpAvzORXmp5uff7pet1HqsIJV&#10;ScoNGKQR0bpdmIWUbTSbibhIayquWJs2cDFjvKYSTnk+Szhdw+h1NXMsy5+tGU9azuJUCPj3Vl80&#10;b9T4WZbG8s8sE6k0qoUJc5Pqm6vvFX7Pbq5plHPaFmXcTYO+YhY1LRu46XaoWyqp8cjLo6HqMuZM&#10;sExexayesSwr41StAVZjWwerWdLmiQq1mBis008Qjv7HcVc5zrthd2VVgTVmMHqE/+HvGp5Piper&#10;xlgvzDlxiFrltjWN6lKmHPtho657123d5tE6b7dPFxBx8HjPssY9Z4+tMkYexX88PXCjTBYmcUyj&#10;oTVAS103bM/Gh4r3hkb3vP3SPuD88I9cn+GCNhmv8ReegLEB4M69uUdM4xkOQ98iRAMj3Ugjhsse&#10;IX7gA35iaOBAy8DvWsQF4AtHcGwHrmP/wAt177j43PUPvKDr7IWuAh2YS08B7D2Y2LoFNxA7k4lv&#10;M9mXgrapMpkYmMz1epP9+iiZagNmc7TZVMOtzUQkwHwjBtsu17GIMjiNemPZnu9rSxEwqYZGb+6W&#10;C3mfstrAg4WZVWy9LCiXD9qDFbjo0+9C6m59c5yAYFWZIEjVCc9Xy4obTxT8+k59ujvtNRvA1ogp&#10;hJesohLmVreAHNHk6n57PcRwYEt9xgbGid1SUegJqBGw2c4daFSkNPncJIZ8bgGcDUQ/E32oThPT&#10;qFIIlnik+khaVi9puXOx/rEgXORmtYFh8HDFkmdwi8eWl3kB5lUPBgCmMKWbvD24wIu0Pw7B5eJK&#10;cSLgk2eAy3XnXYiewDWBa2G6EFiOweWdCS6iA7UXwHDKASdwTeACcAVj4FIZ7MWRC4jCIQvoweX4&#10;vqvTohu6OjL3HIBGfaJ7i7yIaYlWbUF1surpR5fpFHPbS4HvlDQTSJ/a/XoK+X458yISJVRGx7FM&#10;RaQXw41YcxgFSOcUy4DPIUH8KERdGgubj4ErOCtREtuxFbgmij+Ba1g/epDijiOXKnrPiFw2FO4Q&#10;uVzHV/xtUD/6BDIxVtqhrRC7rZXfNk8CFYQ7fUQqnCLXTs8B+WYEXPNB5Fo2naDTV8GaRhlZVba/&#10;YdGLhKfTdUiI4wGUHDI/JPsdG/N9hdzTIBOSU6ynl6xpQE9kXN/hhEzxTuxpAJnXCg2Sl7TJqxOy&#10;xLjYoIkTegp6OogJ76QqgDp1jAqg2jtV4TxUAAFXtMkKD8WrTqfztQQ4oWJfrLowVIALHyUiLUd2&#10;iegEKvYiRIcF4hxhQWehACRmnRtOqJhTgNAiMdr8wwLEmKatH9wZnKSrpnzLVYLlgJNMmjb6zGtT&#10;zWn1ezygXFg1hW+GjuPMeZp2EIZaGZo07ama2qumxjRtMtS0TyQxRXj/OSC8gWNDUsS6CuVGSFu7&#10;GOb7XVn1FfFxSmcXkM7GtGhNSV/MbFwSArRGoTCHmltV2BMURt7IjuekD2M2YzoxGerEJ+LDgOQC&#10;FLRO7LjuwdaGCQrfURU8puqCWPbVKngIBd/Vwhux7IPad4LC9wMFfM14TEnP02BD24E0gOLYD7yH&#10;5/TmoGkPT5OPbxADCWUEXC/VYI8padBpsC7gbY+ShqQTYeGVwg8ksfy3skqjb9vwNUJE1CZC2GrZ&#10;779sY/Uuo9vXiptRh+eq1W737c2/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3FxxUdgAAAAFAQAA&#10;DwAAAAAAAAABACAAAAAiAAAAZHJzL2Rvd25yZXYueG1sUEsBAhQAFAAAAAgAh07iQDaqmkA3BQAA&#10;xSsAAA4AAAAAAAAAAQAgAAAAJwEAAGRycy9lMm9Eb2MueG1sUEsFBgAAAAAGAAYAWQEAANAIAAAA&#10;AA==&#10;">
                  <v:fill on="f" focussize="0,0"/>
                  <v:stroke on="f" joinstyle="miter"/>
                  <v:imagedata o:title=""/>
                  <o:lock v:ext="edit" aspectratio="t"/>
                </v:rect>
                <v:group id="Group 141" o:spid="_x0000_s1026" o:spt="203" style="position:absolute;left:194945;top:186055;height:2945765;width:4556760;" coordorigin="2120,1748" coordsize="747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o:lock v:ext="edit" aspectratio="f"/>
                  <v:shape id="AutoShape 142" o:spid="_x0000_s1026" o:spt="109" type="#_x0000_t109" style="position:absolute;left:2120;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5FcUA&#10;AADbAAAADwAAAGRycy9kb3ducmV2LnhtbESPQWvCQBSE7wX/w/KEXqRutGo1ukoRUvTgwbQXb8/s&#10;Mwlm34bsGtN/7xaEHoeZ+YZZbTpTiZYaV1pWMBpGIIgzq0vOFfx8J29zEM4ja6wsk4JfcrBZ915W&#10;GGt75yO1qc9FgLCLUUHhfR1L6bKCDLqhrYmDd7GNQR9kk0vd4D3ATSXHUTSTBksOCwXWtC0ou6Y3&#10;o2A8H6RffEh2k/NeJzgdndrB+16p1373uQThqfP/4Wd7pxUsPuDvS/gB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bkVxQAAANsAAAAPAAAAAAAAAAAAAAAAAJgCAABkcnMv&#10;ZG93bnJldi54bWxQSwUGAAAAAAQABAD1AAAAigMAAAAA&#10;">
                    <v:fill on="t" focussize="0,0"/>
                    <v:stroke color="#000000" joinstyle="miter"/>
                    <v:imagedata o:title=""/>
                    <o:lock v:ext="edit" aspectratio="f"/>
                    <v:textbox>
                      <w:txbxContent>
                        <w:p>
                          <w:pPr>
                            <w:jc w:val="center"/>
                          </w:pPr>
                          <w:r>
                            <w:rPr>
                              <w:rFonts w:hint="eastAsia"/>
                            </w:rPr>
                            <w:t>原材料</w:t>
                          </w:r>
                        </w:p>
                      </w:txbxContent>
                    </v:textbox>
                  </v:shape>
                  <v:shape id="AutoShape 143" o:spid="_x0000_s1026" o:spt="109" type="#_x0000_t109" style="position:absolute;left:2120;top:3390;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tZ8MA&#10;AADbAAAADwAAAGRycy9kb3ducmV2LnhtbERPPW/CMBDdK/EfrEPqEoETSisImKiqlCoMDE1Zul3j&#10;I4mIz1HshvTf1wNSx6f3vc8m04mRBtdaVpAsYxDEldUt1wrOn/liA8J5ZI2dZVLwSw6yw+xhj6m2&#10;N/6gsfS1CCHsUlTQeN+nUrqqIYNuaXviwF3sYNAHONRSD3gL4aaTqzh+kQZbDg0N9vTWUHUtf4yC&#10;1SYq3/mUF+vvo87xOfkao6ejUo/z6XUHwtPk/8V3d6EVbMPY8CX8AH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tZ8MAAADbAAAADwAAAAAAAAAAAAAAAACYAgAAZHJzL2Rv&#10;d25yZXYueG1sUEsFBgAAAAAEAAQA9QAAAIgDAAAAAA==&#10;">
                    <v:fill on="t" focussize="0,0"/>
                    <v:stroke color="#000000" joinstyle="miter"/>
                    <v:imagedata o:title=""/>
                    <o:lock v:ext="edit" aspectratio="f"/>
                    <v:textbox>
                      <w:txbxContent>
                        <w:p>
                          <w:pPr>
                            <w:jc w:val="center"/>
                          </w:pPr>
                          <w:r>
                            <w:rPr>
                              <w:rFonts w:hint="eastAsia"/>
                            </w:rPr>
                            <w:t>能源</w:t>
                          </w:r>
                        </w:p>
                      </w:txbxContent>
                    </v:textbox>
                  </v:shape>
                  <v:shape id="AutoShape 144" o:spid="_x0000_s1026" o:spt="109" type="#_x0000_t109" style="position:absolute;left:2150;top:4736;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I/MYA&#10;AADbAAAADwAAAGRycy9kb3ducmV2LnhtbESPQWvCQBSE74X+h+UVehHdqK3EmI2UQooePDR68fbM&#10;PpPQ7NuQ3cb477uFQo/DzHzDpNvRtGKg3jWWFcxnEQji0uqGKwWnYz6NQTiPrLG1TAru5GCbPT6k&#10;mGh7408aCl+JAGGXoILa+y6R0pU1GXQz2xEH72p7gz7IvpK6x1uAm1YuomglDTYcFmrs6L2m8qv4&#10;NgoW8aT44EO+e7nsdY6v8/MwWe6Ven4a3zYgPI3+P/zX3mkF6zX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qI/MYAAADbAAAADwAAAAAAAAAAAAAAAACYAgAAZHJz&#10;L2Rvd25yZXYueG1sUEsFBgAAAAAEAAQA9QAAAIsDAAAAAA==&#10;">
                    <v:fill on="t" focussize="0,0"/>
                    <v:stroke color="#000000 [3213]" joinstyle="miter"/>
                    <v:imagedata o:title=""/>
                    <o:lock v:ext="edit" aspectratio="f"/>
                    <v:textbox>
                      <w:txbxContent>
                        <w:p>
                          <w:pPr>
                            <w:jc w:val="center"/>
                          </w:pPr>
                          <w:r>
                            <w:rPr>
                              <w:rFonts w:hint="eastAsia"/>
                            </w:rPr>
                            <w:t>水</w:t>
                          </w:r>
                        </w:p>
                      </w:txbxContent>
                    </v:textbox>
                  </v:shape>
                  <v:shape id="AutoShape 145" o:spid="_x0000_s1026" o:spt="109" type="#_x0000_t109" style="position:absolute;left:4550;top:1748;height:3831;width:266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dl8MA&#10;AADcAAAADwAAAGRycy9kb3ducmV2LnhtbESPQUvDQBCF70L/wzIFL2I3FhGJ3RZpFbzaVNDbkJ0m&#10;wd3ZkJ0m8d87B8HbDO/Ne99sdnMMZqQhd4kd3K0KMMR18h03Dk7V6+0jmCzIHkNicvBDGXbbxdUG&#10;S58mfqfxKI3REM4lOmhF+tLaXLcUMa9ST6zaOQ0RRdehsX7AScNjsOuieLARO9aGFnvat1R/Hy/R&#10;gVxoPcYv+Zw/QnV/E17Oh2oanbtezs9PYIRm+Tf/Xb95xS8UX5/RC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dl8MAAADcAAAADwAAAAAAAAAAAAAAAACYAgAAZHJzL2Rv&#10;d25yZXYueG1sUEsFBgAAAAAEAAQA9QAAAIgDAAAAAA==&#10;">
                    <v:fill on="t" opacity="0f" focussize="0,0"/>
                    <v:stroke color="#000000" joinstyle="miter" dashstyle="dash"/>
                    <v:imagedata o:title=""/>
                    <o:lock v:ext="edit" aspectratio="f"/>
                  </v:shape>
                  <v:shape id="AutoShape 146" o:spid="_x0000_s1026" o:spt="109" type="#_x0000_t109" style="position:absolute;left:5098;top:4736;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vucMA&#10;AADcAAAADwAAAGRycy9kb3ducmV2LnhtbERPTWvCQBC9C/6HZYRepG5irYTUVUohogcPpl56m2bH&#10;JJidDdltjP++Kwje5vE+Z7UZTCN66lxtWUE8i0AQF1bXXCo4fWevCQjnkTU2lknBjRxs1uPRClNt&#10;r3ykPvelCCHsUlRQed+mUrqiIoNuZlviwJ1tZ9AH2JVSd3gN4aaR8yhaSoM1h4YKW/qqqLjkf0bB&#10;PJnmWz5ku8XvXmf4Hv/007e9Ui+T4fMDhKfBP8UP906H+VEM92fCB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SvucMAAADcAAAADwAAAAAAAAAAAAAAAACYAgAAZHJzL2Rv&#10;d25yZXYueG1sUEsFBgAAAAAEAAQA9QAAAIgDAAAAAA==&#10;">
                    <v:fill on="t" focussize="0,0"/>
                    <v:stroke color="#000000" joinstyle="miter"/>
                    <v:imagedata o:title=""/>
                    <o:lock v:ext="edit" aspectratio="f"/>
                    <v:textbox>
                      <w:txbxContent>
                        <w:p>
                          <w:pPr>
                            <w:jc w:val="center"/>
                          </w:pPr>
                          <w:r>
                            <w:rPr>
                              <w:rFonts w:hint="eastAsia"/>
                            </w:rPr>
                            <w:t>锂包装</w:t>
                          </w:r>
                        </w:p>
                      </w:txbxContent>
                    </v:textbox>
                  </v:shape>
                  <v:shape id="AutoShape 147" o:spid="_x0000_s1026" o:spt="109" type="#_x0000_t109" style="position:absolute;left:5121;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xzsMA&#10;AADcAAAADwAAAGRycy9kb3ducmV2LnhtbERPTWvCQBC9C/6HZQQvUjemVkLqKqWQogcPpl56m2bH&#10;JJidDdk1pv++Kwje5vE+Z70dTCN66lxtWcFiHoEgLqyuuVRw+s5eEhDOI2tsLJOCP3Kw3YxHa0y1&#10;vfGR+tyXIoSwS1FB5X2bSumKigy6uW2JA3e2nUEfYFdK3eEthJtGxlG0kgZrDg0VtvRZUXHJr0ZB&#10;nMzyLz5ku+XvXmf4tvjpZ697paaT4eMdhKfBP8UP906H+VEM9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YxzsMAAADcAAAADwAAAAAAAAAAAAAAAACYAgAAZHJzL2Rv&#10;d25yZXYueG1sUEsFBgAAAAAEAAQA9QAAAIgDAAAAAA==&#10;">
                    <v:fill on="t" focussize="0,0"/>
                    <v:stroke color="#000000" joinstyle="miter"/>
                    <v:imagedata o:title=""/>
                    <o:lock v:ext="edit" aspectratio="f"/>
                    <v:textbox>
                      <w:txbxContent>
                        <w:p>
                          <w:pPr>
                            <w:jc w:val="center"/>
                          </w:pPr>
                          <w:r>
                            <w:rPr>
                              <w:rFonts w:hint="eastAsia"/>
                              <w:szCs w:val="21"/>
                            </w:rPr>
                            <w:t>熔盐电解</w:t>
                          </w:r>
                        </w:p>
                      </w:txbxContent>
                    </v:textbox>
                  </v:shape>
                  <v:shape id="AutoShape 148" o:spid="_x0000_s1026" o:spt="109" type="#_x0000_t109" style="position:absolute;left:5012;top:3264;height:817;width:165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VcMA&#10;AADcAAAADwAAAGRycy9kb3ducmV2LnhtbERPTYvCMBC9C/6HMIIX0VRdRapRZKGihz1YvXgbm7Et&#10;NpPSZGv3328WFrzN433OZteZSrTUuNKygukkAkGcWV1yruB6ScYrEM4ja6wsk4IfcrDb9nsbjLV9&#10;8Zna1OcihLCLUUHhfR1L6bKCDLqJrYkD97CNQR9gk0vd4CuEm0rOomgpDZYcGgqs6bOg7Jl+GwWz&#10;1Sg98Fdy/LifdIKL6a0dzU9KDQfdfg3CU+ff4n/3UYf50Rz+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VcMAAADcAAAADwAAAAAAAAAAAAAAAACYAgAAZHJzL2Rv&#10;d25yZXYueG1sUEsFBgAAAAAEAAQA9QAAAIgDAAAAAA==&#10;">
                    <v:fill on="t" focussize="0,0"/>
                    <v:stroke color="#000000" joinstyle="miter"/>
                    <v:imagedata o:title=""/>
                    <o:lock v:ext="edit" aspectratio="f"/>
                    <v:textbox>
                      <w:txbxContent>
                        <w:p>
                          <w:pPr>
                            <w:jc w:val="center"/>
                          </w:pPr>
                          <w:r>
                            <w:rPr>
                              <w:rFonts w:hint="eastAsia"/>
                            </w:rPr>
                            <w:t>粗锂精炼</w:t>
                          </w:r>
                        </w:p>
                      </w:txbxContent>
                    </v:textbox>
                  </v:shape>
                  <v:shape id="AutoShape 149" o:spid="_x0000_s1026" o:spt="32" type="#_x0000_t32" style="position:absolute;left:5841;top:2596;flip:x;height:668;width: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j1MEAAADcAAAADwAAAGRycy9kb3ducmV2LnhtbERP32vCMBB+F/Y/hBP2ZlNl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WPUwQAAANwAAAAPAAAAAAAAAAAAAAAA&#10;AKECAABkcnMvZG93bnJldi54bWxQSwUGAAAAAAQABAD5AAAAjwMAAAAA&#10;">
                    <v:fill on="f" focussize="0,0"/>
                    <v:stroke color="#000000" joinstyle="round" endarrow="block"/>
                    <v:imagedata o:title=""/>
                    <o:lock v:ext="edit" aspectratio="f"/>
                  </v:shape>
                  <v:shape id="AutoShape 150" o:spid="_x0000_s1026" o:spt="32" type="#_x0000_t32" style="position:absolute;left:5831;top:4081;flip:x;height:655;width:1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fill on="f" focussize="0,0"/>
                    <v:stroke color="#000000" joinstyle="round" endarrow="block"/>
                    <v:imagedata o:title=""/>
                    <o:lock v:ext="edit" aspectratio="f"/>
                  </v:shape>
                  <v:shape id="AutoShape 151" o:spid="_x0000_s1026" o:spt="32" type="#_x0000_t32" style="position:absolute;left:5831;top:5281;height:752;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fill on="f" focussize="0,0"/>
                    <v:stroke color="#000000" joinstyle="round" endarrow="block"/>
                    <v:imagedata o:title=""/>
                    <o:lock v:ext="edit" aspectratio="f"/>
                  </v:shape>
                  <v:shape id="AutoShape 152" o:spid="_x0000_s1026" o:spt="109" type="#_x0000_t109" style="position:absolute;left:5098;top:6033;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SVsQA&#10;AADcAAAADwAAAGRycy9kb3ducmV2LnhtbERPTWvCQBC9F/wPywhepNmotZWYVURI0UMPjV68TbNj&#10;EszOhuw2xn/fLRR6m8f7nHQ7mEb01LnasoJZFIMgLqyuuVRwPmXPKxDOI2tsLJOCBznYbkZPKSba&#10;3vmT+tyXIoSwS1BB5X2bSOmKigy6yLbEgbvazqAPsCul7vAewk0j53H8Kg3WHBoqbGlfUXHLv42C&#10;+Wqav/NHdnj5OuoMl7NLP10clZqMh90ahKfB/4v/3Acd5sdv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xklbEAAAA3AAAAA8AAAAAAAAAAAAAAAAAmAIAAGRycy9k&#10;b3ducmV2LnhtbFBLBQYAAAAABAAEAPUAAACJAwAAAAA=&#10;">
                    <v:fill on="t" focussize="0,0"/>
                    <v:stroke color="#000000" joinstyle="miter"/>
                    <v:imagedata o:title=""/>
                    <o:lock v:ext="edit" aspectratio="f"/>
                    <v:textbox>
                      <w:txbxContent>
                        <w:p>
                          <w:pPr>
                            <w:jc w:val="center"/>
                          </w:pPr>
                          <w:r>
                            <w:rPr>
                              <w:rFonts w:hint="eastAsia"/>
                            </w:rPr>
                            <w:t>销售</w:t>
                          </w:r>
                        </w:p>
                      </w:txbxContent>
                    </v:textbox>
                  </v:shape>
                  <v:shape id="AutoShape 153" o:spid="_x0000_s1026" o:spt="109" type="#_x0000_t109" style="position:absolute;left:7880;top:3390;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jv8QA&#10;AADcAAAADwAAAGRycy9kb3ducmV2LnhtbERPTWvCQBC9F/wPywi9SN1otaTRVaSQogcPRi/eptkx&#10;CWZnQ3Yb03/vCkJv83ifs1z3phYdta6yrGAyjkAQ51ZXXCg4HdO3GITzyBpry6TgjxysV4OXJSba&#10;3vhAXeYLEULYJaig9L5JpHR5SQbd2DbEgbvY1qAPsC2kbvEWwk0tp1H0IQ1WHBpKbOirpPya/RoF&#10;03iUffM+3c5+djrF+eTcjd53Sr0O+80ChKfe/4uf7q0O86NPeDw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o7/EAAAA3AAAAA8AAAAAAAAAAAAAAAAAmAIAAGRycy9k&#10;b3ducmV2LnhtbFBLBQYAAAAABAAEAPUAAACJAwAAAAA=&#10;">
                    <v:fill on="t" focussize="0,0"/>
                    <v:stroke color="#000000" joinstyle="miter"/>
                    <v:imagedata o:title=""/>
                    <o:lock v:ext="edit" aspectratio="f"/>
                    <v:textbox>
                      <w:txbxContent>
                        <w:p>
                          <w:pPr>
                            <w:jc w:val="center"/>
                          </w:pPr>
                          <w:r>
                            <w:rPr>
                              <w:rFonts w:hint="eastAsia"/>
                            </w:rPr>
                            <w:t>废物排放</w:t>
                          </w:r>
                        </w:p>
                      </w:txbxContent>
                    </v:textbox>
                  </v:shape>
                  <v:shape id="AutoShape 154" o:spid="_x0000_s1026" o:spt="32" type="#_x0000_t32" style="position:absolute;left:7213;top:3663;flip:y;height:1;width:66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fill on="f" focussize="0,0"/>
                    <v:stroke color="#000000" joinstyle="round" endarrow="block"/>
                    <v:imagedata o:title=""/>
                    <o:lock v:ext="edit" aspectratio="f"/>
                  </v:shape>
                  <v:shape id="AutoShape 155" o:spid="_x0000_s1026" o:spt="32" type="#_x0000_t32" style="position:absolute;left:3586;top:3663;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fill on="f" focussize="0,0"/>
                    <v:stroke color="#000000" joinstyle="round" endarrow="block"/>
                    <v:imagedata o:title=""/>
                    <o:lock v:ext="edit" aspectratio="f"/>
                  </v:shape>
                  <v:shape id="AutoShape 156" o:spid="_x0000_s1026" o:spt="32" type="#_x0000_t32" style="position:absolute;left:3588;top:2335;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fill on="f" focussize="0,0"/>
                    <v:stroke color="#000000" joinstyle="round" endarrow="block"/>
                    <v:imagedata o:title=""/>
                    <o:lock v:ext="edit" aspectratio="f"/>
                  </v:shape>
                  <v:shape id="AutoShape 157" o:spid="_x0000_s1026" o:spt="32" type="#_x0000_t32" style="position:absolute;left:3632;top:5011;height:1;width:96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fill on="f" focussize="0,0"/>
                    <v:stroke color="#000000 [3213]" joinstyle="round" endarrow="block"/>
                    <v:imagedata o:title=""/>
                    <o:lock v:ext="edit" aspectratio="f"/>
                  </v:shape>
                  <v:shape id="AutoShape 158" o:spid="_x0000_s1026" o:spt="109" type="#_x0000_t109" style="position:absolute;left:8124;top:2051;height:545;width:1466;"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UsIA&#10;AADcAAAADwAAAGRycy9kb3ducmV2LnhtbERPTWuDQBC9B/oflin0EuqqlBCsq5RIID1UiEnvgztV&#10;qTsr7iYx/75bKPQ2j/c5ebmYUVxpdoNlBUkUgyBurR64U3A+7Z+3IJxH1jhaJgV3clAWD6scM21v&#10;fKRr4zsRQthlqKD3fsqkdG1PBl1kJ+LAfdnZoA9w7qSe8RbCzSjTON5IgwOHhh4n2vXUfjcXo4Do&#10;7mXV1B+fVX1JD/U6fR+HVKmnx+XtFYSnxf+L/9wHHeYnL/D7TLh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T9SwgAAANwAAAAPAAAAAAAAAAAAAAAAAJgCAABkcnMvZG93&#10;bnJldi54bWxQSwUGAAAAAAQABAD1AAAAhwMAAAAA&#10;">
                    <v:fill on="t" focussize="0,0"/>
                    <v:stroke color="#FFFFFF" joinstyle="miter"/>
                    <v:imagedata o:title=""/>
                    <o:lock v:ext="edit" aspectratio="f"/>
                    <v:textbox>
                      <w:txbxContent>
                        <w:p>
                          <w:pPr>
                            <w:jc w:val="center"/>
                          </w:pPr>
                          <w:r>
                            <w:rPr>
                              <w:rFonts w:hint="eastAsia"/>
                            </w:rPr>
                            <w:t>系统边界</w:t>
                          </w:r>
                        </w:p>
                      </w:txbxContent>
                    </v:textbox>
                  </v:shape>
                  <v:shape id="AutoShape 159" o:spid="_x0000_s1026" o:spt="32" type="#_x0000_t32" style="position:absolute;left:7271;top:2324;flip:y;height:40;width:85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JJsIAAADcAAAADwAAAGRycy9kb3ducmV2LnhtbERPS2sCMRC+C/0PYQreNKtYK6tRRFpc&#10;hB58grdhM2a33UyWTdTtvzcFobf5+J4zW7S2EjdqfOlYwaCfgCDOnS7ZKDjsP3sTED4ga6wck4Jf&#10;8rCYv3RmmGp35y3ddsGIGMI+RQVFCHUqpc8Lsuj7riaO3MU1FkOEjZG6wXsMt5UcJslYWiw5NhRY&#10;06qg/Gd3tQrwxMvTRq/Px+zy7j+MGX3J70yp7mu7nIII1IZ/8dOd6Th/8AZ/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0JJsIAAADcAAAADwAAAAAAAAAAAAAA&#10;AAChAgAAZHJzL2Rvd25yZXYueG1sUEsFBgAAAAAEAAQA+QAAAJADAAAAAA==&#10;">
                    <v:fill on="f" focussize="0,0"/>
                    <v:stroke color="#000000" joinstyle="round" startarrow="block"/>
                    <v:imagedata o:title=""/>
                    <o:lock v:ext="edit" aspectratio="f"/>
                  </v:shape>
                </v:group>
                <w10:wrap type="none"/>
                <w10:anchorlock/>
              </v:group>
            </w:pict>
          </mc:Fallback>
        </mc:AlternateContent>
      </w:r>
    </w:p>
    <w:p>
      <w:pPr>
        <w:spacing w:line="360" w:lineRule="auto"/>
        <w:jc w:val="center"/>
        <w:rPr>
          <w:rFonts w:ascii="Times New Roman" w:hAnsi="Times New Roman"/>
          <w:b/>
          <w:szCs w:val="21"/>
        </w:rPr>
      </w:pPr>
      <w:r>
        <w:rPr>
          <w:rFonts w:ascii="Times New Roman" w:hAnsi="Times New Roman"/>
          <w:b/>
          <w:szCs w:val="21"/>
        </w:rPr>
        <w:t xml:space="preserve">B.1 </w:t>
      </w:r>
      <w:r>
        <w:rPr>
          <w:rFonts w:hint="eastAsia" w:ascii="Times New Roman" w:hAnsi="Times New Roman"/>
          <w:b/>
          <w:szCs w:val="21"/>
        </w:rPr>
        <w:t>锂产品生命周期评价范围</w:t>
      </w:r>
    </w:p>
    <w:p>
      <w:pPr>
        <w:spacing w:line="360" w:lineRule="auto"/>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B.2.</w:t>
      </w:r>
      <w:r>
        <w:rPr>
          <w:rFonts w:hint="eastAsia" w:ascii="黑体" w:hAnsi="黑体" w:eastAsia="黑体"/>
          <w:szCs w:val="18"/>
        </w:rPr>
        <w:t>3</w:t>
      </w:r>
      <w:r>
        <w:rPr>
          <w:rFonts w:ascii="黑体" w:hAnsi="黑体" w:eastAsia="黑体"/>
          <w:szCs w:val="18"/>
        </w:rPr>
        <w:t xml:space="preserve"> </w:t>
      </w:r>
      <w:r>
        <w:rPr>
          <w:rFonts w:hint="eastAsia" w:ascii="黑体" w:hAnsi="黑体" w:eastAsia="黑体"/>
          <w:szCs w:val="18"/>
        </w:rPr>
        <w:t>数据取舍原则</w:t>
      </w:r>
    </w:p>
    <w:p>
      <w:pPr>
        <w:spacing w:line="360" w:lineRule="auto"/>
        <w:ind w:firstLine="420" w:firstLineChars="200"/>
        <w:jc w:val="left"/>
        <w:rPr>
          <w:rFonts w:ascii="Times New Roman" w:hAnsi="Times New Roman"/>
          <w:szCs w:val="21"/>
        </w:rPr>
      </w:pPr>
      <w:r>
        <w:rPr>
          <w:rFonts w:hint="eastAsia" w:ascii="Times New Roman" w:hAnsi="Times New Roman"/>
          <w:szCs w:val="21"/>
        </w:rPr>
        <w:t>单元过程数据的取舍原则如下：</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）能源的所有输入均列出；</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）原料的所有输入均列出；</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）辅助材料质量小于原料总耗</w:t>
      </w:r>
      <w:r>
        <w:rPr>
          <w:rFonts w:ascii="Times New Roman" w:hAnsi="Times New Roman"/>
          <w:szCs w:val="21"/>
        </w:rPr>
        <w:t>0.1%</w:t>
      </w:r>
      <w:r>
        <w:rPr>
          <w:rFonts w:hint="eastAsia" w:ascii="Times New Roman" w:hAnsi="Times New Roman"/>
          <w:szCs w:val="21"/>
        </w:rPr>
        <w:t>的项目输入可以忽略；</w:t>
      </w:r>
    </w:p>
    <w:p>
      <w:pPr>
        <w:spacing w:line="360" w:lineRule="auto"/>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）大气、水土、土壤的各种排放均列出；</w:t>
      </w:r>
    </w:p>
    <w:p>
      <w:pPr>
        <w:spacing w:line="360" w:lineRule="auto"/>
        <w:ind w:firstLine="420" w:firstLineChars="200"/>
        <w:jc w:val="left"/>
        <w:rPr>
          <w:rFonts w:ascii="Times New Roman" w:hAnsi="Times New Roman"/>
          <w:szCs w:val="21"/>
        </w:rPr>
      </w:pPr>
      <w:r>
        <w:rPr>
          <w:rFonts w:ascii="Times New Roman" w:hAnsi="Times New Roman"/>
          <w:szCs w:val="21"/>
        </w:rPr>
        <w:t>e</w:t>
      </w:r>
      <w:r>
        <w:rPr>
          <w:rFonts w:hint="eastAsia" w:ascii="Times New Roman" w:hAnsi="Times New Roman"/>
          <w:szCs w:val="21"/>
        </w:rPr>
        <w:t>）厂房的基础设施、各工序的设备、厂区内人鱼及生活设施的消耗和排放，均忽略；</w:t>
      </w:r>
    </w:p>
    <w:p>
      <w:pPr>
        <w:spacing w:line="360" w:lineRule="auto"/>
        <w:ind w:firstLine="420" w:firstLineChars="200"/>
        <w:jc w:val="left"/>
        <w:rPr>
          <w:rFonts w:ascii="Times New Roman" w:hAnsi="Times New Roman"/>
          <w:szCs w:val="21"/>
        </w:rPr>
      </w:pPr>
      <w:r>
        <w:rPr>
          <w:rFonts w:ascii="Times New Roman" w:hAnsi="Times New Roman"/>
          <w:szCs w:val="21"/>
        </w:rPr>
        <w:t>f</w:t>
      </w:r>
      <w:r>
        <w:rPr>
          <w:rFonts w:hint="eastAsia" w:ascii="Times New Roman" w:hAnsi="Times New Roman"/>
          <w:szCs w:val="21"/>
        </w:rPr>
        <w:t>）取舍原则不适用于有毒有害物质，任何有毒有害的材料和物质均应包含于清单中。</w:t>
      </w:r>
    </w:p>
    <w:p>
      <w:pPr>
        <w:spacing w:line="360" w:lineRule="auto"/>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 xml:space="preserve">B.3 </w:t>
      </w:r>
      <w:r>
        <w:rPr>
          <w:rFonts w:hint="eastAsia" w:ascii="黑体" w:hAnsi="黑体" w:eastAsia="黑体"/>
          <w:szCs w:val="18"/>
        </w:rPr>
        <w:t>生命周期清单分析</w:t>
      </w:r>
    </w:p>
    <w:p>
      <w:pPr>
        <w:spacing w:line="360" w:lineRule="auto"/>
        <w:jc w:val="left"/>
        <w:rPr>
          <w:rFonts w:ascii="黑体" w:hAnsi="黑体" w:eastAsia="黑体"/>
          <w:szCs w:val="18"/>
        </w:rPr>
      </w:pPr>
      <w:r>
        <w:rPr>
          <w:rFonts w:ascii="黑体" w:hAnsi="黑体" w:eastAsia="黑体"/>
          <w:szCs w:val="18"/>
        </w:rPr>
        <w:t xml:space="preserve">B.3.1 </w:t>
      </w:r>
      <w:r>
        <w:rPr>
          <w:rFonts w:hint="eastAsia" w:ascii="黑体" w:hAnsi="黑体" w:eastAsia="黑体"/>
          <w:szCs w:val="18"/>
        </w:rPr>
        <w:t>总则</w:t>
      </w:r>
    </w:p>
    <w:p>
      <w:pPr>
        <w:spacing w:line="360" w:lineRule="auto"/>
        <w:ind w:firstLine="420" w:firstLineChars="200"/>
        <w:jc w:val="left"/>
        <w:rPr>
          <w:rFonts w:ascii="Times New Roman" w:hAnsi="Times New Roman"/>
          <w:szCs w:val="21"/>
        </w:rPr>
      </w:pPr>
      <w:r>
        <w:rPr>
          <w:rFonts w:hint="eastAsia" w:ascii="Times New Roman" w:hAnsi="Times New Roman"/>
          <w:szCs w:val="21"/>
        </w:rPr>
        <w:t>应编制锂产品系统边界内的所有材料</w:t>
      </w:r>
      <w:r>
        <w:rPr>
          <w:rFonts w:ascii="Times New Roman" w:hAnsi="Times New Roman"/>
          <w:szCs w:val="21"/>
        </w:rPr>
        <w:t>/</w:t>
      </w:r>
      <w:r>
        <w:rPr>
          <w:rFonts w:hint="eastAsia" w:ascii="Times New Roman" w:hAnsi="Times New Roman"/>
          <w:szCs w:val="21"/>
        </w:rPr>
        <w:t>能源输入和排放到空气、水及土壤的排放物清单，作为产品生命周期评价的依据。</w:t>
      </w:r>
    </w:p>
    <w:p>
      <w:pPr>
        <w:spacing w:line="360" w:lineRule="auto"/>
        <w:ind w:firstLine="420" w:firstLineChars="200"/>
        <w:jc w:val="left"/>
        <w:rPr>
          <w:rFonts w:ascii="Times New Roman" w:hAnsi="Times New Roman"/>
          <w:szCs w:val="21"/>
        </w:rPr>
      </w:pPr>
      <w:r>
        <w:rPr>
          <w:rFonts w:hint="eastAsia" w:ascii="Times New Roman" w:hAnsi="Times New Roman"/>
          <w:szCs w:val="21"/>
        </w:rPr>
        <w:t>应书面给出所有的计算程序和计算公式，所做的假设应给予明确说明。当数据收集完毕后，应对收集的数据进行审定。然后确定每个单元过程的定量输入和输出，将各个单元过程的输入输出数据除以锂产品的产量，得到功能单位的资源、能源消耗和环境排放。最后将替代产品各单元过程中相同影响因素的数据求和，以获取该影响因素的总量，为产品及影响评价提高必要的数据。</w:t>
      </w:r>
    </w:p>
    <w:p>
      <w:pPr>
        <w:spacing w:line="360" w:lineRule="auto"/>
        <w:jc w:val="left"/>
        <w:rPr>
          <w:rFonts w:ascii="黑体" w:hAnsi="黑体" w:eastAsia="黑体"/>
          <w:szCs w:val="18"/>
        </w:rPr>
      </w:pPr>
      <w:r>
        <w:rPr>
          <w:rFonts w:ascii="黑体" w:hAnsi="黑体" w:eastAsia="黑体"/>
          <w:szCs w:val="18"/>
        </w:rPr>
        <w:t xml:space="preserve">B.3.2 </w:t>
      </w:r>
      <w:r>
        <w:rPr>
          <w:rFonts w:hint="eastAsia" w:ascii="黑体" w:hAnsi="黑体" w:eastAsia="黑体"/>
          <w:szCs w:val="18"/>
        </w:rPr>
        <w:t>数据收集</w:t>
      </w:r>
    </w:p>
    <w:p>
      <w:pPr>
        <w:spacing w:line="360" w:lineRule="auto"/>
        <w:jc w:val="left"/>
        <w:rPr>
          <w:rFonts w:ascii="黑体" w:hAnsi="黑体" w:eastAsia="黑体"/>
          <w:szCs w:val="18"/>
        </w:rPr>
      </w:pPr>
      <w:r>
        <w:rPr>
          <w:rFonts w:ascii="黑体" w:hAnsi="黑体" w:eastAsia="黑体"/>
          <w:szCs w:val="18"/>
        </w:rPr>
        <w:t>B.3.2.1 概况</w:t>
      </w:r>
    </w:p>
    <w:p>
      <w:pPr>
        <w:spacing w:line="360" w:lineRule="auto"/>
        <w:ind w:firstLine="420" w:firstLineChars="200"/>
        <w:jc w:val="left"/>
        <w:rPr>
          <w:rFonts w:ascii="Times New Roman" w:hAnsi="Times New Roman"/>
          <w:szCs w:val="21"/>
        </w:rPr>
      </w:pPr>
      <w:r>
        <w:rPr>
          <w:rFonts w:hint="eastAsia" w:ascii="Times New Roman" w:hAnsi="Times New Roman"/>
          <w:szCs w:val="21"/>
        </w:rPr>
        <w:t>应将以下阶段的数据纳入数据清单：</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）原材料获取</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）生产</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）包装</w:t>
      </w:r>
    </w:p>
    <w:p>
      <w:pPr>
        <w:spacing w:line="360" w:lineRule="auto"/>
        <w:jc w:val="left"/>
        <w:rPr>
          <w:rFonts w:ascii="黑体" w:hAnsi="黑体" w:eastAsia="黑体"/>
          <w:szCs w:val="18"/>
        </w:rPr>
      </w:pPr>
      <w:r>
        <w:rPr>
          <w:rFonts w:ascii="黑体" w:hAnsi="黑体" w:eastAsia="黑体"/>
          <w:szCs w:val="18"/>
        </w:rPr>
        <w:t>B.3.2.2</w:t>
      </w:r>
      <w:r>
        <w:rPr>
          <w:rFonts w:hint="eastAsia" w:ascii="黑体" w:hAnsi="黑体" w:eastAsia="黑体"/>
          <w:szCs w:val="18"/>
        </w:rPr>
        <w:t>现场数据采集</w:t>
      </w:r>
    </w:p>
    <w:p>
      <w:pPr>
        <w:spacing w:line="360" w:lineRule="auto"/>
        <w:ind w:firstLine="420" w:firstLineChars="200"/>
        <w:jc w:val="left"/>
        <w:rPr>
          <w:rFonts w:ascii="Times New Roman" w:hAnsi="Times New Roman"/>
          <w:szCs w:val="21"/>
        </w:rPr>
      </w:pPr>
      <w:r>
        <w:rPr>
          <w:rFonts w:hint="eastAsia" w:ascii="Times New Roman" w:hAnsi="Times New Roman"/>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数据收集表参见附录</w:t>
      </w:r>
      <w:r>
        <w:rPr>
          <w:rFonts w:ascii="Times New Roman" w:hAnsi="Times New Roman"/>
          <w:szCs w:val="21"/>
        </w:rPr>
        <w:t>C</w:t>
      </w:r>
      <w:r>
        <w:rPr>
          <w:rFonts w:hint="eastAsia" w:ascii="Times New Roman" w:hAnsi="Times New Roman"/>
          <w:szCs w:val="21"/>
        </w:rPr>
        <w:t>。</w:t>
      </w:r>
    </w:p>
    <w:p>
      <w:pPr>
        <w:spacing w:line="360" w:lineRule="auto"/>
        <w:ind w:firstLine="420" w:firstLineChars="200"/>
        <w:jc w:val="left"/>
        <w:rPr>
          <w:rFonts w:ascii="Times New Roman" w:hAnsi="Times New Roman"/>
          <w:szCs w:val="21"/>
        </w:rPr>
      </w:pPr>
      <w:r>
        <w:rPr>
          <w:rFonts w:hint="eastAsia" w:ascii="Times New Roman" w:hAnsi="Times New Roman"/>
          <w:szCs w:val="21"/>
        </w:rPr>
        <w:t>典型现场数据来源包括：</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）单元过程消耗数据；</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）耗材清单以及库存变化；</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）排放测量值（气体和废水排放物的数量和浓度）；</w:t>
      </w:r>
    </w:p>
    <w:p>
      <w:pPr>
        <w:spacing w:line="360" w:lineRule="auto"/>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）产品和废物成分；</w:t>
      </w:r>
    </w:p>
    <w:p>
      <w:pPr>
        <w:spacing w:line="360" w:lineRule="auto"/>
        <w:ind w:firstLine="420" w:firstLineChars="200"/>
        <w:jc w:val="left"/>
        <w:rPr>
          <w:rFonts w:ascii="Times New Roman" w:hAnsi="Times New Roman"/>
          <w:szCs w:val="21"/>
        </w:rPr>
      </w:pPr>
      <w:r>
        <w:rPr>
          <w:rFonts w:ascii="Times New Roman" w:hAnsi="Times New Roman"/>
          <w:szCs w:val="21"/>
        </w:rPr>
        <w:t>E</w:t>
      </w:r>
      <w:r>
        <w:rPr>
          <w:rFonts w:hint="eastAsia" w:ascii="Times New Roman" w:hAnsi="Times New Roman"/>
          <w:szCs w:val="21"/>
        </w:rPr>
        <w:t>）采购和销售部门。</w:t>
      </w:r>
    </w:p>
    <w:p>
      <w:pPr>
        <w:spacing w:line="360" w:lineRule="auto"/>
        <w:jc w:val="left"/>
        <w:rPr>
          <w:rFonts w:ascii="黑体" w:hAnsi="黑体" w:eastAsia="黑体"/>
          <w:szCs w:val="18"/>
        </w:rPr>
      </w:pPr>
      <w:r>
        <w:rPr>
          <w:rFonts w:ascii="黑体" w:hAnsi="黑体" w:eastAsia="黑体"/>
          <w:szCs w:val="18"/>
        </w:rPr>
        <w:t>B.3.2.3.</w:t>
      </w:r>
      <w:r>
        <w:rPr>
          <w:rFonts w:hint="eastAsia" w:ascii="黑体" w:hAnsi="黑体" w:eastAsia="黑体"/>
          <w:szCs w:val="18"/>
        </w:rPr>
        <w:t>背景数据采集</w:t>
      </w:r>
    </w:p>
    <w:p>
      <w:pPr>
        <w:spacing w:line="360" w:lineRule="auto"/>
        <w:ind w:firstLine="420" w:firstLineChars="200"/>
        <w:jc w:val="left"/>
        <w:rPr>
          <w:rFonts w:ascii="Times New Roman" w:hAnsi="Times New Roman"/>
          <w:szCs w:val="21"/>
        </w:rPr>
      </w:pPr>
      <w:r>
        <w:rPr>
          <w:rFonts w:hint="eastAsia" w:ascii="Times New Roman" w:hAnsi="Times New Roman"/>
          <w:szCs w:val="21"/>
        </w:rPr>
        <w:t>背景数据不是直接测量或计算得到的数据。背景数据可以为行业平均数据。所使用数据的来源应有清楚的文件记载并应载入产品生命周期评价报告。</w:t>
      </w:r>
    </w:p>
    <w:p>
      <w:pPr>
        <w:spacing w:line="360" w:lineRule="auto"/>
        <w:jc w:val="left"/>
        <w:rPr>
          <w:rFonts w:ascii="黑体" w:hAnsi="黑体" w:eastAsia="黑体"/>
          <w:szCs w:val="18"/>
        </w:rPr>
      </w:pPr>
      <w:r>
        <w:rPr>
          <w:rFonts w:ascii="黑体" w:hAnsi="黑体" w:eastAsia="黑体"/>
          <w:szCs w:val="18"/>
        </w:rPr>
        <w:t>B.3.2.4</w:t>
      </w:r>
      <w:r>
        <w:rPr>
          <w:rFonts w:hint="eastAsia" w:ascii="黑体" w:hAnsi="黑体" w:eastAsia="黑体"/>
          <w:szCs w:val="18"/>
        </w:rPr>
        <w:t>生命周期各阶段数据采集</w:t>
      </w:r>
    </w:p>
    <w:p>
      <w:pPr>
        <w:spacing w:line="360" w:lineRule="auto"/>
        <w:jc w:val="left"/>
        <w:rPr>
          <w:rFonts w:ascii="黑体" w:hAnsi="黑体" w:eastAsia="黑体"/>
          <w:szCs w:val="18"/>
        </w:rPr>
      </w:pPr>
      <w:r>
        <w:rPr>
          <w:rFonts w:ascii="黑体" w:hAnsi="黑体" w:eastAsia="黑体"/>
          <w:szCs w:val="18"/>
        </w:rPr>
        <w:t xml:space="preserve">B.3.2.4.1 </w:t>
      </w:r>
      <w:r>
        <w:rPr>
          <w:rFonts w:hint="eastAsia" w:ascii="黑体" w:hAnsi="黑体" w:eastAsia="黑体"/>
          <w:szCs w:val="18"/>
        </w:rPr>
        <w:t>原材料获取</w:t>
      </w:r>
    </w:p>
    <w:p>
      <w:pPr>
        <w:spacing w:line="360" w:lineRule="auto"/>
        <w:ind w:firstLine="420" w:firstLineChars="200"/>
        <w:jc w:val="left"/>
        <w:rPr>
          <w:rFonts w:ascii="Times New Roman" w:hAnsi="Times New Roman"/>
          <w:szCs w:val="21"/>
        </w:rPr>
      </w:pPr>
      <w:r>
        <w:rPr>
          <w:rFonts w:hint="eastAsia" w:ascii="Times New Roman" w:hAnsi="Times New Roman"/>
          <w:szCs w:val="21"/>
        </w:rPr>
        <w:t>该阶段为原材料进入生产场址前的活动。</w:t>
      </w:r>
    </w:p>
    <w:p>
      <w:pPr>
        <w:spacing w:line="360" w:lineRule="auto"/>
        <w:jc w:val="left"/>
        <w:rPr>
          <w:rFonts w:ascii="黑体" w:hAnsi="黑体" w:eastAsia="黑体"/>
          <w:szCs w:val="18"/>
        </w:rPr>
      </w:pPr>
      <w:r>
        <w:rPr>
          <w:rFonts w:ascii="黑体" w:hAnsi="黑体" w:eastAsia="黑体"/>
          <w:szCs w:val="18"/>
        </w:rPr>
        <w:t>B.3.2.4.2</w:t>
      </w:r>
      <w:r>
        <w:rPr>
          <w:rFonts w:hint="eastAsia" w:ascii="黑体" w:hAnsi="黑体" w:eastAsia="黑体"/>
          <w:szCs w:val="18"/>
        </w:rPr>
        <w:t>生产阶段</w:t>
      </w:r>
    </w:p>
    <w:p>
      <w:pPr>
        <w:spacing w:line="360" w:lineRule="auto"/>
        <w:ind w:firstLine="420" w:firstLineChars="200"/>
        <w:jc w:val="left"/>
        <w:rPr>
          <w:rFonts w:ascii="Times New Roman" w:hAnsi="Times New Roman"/>
          <w:szCs w:val="21"/>
        </w:rPr>
      </w:pPr>
      <w:r>
        <w:rPr>
          <w:rFonts w:hint="eastAsia" w:ascii="Times New Roman" w:hAnsi="Times New Roman"/>
          <w:szCs w:val="21"/>
        </w:rPr>
        <w:t>该阶段起源于原材料进入生产场址，结束于成品离开生产单位。生产活动包括LiCl—KCl熔盐电解、粗锂精炼阶段 。</w:t>
      </w:r>
    </w:p>
    <w:p>
      <w:pPr>
        <w:spacing w:line="360" w:lineRule="auto"/>
        <w:jc w:val="left"/>
        <w:rPr>
          <w:rFonts w:ascii="黑体" w:hAnsi="黑体" w:eastAsia="黑体"/>
          <w:szCs w:val="18"/>
        </w:rPr>
      </w:pPr>
      <w:r>
        <w:rPr>
          <w:rFonts w:hint="eastAsia" w:ascii="黑体" w:hAnsi="黑体" w:eastAsia="黑体"/>
          <w:szCs w:val="18"/>
        </w:rPr>
        <w:t>B.3.2.4.3包装阶段</w:t>
      </w:r>
    </w:p>
    <w:p>
      <w:pPr>
        <w:spacing w:line="360" w:lineRule="auto"/>
        <w:ind w:firstLine="420" w:firstLineChars="200"/>
        <w:jc w:val="left"/>
        <w:rPr>
          <w:rFonts w:ascii="Times New Roman" w:hAnsi="Times New Roman"/>
          <w:szCs w:val="21"/>
        </w:rPr>
      </w:pPr>
      <w:r>
        <w:rPr>
          <w:rFonts w:hint="eastAsia" w:ascii="Times New Roman" w:hAnsi="Times New Roman"/>
          <w:szCs w:val="21"/>
        </w:rPr>
        <w:t>该阶段为生产的锂进入包装库，锂包装后进入产品库房位置。</w:t>
      </w:r>
    </w:p>
    <w:p>
      <w:pPr>
        <w:spacing w:line="360" w:lineRule="auto"/>
        <w:jc w:val="left"/>
        <w:rPr>
          <w:rFonts w:ascii="黑体" w:hAnsi="黑体" w:eastAsia="黑体"/>
          <w:szCs w:val="18"/>
        </w:rPr>
      </w:pPr>
      <w:r>
        <w:rPr>
          <w:rFonts w:ascii="黑体" w:hAnsi="黑体" w:eastAsia="黑体"/>
          <w:szCs w:val="18"/>
        </w:rPr>
        <w:t xml:space="preserve">B.3.3 </w:t>
      </w:r>
      <w:r>
        <w:rPr>
          <w:rFonts w:hint="eastAsia" w:ascii="黑体" w:hAnsi="黑体" w:eastAsia="黑体"/>
          <w:szCs w:val="18"/>
        </w:rPr>
        <w:t>数据计算</w:t>
      </w:r>
    </w:p>
    <w:p>
      <w:pPr>
        <w:spacing w:line="360" w:lineRule="auto"/>
        <w:ind w:firstLine="420" w:firstLineChars="200"/>
        <w:jc w:val="left"/>
        <w:rPr>
          <w:rFonts w:ascii="Times New Roman" w:hAnsi="Times New Roman"/>
          <w:szCs w:val="21"/>
        </w:rPr>
      </w:pPr>
      <w:r>
        <w:rPr>
          <w:rFonts w:hint="eastAsia" w:ascii="Times New Roman" w:hAnsi="Times New Roman"/>
          <w:szCs w:val="21"/>
        </w:rPr>
        <w:t>数据收集后，应对所收集数据的有效性进行检查，确保数据符合质量要求。将收集的数据与单元过程进行关联，同时与功能单位的基本流进行关联。</w:t>
      </w:r>
    </w:p>
    <w:p>
      <w:pPr>
        <w:spacing w:line="360" w:lineRule="auto"/>
        <w:ind w:firstLine="420" w:firstLineChars="200"/>
        <w:jc w:val="left"/>
        <w:rPr>
          <w:rFonts w:ascii="Times New Roman" w:hAnsi="Times New Roman"/>
          <w:szCs w:val="21"/>
        </w:rPr>
      </w:pPr>
      <w:r>
        <w:rPr>
          <w:rFonts w:hint="eastAsia" w:ascii="Times New Roman" w:hAnsi="Times New Roman"/>
          <w:szCs w:val="21"/>
        </w:rPr>
        <w:t>合并来自相同数据类型（比如土壤排放）、相同物质（如</w:t>
      </w:r>
      <w:r>
        <w:rPr>
          <w:rFonts w:ascii="Times New Roman" w:hAnsi="Times New Roman"/>
          <w:szCs w:val="21"/>
        </w:rPr>
        <w:t>CO</w:t>
      </w:r>
      <w:r>
        <w:rPr>
          <w:rFonts w:ascii="Times New Roman" w:hAnsi="Times New Roman"/>
          <w:szCs w:val="21"/>
          <w:vertAlign w:val="subscript"/>
        </w:rPr>
        <w:t>2</w:t>
      </w:r>
      <w:r>
        <w:rPr>
          <w:rFonts w:hint="eastAsia" w:ascii="Times New Roman" w:hAnsi="Times New Roman"/>
          <w:szCs w:val="21"/>
        </w:rPr>
        <w:t>）、不同单元过程的数据，以得到这个产品系统的能源消耗、原材料消耗以及空气排放、水体排放和土壤排放数据。</w:t>
      </w:r>
    </w:p>
    <w:p>
      <w:pPr>
        <w:spacing w:line="360" w:lineRule="auto"/>
        <w:jc w:val="left"/>
        <w:rPr>
          <w:rFonts w:ascii="黑体" w:hAnsi="黑体" w:eastAsia="黑体"/>
          <w:szCs w:val="18"/>
        </w:rPr>
      </w:pPr>
      <w:r>
        <w:rPr>
          <w:rFonts w:ascii="黑体" w:hAnsi="黑体" w:eastAsia="黑体"/>
          <w:szCs w:val="18"/>
        </w:rPr>
        <w:t xml:space="preserve">B.3.4 </w:t>
      </w:r>
      <w:r>
        <w:rPr>
          <w:rFonts w:hint="eastAsia" w:ascii="黑体" w:hAnsi="黑体" w:eastAsia="黑体"/>
          <w:szCs w:val="18"/>
        </w:rPr>
        <w:t>数据分配</w:t>
      </w:r>
    </w:p>
    <w:p>
      <w:pPr>
        <w:spacing w:line="360" w:lineRule="auto"/>
        <w:ind w:firstLine="420" w:firstLineChars="200"/>
        <w:jc w:val="left"/>
        <w:rPr>
          <w:rFonts w:ascii="Times New Roman" w:hAnsi="Times New Roman"/>
          <w:szCs w:val="21"/>
        </w:rPr>
      </w:pPr>
      <w:r>
        <w:rPr>
          <w:rFonts w:hint="eastAsia" w:ascii="Times New Roman" w:hAnsi="Times New Roman"/>
          <w:szCs w:val="21"/>
        </w:rPr>
        <w:t>若锂产品生产过程还得到了其他副产品，需要按照一定的原则和程序，将资源输入和环境排放数据分配到各个产品或过程中。</w:t>
      </w:r>
    </w:p>
    <w:p>
      <w:pPr>
        <w:spacing w:line="360" w:lineRule="auto"/>
        <w:ind w:firstLine="420" w:firstLineChars="200"/>
        <w:jc w:val="left"/>
        <w:rPr>
          <w:rFonts w:ascii="Times New Roman" w:hAnsi="Times New Roman"/>
          <w:szCs w:val="21"/>
        </w:rPr>
      </w:pPr>
      <w:r>
        <w:rPr>
          <w:rFonts w:hint="eastAsia" w:ascii="Times New Roman" w:hAnsi="Times New Roman"/>
          <w:szCs w:val="21"/>
        </w:rPr>
        <w:t>数据分配一般按照以下程序进行：</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）基于物理关系的分配，如产品重量、数量、体积、热值等。</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）基于其他关系的分配。</w:t>
      </w:r>
    </w:p>
    <w:p>
      <w:pPr>
        <w:spacing w:line="360" w:lineRule="auto"/>
        <w:jc w:val="left"/>
        <w:rPr>
          <w:rFonts w:ascii="黑体" w:hAnsi="黑体" w:eastAsia="黑体"/>
          <w:szCs w:val="18"/>
        </w:rPr>
      </w:pPr>
      <w:r>
        <w:rPr>
          <w:rFonts w:ascii="黑体" w:hAnsi="黑体" w:eastAsia="黑体"/>
          <w:szCs w:val="18"/>
        </w:rPr>
        <w:t xml:space="preserve">B.3.5 </w:t>
      </w:r>
      <w:r>
        <w:rPr>
          <w:rFonts w:hint="eastAsia" w:ascii="黑体" w:hAnsi="黑体" w:eastAsia="黑体"/>
          <w:szCs w:val="18"/>
        </w:rPr>
        <w:t>数据质量要求</w:t>
      </w:r>
    </w:p>
    <w:p>
      <w:pPr>
        <w:spacing w:line="360" w:lineRule="auto"/>
        <w:ind w:firstLine="420" w:firstLineChars="200"/>
        <w:jc w:val="left"/>
        <w:rPr>
          <w:rFonts w:ascii="Times New Roman" w:hAnsi="Times New Roman"/>
          <w:szCs w:val="21"/>
        </w:rPr>
      </w:pPr>
      <w:r>
        <w:rPr>
          <w:rFonts w:hint="eastAsia" w:ascii="Times New Roman" w:hAnsi="Times New Roman"/>
          <w:szCs w:val="21"/>
        </w:rPr>
        <w:t>数据质量应遵循以下原则和要求：</w:t>
      </w:r>
    </w:p>
    <w:p>
      <w:pPr>
        <w:spacing w:line="360" w:lineRule="auto"/>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）完整性：充足的样本、合适的期间；</w:t>
      </w:r>
    </w:p>
    <w:p>
      <w:pPr>
        <w:spacing w:line="360" w:lineRule="auto"/>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）可信度：数据根据测量、检验得到；</w:t>
      </w:r>
    </w:p>
    <w:p>
      <w:pPr>
        <w:spacing w:line="360" w:lineRule="auto"/>
        <w:ind w:firstLine="420" w:firstLineChars="200"/>
        <w:jc w:val="left"/>
        <w:rPr>
          <w:rFonts w:ascii="Times New Roman" w:hAnsi="Times New Roman"/>
          <w:szCs w:val="21"/>
        </w:rPr>
      </w:pPr>
      <w:r>
        <w:rPr>
          <w:rFonts w:ascii="Times New Roman" w:hAnsi="Times New Roman"/>
          <w:szCs w:val="21"/>
        </w:rPr>
        <w:t>C</w:t>
      </w:r>
      <w:r>
        <w:rPr>
          <w:rFonts w:hint="eastAsia" w:ascii="Times New Roman" w:hAnsi="Times New Roman"/>
          <w:szCs w:val="21"/>
        </w:rPr>
        <w:t>）时间相关：与评价目标时间差别小于</w:t>
      </w:r>
      <w:r>
        <w:rPr>
          <w:rFonts w:ascii="Times New Roman" w:hAnsi="Times New Roman"/>
          <w:szCs w:val="21"/>
        </w:rPr>
        <w:t>3</w:t>
      </w:r>
      <w:r>
        <w:rPr>
          <w:rFonts w:hint="eastAsia" w:ascii="Times New Roman" w:hAnsi="Times New Roman"/>
          <w:szCs w:val="21"/>
        </w:rPr>
        <w:t>年；</w:t>
      </w:r>
    </w:p>
    <w:p>
      <w:pPr>
        <w:spacing w:line="360" w:lineRule="auto"/>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）地理相关：来自研究区域的数据；</w:t>
      </w:r>
    </w:p>
    <w:p>
      <w:pPr>
        <w:spacing w:line="360" w:lineRule="auto"/>
        <w:ind w:firstLine="420" w:firstLineChars="200"/>
        <w:jc w:val="left"/>
        <w:rPr>
          <w:rFonts w:ascii="Times New Roman" w:hAnsi="Times New Roman"/>
          <w:szCs w:val="21"/>
        </w:rPr>
      </w:pPr>
      <w:r>
        <w:rPr>
          <w:rFonts w:ascii="Times New Roman" w:hAnsi="Times New Roman"/>
          <w:szCs w:val="21"/>
        </w:rPr>
        <w:t>E</w:t>
      </w:r>
      <w:r>
        <w:rPr>
          <w:rFonts w:hint="eastAsia" w:ascii="Times New Roman" w:hAnsi="Times New Roman"/>
          <w:szCs w:val="21"/>
        </w:rPr>
        <w:t>）技术相关：从研究的企业工艺过程和材料得到数据。</w:t>
      </w:r>
    </w:p>
    <w:p>
      <w:pPr>
        <w:spacing w:line="360" w:lineRule="auto"/>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 xml:space="preserve">B.4 </w:t>
      </w:r>
      <w:r>
        <w:rPr>
          <w:rFonts w:hint="eastAsia" w:ascii="黑体" w:hAnsi="黑体" w:eastAsia="黑体"/>
          <w:szCs w:val="18"/>
        </w:rPr>
        <w:t>生命周期影响评价</w:t>
      </w:r>
    </w:p>
    <w:p>
      <w:pPr>
        <w:spacing w:line="360" w:lineRule="auto"/>
        <w:jc w:val="left"/>
        <w:rPr>
          <w:rFonts w:ascii="黑体" w:hAnsi="黑体" w:eastAsia="黑体"/>
          <w:szCs w:val="18"/>
        </w:rPr>
      </w:pPr>
      <w:r>
        <w:rPr>
          <w:rFonts w:ascii="黑体" w:hAnsi="黑体" w:eastAsia="黑体"/>
          <w:szCs w:val="18"/>
        </w:rPr>
        <w:t xml:space="preserve">B.4.1 </w:t>
      </w:r>
      <w:r>
        <w:rPr>
          <w:rFonts w:hint="eastAsia" w:ascii="黑体" w:hAnsi="黑体" w:eastAsia="黑体"/>
          <w:szCs w:val="18"/>
        </w:rPr>
        <w:t>概述</w:t>
      </w:r>
    </w:p>
    <w:p>
      <w:pPr>
        <w:spacing w:line="360" w:lineRule="auto"/>
        <w:ind w:firstLine="420" w:firstLineChars="200"/>
        <w:jc w:val="left"/>
        <w:rPr>
          <w:rFonts w:ascii="Times New Roman" w:hAnsi="Times New Roman"/>
          <w:szCs w:val="21"/>
        </w:rPr>
      </w:pPr>
      <w:r>
        <w:rPr>
          <w:rFonts w:hint="eastAsia" w:ascii="Times New Roman" w:hAnsi="Times New Roman"/>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pPr>
        <w:spacing w:line="360" w:lineRule="auto"/>
        <w:jc w:val="left"/>
        <w:rPr>
          <w:rFonts w:ascii="黑体" w:hAnsi="黑体" w:eastAsia="黑体"/>
          <w:szCs w:val="18"/>
        </w:rPr>
      </w:pPr>
      <w:r>
        <w:rPr>
          <w:rFonts w:ascii="黑体" w:hAnsi="黑体" w:eastAsia="黑体"/>
          <w:szCs w:val="18"/>
        </w:rPr>
        <w:t xml:space="preserve">B.4.2 </w:t>
      </w:r>
      <w:r>
        <w:rPr>
          <w:rFonts w:hint="eastAsia" w:ascii="黑体" w:hAnsi="黑体" w:eastAsia="黑体"/>
          <w:szCs w:val="18"/>
        </w:rPr>
        <w:t>影响类型选取</w:t>
      </w:r>
    </w:p>
    <w:p>
      <w:pPr>
        <w:spacing w:line="360" w:lineRule="auto"/>
        <w:ind w:firstLine="420" w:firstLineChars="200"/>
        <w:jc w:val="left"/>
        <w:rPr>
          <w:rFonts w:ascii="Times New Roman" w:hAnsi="Times New Roman"/>
          <w:szCs w:val="21"/>
        </w:rPr>
      </w:pPr>
      <w:r>
        <w:rPr>
          <w:rFonts w:hint="eastAsia" w:ascii="Times New Roman" w:hAnsi="Times New Roman"/>
          <w:szCs w:val="21"/>
        </w:rPr>
        <w:t>影响类型可分为资源消耗、生态环境影响和人体健康危害三类。其中，资源消耗可包括水资源消耗、矿物和化石能源消耗；生态环境影响类型可从气候变化、酸化、富营养化</w:t>
      </w:r>
      <w:r>
        <w:rPr>
          <w:rFonts w:ascii="Times New Roman" w:hAnsi="Times New Roman"/>
          <w:szCs w:val="21"/>
        </w:rPr>
        <w:t>-</w:t>
      </w:r>
      <w:r>
        <w:rPr>
          <w:rFonts w:hint="eastAsia" w:ascii="Times New Roman" w:hAnsi="Times New Roman"/>
          <w:szCs w:val="21"/>
        </w:rPr>
        <w:t>水体、光化学臭氧生成潜势、水体生态毒性、固废堆存量中进行选取；人体健康危害可包括人体毒性</w:t>
      </w:r>
      <w:r>
        <w:rPr>
          <w:rFonts w:ascii="Times New Roman" w:hAnsi="Times New Roman"/>
          <w:szCs w:val="21"/>
        </w:rPr>
        <w:t>-</w:t>
      </w:r>
      <w:r>
        <w:rPr>
          <w:rFonts w:hint="eastAsia" w:ascii="Times New Roman" w:hAnsi="Times New Roman"/>
          <w:szCs w:val="21"/>
        </w:rPr>
        <w:t>癌症影响、人体毒性</w:t>
      </w:r>
      <w:r>
        <w:rPr>
          <w:rFonts w:ascii="Times New Roman" w:hAnsi="Times New Roman"/>
          <w:szCs w:val="21"/>
        </w:rPr>
        <w:t>-</w:t>
      </w:r>
      <w:r>
        <w:rPr>
          <w:rFonts w:hint="eastAsia" w:ascii="Times New Roman" w:hAnsi="Times New Roman"/>
          <w:szCs w:val="21"/>
        </w:rPr>
        <w:t>非癌症影响、可吸入颗粒物。</w:t>
      </w:r>
    </w:p>
    <w:p>
      <w:pPr>
        <w:spacing w:line="360" w:lineRule="auto"/>
        <w:jc w:val="left"/>
        <w:rPr>
          <w:rFonts w:ascii="黑体" w:hAnsi="黑体" w:eastAsia="黑体"/>
          <w:szCs w:val="18"/>
        </w:rPr>
      </w:pPr>
      <w:r>
        <w:rPr>
          <w:rFonts w:ascii="黑体" w:hAnsi="黑体" w:eastAsia="黑体"/>
          <w:szCs w:val="18"/>
        </w:rPr>
        <w:t xml:space="preserve">B.4.3 </w:t>
      </w:r>
      <w:r>
        <w:rPr>
          <w:rFonts w:hint="eastAsia" w:ascii="黑体" w:hAnsi="黑体" w:eastAsia="黑体"/>
          <w:szCs w:val="18"/>
        </w:rPr>
        <w:t>数据归类</w:t>
      </w:r>
    </w:p>
    <w:p>
      <w:pPr>
        <w:spacing w:line="360" w:lineRule="auto"/>
        <w:ind w:firstLine="420" w:firstLineChars="200"/>
        <w:jc w:val="left"/>
        <w:rPr>
          <w:rFonts w:ascii="Times New Roman" w:hAnsi="Times New Roman"/>
          <w:szCs w:val="21"/>
        </w:rPr>
      </w:pPr>
      <w:r>
        <w:rPr>
          <w:rFonts w:hint="eastAsia" w:ascii="Times New Roman" w:hAnsi="Times New Roman"/>
          <w:szCs w:val="21"/>
        </w:rPr>
        <w:t>根据清单因子的物理化学性质，将对某影响类型有贡献的因子归到一起。</w:t>
      </w:r>
    </w:p>
    <w:tbl>
      <w:tblPr>
        <w:tblStyle w:val="12"/>
        <w:tblW w:w="7164"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26"/>
        <w:gridCol w:w="3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rFonts w:ascii="Times New Roman" w:hAnsi="Times New Roman"/>
                <w:sz w:val="18"/>
                <w:szCs w:val="15"/>
              </w:rPr>
            </w:pPr>
            <w:r>
              <w:rPr>
                <w:rFonts w:hint="eastAsia" w:ascii="Times New Roman" w:hAnsi="Times New Roman"/>
                <w:sz w:val="18"/>
                <w:szCs w:val="15"/>
              </w:rPr>
              <w:t>影响类型</w:t>
            </w:r>
          </w:p>
        </w:tc>
        <w:tc>
          <w:tcPr>
            <w:tcW w:w="3538" w:type="dxa"/>
          </w:tcPr>
          <w:p>
            <w:pPr>
              <w:jc w:val="center"/>
              <w:rPr>
                <w:rFonts w:ascii="Times New Roman" w:hAnsi="Times New Roman"/>
                <w:sz w:val="18"/>
                <w:szCs w:val="15"/>
              </w:rPr>
            </w:pPr>
            <w:r>
              <w:rPr>
                <w:rFonts w:hint="eastAsia" w:ascii="Times New Roman" w:hAnsi="Times New Roman"/>
                <w:sz w:val="18"/>
                <w:szCs w:val="15"/>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rFonts w:ascii="Times New Roman" w:hAnsi="Times New Roman"/>
                <w:sz w:val="18"/>
                <w:szCs w:val="15"/>
              </w:rPr>
            </w:pPr>
            <w:r>
              <w:rPr>
                <w:rFonts w:hint="eastAsia" w:ascii="Times New Roman" w:hAnsi="Times New Roman"/>
                <w:sz w:val="18"/>
                <w:szCs w:val="15"/>
              </w:rPr>
              <w:t>气候变化</w:t>
            </w:r>
          </w:p>
        </w:tc>
        <w:tc>
          <w:tcPr>
            <w:tcW w:w="3538" w:type="dxa"/>
          </w:tcPr>
          <w:p>
            <w:pPr>
              <w:jc w:val="center"/>
              <w:rPr>
                <w:rFonts w:ascii="Times New Roman" w:hAnsi="Times New Roman"/>
                <w:sz w:val="18"/>
                <w:szCs w:val="15"/>
              </w:rPr>
            </w:pPr>
            <w:r>
              <w:rPr>
                <w:rFonts w:hint="eastAsia" w:ascii="Times New Roman" w:hAnsi="Times New Roman"/>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3626" w:type="dxa"/>
          </w:tcPr>
          <w:p>
            <w:pPr>
              <w:jc w:val="center"/>
              <w:rPr>
                <w:rFonts w:ascii="Times New Roman" w:hAnsi="Times New Roman"/>
                <w:sz w:val="18"/>
                <w:szCs w:val="15"/>
              </w:rPr>
            </w:pPr>
            <w:r>
              <w:rPr>
                <w:rFonts w:hint="eastAsia" w:ascii="Times New Roman" w:hAnsi="Times New Roman"/>
                <w:sz w:val="18"/>
                <w:szCs w:val="15"/>
              </w:rPr>
              <w:t>酸化</w:t>
            </w:r>
          </w:p>
        </w:tc>
        <w:tc>
          <w:tcPr>
            <w:tcW w:w="3538" w:type="dxa"/>
          </w:tcPr>
          <w:p>
            <w:pPr>
              <w:jc w:val="left"/>
              <w:rPr>
                <w:rFonts w:ascii="Times New Roman" w:hAnsi="Times New Roman"/>
                <w:sz w:val="18"/>
                <w:szCs w:val="15"/>
              </w:rPr>
            </w:pPr>
            <w:r>
              <w:rPr>
                <w:rFonts w:hint="eastAsia" w:ascii="Times New Roman" w:hAnsi="Times New Roman"/>
                <w:sz w:val="18"/>
                <w:szCs w:val="15"/>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3626" w:type="dxa"/>
          </w:tcPr>
          <w:p>
            <w:pPr>
              <w:jc w:val="center"/>
              <w:rPr>
                <w:rFonts w:ascii="Times New Roman" w:hAnsi="Times New Roman"/>
                <w:sz w:val="18"/>
                <w:szCs w:val="15"/>
              </w:rPr>
            </w:pPr>
            <w:r>
              <w:rPr>
                <w:rFonts w:hint="eastAsia" w:ascii="Times New Roman" w:hAnsi="Times New Roman"/>
                <w:sz w:val="18"/>
                <w:szCs w:val="15"/>
              </w:rPr>
              <w:t>富营养化</w:t>
            </w:r>
          </w:p>
        </w:tc>
        <w:tc>
          <w:tcPr>
            <w:tcW w:w="3538" w:type="dxa"/>
          </w:tcPr>
          <w:p>
            <w:pPr>
              <w:jc w:val="center"/>
              <w:rPr>
                <w:rFonts w:ascii="Times New Roman" w:hAnsi="Times New Roman"/>
                <w:sz w:val="18"/>
                <w:szCs w:val="15"/>
              </w:rPr>
            </w:pPr>
            <w:r>
              <w:rPr>
                <w:rFonts w:hint="eastAsia" w:ascii="Times New Roman" w:hAnsi="Times New Roman"/>
                <w:sz w:val="18"/>
                <w:szCs w:val="15"/>
              </w:rPr>
              <w:t>P、NO</w:t>
            </w:r>
            <w:r>
              <w:rPr>
                <w:rFonts w:hint="eastAsia" w:ascii="Times New Roman" w:hAnsi="Times New Roman"/>
                <w:sz w:val="18"/>
                <w:szCs w:val="15"/>
                <w:vertAlign w:val="subscript"/>
              </w:rPr>
              <w:t>x</w:t>
            </w:r>
            <w:r>
              <w:rPr>
                <w:rFonts w:hint="eastAsia" w:ascii="Times New Roman" w:hAnsi="Times New Roman"/>
                <w:sz w:val="18"/>
                <w:szCs w:val="15"/>
              </w:rPr>
              <w:t>、N、COD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3626" w:type="dxa"/>
          </w:tcPr>
          <w:p>
            <w:pPr>
              <w:jc w:val="center"/>
              <w:rPr>
                <w:rFonts w:ascii="Times New Roman" w:hAnsi="Times New Roman"/>
                <w:sz w:val="18"/>
                <w:szCs w:val="15"/>
              </w:rPr>
            </w:pPr>
            <w:r>
              <w:rPr>
                <w:rFonts w:hint="eastAsia" w:ascii="Times New Roman" w:hAnsi="Times New Roman"/>
                <w:sz w:val="18"/>
                <w:szCs w:val="15"/>
              </w:rPr>
              <w:t>光化学烟雾</w:t>
            </w:r>
          </w:p>
        </w:tc>
        <w:tc>
          <w:tcPr>
            <w:tcW w:w="3538" w:type="dxa"/>
          </w:tcPr>
          <w:p>
            <w:pPr>
              <w:jc w:val="center"/>
              <w:rPr>
                <w:rFonts w:ascii="Times New Roman" w:hAnsi="Times New Roman"/>
                <w:sz w:val="18"/>
                <w:szCs w:val="15"/>
              </w:rPr>
            </w:pPr>
            <w:r>
              <w:rPr>
                <w:rFonts w:hint="eastAsia" w:ascii="Times New Roman" w:hAnsi="Times New Roman"/>
                <w:sz w:val="18"/>
                <w:szCs w:val="15"/>
              </w:rPr>
              <w:t>—</w:t>
            </w:r>
          </w:p>
        </w:tc>
      </w:tr>
    </w:tbl>
    <w:p>
      <w:pPr>
        <w:spacing w:line="360" w:lineRule="auto"/>
        <w:jc w:val="left"/>
        <w:rPr>
          <w:rFonts w:ascii="Times New Roman" w:hAnsi="Times New Roman"/>
          <w:sz w:val="24"/>
          <w:szCs w:val="21"/>
        </w:rPr>
      </w:pPr>
    </w:p>
    <w:p>
      <w:pPr>
        <w:spacing w:line="360" w:lineRule="auto"/>
        <w:jc w:val="left"/>
        <w:rPr>
          <w:rFonts w:ascii="黑体" w:hAnsi="黑体" w:eastAsia="黑体"/>
          <w:szCs w:val="18"/>
        </w:rPr>
      </w:pPr>
      <w:r>
        <w:rPr>
          <w:rFonts w:ascii="黑体" w:hAnsi="黑体" w:eastAsia="黑体"/>
          <w:szCs w:val="18"/>
        </w:rPr>
        <w:t>B.4.</w:t>
      </w:r>
      <w:r>
        <w:rPr>
          <w:rFonts w:hint="eastAsia" w:ascii="黑体" w:hAnsi="黑体" w:eastAsia="黑体"/>
          <w:szCs w:val="18"/>
        </w:rPr>
        <w:t>4分类评价</w:t>
      </w:r>
    </w:p>
    <w:p>
      <w:pPr>
        <w:spacing w:line="360" w:lineRule="auto"/>
        <w:ind w:firstLine="420" w:firstLineChars="200"/>
        <w:jc w:val="left"/>
        <w:rPr>
          <w:rFonts w:ascii="Times New Roman" w:hAnsi="Times New Roman"/>
          <w:szCs w:val="18"/>
        </w:rPr>
      </w:pPr>
      <w:r>
        <w:rPr>
          <w:rFonts w:hint="eastAsia" w:ascii="Times New Roman" w:hAnsi="Times New Roman"/>
          <w:szCs w:val="18"/>
        </w:rPr>
        <w:t>应给出不同影响类型的特征化模型，并给出模型的出处，根据模型进行分类评价。</w:t>
      </w:r>
    </w:p>
    <w:tbl>
      <w:tblPr>
        <w:tblStyle w:val="12"/>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tcPr>
          <w:p>
            <w:pPr>
              <w:jc w:val="center"/>
              <w:rPr>
                <w:rFonts w:ascii="Times New Roman" w:hAnsi="Times New Roman"/>
                <w:sz w:val="18"/>
                <w:szCs w:val="15"/>
              </w:rPr>
            </w:pPr>
            <w:r>
              <w:rPr>
                <w:rFonts w:hint="eastAsia" w:ascii="Times New Roman" w:hAnsi="Times New Roman"/>
                <w:sz w:val="18"/>
                <w:szCs w:val="15"/>
              </w:rPr>
              <w:t>影响类型</w:t>
            </w:r>
          </w:p>
        </w:tc>
        <w:tc>
          <w:tcPr>
            <w:tcW w:w="2130" w:type="dxa"/>
          </w:tcPr>
          <w:p>
            <w:pPr>
              <w:jc w:val="center"/>
              <w:rPr>
                <w:rFonts w:ascii="Times New Roman" w:hAnsi="Times New Roman"/>
                <w:sz w:val="18"/>
                <w:szCs w:val="15"/>
              </w:rPr>
            </w:pPr>
            <w:r>
              <w:rPr>
                <w:rFonts w:hint="eastAsia" w:ascii="Times New Roman" w:hAnsi="Times New Roman"/>
                <w:sz w:val="18"/>
                <w:szCs w:val="15"/>
              </w:rPr>
              <w:t>单位</w:t>
            </w:r>
          </w:p>
        </w:tc>
        <w:tc>
          <w:tcPr>
            <w:tcW w:w="2131" w:type="dxa"/>
          </w:tcPr>
          <w:p>
            <w:pPr>
              <w:jc w:val="center"/>
              <w:rPr>
                <w:rFonts w:ascii="Times New Roman" w:hAnsi="Times New Roman"/>
                <w:sz w:val="18"/>
                <w:szCs w:val="15"/>
              </w:rPr>
            </w:pPr>
            <w:r>
              <w:rPr>
                <w:rFonts w:hint="eastAsia" w:ascii="Times New Roman" w:hAnsi="Times New Roman"/>
                <w:sz w:val="18"/>
                <w:szCs w:val="15"/>
              </w:rPr>
              <w:t>指标参数</w:t>
            </w:r>
          </w:p>
        </w:tc>
        <w:tc>
          <w:tcPr>
            <w:tcW w:w="2131" w:type="dxa"/>
          </w:tcPr>
          <w:p>
            <w:pPr>
              <w:jc w:val="center"/>
              <w:rPr>
                <w:rFonts w:ascii="Times New Roman" w:hAnsi="Times New Roman"/>
                <w:sz w:val="18"/>
                <w:szCs w:val="15"/>
              </w:rPr>
            </w:pPr>
            <w:r>
              <w:rPr>
                <w:rFonts w:hint="eastAsia" w:ascii="Times New Roman" w:hAnsi="Times New Roman"/>
                <w:sz w:val="18"/>
                <w:szCs w:val="15"/>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tcPr>
          <w:p>
            <w:pPr>
              <w:jc w:val="center"/>
              <w:rPr>
                <w:rFonts w:ascii="Times New Roman" w:hAnsi="Times New Roman"/>
                <w:sz w:val="18"/>
                <w:szCs w:val="15"/>
              </w:rPr>
            </w:pPr>
            <w:r>
              <w:rPr>
                <w:rFonts w:hint="eastAsia" w:ascii="Times New Roman" w:hAnsi="Times New Roman"/>
                <w:sz w:val="18"/>
                <w:szCs w:val="15"/>
              </w:rPr>
              <w:t>气候变化</w:t>
            </w:r>
          </w:p>
        </w:tc>
        <w:tc>
          <w:tcPr>
            <w:tcW w:w="2130" w:type="dxa"/>
          </w:tcPr>
          <w:p>
            <w:pPr>
              <w:ind w:firstLine="360" w:firstLineChars="200"/>
              <w:rPr>
                <w:rFonts w:ascii="Times New Roman" w:hAnsi="Times New Roman"/>
                <w:sz w:val="18"/>
                <w:szCs w:val="15"/>
              </w:rPr>
            </w:pPr>
            <w:r>
              <w:rPr>
                <w:rFonts w:ascii="Times New Roman" w:hAnsi="Times New Roman"/>
                <w:sz w:val="18"/>
                <w:szCs w:val="15"/>
              </w:rPr>
              <w:t>Kg</w:t>
            </w:r>
            <w:r>
              <w:rPr>
                <w:rFonts w:hint="eastAsia" w:ascii="Times New Roman" w:hAnsi="Times New Roman"/>
                <w:sz w:val="18"/>
                <w:szCs w:val="15"/>
              </w:rPr>
              <w:t>，</w:t>
            </w:r>
            <w:r>
              <w:rPr>
                <w:rFonts w:ascii="Times New Roman" w:hAnsi="Times New Roman"/>
                <w:sz w:val="18"/>
                <w:szCs w:val="15"/>
              </w:rPr>
              <w:t>CO</w:t>
            </w:r>
            <w:r>
              <w:rPr>
                <w:rFonts w:ascii="Times New Roman" w:hAnsi="Times New Roman"/>
                <w:sz w:val="18"/>
                <w:szCs w:val="15"/>
                <w:vertAlign w:val="subscript"/>
              </w:rPr>
              <w:t>2 eq./kg</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tcPr>
          <w:p>
            <w:pPr>
              <w:jc w:val="center"/>
              <w:rPr>
                <w:rFonts w:ascii="Times New Roman" w:hAnsi="Times New Roman"/>
                <w:sz w:val="18"/>
                <w:szCs w:val="15"/>
              </w:rPr>
            </w:pPr>
            <w:r>
              <w:rPr>
                <w:rFonts w:hint="eastAsia" w:ascii="Times New Roman" w:hAnsi="Times New Roman"/>
                <w:sz w:val="18"/>
                <w:szCs w:val="15"/>
              </w:rPr>
              <w:t>酸化</w:t>
            </w:r>
          </w:p>
        </w:tc>
        <w:tc>
          <w:tcPr>
            <w:tcW w:w="2130" w:type="dxa"/>
          </w:tcPr>
          <w:p>
            <w:pPr>
              <w:jc w:val="center"/>
              <w:rPr>
                <w:rFonts w:ascii="Times New Roman" w:hAnsi="Times New Roman"/>
                <w:sz w:val="18"/>
                <w:szCs w:val="15"/>
              </w:rPr>
            </w:pPr>
            <w:r>
              <w:rPr>
                <w:rFonts w:ascii="Times New Roman" w:hAnsi="Times New Roman"/>
                <w:sz w:val="18"/>
                <w:szCs w:val="15"/>
              </w:rPr>
              <w:t>Kg</w:t>
            </w:r>
            <w:r>
              <w:rPr>
                <w:rFonts w:hint="eastAsia" w:ascii="Times New Roman" w:hAnsi="Times New Roman"/>
                <w:sz w:val="18"/>
                <w:szCs w:val="15"/>
              </w:rPr>
              <w:t>，</w:t>
            </w:r>
            <w:r>
              <w:rPr>
                <w:rFonts w:ascii="Times New Roman" w:hAnsi="Times New Roman"/>
                <w:sz w:val="18"/>
                <w:szCs w:val="15"/>
              </w:rPr>
              <w:t>SO</w:t>
            </w:r>
            <w:r>
              <w:rPr>
                <w:rFonts w:ascii="Times New Roman" w:hAnsi="Times New Roman"/>
                <w:sz w:val="18"/>
                <w:szCs w:val="15"/>
                <w:vertAlign w:val="subscript"/>
              </w:rPr>
              <w:t>2 eq./kg</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Merge w:val="restart"/>
          </w:tcPr>
          <w:p>
            <w:pPr>
              <w:jc w:val="center"/>
              <w:rPr>
                <w:rFonts w:ascii="Times New Roman" w:hAnsi="Times New Roman"/>
                <w:sz w:val="18"/>
                <w:szCs w:val="15"/>
              </w:rPr>
            </w:pPr>
          </w:p>
          <w:p>
            <w:pPr>
              <w:jc w:val="center"/>
              <w:rPr>
                <w:rFonts w:ascii="Times New Roman" w:hAnsi="Times New Roman"/>
                <w:sz w:val="18"/>
                <w:szCs w:val="15"/>
              </w:rPr>
            </w:pPr>
            <w:r>
              <w:rPr>
                <w:rFonts w:hint="eastAsia" w:ascii="Times New Roman" w:hAnsi="Times New Roman"/>
                <w:sz w:val="18"/>
                <w:szCs w:val="15"/>
              </w:rPr>
              <w:t>富营养化</w:t>
            </w:r>
          </w:p>
        </w:tc>
        <w:tc>
          <w:tcPr>
            <w:tcW w:w="2130" w:type="dxa"/>
            <w:vMerge w:val="restart"/>
          </w:tcPr>
          <w:p>
            <w:pPr>
              <w:jc w:val="center"/>
              <w:rPr>
                <w:rFonts w:ascii="Times New Roman" w:hAnsi="Times New Roman"/>
                <w:sz w:val="18"/>
                <w:szCs w:val="15"/>
              </w:rPr>
            </w:pPr>
          </w:p>
          <w:p>
            <w:pPr>
              <w:jc w:val="center"/>
              <w:rPr>
                <w:rFonts w:ascii="Times New Roman" w:hAnsi="Times New Roman"/>
                <w:sz w:val="18"/>
                <w:szCs w:val="15"/>
              </w:rPr>
            </w:pPr>
            <w:r>
              <w:rPr>
                <w:rFonts w:ascii="Times New Roman" w:hAnsi="Times New Roman"/>
                <w:sz w:val="18"/>
                <w:szCs w:val="15"/>
              </w:rPr>
              <w:t>Kg</w:t>
            </w:r>
            <w:r>
              <w:rPr>
                <w:rFonts w:hint="eastAsia" w:ascii="Times New Roman" w:hAnsi="Times New Roman"/>
                <w:sz w:val="18"/>
                <w:szCs w:val="15"/>
              </w:rPr>
              <w:t>，</w:t>
            </w:r>
            <w:r>
              <w:rPr>
                <w:rFonts w:ascii="Times New Roman" w:hAnsi="Times New Roman"/>
                <w:sz w:val="18"/>
                <w:szCs w:val="15"/>
              </w:rPr>
              <w:t>PO</w:t>
            </w:r>
            <w:r>
              <w:rPr>
                <w:rFonts w:ascii="Times New Roman" w:hAnsi="Times New Roman"/>
                <w:sz w:val="18"/>
                <w:szCs w:val="15"/>
                <w:vertAlign w:val="subscript"/>
              </w:rPr>
              <w:t>4</w:t>
            </w:r>
            <w:r>
              <w:rPr>
                <w:rFonts w:ascii="Times New Roman" w:hAnsi="Times New Roman"/>
                <w:sz w:val="18"/>
                <w:szCs w:val="15"/>
                <w:vertAlign w:val="superscript"/>
              </w:rPr>
              <w:t>3-</w:t>
            </w:r>
            <w:r>
              <w:rPr>
                <w:rFonts w:ascii="Times New Roman" w:hAnsi="Times New Roman"/>
                <w:sz w:val="18"/>
                <w:szCs w:val="15"/>
                <w:vertAlign w:val="subscript"/>
              </w:rPr>
              <w:t xml:space="preserve"> eq./kg</w:t>
            </w:r>
          </w:p>
          <w:p>
            <w:pPr>
              <w:ind w:firstLine="360" w:firstLineChars="200"/>
              <w:jc w:val="center"/>
              <w:rPr>
                <w:rFonts w:ascii="Times New Roman" w:hAnsi="Times New Roman"/>
                <w:sz w:val="18"/>
                <w:szCs w:val="15"/>
              </w:rPr>
            </w:pPr>
          </w:p>
        </w:tc>
        <w:tc>
          <w:tcPr>
            <w:tcW w:w="2131" w:type="dxa"/>
          </w:tcPr>
          <w:p>
            <w:pPr>
              <w:jc w:val="center"/>
              <w:rPr>
                <w:rFonts w:ascii="Times New Roman" w:hAnsi="Times New Roman"/>
                <w:sz w:val="18"/>
                <w:szCs w:val="15"/>
              </w:rPr>
            </w:pPr>
            <w:r>
              <w:rPr>
                <w:rFonts w:hint="eastAsia" w:ascii="Times New Roman" w:hAnsi="Times New Roman"/>
                <w:sz w:val="18"/>
                <w:szCs w:val="15"/>
              </w:rPr>
              <w:t>P</w:t>
            </w:r>
          </w:p>
        </w:tc>
        <w:tc>
          <w:tcPr>
            <w:tcW w:w="2131" w:type="dxa"/>
          </w:tcPr>
          <w:p>
            <w:pPr>
              <w:jc w:val="center"/>
              <w:rPr>
                <w:rFonts w:ascii="Times New Roman" w:hAnsi="Times New Roman"/>
                <w:sz w:val="18"/>
                <w:szCs w:val="15"/>
              </w:rPr>
            </w:pPr>
            <w:r>
              <w:rPr>
                <w:rFonts w:hint="eastAsia" w:ascii="Times New Roman" w:hAnsi="Times New Roman"/>
                <w:sz w:val="18"/>
                <w:szCs w:val="15"/>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Merge w:val="continue"/>
          </w:tcPr>
          <w:p>
            <w:pPr>
              <w:jc w:val="center"/>
              <w:rPr>
                <w:rFonts w:ascii="Times New Roman" w:hAnsi="Times New Roman"/>
                <w:sz w:val="18"/>
                <w:szCs w:val="15"/>
              </w:rPr>
            </w:pPr>
          </w:p>
        </w:tc>
        <w:tc>
          <w:tcPr>
            <w:tcW w:w="2130" w:type="dxa"/>
            <w:vMerge w:val="continue"/>
          </w:tcPr>
          <w:p>
            <w:pPr>
              <w:jc w:val="center"/>
              <w:rPr>
                <w:rFonts w:ascii="Times New Roman" w:hAnsi="Times New Roman"/>
                <w:sz w:val="18"/>
                <w:szCs w:val="15"/>
              </w:rPr>
            </w:pPr>
          </w:p>
        </w:tc>
        <w:tc>
          <w:tcPr>
            <w:tcW w:w="2131" w:type="dxa"/>
          </w:tcPr>
          <w:p>
            <w:pPr>
              <w:jc w:val="center"/>
              <w:rPr>
                <w:rFonts w:ascii="Times New Roman" w:hAnsi="Times New Roman"/>
                <w:sz w:val="18"/>
                <w:szCs w:val="15"/>
              </w:rPr>
            </w:pPr>
            <w:r>
              <w:rPr>
                <w:rFonts w:hint="eastAsia" w:ascii="Times New Roman" w:hAnsi="Times New Roman"/>
                <w:sz w:val="18"/>
                <w:szCs w:val="15"/>
              </w:rPr>
              <w:t>NO</w:t>
            </w:r>
            <w:r>
              <w:rPr>
                <w:rFonts w:hint="eastAsia" w:ascii="Times New Roman" w:hAnsi="Times New Roman"/>
                <w:sz w:val="18"/>
                <w:szCs w:val="15"/>
                <w:vertAlign w:val="subscript"/>
              </w:rPr>
              <w:t>x</w:t>
            </w:r>
          </w:p>
        </w:tc>
        <w:tc>
          <w:tcPr>
            <w:tcW w:w="2131" w:type="dxa"/>
          </w:tcPr>
          <w:p>
            <w:pPr>
              <w:jc w:val="center"/>
              <w:rPr>
                <w:rFonts w:ascii="Times New Roman" w:hAnsi="Times New Roman"/>
                <w:sz w:val="18"/>
                <w:szCs w:val="15"/>
              </w:rPr>
            </w:pPr>
            <w:r>
              <w:rPr>
                <w:rFonts w:hint="eastAsia" w:ascii="Times New Roman" w:hAnsi="Times New Roman"/>
                <w:sz w:val="18"/>
                <w:szCs w:val="15"/>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Merge w:val="continue"/>
          </w:tcPr>
          <w:p>
            <w:pPr>
              <w:jc w:val="center"/>
              <w:rPr>
                <w:rFonts w:ascii="Times New Roman" w:hAnsi="Times New Roman"/>
                <w:sz w:val="18"/>
                <w:szCs w:val="15"/>
              </w:rPr>
            </w:pPr>
          </w:p>
        </w:tc>
        <w:tc>
          <w:tcPr>
            <w:tcW w:w="2130" w:type="dxa"/>
            <w:vMerge w:val="continue"/>
          </w:tcPr>
          <w:p>
            <w:pPr>
              <w:jc w:val="center"/>
              <w:rPr>
                <w:rFonts w:ascii="Times New Roman" w:hAnsi="Times New Roman"/>
                <w:sz w:val="18"/>
                <w:szCs w:val="15"/>
              </w:rPr>
            </w:pPr>
          </w:p>
        </w:tc>
        <w:tc>
          <w:tcPr>
            <w:tcW w:w="2131" w:type="dxa"/>
          </w:tcPr>
          <w:p>
            <w:pPr>
              <w:jc w:val="center"/>
              <w:rPr>
                <w:rFonts w:ascii="Times New Roman" w:hAnsi="Times New Roman"/>
                <w:sz w:val="18"/>
                <w:szCs w:val="15"/>
              </w:rPr>
            </w:pPr>
            <w:r>
              <w:rPr>
                <w:rFonts w:hint="eastAsia" w:ascii="Times New Roman" w:hAnsi="Times New Roman"/>
                <w:sz w:val="18"/>
                <w:szCs w:val="15"/>
              </w:rPr>
              <w:t>N</w:t>
            </w:r>
          </w:p>
        </w:tc>
        <w:tc>
          <w:tcPr>
            <w:tcW w:w="2131" w:type="dxa"/>
          </w:tcPr>
          <w:p>
            <w:pPr>
              <w:jc w:val="center"/>
              <w:rPr>
                <w:rFonts w:ascii="Times New Roman" w:hAnsi="Times New Roman"/>
                <w:sz w:val="18"/>
                <w:szCs w:val="15"/>
              </w:rPr>
            </w:pPr>
            <w:r>
              <w:rPr>
                <w:rFonts w:hint="eastAsia" w:ascii="Times New Roman" w:hAnsi="Times New Roman"/>
                <w:sz w:val="18"/>
                <w:szCs w:val="15"/>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Merge w:val="continue"/>
          </w:tcPr>
          <w:p>
            <w:pPr>
              <w:jc w:val="center"/>
              <w:rPr>
                <w:rFonts w:ascii="Times New Roman" w:hAnsi="Times New Roman"/>
                <w:sz w:val="18"/>
                <w:szCs w:val="15"/>
              </w:rPr>
            </w:pPr>
          </w:p>
        </w:tc>
        <w:tc>
          <w:tcPr>
            <w:tcW w:w="2130" w:type="dxa"/>
            <w:vMerge w:val="continue"/>
          </w:tcPr>
          <w:p>
            <w:pPr>
              <w:jc w:val="center"/>
              <w:rPr>
                <w:rFonts w:ascii="Times New Roman" w:hAnsi="Times New Roman"/>
                <w:sz w:val="18"/>
                <w:szCs w:val="15"/>
              </w:rPr>
            </w:pPr>
          </w:p>
        </w:tc>
        <w:tc>
          <w:tcPr>
            <w:tcW w:w="2131" w:type="dxa"/>
          </w:tcPr>
          <w:p>
            <w:pPr>
              <w:jc w:val="center"/>
              <w:rPr>
                <w:rFonts w:ascii="Times New Roman" w:hAnsi="Times New Roman"/>
                <w:sz w:val="18"/>
                <w:szCs w:val="15"/>
              </w:rPr>
            </w:pPr>
            <w:r>
              <w:rPr>
                <w:rFonts w:hint="eastAsia" w:ascii="Times New Roman" w:hAnsi="Times New Roman"/>
                <w:sz w:val="18"/>
                <w:szCs w:val="15"/>
              </w:rPr>
              <w:t>COD</w:t>
            </w:r>
          </w:p>
        </w:tc>
        <w:tc>
          <w:tcPr>
            <w:tcW w:w="2131" w:type="dxa"/>
          </w:tcPr>
          <w:p>
            <w:pPr>
              <w:jc w:val="center"/>
              <w:rPr>
                <w:rFonts w:ascii="Times New Roman" w:hAnsi="Times New Roman"/>
                <w:sz w:val="18"/>
                <w:szCs w:val="15"/>
              </w:rPr>
            </w:pPr>
            <w:r>
              <w:rPr>
                <w:rFonts w:hint="eastAsia" w:ascii="Times New Roman" w:hAnsi="Times New Roman"/>
                <w:sz w:val="18"/>
                <w:szCs w:val="15"/>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tcPr>
          <w:p>
            <w:pPr>
              <w:ind w:firstLine="360" w:firstLineChars="200"/>
              <w:rPr>
                <w:rFonts w:ascii="Times New Roman" w:hAnsi="Times New Roman"/>
                <w:sz w:val="18"/>
                <w:szCs w:val="15"/>
              </w:rPr>
            </w:pPr>
            <w:r>
              <w:rPr>
                <w:rFonts w:hint="eastAsia" w:ascii="Times New Roman" w:hAnsi="Times New Roman"/>
                <w:sz w:val="18"/>
                <w:szCs w:val="15"/>
              </w:rPr>
              <w:t>光化学烟雾</w:t>
            </w:r>
          </w:p>
        </w:tc>
        <w:tc>
          <w:tcPr>
            <w:tcW w:w="2130" w:type="dxa"/>
          </w:tcPr>
          <w:p>
            <w:pPr>
              <w:jc w:val="center"/>
              <w:rPr>
                <w:rFonts w:ascii="Times New Roman" w:hAnsi="Times New Roman"/>
                <w:sz w:val="18"/>
                <w:szCs w:val="15"/>
              </w:rPr>
            </w:pPr>
            <w:r>
              <w:rPr>
                <w:rFonts w:ascii="Times New Roman" w:hAnsi="Times New Roman"/>
                <w:sz w:val="18"/>
                <w:szCs w:val="15"/>
              </w:rPr>
              <w:t>Kg</w:t>
            </w:r>
            <w:r>
              <w:rPr>
                <w:rFonts w:hint="eastAsia" w:ascii="Times New Roman" w:hAnsi="Times New Roman"/>
                <w:sz w:val="18"/>
                <w:szCs w:val="15"/>
              </w:rPr>
              <w:t>，</w:t>
            </w:r>
            <w:r>
              <w:rPr>
                <w:rFonts w:ascii="Times New Roman" w:hAnsi="Times New Roman"/>
                <w:sz w:val="18"/>
                <w:szCs w:val="15"/>
              </w:rPr>
              <w:t>C</w:t>
            </w:r>
            <w:r>
              <w:rPr>
                <w:rFonts w:ascii="Times New Roman" w:hAnsi="Times New Roman"/>
                <w:sz w:val="18"/>
                <w:szCs w:val="15"/>
                <w:vertAlign w:val="subscript"/>
              </w:rPr>
              <w:t>2</w:t>
            </w:r>
            <w:r>
              <w:rPr>
                <w:rFonts w:ascii="Times New Roman" w:hAnsi="Times New Roman"/>
                <w:sz w:val="18"/>
                <w:szCs w:val="15"/>
              </w:rPr>
              <w:t>H</w:t>
            </w:r>
            <w:r>
              <w:rPr>
                <w:rFonts w:ascii="Times New Roman" w:hAnsi="Times New Roman"/>
                <w:sz w:val="18"/>
                <w:szCs w:val="15"/>
                <w:vertAlign w:val="subscript"/>
              </w:rPr>
              <w:t>4  eq./kg</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c>
          <w:tcPr>
            <w:tcW w:w="2131" w:type="dxa"/>
          </w:tcPr>
          <w:p>
            <w:pPr>
              <w:jc w:val="center"/>
              <w:rPr>
                <w:rFonts w:ascii="Times New Roman" w:hAnsi="Times New Roman"/>
                <w:sz w:val="18"/>
                <w:szCs w:val="15"/>
              </w:rPr>
            </w:pPr>
            <w:r>
              <w:rPr>
                <w:rFonts w:hint="eastAsia" w:ascii="Times New Roman" w:hAnsi="Times New Roman"/>
                <w:sz w:val="18"/>
                <w:szCs w:val="15"/>
              </w:rPr>
              <w:t>——</w:t>
            </w:r>
          </w:p>
        </w:tc>
      </w:tr>
    </w:tbl>
    <w:p>
      <w:pPr>
        <w:spacing w:line="360" w:lineRule="auto"/>
        <w:jc w:val="left"/>
        <w:rPr>
          <w:rFonts w:ascii="Times New Roman" w:hAnsi="Times New Roman"/>
          <w:sz w:val="18"/>
          <w:szCs w:val="15"/>
        </w:rPr>
      </w:pPr>
    </w:p>
    <w:p>
      <w:pPr>
        <w:spacing w:line="360" w:lineRule="auto"/>
        <w:jc w:val="left"/>
        <w:rPr>
          <w:rFonts w:ascii="黑体" w:hAnsi="黑体" w:eastAsia="黑体"/>
          <w:szCs w:val="18"/>
        </w:rPr>
      </w:pPr>
      <w:r>
        <w:rPr>
          <w:rFonts w:hint="eastAsia" w:ascii="黑体" w:hAnsi="黑体" w:eastAsia="黑体"/>
          <w:szCs w:val="18"/>
        </w:rPr>
        <w:t>B.4.5计算方法</w:t>
      </w:r>
    </w:p>
    <w:p>
      <w:pPr>
        <w:spacing w:line="360" w:lineRule="auto"/>
        <w:jc w:val="center"/>
        <w:rPr>
          <w:rFonts w:ascii="Times New Roman" w:hAnsi="Times New Roman" w:cs="AngsanaUPC"/>
          <w:i/>
          <w:szCs w:val="36"/>
        </w:rPr>
      </w:pPr>
      <w:r>
        <w:rPr>
          <w:rFonts w:ascii="Times New Roman" w:hAnsi="Times New Roman" w:cs="AngsanaUPC"/>
          <w:i/>
          <w:szCs w:val="36"/>
        </w:rPr>
        <w:t>EPi=</w:t>
      </w:r>
      <w:r>
        <w:rPr>
          <w:rFonts w:hint="eastAsia" w:ascii="Times New Roman" w:hAnsi="Times New Roman" w:cs="AngsanaUPC"/>
          <w:i/>
          <w:szCs w:val="36"/>
        </w:rPr>
        <w:t>∑</w:t>
      </w:r>
      <w:r>
        <w:rPr>
          <w:rFonts w:ascii="Times New Roman" w:hAnsi="Times New Roman" w:cs="AngsanaUPC"/>
          <w:i/>
          <w:szCs w:val="36"/>
        </w:rPr>
        <w:t>EPij=</w:t>
      </w:r>
      <w:r>
        <w:rPr>
          <w:rFonts w:hint="eastAsia" w:ascii="Times New Roman" w:hAnsi="Times New Roman" w:cs="AngsanaUPC"/>
          <w:i/>
          <w:szCs w:val="36"/>
        </w:rPr>
        <w:t>∑</w:t>
      </w:r>
      <w:r>
        <w:rPr>
          <w:rFonts w:ascii="Times New Roman" w:hAnsi="Times New Roman" w:cs="AngsanaUPC"/>
          <w:i/>
          <w:szCs w:val="36"/>
        </w:rPr>
        <w:t>Qj×E</w:t>
      </w:r>
      <w:r>
        <w:rPr>
          <w:rFonts w:hint="eastAsia" w:ascii="Times New Roman" w:hAnsi="Times New Roman" w:cs="AngsanaUPC"/>
          <w:i/>
          <w:szCs w:val="36"/>
        </w:rPr>
        <w:t>F</w:t>
      </w:r>
      <w:r>
        <w:rPr>
          <w:rFonts w:ascii="Times New Roman" w:hAnsi="Times New Roman" w:cs="AngsanaUPC"/>
          <w:i/>
          <w:szCs w:val="36"/>
        </w:rPr>
        <w:t>ij</w:t>
      </w:r>
    </w:p>
    <w:p>
      <w:pPr>
        <w:spacing w:line="360" w:lineRule="auto"/>
        <w:jc w:val="left"/>
        <w:rPr>
          <w:rFonts w:ascii="Times New Roman" w:hAnsi="Times New Roman"/>
          <w:szCs w:val="18"/>
        </w:rPr>
      </w:pPr>
      <w:r>
        <w:rPr>
          <w:rFonts w:hint="eastAsia" w:ascii="Times New Roman" w:hAnsi="Times New Roman"/>
          <w:szCs w:val="18"/>
        </w:rPr>
        <w:t>式中</w:t>
      </w:r>
    </w:p>
    <w:p>
      <w:pPr>
        <w:spacing w:line="360" w:lineRule="auto"/>
        <w:jc w:val="left"/>
        <w:rPr>
          <w:rFonts w:ascii="Times New Roman" w:hAnsi="Times New Roman" w:cs="AngsanaUPC"/>
          <w:szCs w:val="18"/>
        </w:rPr>
      </w:pPr>
      <w:r>
        <w:rPr>
          <w:rFonts w:ascii="Times New Roman" w:hAnsi="Times New Roman" w:cs="AngsanaUPC"/>
          <w:i/>
          <w:szCs w:val="18"/>
        </w:rPr>
        <w:t>EPi</w:t>
      </w:r>
      <w:r>
        <w:rPr>
          <w:rFonts w:hint="eastAsia" w:ascii="Times New Roman" w:hAnsi="Times New Roman" w:cs="AngsanaUPC"/>
          <w:szCs w:val="18"/>
        </w:rPr>
        <w:t>—第</w:t>
      </w:r>
      <w:r>
        <w:rPr>
          <w:rFonts w:hint="eastAsia" w:ascii="Times New Roman" w:hAnsi="Times New Roman" w:cs="AngsanaUPC"/>
          <w:i/>
          <w:szCs w:val="18"/>
        </w:rPr>
        <w:t>i</w:t>
      </w:r>
      <w:r>
        <w:rPr>
          <w:rFonts w:hint="eastAsia" w:ascii="Times New Roman" w:hAnsi="Times New Roman" w:cs="AngsanaUPC"/>
          <w:szCs w:val="18"/>
        </w:rPr>
        <w:t>种环境类别特征化值</w:t>
      </w:r>
    </w:p>
    <w:p>
      <w:pPr>
        <w:spacing w:line="360" w:lineRule="auto"/>
        <w:jc w:val="left"/>
        <w:rPr>
          <w:rFonts w:ascii="Times New Roman" w:hAnsi="Times New Roman" w:cs="AngsanaUPC"/>
          <w:szCs w:val="18"/>
        </w:rPr>
      </w:pPr>
      <w:r>
        <w:rPr>
          <w:rFonts w:ascii="Times New Roman" w:hAnsi="Times New Roman" w:cs="AngsanaUPC"/>
          <w:i/>
          <w:szCs w:val="18"/>
        </w:rPr>
        <w:t>EPij</w:t>
      </w:r>
      <w:r>
        <w:rPr>
          <w:rFonts w:hint="eastAsia" w:ascii="Times New Roman" w:hAnsi="Times New Roman" w:cs="AngsanaUPC"/>
          <w:szCs w:val="18"/>
        </w:rPr>
        <w:t>—第</w:t>
      </w:r>
      <w:r>
        <w:rPr>
          <w:rFonts w:hint="eastAsia" w:ascii="Times New Roman" w:hAnsi="Times New Roman" w:cs="AngsanaUPC"/>
          <w:i/>
          <w:szCs w:val="18"/>
        </w:rPr>
        <w:t>i</w:t>
      </w:r>
      <w:r>
        <w:rPr>
          <w:rFonts w:hint="eastAsia" w:ascii="Times New Roman" w:hAnsi="Times New Roman" w:cs="AngsanaUPC"/>
          <w:szCs w:val="18"/>
        </w:rPr>
        <w:t>种环境类别中第</w:t>
      </w:r>
      <w:r>
        <w:rPr>
          <w:rFonts w:hint="eastAsia" w:ascii="Times New Roman" w:hAnsi="Times New Roman" w:cs="AngsanaUPC"/>
          <w:i/>
          <w:szCs w:val="18"/>
        </w:rPr>
        <w:t>j</w:t>
      </w:r>
      <w:r>
        <w:rPr>
          <w:rFonts w:hint="eastAsia" w:ascii="Times New Roman" w:hAnsi="Times New Roman" w:cs="AngsanaUPC"/>
          <w:szCs w:val="18"/>
        </w:rPr>
        <w:t>种污染物的贡献</w:t>
      </w:r>
    </w:p>
    <w:p>
      <w:pPr>
        <w:spacing w:line="360" w:lineRule="auto"/>
        <w:jc w:val="left"/>
        <w:rPr>
          <w:rFonts w:ascii="Times New Roman" w:hAnsi="Times New Roman" w:cs="AngsanaUPC"/>
          <w:szCs w:val="18"/>
        </w:rPr>
      </w:pPr>
      <w:r>
        <w:rPr>
          <w:rFonts w:ascii="Times New Roman" w:hAnsi="Times New Roman" w:cs="AngsanaUPC"/>
          <w:i/>
          <w:szCs w:val="18"/>
        </w:rPr>
        <w:t>Qj</w:t>
      </w:r>
      <w:r>
        <w:rPr>
          <w:rFonts w:hint="eastAsia" w:ascii="Times New Roman" w:hAnsi="Times New Roman" w:cs="AngsanaUPC"/>
          <w:szCs w:val="18"/>
        </w:rPr>
        <w:t>—第</w:t>
      </w:r>
      <w:r>
        <w:rPr>
          <w:rFonts w:hint="eastAsia" w:ascii="Times New Roman" w:hAnsi="Times New Roman" w:cs="AngsanaUPC"/>
          <w:i/>
          <w:szCs w:val="18"/>
        </w:rPr>
        <w:t>j</w:t>
      </w:r>
      <w:r>
        <w:rPr>
          <w:rFonts w:hint="eastAsia" w:ascii="Times New Roman" w:hAnsi="Times New Roman" w:cs="AngsanaUPC"/>
          <w:szCs w:val="18"/>
        </w:rPr>
        <w:t>种污染物的排放量</w:t>
      </w:r>
    </w:p>
    <w:p>
      <w:pPr>
        <w:spacing w:line="360" w:lineRule="auto"/>
        <w:jc w:val="left"/>
        <w:rPr>
          <w:rFonts w:ascii="Times New Roman" w:hAnsi="Times New Roman"/>
          <w:szCs w:val="18"/>
        </w:rPr>
      </w:pPr>
      <w:r>
        <w:rPr>
          <w:rFonts w:ascii="Times New Roman" w:hAnsi="Times New Roman" w:cs="AngsanaUPC"/>
          <w:i/>
          <w:szCs w:val="18"/>
        </w:rPr>
        <w:t>E</w:t>
      </w:r>
      <w:r>
        <w:rPr>
          <w:rFonts w:hint="eastAsia" w:ascii="Times New Roman" w:hAnsi="Times New Roman" w:cs="AngsanaUPC"/>
          <w:i/>
          <w:szCs w:val="18"/>
        </w:rPr>
        <w:t>F</w:t>
      </w:r>
      <w:r>
        <w:rPr>
          <w:rFonts w:ascii="Times New Roman" w:hAnsi="Times New Roman" w:cs="AngsanaUPC"/>
          <w:i/>
          <w:szCs w:val="18"/>
        </w:rPr>
        <w:t>ij</w:t>
      </w:r>
      <w:r>
        <w:rPr>
          <w:rFonts w:hint="eastAsia" w:ascii="Times New Roman" w:hAnsi="Times New Roman" w:cs="AngsanaUPC"/>
          <w:szCs w:val="18"/>
        </w:rPr>
        <w:t>—第</w:t>
      </w:r>
      <w:r>
        <w:rPr>
          <w:rFonts w:hint="eastAsia" w:ascii="Times New Roman" w:hAnsi="Times New Roman" w:cs="AngsanaUPC"/>
          <w:i/>
          <w:szCs w:val="18"/>
        </w:rPr>
        <w:t>i</w:t>
      </w:r>
      <w:r>
        <w:rPr>
          <w:rFonts w:hint="eastAsia" w:ascii="Times New Roman" w:hAnsi="Times New Roman" w:cs="AngsanaUPC"/>
          <w:szCs w:val="18"/>
        </w:rPr>
        <w:t>种环境类别中污染物的特征化因子</w:t>
      </w:r>
    </w:p>
    <w:p>
      <w:pPr>
        <w:spacing w:line="360" w:lineRule="auto"/>
        <w:jc w:val="left"/>
        <w:rPr>
          <w:rFonts w:ascii="Times New Roman" w:hAnsi="Times New Roman"/>
          <w:szCs w:val="18"/>
        </w:rPr>
      </w:pPr>
    </w:p>
    <w:p>
      <w:pPr>
        <w:spacing w:line="360" w:lineRule="auto"/>
        <w:jc w:val="left"/>
        <w:rPr>
          <w:rFonts w:ascii="黑体" w:hAnsi="黑体" w:eastAsia="黑体"/>
          <w:szCs w:val="18"/>
        </w:rPr>
      </w:pPr>
      <w:bookmarkStart w:id="9" w:name="_Toc509405178"/>
      <w:bookmarkStart w:id="10" w:name="_Toc509405770"/>
      <w:r>
        <w:rPr>
          <w:rFonts w:hint="eastAsia" w:ascii="黑体" w:hAnsi="黑体" w:eastAsia="黑体"/>
          <w:szCs w:val="18"/>
        </w:rPr>
        <w:t>B.5 解释</w:t>
      </w:r>
      <w:bookmarkEnd w:id="9"/>
      <w:bookmarkEnd w:id="10"/>
    </w:p>
    <w:p>
      <w:pPr>
        <w:spacing w:line="360" w:lineRule="auto"/>
        <w:ind w:firstLine="420"/>
        <w:rPr>
          <w:rFonts w:ascii="Times New Roman" w:hAnsi="Times New Roman"/>
          <w:szCs w:val="18"/>
        </w:rPr>
      </w:pPr>
      <w:r>
        <w:rPr>
          <w:rFonts w:hint="eastAsia" w:ascii="Times New Roman" w:hAnsi="Times New Roman"/>
          <w:szCs w:val="18"/>
        </w:rPr>
        <w:t>解释阶段应包括下述步骤：</w:t>
      </w:r>
    </w:p>
    <w:p>
      <w:pPr>
        <w:pStyle w:val="34"/>
        <w:numPr>
          <w:ilvl w:val="0"/>
          <w:numId w:val="1"/>
        </w:numPr>
        <w:ind w:firstLineChars="0"/>
        <w:rPr>
          <w:sz w:val="21"/>
          <w:szCs w:val="18"/>
        </w:rPr>
      </w:pPr>
      <w:r>
        <w:rPr>
          <w:rFonts w:hint="eastAsia"/>
          <w:sz w:val="21"/>
          <w:szCs w:val="18"/>
        </w:rPr>
        <w:t>评价产品生命周期模型的稳健性</w:t>
      </w:r>
    </w:p>
    <w:p>
      <w:pPr>
        <w:spacing w:line="360" w:lineRule="auto"/>
        <w:ind w:firstLine="420"/>
        <w:rPr>
          <w:rFonts w:ascii="Times New Roman" w:hAnsi="Times New Roman"/>
          <w:szCs w:val="18"/>
        </w:rPr>
      </w:pPr>
      <w:r>
        <w:rPr>
          <w:rFonts w:hint="eastAsia" w:ascii="Times New Roman" w:hAnsi="Times New Roman"/>
          <w:szCs w:val="18"/>
        </w:rPr>
        <w:t>稳健性评价用于评价系统边界、数据来源、分配选择和生命周期影响类型等方法选择对结果的影响程度。</w:t>
      </w:r>
    </w:p>
    <w:p>
      <w:pPr>
        <w:spacing w:line="360" w:lineRule="auto"/>
        <w:ind w:firstLine="420"/>
        <w:rPr>
          <w:rFonts w:ascii="Times New Roman" w:hAnsi="Times New Roman"/>
          <w:szCs w:val="18"/>
        </w:rPr>
      </w:pPr>
      <w:r>
        <w:rPr>
          <w:rFonts w:hint="eastAsia" w:ascii="Times New Roman" w:hAnsi="Times New Roman"/>
          <w:szCs w:val="18"/>
        </w:rPr>
        <w:t>宜用于评价产品生命周期模型稳健性的工具包括：</w:t>
      </w:r>
    </w:p>
    <w:p>
      <w:pPr>
        <w:pStyle w:val="34"/>
        <w:numPr>
          <w:ilvl w:val="0"/>
          <w:numId w:val="2"/>
        </w:numPr>
        <w:ind w:firstLineChars="0"/>
        <w:rPr>
          <w:sz w:val="21"/>
          <w:szCs w:val="18"/>
        </w:rPr>
      </w:pPr>
      <w:r>
        <w:rPr>
          <w:rFonts w:hint="eastAsia"/>
          <w:sz w:val="21"/>
          <w:szCs w:val="18"/>
        </w:rPr>
        <w:t>完整性检查：评价数据清单，以确保其相对于确定的目标、范围、系统边界和质量准则完整。</w:t>
      </w:r>
    </w:p>
    <w:p>
      <w:pPr>
        <w:pStyle w:val="34"/>
        <w:numPr>
          <w:ilvl w:val="0"/>
          <w:numId w:val="2"/>
        </w:numPr>
        <w:ind w:firstLineChars="0"/>
        <w:rPr>
          <w:sz w:val="21"/>
          <w:szCs w:val="18"/>
        </w:rPr>
      </w:pPr>
      <w:r>
        <w:rPr>
          <w:rFonts w:hint="eastAsia"/>
          <w:sz w:val="21"/>
          <w:szCs w:val="18"/>
        </w:rPr>
        <w:t>敏感性检查：通过确定最终结果和结论是如何受到数据、分配方法或类型参数的计算等的不确定性的影响，来评价其可靠性。</w:t>
      </w:r>
    </w:p>
    <w:p>
      <w:pPr>
        <w:pStyle w:val="34"/>
        <w:numPr>
          <w:ilvl w:val="0"/>
          <w:numId w:val="2"/>
        </w:numPr>
        <w:ind w:firstLineChars="0"/>
        <w:rPr>
          <w:sz w:val="21"/>
          <w:szCs w:val="18"/>
        </w:rPr>
      </w:pPr>
      <w:r>
        <w:rPr>
          <w:rFonts w:hint="eastAsia"/>
          <w:sz w:val="21"/>
          <w:szCs w:val="18"/>
        </w:rPr>
        <w:t>一致性检查：目的是确认假设、方法和数据是否与目的和范围的要求相一致。</w:t>
      </w:r>
    </w:p>
    <w:p>
      <w:pPr>
        <w:pStyle w:val="34"/>
        <w:numPr>
          <w:ilvl w:val="0"/>
          <w:numId w:val="1"/>
        </w:numPr>
        <w:ind w:firstLineChars="0"/>
        <w:rPr>
          <w:sz w:val="21"/>
          <w:szCs w:val="18"/>
        </w:rPr>
      </w:pPr>
      <w:r>
        <w:rPr>
          <w:rFonts w:hint="eastAsia"/>
          <w:sz w:val="21"/>
          <w:szCs w:val="18"/>
        </w:rPr>
        <w:t>识别热点问题</w:t>
      </w:r>
    </w:p>
    <w:p>
      <w:pPr>
        <w:spacing w:line="360" w:lineRule="auto"/>
        <w:ind w:firstLine="420"/>
        <w:rPr>
          <w:rFonts w:ascii="Times New Roman" w:hAnsi="Times New Roman"/>
          <w:szCs w:val="18"/>
        </w:rPr>
      </w:pPr>
      <w:r>
        <w:rPr>
          <w:rFonts w:hint="eastAsia" w:ascii="Times New Roman" w:hAnsi="Times New Roman"/>
          <w:szCs w:val="18"/>
        </w:rPr>
        <w:t>为了产生环境效益或至少将环境责任降至最低，应根据清单分析和影响评价阶段的信息提出一系列与稀土冶炼分离产品相关的生态设计改进方案。</w:t>
      </w:r>
    </w:p>
    <w:p>
      <w:pPr>
        <w:pStyle w:val="34"/>
        <w:numPr>
          <w:ilvl w:val="0"/>
          <w:numId w:val="1"/>
        </w:numPr>
        <w:ind w:firstLineChars="0"/>
        <w:rPr>
          <w:sz w:val="21"/>
          <w:szCs w:val="18"/>
        </w:rPr>
      </w:pPr>
      <w:r>
        <w:rPr>
          <w:rFonts w:hint="eastAsia"/>
          <w:sz w:val="21"/>
          <w:szCs w:val="18"/>
        </w:rPr>
        <w:t>结论、限制和建议</w:t>
      </w:r>
    </w:p>
    <w:p>
      <w:pPr>
        <w:spacing w:line="360" w:lineRule="auto"/>
        <w:ind w:firstLine="420"/>
        <w:rPr>
          <w:rFonts w:ascii="Times New Roman" w:hAnsi="Times New Roman"/>
          <w:szCs w:val="18"/>
        </w:rPr>
      </w:pPr>
      <w:r>
        <w:rPr>
          <w:rFonts w:hint="eastAsia" w:ascii="Times New Roman" w:hAnsi="Times New Roman"/>
          <w:szCs w:val="18"/>
        </w:rPr>
        <w:t>应根据确定的产品生命周期评价的目标和范围阐述结论、限制和建议。</w:t>
      </w:r>
    </w:p>
    <w:p>
      <w:pPr>
        <w:spacing w:line="360" w:lineRule="auto"/>
        <w:jc w:val="left"/>
        <w:rPr>
          <w:rFonts w:ascii="黑体" w:hAnsi="黑体" w:eastAsia="黑体"/>
          <w:szCs w:val="18"/>
        </w:rPr>
      </w:pPr>
      <w:bookmarkStart w:id="11" w:name="_Toc509405179"/>
      <w:bookmarkStart w:id="12" w:name="_Toc509405771"/>
      <w:r>
        <w:rPr>
          <w:rFonts w:hint="eastAsia" w:ascii="黑体" w:hAnsi="黑体" w:eastAsia="黑体"/>
          <w:szCs w:val="18"/>
        </w:rPr>
        <w:t>B.6  LCA报告</w:t>
      </w:r>
      <w:bookmarkEnd w:id="11"/>
      <w:bookmarkEnd w:id="12"/>
    </w:p>
    <w:p>
      <w:pPr>
        <w:spacing w:line="360" w:lineRule="auto"/>
        <w:ind w:firstLine="420"/>
        <w:rPr>
          <w:rFonts w:ascii="Times New Roman" w:hAnsi="Times New Roman"/>
          <w:szCs w:val="18"/>
        </w:rPr>
      </w:pPr>
      <w:r>
        <w:rPr>
          <w:rFonts w:ascii="Times New Roman" w:hAnsi="Times New Roman"/>
          <w:szCs w:val="18"/>
        </w:rPr>
        <w:t>产品LCA报告可用于绿色设计产品评价， 也可用于产品碳足迹、 水足迹、 欧盟产品环境足迹（PEF）、环境产品声明（EPD）等LCA评价， 具体要求可参见相关标准和评价体系的规定。</w:t>
      </w:r>
    </w:p>
    <w:p>
      <w:pPr>
        <w:spacing w:line="360" w:lineRule="auto"/>
        <w:ind w:firstLine="480" w:firstLineChars="200"/>
        <w:jc w:val="left"/>
        <w:rPr>
          <w:rFonts w:ascii="Times New Roman" w:hAnsi="Times New Roman"/>
          <w:sz w:val="24"/>
          <w:szCs w:val="21"/>
        </w:rPr>
      </w:pPr>
    </w:p>
    <w:p>
      <w:pPr>
        <w:spacing w:line="360" w:lineRule="auto"/>
        <w:jc w:val="left"/>
        <w:rPr>
          <w:rFonts w:ascii="Times New Roman" w:hAnsi="Times New Roman"/>
          <w:sz w:val="24"/>
          <w:szCs w:val="21"/>
        </w:rPr>
      </w:pPr>
    </w:p>
    <w:p>
      <w:pPr>
        <w:spacing w:line="360" w:lineRule="auto"/>
        <w:jc w:val="left"/>
        <w:rPr>
          <w:rFonts w:ascii="Times New Roman" w:hAnsi="Times New Roman"/>
          <w:sz w:val="24"/>
          <w:szCs w:val="21"/>
        </w:rPr>
      </w:pPr>
    </w:p>
    <w:p>
      <w:pPr>
        <w:spacing w:line="360" w:lineRule="auto"/>
        <w:jc w:val="left"/>
        <w:rPr>
          <w:rFonts w:ascii="Times New Roman" w:hAnsi="Times New Roman"/>
          <w:sz w:val="24"/>
          <w:szCs w:val="21"/>
        </w:rPr>
      </w:pPr>
    </w:p>
    <w:p>
      <w:pPr>
        <w:spacing w:line="360" w:lineRule="auto"/>
        <w:jc w:val="left"/>
        <w:rPr>
          <w:rFonts w:ascii="Times New Roman" w:hAnsi="Times New Roman"/>
          <w:sz w:val="24"/>
          <w:szCs w:val="21"/>
        </w:rPr>
      </w:pPr>
    </w:p>
    <w:p>
      <w:pPr>
        <w:widowControl/>
        <w:spacing w:line="360" w:lineRule="auto"/>
        <w:jc w:val="center"/>
        <w:rPr>
          <w:rFonts w:ascii="黑体" w:hAnsi="黑体" w:eastAsia="黑体"/>
          <w:bCs/>
          <w:sz w:val="32"/>
          <w:szCs w:val="24"/>
        </w:rPr>
      </w:pPr>
      <w:r>
        <w:rPr>
          <w:rFonts w:ascii="Times New Roman" w:hAnsi="Times New Roman"/>
          <w:sz w:val="24"/>
          <w:szCs w:val="21"/>
        </w:rPr>
        <w:br w:type="page"/>
      </w:r>
      <w:bookmarkStart w:id="13" w:name="_Toc508953220"/>
      <w:r>
        <w:rPr>
          <w:rFonts w:hint="eastAsia" w:ascii="黑体" w:hAnsi="黑体" w:eastAsia="黑体"/>
          <w:bCs/>
          <w:sz w:val="32"/>
          <w:szCs w:val="24"/>
        </w:rPr>
        <w:t>附录</w:t>
      </w:r>
      <w:r>
        <w:rPr>
          <w:rFonts w:ascii="黑体" w:hAnsi="黑体" w:eastAsia="黑体"/>
          <w:bCs/>
          <w:sz w:val="32"/>
          <w:szCs w:val="24"/>
        </w:rPr>
        <w:t>C</w:t>
      </w:r>
      <w:bookmarkEnd w:id="13"/>
    </w:p>
    <w:p>
      <w:pPr>
        <w:spacing w:line="360" w:lineRule="auto"/>
        <w:jc w:val="center"/>
        <w:rPr>
          <w:rFonts w:ascii="黑体" w:hAnsi="黑体" w:eastAsia="黑体"/>
          <w:bCs/>
          <w:sz w:val="32"/>
          <w:szCs w:val="24"/>
        </w:rPr>
      </w:pPr>
      <w:r>
        <w:rPr>
          <w:rFonts w:hint="eastAsia" w:ascii="黑体" w:hAnsi="黑体" w:eastAsia="黑体"/>
          <w:bCs/>
          <w:sz w:val="32"/>
          <w:szCs w:val="24"/>
        </w:rPr>
        <w:t>（资料性附录）</w:t>
      </w:r>
    </w:p>
    <w:p>
      <w:pPr>
        <w:spacing w:line="360" w:lineRule="auto"/>
        <w:jc w:val="center"/>
        <w:rPr>
          <w:rFonts w:ascii="黑体" w:hAnsi="黑体" w:eastAsia="黑体"/>
          <w:bCs/>
          <w:sz w:val="32"/>
          <w:szCs w:val="24"/>
        </w:rPr>
      </w:pPr>
      <w:r>
        <w:rPr>
          <w:rFonts w:hint="eastAsia" w:ascii="黑体" w:hAnsi="黑体" w:eastAsia="黑体"/>
          <w:bCs/>
          <w:sz w:val="32"/>
          <w:szCs w:val="24"/>
        </w:rPr>
        <w:t>数据收集表格示例</w:t>
      </w:r>
    </w:p>
    <w:p>
      <w:pPr>
        <w:spacing w:line="360" w:lineRule="auto"/>
        <w:ind w:firstLine="420" w:firstLineChars="200"/>
        <w:jc w:val="left"/>
        <w:rPr>
          <w:rFonts w:ascii="Times New Roman" w:hAnsi="Times New Roman"/>
          <w:szCs w:val="18"/>
        </w:rPr>
      </w:pPr>
      <w:r>
        <w:rPr>
          <w:rFonts w:hint="eastAsia" w:ascii="Times New Roman" w:hAnsi="Times New Roman"/>
          <w:szCs w:val="18"/>
        </w:rPr>
        <w:t>参照图</w:t>
      </w:r>
      <w:r>
        <w:rPr>
          <w:rFonts w:ascii="Times New Roman" w:hAnsi="Times New Roman"/>
          <w:szCs w:val="18"/>
        </w:rPr>
        <w:t>C.1</w:t>
      </w:r>
      <w:r>
        <w:rPr>
          <w:rFonts w:hint="eastAsia" w:ascii="Times New Roman" w:hAnsi="Times New Roman"/>
          <w:szCs w:val="18"/>
        </w:rPr>
        <w:t>绘制每个单元过程的图，然后参照表</w:t>
      </w:r>
      <w:r>
        <w:rPr>
          <w:rFonts w:ascii="Times New Roman" w:hAnsi="Times New Roman"/>
          <w:szCs w:val="18"/>
        </w:rPr>
        <w:t>C.1</w:t>
      </w:r>
      <w:r>
        <w:rPr>
          <w:rFonts w:hint="eastAsia" w:ascii="Times New Roman" w:hAnsi="Times New Roman"/>
          <w:szCs w:val="18"/>
        </w:rPr>
        <w:t>收集单元过程的数据，最终汇总形成锂产品的数据清单（参见表</w:t>
      </w:r>
      <w:r>
        <w:rPr>
          <w:rFonts w:ascii="Times New Roman" w:hAnsi="Times New Roman"/>
          <w:szCs w:val="18"/>
        </w:rPr>
        <w:t>C.2</w:t>
      </w:r>
      <w:r>
        <w:rPr>
          <w:rFonts w:hint="eastAsia" w:ascii="Times New Roman" w:hAnsi="Times New Roman"/>
          <w:szCs w:val="18"/>
        </w:rPr>
        <w:t>）。</w:t>
      </w:r>
    </w:p>
    <w:p>
      <w:pPr>
        <w:spacing w:line="360" w:lineRule="auto"/>
        <w:jc w:val="center"/>
        <w:rPr>
          <w:rFonts w:ascii="Times New Roman" w:hAnsi="Times New Roman"/>
          <w:sz w:val="24"/>
          <w:szCs w:val="21"/>
        </w:rPr>
      </w:pPr>
      <w:r>
        <w:rPr>
          <w:rFonts w:ascii="Times New Roman" w:hAnsi="Times New Roman"/>
          <w:sz w:val="24"/>
          <w:szCs w:val="21"/>
        </w:rPr>
        <mc:AlternateContent>
          <mc:Choice Requires="wpc">
            <w:drawing>
              <wp:inline distT="0" distB="0" distL="114300" distR="114300">
                <wp:extent cx="5274310" cy="3289300"/>
                <wp:effectExtent l="4445" t="4445" r="17145" b="20955"/>
                <wp:docPr id="83"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000000"/>
                          </a:solidFill>
                          <a:prstDash val="dash"/>
                          <a:miter/>
                          <a:headEnd type="none" w="med" len="med"/>
                          <a:tailEnd type="none" w="med" len="med"/>
                        </a:ln>
                      </wpc:whole>
                      <wps:wsp>
                        <wps:cNvPr id="54" name="Rectangle 110"/>
                        <wps:cNvSpPr/>
                        <wps:spPr>
                          <a:xfrm>
                            <a:off x="1313802" y="1347400"/>
                            <a:ext cx="245680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锂熔炼工序</w:t>
                              </w:r>
                            </w:p>
                          </w:txbxContent>
                        </wps:txbx>
                        <wps:bodyPr anchor="ctr" upright="1"/>
                      </wps:wsp>
                      <wps:wsp>
                        <wps:cNvPr id="55" name="AutoShape 111"/>
                        <wps:cNvSpPr/>
                        <wps:spPr>
                          <a:xfrm>
                            <a:off x="3819507" y="1424900"/>
                            <a:ext cx="508601" cy="90800"/>
                          </a:xfrm>
                          <a:prstGeom prst="rightArrow">
                            <a:avLst>
                              <a:gd name="adj1" fmla="val 50000"/>
                              <a:gd name="adj2" fmla="val 140033"/>
                            </a:avLst>
                          </a:prstGeom>
                          <a:solidFill>
                            <a:srgbClr val="FFFFFF"/>
                          </a:solidFill>
                          <a:ln w="9525" cap="flat" cmpd="sng">
                            <a:solidFill>
                              <a:srgbClr val="000000"/>
                            </a:solidFill>
                            <a:prstDash val="solid"/>
                            <a:miter/>
                            <a:headEnd type="none" w="med" len="med"/>
                            <a:tailEnd type="none" w="med" len="med"/>
                          </a:ln>
                        </wps:spPr>
                        <wps:bodyPr upright="1"/>
                      </wps:wsp>
                      <wps:wsp>
                        <wps:cNvPr id="56" name="Oval 112"/>
                        <wps:cNvSpPr/>
                        <wps:spPr>
                          <a:xfrm>
                            <a:off x="4348408" y="1307400"/>
                            <a:ext cx="747401" cy="3582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3.1 产品</w:t>
                              </w:r>
                            </w:p>
                          </w:txbxContent>
                        </wps:txbx>
                        <wps:bodyPr lIns="10800" tIns="10800" rIns="10800" bIns="10800" anchor="ctr" upright="1"/>
                      </wps:wsp>
                      <wps:wsp>
                        <wps:cNvPr id="57" name="Text Box 113"/>
                        <wps:cNvSpPr txBox="1"/>
                        <wps:spPr>
                          <a:xfrm>
                            <a:off x="4290608" y="1752600"/>
                            <a:ext cx="891602" cy="222800"/>
                          </a:xfrm>
                          <a:prstGeom prst="rect">
                            <a:avLst/>
                          </a:prstGeom>
                          <a:solidFill>
                            <a:srgbClr val="FFFFFF"/>
                          </a:solidFill>
                          <a:ln w="9525">
                            <a:noFill/>
                            <a:miter/>
                          </a:ln>
                        </wps:spPr>
                        <wps:txbx>
                          <w:txbxContent>
                            <w:p>
                              <w:pPr>
                                <w:jc w:val="center"/>
                                <w:rPr>
                                  <w:sz w:val="18"/>
                                  <w:szCs w:val="18"/>
                                </w:rPr>
                              </w:pPr>
                              <w:r>
                                <w:rPr>
                                  <w:rFonts w:hint="eastAsia"/>
                                  <w:sz w:val="18"/>
                                  <w:szCs w:val="18"/>
                                </w:rPr>
                                <w:t>种类和重量(t/a):</w:t>
                              </w:r>
                            </w:p>
                          </w:txbxContent>
                        </wps:txbx>
                        <wps:bodyPr lIns="10800" tIns="10800" rIns="10800" bIns="10800" upright="1"/>
                      </wps:wsp>
                      <wps:wsp>
                        <wps:cNvPr id="58" name="Text Box 114"/>
                        <wps:cNvSpPr txBox="1"/>
                        <wps:spPr>
                          <a:xfrm>
                            <a:off x="4331908" y="1973500"/>
                            <a:ext cx="891602" cy="5353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—金属锂；</w:t>
                              </w:r>
                            </w:p>
                            <w:p>
                              <w:pPr>
                                <w:spacing w:line="240" w:lineRule="exact"/>
                                <w:jc w:val="left"/>
                                <w:rPr>
                                  <w:sz w:val="18"/>
                                  <w:szCs w:val="18"/>
                                </w:rPr>
                              </w:pPr>
                              <w:r>
                                <w:rPr>
                                  <w:rFonts w:hint="eastAsia"/>
                                  <w:sz w:val="18"/>
                                  <w:szCs w:val="18"/>
                                </w:rPr>
                                <w:t>—锂粒子、锂带；</w:t>
                              </w:r>
                            </w:p>
                            <w:p>
                              <w:pPr>
                                <w:spacing w:line="240" w:lineRule="exact"/>
                                <w:jc w:val="left"/>
                                <w:rPr>
                                  <w:sz w:val="18"/>
                                  <w:szCs w:val="18"/>
                                </w:rPr>
                              </w:pPr>
                              <w:r>
                                <w:rPr>
                                  <w:rFonts w:hint="eastAsia"/>
                                  <w:sz w:val="18"/>
                                  <w:szCs w:val="18"/>
                                </w:rPr>
                                <w:t>—……</w:t>
                              </w:r>
                            </w:p>
                          </w:txbxContent>
                        </wps:txbx>
                        <wps:bodyPr lIns="10800" tIns="10800" rIns="10800" bIns="10800" upright="1"/>
                      </wps:wsp>
                      <wps:wsp>
                        <wps:cNvPr id="59" name="AutoShape 115"/>
                        <wps:cNvSpPr/>
                        <wps:spPr>
                          <a:xfrm>
                            <a:off x="942302" y="1437000"/>
                            <a:ext cx="371501" cy="90800"/>
                          </a:xfrm>
                          <a:prstGeom prst="rightArrow">
                            <a:avLst>
                              <a:gd name="adj1" fmla="val 50000"/>
                              <a:gd name="adj2" fmla="val 102285"/>
                            </a:avLst>
                          </a:prstGeom>
                          <a:solidFill>
                            <a:srgbClr val="FFFFFF"/>
                          </a:solidFill>
                          <a:ln w="9525" cap="flat" cmpd="sng">
                            <a:solidFill>
                              <a:srgbClr val="000000"/>
                            </a:solidFill>
                            <a:prstDash val="solid"/>
                            <a:miter/>
                            <a:headEnd type="none" w="med" len="med"/>
                            <a:tailEnd type="none" w="med" len="med"/>
                          </a:ln>
                        </wps:spPr>
                        <wps:bodyPr upright="1"/>
                      </wps:wsp>
                      <wps:wsp>
                        <wps:cNvPr id="60" name="Text Box 116"/>
                        <wps:cNvSpPr txBox="1"/>
                        <wps:spPr>
                          <a:xfrm>
                            <a:off x="153000" y="1367100"/>
                            <a:ext cx="747401" cy="240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2.1 原材料</w:t>
                              </w:r>
                            </w:p>
                          </w:txbxContent>
                        </wps:txbx>
                        <wps:bodyPr lIns="10800" tIns="10800" rIns="10800" bIns="10800" anchor="ctr" upright="1"/>
                      </wps:wsp>
                      <wps:wsp>
                        <wps:cNvPr id="61" name="Text Box 117"/>
                        <wps:cNvSpPr txBox="1"/>
                        <wps:spPr>
                          <a:xfrm>
                            <a:off x="109200" y="1665600"/>
                            <a:ext cx="891502" cy="222800"/>
                          </a:xfrm>
                          <a:prstGeom prst="rect">
                            <a:avLst/>
                          </a:prstGeom>
                          <a:solidFill>
                            <a:srgbClr val="FFFFFF"/>
                          </a:solidFill>
                          <a:ln w="9525">
                            <a:noFill/>
                            <a:miter/>
                          </a:ln>
                        </wps:spPr>
                        <wps:txbx>
                          <w:txbxContent>
                            <w:p>
                              <w:pPr>
                                <w:jc w:val="center"/>
                                <w:rPr>
                                  <w:sz w:val="18"/>
                                  <w:szCs w:val="18"/>
                                </w:rPr>
                              </w:pPr>
                              <w:r>
                                <w:rPr>
                                  <w:rFonts w:hint="eastAsia"/>
                                  <w:sz w:val="18"/>
                                  <w:szCs w:val="18"/>
                                </w:rPr>
                                <w:t>种类和重量(t/a):</w:t>
                              </w:r>
                            </w:p>
                          </w:txbxContent>
                        </wps:txbx>
                        <wps:bodyPr lIns="10800" tIns="10800" rIns="10800" bIns="10800" upright="1"/>
                      </wps:wsp>
                      <wps:wsp>
                        <wps:cNvPr id="62" name="Text Box 118"/>
                        <wps:cNvSpPr txBox="1"/>
                        <wps:spPr>
                          <a:xfrm>
                            <a:off x="153000" y="1888400"/>
                            <a:ext cx="747401" cy="77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——氯化锂；</w:t>
                              </w:r>
                            </w:p>
                            <w:p>
                              <w:pPr>
                                <w:spacing w:line="240" w:lineRule="exact"/>
                                <w:jc w:val="left"/>
                                <w:rPr>
                                  <w:sz w:val="18"/>
                                  <w:szCs w:val="18"/>
                                </w:rPr>
                              </w:pPr>
                              <w:r>
                                <w:rPr>
                                  <w:rFonts w:hint="eastAsia"/>
                                  <w:sz w:val="18"/>
                                  <w:szCs w:val="18"/>
                                </w:rPr>
                                <w:t>——氯化钾；</w:t>
                              </w:r>
                            </w:p>
                            <w:p>
                              <w:pPr>
                                <w:spacing w:line="240" w:lineRule="exact"/>
                                <w:jc w:val="left"/>
                                <w:rPr>
                                  <w:sz w:val="18"/>
                                  <w:szCs w:val="18"/>
                                </w:rPr>
                              </w:pPr>
                              <w:r>
                                <w:rPr>
                                  <w:rFonts w:hint="eastAsia"/>
                                  <w:sz w:val="18"/>
                                  <w:szCs w:val="18"/>
                                </w:rPr>
                                <w:t>——液碱</w:t>
                              </w:r>
                            </w:p>
                          </w:txbxContent>
                        </wps:txbx>
                        <wps:bodyPr lIns="10800" tIns="10800" rIns="10800" bIns="10800" upright="1"/>
                      </wps:wsp>
                      <wps:wsp>
                        <wps:cNvPr id="63" name="Text Box 119"/>
                        <wps:cNvSpPr txBox="1"/>
                        <wps:spPr>
                          <a:xfrm>
                            <a:off x="1525203" y="729600"/>
                            <a:ext cx="747401" cy="24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2.2 能源</w:t>
                              </w:r>
                            </w:p>
                          </w:txbxContent>
                        </wps:txbx>
                        <wps:bodyPr lIns="10800" tIns="10800" rIns="10800" bIns="10800" anchor="ctr" upright="1"/>
                      </wps:wsp>
                      <wps:wsp>
                        <wps:cNvPr id="64" name="AutoShape 120"/>
                        <wps:cNvCnPr/>
                        <wps:spPr>
                          <a:xfrm>
                            <a:off x="1899204" y="970200"/>
                            <a:ext cx="700" cy="355600"/>
                          </a:xfrm>
                          <a:prstGeom prst="straightConnector1">
                            <a:avLst/>
                          </a:prstGeom>
                          <a:ln w="9525" cap="flat" cmpd="sng">
                            <a:solidFill>
                              <a:srgbClr val="000000"/>
                            </a:solidFill>
                            <a:prstDash val="solid"/>
                            <a:headEnd type="none" w="med" len="med"/>
                            <a:tailEnd type="triangle" w="med" len="med"/>
                          </a:ln>
                        </wps:spPr>
                        <wps:bodyPr/>
                      </wps:wsp>
                      <wps:wsp>
                        <wps:cNvPr id="65" name="Text Box 121"/>
                        <wps:cNvSpPr txBox="1"/>
                        <wps:spPr>
                          <a:xfrm>
                            <a:off x="33000" y="207000"/>
                            <a:ext cx="1217302" cy="874400"/>
                          </a:xfrm>
                          <a:prstGeom prst="rect">
                            <a:avLst/>
                          </a:prstGeom>
                          <a:solidFill>
                            <a:srgbClr val="FFFFFF"/>
                          </a:solidFill>
                          <a:ln w="9525">
                            <a:noFill/>
                            <a:miter/>
                          </a:ln>
                        </wps:spPr>
                        <wps:txbx>
                          <w:txbxContent>
                            <w:p>
                              <w:pPr>
                                <w:spacing w:line="240" w:lineRule="exact"/>
                                <w:rPr>
                                  <w:sz w:val="18"/>
                                  <w:szCs w:val="18"/>
                                </w:rPr>
                              </w:pPr>
                              <w:r>
                                <w:rPr>
                                  <w:rFonts w:hint="eastAsia"/>
                                  <w:sz w:val="18"/>
                                  <w:szCs w:val="18"/>
                                </w:rPr>
                                <w:t>基本信息：</w:t>
                              </w:r>
                            </w:p>
                            <w:p>
                              <w:pPr>
                                <w:spacing w:line="240" w:lineRule="exact"/>
                                <w:rPr>
                                  <w:sz w:val="18"/>
                                  <w:szCs w:val="18"/>
                                </w:rPr>
                              </w:pPr>
                              <w:r>
                                <w:rPr>
                                  <w:rFonts w:hint="eastAsia"/>
                                  <w:sz w:val="18"/>
                                  <w:szCs w:val="18"/>
                                </w:rPr>
                                <w:t>——参考年</w:t>
                              </w:r>
                            </w:p>
                            <w:p>
                              <w:pPr>
                                <w:spacing w:line="240" w:lineRule="exact"/>
                                <w:rPr>
                                  <w:sz w:val="18"/>
                                  <w:szCs w:val="18"/>
                                </w:rPr>
                              </w:pPr>
                              <w:r>
                                <w:rPr>
                                  <w:rFonts w:hint="eastAsia"/>
                                  <w:sz w:val="18"/>
                                  <w:szCs w:val="18"/>
                                </w:rPr>
                                <w:t>——员工数量</w:t>
                              </w:r>
                            </w:p>
                            <w:p>
                              <w:pPr>
                                <w:spacing w:line="240" w:lineRule="exact"/>
                                <w:rPr>
                                  <w:sz w:val="18"/>
                                  <w:szCs w:val="18"/>
                                </w:rPr>
                              </w:pPr>
                              <w:r>
                                <w:rPr>
                                  <w:rFonts w:hint="eastAsia"/>
                                  <w:sz w:val="18"/>
                                  <w:szCs w:val="18"/>
                                </w:rPr>
                                <w:t>——年营业额(万元/年)</w:t>
                              </w:r>
                            </w:p>
                            <w:p>
                              <w:pPr>
                                <w:spacing w:line="240" w:lineRule="exact"/>
                                <w:rPr>
                                  <w:sz w:val="18"/>
                                  <w:szCs w:val="18"/>
                                </w:rPr>
                              </w:pPr>
                              <w:r>
                                <w:rPr>
                                  <w:rFonts w:hint="eastAsia"/>
                                  <w:sz w:val="18"/>
                                  <w:szCs w:val="18"/>
                                </w:rPr>
                                <w:t>——工作天数（天/年）</w:t>
                              </w:r>
                            </w:p>
                          </w:txbxContent>
                        </wps:txbx>
                        <wps:bodyPr lIns="10800" tIns="10800" rIns="10800" bIns="10800" upright="1"/>
                      </wps:wsp>
                      <wps:wsp>
                        <wps:cNvPr id="66" name="Text Box 122" descr="文本框: &#10;——……；&#10;——电(kwh/a)；&#10;——煤（t/a）；&#10;——焦碳（t/a）；&#10;"/>
                        <wps:cNvSpPr txBox="1"/>
                        <wps:spPr>
                          <a:xfrm>
                            <a:off x="1520203" y="259700"/>
                            <a:ext cx="850902" cy="4452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w:t>
                              </w:r>
                            </w:p>
                            <w:p>
                              <w:pPr>
                                <w:spacing w:line="240" w:lineRule="exact"/>
                                <w:jc w:val="left"/>
                                <w:rPr>
                                  <w:sz w:val="18"/>
                                  <w:szCs w:val="18"/>
                                </w:rPr>
                              </w:pPr>
                              <w:r>
                                <w:rPr>
                                  <w:rFonts w:hint="eastAsia"/>
                                  <w:sz w:val="18"/>
                                  <w:szCs w:val="18"/>
                                </w:rPr>
                                <w:t>——电(kwh/a)；</w:t>
                              </w:r>
                            </w:p>
                            <w:p>
                              <w:pPr>
                                <w:spacing w:line="240" w:lineRule="exact"/>
                                <w:jc w:val="left"/>
                                <w:rPr>
                                  <w:sz w:val="18"/>
                                  <w:szCs w:val="18"/>
                                </w:rPr>
                              </w:pPr>
                            </w:p>
                          </w:txbxContent>
                        </wps:txbx>
                        <wps:bodyPr lIns="10800" tIns="10800" rIns="10800" bIns="10800" upright="1"/>
                      </wps:wsp>
                      <wps:wsp>
                        <wps:cNvPr id="67" name="Text Box 123"/>
                        <wps:cNvSpPr txBox="1"/>
                        <wps:spPr>
                          <a:xfrm>
                            <a:off x="2829505" y="751200"/>
                            <a:ext cx="747401" cy="240600"/>
                          </a:xfrm>
                          <a:prstGeom prst="rect">
                            <a:avLst/>
                          </a:prstGeom>
                          <a:solidFill>
                            <a:schemeClr val="bg1"/>
                          </a:solidFill>
                          <a:ln w="9525" cap="flat" cmpd="sng">
                            <a:solidFill>
                              <a:schemeClr val="tx1"/>
                            </a:solidFill>
                            <a:prstDash val="solid"/>
                            <a:miter/>
                            <a:headEnd type="none" w="med" len="med"/>
                            <a:tailEnd type="none" w="med" len="med"/>
                          </a:ln>
                        </wps:spPr>
                        <wps:txbx>
                          <w:txbxContent>
                            <w:p>
                              <w:pPr>
                                <w:spacing w:line="240" w:lineRule="exact"/>
                                <w:rPr>
                                  <w:sz w:val="18"/>
                                  <w:szCs w:val="18"/>
                                </w:rPr>
                              </w:pPr>
                              <w:r>
                                <w:rPr>
                                  <w:rFonts w:hint="eastAsia"/>
                                  <w:sz w:val="18"/>
                                  <w:szCs w:val="18"/>
                                </w:rPr>
                                <w:t>2.3 水</w:t>
                              </w:r>
                            </w:p>
                          </w:txbxContent>
                        </wps:txbx>
                        <wps:bodyPr lIns="10800" tIns="10800" rIns="10800" bIns="10800" anchor="ctr" upright="1"/>
                      </wps:wsp>
                      <wps:wsp>
                        <wps:cNvPr id="68" name="AutoShape 124"/>
                        <wps:cNvCnPr/>
                        <wps:spPr>
                          <a:xfrm>
                            <a:off x="3203506" y="991800"/>
                            <a:ext cx="700" cy="355600"/>
                          </a:xfrm>
                          <a:prstGeom prst="straightConnector1">
                            <a:avLst/>
                          </a:prstGeom>
                          <a:ln w="9525" cap="flat" cmpd="sng">
                            <a:solidFill>
                              <a:schemeClr val="tx1"/>
                            </a:solidFill>
                            <a:prstDash val="solid"/>
                            <a:headEnd type="none" w="med" len="med"/>
                            <a:tailEnd type="triangle" w="med" len="med"/>
                          </a:ln>
                        </wps:spPr>
                        <wps:bodyPr/>
                      </wps:wsp>
                      <wps:wsp>
                        <wps:cNvPr id="69" name="Text Box 125" descr="文本框: &#10;——……；&#10;——电(kwh/a)；&#10;——煤（t/a）；&#10;——焦碳（t/a）；&#10;"/>
                        <wps:cNvSpPr txBox="1"/>
                        <wps:spPr>
                          <a:xfrm>
                            <a:off x="2740705" y="41300"/>
                            <a:ext cx="1029902" cy="663600"/>
                          </a:xfrm>
                          <a:prstGeom prst="rect">
                            <a:avLst/>
                          </a:prstGeom>
                          <a:solidFill>
                            <a:srgbClr val="FFFFFF"/>
                          </a:solidFill>
                          <a:ln w="9525">
                            <a:noFill/>
                            <a:miter/>
                          </a:ln>
                        </wps:spPr>
                        <wps:txbx>
                          <w:txbxContent>
                            <w:p>
                              <w:pPr>
                                <w:rPr>
                                  <w:sz w:val="18"/>
                                  <w:szCs w:val="18"/>
                                </w:rPr>
                              </w:pPr>
                              <w:r>
                                <w:rPr>
                                  <w:rFonts w:hint="eastAsia"/>
                                  <w:sz w:val="18"/>
                                  <w:szCs w:val="18"/>
                                </w:rPr>
                                <w:t>——消耗量（m</w:t>
                              </w:r>
                              <w:r>
                                <w:rPr>
                                  <w:rFonts w:hint="eastAsia"/>
                                  <w:sz w:val="18"/>
                                  <w:szCs w:val="18"/>
                                  <w:vertAlign w:val="superscript"/>
                                </w:rPr>
                                <w:t>3</w:t>
                              </w:r>
                              <w:r>
                                <w:rPr>
                                  <w:rFonts w:hint="eastAsia"/>
                                  <w:sz w:val="18"/>
                                  <w:szCs w:val="18"/>
                                </w:rPr>
                                <w:t>/a）</w:t>
                              </w:r>
                            </w:p>
                            <w:p>
                              <w:pPr>
                                <w:rPr>
                                  <w:sz w:val="18"/>
                                  <w:szCs w:val="18"/>
                                </w:rPr>
                              </w:pPr>
                              <w:r>
                                <w:rPr>
                                  <w:rFonts w:hint="eastAsia"/>
                                  <w:sz w:val="18"/>
                                  <w:szCs w:val="18"/>
                                </w:rPr>
                                <w:t>——自备井/自来水</w:t>
                              </w:r>
                            </w:p>
                            <w:p>
                              <w:pPr>
                                <w:rPr>
                                  <w:sz w:val="18"/>
                                  <w:szCs w:val="18"/>
                                </w:rPr>
                              </w:pPr>
                              <w:r>
                                <w:rPr>
                                  <w:rFonts w:hint="eastAsia"/>
                                  <w:sz w:val="18"/>
                                  <w:szCs w:val="18"/>
                                </w:rPr>
                                <w:t>比例（%）</w:t>
                              </w:r>
                            </w:p>
                          </w:txbxContent>
                        </wps:txbx>
                        <wps:bodyPr lIns="10800" tIns="10800" rIns="10800" bIns="10800" upright="1"/>
                      </wps:wsp>
                      <wps:wsp>
                        <wps:cNvPr id="70" name="AutoShape 126"/>
                        <wps:cNvCnPr/>
                        <wps:spPr>
                          <a:xfrm>
                            <a:off x="3711507" y="1601400"/>
                            <a:ext cx="700" cy="355600"/>
                          </a:xfrm>
                          <a:prstGeom prst="straightConnector1">
                            <a:avLst/>
                          </a:prstGeom>
                          <a:ln w="9525" cap="flat" cmpd="sng">
                            <a:solidFill>
                              <a:srgbClr val="000000"/>
                            </a:solidFill>
                            <a:prstDash val="solid"/>
                            <a:headEnd type="none" w="med" len="med"/>
                            <a:tailEnd type="triangle" w="med" len="med"/>
                          </a:ln>
                        </wps:spPr>
                        <wps:bodyPr/>
                      </wps:wsp>
                      <wps:wsp>
                        <wps:cNvPr id="71" name="Oval 127"/>
                        <wps:cNvSpPr/>
                        <wps:spPr>
                          <a:xfrm>
                            <a:off x="3387706"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3.2 余热</w:t>
                              </w:r>
                            </w:p>
                          </w:txbxContent>
                        </wps:txbx>
                        <wps:bodyPr lIns="10800" tIns="10800" rIns="10800" bIns="10800" anchor="ctr" upright="1"/>
                      </wps:wsp>
                      <wps:wsp>
                        <wps:cNvPr id="72" name="AutoShape 128"/>
                        <wps:cNvCnPr/>
                        <wps:spPr>
                          <a:xfrm>
                            <a:off x="2899405" y="1619800"/>
                            <a:ext cx="600" cy="355600"/>
                          </a:xfrm>
                          <a:prstGeom prst="straightConnector1">
                            <a:avLst/>
                          </a:prstGeom>
                          <a:ln w="9525" cap="flat" cmpd="sng">
                            <a:solidFill>
                              <a:srgbClr val="000000"/>
                            </a:solidFill>
                            <a:prstDash val="solid"/>
                            <a:headEnd type="none" w="med" len="med"/>
                            <a:tailEnd type="triangle" w="med" len="med"/>
                          </a:ln>
                        </wps:spPr>
                        <wps:bodyPr/>
                      </wps:wsp>
                      <wps:wsp>
                        <wps:cNvPr id="73" name="AutoShape 129"/>
                        <wps:cNvCnPr/>
                        <wps:spPr>
                          <a:xfrm>
                            <a:off x="1407103" y="1619800"/>
                            <a:ext cx="600" cy="355600"/>
                          </a:xfrm>
                          <a:prstGeom prst="straightConnector1">
                            <a:avLst/>
                          </a:prstGeom>
                          <a:ln w="9525" cap="flat" cmpd="sng">
                            <a:solidFill>
                              <a:srgbClr val="000000"/>
                            </a:solidFill>
                            <a:prstDash val="solid"/>
                            <a:headEnd type="none" w="med" len="med"/>
                            <a:tailEnd type="triangle" w="med" len="med"/>
                          </a:ln>
                        </wps:spPr>
                        <wps:bodyPr/>
                      </wps:wsp>
                      <wps:wsp>
                        <wps:cNvPr id="74" name="AutoShape 130"/>
                        <wps:cNvCnPr/>
                        <wps:spPr>
                          <a:xfrm>
                            <a:off x="2164704" y="1607800"/>
                            <a:ext cx="600" cy="355600"/>
                          </a:xfrm>
                          <a:prstGeom prst="straightConnector1">
                            <a:avLst/>
                          </a:prstGeom>
                          <a:ln w="9525" cap="flat" cmpd="sng">
                            <a:solidFill>
                              <a:srgbClr val="000000"/>
                            </a:solidFill>
                            <a:prstDash val="solid"/>
                            <a:headEnd type="none" w="med" len="med"/>
                            <a:tailEnd type="triangle" w="med" len="med"/>
                          </a:ln>
                        </wps:spPr>
                        <wps:bodyPr/>
                      </wps:wsp>
                      <wps:wsp>
                        <wps:cNvPr id="75" name="Oval 131"/>
                        <wps:cNvSpPr/>
                        <wps:spPr>
                          <a:xfrm>
                            <a:off x="2576805"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3.3 废气</w:t>
                              </w:r>
                            </w:p>
                          </w:txbxContent>
                        </wps:txbx>
                        <wps:bodyPr lIns="10800" tIns="10800" rIns="10800" bIns="10800" anchor="ctr" upright="1"/>
                      </wps:wsp>
                      <wps:wsp>
                        <wps:cNvPr id="76" name="Oval 132"/>
                        <wps:cNvSpPr/>
                        <wps:spPr>
                          <a:xfrm>
                            <a:off x="1836403" y="19570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3.4 固废</w:t>
                              </w:r>
                            </w:p>
                          </w:txbxContent>
                        </wps:txbx>
                        <wps:bodyPr lIns="10800" tIns="10800" rIns="10800" bIns="10800" anchor="ctr" upright="1"/>
                      </wps:wsp>
                      <wps:wsp>
                        <wps:cNvPr id="77" name="Oval 133"/>
                        <wps:cNvSpPr/>
                        <wps:spPr>
                          <a:xfrm>
                            <a:off x="1083902" y="1975400"/>
                            <a:ext cx="652101" cy="3207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3.5 废水</w:t>
                              </w:r>
                            </w:p>
                          </w:txbxContent>
                        </wps:txbx>
                        <wps:bodyPr lIns="10800" tIns="10800" rIns="10800" bIns="10800" anchor="ctr" upright="1"/>
                      </wps:wsp>
                      <wps:wsp>
                        <wps:cNvPr id="78" name="Text Box 134"/>
                        <wps:cNvSpPr txBox="1"/>
                        <wps:spPr>
                          <a:xfrm>
                            <a:off x="3441007" y="2296100"/>
                            <a:ext cx="643301" cy="212700"/>
                          </a:xfrm>
                          <a:prstGeom prst="rect">
                            <a:avLst/>
                          </a:prstGeom>
                          <a:solidFill>
                            <a:srgbClr val="FFFFFF"/>
                          </a:solidFill>
                          <a:ln w="9525">
                            <a:noFill/>
                            <a:miter/>
                          </a:ln>
                        </wps:spPr>
                        <wps:txbx>
                          <w:txbxContent>
                            <w:p>
                              <w:pPr>
                                <w:jc w:val="left"/>
                                <w:rPr>
                                  <w:sz w:val="18"/>
                                  <w:szCs w:val="18"/>
                                </w:rPr>
                              </w:pPr>
                              <w:r>
                                <w:rPr>
                                  <w:rFonts w:hint="eastAsia"/>
                                  <w:sz w:val="18"/>
                                  <w:szCs w:val="18"/>
                                </w:rPr>
                                <w:t>来源(kwh/a):</w:t>
                              </w:r>
                            </w:p>
                          </w:txbxContent>
                        </wps:txbx>
                        <wps:bodyPr lIns="10800" tIns="10800" rIns="10800" bIns="10800" upright="1"/>
                      </wps:wsp>
                      <wps:wsp>
                        <wps:cNvPr id="79" name="Text Box 135"/>
                        <wps:cNvSpPr txBox="1"/>
                        <wps:spPr>
                          <a:xfrm>
                            <a:off x="3441007" y="2519000"/>
                            <a:ext cx="714401" cy="49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—高温废气；</w:t>
                              </w:r>
                            </w:p>
                            <w:p>
                              <w:pPr>
                                <w:spacing w:line="240" w:lineRule="exact"/>
                                <w:jc w:val="left"/>
                                <w:rPr>
                                  <w:sz w:val="18"/>
                                  <w:szCs w:val="18"/>
                                </w:rPr>
                              </w:pPr>
                              <w:r>
                                <w:rPr>
                                  <w:rFonts w:hint="eastAsia"/>
                                  <w:sz w:val="18"/>
                                  <w:szCs w:val="18"/>
                                </w:rPr>
                                <w:t>—其他</w:t>
                              </w:r>
                            </w:p>
                          </w:txbxContent>
                        </wps:txbx>
                        <wps:bodyPr lIns="10800" tIns="10800" rIns="10800" bIns="10800" upright="1"/>
                      </wps:wsp>
                      <wps:wsp>
                        <wps:cNvPr id="80" name="Text Box 136"/>
                        <wps:cNvSpPr txBox="1"/>
                        <wps:spPr>
                          <a:xfrm>
                            <a:off x="2418705" y="2296100"/>
                            <a:ext cx="923902" cy="222900"/>
                          </a:xfrm>
                          <a:prstGeom prst="rect">
                            <a:avLst/>
                          </a:prstGeom>
                          <a:solidFill>
                            <a:srgbClr val="FFFFFF"/>
                          </a:solidFill>
                          <a:ln w="9525">
                            <a:noFill/>
                            <a:miter/>
                          </a:ln>
                        </wps:spPr>
                        <wps:txbx>
                          <w:txbxContent>
                            <w:p>
                              <w:pPr>
                                <w:jc w:val="left"/>
                                <w:rPr>
                                  <w:sz w:val="18"/>
                                  <w:szCs w:val="18"/>
                                </w:rPr>
                              </w:pPr>
                              <w:r>
                                <w:rPr>
                                  <w:rFonts w:hint="eastAsia"/>
                                  <w:sz w:val="18"/>
                                  <w:szCs w:val="18"/>
                                </w:rPr>
                                <w:t>种类和数量（t/a）：(kwh/a):</w:t>
                              </w:r>
                            </w:p>
                          </w:txbxContent>
                        </wps:txbx>
                        <wps:bodyPr lIns="10800" tIns="10800" rIns="10800" bIns="10800" upright="1"/>
                      </wps:wsp>
                      <wps:wsp>
                        <wps:cNvPr id="81" name="Text Box 137"/>
                        <wps:cNvSpPr txBox="1"/>
                        <wps:spPr>
                          <a:xfrm>
                            <a:off x="2467605" y="2477700"/>
                            <a:ext cx="711201" cy="4909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—氯气；</w:t>
                              </w:r>
                            </w:p>
                            <w:p>
                              <w:pPr>
                                <w:spacing w:line="240" w:lineRule="exact"/>
                                <w:jc w:val="left"/>
                                <w:rPr>
                                  <w:sz w:val="18"/>
                                  <w:szCs w:val="18"/>
                                </w:rPr>
                              </w:pPr>
                              <w:r>
                                <w:rPr>
                                  <w:rFonts w:hint="eastAsia"/>
                                  <w:sz w:val="18"/>
                                  <w:szCs w:val="18"/>
                                </w:rPr>
                                <w:t>—……</w:t>
                              </w:r>
                            </w:p>
                          </w:txbxContent>
                        </wps:txbx>
                        <wps:bodyPr lIns="10800" tIns="10800" rIns="10800" bIns="10800" upright="1"/>
                      </wps:wsp>
                      <wps:wsp>
                        <wps:cNvPr id="82" name="Text Box 138"/>
                        <wps:cNvSpPr txBox="1"/>
                        <wps:spPr>
                          <a:xfrm>
                            <a:off x="1083902" y="2326000"/>
                            <a:ext cx="793102" cy="871800"/>
                          </a:xfrm>
                          <a:prstGeom prst="rect">
                            <a:avLst/>
                          </a:prstGeom>
                          <a:solidFill>
                            <a:srgbClr val="FFFFFF"/>
                          </a:solidFill>
                          <a:ln w="9525">
                            <a:noFill/>
                            <a:miter/>
                          </a:ln>
                        </wps:spPr>
                        <wps:txbx>
                          <w:txbxContent>
                            <w:p>
                              <w:pPr>
                                <w:spacing w:line="240" w:lineRule="exact"/>
                                <w:jc w:val="left"/>
                                <w:rPr>
                                  <w:sz w:val="18"/>
                                  <w:szCs w:val="18"/>
                                </w:rPr>
                              </w:pPr>
                              <w:r>
                                <w:rPr>
                                  <w:rFonts w:hint="eastAsia"/>
                                  <w:sz w:val="18"/>
                                  <w:szCs w:val="18"/>
                                </w:rPr>
                                <w:t>排放量（m³/a）：</w:t>
                              </w:r>
                            </w:p>
                            <w:p>
                              <w:pPr>
                                <w:spacing w:line="240" w:lineRule="exact"/>
                                <w:jc w:val="left"/>
                                <w:rPr>
                                  <w:sz w:val="18"/>
                                  <w:szCs w:val="18"/>
                                </w:rPr>
                              </w:pPr>
                              <w:r>
                                <w:rPr>
                                  <w:rFonts w:hint="eastAsia"/>
                                  <w:sz w:val="18"/>
                                  <w:szCs w:val="18"/>
                                </w:rPr>
                                <w:t>—负荷（t/a）：</w:t>
                              </w:r>
                            </w:p>
                            <w:p>
                              <w:pPr>
                                <w:spacing w:line="240" w:lineRule="exact"/>
                                <w:jc w:val="left"/>
                                <w:rPr>
                                  <w:sz w:val="18"/>
                                  <w:szCs w:val="18"/>
                                </w:rPr>
                              </w:pPr>
                              <w:r>
                                <w:rPr>
                                  <w:rFonts w:hint="eastAsia"/>
                                  <w:sz w:val="18"/>
                                  <w:szCs w:val="18"/>
                                </w:rPr>
                                <w:t>—化学需氧量；</w:t>
                              </w:r>
                            </w:p>
                            <w:p>
                              <w:pPr>
                                <w:spacing w:line="240" w:lineRule="exact"/>
                                <w:jc w:val="left"/>
                                <w:rPr>
                                  <w:sz w:val="18"/>
                                  <w:szCs w:val="18"/>
                                </w:rPr>
                              </w:pPr>
                              <w:r>
                                <w:rPr>
                                  <w:rFonts w:hint="eastAsia"/>
                                  <w:sz w:val="18"/>
                                  <w:szCs w:val="18"/>
                                </w:rPr>
                                <w:t>—生物需氧量；</w:t>
                              </w:r>
                            </w:p>
                            <w:p>
                              <w:pPr>
                                <w:spacing w:line="240" w:lineRule="exact"/>
                                <w:jc w:val="left"/>
                                <w:rPr>
                                  <w:sz w:val="18"/>
                                  <w:szCs w:val="18"/>
                                </w:rPr>
                              </w:pPr>
                              <w:r>
                                <w:rPr>
                                  <w:rFonts w:hint="eastAsia"/>
                                  <w:sz w:val="18"/>
                                  <w:szCs w:val="18"/>
                                </w:rPr>
                                <w:t>—COD、PH；</w:t>
                              </w:r>
                            </w:p>
                            <w:p>
                              <w:pPr>
                                <w:spacing w:line="240" w:lineRule="exact"/>
                                <w:jc w:val="left"/>
                                <w:rPr>
                                  <w:sz w:val="18"/>
                                  <w:szCs w:val="18"/>
                                </w:rPr>
                              </w:pPr>
                              <w:r>
                                <w:rPr>
                                  <w:rFonts w:hint="eastAsia"/>
                                  <w:sz w:val="18"/>
                                  <w:szCs w:val="18"/>
                                </w:rPr>
                                <w:t>—……</w:t>
                              </w:r>
                            </w:p>
                          </w:txbxContent>
                        </wps:txbx>
                        <wps:bodyPr lIns="10800" tIns="10800" rIns="10800" bIns="10800" upright="1"/>
                      </wps:wsp>
                    </wpc:wpc>
                  </a:graphicData>
                </a:graphic>
              </wp:inline>
            </w:drawing>
          </mc:Choice>
          <mc:Fallback>
            <w:pict>
              <v:group id="画布 108" o:spid="_x0000_s1026" o:spt="203" style="height:259pt;width:415.3pt;" coordsize="5274310,3289300" editas="canvas" o:gfxdata="UEsDBAoAAAAAAIdO4kAAAAAAAAAAAAAAAAAEAAAAZHJzL1BLAwQUAAAACACHTuJA1zqeaNUAAAAF&#10;AQAADwAAAGRycy9kb3ducmV2LnhtbE2PwWrDMBBE74X+g9hCbo3kmgbjWA60pQR6CbHzAYq1sUys&#10;lWvJTvL3VXNpLwvDDDNvi83V9mzG0XeOJCRLAQypcbqjVsKh/nzOgPmgSKveEUq4oYdN+fhQqFy7&#10;C+1xrkLLYgn5XEkwIQw5574xaJVfugEpeic3WhWiHFuuR3WJ5bbnL0KsuFUdxQWjBnw32JyryUqY&#10;5l399fZRV0Zk3zc37dJDuk2lXDwlYg0s4DX8heEXP6JDGZmObiLtWS8hPhLuN3pZKlbAjhJek0wA&#10;Lwv+n778AVBLAwQUAAAACACHTuJAYyU7sq0HAADRQwAADgAAAGRycy9lMm9Eb2MueG1s7VzdjttE&#10;FL5H4h0sIyG4oPHM2B47NFuV/gkJ0YqWB5i1ncTgP9neTfauEv/3FTdwA0K94g4hIdGnqUR72Vfg&#10;zHjszNrJJhto0mhdVdk4dsbjcz5/58x3jnP9xjyOtNMgL8I0GenomqFrQeKlfphMRvrnj+5+4Oha&#10;UbLEZ1GaBCP9LCj0G0dvv3V9lg0DnE7TyA9yDQZJiuEsG+nTssyGg0HhTYOYFdfSLEhg5zjNY1bC&#10;Zj4Z+DmbwehxNMCGYQ9mae5neeoFRQGf3q526kdi/PE48Mr743ERlFo00mFupXjNxesxfx0cXWfD&#10;Sc6yaejJabAtZhGzMIGTNkPdZiXTTvKwM1QcenlapOPympfGg3Q8Dr1AXANcDTJaV3MvT08ycS2T&#10;4WySNWYC07bstPWw3qenD3It9Ee6Q3QtYTH46OWTv//56ysNGQ43zyybDOGoe3n2MHuQyw8m1Ra/&#10;4vk4j/lfuBZtLgx71hg2mJeaBx9amJoEgf092Eew4xJDmt6bgn863/Omd9Z8c1CfeMDn10xnlgGM&#10;ioWliv9mqYdTlgXCAQW3gbSUZdaW+gzwxZJJFGgIrk7YRhzYWKoYFmC0JWZCBBHHwLoGBkHEpGZt&#10;kNpk2LRsx7Aqk2EL9osTNNfNhllelPeCNNb4m5Gew1wEBNnpJ0UJc4FD60P4BIo0Cv27YRSJjXxy&#10;fCvKtVMG98Vd8Y9PH75y7rAo0WYj3bUwnweD23McsRLexhkApkgm4nznvlGoA8OcF9M+dxif2G1W&#10;TKsJiF38/GwYh2XAQcaG04D5dxJfK88ywGQC7KHzycSBr2tRAGTD34kjSxZGmxwJVxclcJEcJJVb&#10;+LtyfjyHYfjb49Q/Ax+zxJumwBFemevaSZaHkynYFwkDSYBVx79+pIHdq3vy5kmZCjQC0sRM+EQA&#10;kuuRRhzkWgatkGZi020jzTIc20AV0FzDWYszbo6beZ7OFmjj/pr4cqrM/wJGG8cRECngS7NqEJw/&#10;BrC/OAYBvgkRFmZDAeAevx2kL8evBO1+cWrXOL3PPY4Q5q7cGKImMR0Tok1FhkaXDCknSAlRYjkQ&#10;+CVU6uBTE53kwiCKwqzgzC3RBLM5SDrcHwlGHycQPCEHAFtrpbqRqxvH6sYbRJzAdxVxPuIB9aN0&#10;DqAU/KKAUivnsEMyO/98Raw2sWvYNTyphe02gzousnks59kNxng9hb7eUM1Rn6Q81IvwWIfU5fTR&#10;DX/beH6/7APM0XG22WKgjZ1NCIIoWHGRSwlELz4SG9aJmepsi1gykwXjruCi15yXXTlnu7Wz1ZTI&#10;anlbRp8VN7RrYlLn3iahMkdduJhQZNXhZm8ZkQFEIi4LoNVnRMtz/+WU9iZkRDZEzQ4n2S2UbspJ&#10;iLMMDCjWijZFbUpS0yNsGgBofqK9UdIVWipuEyvfnCzJhpS6A1K6LUgNl+flAqS2bS1Lkqw+Sdqb&#10;lGBDftrxtRT4GiVhG0JyHFi7tXIklZAoNaTksDdCumo5kt1Iucrqx932vgb1DxswIkQfit3Ofa36&#10;GoKP3L83X/fBBzj4EJbodqOiK4k8FkQi1+i3EllvWLkyR44LQQcGAmy61JC60CKR55lQVXOw6oC0&#10;GphFmTOubd5KkwQW6GmOLtKPdi+Nb6sFlXkoahSXT6F5Esl9ATr3jgRvuxG8F8yF23r3plGKNFkz&#10;5jlxK0YhjKhYBXLVxqGmDGKr8dEv5Bd12UvVG5dX0exGM1ZcDUmKHxQeFF9e/Pjdi59/f/HLt0Pt&#10;3XeQ8eHzx0/E/6fPHz999ewn5bOXT/5878vZdMDeb33+zW+vnn1fDtirZz+09nz99OWvf3R2bh8g&#10;gXmqAIktoKEW0BwLEiCpDpomxFKxv8fZrihliRSMt5WCsYOhmAYkxZMhC3UDjlKo6JOhXRZtD3wl&#10;3kjYajKkatjrkyECJGQZwKo8GXKRrEL0ydC57oCDSoYaqVuJkMA9BxchofsHErCKNU3U9P7UFRVk&#10;YLeJkLZN9r2EvGpyAYVFUiUNqeSjitUbkA9FUDORXSbQTtKVhPql2Eg/JPahjThc9XTgtjB8cY2N&#10;EAeUvyoaQQNSd/1lWxjVRTYIXTJtXp0W9z0dK1vgwGgbNbYddo5EGwVbpSlVwl5PU9B66poyEiEb&#10;uZ0kiceeXjE6IMWINlq3igpV7F6PCohWUFStVvA9KlY11h5U8FomLpPLicsY2SaV4jL0d9GeK7hA&#10;xobn260PChWNulylNKStLF+c0mCLVi35sMDuUxpd6drftjSxWiC6IilNo4FLQF6ubxo5xDbruNXn&#10;2D0gL/Fs2fKiDG3EcgnItlB+MUNCuzgRSo5gSMqfWqpiRi319Iu+nT/NdOCLvkYYX2igRNXF+QNQ&#10;GxeETRN6JyuRCkMrS6eR0jahZiyfM8EIr9Uk+pLw/1oSpksEb9Ju7d7K2Rb09Le5iCKo+Utnw1Nx&#10;fZPabls9nEZ1Vu5sVXS+zJ2NTeTUFYald7aLq8AkH9Hpnb1jZzdisuLstqC86Z2NTZvaUsTDJgWZ&#10;uZVlQC0CnqavdLz+zt55E5fTCLWKs1Wd9jJ3tppSYsKfvWs724VfFpDtNQ6ty96r6whXJ2aLn0aA&#10;340Qj4LI37jgP0yhbgtwLH6J4+h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woAAFtDb250ZW50X1R5cGVzXS54bWxQSwECFAAKAAAAAACHTuJA&#10;AAAAAAAAAAAAAAAABgAAAAAAAAAAABAAAAD9CAAAX3JlbHMvUEsBAhQAFAAAAAgAh07iQIoUZjzR&#10;AAAAlAEAAAsAAAAAAAAAAQAgAAAAIQkAAF9yZWxzLy5yZWxzUEsBAhQACgAAAAAAh07iQAAAAAAA&#10;AAAAAAAAAAQAAAAAAAAAAAAQAAAAAAAAAGRycy9QSwECFAAUAAAACACHTuJA1zqeaNUAAAAFAQAA&#10;DwAAAAAAAAABACAAAAAiAAAAZHJzL2Rvd25yZXYueG1sUEsBAhQAFAAAAAgAh07iQGMlO7KtBwAA&#10;0UMAAA4AAAAAAAAAAQAgAAAAJAEAAGRycy9lMm9Eb2MueG1sUEsFBgAAAAAGAAYAWQEAAEMLAAAA&#10;AA==&#10;">
                <o:lock v:ext="edit" aspectratio="f"/>
                <v:rect id="画布 108" o:spid="_x0000_s1026" o:spt="1" style="position:absolute;left:0;top:0;height:3289300;width:5274310;" filled="f" stroked="t" coordsize="21600,21600" o:gfxdata="UEsDBAoAAAAAAIdO4kAAAAAAAAAAAAAAAAAEAAAAZHJzL1BLAwQUAAAACACHTuJA1zqeaNUAAAAF&#10;AQAADwAAAGRycy9kb3ducmV2LnhtbE2PwWrDMBBE74X+g9hCbo3kmgbjWA60pQR6CbHzAYq1sUys&#10;lWvJTvL3VXNpLwvDDDNvi83V9mzG0XeOJCRLAQypcbqjVsKh/nzOgPmgSKveEUq4oYdN+fhQqFy7&#10;C+1xrkLLYgn5XEkwIQw5574xaJVfugEpeic3WhWiHFuuR3WJ5bbnL0KsuFUdxQWjBnw32JyryUqY&#10;5l399fZRV0Zk3zc37dJDuk2lXDwlYg0s4DX8heEXP6JDGZmObiLtWS8hPhLuN3pZKlbAjhJek0wA&#10;Lwv+n778AVBLAwQUAAAACACHTuJA3tXTOHgHAAAJRAAADgAAAGRycy9lMm9Eb2MueG1s7VxNj9tE&#10;GL4j8R8sIyE40HhmbI8dmq3KliIkRCtafsCs7SQGf8l2N9lbD3zeKy5wAaGeuCFu/TU9tMf+Bd4Z&#10;j52pk2w+2CQb1qtV1o69E3vex8/7zDPv5PadaRxp50FehGky0NEtQ9eCxEv9MBkN9K8f3//I0bWi&#10;ZInPojQJBvpFUOh3Tt595/Yk6wc4HaeRH+QaNJIU/Uk20MdlmfV7vcIbBzErbqVZkMDBYZrHrITd&#10;fNTzczaB1uOohw3D7k3S3M/y1AuKAt69Vx3UT0T7w2HglQ+GwyIotWigw7WV4jUXr2f8tXdym/VH&#10;OcvGoScvg21xFTELE/jQpql7rGTakzycayoOvTwt0mF5y0vjXjochl4g7gHuBhmtuzllyTkrxM14&#10;0Dv1BcLWFbZ7NuLXnaT3wyiC3uhB633+Hv87gfgE/HCUaJOBThC1dM1jEKdhxErYjDN/oBfJSNx7&#10;kUahz5vh/1Hko7PTKNfOGe958cM7uwdH1NOyvCjvsWJcnefDVhWSOCyDXARnHDD/08TXyosM8JMA&#10;inR+LXHg61oUAOj4ljizZGG0zplwDVEi71Te4SQD+BVZA8Tiv3XwozHLAhG3ou99ef4w10LoJ8vU&#10;tYTFcBdfAS5ZMooCDSGBQf75cOKj7CG/ab5XwCbvx+kwj/lfgIo2hSeMIOIYWNcu+LZJTUNiOJiW&#10;mgcnYNOyHYOHCc7AFhwXJ8A91y3xLv8sSGONbwz0HK5FhI+df1GUVYjqU0Qg1XC9FdX74of3fTuq&#10;FVxcC+8WLgJJVez3g5c6LDxA5fRsKmN1lvoXEGOWeOMUuMUrc117kuXhaAz9i0QHSYBVsd090qDf&#10;K6TdfVKmAo2ANHElayONOMi1DFohzcSm20aaZTi2gSqguYazEme8O+7meTqZoY3ja+TLS2X+N9Da&#10;MI6AgIE1NIuTRhVd9RzA/uwcBPgmREJQAFiAscOvyowzvlPxK0F7WJzaNU4f8IgjhHko14aoSUzH&#10;NEBhCDI05smQcoKUECWWA4JBQmUJFwZRFGYFZ27WP2o63GXSVEE0T4LR5wkkTyT4QCvVnVzdOVN3&#10;rhFxAt9VxPmYJ9RP0imAUvCLAkqtnMIByez8/SW52sSuYdfwpBa2azqrc7XjIpvncpGqMV5NobtN&#10;1Rz1jQ5k/TqlLqaPq4n8YdkHmGMu2GaLgdYONiEIsmDFRS4lkL14S6y/KNgWscgqLtqxLrtxwXbr&#10;YKuSyGpFW2afJQ+0a2JSa2+T0Eae1CEmFFl1ujmYIjKASMRtwXPbKaLFY8XFlHYdFJENJsUcJ9kt&#10;lK7LSYizDDQo5JFNUZuSVHmETQMAzT8IOmeJPNoxJe3SWbhmQ8XjVkk2SOo5kNJtQWq4XJcLkNq2&#10;tUgkWZ1IOpiVYIM+nYu1s22sFUJyHBi7tTSSSkiUGtJyOBgh3TSNZJMFsXa3jjW2sAEtQvah2J17&#10;rtVYQ/KRxw8W6y75AAcfwxDdblx0RchjQSRyjH6arHTRHReSDjQE2HSpIX2h2ViNKyExKidWnZCW&#10;A7Moc8a9zdM0SWCAnuboMv9o/9b4tl5QmYdijmJzCc1FJI8F+Nx7MrztxvCe+Ta47XevK5tJo5ox&#10;18StHIUwomIUyF0bh5oyiS3Hx45V841LUo1nrIQaRIofFB5Mvrz65cdXv/316vcf+tr77yHj45dP&#10;n4nf5y+fPn/z4lflvdfP/vng28m4xz5svf/9n29e/FT22JsXP7eOfPf89R9/zx3cPkEC81QJEltA&#10;Qy2gORYIIOkOmibkUnG8w9m+KGWBFYy3tYKxg2EyDUiKiyELzSccZaKiE0NXO8lf+/M8I12Na319&#10;5ivsxsJWxZDqYa8WQwRIyDKAVbkYcpGchejE0FvVJEclhhqrW8mQwD1HlyExzN5SyZomkjMmM2Ai&#10;A7tNhrRtcugh5E1TYhQGSZU1pJKPalavQT4UwZyJrDKBcpJ5S6gbig30Y2If2pjDVU0HbhvDl8+x&#10;EeKA81dlIyhAmh9/2RZG9SQbpC4pm5fL4q6mY2nJJHSaLIT8P2sk2jjYKk2pFvZqmsJgGJkyEyEb&#10;uXMiieeezjE6IseINl63igrV7F6NCshWMKlajeA7VCwrxD6q5LXIXCabmcsY2SaV5jLUd9GOK7hB&#10;xvpvl+cfFSoad7mSNKTtLF8uabBFq5J8GGB3kkZXSjG2nZpYbhDdEEnTeOASkJvVTSOH2GadtzqN&#10;3QFygzVpi5c20cYsl4BsG+WXMySUixPh5AiGpHzVUpUz6srKbtC3g9Vv/+tBX2OMzzxQovrifKnd&#10;2hPCpgm1k5VJhaGUZa6Q0jZhzliuM8EIr/Qkuinh2RLfjVbELmGfBYY3aZd2bxVsC2r621xEEcz5&#10;y2DDqriuSG2/pR5O4zorT7ZqOm/yZGMTOfUMw8In28VVYpJLdLpg7znYjZmsBLttKK/7ZGPTprY0&#10;8bBJwWZuqQyYi4BV+JWP1z3Zey/ichqjVgm26tNu8mSrkhITvvauHWyXwARiFWyH1tPey+cRbk7O&#10;Fl8BAV//IJaCyO/G4F9ooe4LcMy+wePk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YJAABbQ29udGVudF9UeXBlc10ueG1sUEsBAhQACgAAAAAA&#10;h07iQAAAAAAAAAAAAAAAAAYAAAAAAAAAAAAQAAAAyAgAAF9yZWxzL1BLAQIUABQAAAAIAIdO4kCK&#10;FGY80QAAAJQBAAALAAAAAAAAAAEAIAAAAOwIAABfcmVscy8ucmVsc1BLAQIUAAoAAAAAAIdO4kAA&#10;AAAAAAAAAAAAAAAEAAAAAAAAAAAAEAAAAAAAAABkcnMvUEsBAhQAFAAAAAgAh07iQNc6nmjVAAAA&#10;BQEAAA8AAAAAAAAAAQAgAAAAIgAAAGRycy9kb3ducmV2LnhtbFBLAQIUABQAAAAIAIdO4kDe1dM4&#10;eAcAAAlEAAAOAAAAAAAAAAEAIAAAACQBAABkcnMvZTJvRG9jLnhtbFBLBQYAAAAABgAGAFkBAAAO&#10;CwAAAAA=&#10;">
                  <v:fill on="f" focussize="0,0"/>
                  <v:stroke weight="0.25pt" color="#000000" joinstyle="miter" dashstyle="dash"/>
                  <v:imagedata o:title=""/>
                  <o:lock v:ext="edit" aspectratio="t"/>
                </v:rect>
                <v:rect id="Rectangle 110" o:spid="_x0000_s1026" o:spt="1" style="position:absolute;left:1313802;top:1347400;height:254000;width:245680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8EA&#10;AADaAAAADwAAAGRycy9kb3ducmV2LnhtbERPTWvCQBC9F/oflil4Kc1GD1JSNxKkxUo9NNGLtyE7&#10;ZoPZ2ZDdxvjvu0Khp+HxPme1nmwnRhp861jBPElBENdOt9woOB4+Xl5B+ICssXNMCm7kYZ0/Pqww&#10;0+7KJY1VaEQMYZ+hAhNCn0npa0MWfeJ64sid3WAxRDg0Ug94jeG2k4s0XUqLLccGgz1tDNWX6scq&#10;OLm9ey9S2vbmsAvjc1F+fVelUrOnqXgDEWgK/+I/96eO8+H+yv3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e1f/BAAAA2gAAAA8AAAAAAAAAAAAAAAAAmAIAAGRycy9kb3du&#10;cmV2LnhtbFBLBQYAAAAABAAEAPUAAACGAwAAAAA=&#10;">
                  <v:fill on="t" focussize="0,0"/>
                  <v:stroke color="#000000" joinstyle="miter"/>
                  <v:imagedata o:title=""/>
                  <o:lock v:ext="edit" aspectratio="f"/>
                  <v:textbox>
                    <w:txbxContent>
                      <w:p>
                        <w:pPr>
                          <w:jc w:val="center"/>
                          <w:rPr>
                            <w:sz w:val="18"/>
                            <w:szCs w:val="18"/>
                          </w:rPr>
                        </w:pPr>
                        <w:r>
                          <w:rPr>
                            <w:rFonts w:hint="eastAsia"/>
                            <w:sz w:val="18"/>
                            <w:szCs w:val="18"/>
                          </w:rPr>
                          <w:t>锂熔炼工序</w:t>
                        </w:r>
                      </w:p>
                    </w:txbxContent>
                  </v:textbox>
                </v:rect>
                <v:shape id="AutoShape 111" o:spid="_x0000_s1026" o:spt="13" type="#_x0000_t13" style="position:absolute;left:3819507;top:1424900;height:90800;width:5086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adj="16201,5400">
                  <v:fill on="t" focussize="0,0"/>
                  <v:stroke color="#000000" joinstyle="miter"/>
                  <v:imagedata o:title=""/>
                  <o:lock v:ext="edit" aspectratio="f"/>
                </v:shape>
                <v:shape id="Oval 112" o:spid="_x0000_s1026" o:spt="3" type="#_x0000_t3" style="position:absolute;left:4348408;top:1307400;height:3582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0JcMA&#10;AADaAAAADwAAAGRycy9kb3ducmV2LnhtbESPS2vDMBCE74H+B7GFXkoip3mQulFCW0jJNU7IebHW&#10;D2ytHElx3P76qlDIcZiZb5j1djCt6Mn52rKC6SQBQZxbXXOp4HTcjVcgfEDW2FomBd/kYbt5GK0x&#10;1fbGB+qzUIoIYZ+igiqELpXS5xUZ9BPbEUevsM5giNKVUju8Rbhp5UuSLKXBmuNChR19VpQ32dUo&#10;uDZh1bvnr5/XDzL53Dm5uJwLpZ4eh/c3EIGGcA//t/dawQz+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A0JcMAAADaAAAADwAAAAAAAAAAAAAAAACYAgAAZHJzL2Rv&#10;d25yZXYueG1sUEsFBgAAAAAEAAQA9QAAAIg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3.1 产品</w:t>
                        </w:r>
                      </w:p>
                    </w:txbxContent>
                  </v:textbox>
                </v:shape>
                <v:shape id="Text Box 113" o:spid="_x0000_s1026" o:spt="202" type="#_x0000_t202" style="position:absolute;left:4290608;top:1752600;height:222800;width:8916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FkcIA&#10;AADaAAAADwAAAGRycy9kb3ducmV2LnhtbESPzWrDMBCE74W+g9hCbo3UN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IWRwgAAANoAAAAPAAAAAAAAAAAAAAAAAJgCAABkcnMvZG93&#10;bnJldi54bWxQSwUGAAAAAAQABAD1AAAAhwMAAAAA&#10;">
                  <v:fill on="t" focussize="0,0"/>
                  <v:stroke on="f" joinstyle="miter"/>
                  <v:imagedata o:title=""/>
                  <o:lock v:ext="edit" aspectratio="f"/>
                  <v:textbox inset="0.3mm,0.3mm,0.3mm,0.3mm">
                    <w:txbxContent>
                      <w:p>
                        <w:pPr>
                          <w:jc w:val="center"/>
                          <w:rPr>
                            <w:sz w:val="18"/>
                            <w:szCs w:val="18"/>
                          </w:rPr>
                        </w:pPr>
                        <w:r>
                          <w:rPr>
                            <w:rFonts w:hint="eastAsia"/>
                            <w:sz w:val="18"/>
                            <w:szCs w:val="18"/>
                          </w:rPr>
                          <w:t>种类和重量(t/a):</w:t>
                        </w:r>
                      </w:p>
                    </w:txbxContent>
                  </v:textbox>
                </v:shape>
                <v:shape id="Text Box 114" o:spid="_x0000_s1026" o:spt="202" type="#_x0000_t202" style="position:absolute;left:4331908;top:1973500;height:535300;width:8916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gCsIA&#10;AADaAAAADwAAAGRycy9kb3ducmV2LnhtbESPzWrDMBCE74W+g9hCbo3UloTiRgmlNNBrfkiuW2tj&#10;mVgrIym246ePCoUch5n5hlmsBteIjkKsPWt4mSoQxKU3NVca9rv18zuImJANNp5Jw5UirJaPDwss&#10;jO95Q902VSJDOBaowabUFlLG0pLDOPUtcfZOPjhMWYZKmoB9hrtGvio1lw5rzgsWW/qyVJ63F6eh&#10;vNrxu/s9H8I4HubHfa9Ob0FpPXkaPj9AJBrSPfzf/jEaZvB3Jd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AKwgAAANo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—金属锂；</w:t>
                        </w:r>
                      </w:p>
                      <w:p>
                        <w:pPr>
                          <w:spacing w:line="240" w:lineRule="exact"/>
                          <w:jc w:val="left"/>
                          <w:rPr>
                            <w:sz w:val="18"/>
                            <w:szCs w:val="18"/>
                          </w:rPr>
                        </w:pPr>
                        <w:r>
                          <w:rPr>
                            <w:rFonts w:hint="eastAsia"/>
                            <w:sz w:val="18"/>
                            <w:szCs w:val="18"/>
                          </w:rPr>
                          <w:t>—锂粒子、锂带；</w:t>
                        </w:r>
                      </w:p>
                      <w:p>
                        <w:pPr>
                          <w:spacing w:line="240" w:lineRule="exact"/>
                          <w:jc w:val="left"/>
                          <w:rPr>
                            <w:sz w:val="18"/>
                            <w:szCs w:val="18"/>
                          </w:rPr>
                        </w:pPr>
                        <w:r>
                          <w:rPr>
                            <w:rFonts w:hint="eastAsia"/>
                            <w:sz w:val="18"/>
                            <w:szCs w:val="18"/>
                          </w:rPr>
                          <w:t>—……</w:t>
                        </w:r>
                      </w:p>
                    </w:txbxContent>
                  </v:textbox>
                </v:shape>
                <v:shape id="AutoShape 115" o:spid="_x0000_s1026" o:spt="13" type="#_x0000_t13" style="position:absolute;left:942301;top:1437000;height:90800;width:3715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adj="16201,5400">
                  <v:fill on="t" focussize="0,0"/>
                  <v:stroke color="#000000" joinstyle="miter"/>
                  <v:imagedata o:title=""/>
                  <o:lock v:ext="edit" aspectratio="f"/>
                </v:shape>
                <v:shape id="Text Box 116" o:spid="_x0000_s1026" o:spt="202" type="#_x0000_t202" style="position:absolute;left:153000;top:1367100;height:2407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LhsIA&#10;AADaAAAADwAAAGRycy9kb3ducmV2LnhtbESPS4vCQBCE7wv+h6GFvSw6ccUH0VHEB3g16r3JtEk0&#10;0xMzY4z/3llY8FhU1VfUfNmaUjRUu8KygkE/AkGcWl1wpuB03PWmIJxH1lhaJgUvcrBcdL7mGGv7&#10;5AM1ic9EgLCLUUHufRVL6dKcDLq+rYiDd7G1QR9knUld4zPATSl/o2gsDRYcFnKsaJ1TekseRkGT&#10;3jft6OK3P6978hieh6frenNT6rvbrmYgPLX+E/5v77WCCfxdCT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UuGwgAAANoAAAAPAAAAAAAAAAAAAAAAAJgCAABkcnMvZG93&#10;bnJldi54bWxQSwUGAAAAAAQABAD1AAAAhwMAAAAA&#10;">
                  <v:fill on="t" focussize="0,0"/>
                  <v:stroke color="#000000" joinstyle="miter"/>
                  <v:imagedata o:title=""/>
                  <o:lock v:ext="edit" aspectratio="f"/>
                  <v:textbox inset="0.3mm,0.3mm,0.3mm,0.3mm">
                    <w:txbxContent>
                      <w:p>
                        <w:pPr>
                          <w:jc w:val="center"/>
                          <w:rPr>
                            <w:sz w:val="18"/>
                            <w:szCs w:val="18"/>
                          </w:rPr>
                        </w:pPr>
                        <w:r>
                          <w:rPr>
                            <w:rFonts w:hint="eastAsia"/>
                            <w:sz w:val="18"/>
                            <w:szCs w:val="18"/>
                          </w:rPr>
                          <w:t>2.1 原材料</w:t>
                        </w:r>
                      </w:p>
                    </w:txbxContent>
                  </v:textbox>
                </v:shape>
                <v:shape id="Text Box 117" o:spid="_x0000_s1026" o:spt="202" type="#_x0000_t202" style="position:absolute;left:109200;top:1665600;height:222800;width:8915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PlL4A&#10;AADaAAAADwAAAGRycy9kb3ducmV2LnhtbERPz2vCMBS+C/sfwht402QbiHRGEZmw65zo9a15NsXm&#10;pSSxrf3rzWHg8eP7vdoMrhEdhVh71vA2VyCIS29qrjQcf/ezJYiYkA02nknDnSJs1i+TFRbG9/xD&#10;3SFVIodwLFCDTaktpIylJYdx7lvizF18cJgyDJU0Afsc7hr5rtRCOqw5N1hsaWepvB5uTkN5t+NX&#10;93c9hXE8Lc7HXl0+gtJ6+jpsP0EkGtJT/O/+Nhry1nwl3w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Fj5S+AAAA2gAAAA8AAAAAAAAAAAAAAAAAmAIAAGRycy9kb3ducmV2&#10;LnhtbFBLBQYAAAAABAAEAPUAAACDAwAAAAA=&#10;">
                  <v:fill on="t" focussize="0,0"/>
                  <v:stroke on="f" joinstyle="miter"/>
                  <v:imagedata o:title=""/>
                  <o:lock v:ext="edit" aspectratio="f"/>
                  <v:textbox inset="0.3mm,0.3mm,0.3mm,0.3mm">
                    <w:txbxContent>
                      <w:p>
                        <w:pPr>
                          <w:jc w:val="center"/>
                          <w:rPr>
                            <w:sz w:val="18"/>
                            <w:szCs w:val="18"/>
                          </w:rPr>
                        </w:pPr>
                        <w:r>
                          <w:rPr>
                            <w:rFonts w:hint="eastAsia"/>
                            <w:sz w:val="18"/>
                            <w:szCs w:val="18"/>
                          </w:rPr>
                          <w:t>种类和重量(t/a):</w:t>
                        </w:r>
                      </w:p>
                    </w:txbxContent>
                  </v:textbox>
                </v:shape>
                <v:shape id="Text Box 118" o:spid="_x0000_s1026" o:spt="202" type="#_x0000_t202" style="position:absolute;left:153000;top:1888400;height:770900;width:7474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qD8IA&#10;AADaAAAADwAAAGRycy9kb3ducmV2LnhtbESPQWsCMRSE74X+h/CE3mqiBWlXo0ix0Gut6PV189ws&#10;bl6WJN1d99cbodDjMDPfMKvN4BrRUYi1Zw2zqQJBXHpTc6Xh8P3x/AoiJmSDjWfScKUIm/XjwwoL&#10;43v+om6fKpEhHAvUYFNqCyljaclhnPqWOHtnHxymLEMlTcA+w10j50otpMOa84LFlt4tlZf9r9NQ&#10;Xu24634uxzCOx8Xp0KvzS1BaP02G7RJEoiH9h//an0bDG9yv5Bs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oPwgAAANo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——氯化锂；</w:t>
                        </w:r>
                      </w:p>
                      <w:p>
                        <w:pPr>
                          <w:spacing w:line="240" w:lineRule="exact"/>
                          <w:jc w:val="left"/>
                          <w:rPr>
                            <w:sz w:val="18"/>
                            <w:szCs w:val="18"/>
                          </w:rPr>
                        </w:pPr>
                        <w:r>
                          <w:rPr>
                            <w:rFonts w:hint="eastAsia"/>
                            <w:sz w:val="18"/>
                            <w:szCs w:val="18"/>
                          </w:rPr>
                          <w:t>——氯化钾；</w:t>
                        </w:r>
                      </w:p>
                      <w:p>
                        <w:pPr>
                          <w:spacing w:line="240" w:lineRule="exact"/>
                          <w:jc w:val="left"/>
                          <w:rPr>
                            <w:sz w:val="18"/>
                            <w:szCs w:val="18"/>
                          </w:rPr>
                        </w:pPr>
                        <w:r>
                          <w:rPr>
                            <w:rFonts w:hint="eastAsia"/>
                            <w:sz w:val="18"/>
                            <w:szCs w:val="18"/>
                          </w:rPr>
                          <w:t>——液碱</w:t>
                        </w:r>
                      </w:p>
                    </w:txbxContent>
                  </v:textbox>
                </v:shape>
                <v:shape id="Text Box 119" o:spid="_x0000_s1026" o:spt="202" type="#_x0000_t202" style="position:absolute;left:1525202;top:729600;height:240600;width:7474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2FsMA&#10;AADbAAAADwAAAGRycy9kb3ducmV2LnhtbESPzW7CQAyE75V4h5WRuFRlA6ioSlkQ4kfi2gB3K2uS&#10;lKw3ZJcQ3h4fKvVma8Yznxer3tWqozZUng1Mxgko4tzbigsDp+P+4wtUiMgWa89k4EkBVsvB2wJT&#10;6x/8Q10WCyUhHFI0UMbYpFqHvCSHYewbYtEuvnUYZW0LbVt8SLir9TRJ5tphxdJQYkObkvJrdncG&#10;uvy27T8vcff+vGX32Xl2+t1sr8aMhv36G1SkPv6b/64P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U2FsMAAADbAAAADwAAAAAAAAAAAAAAAACYAgAAZHJzL2Rv&#10;d25yZXYueG1sUEsFBgAAAAAEAAQA9QAAAIgDAAAAAA==&#10;">
                  <v:fill on="t" focussize="0,0"/>
                  <v:stroke color="#000000" joinstyle="miter"/>
                  <v:imagedata o:title=""/>
                  <o:lock v:ext="edit" aspectratio="f"/>
                  <v:textbox inset="0.3mm,0.3mm,0.3mm,0.3mm">
                    <w:txbxContent>
                      <w:p>
                        <w:pPr>
                          <w:spacing w:line="240" w:lineRule="exact"/>
                          <w:jc w:val="center"/>
                          <w:rPr>
                            <w:sz w:val="18"/>
                            <w:szCs w:val="18"/>
                          </w:rPr>
                        </w:pPr>
                        <w:r>
                          <w:rPr>
                            <w:rFonts w:hint="eastAsia"/>
                            <w:sz w:val="18"/>
                            <w:szCs w:val="18"/>
                          </w:rPr>
                          <w:t>2.2 能源</w:t>
                        </w:r>
                      </w:p>
                    </w:txbxContent>
                  </v:textbox>
                </v:shape>
                <v:shape id="AutoShape 120" o:spid="_x0000_s1026" o:spt="32" type="#_x0000_t32" style="position:absolute;left:1899203;top:9702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fill on="f" focussize="0,0"/>
                  <v:stroke color="#000000" joinstyle="round" endarrow="block"/>
                  <v:imagedata o:title=""/>
                  <o:lock v:ext="edit" aspectratio="f"/>
                </v:shape>
                <v:shape id="Text Box 121" o:spid="_x0000_s1026" o:spt="202" type="#_x0000_t202" style="position:absolute;left:33000;top:207000;height:874400;width:121730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9cAA&#10;AADbAAAADwAAAGRycy9kb3ducmV2LnhtbERP32vCMBB+H+x/CDfwbU2mIKMzisiEvc6Jvt6asyk2&#10;l5LEtvavXwaDvd3H9/NWm9G1oqcQG88aXgoFgrjypuFaw/Fr//wKIiZkg61n0nCnCJv148MKS+MH&#10;/qT+kGqRQziWqMGm1JVSxsqSw1j4jjhzFx8cpgxDLU3AIYe7Vs6VWkqHDecGix3tLFXXw81pqO52&#10;eu+/r6cwTafl+TioyyIorWdP4/YNRKIx/Yv/3B8mz5/D7y/5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t9cAAAADbAAAADwAAAAAAAAAAAAAAAACYAgAAZHJzL2Rvd25y&#10;ZXYueG1sUEsFBgAAAAAEAAQA9QAAAIUDAAAAAA==&#10;">
                  <v:fill on="t" focussize="0,0"/>
                  <v:stroke on="f" joinstyle="miter"/>
                  <v:imagedata o:title=""/>
                  <o:lock v:ext="edit" aspectratio="f"/>
                  <v:textbox inset="0.3mm,0.3mm,0.3mm,0.3mm">
                    <w:txbxContent>
                      <w:p>
                        <w:pPr>
                          <w:spacing w:line="240" w:lineRule="exact"/>
                          <w:rPr>
                            <w:sz w:val="18"/>
                            <w:szCs w:val="18"/>
                          </w:rPr>
                        </w:pPr>
                        <w:r>
                          <w:rPr>
                            <w:rFonts w:hint="eastAsia"/>
                            <w:sz w:val="18"/>
                            <w:szCs w:val="18"/>
                          </w:rPr>
                          <w:t>基本信息：</w:t>
                        </w:r>
                      </w:p>
                      <w:p>
                        <w:pPr>
                          <w:spacing w:line="240" w:lineRule="exact"/>
                          <w:rPr>
                            <w:sz w:val="18"/>
                            <w:szCs w:val="18"/>
                          </w:rPr>
                        </w:pPr>
                        <w:r>
                          <w:rPr>
                            <w:rFonts w:hint="eastAsia"/>
                            <w:sz w:val="18"/>
                            <w:szCs w:val="18"/>
                          </w:rPr>
                          <w:t>——参考年</w:t>
                        </w:r>
                      </w:p>
                      <w:p>
                        <w:pPr>
                          <w:spacing w:line="240" w:lineRule="exact"/>
                          <w:rPr>
                            <w:sz w:val="18"/>
                            <w:szCs w:val="18"/>
                          </w:rPr>
                        </w:pPr>
                        <w:r>
                          <w:rPr>
                            <w:rFonts w:hint="eastAsia"/>
                            <w:sz w:val="18"/>
                            <w:szCs w:val="18"/>
                          </w:rPr>
                          <w:t>——员工数量</w:t>
                        </w:r>
                      </w:p>
                      <w:p>
                        <w:pPr>
                          <w:spacing w:line="240" w:lineRule="exact"/>
                          <w:rPr>
                            <w:sz w:val="18"/>
                            <w:szCs w:val="18"/>
                          </w:rPr>
                        </w:pPr>
                        <w:r>
                          <w:rPr>
                            <w:rFonts w:hint="eastAsia"/>
                            <w:sz w:val="18"/>
                            <w:szCs w:val="18"/>
                          </w:rPr>
                          <w:t>——年营业额(万元/年)</w:t>
                        </w:r>
                      </w:p>
                      <w:p>
                        <w:pPr>
                          <w:spacing w:line="240" w:lineRule="exact"/>
                          <w:rPr>
                            <w:sz w:val="18"/>
                            <w:szCs w:val="18"/>
                          </w:rPr>
                        </w:pPr>
                        <w:r>
                          <w:rPr>
                            <w:rFonts w:hint="eastAsia"/>
                            <w:sz w:val="18"/>
                            <w:szCs w:val="18"/>
                          </w:rPr>
                          <w:t>——工作天数（天/年）</w:t>
                        </w:r>
                      </w:p>
                    </w:txbxContent>
                  </v:textbox>
                </v:shape>
                <v:shape id="Text Box 122" o:spid="_x0000_s1026" o:spt="202" alt="文本框: &#10;——……；&#10;——电(kwh/a)；&#10;——煤（t/a）；&#10;——焦碳（t/a）；&#10;" type="#_x0000_t202" style="position:absolute;left:1520202;top:259700;height:445200;width:850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1gcEA&#10;AADbAAAADwAAAGRycy9kb3ducmV2LnhtbERPS2sCMRC+F/ofwhS81aQtStkapZQKvfpAr9PNuFnc&#10;TJYk7q77602h4G0+vucsVoNrREch1p41vEwVCOLSm5orDfvd+vkdREzIBhvPpOFKEVbLx4cFFsb3&#10;vKFumyqRQzgWqMGm1BZSxtKSwzj1LXHmTj44TBmGSpqAfQ53jXxVai4d1pwbLLb0Zak8by9OQ3m1&#10;43f3ez6EcTzMj/tend6C0nryNHx+gEg0pLv43/1j8vwZ/P2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9YHBAAAA2wAAAA8AAAAAAAAAAAAAAAAAmAIAAGRycy9kb3du&#10;cmV2LnhtbFBLBQYAAAAABAAEAPUAAACGAw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w:t>
                        </w:r>
                      </w:p>
                      <w:p>
                        <w:pPr>
                          <w:spacing w:line="240" w:lineRule="exact"/>
                          <w:jc w:val="left"/>
                          <w:rPr>
                            <w:sz w:val="18"/>
                            <w:szCs w:val="18"/>
                          </w:rPr>
                        </w:pPr>
                        <w:r>
                          <w:rPr>
                            <w:rFonts w:hint="eastAsia"/>
                            <w:sz w:val="18"/>
                            <w:szCs w:val="18"/>
                          </w:rPr>
                          <w:t>——电(kwh/a)；</w:t>
                        </w:r>
                      </w:p>
                      <w:p>
                        <w:pPr>
                          <w:spacing w:line="240" w:lineRule="exact"/>
                          <w:jc w:val="left"/>
                          <w:rPr>
                            <w:sz w:val="18"/>
                            <w:szCs w:val="18"/>
                          </w:rPr>
                        </w:pPr>
                      </w:p>
                    </w:txbxContent>
                  </v:textbox>
                </v:shape>
                <v:shape id="Text Box 123" o:spid="_x0000_s1026" o:spt="202" type="#_x0000_t202" style="position:absolute;left:2829505;top:751200;height:240600;width:747401;v-text-anchor:middle;" fillcolor="#FFFFFF [3212]"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L+b8A&#10;AADbAAAADwAAAGRycy9kb3ducmV2LnhtbERPy6rCMBDdX/AfwghuLpqqXJFqFPEBbq26H5qxrTaT&#10;2sRa/94Iwt3N4TxnvmxNKRqqXWFZwXAQgSBOrS44U3A67vpTEM4jaywtk4IXOVguOj9zjLV98oGa&#10;xGcihLCLUUHufRVL6dKcDLqBrYgDd7G1QR9gnUld4zOEm1KOomgiDRYcGnKsaJ1TekseRkGT3jft&#10;38Vvf1/35DE+j0/X9eamVK/brmYgPLX+X/x173WYP4HPL+E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cAv5vwAAANsAAAAPAAAAAAAAAAAAAAAAAJgCAABkcnMvZG93bnJl&#10;di54bWxQSwUGAAAAAAQABAD1AAAAhAMAAAAA&#10;">
                  <v:fill on="t" focussize="0,0"/>
                  <v:stroke color="#000000 [3213]" joinstyle="miter"/>
                  <v:imagedata o:title=""/>
                  <o:lock v:ext="edit" aspectratio="f"/>
                  <v:textbox inset="0.3mm,0.3mm,0.3mm,0.3mm">
                    <w:txbxContent>
                      <w:p>
                        <w:pPr>
                          <w:spacing w:line="240" w:lineRule="exact"/>
                          <w:rPr>
                            <w:sz w:val="18"/>
                            <w:szCs w:val="18"/>
                          </w:rPr>
                        </w:pPr>
                        <w:r>
                          <w:rPr>
                            <w:rFonts w:hint="eastAsia"/>
                            <w:sz w:val="18"/>
                            <w:szCs w:val="18"/>
                          </w:rPr>
                          <w:t>2.3 水</w:t>
                        </w:r>
                      </w:p>
                    </w:txbxContent>
                  </v:textbox>
                </v:shape>
                <v:shape id="AutoShape 124" o:spid="_x0000_s1026" o:spt="32" type="#_x0000_t32" style="position:absolute;left:3203506;top:9918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fill on="f" focussize="0,0"/>
                  <v:stroke color="#000000 [3213]" joinstyle="round" endarrow="block"/>
                  <v:imagedata o:title=""/>
                  <o:lock v:ext="edit" aspectratio="f"/>
                </v:shape>
                <v:shape id="Text Box 125" o:spid="_x0000_s1026" o:spt="202" alt="文本框: &#10;——……；&#10;——电(kwh/a)；&#10;——煤（t/a）；&#10;——焦碳（t/a）；&#10;" type="#_x0000_t202" style="position:absolute;left:2740705;top:41300;height:663600;width:1029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aH8MA&#10;AADbAAAADwAAAGRycy9kb3ducmV2LnhtbESPQUsDMRCF74L/IYzgzSYqFFmbllIUvFpLex03083S&#10;zWRJ4u52f71zELzN8N68981qM4VODZRyG9nC48KAIq6ja7mxcPh6f3gBlQuywy4yWbhShs369maF&#10;lYsjf9KwL42SEM4VWvCl9JXWufYUMC9iTyzaOaaARdbUaJdwlPDQ6Sdjljpgy9Lgsaedp/qy/wkW&#10;6quf34bvyzHN83F5Oozm/JyMtfd30/YVVKGp/Jv/rj+c4Aus/CID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aH8MAAADbAAAADwAAAAAAAAAAAAAAAACYAgAAZHJzL2Rv&#10;d25yZXYueG1sUEsFBgAAAAAEAAQA9QAAAIgDAAAAAA==&#10;">
                  <v:fill on="t" focussize="0,0"/>
                  <v:stroke on="f" joinstyle="miter"/>
                  <v:imagedata o:title=""/>
                  <o:lock v:ext="edit" aspectratio="f"/>
                  <v:textbox inset="0.3mm,0.3mm,0.3mm,0.3mm">
                    <w:txbxContent>
                      <w:p>
                        <w:pPr>
                          <w:rPr>
                            <w:sz w:val="18"/>
                            <w:szCs w:val="18"/>
                          </w:rPr>
                        </w:pPr>
                        <w:r>
                          <w:rPr>
                            <w:rFonts w:hint="eastAsia"/>
                            <w:sz w:val="18"/>
                            <w:szCs w:val="18"/>
                          </w:rPr>
                          <w:t>——消耗量（m</w:t>
                        </w:r>
                        <w:r>
                          <w:rPr>
                            <w:rFonts w:hint="eastAsia"/>
                            <w:sz w:val="18"/>
                            <w:szCs w:val="18"/>
                            <w:vertAlign w:val="superscript"/>
                          </w:rPr>
                          <w:t>3</w:t>
                        </w:r>
                        <w:r>
                          <w:rPr>
                            <w:rFonts w:hint="eastAsia"/>
                            <w:sz w:val="18"/>
                            <w:szCs w:val="18"/>
                          </w:rPr>
                          <w:t>/a）</w:t>
                        </w:r>
                      </w:p>
                      <w:p>
                        <w:pPr>
                          <w:rPr>
                            <w:sz w:val="18"/>
                            <w:szCs w:val="18"/>
                          </w:rPr>
                        </w:pPr>
                        <w:r>
                          <w:rPr>
                            <w:rFonts w:hint="eastAsia"/>
                            <w:sz w:val="18"/>
                            <w:szCs w:val="18"/>
                          </w:rPr>
                          <w:t>——自备井/自来水</w:t>
                        </w:r>
                      </w:p>
                      <w:p>
                        <w:pPr>
                          <w:rPr>
                            <w:sz w:val="18"/>
                            <w:szCs w:val="18"/>
                          </w:rPr>
                        </w:pPr>
                        <w:r>
                          <w:rPr>
                            <w:rFonts w:hint="eastAsia"/>
                            <w:sz w:val="18"/>
                            <w:szCs w:val="18"/>
                          </w:rPr>
                          <w:t>比例（%）</w:t>
                        </w:r>
                      </w:p>
                    </w:txbxContent>
                  </v:textbox>
                </v:shape>
                <v:shape id="AutoShape 126" o:spid="_x0000_s1026" o:spt="32" type="#_x0000_t32" style="position:absolute;left:3711507;top:1601400;height:355600;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fill on="f" focussize="0,0"/>
                  <v:stroke color="#000000" joinstyle="round" endarrow="block"/>
                  <v:imagedata o:title=""/>
                  <o:lock v:ext="edit" aspectratio="f"/>
                </v:shape>
                <v:shape id="Oval 127" o:spid="_x0000_s1026" o:spt="3" type="#_x0000_t3" style="position:absolute;left:3387706;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ax8AA&#10;AADbAAAADwAAAGRycy9kb3ducmV2LnhtbERPz2vCMBS+D/wfwht4GTadOKmdsWwDxet07Pxonm2x&#10;ealJWqt/vTkMdvz4fq+L0bRiIOcbywpekxQEcWl1w5WCn+N2loHwAVlja5kU3MhDsZk8rTHX9srf&#10;NBxCJWII+xwV1CF0uZS+rMmgT2xHHLmTdQZDhK6S2uE1hptWztN0KQ02HBtq7OirpvJ86I2C/hyy&#10;wb3s7qtPMuXCOfl2+T0pNX0eP95BBBrDv/jPvdcK5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Vax8AAAADbAAAADwAAAAAAAAAAAAAAAACYAgAAZHJzL2Rvd25y&#10;ZXYueG1sUEsFBgAAAAAEAAQA9QAAAIU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3.2 余热</w:t>
                        </w:r>
                      </w:p>
                    </w:txbxContent>
                  </v:textbox>
                </v:shape>
                <v:shape id="AutoShape 128" o:spid="_x0000_s1026" o:spt="32" type="#_x0000_t32" style="position:absolute;left:2899405;top:1619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fill on="f" focussize="0,0"/>
                  <v:stroke color="#000000" joinstyle="round" endarrow="block"/>
                  <v:imagedata o:title=""/>
                  <o:lock v:ext="edit" aspectratio="f"/>
                </v:shape>
                <v:shape id="AutoShape 129" o:spid="_x0000_s1026" o:spt="32" type="#_x0000_t32" style="position:absolute;left:1407102;top:1619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fill on="f" focussize="0,0"/>
                  <v:stroke color="#000000" joinstyle="round" endarrow="block"/>
                  <v:imagedata o:title=""/>
                  <o:lock v:ext="edit" aspectratio="f"/>
                </v:shape>
                <v:shape id="AutoShape 130" o:spid="_x0000_s1026" o:spt="32" type="#_x0000_t32" style="position:absolute;left:2164704;top:1607800;height:355600;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fill on="f" focussize="0,0"/>
                  <v:stroke color="#000000" joinstyle="round" endarrow="block"/>
                  <v:imagedata o:title=""/>
                  <o:lock v:ext="edit" aspectratio="f"/>
                </v:shape>
                <v:shape id="Oval 131" o:spid="_x0000_s1026" o:spt="3" type="#_x0000_t3" style="position:absolute;left:2576804;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cxMIA&#10;AADbAAAADwAAAGRycy9kb3ducmV2LnhtbESPT4vCMBTE78J+h/AW9iKarqhoNYq7sOLVP3h+NM+2&#10;2LzUJNaun94IgsdhZn7DzJetqURDzpeWFXz3ExDEmdUl5woO+7/eBIQPyBory6TgnzwsFx+dOaba&#10;3nhLzS7kIkLYp6igCKFOpfRZQQZ939bE0TtZZzBE6XKpHd4i3FRykCRjabDkuFBgTb8FZefd1Si4&#10;nsOkcd31ffpDJhs6J0eX40mpr892NQMRqA3v8Ku90QoGQ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lzEwgAAANsAAAAPAAAAAAAAAAAAAAAAAJgCAABkcnMvZG93&#10;bnJldi54bWxQSwUGAAAAAAQABAD1AAAAhwMAAAAA&#10;">
                  <v:fill on="t" focussize="0,0"/>
                  <v:stroke color="#000000" joinstyle="round"/>
                  <v:imagedata o:title=""/>
                  <o:lock v:ext="edit" aspectratio="f"/>
                  <v:textbox inset="0.3mm,0.3mm,0.3mm,0.3mm">
                    <w:txbxContent>
                      <w:p>
                        <w:pPr>
                          <w:jc w:val="center"/>
                          <w:rPr>
                            <w:sz w:val="18"/>
                            <w:szCs w:val="18"/>
                          </w:rPr>
                        </w:pPr>
                        <w:r>
                          <w:rPr>
                            <w:rFonts w:hint="eastAsia"/>
                            <w:sz w:val="18"/>
                            <w:szCs w:val="18"/>
                          </w:rPr>
                          <w:t>3.3 废气</w:t>
                        </w:r>
                      </w:p>
                    </w:txbxContent>
                  </v:textbox>
                </v:shape>
                <v:shape id="Oval 132" o:spid="_x0000_s1026" o:spt="3" type="#_x0000_t3" style="position:absolute;left:1836403;top:1957000;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5X8IA&#10;AADbAAAADwAAAGRycy9kb3ducmV2LnhtbESPT4vCMBTE78J+h/AW9iKarqhoNYq7sOLVP3h+NM+2&#10;2LzUJNaun94IgsdhZn7DzJetqURDzpeWFXz3ExDEmdUl5woO+7/eBIQPyBory6TgnzwsFx+dOaba&#10;3nhLzS7kIkLYp6igCKFOpfRZQQZ939bE0TtZZzBE6XKpHd4i3FRykCRjabDkuFBgTb8FZefd1Si4&#10;nsOkcd31ffpDJhs6J0eX40mpr892NQMRqA3v8Ku90QoGI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vlfwgAAANsAAAAPAAAAAAAAAAAAAAAAAJgCAABkcnMvZG93&#10;bnJldi54bWxQSwUGAAAAAAQABAD1AAAAhwMAAAAA&#10;">
                  <v:fill on="t" focussize="0,0"/>
                  <v:stroke color="#000000" joinstyle="round"/>
                  <v:imagedata o:title=""/>
                  <o:lock v:ext="edit" aspectratio="f"/>
                  <v:textbox inset="0.3mm,0.3mm,0.3mm,0.3mm">
                    <w:txbxContent>
                      <w:p>
                        <w:pPr>
                          <w:jc w:val="center"/>
                          <w:rPr>
                            <w:sz w:val="18"/>
                            <w:szCs w:val="18"/>
                          </w:rPr>
                        </w:pPr>
                        <w:r>
                          <w:rPr>
                            <w:rFonts w:hint="eastAsia"/>
                            <w:sz w:val="18"/>
                            <w:szCs w:val="18"/>
                          </w:rPr>
                          <w:t>3.4 固废</w:t>
                        </w:r>
                      </w:p>
                    </w:txbxContent>
                  </v:textbox>
                </v:shape>
                <v:shape id="Oval 133" o:spid="_x0000_s1026" o:spt="3" type="#_x0000_t3" style="position:absolute;left:1083902;top:1975399;height:320700;width:65210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nKMMA&#10;AADbAAAADwAAAGRycy9kb3ducmV2LnhtbESPQWvCQBSE74X+h+UJXopuGqxodBOqoPRaW3p+ZJ9J&#10;MPs23d3E6K/vFgo9DjPzDbMtRtOKgZxvLCt4nicgiEurG64UfH4cZisQPiBrbC2Tght5KPLHhy1m&#10;2l75nYZTqESEsM9QQR1Cl0npy5oM+rntiKN3ts5giNJVUju8RrhpZZokS2mw4bhQY0f7msrLqTcK&#10;+ktYDe7peF/vyJQL5+TL99dZqelkfN2ACDSG//Bf+00rSJf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BnKMMAAADbAAAADwAAAAAAAAAAAAAAAACYAgAAZHJzL2Rv&#10;d25yZXYueG1sUEsFBgAAAAAEAAQA9QAAAIgDAAAAAA==&#10;">
                  <v:fill on="t" focussize="0,0"/>
                  <v:stroke color="#000000" joinstyle="round"/>
                  <v:imagedata o:title=""/>
                  <o:lock v:ext="edit" aspectratio="f"/>
                  <v:textbox inset="0.3mm,0.3mm,0.3mm,0.3mm">
                    <w:txbxContent>
                      <w:p>
                        <w:pPr>
                          <w:jc w:val="center"/>
                          <w:rPr>
                            <w:sz w:val="18"/>
                            <w:szCs w:val="18"/>
                          </w:rPr>
                        </w:pPr>
                        <w:r>
                          <w:rPr>
                            <w:rFonts w:hint="eastAsia"/>
                            <w:sz w:val="18"/>
                            <w:szCs w:val="18"/>
                          </w:rPr>
                          <w:t>3.5 废水</w:t>
                        </w:r>
                      </w:p>
                    </w:txbxContent>
                  </v:textbox>
                </v:shape>
                <v:shape id="Text Box 134" o:spid="_x0000_s1026" o:spt="202" type="#_x0000_t202" style="position:absolute;left:3441006;top:2296100;height:212700;width:6433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E0MMA&#10;AADbAAAADwAAAGRycy9kb3ducmV2LnhtbESPQWsCMRSE70L/Q3iF3jSpBZWtUUppodda0evr5rlZ&#10;3LwsSbq77q83QsHjMDPfMOvt4BrRUYi1Zw3PMwWCuPSm5krD/udzugIRE7LBxjNpuFCE7eZhssbC&#10;+J6/qdulSmQIxwI12JTaQspYWnIYZ74lzt7JB4cpy1BJE7DPcNfIuVIL6bDmvGCxpXdL5Xn35zSU&#10;Fzt+dL/nQxjHw+K479XpJSitnx6Ht1cQiYZ0D/+3v4yG+RJ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E0MMAAADbAAAADwAAAAAAAAAAAAAAAACYAgAAZHJzL2Rv&#10;d25yZXYueG1sUEsFBgAAAAAEAAQA9QAAAIgDAAAAAA==&#10;">
                  <v:fill on="t" focussize="0,0"/>
                  <v:stroke on="f" joinstyle="miter"/>
                  <v:imagedata o:title=""/>
                  <o:lock v:ext="edit" aspectratio="f"/>
                  <v:textbox inset="0.3mm,0.3mm,0.3mm,0.3mm">
                    <w:txbxContent>
                      <w:p>
                        <w:pPr>
                          <w:jc w:val="left"/>
                          <w:rPr>
                            <w:sz w:val="18"/>
                            <w:szCs w:val="18"/>
                          </w:rPr>
                        </w:pPr>
                        <w:r>
                          <w:rPr>
                            <w:rFonts w:hint="eastAsia"/>
                            <w:sz w:val="18"/>
                            <w:szCs w:val="18"/>
                          </w:rPr>
                          <w:t>来源(kwh/a):</w:t>
                        </w:r>
                      </w:p>
                    </w:txbxContent>
                  </v:textbox>
                </v:shape>
                <v:shape id="Text Box 135" o:spid="_x0000_s1026" o:spt="202" type="#_x0000_t202" style="position:absolute;left:3441006;top:2519000;height:490900;width:7144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Qor8A&#10;AADbAAAADwAAAGRycy9kb3ducmV2LnhtbERPz2vCMBS+D/Y/hDfwNhMdiHRGGTLB65zo9dk8m2Lz&#10;UpKsrf3rzWHg8eP7vdoMrhEdhVh71jCbKhDEpTc1VxqOv7v3JYiYkA02nknDnSJs1q8vKyyM7/mH&#10;ukOqRA7hWKAGm1JbSBlLSw7j1LfEmbv64DBlGCppAvY53DVyrtRCOqw5N1hsaWupvB3+nIbybsfv&#10;7nI7hXE8Lc7HXl0/gtJ68jZ8fYJINKSn+N+9NxrmeWz+kn+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ZpCivwAAANsAAAAPAAAAAAAAAAAAAAAAAJgCAABkcnMvZG93bnJl&#10;di54bWxQSwUGAAAAAAQABAD1AAAAhA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—高温废气；</w:t>
                        </w:r>
                      </w:p>
                      <w:p>
                        <w:pPr>
                          <w:spacing w:line="240" w:lineRule="exact"/>
                          <w:jc w:val="left"/>
                          <w:rPr>
                            <w:sz w:val="18"/>
                            <w:szCs w:val="18"/>
                          </w:rPr>
                        </w:pPr>
                        <w:r>
                          <w:rPr>
                            <w:rFonts w:hint="eastAsia"/>
                            <w:sz w:val="18"/>
                            <w:szCs w:val="18"/>
                          </w:rPr>
                          <w:t>—其他</w:t>
                        </w:r>
                      </w:p>
                    </w:txbxContent>
                  </v:textbox>
                </v:shape>
                <v:shape id="Text Box 136" o:spid="_x0000_s1026" o:spt="202" type="#_x0000_t202" style="position:absolute;left:2418704;top:2296100;height:222900;width:9239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1OcMA&#10;AADbAAAADwAAAGRycy9kb3ducmV2LnhtbESPQWsCMRSE70L/Q3iF3jSpBdGtUUppodda0evr5rlZ&#10;3LwsSbq77q83QsHjMDPfMOvt4BrRUYi1Zw3PMwWCuPSm5krD/udzugQRE7LBxjNpuFCE7eZhssbC&#10;+J6/qdulSmQIxwI12JTaQspYWnIYZ74lzt7JB4cpy1BJE7DPcNfIuVIL6bDmvGCxpXdL5Xn35zSU&#10;Fzt+dL/nQxjHw+K479XpJSitnx6Ht1cQiYZ0D/+3v4yG+Qp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o1OcMAAADbAAAADwAAAAAAAAAAAAAAAACYAgAAZHJzL2Rv&#10;d25yZXYueG1sUEsFBgAAAAAEAAQA9QAAAIgDAAAAAA==&#10;">
                  <v:fill on="t" focussize="0,0"/>
                  <v:stroke on="f" joinstyle="miter"/>
                  <v:imagedata o:title=""/>
                  <o:lock v:ext="edit" aspectratio="f"/>
                  <v:textbox inset="0.3mm,0.3mm,0.3mm,0.3mm">
                    <w:txbxContent>
                      <w:p>
                        <w:pPr>
                          <w:jc w:val="left"/>
                          <w:rPr>
                            <w:sz w:val="18"/>
                            <w:szCs w:val="18"/>
                          </w:rPr>
                        </w:pPr>
                        <w:r>
                          <w:rPr>
                            <w:rFonts w:hint="eastAsia"/>
                            <w:sz w:val="18"/>
                            <w:szCs w:val="18"/>
                          </w:rPr>
                          <w:t>种类和数量（t/a）：(kwh/a):</w:t>
                        </w:r>
                      </w:p>
                    </w:txbxContent>
                  </v:textbox>
                </v:shape>
                <v:shape id="Text Box 137" o:spid="_x0000_s1026" o:spt="202" type="#_x0000_t202" style="position:absolute;left:2467604;top:2477700;height:490900;width:7112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kKeb8A&#10;AADbAAAADwAAAGRycy9kb3ducmV2LnhtbERPz2vCMBS+D/Y/hDfYbSYqiHRGGTJh16no9dk8m2Lz&#10;UpKsrf3rl4Pg8eP7vdoMrhEdhVh71jCdKBDEpTc1VxqOh93HEkRMyAYbz6ThThE269eXFRbG9/xL&#10;3T5VIodwLFCDTaktpIylJYdx4lvizF19cJgyDJU0Afsc7ho5U2ohHdacGyy2tLVU3vZ/TkN5t+N3&#10;d7mdwjieFudjr67zoLR+fxu+PkEkGtJT/HD/GA3zvD5/y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yQp5vwAAANsAAAAPAAAAAAAAAAAAAAAAAJgCAABkcnMvZG93bnJl&#10;di54bWxQSwUGAAAAAAQABAD1AAAAhA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—氯气；</w:t>
                        </w:r>
                      </w:p>
                      <w:p>
                        <w:pPr>
                          <w:spacing w:line="240" w:lineRule="exact"/>
                          <w:jc w:val="left"/>
                          <w:rPr>
                            <w:sz w:val="18"/>
                            <w:szCs w:val="18"/>
                          </w:rPr>
                        </w:pPr>
                        <w:r>
                          <w:rPr>
                            <w:rFonts w:hint="eastAsia"/>
                            <w:sz w:val="18"/>
                            <w:szCs w:val="18"/>
                          </w:rPr>
                          <w:t>—……</w:t>
                        </w:r>
                      </w:p>
                    </w:txbxContent>
                  </v:textbox>
                </v:shape>
                <v:shape id="Text Box 138" o:spid="_x0000_s1026" o:spt="202" type="#_x0000_t202" style="position:absolute;left:1083902;top:2326000;height:871800;width:79310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v4sIA&#10;AADbAAAADwAAAGRycy9kb3ducmV2LnhtbESPQWsCMRSE70L/Q3iF3jSxgpStUUppodeq6PW5eW4W&#10;Ny9Lku6u++uNIPQ4zMw3zGozuEZ0FGLtWcN8pkAQl97UXGnY776nbyBiQjbYeCYNV4qwWT9NVlgY&#10;3/MvddtUiQzhWKAGm1JbSBlLSw7jzLfE2Tv74DBlGSppAvYZ7hr5qtRSOqw5L1hs6dNSedn+OQ3l&#10;1Y5f3elyCON4WB73vTovgtL65Xn4eAeRaEj/4Uf7x2hYzOH+Jf8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a/iwgAAANsAAAAPAAAAAAAAAAAAAAAAAJgCAABkcnMvZG93&#10;bnJldi54bWxQSwUGAAAAAAQABAD1AAAAhwMAAAAA&#10;">
                  <v:fill on="t" focussize="0,0"/>
                  <v:stroke on="f" joinstyle="miter"/>
                  <v:imagedata o:title=""/>
                  <o:lock v:ext="edit" aspectratio="f"/>
                  <v:textbox inset="0.3mm,0.3mm,0.3mm,0.3mm">
                    <w:txbxContent>
                      <w:p>
                        <w:pPr>
                          <w:spacing w:line="240" w:lineRule="exact"/>
                          <w:jc w:val="left"/>
                          <w:rPr>
                            <w:sz w:val="18"/>
                            <w:szCs w:val="18"/>
                          </w:rPr>
                        </w:pPr>
                        <w:r>
                          <w:rPr>
                            <w:rFonts w:hint="eastAsia"/>
                            <w:sz w:val="18"/>
                            <w:szCs w:val="18"/>
                          </w:rPr>
                          <w:t>排放量（m³/a）：</w:t>
                        </w:r>
                      </w:p>
                      <w:p>
                        <w:pPr>
                          <w:spacing w:line="240" w:lineRule="exact"/>
                          <w:jc w:val="left"/>
                          <w:rPr>
                            <w:sz w:val="18"/>
                            <w:szCs w:val="18"/>
                          </w:rPr>
                        </w:pPr>
                        <w:r>
                          <w:rPr>
                            <w:rFonts w:hint="eastAsia"/>
                            <w:sz w:val="18"/>
                            <w:szCs w:val="18"/>
                          </w:rPr>
                          <w:t>—负荷（t/a）：</w:t>
                        </w:r>
                      </w:p>
                      <w:p>
                        <w:pPr>
                          <w:spacing w:line="240" w:lineRule="exact"/>
                          <w:jc w:val="left"/>
                          <w:rPr>
                            <w:sz w:val="18"/>
                            <w:szCs w:val="18"/>
                          </w:rPr>
                        </w:pPr>
                        <w:r>
                          <w:rPr>
                            <w:rFonts w:hint="eastAsia"/>
                            <w:sz w:val="18"/>
                            <w:szCs w:val="18"/>
                          </w:rPr>
                          <w:t>—化学需氧量；</w:t>
                        </w:r>
                      </w:p>
                      <w:p>
                        <w:pPr>
                          <w:spacing w:line="240" w:lineRule="exact"/>
                          <w:jc w:val="left"/>
                          <w:rPr>
                            <w:sz w:val="18"/>
                            <w:szCs w:val="18"/>
                          </w:rPr>
                        </w:pPr>
                        <w:r>
                          <w:rPr>
                            <w:rFonts w:hint="eastAsia"/>
                            <w:sz w:val="18"/>
                            <w:szCs w:val="18"/>
                          </w:rPr>
                          <w:t>—生物需氧量；</w:t>
                        </w:r>
                      </w:p>
                      <w:p>
                        <w:pPr>
                          <w:spacing w:line="240" w:lineRule="exact"/>
                          <w:jc w:val="left"/>
                          <w:rPr>
                            <w:sz w:val="18"/>
                            <w:szCs w:val="18"/>
                          </w:rPr>
                        </w:pPr>
                        <w:r>
                          <w:rPr>
                            <w:rFonts w:hint="eastAsia"/>
                            <w:sz w:val="18"/>
                            <w:szCs w:val="18"/>
                          </w:rPr>
                          <w:t>—COD、PH；</w:t>
                        </w:r>
                      </w:p>
                      <w:p>
                        <w:pPr>
                          <w:spacing w:line="240" w:lineRule="exact"/>
                          <w:jc w:val="left"/>
                          <w:rPr>
                            <w:sz w:val="18"/>
                            <w:szCs w:val="18"/>
                          </w:rPr>
                        </w:pPr>
                        <w:r>
                          <w:rPr>
                            <w:rFonts w:hint="eastAsia"/>
                            <w:sz w:val="18"/>
                            <w:szCs w:val="18"/>
                          </w:rPr>
                          <w:t>—……</w:t>
                        </w:r>
                      </w:p>
                    </w:txbxContent>
                  </v:textbox>
                </v:shape>
                <w10:wrap type="none"/>
                <w10:anchorlock/>
              </v:group>
            </w:pict>
          </mc:Fallback>
        </mc:AlternateContent>
      </w:r>
    </w:p>
    <w:p>
      <w:pPr>
        <w:spacing w:line="360" w:lineRule="auto"/>
        <w:jc w:val="center"/>
        <w:rPr>
          <w:rFonts w:ascii="Times New Roman" w:hAnsi="Times New Roman"/>
          <w:b/>
          <w:sz w:val="18"/>
          <w:szCs w:val="18"/>
        </w:rPr>
      </w:pPr>
      <w:r>
        <w:rPr>
          <w:rFonts w:hint="eastAsia" w:ascii="Times New Roman" w:hAnsi="Times New Roman"/>
          <w:b/>
          <w:sz w:val="18"/>
          <w:szCs w:val="18"/>
        </w:rPr>
        <w:t>图</w:t>
      </w:r>
      <w:r>
        <w:rPr>
          <w:rFonts w:ascii="Times New Roman" w:hAnsi="Times New Roman"/>
          <w:b/>
          <w:sz w:val="18"/>
          <w:szCs w:val="18"/>
        </w:rPr>
        <w:t xml:space="preserve">C.1 </w:t>
      </w:r>
      <w:r>
        <w:rPr>
          <w:rFonts w:hint="eastAsia" w:ascii="Times New Roman" w:hAnsi="Times New Roman"/>
          <w:b/>
          <w:sz w:val="18"/>
          <w:szCs w:val="18"/>
        </w:rPr>
        <w:t>工序图：锂熔炼</w:t>
      </w:r>
    </w:p>
    <w:p>
      <w:pPr>
        <w:spacing w:before="156" w:beforeLines="50" w:line="360" w:lineRule="auto"/>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C.1 </w:t>
      </w:r>
      <w:r>
        <w:rPr>
          <w:rFonts w:hint="eastAsia" w:ascii="Times New Roman" w:hAnsi="Times New Roman"/>
          <w:b/>
          <w:sz w:val="18"/>
          <w:szCs w:val="18"/>
        </w:rPr>
        <w:t>单元过程数据收集表示例</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134"/>
        <w:gridCol w:w="2268"/>
        <w:gridCol w:w="33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制表人：</w:t>
            </w:r>
          </w:p>
        </w:tc>
        <w:tc>
          <w:tcPr>
            <w:tcW w:w="4303"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单元过程名称：</w:t>
            </w:r>
          </w:p>
        </w:tc>
        <w:tc>
          <w:tcPr>
            <w:tcW w:w="4303"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时段：</w:t>
            </w:r>
            <w:r>
              <w:rPr>
                <w:rFonts w:ascii="Times New Roman" w:hAnsi="Times New Roman"/>
                <w:sz w:val="18"/>
                <w:szCs w:val="18"/>
              </w:rPr>
              <w:t xml:space="preserve">      </w:t>
            </w:r>
            <w:r>
              <w:rPr>
                <w:rFonts w:hint="eastAsia" w:ascii="Times New Roman" w:hAnsi="Times New Roman"/>
                <w:sz w:val="18"/>
                <w:szCs w:val="18"/>
              </w:rPr>
              <w:t>年</w:t>
            </w:r>
          </w:p>
        </w:tc>
        <w:tc>
          <w:tcPr>
            <w:tcW w:w="2268" w:type="dxa"/>
          </w:tcPr>
          <w:p>
            <w:pPr>
              <w:spacing w:line="360" w:lineRule="auto"/>
              <w:jc w:val="center"/>
              <w:rPr>
                <w:rFonts w:ascii="Times New Roman" w:hAnsi="Times New Roman"/>
                <w:sz w:val="18"/>
                <w:szCs w:val="18"/>
              </w:rPr>
            </w:pPr>
            <w:r>
              <w:rPr>
                <w:rFonts w:hint="eastAsia" w:ascii="Times New Roman" w:hAnsi="Times New Roman"/>
                <w:sz w:val="18"/>
                <w:szCs w:val="18"/>
              </w:rPr>
              <w:t>起始月：</w:t>
            </w:r>
          </w:p>
        </w:tc>
        <w:tc>
          <w:tcPr>
            <w:tcW w:w="2035"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8522" w:type="dxa"/>
            <w:gridSpan w:val="6"/>
          </w:tcPr>
          <w:p>
            <w:pPr>
              <w:spacing w:line="360" w:lineRule="auto"/>
              <w:jc w:val="center"/>
              <w:rPr>
                <w:rFonts w:ascii="Times New Roman" w:hAnsi="Times New Roman"/>
                <w:sz w:val="18"/>
                <w:szCs w:val="18"/>
              </w:rPr>
            </w:pPr>
            <w:r>
              <w:rPr>
                <w:rFonts w:hint="eastAsia" w:ascii="Times New Roman" w:hAnsi="Times New Roman"/>
                <w:sz w:val="18"/>
                <w:szCs w:val="18"/>
              </w:rPr>
              <w:t>单元过程表述（如需要可加附页）：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材料输入</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r>
              <w:rPr>
                <w:rFonts w:hint="eastAsia" w:ascii="Times New Roman" w:hAnsi="Times New Roman"/>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水消耗</w:t>
            </w:r>
            <w:r>
              <w:rPr>
                <w:rFonts w:ascii="Times New Roman" w:hAnsi="Times New Roman"/>
                <w:sz w:val="18"/>
                <w:szCs w:val="18"/>
                <w:vertAlign w:val="superscript"/>
              </w:rPr>
              <w:t>a</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bl>
    <w:p>
      <w:pPr>
        <w:spacing w:line="360" w:lineRule="auto"/>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C.1</w:t>
      </w:r>
      <w:r>
        <w:rPr>
          <w:rFonts w:hint="eastAsia" w:ascii="Times New Roman" w:hAnsi="Times New Roman"/>
          <w:b/>
          <w:sz w:val="18"/>
          <w:szCs w:val="18"/>
        </w:rPr>
        <w:t>（续</w:t>
      </w:r>
      <w:r>
        <w:rPr>
          <w:rFonts w:ascii="Times New Roman" w:hAnsi="Times New Roman"/>
          <w:b/>
          <w:sz w:val="18"/>
          <w:szCs w:val="18"/>
        </w:rPr>
        <w:t>1</w:t>
      </w:r>
      <w:r>
        <w:rPr>
          <w:rFonts w:hint="eastAsia" w:ascii="Times New Roman" w:hAnsi="Times New Roman"/>
          <w:b/>
          <w:sz w:val="18"/>
          <w:szCs w:val="18"/>
        </w:rPr>
        <w:t>）</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134"/>
        <w:gridCol w:w="2268"/>
        <w:gridCol w:w="330"/>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制表人：</w:t>
            </w:r>
          </w:p>
        </w:tc>
        <w:tc>
          <w:tcPr>
            <w:tcW w:w="4303"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单元过程名称：</w:t>
            </w:r>
          </w:p>
        </w:tc>
        <w:tc>
          <w:tcPr>
            <w:tcW w:w="4303"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时段：</w:t>
            </w:r>
            <w:r>
              <w:rPr>
                <w:rFonts w:ascii="Times New Roman" w:hAnsi="Times New Roman"/>
                <w:sz w:val="18"/>
                <w:szCs w:val="18"/>
              </w:rPr>
              <w:t xml:space="preserve">      </w:t>
            </w:r>
            <w:r>
              <w:rPr>
                <w:rFonts w:hint="eastAsia" w:ascii="Times New Roman" w:hAnsi="Times New Roman"/>
                <w:sz w:val="18"/>
                <w:szCs w:val="18"/>
              </w:rPr>
              <w:t>年</w:t>
            </w:r>
          </w:p>
        </w:tc>
        <w:tc>
          <w:tcPr>
            <w:tcW w:w="2268" w:type="dxa"/>
          </w:tcPr>
          <w:p>
            <w:pPr>
              <w:spacing w:line="360" w:lineRule="auto"/>
              <w:jc w:val="center"/>
              <w:rPr>
                <w:rFonts w:ascii="Times New Roman" w:hAnsi="Times New Roman"/>
                <w:sz w:val="18"/>
                <w:szCs w:val="18"/>
              </w:rPr>
            </w:pPr>
            <w:r>
              <w:rPr>
                <w:rFonts w:hint="eastAsia" w:ascii="Times New Roman" w:hAnsi="Times New Roman"/>
                <w:sz w:val="18"/>
                <w:szCs w:val="18"/>
              </w:rPr>
              <w:t>起始月：</w:t>
            </w:r>
          </w:p>
        </w:tc>
        <w:tc>
          <w:tcPr>
            <w:tcW w:w="2035"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jc w:val="center"/>
        </w:trPr>
        <w:tc>
          <w:tcPr>
            <w:tcW w:w="8522" w:type="dxa"/>
            <w:gridSpan w:val="6"/>
          </w:tcPr>
          <w:p>
            <w:pPr>
              <w:spacing w:line="360" w:lineRule="auto"/>
              <w:jc w:val="center"/>
              <w:rPr>
                <w:rFonts w:ascii="Times New Roman" w:hAnsi="Times New Roman"/>
                <w:sz w:val="18"/>
                <w:szCs w:val="18"/>
              </w:rPr>
            </w:pPr>
            <w:r>
              <w:rPr>
                <w:rFonts w:hint="eastAsia" w:ascii="Times New Roman" w:hAnsi="Times New Roman"/>
                <w:sz w:val="18"/>
                <w:szCs w:val="18"/>
              </w:rPr>
              <w:t>单元过程表述（如需要可加附页）：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能量输入</w:t>
            </w:r>
            <w:r>
              <w:rPr>
                <w:rFonts w:ascii="Times New Roman" w:hAnsi="Times New Roman"/>
                <w:sz w:val="18"/>
                <w:szCs w:val="18"/>
                <w:vertAlign w:val="superscript"/>
              </w:rPr>
              <w:t>b</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r>
              <w:rPr>
                <w:rFonts w:hint="eastAsia" w:ascii="Times New Roman" w:hAnsi="Times New Roman"/>
                <w:sz w:val="18"/>
                <w:szCs w:val="18"/>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材料输出</w:t>
            </w:r>
            <w:r>
              <w:rPr>
                <w:rFonts w:ascii="Times New Roman" w:hAnsi="Times New Roman"/>
                <w:sz w:val="18"/>
                <w:szCs w:val="18"/>
              </w:rPr>
              <w:br w:type="textWrapping"/>
            </w:r>
            <w:r>
              <w:rPr>
                <w:rFonts w:hint="eastAsia" w:ascii="Times New Roman" w:hAnsi="Times New Roman"/>
                <w:sz w:val="18"/>
                <w:szCs w:val="18"/>
              </w:rPr>
              <w:t>（包括产品）</w:t>
            </w:r>
          </w:p>
        </w:tc>
        <w:tc>
          <w:tcPr>
            <w:tcW w:w="113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vAlign w:val="center"/>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目的地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向空气排放</w:t>
            </w:r>
            <w:r>
              <w:rPr>
                <w:rFonts w:ascii="Times New Roman" w:hAnsi="Times New Roman"/>
                <w:sz w:val="18"/>
                <w:szCs w:val="18"/>
                <w:vertAlign w:val="superscript"/>
              </w:rPr>
              <w:t>c</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向水体排放</w:t>
            </w:r>
            <w:r>
              <w:rPr>
                <w:rFonts w:ascii="Times New Roman" w:hAnsi="Times New Roman"/>
                <w:sz w:val="18"/>
                <w:szCs w:val="18"/>
                <w:vertAlign w:val="superscript"/>
              </w:rPr>
              <w:t>d</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向土壤排放</w:t>
            </w:r>
            <w:r>
              <w:rPr>
                <w:rFonts w:ascii="Times New Roman" w:hAnsi="Times New Roman"/>
                <w:sz w:val="18"/>
                <w:szCs w:val="18"/>
                <w:vertAlign w:val="superscript"/>
              </w:rPr>
              <w:t>e</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r>
              <w:rPr>
                <w:rFonts w:hint="eastAsia" w:ascii="Times New Roman" w:hAnsi="Times New Roman"/>
                <w:sz w:val="18"/>
                <w:szCs w:val="18"/>
              </w:rPr>
              <w:t>其他排放</w:t>
            </w:r>
            <w:r>
              <w:rPr>
                <w:rFonts w:ascii="Times New Roman" w:hAnsi="Times New Roman"/>
                <w:sz w:val="18"/>
                <w:szCs w:val="18"/>
                <w:vertAlign w:val="superscript"/>
              </w:rPr>
              <w:t>f</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1134"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c>
          <w:tcPr>
            <w:tcW w:w="2598"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取样程序描述</w:t>
            </w: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1"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1134" w:type="dxa"/>
          </w:tcPr>
          <w:p>
            <w:pPr>
              <w:spacing w:line="360" w:lineRule="auto"/>
              <w:jc w:val="center"/>
              <w:rPr>
                <w:rFonts w:ascii="Times New Roman" w:hAnsi="Times New Roman"/>
                <w:sz w:val="18"/>
                <w:szCs w:val="18"/>
              </w:rPr>
            </w:pPr>
          </w:p>
        </w:tc>
        <w:tc>
          <w:tcPr>
            <w:tcW w:w="2598" w:type="dxa"/>
            <w:gridSpan w:val="2"/>
          </w:tcPr>
          <w:p>
            <w:pPr>
              <w:spacing w:line="360" w:lineRule="auto"/>
              <w:jc w:val="center"/>
              <w:rPr>
                <w:rFonts w:ascii="Times New Roman" w:hAnsi="Times New Roman"/>
                <w:sz w:val="18"/>
                <w:szCs w:val="18"/>
              </w:rPr>
            </w:pPr>
          </w:p>
        </w:tc>
        <w:tc>
          <w:tcPr>
            <w:tcW w:w="1705" w:type="dxa"/>
          </w:tcPr>
          <w:p>
            <w:pPr>
              <w:spacing w:line="360" w:lineRule="auto"/>
              <w:jc w:val="center"/>
              <w:rPr>
                <w:rFonts w:ascii="Times New Roman" w:hAnsi="Times New Roman"/>
                <w:sz w:val="18"/>
                <w:szCs w:val="18"/>
              </w:rPr>
            </w:pPr>
          </w:p>
        </w:tc>
      </w:tr>
    </w:tbl>
    <w:p>
      <w:pPr>
        <w:spacing w:line="360" w:lineRule="auto"/>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C.1</w:t>
      </w:r>
      <w:r>
        <w:rPr>
          <w:rFonts w:hint="eastAsia" w:ascii="Times New Roman" w:hAnsi="Times New Roman"/>
          <w:b/>
          <w:sz w:val="18"/>
          <w:szCs w:val="18"/>
        </w:rPr>
        <w:t>（续</w:t>
      </w:r>
      <w:r>
        <w:rPr>
          <w:rFonts w:ascii="Times New Roman" w:hAnsi="Times New Roman"/>
          <w:b/>
          <w:sz w:val="18"/>
          <w:szCs w:val="18"/>
        </w:rPr>
        <w:t>2</w:t>
      </w:r>
      <w:r>
        <w:rPr>
          <w:rFonts w:hint="eastAsia" w:ascii="Times New Roman" w:hAnsi="Times New Roman"/>
          <w:b/>
          <w:sz w:val="18"/>
          <w:szCs w:val="18"/>
        </w:rPr>
        <w:t>）</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2268"/>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tcPr>
          <w:p>
            <w:pPr>
              <w:spacing w:line="360" w:lineRule="auto"/>
              <w:jc w:val="center"/>
              <w:rPr>
                <w:rFonts w:ascii="Times New Roman" w:hAnsi="Times New Roman"/>
                <w:sz w:val="18"/>
                <w:szCs w:val="18"/>
              </w:rPr>
            </w:pPr>
            <w:r>
              <w:rPr>
                <w:rFonts w:hint="eastAsia" w:ascii="Times New Roman" w:hAnsi="Times New Roman"/>
                <w:sz w:val="18"/>
                <w:szCs w:val="18"/>
              </w:rPr>
              <w:t>制表人：</w:t>
            </w:r>
          </w:p>
        </w:tc>
        <w:tc>
          <w:tcPr>
            <w:tcW w:w="4303"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制表日期：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tcPr>
          <w:p>
            <w:pPr>
              <w:spacing w:line="360" w:lineRule="auto"/>
              <w:jc w:val="center"/>
              <w:rPr>
                <w:rFonts w:ascii="Times New Roman" w:hAnsi="Times New Roman"/>
                <w:sz w:val="18"/>
                <w:szCs w:val="18"/>
              </w:rPr>
            </w:pPr>
            <w:r>
              <w:rPr>
                <w:rFonts w:hint="eastAsia" w:ascii="Times New Roman" w:hAnsi="Times New Roman"/>
                <w:sz w:val="18"/>
                <w:szCs w:val="18"/>
              </w:rPr>
              <w:t>单元过程名称：</w:t>
            </w:r>
          </w:p>
        </w:tc>
        <w:tc>
          <w:tcPr>
            <w:tcW w:w="4303" w:type="dxa"/>
            <w:gridSpan w:val="2"/>
          </w:tcPr>
          <w:p>
            <w:pPr>
              <w:spacing w:line="360" w:lineRule="auto"/>
              <w:jc w:val="center"/>
              <w:rPr>
                <w:rFonts w:ascii="Times New Roman" w:hAnsi="Times New Roman"/>
                <w:sz w:val="18"/>
                <w:szCs w:val="18"/>
              </w:rPr>
            </w:pPr>
            <w:r>
              <w:rPr>
                <w:rFonts w:hint="eastAsia" w:ascii="Times New Roman" w:hAnsi="Times New Roman"/>
                <w:sz w:val="18"/>
                <w:szCs w:val="18"/>
              </w:rPr>
              <w:t>报送地点：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219" w:type="dxa"/>
          </w:tcPr>
          <w:p>
            <w:pPr>
              <w:spacing w:line="360" w:lineRule="auto"/>
              <w:jc w:val="center"/>
              <w:rPr>
                <w:rFonts w:ascii="Times New Roman" w:hAnsi="Times New Roman"/>
                <w:sz w:val="18"/>
                <w:szCs w:val="18"/>
              </w:rPr>
            </w:pPr>
            <w:r>
              <w:rPr>
                <w:rFonts w:hint="eastAsia" w:ascii="Times New Roman" w:hAnsi="Times New Roman"/>
                <w:sz w:val="18"/>
                <w:szCs w:val="18"/>
              </w:rPr>
              <w:t>时段：</w:t>
            </w:r>
            <w:r>
              <w:rPr>
                <w:rFonts w:ascii="Times New Roman" w:hAnsi="Times New Roman"/>
                <w:sz w:val="18"/>
                <w:szCs w:val="18"/>
              </w:rPr>
              <w:t xml:space="preserve">      </w:t>
            </w:r>
            <w:r>
              <w:rPr>
                <w:rFonts w:hint="eastAsia" w:ascii="Times New Roman" w:hAnsi="Times New Roman"/>
                <w:sz w:val="18"/>
                <w:szCs w:val="18"/>
              </w:rPr>
              <w:t>年</w:t>
            </w:r>
          </w:p>
        </w:tc>
        <w:tc>
          <w:tcPr>
            <w:tcW w:w="2268" w:type="dxa"/>
          </w:tcPr>
          <w:p>
            <w:pPr>
              <w:spacing w:line="360" w:lineRule="auto"/>
              <w:jc w:val="center"/>
              <w:rPr>
                <w:rFonts w:ascii="Times New Roman" w:hAnsi="Times New Roman"/>
                <w:sz w:val="18"/>
                <w:szCs w:val="18"/>
              </w:rPr>
            </w:pPr>
            <w:r>
              <w:rPr>
                <w:rFonts w:hint="eastAsia" w:ascii="Times New Roman" w:hAnsi="Times New Roman"/>
                <w:sz w:val="18"/>
                <w:szCs w:val="18"/>
              </w:rPr>
              <w:t>起始月：</w:t>
            </w:r>
          </w:p>
        </w:tc>
        <w:tc>
          <w:tcPr>
            <w:tcW w:w="2035" w:type="dxa"/>
          </w:tcPr>
          <w:p>
            <w:pPr>
              <w:spacing w:line="360" w:lineRule="auto"/>
              <w:jc w:val="center"/>
              <w:rPr>
                <w:rFonts w:ascii="Times New Roman" w:hAnsi="Times New Roman"/>
                <w:sz w:val="18"/>
                <w:szCs w:val="18"/>
              </w:rPr>
            </w:pPr>
            <w:r>
              <w:rPr>
                <w:rFonts w:hint="eastAsia" w:ascii="Times New Roman" w:hAnsi="Times New Roman"/>
                <w:sz w:val="18"/>
                <w:szCs w:val="18"/>
              </w:rPr>
              <w:t>终止月：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jc w:val="center"/>
        </w:trPr>
        <w:tc>
          <w:tcPr>
            <w:tcW w:w="8522" w:type="dxa"/>
            <w:gridSpan w:val="3"/>
          </w:tcPr>
          <w:p>
            <w:pPr>
              <w:spacing w:line="360" w:lineRule="auto"/>
              <w:jc w:val="center"/>
              <w:rPr>
                <w:rFonts w:ascii="Times New Roman" w:hAnsi="Times New Roman"/>
                <w:sz w:val="18"/>
                <w:szCs w:val="18"/>
              </w:rPr>
            </w:pPr>
            <w:r>
              <w:rPr>
                <w:rFonts w:hint="eastAsia" w:ascii="Times New Roman" w:hAnsi="Times New Roman"/>
                <w:sz w:val="18"/>
                <w:szCs w:val="18"/>
              </w:rPr>
              <w:t>注：此数据收集表中的数据是指规定时段内所有未分配的输入和输出。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8522" w:type="dxa"/>
            <w:gridSpan w:val="3"/>
          </w:tcPr>
          <w:p>
            <w:pPr>
              <w:spacing w:line="360" w:lineRule="auto"/>
              <w:jc w:val="center"/>
              <w:rPr>
                <w:rFonts w:ascii="Times New Roman" w:hAnsi="Times New Roman"/>
                <w:sz w:val="18"/>
                <w:szCs w:val="18"/>
              </w:rPr>
            </w:pPr>
            <w:r>
              <w:rPr>
                <w:rFonts w:ascii="Times New Roman" w:hAnsi="Times New Roman"/>
                <w:sz w:val="18"/>
                <w:szCs w:val="18"/>
                <w:vertAlign w:val="superscript"/>
              </w:rPr>
              <w:t>a</w:t>
            </w:r>
            <w:r>
              <w:rPr>
                <w:rFonts w:ascii="Times New Roman" w:hAnsi="Times New Roman"/>
                <w:sz w:val="18"/>
                <w:szCs w:val="18"/>
              </w:rPr>
              <w:t xml:space="preserve">  </w:t>
            </w:r>
            <w:r>
              <w:rPr>
                <w:rFonts w:hint="eastAsia" w:ascii="Times New Roman" w:hAnsi="Times New Roman"/>
                <w:sz w:val="18"/>
                <w:szCs w:val="18"/>
              </w:rPr>
              <w:t>例如地表水、饮用水。</w:t>
            </w:r>
          </w:p>
          <w:p>
            <w:pPr>
              <w:spacing w:line="360" w:lineRule="auto"/>
              <w:jc w:val="center"/>
              <w:rPr>
                <w:rFonts w:ascii="Times New Roman" w:hAnsi="Times New Roman"/>
                <w:sz w:val="18"/>
                <w:szCs w:val="18"/>
              </w:rPr>
            </w:pPr>
            <w:r>
              <w:rPr>
                <w:rFonts w:ascii="Times New Roman" w:hAnsi="Times New Roman"/>
                <w:sz w:val="18"/>
                <w:szCs w:val="18"/>
                <w:vertAlign w:val="superscript"/>
              </w:rPr>
              <w:t>b</w:t>
            </w:r>
            <w:r>
              <w:rPr>
                <w:rFonts w:ascii="Times New Roman" w:hAnsi="Times New Roman"/>
                <w:sz w:val="18"/>
                <w:szCs w:val="18"/>
              </w:rPr>
              <w:t xml:space="preserve">  </w:t>
            </w:r>
            <w:r>
              <w:rPr>
                <w:rFonts w:hint="eastAsia" w:ascii="Times New Roman" w:hAnsi="Times New Roman"/>
                <w:sz w:val="18"/>
                <w:szCs w:val="18"/>
              </w:rPr>
              <w:t>例如煤、焦炭、重燃料油、中燃料油、轻燃料油、煤油、汽油、天然气、煤气、网电。</w:t>
            </w:r>
          </w:p>
          <w:p>
            <w:pPr>
              <w:spacing w:line="360" w:lineRule="auto"/>
              <w:ind w:left="180" w:hanging="180" w:hangingChars="100"/>
              <w:jc w:val="center"/>
              <w:rPr>
                <w:rFonts w:ascii="Times New Roman" w:hAnsi="Times New Roman"/>
                <w:sz w:val="18"/>
                <w:szCs w:val="18"/>
              </w:rPr>
            </w:pPr>
            <w:r>
              <w:rPr>
                <w:rFonts w:ascii="Times New Roman" w:hAnsi="Times New Roman"/>
                <w:sz w:val="18"/>
                <w:szCs w:val="18"/>
                <w:vertAlign w:val="superscript"/>
              </w:rPr>
              <w:t xml:space="preserve">c </w:t>
            </w:r>
            <w:r>
              <w:rPr>
                <w:rFonts w:ascii="Times New Roman" w:hAnsi="Times New Roman"/>
                <w:sz w:val="18"/>
                <w:szCs w:val="18"/>
              </w:rPr>
              <w:t xml:space="preserve"> </w:t>
            </w:r>
            <w:r>
              <w:rPr>
                <w:rFonts w:hint="eastAsia" w:ascii="Times New Roman" w:hAnsi="Times New Roman"/>
                <w:sz w:val="18"/>
                <w:szCs w:val="18"/>
              </w:rPr>
              <w:t>例如无机物：</w:t>
            </w:r>
            <w:r>
              <w:rPr>
                <w:rFonts w:ascii="Times New Roman" w:hAnsi="Times New Roman"/>
                <w:sz w:val="18"/>
                <w:szCs w:val="18"/>
              </w:rPr>
              <w:t>SO</w:t>
            </w:r>
            <w:r>
              <w:rPr>
                <w:rFonts w:ascii="Times New Roman" w:hAnsi="Times New Roman"/>
                <w:sz w:val="18"/>
                <w:szCs w:val="18"/>
                <w:vertAlign w:val="subscript"/>
              </w:rPr>
              <w:t>x</w:t>
            </w:r>
            <w:r>
              <w:rPr>
                <w:rFonts w:hint="eastAsia" w:ascii="Times New Roman" w:hAnsi="Times New Roman"/>
                <w:sz w:val="18"/>
                <w:szCs w:val="18"/>
              </w:rPr>
              <w:t>、</w:t>
            </w:r>
            <w:r>
              <w:rPr>
                <w:rFonts w:ascii="Times New Roman" w:hAnsi="Times New Roman"/>
                <w:sz w:val="18"/>
                <w:szCs w:val="18"/>
              </w:rPr>
              <w:t>CO</w:t>
            </w:r>
            <w:r>
              <w:rPr>
                <w:rFonts w:ascii="Times New Roman" w:hAnsi="Times New Roman"/>
                <w:sz w:val="18"/>
                <w:szCs w:val="18"/>
                <w:vertAlign w:val="subscript"/>
              </w:rPr>
              <w:t>2</w:t>
            </w:r>
            <w:r>
              <w:rPr>
                <w:rFonts w:hint="eastAsia" w:ascii="Times New Roman" w:hAnsi="Times New Roman"/>
                <w:sz w:val="18"/>
                <w:szCs w:val="18"/>
              </w:rPr>
              <w:t>、</w:t>
            </w:r>
            <w:r>
              <w:rPr>
                <w:rFonts w:ascii="Times New Roman" w:hAnsi="Times New Roman"/>
                <w:sz w:val="18"/>
                <w:szCs w:val="18"/>
              </w:rPr>
              <w:t>CO</w:t>
            </w:r>
            <w:r>
              <w:rPr>
                <w:rFonts w:hint="eastAsia" w:ascii="Times New Roman" w:hAnsi="Times New Roman"/>
                <w:sz w:val="18"/>
                <w:szCs w:val="18"/>
              </w:rPr>
              <w:t>、粉尘</w:t>
            </w:r>
            <w:r>
              <w:rPr>
                <w:rFonts w:ascii="Times New Roman" w:hAnsi="Times New Roman"/>
                <w:sz w:val="18"/>
                <w:szCs w:val="18"/>
              </w:rPr>
              <w:t>/</w:t>
            </w:r>
            <w:r>
              <w:rPr>
                <w:rFonts w:hint="eastAsia" w:ascii="Times New Roman" w:hAnsi="Times New Roman"/>
                <w:sz w:val="18"/>
                <w:szCs w:val="18"/>
              </w:rPr>
              <w:t>颗粒物、</w:t>
            </w:r>
            <w:r>
              <w:rPr>
                <w:rFonts w:ascii="Times New Roman" w:hAnsi="Times New Roman"/>
                <w:sz w:val="18"/>
                <w:szCs w:val="18"/>
              </w:rPr>
              <w:t>Cl</w:t>
            </w:r>
            <w:r>
              <w:rPr>
                <w:rFonts w:ascii="Times New Roman" w:hAnsi="Times New Roman"/>
                <w:sz w:val="18"/>
                <w:szCs w:val="18"/>
                <w:vertAlign w:val="subscript"/>
              </w:rPr>
              <w:t>2</w:t>
            </w:r>
            <w:r>
              <w:rPr>
                <w:rFonts w:hint="eastAsia" w:ascii="Times New Roman" w:hAnsi="Times New Roman"/>
                <w:sz w:val="18"/>
                <w:szCs w:val="18"/>
              </w:rPr>
              <w:t>、</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S</w:t>
            </w:r>
            <w:r>
              <w:rPr>
                <w:rFonts w:hint="eastAsia" w:ascii="Times New Roman" w:hAnsi="Times New Roman"/>
                <w:sz w:val="18"/>
                <w:szCs w:val="18"/>
              </w:rPr>
              <w:t>、</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SO</w:t>
            </w:r>
            <w:r>
              <w:rPr>
                <w:rFonts w:ascii="Times New Roman" w:hAnsi="Times New Roman"/>
                <w:sz w:val="18"/>
                <w:szCs w:val="18"/>
                <w:vertAlign w:val="subscript"/>
              </w:rPr>
              <w:t>4</w:t>
            </w:r>
            <w:r>
              <w:rPr>
                <w:rFonts w:hint="eastAsia" w:ascii="Times New Roman" w:hAnsi="Times New Roman"/>
                <w:sz w:val="18"/>
                <w:szCs w:val="18"/>
              </w:rPr>
              <w:t>、</w:t>
            </w:r>
            <w:r>
              <w:rPr>
                <w:rFonts w:ascii="Times New Roman" w:hAnsi="Times New Roman"/>
                <w:sz w:val="18"/>
                <w:szCs w:val="18"/>
              </w:rPr>
              <w:t>HCl</w:t>
            </w:r>
            <w:r>
              <w:rPr>
                <w:rFonts w:hint="eastAsia" w:ascii="Times New Roman" w:hAnsi="Times New Roman"/>
                <w:sz w:val="18"/>
                <w:szCs w:val="18"/>
              </w:rPr>
              <w:t>、</w:t>
            </w:r>
            <w:r>
              <w:rPr>
                <w:rFonts w:ascii="Times New Roman" w:hAnsi="Times New Roman"/>
                <w:sz w:val="18"/>
                <w:szCs w:val="18"/>
              </w:rPr>
              <w:t>NH</w:t>
            </w:r>
            <w:r>
              <w:rPr>
                <w:rFonts w:ascii="Times New Roman" w:hAnsi="Times New Roman"/>
                <w:sz w:val="18"/>
                <w:szCs w:val="18"/>
                <w:vertAlign w:val="subscript"/>
              </w:rPr>
              <w:t>3</w:t>
            </w:r>
            <w:r>
              <w:rPr>
                <w:rFonts w:hint="eastAsia" w:ascii="Times New Roman" w:hAnsi="Times New Roman"/>
                <w:sz w:val="18"/>
                <w:szCs w:val="18"/>
              </w:rPr>
              <w:t>、</w:t>
            </w:r>
            <w:r>
              <w:rPr>
                <w:rFonts w:ascii="Times New Roman" w:hAnsi="Times New Roman"/>
                <w:sz w:val="18"/>
                <w:szCs w:val="18"/>
              </w:rPr>
              <w:t>NO</w:t>
            </w:r>
            <w:r>
              <w:rPr>
                <w:rFonts w:ascii="Times New Roman" w:hAnsi="Times New Roman"/>
                <w:sz w:val="18"/>
                <w:szCs w:val="18"/>
                <w:vertAlign w:val="subscript"/>
              </w:rPr>
              <w:t>x</w:t>
            </w:r>
            <w:r>
              <w:rPr>
                <w:rFonts w:hint="eastAsia" w:ascii="Times New Roman" w:hAnsi="Times New Roman"/>
                <w:sz w:val="18"/>
                <w:szCs w:val="18"/>
              </w:rPr>
              <w:t>、</w:t>
            </w:r>
            <w:r>
              <w:rPr>
                <w:rFonts w:ascii="Times New Roman" w:hAnsi="Times New Roman"/>
                <w:sz w:val="18"/>
                <w:szCs w:val="18"/>
              </w:rPr>
              <w:t>F</w:t>
            </w:r>
            <w:r>
              <w:rPr>
                <w:rFonts w:ascii="Times New Roman" w:hAnsi="Times New Roman"/>
                <w:sz w:val="18"/>
                <w:szCs w:val="18"/>
                <w:vertAlign w:val="subscript"/>
              </w:rPr>
              <w:t>2</w:t>
            </w:r>
            <w:r>
              <w:rPr>
                <w:rFonts w:hint="eastAsia" w:ascii="Times New Roman" w:hAnsi="Times New Roman"/>
                <w:sz w:val="18"/>
                <w:szCs w:val="18"/>
              </w:rPr>
              <w:t>、</w:t>
            </w:r>
            <w:r>
              <w:rPr>
                <w:rFonts w:ascii="Times New Roman" w:hAnsi="Times New Roman"/>
                <w:sz w:val="18"/>
                <w:szCs w:val="18"/>
              </w:rPr>
              <w:t>HF</w:t>
            </w:r>
            <w:r>
              <w:rPr>
                <w:rFonts w:hint="eastAsia" w:ascii="Times New Roman" w:hAnsi="Times New Roman"/>
                <w:sz w:val="18"/>
                <w:szCs w:val="18"/>
              </w:rPr>
              <w:t>；有机物：烃、多氯联苯（</w:t>
            </w:r>
            <w:r>
              <w:rPr>
                <w:rFonts w:ascii="Times New Roman" w:hAnsi="Times New Roman"/>
                <w:sz w:val="18"/>
                <w:szCs w:val="18"/>
              </w:rPr>
              <w:t>PCB</w:t>
            </w:r>
            <w:r>
              <w:rPr>
                <w:rFonts w:hint="eastAsia" w:ascii="Times New Roman" w:hAnsi="Times New Roman"/>
                <w:sz w:val="18"/>
                <w:szCs w:val="18"/>
              </w:rPr>
              <w:t>）、二噁英、酚类；金属：</w:t>
            </w:r>
            <w:r>
              <w:rPr>
                <w:rFonts w:ascii="Times New Roman" w:hAnsi="Times New Roman"/>
                <w:sz w:val="18"/>
                <w:szCs w:val="18"/>
              </w:rPr>
              <w:t>As</w:t>
            </w:r>
            <w:r>
              <w:rPr>
                <w:rFonts w:hint="eastAsia" w:ascii="Times New Roman" w:hAnsi="Times New Roman"/>
                <w:sz w:val="18"/>
                <w:szCs w:val="18"/>
              </w:rPr>
              <w:t>、</w:t>
            </w:r>
            <w:r>
              <w:rPr>
                <w:rFonts w:ascii="Times New Roman" w:hAnsi="Times New Roman"/>
                <w:sz w:val="18"/>
                <w:szCs w:val="18"/>
              </w:rPr>
              <w:t>Pb</w:t>
            </w:r>
            <w:r>
              <w:rPr>
                <w:rFonts w:hint="eastAsia" w:ascii="Times New Roman" w:hAnsi="Times New Roman"/>
                <w:sz w:val="18"/>
                <w:szCs w:val="18"/>
              </w:rPr>
              <w:t>、</w:t>
            </w:r>
            <w:r>
              <w:rPr>
                <w:rFonts w:ascii="Times New Roman" w:hAnsi="Times New Roman"/>
                <w:sz w:val="18"/>
                <w:szCs w:val="18"/>
              </w:rPr>
              <w:t>Sb</w:t>
            </w:r>
            <w:r>
              <w:rPr>
                <w:rFonts w:hint="eastAsia" w:ascii="Times New Roman" w:hAnsi="Times New Roman"/>
                <w:sz w:val="18"/>
                <w:szCs w:val="18"/>
              </w:rPr>
              <w:t>、</w:t>
            </w:r>
            <w:r>
              <w:rPr>
                <w:rFonts w:ascii="Times New Roman" w:hAnsi="Times New Roman"/>
                <w:sz w:val="18"/>
                <w:szCs w:val="18"/>
              </w:rPr>
              <w:t>Hg</w:t>
            </w:r>
            <w:r>
              <w:rPr>
                <w:rFonts w:hint="eastAsia" w:ascii="Times New Roman" w:hAnsi="Times New Roman"/>
                <w:sz w:val="18"/>
                <w:szCs w:val="18"/>
              </w:rPr>
              <w:t>。</w:t>
            </w:r>
          </w:p>
          <w:p>
            <w:pPr>
              <w:spacing w:line="360" w:lineRule="auto"/>
              <w:ind w:left="180" w:hanging="180" w:hangingChars="100"/>
              <w:jc w:val="center"/>
              <w:rPr>
                <w:rFonts w:ascii="Times New Roman" w:hAnsi="Times New Roman"/>
                <w:sz w:val="18"/>
                <w:szCs w:val="18"/>
              </w:rPr>
            </w:pPr>
            <w:r>
              <w:rPr>
                <w:rFonts w:ascii="Times New Roman" w:hAnsi="Times New Roman"/>
                <w:sz w:val="18"/>
                <w:szCs w:val="18"/>
                <w:vertAlign w:val="superscript"/>
              </w:rPr>
              <w:t>d</w:t>
            </w:r>
            <w:r>
              <w:rPr>
                <w:rFonts w:ascii="Times New Roman" w:hAnsi="Times New Roman"/>
                <w:sz w:val="18"/>
                <w:szCs w:val="18"/>
              </w:rPr>
              <w:t xml:space="preserve">  </w:t>
            </w:r>
            <w:r>
              <w:rPr>
                <w:rFonts w:hint="eastAsia" w:ascii="Times New Roman" w:hAnsi="Times New Roman"/>
                <w:sz w:val="18"/>
                <w:szCs w:val="18"/>
              </w:rPr>
              <w:t>例如，生化需氧量（</w:t>
            </w:r>
            <w:r>
              <w:rPr>
                <w:rFonts w:ascii="Times New Roman" w:hAnsi="Times New Roman"/>
                <w:sz w:val="18"/>
                <w:szCs w:val="18"/>
              </w:rPr>
              <w:t>BOD</w:t>
            </w:r>
            <w:r>
              <w:rPr>
                <w:rFonts w:hint="eastAsia" w:ascii="Times New Roman" w:hAnsi="Times New Roman"/>
                <w:sz w:val="18"/>
                <w:szCs w:val="18"/>
              </w:rPr>
              <w:t>）、化学需氧量（</w:t>
            </w:r>
            <w:r>
              <w:rPr>
                <w:rFonts w:ascii="Times New Roman" w:hAnsi="Times New Roman"/>
                <w:sz w:val="18"/>
                <w:szCs w:val="18"/>
              </w:rPr>
              <w:t>COD</w:t>
            </w:r>
            <w:r>
              <w:rPr>
                <w:rFonts w:hint="eastAsia" w:ascii="Times New Roman" w:hAnsi="Times New Roman"/>
                <w:sz w:val="18"/>
                <w:szCs w:val="18"/>
              </w:rPr>
              <w:t>）、酸、</w:t>
            </w:r>
            <w:r>
              <w:rPr>
                <w:rFonts w:ascii="Times New Roman" w:hAnsi="Times New Roman"/>
                <w:sz w:val="18"/>
                <w:szCs w:val="18"/>
              </w:rPr>
              <w:t>Cl</w:t>
            </w:r>
            <w:r>
              <w:rPr>
                <w:rFonts w:ascii="Times New Roman" w:hAnsi="Times New Roman"/>
                <w:sz w:val="18"/>
                <w:szCs w:val="18"/>
                <w:vertAlign w:val="subscript"/>
              </w:rPr>
              <w:t>2</w:t>
            </w:r>
            <w:r>
              <w:rPr>
                <w:rFonts w:hint="eastAsia" w:ascii="Times New Roman" w:hAnsi="Times New Roman"/>
                <w:sz w:val="18"/>
                <w:szCs w:val="18"/>
              </w:rPr>
              <w:t>、</w:t>
            </w:r>
            <w:r>
              <w:rPr>
                <w:rFonts w:ascii="Times New Roman" w:hAnsi="Times New Roman"/>
                <w:sz w:val="18"/>
                <w:szCs w:val="18"/>
              </w:rPr>
              <w:t>CN</w:t>
            </w:r>
            <w:r>
              <w:rPr>
                <w:rFonts w:ascii="Times New Roman" w:hAnsi="Times New Roman"/>
                <w:sz w:val="18"/>
                <w:szCs w:val="18"/>
                <w:vertAlign w:val="subscript"/>
              </w:rPr>
              <w:t>2</w:t>
            </w:r>
            <w:r>
              <w:rPr>
                <w:rFonts w:ascii="Times New Roman" w:hAnsi="Times New Roman"/>
                <w:sz w:val="18"/>
                <w:szCs w:val="18"/>
                <w:vertAlign w:val="superscript"/>
              </w:rPr>
              <w:t>-</w:t>
            </w:r>
            <w:r>
              <w:rPr>
                <w:rFonts w:hint="eastAsia" w:ascii="Times New Roman" w:hAnsi="Times New Roman"/>
                <w:sz w:val="18"/>
                <w:szCs w:val="18"/>
              </w:rPr>
              <w:t>、洗涤剂</w:t>
            </w:r>
            <w:r>
              <w:rPr>
                <w:rFonts w:ascii="Times New Roman" w:hAnsi="Times New Roman"/>
                <w:sz w:val="18"/>
                <w:szCs w:val="18"/>
              </w:rPr>
              <w:t>/</w:t>
            </w:r>
            <w:r>
              <w:rPr>
                <w:rFonts w:hint="eastAsia" w:ascii="Times New Roman" w:hAnsi="Times New Roman"/>
                <w:sz w:val="18"/>
                <w:szCs w:val="18"/>
              </w:rPr>
              <w:t>油脂、溶解性有机物、</w:t>
            </w:r>
            <w:r>
              <w:rPr>
                <w:rFonts w:ascii="Times New Roman" w:hAnsi="Times New Roman"/>
                <w:sz w:val="18"/>
                <w:szCs w:val="18"/>
              </w:rPr>
              <w:t>F</w:t>
            </w:r>
            <w:r>
              <w:rPr>
                <w:rFonts w:ascii="Times New Roman" w:hAnsi="Times New Roman"/>
                <w:sz w:val="18"/>
                <w:szCs w:val="18"/>
                <w:vertAlign w:val="superscript"/>
              </w:rPr>
              <w:t>-</w:t>
            </w:r>
            <w:r>
              <w:rPr>
                <w:rFonts w:hint="eastAsia" w:ascii="Times New Roman" w:hAnsi="Times New Roman"/>
                <w:sz w:val="18"/>
                <w:szCs w:val="18"/>
              </w:rPr>
              <w:t>、</w:t>
            </w:r>
            <w:r>
              <w:rPr>
                <w:rFonts w:ascii="Times New Roman" w:hAnsi="Times New Roman"/>
                <w:sz w:val="18"/>
                <w:szCs w:val="18"/>
              </w:rPr>
              <w:t>Fe</w:t>
            </w:r>
            <w:r>
              <w:rPr>
                <w:rFonts w:ascii="Times New Roman" w:hAnsi="Times New Roman"/>
                <w:sz w:val="18"/>
                <w:szCs w:val="18"/>
                <w:vertAlign w:val="superscript"/>
              </w:rPr>
              <w:t>2+</w:t>
            </w:r>
            <w:r>
              <w:rPr>
                <w:rFonts w:hint="eastAsia" w:ascii="Times New Roman" w:hAnsi="Times New Roman"/>
                <w:sz w:val="18"/>
                <w:szCs w:val="18"/>
              </w:rPr>
              <w:t>、</w:t>
            </w:r>
            <w:r>
              <w:rPr>
                <w:rFonts w:ascii="Times New Roman" w:hAnsi="Times New Roman"/>
                <w:sz w:val="18"/>
                <w:szCs w:val="18"/>
              </w:rPr>
              <w:t>Hg</w:t>
            </w:r>
            <w:r>
              <w:rPr>
                <w:rFonts w:ascii="Times New Roman" w:hAnsi="Times New Roman"/>
                <w:sz w:val="18"/>
                <w:szCs w:val="18"/>
                <w:vertAlign w:val="superscript"/>
              </w:rPr>
              <w:t>+</w:t>
            </w:r>
            <w:r>
              <w:rPr>
                <w:rFonts w:hint="eastAsia" w:ascii="Times New Roman" w:hAnsi="Times New Roman"/>
                <w:sz w:val="18"/>
                <w:szCs w:val="18"/>
              </w:rPr>
              <w:t>、烃、</w:t>
            </w:r>
            <w:r>
              <w:rPr>
                <w:rFonts w:ascii="Times New Roman" w:hAnsi="Times New Roman"/>
                <w:sz w:val="18"/>
                <w:szCs w:val="18"/>
              </w:rPr>
              <w:t>Na</w:t>
            </w:r>
            <w:r>
              <w:rPr>
                <w:rFonts w:ascii="Times New Roman" w:hAnsi="Times New Roman"/>
                <w:sz w:val="18"/>
                <w:szCs w:val="18"/>
                <w:vertAlign w:val="superscript"/>
              </w:rPr>
              <w:t>+</w:t>
            </w:r>
            <w:r>
              <w:rPr>
                <w:rFonts w:hint="eastAsia" w:ascii="Times New Roman" w:hAnsi="Times New Roman"/>
                <w:sz w:val="18"/>
                <w:szCs w:val="18"/>
              </w:rPr>
              <w:t>、</w:t>
            </w:r>
            <w:r>
              <w:rPr>
                <w:rFonts w:ascii="Times New Roman" w:hAnsi="Times New Roman"/>
                <w:sz w:val="18"/>
                <w:szCs w:val="18"/>
              </w:rPr>
              <w:t>NH</w:t>
            </w:r>
            <w:r>
              <w:rPr>
                <w:rFonts w:ascii="Times New Roman" w:hAnsi="Times New Roman"/>
                <w:sz w:val="18"/>
                <w:szCs w:val="18"/>
                <w:vertAlign w:val="superscript"/>
              </w:rPr>
              <w:t>4+</w:t>
            </w:r>
            <w:r>
              <w:rPr>
                <w:rFonts w:hint="eastAsia" w:ascii="Times New Roman" w:hAnsi="Times New Roman"/>
                <w:sz w:val="18"/>
                <w:szCs w:val="18"/>
              </w:rPr>
              <w:t>、</w:t>
            </w:r>
            <w:r>
              <w:rPr>
                <w:rFonts w:ascii="Times New Roman" w:hAnsi="Times New Roman"/>
                <w:sz w:val="18"/>
                <w:szCs w:val="18"/>
              </w:rPr>
              <w:t>NO</w:t>
            </w:r>
            <w:r>
              <w:rPr>
                <w:rFonts w:ascii="Times New Roman" w:hAnsi="Times New Roman"/>
                <w:sz w:val="18"/>
                <w:szCs w:val="18"/>
                <w:vertAlign w:val="superscript"/>
              </w:rPr>
              <w:t>3-</w:t>
            </w:r>
            <w:r>
              <w:rPr>
                <w:rFonts w:hint="eastAsia" w:ascii="Times New Roman" w:hAnsi="Times New Roman"/>
                <w:sz w:val="18"/>
                <w:szCs w:val="18"/>
              </w:rPr>
              <w:t>、有机氯、其他金属、其他氮化合物、酚类、磷酸盐、</w:t>
            </w:r>
            <w:r>
              <w:rPr>
                <w:rFonts w:ascii="Times New Roman" w:hAnsi="Times New Roman"/>
                <w:sz w:val="18"/>
                <w:szCs w:val="18"/>
              </w:rPr>
              <w:t>SO</w:t>
            </w:r>
            <w:r>
              <w:rPr>
                <w:rFonts w:ascii="Times New Roman" w:hAnsi="Times New Roman"/>
                <w:sz w:val="18"/>
                <w:szCs w:val="18"/>
                <w:vertAlign w:val="subscript"/>
              </w:rPr>
              <w:t>4</w:t>
            </w:r>
            <w:r>
              <w:rPr>
                <w:rFonts w:ascii="Times New Roman" w:hAnsi="Times New Roman"/>
                <w:sz w:val="18"/>
                <w:szCs w:val="18"/>
                <w:vertAlign w:val="superscript"/>
              </w:rPr>
              <w:t>2-</w:t>
            </w:r>
            <w:r>
              <w:rPr>
                <w:rFonts w:hint="eastAsia" w:ascii="Times New Roman" w:hAnsi="Times New Roman"/>
                <w:sz w:val="18"/>
                <w:szCs w:val="18"/>
              </w:rPr>
              <w:t>、悬浮物。</w:t>
            </w:r>
          </w:p>
          <w:p>
            <w:pPr>
              <w:spacing w:line="360" w:lineRule="auto"/>
              <w:ind w:left="180" w:hanging="180" w:hangingChars="100"/>
              <w:jc w:val="center"/>
              <w:rPr>
                <w:rFonts w:ascii="Times New Roman" w:hAnsi="Times New Roman"/>
                <w:sz w:val="18"/>
                <w:szCs w:val="18"/>
              </w:rPr>
            </w:pPr>
            <w:r>
              <w:rPr>
                <w:rFonts w:ascii="Times New Roman" w:hAnsi="Times New Roman"/>
                <w:sz w:val="18"/>
                <w:szCs w:val="18"/>
                <w:vertAlign w:val="superscript"/>
              </w:rPr>
              <w:t>e</w:t>
            </w:r>
            <w:r>
              <w:rPr>
                <w:rFonts w:ascii="Times New Roman" w:hAnsi="Times New Roman"/>
                <w:sz w:val="18"/>
                <w:szCs w:val="18"/>
              </w:rPr>
              <w:t xml:space="preserve">  </w:t>
            </w:r>
            <w:r>
              <w:rPr>
                <w:rFonts w:hint="eastAsia" w:ascii="Times New Roman" w:hAnsi="Times New Roman"/>
                <w:sz w:val="18"/>
                <w:szCs w:val="18"/>
              </w:rPr>
              <w:t>例如，矿物废物、工业混合废物、城市固体废物、有毒废物。</w:t>
            </w:r>
          </w:p>
          <w:p>
            <w:pPr>
              <w:spacing w:line="360" w:lineRule="auto"/>
              <w:ind w:left="180" w:hanging="180" w:hangingChars="100"/>
              <w:jc w:val="center"/>
              <w:rPr>
                <w:rFonts w:ascii="Times New Roman" w:hAnsi="Times New Roman"/>
                <w:sz w:val="18"/>
                <w:szCs w:val="18"/>
              </w:rPr>
            </w:pPr>
            <w:r>
              <w:rPr>
                <w:rFonts w:ascii="Times New Roman" w:hAnsi="Times New Roman"/>
                <w:sz w:val="18"/>
                <w:szCs w:val="18"/>
                <w:vertAlign w:val="superscript"/>
              </w:rPr>
              <w:t>f</w:t>
            </w:r>
            <w:r>
              <w:rPr>
                <w:rFonts w:ascii="Times New Roman" w:hAnsi="Times New Roman"/>
                <w:sz w:val="18"/>
                <w:szCs w:val="18"/>
              </w:rPr>
              <w:t xml:space="preserve">  </w:t>
            </w:r>
            <w:r>
              <w:rPr>
                <w:rFonts w:hint="eastAsia" w:ascii="Times New Roman" w:hAnsi="Times New Roman"/>
                <w:sz w:val="18"/>
                <w:szCs w:val="18"/>
              </w:rPr>
              <w:t>例如，噪声、辐射、振动、恶臭、余热。</w:t>
            </w:r>
          </w:p>
        </w:tc>
      </w:tr>
    </w:tbl>
    <w:p>
      <w:pPr>
        <w:spacing w:line="360" w:lineRule="auto"/>
        <w:jc w:val="center"/>
        <w:rPr>
          <w:rFonts w:ascii="Times New Roman" w:hAnsi="Times New Roman"/>
          <w:sz w:val="18"/>
          <w:szCs w:val="18"/>
        </w:rPr>
      </w:pPr>
    </w:p>
    <w:p>
      <w:pPr>
        <w:spacing w:before="156" w:beforeLines="50" w:line="360" w:lineRule="auto"/>
        <w:jc w:val="center"/>
        <w:rPr>
          <w:rFonts w:ascii="Times New Roman" w:hAnsi="Times New Roman"/>
          <w:b/>
          <w:sz w:val="18"/>
          <w:szCs w:val="18"/>
        </w:rPr>
      </w:pPr>
    </w:p>
    <w:p>
      <w:pPr>
        <w:spacing w:before="156" w:beforeLines="50" w:line="360" w:lineRule="auto"/>
        <w:jc w:val="center"/>
        <w:rPr>
          <w:rFonts w:ascii="Times New Roman" w:hAnsi="Times New Roman"/>
          <w:b/>
          <w:sz w:val="18"/>
          <w:szCs w:val="18"/>
        </w:rPr>
      </w:pPr>
      <w:r>
        <w:rPr>
          <w:rFonts w:hint="eastAsia" w:ascii="Times New Roman" w:hAnsi="Times New Roman"/>
          <w:b/>
          <w:sz w:val="18"/>
          <w:szCs w:val="18"/>
        </w:rPr>
        <w:t>表</w:t>
      </w:r>
      <w:r>
        <w:rPr>
          <w:rFonts w:ascii="Times New Roman" w:hAnsi="Times New Roman"/>
          <w:b/>
          <w:sz w:val="18"/>
          <w:szCs w:val="18"/>
        </w:rPr>
        <w:t xml:space="preserve">C.2 </w:t>
      </w:r>
      <w:r>
        <w:rPr>
          <w:rFonts w:hint="eastAsia" w:ascii="Times New Roman" w:hAnsi="Times New Roman"/>
          <w:b/>
          <w:sz w:val="18"/>
          <w:szCs w:val="18"/>
        </w:rPr>
        <w:t>数据清单示例</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88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tcPr>
          <w:p>
            <w:pPr>
              <w:spacing w:line="360" w:lineRule="auto"/>
              <w:jc w:val="center"/>
              <w:rPr>
                <w:rFonts w:ascii="Times New Roman" w:hAnsi="Times New Roman"/>
                <w:sz w:val="18"/>
                <w:szCs w:val="18"/>
              </w:rPr>
            </w:pPr>
            <w:r>
              <w:rPr>
                <w:rFonts w:hint="eastAsia" w:ascii="Times New Roman" w:hAnsi="Times New Roman"/>
                <w:sz w:val="18"/>
                <w:szCs w:val="18"/>
              </w:rPr>
              <w:t>参数</w:t>
            </w:r>
          </w:p>
        </w:tc>
        <w:tc>
          <w:tcPr>
            <w:tcW w:w="1887"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2841"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能量消耗（非基本流）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MJ/Kg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电力（基本流）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MJ/Kg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化石燃料（基本流）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MJ/Kg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其他能量（非基本流）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MJ/Kg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不可再生资源（非基本流）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天然气（基本流）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天然气和原料（基本流）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原油（基本流）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原油和原料（基本流）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煤炭（基本流）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煤炭和原料（基本流）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液化石油气（基本流）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水电（</w:t>
            </w:r>
            <w:r>
              <w:rPr>
                <w:rFonts w:ascii="Times New Roman" w:hAnsi="Times New Roman"/>
                <w:sz w:val="18"/>
                <w:szCs w:val="18"/>
              </w:rPr>
              <w:t>Mjel</w:t>
            </w:r>
            <w:r>
              <w:rPr>
                <w:rFonts w:hint="eastAsia" w:ascii="Times New Roman" w:hAnsi="Times New Roman"/>
                <w:sz w:val="18"/>
                <w:szCs w:val="18"/>
              </w:rPr>
              <w:t>）（基本</w:t>
            </w:r>
            <w:r>
              <w:rPr>
                <w:rFonts w:ascii="Times New Roman" w:hAnsi="Times New Roman"/>
                <w:sz w:val="18"/>
                <w:szCs w:val="18"/>
              </w:rPr>
              <w:t>LPG</w:t>
            </w:r>
            <w:r>
              <w:rPr>
                <w:rFonts w:hint="eastAsia" w:ascii="Times New Roman" w:hAnsi="Times New Roman"/>
                <w:sz w:val="18"/>
                <w:szCs w:val="18"/>
              </w:rPr>
              <w:t>）</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MJ/Kg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水（基本</w:t>
            </w:r>
            <w:r>
              <w:rPr>
                <w:rFonts w:ascii="Times New Roman" w:hAnsi="Times New Roman"/>
                <w:sz w:val="18"/>
                <w:szCs w:val="18"/>
              </w:rPr>
              <w:t>LPG</w:t>
            </w:r>
            <w:r>
              <w:rPr>
                <w:rFonts w:hint="eastAsia" w:ascii="Times New Roman" w:hAnsi="Times New Roman"/>
                <w:sz w:val="18"/>
                <w:szCs w:val="18"/>
              </w:rPr>
              <w:t>）</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Kg/Kg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p>
        </w:tc>
        <w:tc>
          <w:tcPr>
            <w:tcW w:w="1887" w:type="dxa"/>
            <w:vAlign w:val="center"/>
          </w:tcPr>
          <w:p>
            <w:pPr>
              <w:spacing w:line="360" w:lineRule="auto"/>
              <w:jc w:val="center"/>
              <w:rPr>
                <w:rFonts w:ascii="Times New Roman" w:hAnsi="Times New Roman"/>
                <w:sz w:val="18"/>
                <w:szCs w:val="18"/>
              </w:rPr>
            </w:pPr>
          </w:p>
        </w:tc>
        <w:tc>
          <w:tcPr>
            <w:tcW w:w="2841" w:type="dxa"/>
            <w:vAlign w:val="center"/>
          </w:tcPr>
          <w:p>
            <w:pPr>
              <w:spacing w:line="360" w:lineRule="auto"/>
              <w:jc w:val="center"/>
              <w:rPr>
                <w:rFonts w:ascii="Times New Roman" w:hAnsi="Times New Roman"/>
                <w:sz w:val="18"/>
                <w:szCs w:val="18"/>
              </w:rPr>
            </w:pPr>
          </w:p>
        </w:tc>
      </w:tr>
    </w:tbl>
    <w:p>
      <w:pPr>
        <w:tabs>
          <w:tab w:val="left" w:pos="3794"/>
          <w:tab w:val="left" w:pos="5681"/>
        </w:tabs>
        <w:spacing w:line="360" w:lineRule="auto"/>
        <w:jc w:val="center"/>
        <w:rPr>
          <w:rFonts w:ascii="Times New Roman" w:hAnsi="Times New Roman"/>
          <w:sz w:val="18"/>
          <w:szCs w:val="18"/>
        </w:rPr>
      </w:pPr>
      <w:r>
        <w:rPr>
          <w:rFonts w:hint="eastAsia" w:ascii="Times New Roman" w:hAnsi="Times New Roman"/>
          <w:b/>
          <w:sz w:val="18"/>
          <w:szCs w:val="18"/>
        </w:rPr>
        <w:t>表</w:t>
      </w:r>
      <w:r>
        <w:rPr>
          <w:rFonts w:ascii="Times New Roman" w:hAnsi="Times New Roman"/>
          <w:b/>
          <w:sz w:val="18"/>
          <w:szCs w:val="18"/>
        </w:rPr>
        <w:t xml:space="preserve">C.2 </w:t>
      </w:r>
      <w:r>
        <w:rPr>
          <w:rFonts w:hint="eastAsia" w:ascii="Times New Roman" w:hAnsi="Times New Roman"/>
          <w:b/>
          <w:sz w:val="18"/>
          <w:szCs w:val="18"/>
        </w:rPr>
        <w:t>数据清单示例（续）</w:t>
      </w:r>
    </w:p>
    <w:tbl>
      <w:tblPr>
        <w:tblStyle w:val="1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188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tcPr>
          <w:p>
            <w:pPr>
              <w:spacing w:line="360" w:lineRule="auto"/>
              <w:jc w:val="center"/>
              <w:rPr>
                <w:rFonts w:ascii="Times New Roman" w:hAnsi="Times New Roman"/>
                <w:sz w:val="18"/>
                <w:szCs w:val="18"/>
              </w:rPr>
            </w:pPr>
            <w:r>
              <w:rPr>
                <w:rFonts w:hint="eastAsia" w:ascii="Times New Roman" w:hAnsi="Times New Roman"/>
                <w:sz w:val="18"/>
                <w:szCs w:val="18"/>
              </w:rPr>
              <w:t>参数</w:t>
            </w:r>
          </w:p>
        </w:tc>
        <w:tc>
          <w:tcPr>
            <w:tcW w:w="1887" w:type="dxa"/>
          </w:tcPr>
          <w:p>
            <w:pPr>
              <w:spacing w:line="360" w:lineRule="auto"/>
              <w:jc w:val="center"/>
              <w:rPr>
                <w:rFonts w:ascii="Times New Roman" w:hAnsi="Times New Roman"/>
                <w:sz w:val="18"/>
                <w:szCs w:val="18"/>
              </w:rPr>
            </w:pPr>
            <w:r>
              <w:rPr>
                <w:rFonts w:hint="eastAsia" w:ascii="Times New Roman" w:hAnsi="Times New Roman"/>
                <w:sz w:val="18"/>
                <w:szCs w:val="18"/>
              </w:rPr>
              <w:t>单位</w:t>
            </w:r>
          </w:p>
        </w:tc>
        <w:tc>
          <w:tcPr>
            <w:tcW w:w="2841" w:type="dxa"/>
          </w:tcPr>
          <w:p>
            <w:pPr>
              <w:spacing w:line="360" w:lineRule="auto"/>
              <w:jc w:val="center"/>
              <w:rPr>
                <w:rFonts w:ascii="Times New Roman" w:hAnsi="Times New Roman"/>
                <w:sz w:val="18"/>
                <w:szCs w:val="18"/>
              </w:rPr>
            </w:pPr>
            <w:r>
              <w:rPr>
                <w:rFonts w:hint="eastAsia" w:ascii="Times New Roman" w:hAnsi="Times New Roman"/>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至空气的排放物（基本流）</w:t>
            </w:r>
          </w:p>
        </w:tc>
        <w:tc>
          <w:tcPr>
            <w:tcW w:w="1887" w:type="dxa"/>
            <w:vAlign w:val="center"/>
          </w:tcPr>
          <w:p>
            <w:pPr>
              <w:spacing w:line="360" w:lineRule="auto"/>
              <w:jc w:val="center"/>
              <w:rPr>
                <w:rFonts w:ascii="Times New Roman" w:hAnsi="Times New Roman"/>
                <w:sz w:val="18"/>
                <w:szCs w:val="18"/>
              </w:rPr>
            </w:pP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SO</w:t>
            </w:r>
            <w:r>
              <w:rPr>
                <w:rFonts w:ascii="Times New Roman" w:hAnsi="Times New Roman"/>
                <w:sz w:val="18"/>
                <w:szCs w:val="18"/>
                <w:vertAlign w:val="subscript"/>
              </w:rPr>
              <w:t>2</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CH</w:t>
            </w:r>
            <w:r>
              <w:rPr>
                <w:rFonts w:ascii="Times New Roman" w:hAnsi="Times New Roman"/>
                <w:sz w:val="18"/>
                <w:szCs w:val="18"/>
                <w:vertAlign w:val="subscript"/>
              </w:rPr>
              <w:t>4</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NO</w:t>
            </w:r>
            <w:r>
              <w:rPr>
                <w:rFonts w:ascii="Times New Roman" w:hAnsi="Times New Roman"/>
                <w:sz w:val="18"/>
                <w:szCs w:val="18"/>
                <w:vertAlign w:val="subscript"/>
              </w:rPr>
              <w:t>x</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CH</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ascii="Times New Roman" w:hAnsi="Times New Roman"/>
                <w:sz w:val="18"/>
                <w:szCs w:val="18"/>
              </w:rPr>
              <w:t>CO</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至水的排放物（基本流）</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化学需氧量</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生化需氧量</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总磷</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794"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总氮</w:t>
            </w:r>
          </w:p>
        </w:tc>
        <w:tc>
          <w:tcPr>
            <w:tcW w:w="1887" w:type="dxa"/>
            <w:vAlign w:val="center"/>
          </w:tcPr>
          <w:p>
            <w:pPr>
              <w:spacing w:line="360" w:lineRule="auto"/>
              <w:jc w:val="center"/>
              <w:rPr>
                <w:rFonts w:ascii="Times New Roman" w:hAnsi="Times New Roman"/>
                <w:sz w:val="18"/>
                <w:szCs w:val="18"/>
              </w:rPr>
            </w:pPr>
            <w:r>
              <w:rPr>
                <w:rFonts w:ascii="Times New Roman" w:hAnsi="Times New Roman"/>
                <w:sz w:val="18"/>
                <w:szCs w:val="18"/>
              </w:rPr>
              <w:t>g/Kg</w:t>
            </w:r>
          </w:p>
        </w:tc>
        <w:tc>
          <w:tcPr>
            <w:tcW w:w="2841" w:type="dxa"/>
            <w:vAlign w:val="center"/>
          </w:tcPr>
          <w:p>
            <w:pPr>
              <w:spacing w:line="360" w:lineRule="auto"/>
              <w:jc w:val="center"/>
              <w:rPr>
                <w:rFonts w:ascii="Times New Roman" w:hAnsi="Times New Roman"/>
                <w:sz w:val="18"/>
                <w:szCs w:val="18"/>
              </w:rPr>
            </w:pPr>
          </w:p>
        </w:tc>
      </w:tr>
    </w:tbl>
    <w:p>
      <w:pPr>
        <w:spacing w:line="360" w:lineRule="auto"/>
        <w:jc w:val="center"/>
        <w:rPr>
          <w:rFonts w:ascii="Times New Roman" w:hAnsi="Times New Roman"/>
          <w:szCs w:val="21"/>
        </w:rPr>
      </w:pPr>
    </w:p>
    <w:p>
      <w:pPr>
        <w:spacing w:line="360" w:lineRule="auto"/>
        <w:jc w:val="center"/>
        <w:rPr>
          <w:rFonts w:ascii="Times New Roman" w:hAnsi="Times New Roman"/>
          <w:sz w:val="24"/>
          <w:szCs w:val="21"/>
        </w:rPr>
      </w:pPr>
    </w:p>
    <w:p>
      <w:pPr>
        <w:spacing w:line="360" w:lineRule="auto"/>
        <w:jc w:val="left"/>
        <w:rPr>
          <w:rFonts w:ascii="Times New Roman" w:hAnsi="Times New Roman"/>
          <w:sz w:val="24"/>
          <w:szCs w:val="21"/>
        </w:rPr>
      </w:pPr>
    </w:p>
    <w:p>
      <w:pPr>
        <w:widowControl/>
        <w:spacing w:line="360" w:lineRule="auto"/>
        <w:rPr>
          <w:rFonts w:ascii="Times New Roman" w:hAnsi="Times New Roman"/>
          <w:sz w:val="24"/>
          <w:szCs w:val="21"/>
        </w:rPr>
      </w:pPr>
      <w:r>
        <w:rPr>
          <w:rFonts w:ascii="Times New Roman" w:hAnsi="Times New Roman"/>
          <w:sz w:val="24"/>
          <w:szCs w:val="21"/>
        </w:rPr>
        <w:t xml:space="preserve"> </w:t>
      </w:r>
    </w:p>
    <w:p>
      <w:pPr>
        <w:widowControl/>
        <w:spacing w:line="360" w:lineRule="auto"/>
        <w:rPr>
          <w:rFonts w:ascii="Times New Roman" w:hAnsi="Times New Roman"/>
          <w:sz w:val="24"/>
          <w:szCs w:val="21"/>
        </w:rPr>
      </w:pPr>
    </w:p>
    <w:p>
      <w:pPr>
        <w:widowControl/>
        <w:spacing w:line="360" w:lineRule="auto"/>
        <w:rPr>
          <w:rFonts w:ascii="Times New Roman" w:hAnsi="Times New Roman"/>
          <w:sz w:val="24"/>
          <w:szCs w:val="21"/>
        </w:rPr>
      </w:pPr>
    </w:p>
    <w:p>
      <w:pPr>
        <w:widowControl/>
        <w:spacing w:line="360" w:lineRule="auto"/>
        <w:rPr>
          <w:rFonts w:ascii="Times New Roman" w:hAnsi="Times New Roman"/>
          <w:sz w:val="24"/>
          <w:szCs w:val="21"/>
        </w:rPr>
      </w:pPr>
    </w:p>
    <w:p>
      <w:pPr>
        <w:widowControl/>
        <w:spacing w:line="360" w:lineRule="auto"/>
        <w:jc w:val="center"/>
        <w:rPr>
          <w:rFonts w:ascii="黑体" w:hAnsi="黑体" w:eastAsia="黑体"/>
          <w:sz w:val="32"/>
          <w:szCs w:val="24"/>
        </w:rPr>
      </w:pPr>
      <w:r>
        <w:rPr>
          <w:rFonts w:hint="eastAsia" w:ascii="黑体" w:hAnsi="黑体" w:eastAsia="黑体"/>
          <w:sz w:val="32"/>
          <w:szCs w:val="24"/>
        </w:rPr>
        <w:t>附录D</w:t>
      </w:r>
    </w:p>
    <w:p>
      <w:pPr>
        <w:widowControl/>
        <w:spacing w:line="360" w:lineRule="auto"/>
        <w:jc w:val="center"/>
        <w:rPr>
          <w:rFonts w:ascii="黑体" w:hAnsi="黑体" w:eastAsia="黑体"/>
          <w:sz w:val="32"/>
          <w:szCs w:val="24"/>
        </w:rPr>
      </w:pPr>
      <w:r>
        <w:rPr>
          <w:rFonts w:hint="eastAsia" w:ascii="黑体" w:hAnsi="黑体" w:eastAsia="黑体"/>
          <w:sz w:val="32"/>
          <w:szCs w:val="24"/>
        </w:rPr>
        <w:t>（规范性附录）</w:t>
      </w:r>
    </w:p>
    <w:p>
      <w:pPr>
        <w:widowControl/>
        <w:spacing w:line="360" w:lineRule="auto"/>
        <w:jc w:val="center"/>
        <w:rPr>
          <w:rFonts w:ascii="黑体" w:hAnsi="黑体" w:eastAsia="黑体"/>
          <w:sz w:val="32"/>
          <w:szCs w:val="24"/>
        </w:rPr>
      </w:pPr>
      <w:r>
        <w:rPr>
          <w:rFonts w:hint="eastAsia" w:ascii="黑体" w:hAnsi="黑体" w:eastAsia="黑体"/>
          <w:sz w:val="32"/>
          <w:szCs w:val="24"/>
        </w:rPr>
        <w:t>产品绿色设计改进方案优先排序方法及示例</w:t>
      </w:r>
    </w:p>
    <w:p>
      <w:pPr>
        <w:widowControl/>
        <w:spacing w:line="360" w:lineRule="auto"/>
        <w:rPr>
          <w:rFonts w:ascii="黑体" w:hAnsi="黑体" w:eastAsia="黑体"/>
          <w:szCs w:val="18"/>
        </w:rPr>
      </w:pPr>
      <w:r>
        <w:rPr>
          <w:rFonts w:hint="eastAsia" w:ascii="黑体" w:hAnsi="黑体" w:eastAsia="黑体"/>
          <w:szCs w:val="18"/>
        </w:rPr>
        <w:t>D.1 排序方法</w:t>
      </w:r>
    </w:p>
    <w:p>
      <w:pPr>
        <w:widowControl/>
        <w:spacing w:line="360" w:lineRule="auto"/>
        <w:ind w:firstLine="420" w:firstLineChars="200"/>
        <w:rPr>
          <w:rFonts w:ascii="Times New Roman" w:hAnsi="Times New Roman"/>
          <w:szCs w:val="21"/>
        </w:rPr>
      </w:pPr>
      <w:r>
        <w:rPr>
          <w:rFonts w:hint="eastAsia" w:ascii="Times New Roman" w:hAnsi="Times New Roman"/>
          <w:szCs w:val="21"/>
        </w:rPr>
        <w:t>产品绿色设计改进方案优先排序方法步骤如下：</w:t>
      </w:r>
    </w:p>
    <w:p>
      <w:pPr>
        <w:widowControl/>
        <w:spacing w:line="360" w:lineRule="auto"/>
        <w:ind w:firstLine="420" w:firstLineChars="200"/>
        <w:rPr>
          <w:rFonts w:ascii="Times New Roman" w:hAnsi="Times New Roman"/>
          <w:szCs w:val="21"/>
        </w:rPr>
      </w:pPr>
      <w:r>
        <w:rPr>
          <w:rFonts w:hint="eastAsia" w:ascii="Times New Roman" w:hAnsi="Times New Roman"/>
          <w:szCs w:val="21"/>
        </w:rPr>
        <w:t>第一步：将所有方案划分为生产类、设计类和管理类三类方案；</w:t>
      </w:r>
    </w:p>
    <w:p>
      <w:pPr>
        <w:widowControl/>
        <w:spacing w:line="360" w:lineRule="auto"/>
        <w:ind w:firstLine="420" w:firstLineChars="200"/>
        <w:rPr>
          <w:rFonts w:ascii="Times New Roman" w:hAnsi="Times New Roman"/>
          <w:szCs w:val="21"/>
        </w:rPr>
      </w:pPr>
      <w:r>
        <w:rPr>
          <w:rFonts w:hint="eastAsia" w:ascii="Times New Roman" w:hAnsi="Times New Roman"/>
          <w:szCs w:val="21"/>
        </w:rPr>
        <w:t>第二步：选取方案的评价指标，本标准的评价指标包括：</w:t>
      </w:r>
    </w:p>
    <w:p>
      <w:pPr>
        <w:widowControl/>
        <w:spacing w:line="360" w:lineRule="auto"/>
        <w:ind w:firstLine="420" w:firstLineChars="200"/>
        <w:rPr>
          <w:rFonts w:ascii="Times New Roman" w:hAnsi="Times New Roman"/>
          <w:szCs w:val="21"/>
        </w:rPr>
      </w:pPr>
      <w:r>
        <w:rPr>
          <w:rFonts w:hint="eastAsia" w:ascii="Times New Roman" w:hAnsi="Times New Roman"/>
          <w:szCs w:val="21"/>
        </w:rPr>
        <w:t>——技术可行性，评估实施某方案的技术可行性；</w:t>
      </w:r>
    </w:p>
    <w:p>
      <w:pPr>
        <w:widowControl/>
        <w:spacing w:line="360" w:lineRule="auto"/>
        <w:ind w:firstLine="420" w:firstLineChars="200"/>
        <w:rPr>
          <w:rFonts w:ascii="Times New Roman" w:hAnsi="Times New Roman"/>
          <w:szCs w:val="21"/>
        </w:rPr>
      </w:pPr>
      <w:r>
        <w:rPr>
          <w:rFonts w:hint="eastAsia" w:ascii="Times New Roman" w:hAnsi="Times New Roman"/>
          <w:szCs w:val="21"/>
        </w:rPr>
        <w:t>——绿色设计改进，判断一个方案的实施能够对某个重要环境要素产生何种程度的作用；</w:t>
      </w:r>
    </w:p>
    <w:p>
      <w:pPr>
        <w:widowControl/>
        <w:spacing w:line="360" w:lineRule="auto"/>
        <w:ind w:firstLine="420" w:firstLineChars="200"/>
        <w:rPr>
          <w:rFonts w:ascii="Times New Roman" w:hAnsi="Times New Roman"/>
          <w:szCs w:val="21"/>
        </w:rPr>
      </w:pPr>
      <w:r>
        <w:rPr>
          <w:rFonts w:hint="eastAsia" w:ascii="Times New Roman" w:hAnsi="Times New Roman"/>
          <w:szCs w:val="21"/>
        </w:rPr>
        <w:t>——经济效益，评估一个组织实施某特定方案所产生的财务影响；</w:t>
      </w:r>
    </w:p>
    <w:p>
      <w:pPr>
        <w:widowControl/>
        <w:spacing w:line="360" w:lineRule="auto"/>
        <w:ind w:firstLine="420" w:firstLineChars="200"/>
        <w:rPr>
          <w:rFonts w:ascii="Times New Roman" w:hAnsi="Times New Roman"/>
          <w:szCs w:val="21"/>
        </w:rPr>
      </w:pPr>
      <w:r>
        <w:rPr>
          <w:rFonts w:hint="eastAsia" w:ascii="Times New Roman" w:hAnsi="Times New Roman"/>
          <w:szCs w:val="21"/>
        </w:rPr>
        <w:t>——顾客增加值（CVA）影响，表示因实施了某些方案而提高消费者认同增加值；</w:t>
      </w:r>
    </w:p>
    <w:p>
      <w:pPr>
        <w:widowControl/>
        <w:spacing w:line="360" w:lineRule="auto"/>
        <w:ind w:firstLine="420" w:firstLineChars="200"/>
        <w:rPr>
          <w:rFonts w:ascii="Times New Roman" w:hAnsi="Times New Roman"/>
          <w:szCs w:val="21"/>
        </w:rPr>
      </w:pPr>
      <w:r>
        <w:rPr>
          <w:rFonts w:hint="eastAsia" w:ascii="Times New Roman" w:hAnsi="Times New Roman"/>
          <w:szCs w:val="21"/>
        </w:rPr>
        <w:t>——生产管理，估计实施某方案可能对生产计划或者其他生产管理者产生的影响。</w:t>
      </w:r>
    </w:p>
    <w:p>
      <w:pPr>
        <w:widowControl/>
        <w:spacing w:line="360" w:lineRule="auto"/>
        <w:ind w:firstLine="420" w:firstLineChars="200"/>
        <w:rPr>
          <w:rFonts w:ascii="Times New Roman" w:hAnsi="Times New Roman"/>
          <w:szCs w:val="21"/>
        </w:rPr>
      </w:pPr>
      <w:r>
        <w:rPr>
          <w:rFonts w:hint="eastAsia" w:ascii="Times New Roman" w:hAnsi="Times New Roman"/>
          <w:szCs w:val="21"/>
        </w:rPr>
        <w:t>第三步：各指标的等级评分准则如表D.1所示。评估人员依据准则对各方案在不同指标上的表现进行打分。</w:t>
      </w:r>
    </w:p>
    <w:p>
      <w:pPr>
        <w:widowControl/>
        <w:spacing w:line="360" w:lineRule="auto"/>
        <w:ind w:firstLine="420" w:firstLineChars="200"/>
        <w:rPr>
          <w:rFonts w:ascii="Times New Roman" w:hAnsi="Times New Roman"/>
          <w:szCs w:val="21"/>
        </w:rPr>
      </w:pPr>
      <w:r>
        <w:rPr>
          <w:rFonts w:hint="eastAsia" w:ascii="Times New Roman" w:hAnsi="Times New Roman"/>
          <w:szCs w:val="21"/>
        </w:rPr>
        <w:t>第四步：加总每个方案在5个指标上的得分，得到每个方案的总评分。</w:t>
      </w:r>
    </w:p>
    <w:p>
      <w:pPr>
        <w:widowControl/>
        <w:spacing w:line="360" w:lineRule="auto"/>
        <w:ind w:firstLine="420" w:firstLineChars="200"/>
        <w:rPr>
          <w:rFonts w:ascii="Times New Roman" w:hAnsi="Times New Roman"/>
          <w:szCs w:val="21"/>
        </w:rPr>
      </w:pPr>
      <w:r>
        <w:rPr>
          <w:rFonts w:hint="eastAsia" w:ascii="Times New Roman" w:hAnsi="Times New Roman"/>
          <w:szCs w:val="21"/>
        </w:rPr>
        <w:t>第五步：对每个方案的总评分进行标准化，方法为总评分减去10。</w:t>
      </w:r>
    </w:p>
    <w:p>
      <w:pPr>
        <w:widowControl/>
        <w:spacing w:line="360" w:lineRule="auto"/>
        <w:ind w:firstLine="420" w:firstLineChars="200"/>
        <w:rPr>
          <w:rFonts w:ascii="Times New Roman" w:hAnsi="Times New Roman"/>
          <w:szCs w:val="21"/>
        </w:rPr>
      </w:pPr>
      <w:r>
        <w:rPr>
          <w:rFonts w:hint="eastAsia" w:ascii="Times New Roman" w:hAnsi="Times New Roman"/>
          <w:szCs w:val="21"/>
        </w:rPr>
        <w:t>第六步：经过标准化后的方案被分成“生产、设计、管理”三组，绘制分组的实施者优先排序图，分别针对制造工程师、设计工程师或管理人员等实施者。</w:t>
      </w:r>
    </w:p>
    <w:p>
      <w:pPr>
        <w:widowControl/>
        <w:spacing w:line="360" w:lineRule="auto"/>
        <w:ind w:firstLine="420" w:firstLineChars="200"/>
        <w:rPr>
          <w:rFonts w:ascii="Times New Roman" w:hAnsi="Times New Roman"/>
          <w:szCs w:val="21"/>
        </w:rPr>
      </w:pPr>
      <w:r>
        <w:rPr>
          <w:rFonts w:hint="eastAsia" w:ascii="Times New Roman" w:hAnsi="Times New Roman"/>
          <w:szCs w:val="21"/>
        </w:rPr>
        <w:t>第七步：将改进方案按照生命周期阶段分组（产品生产和产品包装2个阶段），绘制生命周期阶段优先排序图。</w:t>
      </w:r>
    </w:p>
    <w:p>
      <w:pPr>
        <w:widowControl/>
        <w:spacing w:line="360" w:lineRule="auto"/>
        <w:ind w:firstLine="360" w:firstLineChars="200"/>
        <w:jc w:val="center"/>
        <w:rPr>
          <w:rFonts w:ascii="黑体" w:hAnsi="黑体" w:eastAsia="黑体"/>
          <w:sz w:val="18"/>
          <w:szCs w:val="18"/>
        </w:rPr>
      </w:pPr>
      <w:r>
        <w:rPr>
          <w:rFonts w:hint="eastAsia" w:ascii="黑体" w:hAnsi="黑体" w:eastAsia="黑体"/>
          <w:sz w:val="18"/>
          <w:szCs w:val="18"/>
        </w:rPr>
        <w:t xml:space="preserve">表D.1 </w:t>
      </w:r>
      <w:r>
        <w:rPr>
          <w:rFonts w:ascii="黑体" w:hAnsi="黑体" w:eastAsia="黑体"/>
          <w:sz w:val="18"/>
          <w:szCs w:val="18"/>
        </w:rPr>
        <w:t xml:space="preserve"> </w:t>
      </w:r>
      <w:r>
        <w:rPr>
          <w:rFonts w:hint="eastAsia" w:ascii="黑体" w:hAnsi="黑体" w:eastAsia="黑体"/>
          <w:sz w:val="18"/>
          <w:szCs w:val="18"/>
        </w:rPr>
        <w:t>指标等级评分准则</w:t>
      </w:r>
    </w:p>
    <w:tbl>
      <w:tblPr>
        <w:tblStyle w:val="12"/>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黑体" w:hAnsi="黑体" w:eastAsia="黑体"/>
                <w:sz w:val="18"/>
                <w:szCs w:val="18"/>
              </w:rPr>
            </w:pPr>
            <w:r>
              <w:rPr>
                <w:rFonts w:hint="eastAsia" w:ascii="Times New Roman" w:hAnsi="Times New Roman"/>
                <w:sz w:val="18"/>
                <w:szCs w:val="18"/>
              </w:rPr>
              <w:t>符号</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评价</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Times New Roman" w:hAnsi="Times New Roman"/>
                <w:sz w:val="18"/>
                <w:szCs w:val="18"/>
              </w:rPr>
            </w:pPr>
            <w:r>
              <w:rPr>
                <w:rFonts w:hint="eastAsia" w:ascii="Times New Roman" w:hAnsi="Times New Roman"/>
                <w:sz w:val="18"/>
                <w:szCs w:val="18"/>
              </w:rPr>
              <w:t>++</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很好/很高</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Times New Roman" w:hAnsi="Times New Roman"/>
                <w:sz w:val="18"/>
                <w:szCs w:val="18"/>
              </w:rPr>
            </w:pPr>
            <w:r>
              <w:rPr>
                <w:rFonts w:hint="eastAsia" w:ascii="Times New Roman" w:hAnsi="Times New Roman"/>
                <w:sz w:val="18"/>
                <w:szCs w:val="18"/>
              </w:rPr>
              <w:t>+</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好/高</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Times New Roman" w:hAnsi="Times New Roman"/>
                <w:sz w:val="18"/>
                <w:szCs w:val="18"/>
              </w:rPr>
            </w:pPr>
            <w:r>
              <w:rPr>
                <w:rFonts w:hint="eastAsia" w:ascii="Times New Roman" w:hAnsi="Times New Roman"/>
                <w:sz w:val="18"/>
                <w:szCs w:val="18"/>
              </w:rPr>
              <w:t>+/-</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中等、一般</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Times New Roman" w:hAnsi="Times New Roman"/>
                <w:sz w:val="18"/>
                <w:szCs w:val="18"/>
              </w:rPr>
            </w:pPr>
            <w:r>
              <w:rPr>
                <w:rFonts w:hint="eastAsia" w:ascii="Times New Roman" w:hAnsi="Times New Roman"/>
                <w:sz w:val="18"/>
                <w:szCs w:val="18"/>
              </w:rPr>
              <w:t>-</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差/低</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tcPr>
          <w:p>
            <w:pPr>
              <w:widowControl/>
              <w:spacing w:line="360" w:lineRule="auto"/>
              <w:jc w:val="center"/>
              <w:rPr>
                <w:rFonts w:ascii="黑体" w:hAnsi="黑体" w:eastAsia="黑体"/>
                <w:sz w:val="18"/>
                <w:szCs w:val="18"/>
              </w:rPr>
            </w:pPr>
            <w:r>
              <w:rPr>
                <w:rFonts w:hint="eastAsia" w:ascii="Times New Roman" w:hAnsi="Times New Roman"/>
                <w:sz w:val="18"/>
                <w:szCs w:val="18"/>
              </w:rPr>
              <w:t>--</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很差/很低</w:t>
            </w:r>
          </w:p>
        </w:tc>
        <w:tc>
          <w:tcPr>
            <w:tcW w:w="2841" w:type="dxa"/>
          </w:tcPr>
          <w:p>
            <w:pPr>
              <w:widowControl/>
              <w:spacing w:line="360" w:lineRule="auto"/>
              <w:jc w:val="center"/>
              <w:rPr>
                <w:rFonts w:ascii="黑体" w:hAnsi="黑体" w:eastAsia="黑体"/>
                <w:sz w:val="18"/>
                <w:szCs w:val="18"/>
              </w:rPr>
            </w:pPr>
            <w:r>
              <w:rPr>
                <w:rFonts w:hint="eastAsia" w:ascii="Times New Roman" w:hAnsi="Times New Roman"/>
                <w:sz w:val="18"/>
                <w:szCs w:val="18"/>
              </w:rPr>
              <w:t>0</w:t>
            </w:r>
          </w:p>
        </w:tc>
      </w:tr>
    </w:tbl>
    <w:p>
      <w:pPr>
        <w:widowControl/>
        <w:spacing w:line="360" w:lineRule="auto"/>
        <w:ind w:firstLine="420" w:firstLineChars="200"/>
        <w:jc w:val="center"/>
        <w:rPr>
          <w:rFonts w:ascii="黑体" w:hAnsi="黑体" w:eastAsia="黑体"/>
          <w:szCs w:val="21"/>
        </w:rPr>
      </w:pPr>
    </w:p>
    <w:p>
      <w:pPr>
        <w:widowControl/>
        <w:spacing w:line="360" w:lineRule="auto"/>
        <w:ind w:firstLine="420" w:firstLineChars="200"/>
        <w:rPr>
          <w:rFonts w:ascii="Times New Roman" w:hAnsi="Times New Roman"/>
          <w:szCs w:val="21"/>
        </w:rPr>
      </w:pPr>
      <w:r>
        <w:rPr>
          <w:rFonts w:hint="eastAsia" w:ascii="Times New Roman" w:hAnsi="Times New Roman"/>
          <w:szCs w:val="21"/>
        </w:rPr>
        <w:t>D.2 排序示例</w:t>
      </w:r>
    </w:p>
    <w:p>
      <w:pPr>
        <w:widowControl/>
        <w:spacing w:line="360" w:lineRule="auto"/>
        <w:ind w:firstLine="420" w:firstLineChars="200"/>
        <w:rPr>
          <w:rFonts w:ascii="Times New Roman" w:hAnsi="Times New Roman"/>
          <w:szCs w:val="21"/>
        </w:rPr>
      </w:pPr>
      <w:r>
        <w:rPr>
          <w:rFonts w:hint="eastAsia" w:ascii="Times New Roman" w:hAnsi="Times New Roman"/>
          <w:szCs w:val="21"/>
        </w:rPr>
        <w:t>D.2.1 改进方案</w:t>
      </w:r>
    </w:p>
    <w:p>
      <w:pPr>
        <w:widowControl/>
        <w:spacing w:line="360" w:lineRule="auto"/>
        <w:ind w:firstLine="420" w:firstLineChars="200"/>
        <w:rPr>
          <w:rFonts w:ascii="Times New Roman" w:hAnsi="Times New Roman"/>
          <w:szCs w:val="21"/>
        </w:rPr>
      </w:pPr>
      <w:r>
        <w:rPr>
          <w:rFonts w:hint="eastAsia" w:ascii="Times New Roman" w:hAnsi="Times New Roman"/>
          <w:szCs w:val="21"/>
        </w:rPr>
        <w:t>依据某金属锂产品生命周期评价结果提出的一些建议如下：</w:t>
      </w:r>
    </w:p>
    <w:p>
      <w:pPr>
        <w:widowControl/>
        <w:spacing w:line="360" w:lineRule="auto"/>
        <w:ind w:firstLine="420" w:firstLineChars="200"/>
        <w:rPr>
          <w:rFonts w:ascii="Times New Roman" w:hAnsi="Times New Roman"/>
          <w:szCs w:val="21"/>
        </w:rPr>
      </w:pPr>
      <w:r>
        <w:rPr>
          <w:rFonts w:hint="eastAsia" w:ascii="Times New Roman" w:hAnsi="Times New Roman"/>
          <w:szCs w:val="21"/>
        </w:rPr>
        <w:t>a） 生产制造改进方案包括：</w:t>
      </w:r>
    </w:p>
    <w:p>
      <w:pPr>
        <w:widowControl/>
        <w:spacing w:line="360" w:lineRule="auto"/>
        <w:ind w:firstLine="420" w:firstLineChars="200"/>
        <w:rPr>
          <w:rFonts w:ascii="Times New Roman" w:hAnsi="Times New Roman"/>
          <w:szCs w:val="21"/>
        </w:rPr>
      </w:pPr>
      <w:r>
        <w:rPr>
          <w:rFonts w:hint="eastAsia" w:ascii="Times New Roman" w:hAnsi="Times New Roman"/>
          <w:szCs w:val="21"/>
        </w:rPr>
        <w:t>　　——尽量使用高品位氯化锂，以减少单位产品的能源消耗；</w:t>
      </w:r>
    </w:p>
    <w:p>
      <w:pPr>
        <w:widowControl/>
        <w:spacing w:line="360" w:lineRule="auto"/>
        <w:ind w:firstLine="420" w:firstLineChars="200"/>
        <w:rPr>
          <w:rFonts w:ascii="Times New Roman" w:hAnsi="Times New Roman"/>
          <w:szCs w:val="21"/>
        </w:rPr>
      </w:pPr>
      <w:r>
        <w:rPr>
          <w:rFonts w:hint="eastAsia" w:ascii="Times New Roman" w:hAnsi="Times New Roman"/>
          <w:szCs w:val="21"/>
        </w:rPr>
        <w:t>　　——与供应商合作，尽可能减少进入工厂的包装材料种类，以便开展固体废弃物的再循环；</w:t>
      </w:r>
    </w:p>
    <w:p>
      <w:pPr>
        <w:widowControl/>
        <w:spacing w:line="360" w:lineRule="auto"/>
        <w:ind w:firstLine="420" w:firstLineChars="200"/>
        <w:rPr>
          <w:rFonts w:ascii="Times New Roman" w:hAnsi="Times New Roman"/>
          <w:szCs w:val="21"/>
        </w:rPr>
      </w:pPr>
      <w:r>
        <w:rPr>
          <w:rFonts w:hint="eastAsia" w:ascii="Times New Roman" w:hAnsi="Times New Roman"/>
          <w:szCs w:val="21"/>
        </w:rPr>
        <w:t>　　——开发可重复使用的产品包装箱或包装桶，使其满足防护标准并能最终再循环。</w:t>
      </w:r>
    </w:p>
    <w:p>
      <w:pPr>
        <w:widowControl/>
        <w:spacing w:line="360" w:lineRule="auto"/>
        <w:ind w:firstLine="420" w:firstLineChars="200"/>
        <w:rPr>
          <w:rFonts w:ascii="Times New Roman" w:hAnsi="Times New Roman"/>
          <w:szCs w:val="21"/>
        </w:rPr>
      </w:pPr>
      <w:r>
        <w:rPr>
          <w:rFonts w:hint="eastAsia" w:ascii="Times New Roman" w:hAnsi="Times New Roman"/>
          <w:szCs w:val="21"/>
        </w:rPr>
        <w:t>b） 设计改进方案包括：</w:t>
      </w:r>
    </w:p>
    <w:p>
      <w:pPr>
        <w:widowControl/>
        <w:spacing w:line="360" w:lineRule="auto"/>
        <w:ind w:firstLine="420" w:firstLineChars="200"/>
        <w:rPr>
          <w:rFonts w:ascii="Times New Roman" w:hAnsi="Times New Roman"/>
          <w:szCs w:val="21"/>
        </w:rPr>
      </w:pPr>
      <w:r>
        <w:rPr>
          <w:rFonts w:hint="eastAsia" w:ascii="Times New Roman" w:hAnsi="Times New Roman"/>
          <w:szCs w:val="21"/>
        </w:rPr>
        <w:t>　　——采取自动化包装系统，提高人工效率；</w:t>
      </w:r>
    </w:p>
    <w:p>
      <w:pPr>
        <w:widowControl/>
        <w:spacing w:line="360" w:lineRule="auto"/>
        <w:ind w:firstLine="420" w:firstLineChars="200"/>
        <w:rPr>
          <w:rFonts w:ascii="Times New Roman" w:hAnsi="Times New Roman"/>
          <w:szCs w:val="21"/>
        </w:rPr>
      </w:pPr>
      <w:r>
        <w:rPr>
          <w:rFonts w:hint="eastAsia" w:ascii="Times New Roman" w:hAnsi="Times New Roman"/>
          <w:szCs w:val="21"/>
        </w:rPr>
        <w:t>　　——采用多阳极电解与高真空低温蒸馏技术，减少单位产品的能源消耗。</w:t>
      </w:r>
    </w:p>
    <w:p>
      <w:pPr>
        <w:widowControl/>
        <w:spacing w:line="360" w:lineRule="auto"/>
        <w:ind w:firstLine="420" w:firstLineChars="200"/>
        <w:rPr>
          <w:rFonts w:ascii="Times New Roman" w:hAnsi="Times New Roman"/>
          <w:szCs w:val="21"/>
        </w:rPr>
      </w:pPr>
      <w:r>
        <w:rPr>
          <w:rFonts w:hint="eastAsia" w:ascii="Times New Roman" w:hAnsi="Times New Roman"/>
          <w:szCs w:val="21"/>
        </w:rPr>
        <w:t>　　——采用尾气多级吸收净化技术，减少废气排放。</w:t>
      </w:r>
    </w:p>
    <w:p>
      <w:pPr>
        <w:widowControl/>
        <w:spacing w:line="360" w:lineRule="auto"/>
        <w:ind w:firstLine="420" w:firstLineChars="200"/>
        <w:rPr>
          <w:rFonts w:ascii="Times New Roman" w:hAnsi="Times New Roman"/>
          <w:szCs w:val="21"/>
        </w:rPr>
      </w:pPr>
      <w:r>
        <w:rPr>
          <w:rFonts w:hint="eastAsia" w:ascii="Times New Roman" w:hAnsi="Times New Roman"/>
          <w:szCs w:val="21"/>
        </w:rPr>
        <w:t>c） 产品管理改进方案包括：</w:t>
      </w:r>
    </w:p>
    <w:p>
      <w:pPr>
        <w:widowControl/>
        <w:spacing w:line="360" w:lineRule="auto"/>
        <w:ind w:firstLine="420" w:firstLineChars="200"/>
        <w:rPr>
          <w:rFonts w:ascii="Times New Roman" w:hAnsi="Times New Roman"/>
          <w:szCs w:val="21"/>
        </w:rPr>
      </w:pPr>
      <w:r>
        <w:rPr>
          <w:rFonts w:hint="eastAsia" w:ascii="Times New Roman" w:hAnsi="Times New Roman"/>
          <w:szCs w:val="21"/>
        </w:rPr>
        <w:t>　　——减少跟产品有直接接触的低硬度、低耐磨性材料使用，以减少产品的颗粒异物</w:t>
      </w:r>
    </w:p>
    <w:p>
      <w:pPr>
        <w:widowControl/>
        <w:spacing w:line="360" w:lineRule="auto"/>
        <w:ind w:firstLine="420" w:firstLineChars="200"/>
        <w:rPr>
          <w:rFonts w:ascii="Times New Roman" w:hAnsi="Times New Roman"/>
          <w:szCs w:val="21"/>
        </w:rPr>
      </w:pPr>
      <w:r>
        <w:rPr>
          <w:rFonts w:hint="eastAsia" w:ascii="Times New Roman" w:hAnsi="Times New Roman"/>
          <w:szCs w:val="21"/>
        </w:rPr>
        <w:t>　　——改善生产及包装设备密封性，改善生产现场的油烟状况。</w:t>
      </w:r>
    </w:p>
    <w:p>
      <w:pPr>
        <w:widowControl/>
        <w:spacing w:line="360" w:lineRule="auto"/>
        <w:ind w:firstLine="420" w:firstLineChars="200"/>
        <w:rPr>
          <w:rFonts w:ascii="Times New Roman" w:hAnsi="Times New Roman"/>
          <w:szCs w:val="21"/>
        </w:rPr>
      </w:pPr>
      <w:r>
        <w:rPr>
          <w:rFonts w:hint="eastAsia" w:ascii="Times New Roman" w:hAnsi="Times New Roman"/>
          <w:szCs w:val="21"/>
        </w:rPr>
        <w:t>D.2.2 改进方案的优先排序表</w:t>
      </w:r>
    </w:p>
    <w:p>
      <w:pPr>
        <w:widowControl/>
        <w:spacing w:line="360" w:lineRule="auto"/>
        <w:ind w:firstLine="420" w:firstLineChars="200"/>
        <w:rPr>
          <w:rFonts w:ascii="Times New Roman" w:hAnsi="Times New Roman"/>
          <w:szCs w:val="21"/>
        </w:rPr>
      </w:pPr>
      <w:r>
        <w:rPr>
          <w:rFonts w:hint="eastAsia" w:ascii="Times New Roman" w:hAnsi="Times New Roman"/>
          <w:szCs w:val="21"/>
        </w:rPr>
        <w:t>改进方案的优先排序表如表D.2所示</w:t>
      </w:r>
    </w:p>
    <w:p>
      <w:pPr>
        <w:widowControl/>
        <w:spacing w:line="360" w:lineRule="auto"/>
        <w:ind w:firstLine="360" w:firstLineChars="200"/>
        <w:jc w:val="center"/>
        <w:rPr>
          <w:rFonts w:ascii="黑体" w:hAnsi="黑体" w:eastAsia="黑体"/>
          <w:sz w:val="18"/>
          <w:szCs w:val="18"/>
        </w:rPr>
      </w:pPr>
      <w:r>
        <w:rPr>
          <w:rFonts w:hint="eastAsia" w:ascii="黑体" w:hAnsi="黑体" w:eastAsia="黑体"/>
          <w:sz w:val="18"/>
          <w:szCs w:val="18"/>
        </w:rPr>
        <w:t>表D.2</w:t>
      </w:r>
      <w:r>
        <w:rPr>
          <w:rFonts w:ascii="黑体" w:hAnsi="黑体" w:eastAsia="黑体"/>
          <w:sz w:val="18"/>
          <w:szCs w:val="18"/>
        </w:rPr>
        <w:t xml:space="preserve"> </w:t>
      </w:r>
      <w:r>
        <w:rPr>
          <w:rFonts w:hint="eastAsia" w:ascii="黑体" w:hAnsi="黑体" w:eastAsia="黑体"/>
          <w:sz w:val="18"/>
          <w:szCs w:val="18"/>
        </w:rPr>
        <w:t xml:space="preserve"> 改进方案的优先排序表</w:t>
      </w:r>
    </w:p>
    <w:tbl>
      <w:tblPr>
        <w:tblStyle w:val="12"/>
        <w:tblW w:w="97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92"/>
        <w:gridCol w:w="819"/>
        <w:gridCol w:w="851"/>
        <w:gridCol w:w="850"/>
        <w:gridCol w:w="709"/>
        <w:gridCol w:w="709"/>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Align w:val="center"/>
          </w:tcPr>
          <w:p>
            <w:pPr>
              <w:widowControl/>
              <w:spacing w:line="360" w:lineRule="auto"/>
              <w:rPr>
                <w:rFonts w:ascii="Times New Roman" w:hAnsi="Times New Roman"/>
                <w:sz w:val="18"/>
                <w:szCs w:val="18"/>
              </w:rPr>
            </w:pPr>
            <w:r>
              <w:rPr>
                <w:rFonts w:hint="eastAsia" w:ascii="Times New Roman" w:hAnsi="Times New Roman"/>
                <w:sz w:val="18"/>
                <w:szCs w:val="18"/>
              </w:rPr>
              <w:t>环节</w:t>
            </w:r>
          </w:p>
        </w:tc>
        <w:tc>
          <w:tcPr>
            <w:tcW w:w="3292"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改进方案</w:t>
            </w:r>
          </w:p>
        </w:tc>
        <w:tc>
          <w:tcPr>
            <w:tcW w:w="819"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生命周期阶段</w:t>
            </w:r>
          </w:p>
        </w:tc>
        <w:tc>
          <w:tcPr>
            <w:tcW w:w="851"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技术可行性</w:t>
            </w:r>
          </w:p>
        </w:tc>
        <w:tc>
          <w:tcPr>
            <w:tcW w:w="850"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环境敏感性</w:t>
            </w:r>
          </w:p>
        </w:tc>
        <w:tc>
          <w:tcPr>
            <w:tcW w:w="709"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经济影响</w:t>
            </w:r>
          </w:p>
        </w:tc>
        <w:tc>
          <w:tcPr>
            <w:tcW w:w="709"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CVA影响</w:t>
            </w:r>
          </w:p>
        </w:tc>
        <w:tc>
          <w:tcPr>
            <w:tcW w:w="992"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生产管理</w:t>
            </w:r>
          </w:p>
        </w:tc>
        <w:tc>
          <w:tcPr>
            <w:tcW w:w="850" w:type="dxa"/>
            <w:vAlign w:val="center"/>
          </w:tcPr>
          <w:p>
            <w:pPr>
              <w:widowControl/>
              <w:spacing w:line="360" w:lineRule="auto"/>
              <w:jc w:val="center"/>
              <w:rPr>
                <w:rFonts w:ascii="Times New Roman" w:hAnsi="Times New Roman"/>
                <w:sz w:val="18"/>
                <w:szCs w:val="18"/>
              </w:rPr>
            </w:pPr>
            <w:r>
              <w:rPr>
                <w:rFonts w:hint="eastAsia" w:ascii="Times New Roman" w:hAnsi="Times New Roman"/>
                <w:sz w:val="18"/>
                <w:szCs w:val="18"/>
              </w:rPr>
              <w:t>总评分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restart"/>
            <w:vAlign w:val="center"/>
          </w:tcPr>
          <w:p>
            <w:pPr>
              <w:widowControl/>
              <w:spacing w:line="360" w:lineRule="auto"/>
              <w:rPr>
                <w:rFonts w:ascii="Times New Roman" w:hAnsi="Times New Roman"/>
                <w:szCs w:val="21"/>
              </w:rPr>
            </w:pPr>
            <w:r>
              <w:rPr>
                <w:rFonts w:hint="eastAsia" w:ascii="Times New Roman" w:hAnsi="Times New Roman"/>
                <w:sz w:val="18"/>
                <w:szCs w:val="18"/>
              </w:rPr>
              <w:t>生产</w:t>
            </w:r>
          </w:p>
        </w:tc>
        <w:tc>
          <w:tcPr>
            <w:tcW w:w="3292" w:type="dxa"/>
            <w:vAlign w:val="center"/>
          </w:tcPr>
          <w:p>
            <w:pPr>
              <w:widowControl/>
              <w:spacing w:line="360" w:lineRule="auto"/>
              <w:jc w:val="left"/>
              <w:rPr>
                <w:rFonts w:ascii="Times New Roman" w:hAnsi="Times New Roman"/>
                <w:szCs w:val="21"/>
              </w:rPr>
            </w:pPr>
            <w:r>
              <w:rPr>
                <w:rFonts w:hint="eastAsia" w:ascii="Times New Roman" w:hAnsi="Times New Roman"/>
                <w:sz w:val="18"/>
                <w:szCs w:val="18"/>
              </w:rPr>
              <w:t>尽量使用高品位氯化锂</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L1.1</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vAlign w:val="center"/>
          </w:tcPr>
          <w:p>
            <w:pPr>
              <w:widowControl/>
              <w:spacing w:line="360" w:lineRule="auto"/>
              <w:rPr>
                <w:rFonts w:ascii="Times New Roman" w:hAnsi="Times New Roman"/>
                <w:szCs w:val="21"/>
              </w:rPr>
            </w:pPr>
          </w:p>
        </w:tc>
        <w:tc>
          <w:tcPr>
            <w:tcW w:w="3292" w:type="dxa"/>
            <w:vAlign w:val="center"/>
          </w:tcPr>
          <w:p>
            <w:pPr>
              <w:widowControl/>
              <w:spacing w:line="360" w:lineRule="auto"/>
              <w:jc w:val="left"/>
              <w:rPr>
                <w:rFonts w:ascii="Times New Roman" w:hAnsi="Times New Roman"/>
                <w:szCs w:val="21"/>
              </w:rPr>
            </w:pPr>
            <w:r>
              <w:rPr>
                <w:rFonts w:hint="eastAsia" w:ascii="Times New Roman" w:hAnsi="Times New Roman"/>
                <w:sz w:val="18"/>
                <w:szCs w:val="18"/>
              </w:rPr>
              <w:t>减少原来的包装材料种类</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L1.2</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vAlign w:val="center"/>
          </w:tcPr>
          <w:p>
            <w:pPr>
              <w:widowControl/>
              <w:spacing w:line="360" w:lineRule="auto"/>
              <w:rPr>
                <w:rFonts w:ascii="Times New Roman" w:hAnsi="Times New Roman"/>
                <w:szCs w:val="21"/>
              </w:rPr>
            </w:pPr>
          </w:p>
        </w:tc>
        <w:tc>
          <w:tcPr>
            <w:tcW w:w="3292" w:type="dxa"/>
            <w:vAlign w:val="center"/>
          </w:tcPr>
          <w:p>
            <w:pPr>
              <w:widowControl/>
              <w:spacing w:line="360" w:lineRule="auto"/>
              <w:jc w:val="left"/>
              <w:rPr>
                <w:rFonts w:ascii="Times New Roman" w:hAnsi="Times New Roman"/>
                <w:sz w:val="18"/>
                <w:szCs w:val="18"/>
              </w:rPr>
            </w:pPr>
            <w:r>
              <w:rPr>
                <w:rFonts w:hint="eastAsia" w:ascii="Times New Roman" w:hAnsi="Times New Roman"/>
                <w:sz w:val="18"/>
                <w:szCs w:val="18"/>
              </w:rPr>
              <w:t>使用可重复使用的包装箱</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L1.3</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restart"/>
            <w:vAlign w:val="center"/>
          </w:tcPr>
          <w:p>
            <w:pPr>
              <w:widowControl/>
              <w:spacing w:line="360" w:lineRule="auto"/>
              <w:rPr>
                <w:rFonts w:ascii="Times New Roman" w:hAnsi="Times New Roman"/>
                <w:szCs w:val="21"/>
              </w:rPr>
            </w:pPr>
            <w:r>
              <w:rPr>
                <w:rFonts w:hint="eastAsia" w:ascii="Times New Roman" w:hAnsi="Times New Roman"/>
                <w:sz w:val="18"/>
                <w:szCs w:val="18"/>
              </w:rPr>
              <w:t>设计</w:t>
            </w:r>
          </w:p>
        </w:tc>
        <w:tc>
          <w:tcPr>
            <w:tcW w:w="3292" w:type="dxa"/>
            <w:vAlign w:val="center"/>
          </w:tcPr>
          <w:p>
            <w:pPr>
              <w:widowControl/>
              <w:spacing w:line="360" w:lineRule="auto"/>
              <w:jc w:val="left"/>
              <w:rPr>
                <w:rFonts w:ascii="Times New Roman" w:hAnsi="Times New Roman"/>
                <w:sz w:val="18"/>
                <w:szCs w:val="18"/>
              </w:rPr>
            </w:pPr>
            <w:r>
              <w:rPr>
                <w:rFonts w:hint="eastAsia" w:ascii="Times New Roman" w:hAnsi="Times New Roman"/>
                <w:sz w:val="18"/>
                <w:szCs w:val="18"/>
              </w:rPr>
              <w:t>采用自动化包装系统</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L2.2</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vAlign w:val="center"/>
          </w:tcPr>
          <w:p>
            <w:pPr>
              <w:widowControl/>
              <w:spacing w:line="360" w:lineRule="auto"/>
              <w:rPr>
                <w:rFonts w:ascii="Times New Roman" w:hAnsi="Times New Roman"/>
                <w:szCs w:val="21"/>
              </w:rPr>
            </w:pPr>
          </w:p>
        </w:tc>
        <w:tc>
          <w:tcPr>
            <w:tcW w:w="3292" w:type="dxa"/>
            <w:vAlign w:val="center"/>
          </w:tcPr>
          <w:p>
            <w:pPr>
              <w:widowControl/>
              <w:spacing w:line="360" w:lineRule="auto"/>
              <w:jc w:val="left"/>
              <w:rPr>
                <w:rFonts w:ascii="Times New Roman" w:hAnsi="Times New Roman"/>
                <w:sz w:val="18"/>
                <w:szCs w:val="18"/>
              </w:rPr>
            </w:pPr>
            <w:r>
              <w:rPr>
                <w:rFonts w:hint="eastAsia" w:ascii="Times New Roman" w:hAnsi="Times New Roman"/>
                <w:sz w:val="18"/>
                <w:szCs w:val="18"/>
              </w:rPr>
              <w:t>采用多阳极电解与高真空低温蒸馏技术</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L2.3</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vAlign w:val="center"/>
          </w:tcPr>
          <w:p>
            <w:pPr>
              <w:widowControl/>
              <w:spacing w:line="360" w:lineRule="auto"/>
              <w:rPr>
                <w:rFonts w:ascii="Times New Roman" w:hAnsi="Times New Roman"/>
                <w:szCs w:val="21"/>
              </w:rPr>
            </w:pPr>
          </w:p>
        </w:tc>
        <w:tc>
          <w:tcPr>
            <w:tcW w:w="3292" w:type="dxa"/>
            <w:vAlign w:val="center"/>
          </w:tcPr>
          <w:p>
            <w:pPr>
              <w:widowControl/>
              <w:spacing w:line="360" w:lineRule="auto"/>
              <w:jc w:val="left"/>
              <w:rPr>
                <w:rFonts w:ascii="Times New Roman" w:hAnsi="Times New Roman"/>
                <w:szCs w:val="21"/>
              </w:rPr>
            </w:pPr>
            <w:r>
              <w:rPr>
                <w:rFonts w:hint="eastAsia" w:ascii="Times New Roman" w:hAnsi="Times New Roman"/>
                <w:sz w:val="18"/>
                <w:szCs w:val="18"/>
              </w:rPr>
              <w:t>采用尾气多级吸收净化技术</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L2.4</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restart"/>
            <w:vAlign w:val="center"/>
          </w:tcPr>
          <w:p>
            <w:pPr>
              <w:widowControl/>
              <w:spacing w:line="360" w:lineRule="auto"/>
              <w:rPr>
                <w:rFonts w:ascii="Times New Roman" w:hAnsi="Times New Roman"/>
                <w:szCs w:val="21"/>
              </w:rPr>
            </w:pPr>
            <w:r>
              <w:rPr>
                <w:rFonts w:hint="eastAsia" w:ascii="Times New Roman" w:hAnsi="Times New Roman"/>
                <w:sz w:val="18"/>
                <w:szCs w:val="18"/>
              </w:rPr>
              <w:t>管理</w:t>
            </w:r>
          </w:p>
        </w:tc>
        <w:tc>
          <w:tcPr>
            <w:tcW w:w="3292" w:type="dxa"/>
            <w:vAlign w:val="center"/>
          </w:tcPr>
          <w:p>
            <w:pPr>
              <w:widowControl/>
              <w:spacing w:line="360" w:lineRule="auto"/>
              <w:jc w:val="left"/>
              <w:rPr>
                <w:rFonts w:ascii="Times New Roman" w:hAnsi="Times New Roman"/>
                <w:sz w:val="18"/>
                <w:szCs w:val="18"/>
              </w:rPr>
            </w:pPr>
            <w:r>
              <w:rPr>
                <w:rFonts w:hint="eastAsia" w:ascii="Times New Roman" w:hAnsi="Times New Roman"/>
                <w:sz w:val="18"/>
                <w:szCs w:val="18"/>
              </w:rPr>
              <w:t>减少跟产品有直接接触的低硬度、低耐磨性材料使用</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L3.1</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vAlign w:val="center"/>
          </w:tcPr>
          <w:p>
            <w:pPr>
              <w:widowControl/>
              <w:spacing w:line="360" w:lineRule="auto"/>
              <w:rPr>
                <w:rFonts w:ascii="Times New Roman" w:hAnsi="Times New Roman"/>
                <w:sz w:val="18"/>
                <w:szCs w:val="18"/>
              </w:rPr>
            </w:pPr>
          </w:p>
        </w:tc>
        <w:tc>
          <w:tcPr>
            <w:tcW w:w="3292" w:type="dxa"/>
            <w:vAlign w:val="center"/>
          </w:tcPr>
          <w:p>
            <w:pPr>
              <w:widowControl/>
              <w:spacing w:line="360" w:lineRule="auto"/>
              <w:jc w:val="left"/>
              <w:rPr>
                <w:rFonts w:ascii="Times New Roman" w:hAnsi="Times New Roman"/>
                <w:sz w:val="18"/>
                <w:szCs w:val="18"/>
              </w:rPr>
            </w:pPr>
            <w:r>
              <w:rPr>
                <w:rFonts w:hint="eastAsia" w:ascii="Times New Roman" w:hAnsi="Times New Roman"/>
                <w:sz w:val="18"/>
                <w:szCs w:val="18"/>
              </w:rPr>
              <w:t>改善生产及包装设备密封性，改善生产现场的油烟状况</w:t>
            </w:r>
          </w:p>
        </w:tc>
        <w:tc>
          <w:tcPr>
            <w:tcW w:w="81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L3.2</w:t>
            </w:r>
          </w:p>
        </w:tc>
        <w:tc>
          <w:tcPr>
            <w:tcW w:w="851"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709"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992"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w:t>
            </w:r>
          </w:p>
        </w:tc>
        <w:tc>
          <w:tcPr>
            <w:tcW w:w="850" w:type="dxa"/>
            <w:vAlign w:val="center"/>
          </w:tcPr>
          <w:p>
            <w:pPr>
              <w:widowControl/>
              <w:spacing w:line="360" w:lineRule="auto"/>
              <w:jc w:val="center"/>
              <w:rPr>
                <w:rFonts w:ascii="Times New Roman" w:hAnsi="Times New Roman"/>
                <w:szCs w:val="21"/>
              </w:rPr>
            </w:pPr>
            <w:r>
              <w:rPr>
                <w:rFonts w:hint="eastAsia" w:ascii="Times New Roman" w:hAnsi="Times New Roman"/>
                <w:sz w:val="18"/>
                <w:szCs w:val="18"/>
              </w:rPr>
              <w:t>16</w:t>
            </w:r>
          </w:p>
        </w:tc>
      </w:tr>
    </w:tbl>
    <w:p>
      <w:pPr>
        <w:widowControl/>
        <w:spacing w:line="360" w:lineRule="auto"/>
        <w:ind w:firstLine="420" w:firstLineChars="200"/>
        <w:rPr>
          <w:rFonts w:ascii="Times New Roman" w:hAnsi="Times New Roman"/>
          <w:szCs w:val="21"/>
        </w:rPr>
      </w:pPr>
      <w:r>
        <w:rPr>
          <w:rFonts w:hint="eastAsia" w:ascii="Times New Roman" w:hAnsi="Times New Roman"/>
          <w:szCs w:val="21"/>
        </w:rPr>
        <w:t>图D.1为实施者优先排序图，可以看出在产品制造环节，有三项措施最为优先：一是规定使用自动化包装系统；二是采用多阳极电解与高真空低温蒸馏技术。三是改善生产及包装设备密封性。</w:t>
      </w:r>
    </w:p>
    <w:p>
      <w:pPr>
        <w:widowControl/>
        <w:spacing w:line="360" w:lineRule="auto"/>
        <w:ind w:firstLine="420" w:firstLineChars="200"/>
        <w:rPr>
          <w:rFonts w:ascii="Times New Roman" w:hAnsi="Times New Roman"/>
          <w:szCs w:val="21"/>
        </w:rPr>
      </w:pPr>
      <w:r>
        <w:rPr>
          <w:rFonts w:hint="eastAsia" w:ascii="Times New Roman" w:hAnsi="Times New Roman"/>
          <w:szCs w:val="21"/>
        </w:rPr>
        <w:t>图D.2生命周期阶段优先排序图，为改进方案提供了一个新的评估手段，即将改进方案按时间和空间进行排序。例如，生产阶段改进方案的优先度很高，因此该产品生产的环境影响相对较大。而生命结束阶段改进方案的优先度很低。</w:t>
      </w:r>
    </w:p>
    <w:p>
      <w:pPr>
        <w:widowControl/>
        <w:spacing w:line="360" w:lineRule="auto"/>
        <w:ind w:firstLine="420" w:firstLineChars="200"/>
        <w:rPr>
          <w:rFonts w:ascii="Times New Roman" w:hAnsi="Times New Roman"/>
          <w:szCs w:val="21"/>
        </w:rPr>
      </w:pPr>
      <w:r>
        <w:rPr>
          <w:rFonts w:hint="eastAsia" w:ascii="Times New Roman" w:hAnsi="Times New Roman"/>
          <w:szCs w:val="21"/>
        </w:rPr>
        <w:t>注：横轴上对应的是关于生产（M）、设计（D）和管理（MG）的改进方案；纵轴上，数字越大表明优先度越高。</w:t>
      </w:r>
    </w:p>
    <w:p>
      <w:pPr>
        <w:widowControl/>
        <w:spacing w:line="360" w:lineRule="auto"/>
        <w:ind w:firstLine="420" w:firstLineChars="200"/>
        <w:jc w:val="center"/>
        <w:rPr>
          <w:rFonts w:ascii="Times New Roman" w:hAnsi="Times New Roman"/>
          <w:szCs w:val="21"/>
        </w:rPr>
      </w:pPr>
      <w: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pacing w:line="360" w:lineRule="auto"/>
        <w:ind w:firstLine="360" w:firstLineChars="200"/>
        <w:jc w:val="center"/>
        <w:rPr>
          <w:rFonts w:ascii="黑体" w:hAnsi="黑体" w:eastAsia="黑体"/>
          <w:sz w:val="18"/>
          <w:szCs w:val="18"/>
        </w:rPr>
      </w:pPr>
      <w:r>
        <w:rPr>
          <w:rFonts w:hint="eastAsia" w:ascii="黑体" w:hAnsi="黑体" w:eastAsia="黑体"/>
          <w:sz w:val="18"/>
          <w:szCs w:val="18"/>
        </w:rPr>
        <w:t>图D.1</w:t>
      </w:r>
      <w:r>
        <w:rPr>
          <w:rFonts w:ascii="黑体" w:hAnsi="黑体" w:eastAsia="黑体"/>
          <w:sz w:val="18"/>
          <w:szCs w:val="18"/>
        </w:rPr>
        <w:t xml:space="preserve"> </w:t>
      </w:r>
      <w:r>
        <w:rPr>
          <w:rFonts w:hint="eastAsia" w:ascii="黑体" w:hAnsi="黑体" w:eastAsia="黑体"/>
          <w:sz w:val="18"/>
          <w:szCs w:val="18"/>
        </w:rPr>
        <w:t xml:space="preserve"> 某金属锂产品改进方案的实施者优先排序图</w:t>
      </w:r>
    </w:p>
    <w:p>
      <w:pPr>
        <w:widowControl/>
        <w:spacing w:line="360" w:lineRule="auto"/>
        <w:ind w:firstLine="360" w:firstLineChars="200"/>
        <w:jc w:val="center"/>
        <w:rPr>
          <w:rFonts w:ascii="黑体" w:hAnsi="黑体" w:eastAsia="黑体"/>
          <w:sz w:val="18"/>
          <w:szCs w:val="18"/>
        </w:rPr>
      </w:pPr>
    </w:p>
    <w:p>
      <w:pPr>
        <w:widowControl/>
        <w:spacing w:line="360" w:lineRule="auto"/>
        <w:ind w:firstLine="420" w:firstLineChars="200"/>
        <w:rPr>
          <w:rFonts w:ascii="Times New Roman" w:hAnsi="Times New Roman"/>
          <w:szCs w:val="21"/>
        </w:rPr>
      </w:pPr>
    </w:p>
    <w:sectPr>
      <w:footerReference r:id="rId4" w:type="default"/>
      <w:pgSz w:w="11906" w:h="16838"/>
      <w:pgMar w:top="1157" w:right="1077" w:bottom="987"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DE"/>
    <w:family w:val="modern"/>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DE"/>
    <w:family w:val="swiss"/>
    <w:pitch w:val="default"/>
    <w:sig w:usb0="81000003" w:usb1="00000000" w:usb2="00000000" w:usb3="00000000" w:csb0="0001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DE"/>
    <w:family w:val="decorative"/>
    <w:pitch w:val="default"/>
    <w:sig w:usb0="81000003" w:usb1="00000000" w:usb2="00000000" w:usb3="00000000" w:csb0="0001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ngsanaUPC">
    <w:panose1 w:val="02020603050405020304"/>
    <w:charset w:val="DE"/>
    <w:family w:val="roman"/>
    <w:pitch w:val="default"/>
    <w:sig w:usb0="81000003" w:usb1="00000000" w:usb2="00000000" w:usb3="00000000" w:csb0="0001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SymbolMT">
    <w:altName w:val="Cambria"/>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modern"/>
    <w:pitch w:val="default"/>
    <w:sig w:usb0="80000287" w:usb1="280F3C52" w:usb2="00000016" w:usb3="00000000" w:csb0="0004001F" w:csb1="00000000"/>
  </w:font>
  <w:font w:name="SymbolMT">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ymbolMT">
    <w:altName w:val="Cambria"/>
    <w:panose1 w:val="00000000000000000000"/>
    <w:charset w:val="00"/>
    <w:family w:val="moder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SymbolMT">
    <w:altName w:val="Cambria"/>
    <w:panose1 w:val="00000000000000000000"/>
    <w:charset w:val="00"/>
    <w:family w:val="swiss"/>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702555"/>
    </w:sdtPr>
    <w:sdtContent>
      <w:p>
        <w:pPr>
          <w:pStyle w:val="5"/>
          <w:ind w:firstLine="480"/>
          <w:jc w:val="center"/>
        </w:pPr>
        <w:r>
          <w:fldChar w:fldCharType="begin"/>
        </w:r>
        <w:r>
          <w:instrText xml:space="preserve">PAGE   \* MERGEFORMAT</w:instrText>
        </w:r>
        <w:r>
          <w:fldChar w:fldCharType="separate"/>
        </w:r>
        <w:r>
          <w:rPr>
            <w:lang w:val="zh-CN"/>
          </w:rPr>
          <w:t>2</w:t>
        </w:r>
        <w:r>
          <w:fldChar w:fldCharType="end"/>
        </w:r>
      </w:p>
    </w:sdtContent>
  </w:sdt>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9378439">
    <w:nsid w:val="7A270887"/>
    <w:multiLevelType w:val="multilevel"/>
    <w:tmpl w:val="7A270887"/>
    <w:lvl w:ilvl="0" w:tentative="1">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363700567">
    <w:nsid w:val="51486B57"/>
    <w:multiLevelType w:val="multilevel"/>
    <w:tmpl w:val="51486B57"/>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363700567"/>
  </w:num>
  <w:num w:numId="2">
    <w:abstractNumId w:val="20493784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56"/>
    <w:rsid w:val="0000107C"/>
    <w:rsid w:val="00004280"/>
    <w:rsid w:val="000119CA"/>
    <w:rsid w:val="00011D86"/>
    <w:rsid w:val="00035924"/>
    <w:rsid w:val="000360AE"/>
    <w:rsid w:val="000413A2"/>
    <w:rsid w:val="00047704"/>
    <w:rsid w:val="000509EB"/>
    <w:rsid w:val="00051833"/>
    <w:rsid w:val="00064671"/>
    <w:rsid w:val="00065803"/>
    <w:rsid w:val="00065994"/>
    <w:rsid w:val="000666A7"/>
    <w:rsid w:val="00067517"/>
    <w:rsid w:val="00071C03"/>
    <w:rsid w:val="000726F7"/>
    <w:rsid w:val="000771B9"/>
    <w:rsid w:val="00080193"/>
    <w:rsid w:val="00081946"/>
    <w:rsid w:val="0009253E"/>
    <w:rsid w:val="00093124"/>
    <w:rsid w:val="00093385"/>
    <w:rsid w:val="00096A6D"/>
    <w:rsid w:val="000A13C9"/>
    <w:rsid w:val="000A2227"/>
    <w:rsid w:val="000A29C3"/>
    <w:rsid w:val="000A2A92"/>
    <w:rsid w:val="000B18C1"/>
    <w:rsid w:val="000C38AD"/>
    <w:rsid w:val="000C553A"/>
    <w:rsid w:val="000C79FE"/>
    <w:rsid w:val="000D3213"/>
    <w:rsid w:val="000D50CD"/>
    <w:rsid w:val="000D63AB"/>
    <w:rsid w:val="000E2016"/>
    <w:rsid w:val="000E24F9"/>
    <w:rsid w:val="000E4142"/>
    <w:rsid w:val="000F0D26"/>
    <w:rsid w:val="000F444B"/>
    <w:rsid w:val="001029A4"/>
    <w:rsid w:val="001158B8"/>
    <w:rsid w:val="00117521"/>
    <w:rsid w:val="0012511F"/>
    <w:rsid w:val="00125F2A"/>
    <w:rsid w:val="0013069E"/>
    <w:rsid w:val="00130C98"/>
    <w:rsid w:val="00137685"/>
    <w:rsid w:val="0014537E"/>
    <w:rsid w:val="00150A01"/>
    <w:rsid w:val="0015400C"/>
    <w:rsid w:val="00154C77"/>
    <w:rsid w:val="00156609"/>
    <w:rsid w:val="00156D69"/>
    <w:rsid w:val="0016323F"/>
    <w:rsid w:val="00165C20"/>
    <w:rsid w:val="001672E8"/>
    <w:rsid w:val="00170A99"/>
    <w:rsid w:val="00173088"/>
    <w:rsid w:val="00174C24"/>
    <w:rsid w:val="00176977"/>
    <w:rsid w:val="00180C9D"/>
    <w:rsid w:val="001822A2"/>
    <w:rsid w:val="001829BC"/>
    <w:rsid w:val="00186FD2"/>
    <w:rsid w:val="001928CA"/>
    <w:rsid w:val="0019584D"/>
    <w:rsid w:val="001A05B8"/>
    <w:rsid w:val="001B2016"/>
    <w:rsid w:val="001B4CA1"/>
    <w:rsid w:val="001B6AED"/>
    <w:rsid w:val="001B7AD9"/>
    <w:rsid w:val="001C349D"/>
    <w:rsid w:val="001D03F9"/>
    <w:rsid w:val="001E0F4F"/>
    <w:rsid w:val="001E29EF"/>
    <w:rsid w:val="001E2A67"/>
    <w:rsid w:val="001E7F01"/>
    <w:rsid w:val="001F1EA3"/>
    <w:rsid w:val="001F7852"/>
    <w:rsid w:val="00204E11"/>
    <w:rsid w:val="00205D1B"/>
    <w:rsid w:val="00216A6D"/>
    <w:rsid w:val="00221E50"/>
    <w:rsid w:val="0022324D"/>
    <w:rsid w:val="00225FBF"/>
    <w:rsid w:val="00227067"/>
    <w:rsid w:val="00231EF3"/>
    <w:rsid w:val="00233031"/>
    <w:rsid w:val="0024062D"/>
    <w:rsid w:val="0025045E"/>
    <w:rsid w:val="00264C48"/>
    <w:rsid w:val="00266EDF"/>
    <w:rsid w:val="002671A8"/>
    <w:rsid w:val="00270A1A"/>
    <w:rsid w:val="00276EDE"/>
    <w:rsid w:val="00281C92"/>
    <w:rsid w:val="00287D62"/>
    <w:rsid w:val="002921A5"/>
    <w:rsid w:val="00297BA0"/>
    <w:rsid w:val="002A0A92"/>
    <w:rsid w:val="002A2229"/>
    <w:rsid w:val="002B07A2"/>
    <w:rsid w:val="002B10BC"/>
    <w:rsid w:val="002B188E"/>
    <w:rsid w:val="002C0223"/>
    <w:rsid w:val="002C0BC9"/>
    <w:rsid w:val="002C24EA"/>
    <w:rsid w:val="002C5D83"/>
    <w:rsid w:val="002D2EE0"/>
    <w:rsid w:val="002D5313"/>
    <w:rsid w:val="002D5384"/>
    <w:rsid w:val="002D7A03"/>
    <w:rsid w:val="002E2DA8"/>
    <w:rsid w:val="002E38BD"/>
    <w:rsid w:val="002E4571"/>
    <w:rsid w:val="002E4BCC"/>
    <w:rsid w:val="002E55B4"/>
    <w:rsid w:val="002E7360"/>
    <w:rsid w:val="002F01F9"/>
    <w:rsid w:val="002F060F"/>
    <w:rsid w:val="002F0DCC"/>
    <w:rsid w:val="002F2FAE"/>
    <w:rsid w:val="002F3B65"/>
    <w:rsid w:val="002F50B8"/>
    <w:rsid w:val="003066AB"/>
    <w:rsid w:val="00307703"/>
    <w:rsid w:val="00307C81"/>
    <w:rsid w:val="003104FE"/>
    <w:rsid w:val="0031085F"/>
    <w:rsid w:val="00314A72"/>
    <w:rsid w:val="00322B1E"/>
    <w:rsid w:val="0032444B"/>
    <w:rsid w:val="00327D00"/>
    <w:rsid w:val="0033160B"/>
    <w:rsid w:val="003335BB"/>
    <w:rsid w:val="00333CF4"/>
    <w:rsid w:val="00334C5D"/>
    <w:rsid w:val="00347471"/>
    <w:rsid w:val="00355BF5"/>
    <w:rsid w:val="00357481"/>
    <w:rsid w:val="00361E4D"/>
    <w:rsid w:val="00363C70"/>
    <w:rsid w:val="003739C3"/>
    <w:rsid w:val="0037637F"/>
    <w:rsid w:val="003800D9"/>
    <w:rsid w:val="00390F93"/>
    <w:rsid w:val="00390FE6"/>
    <w:rsid w:val="003912AC"/>
    <w:rsid w:val="00396F27"/>
    <w:rsid w:val="003A417B"/>
    <w:rsid w:val="003B08ED"/>
    <w:rsid w:val="003B4EE3"/>
    <w:rsid w:val="003C0316"/>
    <w:rsid w:val="003C5336"/>
    <w:rsid w:val="003C6841"/>
    <w:rsid w:val="003D3942"/>
    <w:rsid w:val="003D3A81"/>
    <w:rsid w:val="003D49D7"/>
    <w:rsid w:val="003E3395"/>
    <w:rsid w:val="003E3EA9"/>
    <w:rsid w:val="003E6788"/>
    <w:rsid w:val="003E6C71"/>
    <w:rsid w:val="003E7352"/>
    <w:rsid w:val="003F2588"/>
    <w:rsid w:val="003F34C5"/>
    <w:rsid w:val="004018D5"/>
    <w:rsid w:val="00410104"/>
    <w:rsid w:val="00420C0D"/>
    <w:rsid w:val="00432A95"/>
    <w:rsid w:val="00434900"/>
    <w:rsid w:val="00436B30"/>
    <w:rsid w:val="00453B18"/>
    <w:rsid w:val="004579E8"/>
    <w:rsid w:val="004621D9"/>
    <w:rsid w:val="004735EF"/>
    <w:rsid w:val="00480D18"/>
    <w:rsid w:val="00491650"/>
    <w:rsid w:val="00494738"/>
    <w:rsid w:val="00495FE9"/>
    <w:rsid w:val="004B4160"/>
    <w:rsid w:val="004B417D"/>
    <w:rsid w:val="004B5025"/>
    <w:rsid w:val="004C19A5"/>
    <w:rsid w:val="004C2632"/>
    <w:rsid w:val="004C4087"/>
    <w:rsid w:val="004C6B76"/>
    <w:rsid w:val="004D34C6"/>
    <w:rsid w:val="004E7E83"/>
    <w:rsid w:val="004F03A8"/>
    <w:rsid w:val="004F733A"/>
    <w:rsid w:val="00500FC0"/>
    <w:rsid w:val="00510978"/>
    <w:rsid w:val="005114D3"/>
    <w:rsid w:val="00525B57"/>
    <w:rsid w:val="00527CCE"/>
    <w:rsid w:val="005314E7"/>
    <w:rsid w:val="00542802"/>
    <w:rsid w:val="005442E2"/>
    <w:rsid w:val="0054671F"/>
    <w:rsid w:val="005603B0"/>
    <w:rsid w:val="00560785"/>
    <w:rsid w:val="005636D3"/>
    <w:rsid w:val="00565AD3"/>
    <w:rsid w:val="00566324"/>
    <w:rsid w:val="00571576"/>
    <w:rsid w:val="00572471"/>
    <w:rsid w:val="00572592"/>
    <w:rsid w:val="00585DB6"/>
    <w:rsid w:val="005A7924"/>
    <w:rsid w:val="005B11C5"/>
    <w:rsid w:val="005B1D64"/>
    <w:rsid w:val="005B6D96"/>
    <w:rsid w:val="005C640D"/>
    <w:rsid w:val="005D4863"/>
    <w:rsid w:val="005D7CE4"/>
    <w:rsid w:val="005E5143"/>
    <w:rsid w:val="005F2C57"/>
    <w:rsid w:val="005F795E"/>
    <w:rsid w:val="00607F97"/>
    <w:rsid w:val="00612A6B"/>
    <w:rsid w:val="0061454E"/>
    <w:rsid w:val="00614D99"/>
    <w:rsid w:val="0061557E"/>
    <w:rsid w:val="0061740D"/>
    <w:rsid w:val="006243F7"/>
    <w:rsid w:val="00633E44"/>
    <w:rsid w:val="00633E4E"/>
    <w:rsid w:val="00637163"/>
    <w:rsid w:val="006374EA"/>
    <w:rsid w:val="00642A6B"/>
    <w:rsid w:val="0064562D"/>
    <w:rsid w:val="006507A6"/>
    <w:rsid w:val="0065225C"/>
    <w:rsid w:val="00653DB4"/>
    <w:rsid w:val="00657532"/>
    <w:rsid w:val="006622FD"/>
    <w:rsid w:val="00671446"/>
    <w:rsid w:val="00671925"/>
    <w:rsid w:val="0068663B"/>
    <w:rsid w:val="006879EE"/>
    <w:rsid w:val="00696060"/>
    <w:rsid w:val="006A1E9A"/>
    <w:rsid w:val="006A6DE9"/>
    <w:rsid w:val="006A7145"/>
    <w:rsid w:val="006C3D5C"/>
    <w:rsid w:val="006C7A75"/>
    <w:rsid w:val="006D2E3A"/>
    <w:rsid w:val="006D3A31"/>
    <w:rsid w:val="006E4E2E"/>
    <w:rsid w:val="006E7BE2"/>
    <w:rsid w:val="006F11F8"/>
    <w:rsid w:val="006F5E27"/>
    <w:rsid w:val="00702A04"/>
    <w:rsid w:val="00704AF5"/>
    <w:rsid w:val="00706A54"/>
    <w:rsid w:val="0071435F"/>
    <w:rsid w:val="00714649"/>
    <w:rsid w:val="007175AA"/>
    <w:rsid w:val="00727B57"/>
    <w:rsid w:val="007316DD"/>
    <w:rsid w:val="00736570"/>
    <w:rsid w:val="00736611"/>
    <w:rsid w:val="00741709"/>
    <w:rsid w:val="007463B1"/>
    <w:rsid w:val="0074718E"/>
    <w:rsid w:val="007522FE"/>
    <w:rsid w:val="00754DE4"/>
    <w:rsid w:val="007551F6"/>
    <w:rsid w:val="00756F3B"/>
    <w:rsid w:val="00760748"/>
    <w:rsid w:val="0076313D"/>
    <w:rsid w:val="00763456"/>
    <w:rsid w:val="00765E2E"/>
    <w:rsid w:val="00772ECA"/>
    <w:rsid w:val="007737BA"/>
    <w:rsid w:val="0077683A"/>
    <w:rsid w:val="00777E32"/>
    <w:rsid w:val="00782DF0"/>
    <w:rsid w:val="00783353"/>
    <w:rsid w:val="00785F9C"/>
    <w:rsid w:val="007860DB"/>
    <w:rsid w:val="00791DE6"/>
    <w:rsid w:val="0079342A"/>
    <w:rsid w:val="00796345"/>
    <w:rsid w:val="00796D17"/>
    <w:rsid w:val="007A27A8"/>
    <w:rsid w:val="007B43B7"/>
    <w:rsid w:val="007B747A"/>
    <w:rsid w:val="007C12C6"/>
    <w:rsid w:val="007D17D3"/>
    <w:rsid w:val="007D49CA"/>
    <w:rsid w:val="007D6E5C"/>
    <w:rsid w:val="007D7BAA"/>
    <w:rsid w:val="007E1E4E"/>
    <w:rsid w:val="007E3127"/>
    <w:rsid w:val="007E5119"/>
    <w:rsid w:val="007E5666"/>
    <w:rsid w:val="007E5AE6"/>
    <w:rsid w:val="007F1E56"/>
    <w:rsid w:val="007F21A6"/>
    <w:rsid w:val="007F3F8A"/>
    <w:rsid w:val="007F5530"/>
    <w:rsid w:val="007F5DB3"/>
    <w:rsid w:val="007F7622"/>
    <w:rsid w:val="008008CC"/>
    <w:rsid w:val="008013E4"/>
    <w:rsid w:val="00802D85"/>
    <w:rsid w:val="00813220"/>
    <w:rsid w:val="00814108"/>
    <w:rsid w:val="00814123"/>
    <w:rsid w:val="00814608"/>
    <w:rsid w:val="00816278"/>
    <w:rsid w:val="00827DAA"/>
    <w:rsid w:val="00834A78"/>
    <w:rsid w:val="00836057"/>
    <w:rsid w:val="0083718F"/>
    <w:rsid w:val="008409F6"/>
    <w:rsid w:val="0084100F"/>
    <w:rsid w:val="008412E7"/>
    <w:rsid w:val="00845FA8"/>
    <w:rsid w:val="008522EF"/>
    <w:rsid w:val="00854840"/>
    <w:rsid w:val="00860446"/>
    <w:rsid w:val="00861A56"/>
    <w:rsid w:val="008657FD"/>
    <w:rsid w:val="008675D0"/>
    <w:rsid w:val="00870B09"/>
    <w:rsid w:val="008726FA"/>
    <w:rsid w:val="008850E4"/>
    <w:rsid w:val="00890FD2"/>
    <w:rsid w:val="0089155F"/>
    <w:rsid w:val="00892147"/>
    <w:rsid w:val="00894C7C"/>
    <w:rsid w:val="008A41B0"/>
    <w:rsid w:val="008B1EA6"/>
    <w:rsid w:val="008B4313"/>
    <w:rsid w:val="008B5044"/>
    <w:rsid w:val="008B586B"/>
    <w:rsid w:val="008B7277"/>
    <w:rsid w:val="008C0891"/>
    <w:rsid w:val="008C324A"/>
    <w:rsid w:val="008D2A02"/>
    <w:rsid w:val="008D3C5E"/>
    <w:rsid w:val="008D61AF"/>
    <w:rsid w:val="008D79FA"/>
    <w:rsid w:val="008E12C8"/>
    <w:rsid w:val="008E7B39"/>
    <w:rsid w:val="008F1151"/>
    <w:rsid w:val="008F2B41"/>
    <w:rsid w:val="009062D4"/>
    <w:rsid w:val="00912168"/>
    <w:rsid w:val="00912E6C"/>
    <w:rsid w:val="009217B4"/>
    <w:rsid w:val="00930507"/>
    <w:rsid w:val="00935470"/>
    <w:rsid w:val="00941495"/>
    <w:rsid w:val="009429BC"/>
    <w:rsid w:val="0094654C"/>
    <w:rsid w:val="00953A13"/>
    <w:rsid w:val="00955D21"/>
    <w:rsid w:val="00962496"/>
    <w:rsid w:val="009673E9"/>
    <w:rsid w:val="00970148"/>
    <w:rsid w:val="009872AA"/>
    <w:rsid w:val="009A1020"/>
    <w:rsid w:val="009A722B"/>
    <w:rsid w:val="009B0F29"/>
    <w:rsid w:val="009B6DF0"/>
    <w:rsid w:val="009C4AE4"/>
    <w:rsid w:val="009C5628"/>
    <w:rsid w:val="009C67A7"/>
    <w:rsid w:val="009D3563"/>
    <w:rsid w:val="009D6696"/>
    <w:rsid w:val="009D7198"/>
    <w:rsid w:val="009E3344"/>
    <w:rsid w:val="009E4ACB"/>
    <w:rsid w:val="009E6261"/>
    <w:rsid w:val="009E69C4"/>
    <w:rsid w:val="009F06BA"/>
    <w:rsid w:val="009F3B73"/>
    <w:rsid w:val="009F60AB"/>
    <w:rsid w:val="009F7C21"/>
    <w:rsid w:val="00A02DCA"/>
    <w:rsid w:val="00A03961"/>
    <w:rsid w:val="00A0474A"/>
    <w:rsid w:val="00A14E54"/>
    <w:rsid w:val="00A211DA"/>
    <w:rsid w:val="00A318C7"/>
    <w:rsid w:val="00A40C0F"/>
    <w:rsid w:val="00A414E1"/>
    <w:rsid w:val="00A42FA4"/>
    <w:rsid w:val="00A47D43"/>
    <w:rsid w:val="00A50BFA"/>
    <w:rsid w:val="00A53104"/>
    <w:rsid w:val="00A62199"/>
    <w:rsid w:val="00A638D7"/>
    <w:rsid w:val="00A779C2"/>
    <w:rsid w:val="00A80BFA"/>
    <w:rsid w:val="00A832D3"/>
    <w:rsid w:val="00AA3865"/>
    <w:rsid w:val="00AA4D48"/>
    <w:rsid w:val="00AA5723"/>
    <w:rsid w:val="00AA572B"/>
    <w:rsid w:val="00AA6166"/>
    <w:rsid w:val="00AA717B"/>
    <w:rsid w:val="00AB3F14"/>
    <w:rsid w:val="00AB4BC7"/>
    <w:rsid w:val="00AB61C0"/>
    <w:rsid w:val="00AB64AA"/>
    <w:rsid w:val="00AB7B49"/>
    <w:rsid w:val="00AB7E2A"/>
    <w:rsid w:val="00AC3F65"/>
    <w:rsid w:val="00AD326D"/>
    <w:rsid w:val="00AF6867"/>
    <w:rsid w:val="00B02134"/>
    <w:rsid w:val="00B0284E"/>
    <w:rsid w:val="00B05B34"/>
    <w:rsid w:val="00B22E73"/>
    <w:rsid w:val="00B277CA"/>
    <w:rsid w:val="00B424E9"/>
    <w:rsid w:val="00B42E64"/>
    <w:rsid w:val="00B43E9F"/>
    <w:rsid w:val="00B44659"/>
    <w:rsid w:val="00B51E0F"/>
    <w:rsid w:val="00B67B6B"/>
    <w:rsid w:val="00B67D6A"/>
    <w:rsid w:val="00B72E1B"/>
    <w:rsid w:val="00B8075C"/>
    <w:rsid w:val="00B816CA"/>
    <w:rsid w:val="00B8394B"/>
    <w:rsid w:val="00B86C33"/>
    <w:rsid w:val="00B87D03"/>
    <w:rsid w:val="00B90608"/>
    <w:rsid w:val="00B910F4"/>
    <w:rsid w:val="00B91854"/>
    <w:rsid w:val="00B943F4"/>
    <w:rsid w:val="00B96026"/>
    <w:rsid w:val="00BB11FF"/>
    <w:rsid w:val="00BB74E3"/>
    <w:rsid w:val="00BB7769"/>
    <w:rsid w:val="00BD2126"/>
    <w:rsid w:val="00BD6274"/>
    <w:rsid w:val="00BD6CC1"/>
    <w:rsid w:val="00BE279C"/>
    <w:rsid w:val="00BE2FDD"/>
    <w:rsid w:val="00BE544C"/>
    <w:rsid w:val="00BE6DF8"/>
    <w:rsid w:val="00BE787B"/>
    <w:rsid w:val="00C00A54"/>
    <w:rsid w:val="00C023DA"/>
    <w:rsid w:val="00C07FC4"/>
    <w:rsid w:val="00C10D7F"/>
    <w:rsid w:val="00C127AD"/>
    <w:rsid w:val="00C13E9C"/>
    <w:rsid w:val="00C15121"/>
    <w:rsid w:val="00C16653"/>
    <w:rsid w:val="00C17F1C"/>
    <w:rsid w:val="00C21C92"/>
    <w:rsid w:val="00C23530"/>
    <w:rsid w:val="00C274F5"/>
    <w:rsid w:val="00C32ED7"/>
    <w:rsid w:val="00C33346"/>
    <w:rsid w:val="00C4165D"/>
    <w:rsid w:val="00C4395A"/>
    <w:rsid w:val="00C4554E"/>
    <w:rsid w:val="00C4557B"/>
    <w:rsid w:val="00C4772F"/>
    <w:rsid w:val="00C47BD4"/>
    <w:rsid w:val="00C50C83"/>
    <w:rsid w:val="00C52DDA"/>
    <w:rsid w:val="00C61405"/>
    <w:rsid w:val="00C62F5F"/>
    <w:rsid w:val="00C678C2"/>
    <w:rsid w:val="00C71ECF"/>
    <w:rsid w:val="00C72DDC"/>
    <w:rsid w:val="00C7785C"/>
    <w:rsid w:val="00C801FF"/>
    <w:rsid w:val="00C87004"/>
    <w:rsid w:val="00C9121B"/>
    <w:rsid w:val="00C92893"/>
    <w:rsid w:val="00C9528C"/>
    <w:rsid w:val="00C954C7"/>
    <w:rsid w:val="00CA4775"/>
    <w:rsid w:val="00CA50D6"/>
    <w:rsid w:val="00CA6775"/>
    <w:rsid w:val="00CB258F"/>
    <w:rsid w:val="00CB5628"/>
    <w:rsid w:val="00CC4832"/>
    <w:rsid w:val="00CD6E8E"/>
    <w:rsid w:val="00CE0F16"/>
    <w:rsid w:val="00CE2BB8"/>
    <w:rsid w:val="00CF24C5"/>
    <w:rsid w:val="00CF2711"/>
    <w:rsid w:val="00D00824"/>
    <w:rsid w:val="00D01AA4"/>
    <w:rsid w:val="00D056CC"/>
    <w:rsid w:val="00D15F23"/>
    <w:rsid w:val="00D219E5"/>
    <w:rsid w:val="00D21B3B"/>
    <w:rsid w:val="00D221DF"/>
    <w:rsid w:val="00D25071"/>
    <w:rsid w:val="00D255B3"/>
    <w:rsid w:val="00D27EF7"/>
    <w:rsid w:val="00D32250"/>
    <w:rsid w:val="00D3477B"/>
    <w:rsid w:val="00D361BB"/>
    <w:rsid w:val="00D37FEA"/>
    <w:rsid w:val="00D41678"/>
    <w:rsid w:val="00D44083"/>
    <w:rsid w:val="00D44B7D"/>
    <w:rsid w:val="00D52A4B"/>
    <w:rsid w:val="00D53B6D"/>
    <w:rsid w:val="00D568E2"/>
    <w:rsid w:val="00D56A12"/>
    <w:rsid w:val="00D56D81"/>
    <w:rsid w:val="00D624C9"/>
    <w:rsid w:val="00D62521"/>
    <w:rsid w:val="00D708BD"/>
    <w:rsid w:val="00D732AA"/>
    <w:rsid w:val="00D73961"/>
    <w:rsid w:val="00D82580"/>
    <w:rsid w:val="00D8260B"/>
    <w:rsid w:val="00D84B86"/>
    <w:rsid w:val="00D85561"/>
    <w:rsid w:val="00D92C38"/>
    <w:rsid w:val="00D92D95"/>
    <w:rsid w:val="00D9607A"/>
    <w:rsid w:val="00DB1A0D"/>
    <w:rsid w:val="00DB728C"/>
    <w:rsid w:val="00DC37C4"/>
    <w:rsid w:val="00DE1D5F"/>
    <w:rsid w:val="00DF245C"/>
    <w:rsid w:val="00DF4FAD"/>
    <w:rsid w:val="00E01B77"/>
    <w:rsid w:val="00E05FA2"/>
    <w:rsid w:val="00E13BAB"/>
    <w:rsid w:val="00E16780"/>
    <w:rsid w:val="00E23772"/>
    <w:rsid w:val="00E250F9"/>
    <w:rsid w:val="00E25977"/>
    <w:rsid w:val="00E32C7B"/>
    <w:rsid w:val="00E338DC"/>
    <w:rsid w:val="00E4523A"/>
    <w:rsid w:val="00E50826"/>
    <w:rsid w:val="00E514C6"/>
    <w:rsid w:val="00E52928"/>
    <w:rsid w:val="00E621B9"/>
    <w:rsid w:val="00E63111"/>
    <w:rsid w:val="00E67394"/>
    <w:rsid w:val="00E7010D"/>
    <w:rsid w:val="00E71B03"/>
    <w:rsid w:val="00E76E3B"/>
    <w:rsid w:val="00E85841"/>
    <w:rsid w:val="00E933B5"/>
    <w:rsid w:val="00E938EA"/>
    <w:rsid w:val="00E96DB4"/>
    <w:rsid w:val="00EA49DC"/>
    <w:rsid w:val="00EC3162"/>
    <w:rsid w:val="00ED190B"/>
    <w:rsid w:val="00ED2165"/>
    <w:rsid w:val="00ED22C2"/>
    <w:rsid w:val="00ED55C1"/>
    <w:rsid w:val="00EE2B6F"/>
    <w:rsid w:val="00EE6711"/>
    <w:rsid w:val="00EE6DE1"/>
    <w:rsid w:val="00EE7DFD"/>
    <w:rsid w:val="00EF3A85"/>
    <w:rsid w:val="00EF41FF"/>
    <w:rsid w:val="00EF471A"/>
    <w:rsid w:val="00EF6A0C"/>
    <w:rsid w:val="00F042A9"/>
    <w:rsid w:val="00F06E9E"/>
    <w:rsid w:val="00F079D4"/>
    <w:rsid w:val="00F130EE"/>
    <w:rsid w:val="00F152BB"/>
    <w:rsid w:val="00F15337"/>
    <w:rsid w:val="00F16321"/>
    <w:rsid w:val="00F16D6D"/>
    <w:rsid w:val="00F175FA"/>
    <w:rsid w:val="00F22D5F"/>
    <w:rsid w:val="00F30CB3"/>
    <w:rsid w:val="00F34800"/>
    <w:rsid w:val="00F34BE6"/>
    <w:rsid w:val="00F405BB"/>
    <w:rsid w:val="00F43900"/>
    <w:rsid w:val="00F443EC"/>
    <w:rsid w:val="00F45FED"/>
    <w:rsid w:val="00F47EF1"/>
    <w:rsid w:val="00F60B54"/>
    <w:rsid w:val="00F72289"/>
    <w:rsid w:val="00F72A9D"/>
    <w:rsid w:val="00F75608"/>
    <w:rsid w:val="00F8526E"/>
    <w:rsid w:val="00F90A75"/>
    <w:rsid w:val="00F9337E"/>
    <w:rsid w:val="00F94D20"/>
    <w:rsid w:val="00F97953"/>
    <w:rsid w:val="00FA6C8B"/>
    <w:rsid w:val="00FB110B"/>
    <w:rsid w:val="00FB4601"/>
    <w:rsid w:val="00FC27F9"/>
    <w:rsid w:val="00FC3FDD"/>
    <w:rsid w:val="00FC7490"/>
    <w:rsid w:val="00FD2C65"/>
    <w:rsid w:val="00FE6FB2"/>
    <w:rsid w:val="00FF6625"/>
    <w:rsid w:val="078609C8"/>
    <w:rsid w:val="6DF1754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8"/>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39"/>
  </w:style>
  <w:style w:type="paragraph" w:styleId="8">
    <w:name w:val="Body Text Indent 3"/>
    <w:basedOn w:val="1"/>
    <w:link w:val="27"/>
    <w:qFormat/>
    <w:uiPriority w:val="99"/>
    <w:pPr>
      <w:tabs>
        <w:tab w:val="left" w:pos="900"/>
      </w:tabs>
      <w:ind w:right="288" w:rightChars="137" w:firstLine="900"/>
      <w:jc w:val="center"/>
    </w:pPr>
    <w:rPr>
      <w:rFonts w:ascii="Times New Roman" w:hAnsi="Times New Roman"/>
      <w:b/>
      <w:bCs/>
      <w:szCs w:val="24"/>
    </w:rPr>
  </w:style>
  <w:style w:type="character" w:styleId="10">
    <w:name w:val="Hyperlink"/>
    <w:unhideWhenUsed/>
    <w:qFormat/>
    <w:uiPriority w:val="99"/>
    <w:rPr>
      <w:color w:val="0000FF"/>
      <w:u w:val="single"/>
    </w:rPr>
  </w:style>
  <w:style w:type="table" w:styleId="12">
    <w:name w:val="Table Grid"/>
    <w:basedOn w:val="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
    <w:name w:val="标题 1 字符"/>
    <w:link w:val="2"/>
    <w:qFormat/>
    <w:locked/>
    <w:uiPriority w:val="99"/>
    <w:rPr>
      <w:rFonts w:ascii="宋体" w:hAnsi="宋体" w:eastAsia="宋体" w:cs="宋体"/>
      <w:b/>
      <w:bCs/>
      <w:kern w:val="36"/>
      <w:sz w:val="48"/>
      <w:szCs w:val="48"/>
    </w:rPr>
  </w:style>
  <w:style w:type="character" w:customStyle="1" w:styleId="14">
    <w:name w:val="页眉 字符"/>
    <w:link w:val="6"/>
    <w:semiHidden/>
    <w:qFormat/>
    <w:locked/>
    <w:uiPriority w:val="99"/>
    <w:rPr>
      <w:rFonts w:cs="Times New Roman"/>
      <w:sz w:val="18"/>
      <w:szCs w:val="18"/>
    </w:rPr>
  </w:style>
  <w:style w:type="character" w:customStyle="1" w:styleId="15">
    <w:name w:val="页脚 字符"/>
    <w:link w:val="5"/>
    <w:qFormat/>
    <w:locked/>
    <w:uiPriority w:val="99"/>
    <w:rPr>
      <w:rFonts w:cs="Times New Roman"/>
      <w:sz w:val="18"/>
      <w:szCs w:val="18"/>
    </w:rPr>
  </w:style>
  <w:style w:type="paragraph" w:customStyle="1" w:styleId="1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22">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3">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4">
    <w:name w:val="实施日期"/>
    <w:basedOn w:val="23"/>
    <w:qFormat/>
    <w:uiPriority w:val="99"/>
    <w:pPr>
      <w:framePr w:hSpace="0" w:xAlign="right"/>
      <w:jc w:val="right"/>
    </w:pPr>
  </w:style>
  <w:style w:type="character" w:customStyle="1" w:styleId="25">
    <w:name w:val="发布"/>
    <w:qFormat/>
    <w:uiPriority w:val="99"/>
    <w:rPr>
      <w:rFonts w:ascii="黑体" w:eastAsia="黑体" w:cs="Times New Roman"/>
      <w:spacing w:val="22"/>
      <w:w w:val="100"/>
      <w:position w:val="3"/>
      <w:sz w:val="28"/>
    </w:rPr>
  </w:style>
  <w:style w:type="paragraph" w:customStyle="1" w:styleId="2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7">
    <w:name w:val="正文文本缩进 3 字符"/>
    <w:link w:val="8"/>
    <w:qFormat/>
    <w:locked/>
    <w:uiPriority w:val="99"/>
    <w:rPr>
      <w:rFonts w:ascii="Times New Roman" w:hAnsi="Times New Roman" w:eastAsia="宋体" w:cs="Times New Roman"/>
      <w:b/>
      <w:bCs/>
      <w:sz w:val="24"/>
      <w:szCs w:val="24"/>
    </w:rPr>
  </w:style>
  <w:style w:type="character" w:customStyle="1" w:styleId="28">
    <w:name w:val="批注框文本 字符"/>
    <w:link w:val="4"/>
    <w:semiHidden/>
    <w:qFormat/>
    <w:locked/>
    <w:uiPriority w:val="99"/>
    <w:rPr>
      <w:rFonts w:cs="Times New Roman"/>
      <w:sz w:val="18"/>
      <w:szCs w:val="18"/>
    </w:rPr>
  </w:style>
  <w:style w:type="character" w:customStyle="1" w:styleId="29">
    <w:name w:val="Placeholder Text"/>
    <w:semiHidden/>
    <w:qFormat/>
    <w:uiPriority w:val="99"/>
    <w:rPr>
      <w:rFonts w:cs="Times New Roman"/>
      <w:color w:val="808080"/>
    </w:rPr>
  </w:style>
  <w:style w:type="paragraph" w:customStyle="1" w:styleId="30">
    <w:name w:val="List Paragraph"/>
    <w:basedOn w:val="1"/>
    <w:qFormat/>
    <w:uiPriority w:val="99"/>
    <w:pPr>
      <w:ind w:firstLine="420" w:firstLineChars="200"/>
    </w:pPr>
  </w:style>
  <w:style w:type="paragraph" w:customStyle="1" w:styleId="31">
    <w:name w:val="TOC Heading"/>
    <w:basedOn w:val="2"/>
    <w:next w:val="1"/>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3">
    <w:name w:val="标题 2 字符"/>
    <w:basedOn w:val="9"/>
    <w:link w:val="3"/>
    <w:semiHidden/>
    <w:qFormat/>
    <w:uiPriority w:val="0"/>
    <w:rPr>
      <w:rFonts w:asciiTheme="majorHAnsi" w:hAnsiTheme="majorHAnsi" w:eastAsiaTheme="majorEastAsia" w:cstheme="majorBidi"/>
      <w:b/>
      <w:bCs/>
      <w:kern w:val="2"/>
      <w:sz w:val="32"/>
      <w:szCs w:val="32"/>
    </w:rPr>
  </w:style>
  <w:style w:type="paragraph" w:customStyle="1" w:styleId="34">
    <w:name w:val="列出段落1"/>
    <w:basedOn w:val="1"/>
    <w:qFormat/>
    <w:uiPriority w:val="34"/>
    <w:pPr>
      <w:spacing w:line="360" w:lineRule="auto"/>
      <w:ind w:firstLine="420" w:firstLineChars="200"/>
    </w:pPr>
    <w:rPr>
      <w:rFonts w:ascii="Times New Roman" w:hAnsi="Times New Roman" w:cstheme="minorBidi"/>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xml"/><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C:\Users\Administrator\Desktop\&#26631;&#20934;\&#35745;&#31639;&#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Sheet2!$G$6:$G$13</c:f>
              <c:strCache>
                <c:ptCount val="8"/>
                <c:pt idx="0">
                  <c:v>L1.1</c:v>
                </c:pt>
                <c:pt idx="1">
                  <c:v>L1.2</c:v>
                </c:pt>
                <c:pt idx="2">
                  <c:v>L1.3</c:v>
                </c:pt>
                <c:pt idx="3">
                  <c:v>L2.2</c:v>
                </c:pt>
                <c:pt idx="4">
                  <c:v>L2.3</c:v>
                </c:pt>
                <c:pt idx="5">
                  <c:v>L2.4</c:v>
                </c:pt>
                <c:pt idx="6">
                  <c:v>L3.1</c:v>
                </c:pt>
                <c:pt idx="7">
                  <c:v>L3.2</c:v>
                </c:pt>
              </c:strCache>
            </c:strRef>
          </c:cat>
          <c:val>
            <c:numRef>
              <c:f>Sheet2!$H$6:$H$13</c:f>
              <c:numCache>
                <c:formatCode>General</c:formatCode>
                <c:ptCount val="8"/>
                <c:pt idx="0" c:formatCode="General">
                  <c:v>13</c:v>
                </c:pt>
                <c:pt idx="1" c:formatCode="General">
                  <c:v>15</c:v>
                </c:pt>
                <c:pt idx="2" c:formatCode="General">
                  <c:v>13</c:v>
                </c:pt>
                <c:pt idx="3" c:formatCode="General">
                  <c:v>16</c:v>
                </c:pt>
                <c:pt idx="4" c:formatCode="General">
                  <c:v>16</c:v>
                </c:pt>
                <c:pt idx="5" c:formatCode="General">
                  <c:v>14</c:v>
                </c:pt>
                <c:pt idx="6" c:formatCode="General">
                  <c:v>13</c:v>
                </c:pt>
                <c:pt idx="7" c:formatCode="General">
                  <c:v>16</c:v>
                </c:pt>
              </c:numCache>
            </c:numRef>
          </c:val>
        </c:ser>
        <c:dLbls>
          <c:dLblPos val="outEnd"/>
          <c:showLegendKey val="0"/>
          <c:showVal val="0"/>
          <c:showCatName val="0"/>
          <c:showSerName val="0"/>
          <c:showPercent val="0"/>
          <c:showBubbleSize val="0"/>
        </c:dLbls>
        <c:gapWidth val="219"/>
        <c:overlap val="-27"/>
        <c:axId val="700974552"/>
        <c:axId val="700975536"/>
      </c:barChart>
      <c:catAx>
        <c:axId val="70097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vert="horz" wrap="square" anchor="ctr" anchorCtr="1"/>
          <a:lstStyle/>
          <a:p>
            <a:pPr>
              <a:defRPr sz="900" b="0" i="0" u="none" strike="noStrike" kern="1200" baseline="0">
                <a:solidFill>
                  <a:schemeClr val="tx1">
                    <a:lumMod val="65000"/>
                    <a:lumOff val="35000"/>
                  </a:schemeClr>
                </a:solidFill>
                <a:latin typeface="+mn-lt"/>
                <a:ea typeface="+mn-ea"/>
                <a:cs typeface="+mn-cs"/>
              </a:defRPr>
            </a:pPr>
          </a:p>
        </c:txPr>
        <c:crossAx val="700975536"/>
        <c:crosses val="autoZero"/>
        <c:auto val="1"/>
        <c:lblAlgn val="ctr"/>
        <c:lblOffset val="100"/>
        <c:tickMarkSkip val="1"/>
        <c:noMultiLvlLbl val="0"/>
      </c:catAx>
      <c:valAx>
        <c:axId val="700975536"/>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vert="horz" wrap="square" anchor="ctr" anchorCtr="1"/>
          <a:lstStyle/>
          <a:p>
            <a:pPr>
              <a:defRPr sz="900" b="0" i="0" u="none" strike="noStrike" kern="1200" baseline="0">
                <a:solidFill>
                  <a:schemeClr val="tx1">
                    <a:lumMod val="65000"/>
                    <a:lumOff val="35000"/>
                  </a:schemeClr>
                </a:solidFill>
                <a:latin typeface="+mn-lt"/>
                <a:ea typeface="+mn-ea"/>
                <a:cs typeface="+mn-cs"/>
              </a:defRPr>
            </a:pPr>
          </a:p>
        </c:txPr>
        <c:crossAx val="70097455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09715-3ACF-4A66-9C0C-E56D074EC8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2109</Words>
  <Characters>12022</Characters>
  <Lines>100</Lines>
  <Paragraphs>28</Paragraphs>
  <TotalTime>0</TotalTime>
  <ScaleCrop>false</ScaleCrop>
  <LinksUpToDate>false</LinksUpToDate>
  <CharactersWithSpaces>14103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2018-03-21T05:21:00Z</dcterms:created>
  <dc:creator>dwh</dc:creator>
  <cp:lastModifiedBy>601462</cp:lastModifiedBy>
  <cp:lastPrinted>2017-07-07T00:26:00Z</cp:lastPrinted>
  <dcterms:modified xsi:type="dcterms:W3CDTF">2020-10-10T01:43:04Z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