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  <w:rPr>
          <w:rFonts w:eastAsiaTheme="minor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rFonts w:eastAsiaTheme="minorEastAsia"/>
        </w:rPr>
        <w:pict>
          <v:line id="Line 193" o:spid="_x0000_s1026" o:spt="20" style="position:absolute;left:0pt;margin-left:-10.5pt;margin-top:161.7pt;height:0pt;width:504pt;z-index:251662336;mso-width-relative:page;mso-height-relative:page;" coordsize="21600,21600" o:gfxdata="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1WjI&#10;C9cAAAALAQAADwAAAAAAAAABACAAAAAiAAAAZHJzL2Rvd25yZXYueG1sUEsBAhQAFAAAAAgAh07i&#10;QLDSUI6xAQAAVAMAAA4AAAAAAAAAAQAgAAAAJgEAAGRycy9lMm9Eb2MueG1sUEsFBgAAAAAGAAYA&#10;WQEAAE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Theme="minorEastAsia"/>
        </w:rPr>
        <w:pict>
          <v:line id="Line 192" o:spid="_x0000_s1035" o:spt="20" style="position:absolute;left:0pt;margin-left:0pt;margin-top:700pt;height:0pt;width:482pt;z-index:251661312;mso-width-relative:page;mso-height-relative:page;" stroked="t" coordsize="21600,21600" o:gfxdata="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9IlP1QAA&#10;AAoBAAAPAAAAAAAAAAEAIAAAACIAAABkcnMvZG93bnJldi54bWxQSwECFAAUAAAACACHTuJAkFch&#10;+K8BAABVAwAADgAAAAAAAAABACAAAAAkAQAAZHJzL2Uyb0RvYy54bWxQSwUGAAAAAAYABgBZAQAA&#10;RQUAAAAA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rFonts w:eastAsiaTheme="minorEastAsia"/>
        </w:rPr>
        <w:pict>
          <v:shape id="fmFrame7" o:spid="_x0000_s1034" o:spt="202" type="#_x0000_t202" style="position:absolute;left:0pt;margin-left:0pt;margin-top:717.6pt;height:46.8pt;width:481.9pt;mso-position-horizontal-relative:margin;mso-position-vertical-relative:margin;z-index:251659264;mso-width-relative:page;mso-height-relative:page;" stroked="f" coordsize="21600,21600" o:gfxdata="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UlaG9kAAAAKAQAADwAAAAAAAAABACAAAAAiAAAAZHJzL2Rvd25yZXYueG1sUEsB&#10;AhQAFAAAAAgAh07iQPMjgg30AQAA3QMAAA4AAAAAAAAAAQAgAAAAKA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0"/>
                    <w:spacing w:line="0" w:lineRule="atLeast"/>
                    <w:ind w:firstLine="443" w:firstLineChars="100"/>
                    <w:jc w:val="both"/>
                    <w:rPr>
                      <w:color w:val="000000"/>
                      <w:spacing w:val="0"/>
                      <w:w w:val="13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 家 市 场 监 督 管 理 总 局</w:t>
                  </w:r>
                </w:p>
                <w:p>
                  <w:pPr>
                    <w:pStyle w:val="60"/>
                    <w:spacing w:line="0" w:lineRule="atLeast"/>
                    <w:ind w:right="490"/>
                    <w:rPr>
                      <w:rFonts w:hAnsi="宋体"/>
                      <w:color w:val="000000"/>
                      <w:spacing w:val="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国 家 标 准 化 管 理 委 员 会   </w:t>
                  </w:r>
                  <w:r>
                    <w:rPr>
                      <w:rFonts w:hint="eastAsia" w:hAnsi="宋体"/>
                      <w:color w:val="000000"/>
                      <w:spacing w:val="0"/>
                      <w:sz w:val="44"/>
                      <w:szCs w:val="44"/>
                      <w:vertAlign w:val="superscript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6" o:spid="_x0000_s1033" o:spt="202" type="#_x0000_t202" style="position:absolute;left:0pt;margin-left:322.9pt;margin-top:674.3pt;height:24.6pt;width:159pt;mso-position-horizontal-relative:margin;mso-position-vertical-relative:margin;z-index:251657216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v2q19oAAAANAQAADwAAAAAAAAABACAAAAAiAAAAZHJzL2Rvd25yZXYueG1sUEsB&#10;AhQAFAAAAAgAh07iQB3ANSDzAQAA3QMAAA4AAAAAAAAAAQAgAAAAKQ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9"/>
                  </w:pPr>
                  <w:r>
                    <w:rPr>
                      <w:rFonts w:hint="eastAsia"/>
                    </w:rPr>
                    <w:t>202×—××—××实施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5" o:spid="_x0000_s1032" o:spt="202" type="#_x0000_t202" style="position:absolute;left:0pt;margin-left:0pt;margin-top:674.3pt;height:24.6pt;width:159pt;mso-position-horizontal-relative:margin;mso-position-vertical-relative:margin;z-index:251658240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LXQNAPQBAADdAwAADgAAAAAAAAABACAAAAAnAQAAZHJzL2Uyb0RvYy54bWxQ&#10;SwUGAAAAAAYABgBZAQAAjQ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1"/>
                  </w:pPr>
                  <w:r>
                    <w:rPr>
                      <w:rFonts w:hint="eastAsia"/>
                    </w:rPr>
                    <w:t>202×—××—××发布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4" o:spid="_x0000_s1031" o:spt="202" type="#_x0000_t202" style="position:absolute;left:0pt;margin-left:0pt;margin-top:286.25pt;height:275.35pt;width:470pt;mso-position-horizontal-relative:margin;mso-position-vertical-relative:margin;z-index:251656192;mso-width-relative:page;mso-height-relative:page;" stroked="f" coordsize="21600,21600" o:gfxdata="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bKU0tgAAAAJAQAADwAAAAAAAAABACAAAAAiAAAAZHJzL2Rvd25yZXYueG1sUEsB&#10;AhQAFAAAAAgAh07iQBICTwz1AQAA3gMAAA4AAAAAAAAAAQAgAAAAJw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640" w:lineRule="exact"/>
                    <w:jc w:val="center"/>
                    <w:rPr>
                      <w:rFonts w:eastAsia="黑体"/>
                      <w:bCs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hint="eastAsia" w:eastAsia="黑体"/>
                      <w:bCs/>
                      <w:color w:val="000000"/>
                      <w:kern w:val="0"/>
                      <w:sz w:val="52"/>
                      <w:szCs w:val="20"/>
                    </w:rPr>
                    <w:t>烧结金属材料（不包括硬质合金）</w:t>
                  </w:r>
                </w:p>
                <w:p>
                  <w:pPr>
                    <w:spacing w:line="640" w:lineRule="exact"/>
                    <w:jc w:val="center"/>
                    <w:rPr>
                      <w:rFonts w:hint="eastAsia" w:ascii="黑体" w:eastAsia="黑体"/>
                      <w:sz w:val="52"/>
                      <w:szCs w:val="52"/>
                      <w:lang w:val="en-US" w:eastAsia="zh-CN"/>
                    </w:rPr>
                  </w:pPr>
                  <w:r>
                    <w:rPr>
                      <w:rFonts w:hint="eastAsia" w:eastAsia="黑体"/>
                      <w:bCs/>
                      <w:color w:val="000000"/>
                      <w:kern w:val="0"/>
                      <w:sz w:val="52"/>
                      <w:szCs w:val="20"/>
                    </w:rPr>
                    <w:t xml:space="preserve">  表面粗糙度的</w:t>
                  </w:r>
                  <w:r>
                    <w:rPr>
                      <w:rFonts w:hint="eastAsia" w:eastAsia="黑体"/>
                      <w:bCs/>
                      <w:color w:val="000000"/>
                      <w:kern w:val="0"/>
                      <w:sz w:val="52"/>
                      <w:szCs w:val="20"/>
                      <w:lang w:eastAsia="zh-CN"/>
                    </w:rPr>
                    <w:t>测定</w:t>
                  </w:r>
                </w:p>
                <w:p>
                  <w:pPr>
                    <w:pStyle w:val="68"/>
                    <w:spacing w:before="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Sintered metal materials, excluding hardmetals - measurement of</w:t>
                  </w:r>
                </w:p>
                <w:p>
                  <w:pPr>
                    <w:pStyle w:val="68"/>
                    <w:spacing w:before="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surface roughness</w:t>
                  </w:r>
                </w:p>
                <w:p>
                  <w:pPr>
                    <w:pStyle w:val="68"/>
                  </w:pPr>
                  <w:r>
                    <w:t>（</w:t>
                  </w:r>
                  <w:r>
                    <w:rPr>
                      <w:rFonts w:hint="eastAsia" w:eastAsia="黑体"/>
                    </w:rPr>
                    <w:t>ISO</w:t>
                  </w:r>
                  <w:r>
                    <w:rPr>
                      <w:rFonts w:eastAsia="黑体"/>
                    </w:rPr>
                    <w:t xml:space="preserve"> 23519-2010，IDT</w:t>
                  </w:r>
                  <w:r>
                    <w:t>）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（送审稿）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3" o:spid="_x0000_s1030" o:spt="202" type="#_x0000_t202" style="position:absolute;left:0pt;margin-left:231pt;margin-top:114.3pt;height:38.4pt;width:245.85pt;mso-position-horizontal-relative:margin;mso-position-vertical-relative:margin;z-index:251655168;mso-width-relative:page;mso-height-relative:page;" stroked="f" coordsize="21600,21600" o:gfxdata="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XKujTbAAAACwEAAA8AAAAAAAAAAQAgAAAAIgAAAGRycy9kb3ducmV2Lnht&#10;bFBLAQIUABQAAAAIAIdO4kBN2+t59gEAAN0DAAAOAAAAAAAAAAEAIAAAACoBAABkcnMvZTJvRG9j&#10;LnhtbFBLBQYAAAAABgAGAFkBAACS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3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</w:p>
                <w:p>
                  <w:pPr>
                    <w:pStyle w:val="63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 xml:space="preserve">GB/T </w:t>
                  </w:r>
                  <w:r>
                    <w:rPr>
                      <w:rFonts w:ascii="黑体" w:hAnsi="黑体" w:eastAsia="黑体"/>
                      <w:lang w:val="de-DE"/>
                    </w:rPr>
                    <w:t>XXXX-</w:t>
                  </w:r>
                  <w:r>
                    <w:rPr>
                      <w:rFonts w:hint="eastAsia" w:ascii="黑体" w:hAnsi="黑体" w:eastAsia="黑体"/>
                    </w:rPr>
                    <w:t>202</w:t>
                  </w:r>
                  <w:r>
                    <w:rPr>
                      <w:rFonts w:ascii="黑体" w:hAnsi="黑体" w:eastAsia="黑体"/>
                      <w:lang w:val="de-DE"/>
                    </w:rPr>
                    <w:t>X</w:t>
                  </w:r>
                  <w:r>
                    <w:rPr>
                      <w:b/>
                      <w:lang w:val="de-DE"/>
                    </w:rPr>
                    <w:t>/ISO</w:t>
                  </w:r>
                  <w:r>
                    <w:rPr>
                      <w:rFonts w:ascii="黑体" w:hAnsi="黑体" w:eastAsia="黑体"/>
                    </w:rPr>
                    <w:t xml:space="preserve"> 23519-2010</w:t>
                  </w: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sz w:val="21"/>
                      <w:szCs w:val="21"/>
                      <w:lang w:val="de-DE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  <w:lang w:val="de-DE"/>
                    </w:rPr>
                    <w:t>3</w:t>
                  </w:r>
                </w:p>
                <w:p>
                  <w:pPr>
                    <w:pStyle w:val="63"/>
                    <w:wordWrap w:val="0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</w:txbxContent>
            </v:textbox>
            <w10:anchorlock/>
          </v:shape>
        </w:pict>
      </w:r>
      <w:r>
        <w:rPr>
          <w:rFonts w:eastAsiaTheme="minorEastAsia"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pict>
          <v:shape id="fmFrame2" o:spid="_x0000_s1029" o:spt="202" type="#_x0000_t202" style="position:absolute;left:0pt;margin-left:0pt;margin-top:79.6pt;height:30.8pt;width:481.9pt;mso-position-horizontal-relative:margin;mso-position-vertical-relative:margin;z-index:251653120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JJU2XrzAQAA3QMAAA4AAAAAAAAAAQAgAAAAJgEAAGRycy9lMm9Eb2MueG1sUEsF&#10;BgAAAAAGAAYAWQEAAIs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1" o:spid="_x0000_s1028" o:spt="202" type="#_x0000_t202" style="position:absolute;left:0pt;margin-left:0pt;margin-top:0pt;height:51.8pt;width:200pt;mso-position-horizontal-relative:margin;mso-position-vertical-relative:margin;z-index:251652096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5"/>
                    <w:rPr>
                      <w:rFonts w:ascii="宋体" w:hAnsi="宋体" w:eastAsia="宋体" w:cs="Calibri"/>
                    </w:rPr>
                  </w:pPr>
                  <w:r>
                    <w:rPr>
                      <w:rFonts w:eastAsia="宋体"/>
                      <w:b/>
                    </w:rPr>
                    <w:t>ICS</w:t>
                  </w:r>
                  <w:r>
                    <w:rPr>
                      <w:rFonts w:ascii="宋体" w:hAnsi="宋体" w:eastAsia="宋体" w:cs="Calibri"/>
                    </w:rPr>
                    <w:t xml:space="preserve"> </w:t>
                  </w:r>
                  <w:r>
                    <w:rPr>
                      <w:rFonts w:ascii="黑体" w:hAnsi="黑体" w:cs="Calibri"/>
                    </w:rPr>
                    <w:t>77.160</w:t>
                  </w:r>
                </w:p>
                <w:p>
                  <w:pPr>
                    <w:pStyle w:val="95"/>
                    <w:rPr>
                      <w:rFonts w:ascii="宋体" w:hAnsi="宋体" w:eastAsia="宋体" w:cs="Calibri"/>
                    </w:rPr>
                  </w:pPr>
                  <w:r>
                    <w:rPr>
                      <w:rFonts w:eastAsia="宋体"/>
                      <w:b/>
                    </w:rPr>
                    <w:t>H</w:t>
                  </w:r>
                  <w:r>
                    <w:rPr>
                      <w:rFonts w:ascii="宋体" w:hAnsi="宋体" w:eastAsia="宋体" w:cs="Calibri"/>
                    </w:rPr>
                    <w:t xml:space="preserve"> </w:t>
                  </w:r>
                  <w:r>
                    <w:rPr>
                      <w:rFonts w:hint="eastAsia" w:ascii="宋体" w:hAnsi="宋体" w:eastAsia="宋体" w:cs="Calibri"/>
                    </w:rPr>
                    <w:t>72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53"/>
        <w:rPr>
          <w:rFonts w:ascii="Times New Roman" w:eastAsiaTheme="minorEastAsia"/>
        </w:rPr>
      </w:pPr>
      <w:r>
        <w:rPr>
          <w:rFonts w:ascii="Times New Roman" w:eastAsiaTheme="minorEastAsia"/>
        </w:rPr>
        <w:t>前</w:t>
      </w:r>
      <w:bookmarkStart w:id="1" w:name="BKQY"/>
      <w:r>
        <w:rPr>
          <w:rFonts w:ascii="Times New Roman" w:eastAsiaTheme="minorEastAsia"/>
        </w:rPr>
        <w:t>  言</w:t>
      </w:r>
      <w:bookmarkEnd w:id="1"/>
    </w:p>
    <w:p>
      <w:pPr>
        <w:pStyle w:val="55"/>
        <w:ind w:firstLine="420"/>
        <w:rPr>
          <w:rFonts w:hAnsi="宋体"/>
        </w:rPr>
      </w:pPr>
      <w:r>
        <w:rPr>
          <w:rFonts w:hAnsi="宋体"/>
          <w:szCs w:val="22"/>
        </w:rPr>
        <w:t>本</w:t>
      </w:r>
      <w:r>
        <w:rPr>
          <w:rFonts w:hint="eastAsia" w:hAnsi="宋体"/>
          <w:szCs w:val="22"/>
        </w:rPr>
        <w:t>文件</w:t>
      </w:r>
      <w:r>
        <w:rPr>
          <w:rFonts w:hAnsi="宋体"/>
          <w:szCs w:val="22"/>
        </w:rPr>
        <w:t>按照GB/T 1.1-20</w:t>
      </w:r>
      <w:r>
        <w:rPr>
          <w:rFonts w:hint="eastAsia" w:hAnsi="宋体"/>
          <w:szCs w:val="22"/>
        </w:rPr>
        <w:t>20《标准化工作导则 第1部分：标准化文件的结构和起草规则》</w:t>
      </w:r>
      <w:r>
        <w:rPr>
          <w:rFonts w:hAnsi="宋体"/>
          <w:szCs w:val="22"/>
        </w:rPr>
        <w:t>的规</w:t>
      </w:r>
      <w:r>
        <w:rPr>
          <w:rFonts w:hint="eastAsia" w:hAnsi="宋体"/>
          <w:szCs w:val="22"/>
        </w:rPr>
        <w:t>定</w:t>
      </w:r>
      <w:r>
        <w:rPr>
          <w:rFonts w:hAnsi="宋体"/>
          <w:szCs w:val="22"/>
        </w:rPr>
        <w:t>起草。</w:t>
      </w:r>
    </w:p>
    <w:p>
      <w:pPr>
        <w:pStyle w:val="55"/>
        <w:ind w:firstLine="420"/>
        <w:rPr>
          <w:rFonts w:hAnsi="宋体"/>
          <w:color w:val="FF0000"/>
        </w:rPr>
      </w:pPr>
      <w:r>
        <w:rPr>
          <w:rFonts w:hAnsi="宋体"/>
          <w:color w:val="000000" w:themeColor="text1"/>
        </w:rPr>
        <w:t>为便于使用，本标准做了下列编辑性修改：</w:t>
      </w:r>
    </w:p>
    <w:p>
      <w:pPr>
        <w:pStyle w:val="55"/>
        <w:ind w:firstLine="420"/>
        <w:rPr>
          <w:rFonts w:hAnsi="宋体"/>
          <w:color w:val="FF0000"/>
        </w:rPr>
      </w:pPr>
      <w:r>
        <w:rPr>
          <w:rFonts w:hAnsi="宋体"/>
          <w:color w:val="000000" w:themeColor="text1"/>
          <w:szCs w:val="21"/>
        </w:rPr>
        <w:t>——</w:t>
      </w:r>
      <w:r>
        <w:rPr>
          <w:rFonts w:hAnsi="宋体"/>
          <w:color w:val="000000" w:themeColor="text1"/>
        </w:rPr>
        <w:t>删除国际标准的前言；</w:t>
      </w:r>
    </w:p>
    <w:p>
      <w:pPr>
        <w:pStyle w:val="55"/>
        <w:ind w:firstLine="420"/>
        <w:rPr>
          <w:rFonts w:hAnsi="宋体"/>
        </w:rPr>
      </w:pPr>
      <w:r>
        <w:rPr>
          <w:rFonts w:hAnsi="宋体"/>
        </w:rPr>
        <w:t>与本标准中规范性引用的国际文件一致性对应关系的我国文件如下：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GB/T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3505</w:t>
      </w:r>
      <w:r>
        <w:rPr>
          <w:rFonts w:ascii="宋体" w:hAnsi="宋体"/>
        </w:rPr>
        <w:t>-2009</w:t>
      </w:r>
      <w:r>
        <w:rPr>
          <w:rFonts w:hint="eastAsia" w:ascii="宋体" w:hAnsi="宋体"/>
        </w:rPr>
        <w:t xml:space="preserve"> 产品几何技术规范</w:t>
      </w:r>
      <w:r>
        <w:rPr>
          <w:rFonts w:hint="eastAsia" w:ascii="宋体" w:hAnsi="宋体"/>
          <w:color w:val="000000" w:themeColor="text1"/>
        </w:rPr>
        <w:t>(GPS)</w:t>
      </w:r>
      <w:r>
        <w:rPr>
          <w:rFonts w:hint="eastAsia" w:ascii="宋体" w:hAnsi="宋体"/>
        </w:rPr>
        <w:t xml:space="preserve"> 表面结构 轮廓法 术语、定义及表面结构参数（</w:t>
      </w:r>
      <w:r>
        <w:rPr>
          <w:rFonts w:ascii="宋体" w:hAnsi="宋体"/>
        </w:rPr>
        <w:t>ISO 4287:1997, IDT</w:t>
      </w:r>
      <w:r>
        <w:rPr>
          <w:rFonts w:hint="eastAsia" w:ascii="宋体" w:hAnsi="宋体"/>
        </w:rPr>
        <w:t>）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GB</w:t>
      </w:r>
      <w:r>
        <w:rPr>
          <w:rFonts w:ascii="宋体" w:hAnsi="宋体"/>
          <w:color w:val="000000" w:themeColor="text1"/>
        </w:rPr>
        <w:t>/</w:t>
      </w:r>
      <w:r>
        <w:rPr>
          <w:rFonts w:hint="eastAsia" w:ascii="宋体" w:hAnsi="宋体"/>
          <w:color w:val="000000" w:themeColor="text1"/>
        </w:rPr>
        <w:t>T 18778.1</w:t>
      </w:r>
      <w:r>
        <w:rPr>
          <w:rFonts w:ascii="宋体" w:hAnsi="宋体"/>
          <w:color w:val="000000" w:themeColor="text1"/>
        </w:rPr>
        <w:t>-2002</w:t>
      </w:r>
      <w:r>
        <w:rPr>
          <w:rFonts w:hint="eastAsia" w:ascii="宋体" w:hAnsi="宋体"/>
          <w:color w:val="000000" w:themeColor="text1"/>
        </w:rPr>
        <w:t xml:space="preserve"> 产品几何量技术规范(GPS) 表面结构 轮廓法 具有复合加工特征的表面 第1部分：滤波和一般测量条件（ISO 13565-1:1996</w:t>
      </w:r>
      <w:r>
        <w:rPr>
          <w:rFonts w:ascii="宋体" w:hAnsi="宋体"/>
          <w:color w:val="000000" w:themeColor="text1"/>
        </w:rPr>
        <w:t xml:space="preserve">, </w:t>
      </w:r>
      <w:r>
        <w:rPr>
          <w:rFonts w:hint="eastAsia" w:ascii="宋体" w:hAnsi="宋体"/>
          <w:color w:val="000000" w:themeColor="text1"/>
        </w:rPr>
        <w:t>EQV）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GB</w:t>
      </w:r>
      <w:r>
        <w:rPr>
          <w:rFonts w:ascii="宋体" w:hAnsi="宋体"/>
          <w:color w:val="000000" w:themeColor="text1"/>
        </w:rPr>
        <w:t>/</w:t>
      </w:r>
      <w:r>
        <w:rPr>
          <w:rFonts w:hint="eastAsia" w:ascii="宋体" w:hAnsi="宋体"/>
          <w:color w:val="000000" w:themeColor="text1"/>
        </w:rPr>
        <w:t>T 18778.2</w:t>
      </w:r>
      <w:r>
        <w:rPr>
          <w:rFonts w:ascii="宋体" w:hAnsi="宋体"/>
          <w:color w:val="000000" w:themeColor="text1"/>
        </w:rPr>
        <w:t>-2003</w:t>
      </w:r>
      <w:r>
        <w:rPr>
          <w:rFonts w:hint="eastAsia" w:ascii="宋体" w:hAnsi="宋体"/>
          <w:color w:val="000000" w:themeColor="text1"/>
        </w:rPr>
        <w:t xml:space="preserve"> 产品几何量技术规范(GPS)</w:t>
      </w:r>
      <w:r>
        <w:rPr>
          <w:rFonts w:ascii="宋体" w:hAnsi="宋体"/>
          <w:color w:val="000000" w:themeColor="text1"/>
        </w:rPr>
        <w:t xml:space="preserve"> </w:t>
      </w:r>
      <w:r>
        <w:rPr>
          <w:rFonts w:hint="eastAsia" w:ascii="宋体" w:hAnsi="宋体"/>
          <w:color w:val="000000" w:themeColor="text1"/>
        </w:rPr>
        <w:t>表面结构 轮廓法 具有复合加工特征的表面 第2部分：用线性化的支承率曲线表征高度特性（</w:t>
      </w:r>
      <w:r>
        <w:rPr>
          <w:rFonts w:ascii="宋体" w:hAnsi="宋体"/>
          <w:color w:val="000000" w:themeColor="text1"/>
        </w:rPr>
        <w:t>ISO 13565-2:1996, IDT</w:t>
      </w:r>
      <w:r>
        <w:rPr>
          <w:rFonts w:hint="eastAsia" w:ascii="宋体" w:hAnsi="宋体"/>
          <w:color w:val="000000" w:themeColor="text1"/>
        </w:rPr>
        <w:t>）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GB</w:t>
      </w:r>
      <w:r>
        <w:rPr>
          <w:rFonts w:ascii="宋体" w:hAnsi="宋体"/>
          <w:color w:val="000000" w:themeColor="text1"/>
        </w:rPr>
        <w:t>/</w:t>
      </w:r>
      <w:r>
        <w:rPr>
          <w:rFonts w:hint="eastAsia" w:ascii="宋体" w:hAnsi="宋体"/>
          <w:color w:val="000000" w:themeColor="text1"/>
        </w:rPr>
        <w:t>T 18778.3</w:t>
      </w:r>
      <w:r>
        <w:rPr>
          <w:rFonts w:ascii="宋体" w:hAnsi="宋体"/>
          <w:color w:val="000000" w:themeColor="text1"/>
        </w:rPr>
        <w:t>-2006</w:t>
      </w:r>
      <w:r>
        <w:rPr>
          <w:rFonts w:hint="eastAsia" w:ascii="宋体" w:hAnsi="宋体"/>
          <w:color w:val="000000" w:themeColor="text1"/>
        </w:rPr>
        <w:t xml:space="preserve"> 产品几何技术规范(GPS) </w:t>
      </w:r>
      <w:r>
        <w:rPr>
          <w:rFonts w:ascii="宋体" w:hAnsi="宋体"/>
          <w:color w:val="000000" w:themeColor="text1"/>
        </w:rPr>
        <w:t xml:space="preserve"> </w:t>
      </w:r>
      <w:r>
        <w:rPr>
          <w:rFonts w:hint="eastAsia" w:ascii="宋体" w:hAnsi="宋体"/>
          <w:color w:val="000000" w:themeColor="text1"/>
        </w:rPr>
        <w:t>表面结构 轮廓法 具有复合加工特征的表面 第3部分：用概率支承率曲线表征高度特性（ISO 13565-3:1998</w:t>
      </w:r>
      <w:r>
        <w:rPr>
          <w:rFonts w:ascii="宋体" w:hAnsi="宋体"/>
          <w:color w:val="000000" w:themeColor="text1"/>
        </w:rPr>
        <w:t>, IDT</w:t>
      </w:r>
      <w:r>
        <w:rPr>
          <w:rFonts w:hint="eastAsia" w:ascii="宋体" w:hAnsi="宋体"/>
          <w:color w:val="000000" w:themeColor="text1"/>
        </w:rPr>
        <w:t>）</w:t>
      </w:r>
    </w:p>
    <w:p>
      <w:pPr>
        <w:pStyle w:val="55"/>
        <w:ind w:firstLine="420"/>
        <w:rPr>
          <w:rFonts w:hAnsi="宋体"/>
        </w:rPr>
      </w:pPr>
      <w:r>
        <w:rPr>
          <w:rFonts w:hAnsi="宋体"/>
        </w:rPr>
        <w:t>本标准使用翻译法等同采用</w:t>
      </w:r>
      <w:r>
        <w:rPr>
          <w:rFonts w:hAnsi="宋体"/>
          <w:lang w:val="de-DE"/>
        </w:rPr>
        <w:t xml:space="preserve">ISO </w:t>
      </w:r>
      <w:r>
        <w:rPr>
          <w:rFonts w:hAnsi="宋体"/>
        </w:rPr>
        <w:t>23519-2010《</w:t>
      </w:r>
      <w:r>
        <w:rPr>
          <w:rFonts w:hint="eastAsia" w:hAnsi="宋体"/>
        </w:rPr>
        <w:t>烧结金属材料（不包括硬质合金）表面粗糙度的测量</w:t>
      </w:r>
      <w:r>
        <w:rPr>
          <w:rFonts w:hAnsi="宋体"/>
        </w:rPr>
        <w:t>》。</w:t>
      </w:r>
    </w:p>
    <w:p>
      <w:pPr>
        <w:pStyle w:val="55"/>
        <w:ind w:firstLine="420"/>
        <w:rPr>
          <w:rFonts w:hAnsi="宋体"/>
          <w:kern w:val="2"/>
          <w:szCs w:val="24"/>
        </w:rPr>
      </w:pPr>
      <w:r>
        <w:rPr>
          <w:rFonts w:hint="eastAsia" w:hAnsi="宋体"/>
          <w:kern w:val="2"/>
          <w:szCs w:val="24"/>
        </w:rPr>
        <w:t>请注意本文件的某些内容可能涉及专利。本文件的发布机构不承担识别专利的责任。</w:t>
      </w:r>
    </w:p>
    <w:p>
      <w:pPr>
        <w:pStyle w:val="55"/>
        <w:ind w:firstLine="420"/>
        <w:rPr>
          <w:rFonts w:hAnsi="宋体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</w:rPr>
        <w:t>文件</w:t>
      </w:r>
      <w:r>
        <w:rPr>
          <w:rFonts w:hAnsi="宋体"/>
          <w:szCs w:val="21"/>
        </w:rPr>
        <w:t>由中国有色金属工业协会提出。</w:t>
      </w:r>
    </w:p>
    <w:p>
      <w:pPr>
        <w:pStyle w:val="55"/>
        <w:ind w:firstLine="420"/>
        <w:rPr>
          <w:rFonts w:hAnsi="宋体"/>
        </w:rPr>
      </w:pPr>
      <w:r>
        <w:rPr>
          <w:rFonts w:hAnsi="宋体"/>
        </w:rPr>
        <w:t>本</w:t>
      </w:r>
      <w:r>
        <w:rPr>
          <w:rFonts w:hint="eastAsia" w:hAnsi="宋体"/>
          <w:szCs w:val="21"/>
        </w:rPr>
        <w:t>文件</w:t>
      </w:r>
      <w:r>
        <w:rPr>
          <w:rFonts w:hAnsi="宋体"/>
        </w:rPr>
        <w:t>由全国有色金属标准化技术委员会</w:t>
      </w:r>
      <w:r>
        <w:rPr>
          <w:rFonts w:hAnsi="宋体"/>
          <w:color w:val="000000"/>
        </w:rPr>
        <w:t>（SAC/TC 243）</w:t>
      </w:r>
      <w:r>
        <w:rPr>
          <w:rFonts w:hAnsi="宋体"/>
        </w:rPr>
        <w:t>归口。</w:t>
      </w:r>
    </w:p>
    <w:p>
      <w:pPr>
        <w:pStyle w:val="55"/>
        <w:ind w:firstLine="420"/>
        <w:rPr>
          <w:rFonts w:hAnsi="宋体"/>
        </w:rPr>
      </w:pPr>
      <w:r>
        <w:rPr>
          <w:rFonts w:hAnsi="宋体"/>
        </w:rPr>
        <w:t>本</w:t>
      </w:r>
      <w:r>
        <w:rPr>
          <w:rFonts w:hint="eastAsia" w:hAnsi="宋体"/>
          <w:szCs w:val="21"/>
        </w:rPr>
        <w:t>文件</w:t>
      </w:r>
      <w:r>
        <w:rPr>
          <w:rFonts w:hAnsi="宋体"/>
        </w:rPr>
        <w:t>起草单位：深圳市注成科技</w:t>
      </w:r>
      <w:r>
        <w:rPr>
          <w:rFonts w:hint="eastAsia" w:hAnsi="宋体"/>
        </w:rPr>
        <w:t>股份</w:t>
      </w:r>
      <w:r>
        <w:rPr>
          <w:rFonts w:hAnsi="宋体"/>
        </w:rPr>
        <w:t>有限公司</w:t>
      </w:r>
      <w:r>
        <w:rPr>
          <w:rFonts w:hint="eastAsia" w:hAnsi="宋体"/>
        </w:rPr>
        <w:t>、</w:t>
      </w:r>
    </w:p>
    <w:p>
      <w:pPr>
        <w:pStyle w:val="55"/>
        <w:ind w:firstLine="420"/>
        <w:rPr>
          <w:rFonts w:hAnsi="宋体"/>
          <w:szCs w:val="21"/>
        </w:rPr>
      </w:pPr>
      <w:r>
        <w:rPr>
          <w:rFonts w:hAnsi="宋体"/>
        </w:rPr>
        <w:t>本</w:t>
      </w:r>
      <w:r>
        <w:rPr>
          <w:rFonts w:hint="eastAsia" w:hAnsi="宋体"/>
          <w:szCs w:val="21"/>
        </w:rPr>
        <w:t>文件</w:t>
      </w:r>
      <w:r>
        <w:rPr>
          <w:rFonts w:hAnsi="宋体"/>
        </w:rPr>
        <w:t>主要起草人：</w:t>
      </w:r>
    </w:p>
    <w:p>
      <w:pPr>
        <w:pStyle w:val="55"/>
        <w:ind w:firstLine="0" w:firstLineChars="0"/>
        <w:rPr>
          <w:rFonts w:hAnsi="宋体"/>
        </w:rPr>
      </w:pPr>
    </w:p>
    <w:p>
      <w:pPr>
        <w:pStyle w:val="55"/>
        <w:ind w:firstLine="0" w:firstLineChars="0"/>
        <w:rPr>
          <w:rFonts w:ascii="Times New Roman" w:eastAsiaTheme="minorEastAsia"/>
        </w:rPr>
      </w:pPr>
    </w:p>
    <w:p>
      <w:pPr>
        <w:pStyle w:val="55"/>
        <w:ind w:firstLine="0" w:firstLineChars="0"/>
        <w:rPr>
          <w:rFonts w:ascii="Times New Roman" w:eastAsiaTheme="minorEastAsia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020" w:footer="850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eastAsiaTheme="minor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烧结金属材料（不包括硬质合金）表面粗糙度的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测定</w:t>
      </w: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本文件规定了一种测量烧结金属材料表面粗糙度的测量方法，同时建立测量参数合理使用的原则。</w:t>
      </w: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规范性引用文件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ISO 4287</w:t>
      </w:r>
      <w:r>
        <w:rPr>
          <w:rFonts w:hint="eastAsia" w:ascii="宋体" w:hAnsi="宋体"/>
        </w:rPr>
        <w:t xml:space="preserve"> 产品几何技术规范（GPS）— 表面结构：轮廓法 术语、定义及表面结构参数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ISO 13565-1 产品几何技术规范</w:t>
      </w:r>
      <w:r>
        <w:rPr>
          <w:rFonts w:hint="eastAsia" w:ascii="宋体" w:hAnsi="宋体"/>
        </w:rPr>
        <w:t>（GPS）</w:t>
      </w:r>
      <w:r>
        <w:rPr>
          <w:rFonts w:hint="eastAsia" w:ascii="宋体" w:hAnsi="宋体"/>
          <w:color w:val="000000" w:themeColor="text1"/>
        </w:rPr>
        <w:t>— 表面结构：轮廓法 具有复合加工特征的表面 第1部分：滤波和一般测量条件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ISO 13565-2 产品几何技术规范</w:t>
      </w:r>
      <w:r>
        <w:rPr>
          <w:rFonts w:hint="eastAsia" w:ascii="宋体" w:hAnsi="宋体"/>
        </w:rPr>
        <w:t>（GPS）—</w:t>
      </w:r>
      <w:r>
        <w:rPr>
          <w:rFonts w:ascii="宋体" w:hAnsi="宋体"/>
          <w:color w:val="000000" w:themeColor="text1"/>
        </w:rPr>
        <w:t xml:space="preserve"> </w:t>
      </w:r>
      <w:r>
        <w:rPr>
          <w:rFonts w:hint="eastAsia" w:ascii="宋体" w:hAnsi="宋体"/>
          <w:color w:val="000000" w:themeColor="text1"/>
        </w:rPr>
        <w:t>表面结构：轮廓法 具有复合加工特征的表面 第2部分：用线性化的支承率曲线表征高度特性</w:t>
      </w:r>
    </w:p>
    <w:p>
      <w:pPr>
        <w:ind w:firstLine="420" w:firstLineChars="2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ISO 13565-3 产品几何技术规范</w:t>
      </w:r>
      <w:r>
        <w:rPr>
          <w:rFonts w:hint="eastAsia" w:ascii="宋体" w:hAnsi="宋体"/>
        </w:rPr>
        <w:t>（GPS）—</w:t>
      </w:r>
      <w:r>
        <w:rPr>
          <w:rFonts w:hint="eastAsia" w:ascii="宋体" w:hAnsi="宋体"/>
          <w:color w:val="000000" w:themeColor="text1"/>
        </w:rPr>
        <w:t xml:space="preserve"> 表面结构：轮廓法 具有复合加工特征的表面 第3部分：用概率支承率曲线表征高度特性</w:t>
      </w: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术语和定义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GB/T 3505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GB/T 18778.2</w:t>
      </w:r>
      <w:r>
        <w:rPr>
          <w:rFonts w:hint="eastAsia" w:ascii="宋体" w:hAnsi="宋体"/>
        </w:rPr>
        <w:t>中定义的术语同样适用于本文件。</w:t>
      </w: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符号及单位</w:t>
      </w:r>
    </w:p>
    <w:p>
      <w:pPr>
        <w:pStyle w:val="127"/>
        <w:spacing w:beforeLines="100" w:afterLines="100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>文件使用了下列符号及单位：</w:t>
      </w:r>
    </w:p>
    <w:tbl>
      <w:tblPr>
        <w:tblStyle w:val="31"/>
        <w:tblW w:w="56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02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符号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定义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Rpk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u w:val="single"/>
              </w:rPr>
            </w:pPr>
            <w:r>
              <w:rPr>
                <w:rFonts w:hint="eastAsia" w:ascii="宋体" w:hAnsi="宋体" w:cs="Tahoma"/>
                <w:color w:val="000000"/>
                <w:u w:val="single"/>
              </w:rPr>
              <w:t>去除</w:t>
            </w:r>
            <w:r>
              <w:rPr>
                <w:rFonts w:ascii="宋体" w:hAnsi="宋体" w:cs="Tahoma"/>
                <w:color w:val="000000"/>
                <w:u w:val="single"/>
              </w:rPr>
              <w:t>的峰值高度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轮廓最大峰高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Rv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ascii="宋体" w:hAnsi="宋体" w:cs="Tahoma"/>
                <w:color w:val="000000" w:themeColor="text1"/>
              </w:rPr>
              <w:t>轮廓</w:t>
            </w:r>
            <w:r>
              <w:rPr>
                <w:rFonts w:hint="eastAsia" w:ascii="宋体" w:hAnsi="宋体" w:cs="Tahoma"/>
                <w:color w:val="000000" w:themeColor="text1"/>
              </w:rPr>
              <w:t>最大谷深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Rz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轮廓最大高度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</w:t>
            </w:r>
            <w:r>
              <w:rPr>
                <w:rFonts w:ascii="宋体" w:hAnsi="宋体" w:cs="Tahoma"/>
                <w:color w:val="000000" w:themeColor="text1"/>
              </w:rPr>
              <w:t>总</w:t>
            </w:r>
            <w:r>
              <w:rPr>
                <w:rFonts w:hint="eastAsia" w:ascii="宋体" w:hAnsi="宋体" w:cs="Tahoma"/>
                <w:color w:val="000000" w:themeColor="text1"/>
              </w:rPr>
              <w:t>高度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轮廓算术平均偏差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Rq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ascii="宋体" w:hAnsi="宋体" w:cs="Tahoma"/>
                <w:color w:val="000000" w:themeColor="text1"/>
              </w:rPr>
              <w:t>轮廓</w:t>
            </w:r>
            <w:r>
              <w:rPr>
                <w:rFonts w:hint="eastAsia" w:ascii="宋体" w:hAnsi="宋体" w:cs="Tahoma"/>
                <w:color w:val="000000" w:themeColor="text1"/>
              </w:rPr>
              <w:t>均方根偏差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表面粗糙度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RSm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轮廓单元</w:t>
            </w:r>
            <w:r>
              <w:rPr>
                <w:rFonts w:ascii="宋体" w:hAnsi="宋体" w:cs="Tahoma"/>
                <w:color w:val="000000" w:themeColor="text1"/>
              </w:rPr>
              <w:t>的</w:t>
            </w:r>
            <w:r>
              <w:rPr>
                <w:rFonts w:hint="eastAsia" w:ascii="宋体" w:hAnsi="宋体" w:cs="Tahoma"/>
                <w:color w:val="000000" w:themeColor="text1"/>
              </w:rPr>
              <w:t>平均宽度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hint="eastAsia" w:ascii="宋体" w:hAnsi="宋体" w:cs="Tahoma"/>
                <w:i/>
                <w:color w:val="FF0000"/>
              </w:rPr>
              <w:t xml:space="preserve">   </w:t>
            </w:r>
            <w:r>
              <w:rPr>
                <w:rFonts w:ascii="宋体" w:hAnsi="宋体" w:cs="Tahoma"/>
                <w:i/>
                <w:color w:val="FF0000"/>
              </w:rPr>
              <w:t>Rmc</w:t>
            </w:r>
            <w:r>
              <w:rPr>
                <w:rFonts w:hint="eastAsia" w:ascii="宋体" w:hAnsi="宋体" w:cs="Tahoma"/>
                <w:i/>
                <w:color w:val="FF0000"/>
              </w:rPr>
              <w:t>(c)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轮廓支撑长度率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u w:val="single"/>
              </w:rPr>
            </w:pPr>
            <w:r>
              <w:rPr>
                <w:rFonts w:hint="eastAsia" w:ascii="宋体" w:hAnsi="宋体" w:cs="Tahoma"/>
                <w:color w:val="000000"/>
                <w:u w:val="single"/>
              </w:rPr>
              <w:t>核心粗糙度深度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Rvk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去除</w:t>
            </w:r>
            <w:r>
              <w:rPr>
                <w:rFonts w:ascii="宋体" w:hAnsi="宋体" w:cs="Tahoma"/>
                <w:color w:val="000000" w:themeColor="text1"/>
              </w:rPr>
              <w:t>的谷值深度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密度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g/cm</w:t>
            </w:r>
            <w:r>
              <w:rPr>
                <w:rFonts w:ascii="宋体" w:hAnsi="宋体" w:cs="Tahoma"/>
                <w:color w:val="000000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i/>
                <w:color w:val="FF0000"/>
              </w:rPr>
            </w:pPr>
            <w:r>
              <w:rPr>
                <w:rFonts w:ascii="宋体" w:hAnsi="宋体" w:cs="Tahoma"/>
                <w:i/>
                <w:color w:val="FF0000"/>
              </w:rPr>
              <w:t>c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</w:rPr>
            </w:pPr>
            <w:r>
              <w:rPr>
                <w:rFonts w:hint="eastAsia" w:ascii="宋体" w:hAnsi="宋体" w:cs="Tahoma"/>
                <w:color w:val="000000" w:themeColor="text1"/>
              </w:rPr>
              <w:t>轮廓水平截距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/>
                <w:color w:val="000000"/>
              </w:rPr>
              <w:t>μm</w:t>
            </w:r>
          </w:p>
        </w:tc>
      </w:tr>
    </w:tbl>
    <w:p>
      <w:pPr>
        <w:pStyle w:val="127"/>
        <w:ind w:left="360" w:firstLine="0" w:firstLineChars="0"/>
        <w:rPr>
          <w:rFonts w:ascii="宋体" w:hAnsi="宋体"/>
        </w:rPr>
      </w:pP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测量原理</w:t>
      </w:r>
    </w:p>
    <w:p>
      <w:pPr>
        <w:pStyle w:val="127"/>
        <w:ind w:left="0"/>
        <w:jc w:val="left"/>
        <w:rPr>
          <w:rFonts w:ascii="宋体" w:hAnsi="宋体"/>
        </w:rPr>
      </w:pPr>
      <w:r>
        <w:rPr>
          <w:rFonts w:hint="eastAsia" w:ascii="宋体" w:hAnsi="宋体"/>
        </w:rPr>
        <w:t>表面粗糙度需按照标准程序测量。因为烧结材料的孔隙度和表面性质不一样，所以其粗糙度不能和加工材料进行比较。大多数粗糙度参数都是通过测量表面峰高来进行表征的，孔洞的存在会影响粗糙度，因为孔洞会增加峰高。</w:t>
      </w:r>
      <w:r>
        <w:rPr>
          <w:rFonts w:hint="eastAsia" w:ascii="宋体" w:hAnsi="宋体"/>
          <w:color w:val="FF0000"/>
        </w:rPr>
        <w:t>本文件规定了一种测量材料表面粗糙度的最佳参数和方法</w:t>
      </w:r>
      <w:r>
        <w:rPr>
          <w:rFonts w:hint="eastAsia" w:ascii="宋体" w:hAnsi="宋体"/>
        </w:rPr>
        <w:t>。</w:t>
      </w: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测量方法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  <w:color w:val="FF0000"/>
        </w:rPr>
        <w:t>按照ISO 13565-1、ISO 13565-2、ISO 13565-3</w:t>
      </w:r>
      <w:r>
        <w:rPr>
          <w:rFonts w:hint="eastAsia" w:ascii="宋体" w:hAnsi="宋体"/>
        </w:rPr>
        <w:t>，材料的表面粗糙度使用以下特定参数进行测量：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</w:rPr>
        <w:t xml:space="preserve">a）使用标准高斯滤波后的轮廓曲线进行测量，取样长度0.8mm； 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</w:rPr>
        <w:t>b）评定长度4.0mm，是取样长度0.8mm的5倍；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</w:rPr>
        <w:t>注：只有在表面粗糙度Ra大于4.0</w:t>
      </w:r>
      <w:r>
        <w:rPr>
          <w:rFonts w:ascii="宋体" w:hAnsi="宋体"/>
        </w:rPr>
        <w:t>μm</w:t>
      </w:r>
      <w:r>
        <w:rPr>
          <w:rFonts w:hint="eastAsia" w:ascii="宋体" w:hAnsi="宋体"/>
        </w:rPr>
        <w:t>时，取样长度才增加到2.5mm，相应的评定长度为12.5mm。因为表面不规则时，需要测量更加长的表面才能得到较为真实的粗糙度。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</w:rPr>
        <w:t>c）使用一个半径2</w:t>
      </w:r>
      <w:r>
        <w:rPr>
          <w:rFonts w:ascii="宋体" w:hAnsi="宋体"/>
        </w:rPr>
        <w:t>μm</w:t>
      </w:r>
      <w:r>
        <w:rPr>
          <w:rFonts w:hint="eastAsia" w:ascii="宋体" w:hAnsi="宋体"/>
        </w:rPr>
        <w:t>的探针来测量材料表面的不平整度；</w:t>
      </w:r>
    </w:p>
    <w:p>
      <w:pPr>
        <w:pStyle w:val="127"/>
        <w:ind w:left="0"/>
        <w:rPr>
          <w:rFonts w:ascii="宋体" w:hAnsi="宋体"/>
        </w:rPr>
      </w:pPr>
      <w:r>
        <w:rPr>
          <w:rFonts w:hint="eastAsia" w:ascii="宋体" w:hAnsi="宋体"/>
        </w:rPr>
        <w:t>d）通过参数Rk和Rpk来表征表面粗糙度，单位微米。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有的表面粗糙度参数受孔洞影响较大，表征的不是表面的真实状态，而是表面峰高和开气孔的尺寸的综合状态，比如Rp、Rv、Rz、Rt、Ra、Rq、Rs以及RSm等，这些参数不宜使用。</w:t>
      </w:r>
    </w:p>
    <w:p>
      <w:pPr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为了阐明利用Rpk参数来表征粗糙度相对于其他表征加工材料粗糙度参数的便利性，表1对比了不同材料及表面状态的粗糙度表征。</w:t>
      </w: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351790</wp:posOffset>
            </wp:positionV>
            <wp:extent cx="6360795" cy="4878705"/>
            <wp:effectExtent l="19050" t="0" r="1877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1" cy="488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21"/>
        </w:rPr>
        <w:t>表1.粉末冶金材料和加工材料粗糙度的比较</w:t>
      </w: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Theme="minorEastAsia" w:hAnsiTheme="minorEastAsia" w:eastAsiaTheme="minorEastAsia"/>
          <w:b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Theme="minorEastAsia" w:hAnsiTheme="minorEastAsia" w:eastAsiaTheme="minorEastAsia"/>
          <w:b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Theme="minorEastAsia" w:hAnsiTheme="minorEastAsia" w:eastAsiaTheme="minorEastAsia"/>
          <w:b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7"/>
        <w:spacing w:beforeLines="100" w:afterLines="100"/>
        <w:ind w:left="0" w:firstLine="0" w:firstLineChars="0"/>
        <w:rPr>
          <w:rFonts w:ascii="Times New Roman" w:hAnsi="Times New Roman" w:eastAsiaTheme="minorEastAsia"/>
        </w:rPr>
      </w:pPr>
    </w:p>
    <w:p>
      <w:pPr>
        <w:pStyle w:val="127"/>
        <w:spacing w:beforeLines="100" w:afterLines="100"/>
        <w:ind w:left="360" w:firstLine="0" w:firstLineChars="0"/>
        <w:rPr>
          <w:rFonts w:ascii="宋体" w:hAnsi="宋体"/>
        </w:rPr>
      </w:pPr>
    </w:p>
    <w:p>
      <w:pPr>
        <w:pStyle w:val="127"/>
        <w:spacing w:beforeLines="100" w:afterLines="100"/>
        <w:ind w:left="360" w:firstLine="0" w:firstLineChars="0"/>
        <w:rPr>
          <w:rFonts w:ascii="宋体" w:hAnsi="宋体"/>
        </w:rPr>
      </w:pPr>
    </w:p>
    <w:p>
      <w:pPr>
        <w:pStyle w:val="127"/>
        <w:spacing w:beforeLines="100" w:afterLines="100"/>
        <w:ind w:left="360" w:firstLine="0" w:firstLineChars="0"/>
        <w:rPr>
          <w:rFonts w:ascii="宋体" w:hAnsi="宋体"/>
        </w:rPr>
      </w:pPr>
    </w:p>
    <w:p>
      <w:pPr>
        <w:pStyle w:val="127"/>
        <w:spacing w:beforeLines="100" w:afterLines="100"/>
        <w:ind w:left="360" w:firstLine="0" w:firstLineChars="0"/>
        <w:rPr>
          <w:rFonts w:ascii="宋体" w:hAnsi="宋体"/>
        </w:rPr>
      </w:pPr>
    </w:p>
    <w:p>
      <w:pPr>
        <w:pStyle w:val="127"/>
        <w:numPr>
          <w:ilvl w:val="0"/>
          <w:numId w:val="16"/>
        </w:numPr>
        <w:spacing w:beforeLines="100" w:afterLines="100"/>
        <w:ind w:left="357" w:hanging="357" w:firstLineChars="0"/>
        <w:rPr>
          <w:rFonts w:hint="eastAsia" w:ascii="黑体" w:hAnsi="黑体" w:eastAsia="黑体" w:cs="黑体"/>
        </w:rPr>
      </w:pPr>
      <w:bookmarkStart w:id="2" w:name="_GoBack"/>
      <w:r>
        <w:rPr>
          <w:rFonts w:hint="eastAsia" w:ascii="黑体" w:hAnsi="黑体" w:eastAsia="黑体" w:cs="黑体"/>
        </w:rPr>
        <w:t>粗糙度表征</w:t>
      </w:r>
    </w:p>
    <w:bookmarkEnd w:id="2"/>
    <w:p>
      <w:pPr>
        <w:pStyle w:val="127"/>
        <w:spacing w:beforeLines="50" w:afterLines="50"/>
        <w:ind w:left="0"/>
        <w:rPr>
          <w:rFonts w:ascii="宋体" w:hAnsi="宋体"/>
        </w:rPr>
      </w:pPr>
      <w:r>
        <w:rPr>
          <w:rFonts w:hint="eastAsia" w:ascii="宋体" w:hAnsi="宋体"/>
        </w:rPr>
        <w:t>表面粗糙度的结果通过参数Rk和Rpk来进行表征，单位是微米，结果精确到0.1</w:t>
      </w:r>
      <w:r>
        <w:rPr>
          <w:rFonts w:ascii="宋体" w:hAnsi="宋体"/>
        </w:rPr>
        <w:t>μm</w:t>
      </w:r>
      <w:r>
        <w:rPr>
          <w:rFonts w:hint="eastAsia" w:ascii="宋体" w:hAnsi="宋体"/>
        </w:rPr>
        <w:t>。</w:t>
      </w:r>
    </w:p>
    <w:p>
      <w:pPr>
        <w:pStyle w:val="127"/>
        <w:spacing w:beforeLines="100" w:afterLines="100"/>
        <w:ind w:left="0" w:firstLine="0" w:firstLineChars="0"/>
        <w:rPr>
          <w:rFonts w:ascii="Times New Roman" w:hAnsi="Times New Roman" w:eastAsiaTheme="minorEastAsia"/>
        </w:rPr>
        <w:sectPr>
          <w:headerReference r:id="rId15" w:type="first"/>
          <w:footerReference r:id="rId16" w:type="first"/>
          <w:headerReference r:id="rId13" w:type="default"/>
          <w:headerReference r:id="rId14" w:type="even"/>
          <w:pgSz w:w="11907" w:h="16839"/>
          <w:pgMar w:top="1418" w:right="1134" w:bottom="1134" w:left="1418" w:header="1020" w:footer="850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127"/>
        <w:spacing w:beforeLines="50"/>
        <w:ind w:firstLine="0" w:firstLineChars="0"/>
        <w:jc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4"/>
          <w:szCs w:val="24"/>
        </w:rPr>
        <w:t>参考文献</w:t>
      </w:r>
    </w:p>
    <w:p>
      <w:pPr>
        <w:pStyle w:val="127"/>
        <w:spacing w:beforeLines="50"/>
        <w:ind w:firstLine="0" w:firstLineChars="0"/>
        <w:jc w:val="center"/>
        <w:rPr>
          <w:rFonts w:ascii="Times New Roman" w:hAnsi="Times New Roman" w:eastAsiaTheme="minorEastAsia"/>
          <w:color w:val="000000" w:themeColor="text1"/>
          <w:szCs w:val="21"/>
        </w:rPr>
      </w:pPr>
    </w:p>
    <w:p>
      <w:pPr>
        <w:spacing w:line="195" w:lineRule="atLeast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ISO 3274，</w:t>
      </w:r>
      <w:r>
        <w:rPr>
          <w:rFonts w:ascii="宋体" w:hAnsi="宋体"/>
          <w:color w:val="000000"/>
          <w:szCs w:val="21"/>
        </w:rPr>
        <w:t xml:space="preserve">Geometrical Product Specifications (GPS) - Surface texture: Profile method -Nominal characteristics of contact (stylus) instruments </w:t>
      </w:r>
    </w:p>
    <w:p>
      <w:pPr>
        <w:spacing w:line="220" w:lineRule="atLeast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[2] ISO 4288，</w:t>
      </w:r>
      <w:r>
        <w:rPr>
          <w:rFonts w:ascii="宋体" w:hAnsi="宋体"/>
          <w:color w:val="000000"/>
          <w:szCs w:val="21"/>
        </w:rPr>
        <w:t>Geometrical Product Specifications (GPS) - Surface texture: Profile method - Rules and procedures for the assessment of surface texture</w:t>
      </w:r>
    </w:p>
    <w:p>
      <w:pPr>
        <w:spacing w:line="220" w:lineRule="atLeast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[3] ISO 11562，</w:t>
      </w:r>
      <w:r>
        <w:rPr>
          <w:rFonts w:ascii="宋体" w:hAnsi="宋体"/>
          <w:color w:val="000000"/>
          <w:szCs w:val="21"/>
        </w:rPr>
        <w:t>Geometrical Product Specifications (GPS) - Surface texture: Profile method - Metrological characteristics of phase correct filters</w:t>
      </w:r>
    </w:p>
    <w:p>
      <w:pPr>
        <w:spacing w:line="220" w:lineRule="atLeast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[4] ISO 12085，</w:t>
      </w:r>
      <w:r>
        <w:rPr>
          <w:rFonts w:ascii="宋体" w:hAnsi="宋体"/>
          <w:color w:val="000000"/>
          <w:szCs w:val="21"/>
        </w:rPr>
        <w:t xml:space="preserve">Geometrical </w:t>
      </w:r>
      <w:r>
        <w:rPr>
          <w:rFonts w:hint="eastAsia" w:ascii="宋体" w:hAnsi="宋体"/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roduct</w:t>
      </w:r>
      <w:r>
        <w:rPr>
          <w:rFonts w:hint="eastAsia" w:ascii="宋体" w:hAnsi="宋体"/>
          <w:color w:val="000000"/>
          <w:szCs w:val="21"/>
        </w:rPr>
        <w:t xml:space="preserve"> S</w:t>
      </w:r>
      <w:r>
        <w:rPr>
          <w:rFonts w:ascii="宋体" w:hAnsi="宋体"/>
          <w:color w:val="000000"/>
          <w:szCs w:val="21"/>
        </w:rPr>
        <w:t>specification (GPS) - Surface texture</w:t>
      </w:r>
      <w:r>
        <w:rPr>
          <w:rFonts w:hint="eastAsia" w:ascii="宋体" w:hAnsi="宋体"/>
          <w:color w:val="000000"/>
          <w:szCs w:val="21"/>
        </w:rPr>
        <w:t>:</w:t>
      </w:r>
      <w:r>
        <w:rPr>
          <w:rFonts w:ascii="宋体" w:hAnsi="宋体"/>
          <w:color w:val="000000"/>
          <w:szCs w:val="21"/>
        </w:rPr>
        <w:t xml:space="preserve"> Profile method - Motif parameters</w:t>
      </w:r>
    </w:p>
    <w:p>
      <w:pPr>
        <w:rPr>
          <w:rFonts w:eastAsiaTheme="minorEastAsia"/>
          <w:color w:val="000000" w:themeColor="text1"/>
          <w:szCs w:val="21"/>
        </w:rPr>
      </w:pPr>
    </w:p>
    <w:p>
      <w:pPr>
        <w:pStyle w:val="127"/>
        <w:spacing w:beforeLines="50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pict>
          <v:line id="Line 194" o:spid="_x0000_s1027" o:spt="20" style="position:absolute;left:0pt;margin-left:198.75pt;margin-top:101.9pt;height:0pt;width:110pt;z-index:251663360;mso-width-relative:page;mso-height-relative:page;" coordsize="21600,21600" o:allowincell="f" o:gfxdata="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9AHoXY&#10;AAAACwEAAA8AAAAAAAAAAQAgAAAAIgAAAGRycy9kb3ducmV2LnhtbFBLAQIUABQAAAAIAIdO4kDW&#10;5pxCrgEAAFQDAAAOAAAAAAAAAAEAIAAAACcBAABkcnMvZTJvRG9jLnhtbFBLBQYAAAAABgAGAFkB&#10;AABHBQAAAAA=&#10;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19" w:type="first"/>
      <w:footerReference r:id="rId17" w:type="default"/>
      <w:footerReference r:id="rId18" w:type="even"/>
      <w:pgSz w:w="11907" w:h="16839"/>
      <w:pgMar w:top="1417" w:right="1134" w:bottom="1134" w:left="1418" w:header="1020" w:footer="850" w:gutter="0"/>
      <w:cols w:space="0" w:num="1"/>
      <w:titlePg/>
      <w:docGrid w:type="line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rStyle w:val="34"/>
      </w:rPr>
    </w:pPr>
    <w:r>
      <w:pict>
        <v:shape id="_x0000_s2056" o:spid="_x0000_s205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qXRUQ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6l0V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9"/>
                </w:pPr>
                <w:r>
                  <w:rPr>
                    <w:rStyle w:val="34"/>
                  </w:rPr>
                  <w:fldChar w:fldCharType="begin"/>
                </w:r>
                <w:r>
                  <w:rPr>
                    <w:rStyle w:val="34"/>
                  </w:rPr>
                  <w:instrText xml:space="preserve">PAGE  </w:instrText>
                </w:r>
                <w:r>
                  <w:rPr>
                    <w:rStyle w:val="34"/>
                  </w:rPr>
                  <w:fldChar w:fldCharType="separate"/>
                </w:r>
                <w:r>
                  <w:rPr>
                    <w:rStyle w:val="34"/>
                  </w:rPr>
                  <w:t>1</w:t>
                </w:r>
                <w:r>
                  <w:rPr>
                    <w:rStyle w:val="3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w:pict>
        <v:shape id="_x0000_s2055" o:spid="_x0000_s2055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nDlU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U6cOVR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lef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mziA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kmziAPAgAACQ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FrnWARAgAACQQAAA4AAABkcnMvZTJvRG9jLnhtbK1TzY7TMBC+I/EO&#10;lu80aRGrUj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YWudYB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5ipc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dOYqX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02dc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1dNnX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51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lef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b/>
      </w:rPr>
    </w:pPr>
    <w:r>
      <w:rPr>
        <w:b/>
        <w:lang w:val="de-DE"/>
      </w:rPr>
      <w:t xml:space="preserve">GB/T </w:t>
    </w:r>
    <w:r>
      <w:rPr>
        <w:rFonts w:ascii="黑体" w:hAnsi="黑体" w:eastAsia="黑体"/>
        <w:lang w:val="de-DE"/>
      </w:rPr>
      <w:t>XXXX-XXXX</w:t>
    </w:r>
    <w:r>
      <w:rPr>
        <w:b/>
        <w:lang w:val="de-DE"/>
      </w:rPr>
      <w:t xml:space="preserve">/ISO </w:t>
    </w:r>
    <w:r>
      <w:rPr>
        <w:rFonts w:ascii="黑体" w:hAnsi="黑体" w:eastAsia="黑体"/>
      </w:rPr>
      <w:t>23519-2010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hint="eastAsia" w:eastAsia="黑体"/>
        <w:b/>
      </w:rPr>
      <w:t xml:space="preserve">                                                                                                          </w:t>
    </w:r>
    <w:r>
      <w:rPr>
        <w:rFonts w:eastAsia="黑体"/>
        <w:b/>
        <w:lang w:val="pt-BR"/>
      </w:rPr>
      <w:t xml:space="preserve">GB/T </w:t>
    </w:r>
    <w:r>
      <w:rPr>
        <w:rFonts w:ascii="黑体" w:hAnsi="黑体" w:eastAsia="黑体"/>
        <w:lang w:val="pt-BR"/>
      </w:rPr>
      <w:t>XXXX-XXXX</w:t>
    </w:r>
    <w:r>
      <w:rPr>
        <w:rFonts w:eastAsia="黑体"/>
        <w:b/>
        <w:lang w:val="pt-BR"/>
      </w:rPr>
      <w:t>/ISO</w:t>
    </w:r>
    <w:r>
      <w:rPr>
        <w:rFonts w:ascii="黑体" w:hAnsi="黑体" w:eastAsia="黑体"/>
        <w:lang w:val="pt-BR"/>
      </w:rPr>
      <w:t xml:space="preserve"> </w:t>
    </w:r>
    <w:r>
      <w:rPr>
        <w:rFonts w:ascii="黑体" w:hAnsi="黑体" w:eastAsia="黑体"/>
      </w:rPr>
      <w:t>23519-2010</w:t>
    </w:r>
  </w:p>
  <w:p>
    <w:pPr>
      <w:pStyle w:val="50"/>
      <w:wordWrap w:val="0"/>
      <w:rPr>
        <w:rFonts w:eastAsia="黑体"/>
        <w:b/>
        <w:lang w:val="pt-B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eastAsia="黑体"/>
        <w:b/>
        <w:lang w:val="pt-BR"/>
      </w:rPr>
      <w:t>GB/T</w:t>
    </w:r>
    <w:r>
      <w:rPr>
        <w:rFonts w:ascii="黑体" w:hAnsi="黑体" w:eastAsia="黑体"/>
        <w:lang w:val="pt-BR"/>
      </w:rPr>
      <w:t xml:space="preserve"> XXXX-XXXX</w:t>
    </w:r>
    <w:r>
      <w:rPr>
        <w:rFonts w:eastAsia="黑体"/>
        <w:b/>
        <w:lang w:val="pt-BR"/>
      </w:rPr>
      <w:t xml:space="preserve">/ISO </w:t>
    </w:r>
    <w:r>
      <w:rPr>
        <w:rFonts w:ascii="黑体" w:hAnsi="黑体" w:eastAsia="黑体"/>
        <w:lang w:val="pt-BR"/>
      </w:rPr>
      <w:t>23519-2010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eastAsia="黑体"/>
        <w:b/>
        <w:lang w:val="pt-BR"/>
      </w:rPr>
      <w:t>GB/T</w:t>
    </w:r>
    <w:r>
      <w:rPr>
        <w:rFonts w:ascii="黑体" w:hAnsi="黑体" w:eastAsia="黑体"/>
        <w:lang w:val="pt-BR"/>
      </w:rPr>
      <w:t xml:space="preserve"> XXXX-XXXX</w:t>
    </w:r>
    <w:r>
      <w:rPr>
        <w:rFonts w:eastAsia="黑体"/>
        <w:b/>
        <w:lang w:val="pt-BR"/>
      </w:rPr>
      <w:t>/ISO</w:t>
    </w:r>
    <w:r>
      <w:rPr>
        <w:rFonts w:ascii="黑体" w:hAnsi="黑体" w:eastAsia="黑体"/>
        <w:lang w:val="pt-BR"/>
      </w:rPr>
      <w:t xml:space="preserve"> </w:t>
    </w:r>
    <w:r>
      <w:rPr>
        <w:rFonts w:ascii="黑体" w:hAnsi="黑体" w:eastAsia="黑体"/>
      </w:rPr>
      <w:t>23519-2010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 w:tentative="0">
      <w:start w:val="1"/>
      <w:numFmt w:val="none"/>
      <w:pStyle w:val="123"/>
      <w:suff w:val="nothing"/>
      <w:lvlText w:val="——"/>
      <w:lvlJc w:val="left"/>
      <w:pPr>
        <w:ind w:left="794" w:hanging="397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 w:tentative="0">
      <w:start w:val="1"/>
      <w:numFmt w:val="none"/>
      <w:pStyle w:val="78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 w:tentative="0">
      <w:start w:val="1"/>
      <w:numFmt w:val="none"/>
      <w:pStyle w:val="104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96E4D7B"/>
    <w:multiLevelType w:val="multilevel"/>
    <w:tmpl w:val="496E4D7B"/>
    <w:lvl w:ilvl="0" w:tentative="0">
      <w:start w:val="1"/>
      <w:numFmt w:val="none"/>
      <w:pStyle w:val="10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F302902"/>
    <w:multiLevelType w:val="multilevel"/>
    <w:tmpl w:val="4F302902"/>
    <w:lvl w:ilvl="0" w:tentative="0">
      <w:start w:val="1"/>
      <w:numFmt w:val="none"/>
      <w:pStyle w:val="7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4632751"/>
    <w:multiLevelType w:val="multilevel"/>
    <w:tmpl w:val="54632751"/>
    <w:lvl w:ilvl="0" w:tentative="0">
      <w:start w:val="1"/>
      <w:numFmt w:val="none"/>
      <w:pStyle w:val="124"/>
      <w:suff w:val="nothing"/>
      <w:lvlText w:val="——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8">
    <w:nsid w:val="557C2AF5"/>
    <w:multiLevelType w:val="multilevel"/>
    <w:tmpl w:val="557C2AF5"/>
    <w:lvl w:ilvl="0" w:tentative="0">
      <w:start w:val="1"/>
      <w:numFmt w:val="decimal"/>
      <w:pStyle w:val="9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 w:tentative="0">
      <w:start w:val="1"/>
      <w:numFmt w:val="none"/>
      <w:pStyle w:val="83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 w:tentative="0">
      <w:start w:val="1"/>
      <w:numFmt w:val="decimal"/>
      <w:pStyle w:val="9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0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8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BC80201"/>
    <w:multiLevelType w:val="multilevel"/>
    <w:tmpl w:val="7BC8020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7AC"/>
    <w:rsid w:val="00000795"/>
    <w:rsid w:val="00001796"/>
    <w:rsid w:val="000020F7"/>
    <w:rsid w:val="00006CAC"/>
    <w:rsid w:val="00007C4D"/>
    <w:rsid w:val="00010465"/>
    <w:rsid w:val="000111EB"/>
    <w:rsid w:val="00011EEE"/>
    <w:rsid w:val="00012E77"/>
    <w:rsid w:val="00012EAC"/>
    <w:rsid w:val="00015B84"/>
    <w:rsid w:val="00017650"/>
    <w:rsid w:val="00017D91"/>
    <w:rsid w:val="000227BD"/>
    <w:rsid w:val="000249D2"/>
    <w:rsid w:val="00025EE5"/>
    <w:rsid w:val="000277AB"/>
    <w:rsid w:val="00031F19"/>
    <w:rsid w:val="00032B04"/>
    <w:rsid w:val="00032BFB"/>
    <w:rsid w:val="000348E3"/>
    <w:rsid w:val="00035E36"/>
    <w:rsid w:val="00036B7D"/>
    <w:rsid w:val="000410A7"/>
    <w:rsid w:val="00041139"/>
    <w:rsid w:val="00042EAA"/>
    <w:rsid w:val="00043168"/>
    <w:rsid w:val="00043CD0"/>
    <w:rsid w:val="000440CF"/>
    <w:rsid w:val="00045CD2"/>
    <w:rsid w:val="0004750E"/>
    <w:rsid w:val="00050AD7"/>
    <w:rsid w:val="000520AA"/>
    <w:rsid w:val="000556F2"/>
    <w:rsid w:val="00055EF7"/>
    <w:rsid w:val="00057654"/>
    <w:rsid w:val="00057B96"/>
    <w:rsid w:val="000634A7"/>
    <w:rsid w:val="00065155"/>
    <w:rsid w:val="00065263"/>
    <w:rsid w:val="00065815"/>
    <w:rsid w:val="00065B85"/>
    <w:rsid w:val="00065D21"/>
    <w:rsid w:val="000708A7"/>
    <w:rsid w:val="00072952"/>
    <w:rsid w:val="00072CAD"/>
    <w:rsid w:val="00073EED"/>
    <w:rsid w:val="00074A26"/>
    <w:rsid w:val="00076291"/>
    <w:rsid w:val="00076845"/>
    <w:rsid w:val="0007739B"/>
    <w:rsid w:val="00077573"/>
    <w:rsid w:val="00077610"/>
    <w:rsid w:val="0008093E"/>
    <w:rsid w:val="00081556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5EB4"/>
    <w:rsid w:val="00096C20"/>
    <w:rsid w:val="00097E31"/>
    <w:rsid w:val="000A0811"/>
    <w:rsid w:val="000A2BB3"/>
    <w:rsid w:val="000A2E0C"/>
    <w:rsid w:val="000A3512"/>
    <w:rsid w:val="000A3E80"/>
    <w:rsid w:val="000A624C"/>
    <w:rsid w:val="000A6677"/>
    <w:rsid w:val="000B051A"/>
    <w:rsid w:val="000B0B0E"/>
    <w:rsid w:val="000B275C"/>
    <w:rsid w:val="000B2AE3"/>
    <w:rsid w:val="000B2C7B"/>
    <w:rsid w:val="000B3E1C"/>
    <w:rsid w:val="000B5116"/>
    <w:rsid w:val="000B58AC"/>
    <w:rsid w:val="000B6439"/>
    <w:rsid w:val="000C156E"/>
    <w:rsid w:val="000C1F54"/>
    <w:rsid w:val="000C27CF"/>
    <w:rsid w:val="000C364B"/>
    <w:rsid w:val="000D0E16"/>
    <w:rsid w:val="000D1698"/>
    <w:rsid w:val="000D1A4A"/>
    <w:rsid w:val="000D1ADA"/>
    <w:rsid w:val="000D3DC0"/>
    <w:rsid w:val="000D3E86"/>
    <w:rsid w:val="000E114E"/>
    <w:rsid w:val="000E14DC"/>
    <w:rsid w:val="000E248F"/>
    <w:rsid w:val="000E27C6"/>
    <w:rsid w:val="000E2CE9"/>
    <w:rsid w:val="000E3BA5"/>
    <w:rsid w:val="000E5631"/>
    <w:rsid w:val="000E5813"/>
    <w:rsid w:val="000E6197"/>
    <w:rsid w:val="000E6775"/>
    <w:rsid w:val="000E710A"/>
    <w:rsid w:val="000E719C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386B"/>
    <w:rsid w:val="00103E5D"/>
    <w:rsid w:val="001040BC"/>
    <w:rsid w:val="00104A20"/>
    <w:rsid w:val="00105445"/>
    <w:rsid w:val="00106B81"/>
    <w:rsid w:val="001117C5"/>
    <w:rsid w:val="00112151"/>
    <w:rsid w:val="001131F1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0C99"/>
    <w:rsid w:val="00141721"/>
    <w:rsid w:val="00141FFB"/>
    <w:rsid w:val="00142593"/>
    <w:rsid w:val="00142628"/>
    <w:rsid w:val="001445ED"/>
    <w:rsid w:val="00144939"/>
    <w:rsid w:val="001479CC"/>
    <w:rsid w:val="00150078"/>
    <w:rsid w:val="00150424"/>
    <w:rsid w:val="00150FF2"/>
    <w:rsid w:val="0015624B"/>
    <w:rsid w:val="00156D26"/>
    <w:rsid w:val="00162F69"/>
    <w:rsid w:val="0016316A"/>
    <w:rsid w:val="00163294"/>
    <w:rsid w:val="001657F1"/>
    <w:rsid w:val="00165930"/>
    <w:rsid w:val="00167690"/>
    <w:rsid w:val="00171DEB"/>
    <w:rsid w:val="00174A89"/>
    <w:rsid w:val="00181C7E"/>
    <w:rsid w:val="0018231D"/>
    <w:rsid w:val="00184547"/>
    <w:rsid w:val="0019012E"/>
    <w:rsid w:val="00192BC5"/>
    <w:rsid w:val="001930B7"/>
    <w:rsid w:val="001934F9"/>
    <w:rsid w:val="00193CBC"/>
    <w:rsid w:val="00194DEA"/>
    <w:rsid w:val="001962E7"/>
    <w:rsid w:val="00197343"/>
    <w:rsid w:val="001A187F"/>
    <w:rsid w:val="001A2CC4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B43"/>
    <w:rsid w:val="001B7572"/>
    <w:rsid w:val="001C434D"/>
    <w:rsid w:val="001C5C52"/>
    <w:rsid w:val="001C7707"/>
    <w:rsid w:val="001C7C78"/>
    <w:rsid w:val="001D05D0"/>
    <w:rsid w:val="001D088D"/>
    <w:rsid w:val="001D0C3A"/>
    <w:rsid w:val="001D17FC"/>
    <w:rsid w:val="001D67D4"/>
    <w:rsid w:val="001E2CCA"/>
    <w:rsid w:val="001E456E"/>
    <w:rsid w:val="001E79D8"/>
    <w:rsid w:val="001F02AB"/>
    <w:rsid w:val="001F04D2"/>
    <w:rsid w:val="001F62F1"/>
    <w:rsid w:val="002001D4"/>
    <w:rsid w:val="002004CC"/>
    <w:rsid w:val="002011A7"/>
    <w:rsid w:val="00202574"/>
    <w:rsid w:val="00202B69"/>
    <w:rsid w:val="002045CC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21779"/>
    <w:rsid w:val="002227D2"/>
    <w:rsid w:val="00224236"/>
    <w:rsid w:val="002242FA"/>
    <w:rsid w:val="00224EF9"/>
    <w:rsid w:val="00225CA0"/>
    <w:rsid w:val="00225E89"/>
    <w:rsid w:val="00226889"/>
    <w:rsid w:val="00226C28"/>
    <w:rsid w:val="0023312C"/>
    <w:rsid w:val="002344AC"/>
    <w:rsid w:val="00234CEF"/>
    <w:rsid w:val="00236A1F"/>
    <w:rsid w:val="00236EC3"/>
    <w:rsid w:val="002378D1"/>
    <w:rsid w:val="00237CBB"/>
    <w:rsid w:val="00241480"/>
    <w:rsid w:val="002414DC"/>
    <w:rsid w:val="002454FD"/>
    <w:rsid w:val="00246821"/>
    <w:rsid w:val="0025015E"/>
    <w:rsid w:val="002504DE"/>
    <w:rsid w:val="002555AC"/>
    <w:rsid w:val="00255B84"/>
    <w:rsid w:val="002576B4"/>
    <w:rsid w:val="002619BC"/>
    <w:rsid w:val="00262FD1"/>
    <w:rsid w:val="002668AC"/>
    <w:rsid w:val="00266FD0"/>
    <w:rsid w:val="00270BEA"/>
    <w:rsid w:val="00272006"/>
    <w:rsid w:val="0027206E"/>
    <w:rsid w:val="00272FDF"/>
    <w:rsid w:val="00273729"/>
    <w:rsid w:val="002737DC"/>
    <w:rsid w:val="00276C97"/>
    <w:rsid w:val="00277B4B"/>
    <w:rsid w:val="00277E1D"/>
    <w:rsid w:val="002856D2"/>
    <w:rsid w:val="002865A7"/>
    <w:rsid w:val="00286C1E"/>
    <w:rsid w:val="00286FE5"/>
    <w:rsid w:val="002907EA"/>
    <w:rsid w:val="00290E3B"/>
    <w:rsid w:val="00294713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B55F9"/>
    <w:rsid w:val="002C3B1F"/>
    <w:rsid w:val="002C5FD1"/>
    <w:rsid w:val="002C61F3"/>
    <w:rsid w:val="002C67C0"/>
    <w:rsid w:val="002C7EDD"/>
    <w:rsid w:val="002D0E11"/>
    <w:rsid w:val="002E0456"/>
    <w:rsid w:val="002E0CEF"/>
    <w:rsid w:val="002E1A55"/>
    <w:rsid w:val="002E2BDD"/>
    <w:rsid w:val="002E2F26"/>
    <w:rsid w:val="002E355D"/>
    <w:rsid w:val="002E405F"/>
    <w:rsid w:val="002E53EF"/>
    <w:rsid w:val="002E558B"/>
    <w:rsid w:val="002E6CDC"/>
    <w:rsid w:val="002F3E51"/>
    <w:rsid w:val="002F6383"/>
    <w:rsid w:val="002F6873"/>
    <w:rsid w:val="00300238"/>
    <w:rsid w:val="003012DA"/>
    <w:rsid w:val="00303058"/>
    <w:rsid w:val="00303CDC"/>
    <w:rsid w:val="0030428F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234C2"/>
    <w:rsid w:val="0032389B"/>
    <w:rsid w:val="00325406"/>
    <w:rsid w:val="0032545A"/>
    <w:rsid w:val="0032799E"/>
    <w:rsid w:val="003300F7"/>
    <w:rsid w:val="00336B8A"/>
    <w:rsid w:val="0033764C"/>
    <w:rsid w:val="00340C18"/>
    <w:rsid w:val="003431A7"/>
    <w:rsid w:val="003474E1"/>
    <w:rsid w:val="00356742"/>
    <w:rsid w:val="00356C96"/>
    <w:rsid w:val="003602F8"/>
    <w:rsid w:val="00361F0A"/>
    <w:rsid w:val="00367A4C"/>
    <w:rsid w:val="003717BD"/>
    <w:rsid w:val="00371902"/>
    <w:rsid w:val="00373240"/>
    <w:rsid w:val="00375477"/>
    <w:rsid w:val="003805A9"/>
    <w:rsid w:val="00381886"/>
    <w:rsid w:val="003821EE"/>
    <w:rsid w:val="0038404E"/>
    <w:rsid w:val="00384BB1"/>
    <w:rsid w:val="00390625"/>
    <w:rsid w:val="0039293F"/>
    <w:rsid w:val="00394AD3"/>
    <w:rsid w:val="00395436"/>
    <w:rsid w:val="00395935"/>
    <w:rsid w:val="0039606D"/>
    <w:rsid w:val="00397FB9"/>
    <w:rsid w:val="003A31C3"/>
    <w:rsid w:val="003A352F"/>
    <w:rsid w:val="003A3B3C"/>
    <w:rsid w:val="003A5215"/>
    <w:rsid w:val="003A6A00"/>
    <w:rsid w:val="003B1044"/>
    <w:rsid w:val="003B61EB"/>
    <w:rsid w:val="003B6A1F"/>
    <w:rsid w:val="003C2B43"/>
    <w:rsid w:val="003C3E33"/>
    <w:rsid w:val="003C597A"/>
    <w:rsid w:val="003C6EF9"/>
    <w:rsid w:val="003D0834"/>
    <w:rsid w:val="003D0A40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65D3"/>
    <w:rsid w:val="003F0CC9"/>
    <w:rsid w:val="003F1903"/>
    <w:rsid w:val="003F54D3"/>
    <w:rsid w:val="00405356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D0B"/>
    <w:rsid w:val="00437F4A"/>
    <w:rsid w:val="00437F62"/>
    <w:rsid w:val="00440DFD"/>
    <w:rsid w:val="004412B6"/>
    <w:rsid w:val="004416DF"/>
    <w:rsid w:val="00444652"/>
    <w:rsid w:val="004476F2"/>
    <w:rsid w:val="0044787D"/>
    <w:rsid w:val="00450A2E"/>
    <w:rsid w:val="00450FDB"/>
    <w:rsid w:val="00457559"/>
    <w:rsid w:val="00460E02"/>
    <w:rsid w:val="00461BF9"/>
    <w:rsid w:val="004622CF"/>
    <w:rsid w:val="0046417E"/>
    <w:rsid w:val="00464846"/>
    <w:rsid w:val="00464DB7"/>
    <w:rsid w:val="0047231E"/>
    <w:rsid w:val="0047398E"/>
    <w:rsid w:val="0047610D"/>
    <w:rsid w:val="00476666"/>
    <w:rsid w:val="00481C5F"/>
    <w:rsid w:val="00482A8B"/>
    <w:rsid w:val="00482EC7"/>
    <w:rsid w:val="00483057"/>
    <w:rsid w:val="00485B59"/>
    <w:rsid w:val="004911AC"/>
    <w:rsid w:val="00494B16"/>
    <w:rsid w:val="004958DA"/>
    <w:rsid w:val="004A14E6"/>
    <w:rsid w:val="004A1AA8"/>
    <w:rsid w:val="004A2FF6"/>
    <w:rsid w:val="004B1587"/>
    <w:rsid w:val="004B2296"/>
    <w:rsid w:val="004B4C33"/>
    <w:rsid w:val="004B5A2D"/>
    <w:rsid w:val="004B7102"/>
    <w:rsid w:val="004B77FD"/>
    <w:rsid w:val="004C0009"/>
    <w:rsid w:val="004C08A5"/>
    <w:rsid w:val="004C0955"/>
    <w:rsid w:val="004C38E6"/>
    <w:rsid w:val="004C56D7"/>
    <w:rsid w:val="004D0911"/>
    <w:rsid w:val="004D0939"/>
    <w:rsid w:val="004D2B01"/>
    <w:rsid w:val="004D36DF"/>
    <w:rsid w:val="004D4D11"/>
    <w:rsid w:val="004D526E"/>
    <w:rsid w:val="004D566B"/>
    <w:rsid w:val="004D767B"/>
    <w:rsid w:val="004E3DC1"/>
    <w:rsid w:val="004E41EB"/>
    <w:rsid w:val="004E6046"/>
    <w:rsid w:val="004E76DC"/>
    <w:rsid w:val="004F0FE7"/>
    <w:rsid w:val="004F1756"/>
    <w:rsid w:val="004F3D0C"/>
    <w:rsid w:val="004F6C50"/>
    <w:rsid w:val="004F6CA3"/>
    <w:rsid w:val="004F7D73"/>
    <w:rsid w:val="00500A44"/>
    <w:rsid w:val="005019FE"/>
    <w:rsid w:val="00502FC8"/>
    <w:rsid w:val="00503F42"/>
    <w:rsid w:val="00507FA1"/>
    <w:rsid w:val="00513B8A"/>
    <w:rsid w:val="0051795E"/>
    <w:rsid w:val="005222C4"/>
    <w:rsid w:val="005238C1"/>
    <w:rsid w:val="0052438C"/>
    <w:rsid w:val="00525639"/>
    <w:rsid w:val="00526CAF"/>
    <w:rsid w:val="00531F44"/>
    <w:rsid w:val="00536583"/>
    <w:rsid w:val="00536828"/>
    <w:rsid w:val="00537AB3"/>
    <w:rsid w:val="00542392"/>
    <w:rsid w:val="00546D4D"/>
    <w:rsid w:val="00547260"/>
    <w:rsid w:val="00551032"/>
    <w:rsid w:val="00551B8D"/>
    <w:rsid w:val="0055214B"/>
    <w:rsid w:val="005543F0"/>
    <w:rsid w:val="0055476A"/>
    <w:rsid w:val="00554DB9"/>
    <w:rsid w:val="005573C5"/>
    <w:rsid w:val="00573259"/>
    <w:rsid w:val="0058023E"/>
    <w:rsid w:val="00581211"/>
    <w:rsid w:val="005837E2"/>
    <w:rsid w:val="0058597F"/>
    <w:rsid w:val="00586FA9"/>
    <w:rsid w:val="0058779C"/>
    <w:rsid w:val="005908E3"/>
    <w:rsid w:val="0059134B"/>
    <w:rsid w:val="0059405D"/>
    <w:rsid w:val="005A2252"/>
    <w:rsid w:val="005B1E88"/>
    <w:rsid w:val="005B2E58"/>
    <w:rsid w:val="005B633C"/>
    <w:rsid w:val="005B7B16"/>
    <w:rsid w:val="005C2F78"/>
    <w:rsid w:val="005C3A96"/>
    <w:rsid w:val="005C3C2B"/>
    <w:rsid w:val="005C58E7"/>
    <w:rsid w:val="005D212E"/>
    <w:rsid w:val="005D4BA3"/>
    <w:rsid w:val="005D4D4B"/>
    <w:rsid w:val="005D69CE"/>
    <w:rsid w:val="005D77B6"/>
    <w:rsid w:val="005E1232"/>
    <w:rsid w:val="005E76E4"/>
    <w:rsid w:val="005F3A85"/>
    <w:rsid w:val="005F6AC3"/>
    <w:rsid w:val="005F732A"/>
    <w:rsid w:val="006012D3"/>
    <w:rsid w:val="00602A07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386C"/>
    <w:rsid w:val="00614C30"/>
    <w:rsid w:val="006168E9"/>
    <w:rsid w:val="00620C03"/>
    <w:rsid w:val="00620D2C"/>
    <w:rsid w:val="00622335"/>
    <w:rsid w:val="00622C25"/>
    <w:rsid w:val="00622F61"/>
    <w:rsid w:val="00623D79"/>
    <w:rsid w:val="00625E91"/>
    <w:rsid w:val="00626807"/>
    <w:rsid w:val="00632563"/>
    <w:rsid w:val="006335F5"/>
    <w:rsid w:val="00635CEF"/>
    <w:rsid w:val="00636019"/>
    <w:rsid w:val="006375D7"/>
    <w:rsid w:val="00643583"/>
    <w:rsid w:val="00643BF6"/>
    <w:rsid w:val="006462A5"/>
    <w:rsid w:val="0064633B"/>
    <w:rsid w:val="00650838"/>
    <w:rsid w:val="00655C6B"/>
    <w:rsid w:val="00663A07"/>
    <w:rsid w:val="00665FC6"/>
    <w:rsid w:val="006677EA"/>
    <w:rsid w:val="00672D36"/>
    <w:rsid w:val="0067327F"/>
    <w:rsid w:val="00673863"/>
    <w:rsid w:val="006740A6"/>
    <w:rsid w:val="00681F9D"/>
    <w:rsid w:val="00683A5F"/>
    <w:rsid w:val="00685475"/>
    <w:rsid w:val="006871B5"/>
    <w:rsid w:val="00687F48"/>
    <w:rsid w:val="00687F8E"/>
    <w:rsid w:val="00690C3F"/>
    <w:rsid w:val="006916EC"/>
    <w:rsid w:val="00691A3A"/>
    <w:rsid w:val="00692CBE"/>
    <w:rsid w:val="006934C0"/>
    <w:rsid w:val="006963DA"/>
    <w:rsid w:val="00696506"/>
    <w:rsid w:val="006A089E"/>
    <w:rsid w:val="006A1C13"/>
    <w:rsid w:val="006A2764"/>
    <w:rsid w:val="006A3C58"/>
    <w:rsid w:val="006A72A0"/>
    <w:rsid w:val="006A7647"/>
    <w:rsid w:val="006B1AC3"/>
    <w:rsid w:val="006B29B6"/>
    <w:rsid w:val="006B428A"/>
    <w:rsid w:val="006C19CE"/>
    <w:rsid w:val="006C3912"/>
    <w:rsid w:val="006C7461"/>
    <w:rsid w:val="006C7F02"/>
    <w:rsid w:val="006D02BB"/>
    <w:rsid w:val="006D5397"/>
    <w:rsid w:val="006D5D76"/>
    <w:rsid w:val="006D642D"/>
    <w:rsid w:val="006D72A1"/>
    <w:rsid w:val="006D755D"/>
    <w:rsid w:val="006E09ED"/>
    <w:rsid w:val="006E176D"/>
    <w:rsid w:val="006E187D"/>
    <w:rsid w:val="006E22FD"/>
    <w:rsid w:val="006E58CE"/>
    <w:rsid w:val="006F0CB9"/>
    <w:rsid w:val="006F0ED5"/>
    <w:rsid w:val="006F211B"/>
    <w:rsid w:val="006F2374"/>
    <w:rsid w:val="006F26CE"/>
    <w:rsid w:val="006F68CD"/>
    <w:rsid w:val="00702BD6"/>
    <w:rsid w:val="00710467"/>
    <w:rsid w:val="007109B5"/>
    <w:rsid w:val="0071398B"/>
    <w:rsid w:val="00713D26"/>
    <w:rsid w:val="00714D62"/>
    <w:rsid w:val="007202E6"/>
    <w:rsid w:val="007213C0"/>
    <w:rsid w:val="00722989"/>
    <w:rsid w:val="00722E06"/>
    <w:rsid w:val="007317A7"/>
    <w:rsid w:val="00731D1F"/>
    <w:rsid w:val="00732194"/>
    <w:rsid w:val="00740BFA"/>
    <w:rsid w:val="00742520"/>
    <w:rsid w:val="0074302E"/>
    <w:rsid w:val="00746226"/>
    <w:rsid w:val="0075008E"/>
    <w:rsid w:val="00750165"/>
    <w:rsid w:val="00750885"/>
    <w:rsid w:val="00750BE3"/>
    <w:rsid w:val="00751A24"/>
    <w:rsid w:val="007534BB"/>
    <w:rsid w:val="00754FE0"/>
    <w:rsid w:val="00755170"/>
    <w:rsid w:val="00755C23"/>
    <w:rsid w:val="007578F7"/>
    <w:rsid w:val="007612D9"/>
    <w:rsid w:val="007625AE"/>
    <w:rsid w:val="00765BBE"/>
    <w:rsid w:val="00766598"/>
    <w:rsid w:val="007669EB"/>
    <w:rsid w:val="00767B36"/>
    <w:rsid w:val="007718FA"/>
    <w:rsid w:val="0077301F"/>
    <w:rsid w:val="007764E8"/>
    <w:rsid w:val="0077711C"/>
    <w:rsid w:val="007809EC"/>
    <w:rsid w:val="00780D23"/>
    <w:rsid w:val="00781338"/>
    <w:rsid w:val="00781861"/>
    <w:rsid w:val="00781947"/>
    <w:rsid w:val="007819AB"/>
    <w:rsid w:val="00781E55"/>
    <w:rsid w:val="00784D1A"/>
    <w:rsid w:val="007865CD"/>
    <w:rsid w:val="00786B3B"/>
    <w:rsid w:val="007875BA"/>
    <w:rsid w:val="00793AEF"/>
    <w:rsid w:val="0079511B"/>
    <w:rsid w:val="007955D8"/>
    <w:rsid w:val="00797740"/>
    <w:rsid w:val="007A1125"/>
    <w:rsid w:val="007A2799"/>
    <w:rsid w:val="007A2B48"/>
    <w:rsid w:val="007A32BA"/>
    <w:rsid w:val="007A3A6A"/>
    <w:rsid w:val="007A3C2D"/>
    <w:rsid w:val="007A45F1"/>
    <w:rsid w:val="007A5500"/>
    <w:rsid w:val="007A6517"/>
    <w:rsid w:val="007A6674"/>
    <w:rsid w:val="007B22D3"/>
    <w:rsid w:val="007B3E0D"/>
    <w:rsid w:val="007B6445"/>
    <w:rsid w:val="007B7563"/>
    <w:rsid w:val="007B78C5"/>
    <w:rsid w:val="007B7F4E"/>
    <w:rsid w:val="007C03B6"/>
    <w:rsid w:val="007C2C64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6BC7"/>
    <w:rsid w:val="007F2253"/>
    <w:rsid w:val="007F27BD"/>
    <w:rsid w:val="008008EA"/>
    <w:rsid w:val="0080258C"/>
    <w:rsid w:val="008036CA"/>
    <w:rsid w:val="008041BE"/>
    <w:rsid w:val="00805841"/>
    <w:rsid w:val="00810B7F"/>
    <w:rsid w:val="008119F0"/>
    <w:rsid w:val="00811B09"/>
    <w:rsid w:val="00812FCC"/>
    <w:rsid w:val="00814F07"/>
    <w:rsid w:val="008158A5"/>
    <w:rsid w:val="00822981"/>
    <w:rsid w:val="00827C93"/>
    <w:rsid w:val="008310ED"/>
    <w:rsid w:val="0083146D"/>
    <w:rsid w:val="008325E9"/>
    <w:rsid w:val="0083279C"/>
    <w:rsid w:val="00836D5E"/>
    <w:rsid w:val="008376E3"/>
    <w:rsid w:val="00837F7D"/>
    <w:rsid w:val="00840932"/>
    <w:rsid w:val="00841725"/>
    <w:rsid w:val="00841985"/>
    <w:rsid w:val="00841B46"/>
    <w:rsid w:val="00841B83"/>
    <w:rsid w:val="0084292F"/>
    <w:rsid w:val="00843048"/>
    <w:rsid w:val="008436BB"/>
    <w:rsid w:val="00844C4A"/>
    <w:rsid w:val="00846281"/>
    <w:rsid w:val="00846D01"/>
    <w:rsid w:val="008477E7"/>
    <w:rsid w:val="00852C11"/>
    <w:rsid w:val="00855747"/>
    <w:rsid w:val="00855A81"/>
    <w:rsid w:val="00863E04"/>
    <w:rsid w:val="00864ECB"/>
    <w:rsid w:val="00866B09"/>
    <w:rsid w:val="00867C63"/>
    <w:rsid w:val="00867E5E"/>
    <w:rsid w:val="008725A3"/>
    <w:rsid w:val="00872D3F"/>
    <w:rsid w:val="00874A40"/>
    <w:rsid w:val="008750DF"/>
    <w:rsid w:val="008767B7"/>
    <w:rsid w:val="0087681D"/>
    <w:rsid w:val="00876AC2"/>
    <w:rsid w:val="00880440"/>
    <w:rsid w:val="00883981"/>
    <w:rsid w:val="008843EA"/>
    <w:rsid w:val="00885678"/>
    <w:rsid w:val="00886D0D"/>
    <w:rsid w:val="00892E04"/>
    <w:rsid w:val="00896F99"/>
    <w:rsid w:val="008A237B"/>
    <w:rsid w:val="008A2EBF"/>
    <w:rsid w:val="008A4EC7"/>
    <w:rsid w:val="008B03DF"/>
    <w:rsid w:val="008B07AF"/>
    <w:rsid w:val="008B0B75"/>
    <w:rsid w:val="008B312F"/>
    <w:rsid w:val="008B5634"/>
    <w:rsid w:val="008B5D1E"/>
    <w:rsid w:val="008B6B92"/>
    <w:rsid w:val="008B7418"/>
    <w:rsid w:val="008C1094"/>
    <w:rsid w:val="008C1ECF"/>
    <w:rsid w:val="008C55EA"/>
    <w:rsid w:val="008C62EB"/>
    <w:rsid w:val="008C7E8C"/>
    <w:rsid w:val="008D1328"/>
    <w:rsid w:val="008D4728"/>
    <w:rsid w:val="008D50C5"/>
    <w:rsid w:val="008E0B55"/>
    <w:rsid w:val="008E19E0"/>
    <w:rsid w:val="008E2794"/>
    <w:rsid w:val="008E2CF0"/>
    <w:rsid w:val="008E35A9"/>
    <w:rsid w:val="008E3EEE"/>
    <w:rsid w:val="008E44CB"/>
    <w:rsid w:val="008F01B7"/>
    <w:rsid w:val="008F034F"/>
    <w:rsid w:val="008F0B4D"/>
    <w:rsid w:val="008F60FE"/>
    <w:rsid w:val="008F672F"/>
    <w:rsid w:val="008F7BE3"/>
    <w:rsid w:val="0090165F"/>
    <w:rsid w:val="00902A7C"/>
    <w:rsid w:val="009044BF"/>
    <w:rsid w:val="00904D5E"/>
    <w:rsid w:val="00905217"/>
    <w:rsid w:val="00906A2D"/>
    <w:rsid w:val="00906BDF"/>
    <w:rsid w:val="00906E2C"/>
    <w:rsid w:val="00912DD6"/>
    <w:rsid w:val="009141BE"/>
    <w:rsid w:val="0091589B"/>
    <w:rsid w:val="00915AEC"/>
    <w:rsid w:val="00917BBF"/>
    <w:rsid w:val="00921591"/>
    <w:rsid w:val="00925B68"/>
    <w:rsid w:val="009302BF"/>
    <w:rsid w:val="00931A39"/>
    <w:rsid w:val="0093281A"/>
    <w:rsid w:val="009347F9"/>
    <w:rsid w:val="00940049"/>
    <w:rsid w:val="00942428"/>
    <w:rsid w:val="009433BB"/>
    <w:rsid w:val="00945A47"/>
    <w:rsid w:val="00946C0A"/>
    <w:rsid w:val="00947439"/>
    <w:rsid w:val="009475BE"/>
    <w:rsid w:val="00947995"/>
    <w:rsid w:val="009502ED"/>
    <w:rsid w:val="00951E1C"/>
    <w:rsid w:val="009521EA"/>
    <w:rsid w:val="009535B7"/>
    <w:rsid w:val="0095582B"/>
    <w:rsid w:val="00960024"/>
    <w:rsid w:val="00960F88"/>
    <w:rsid w:val="00962FFB"/>
    <w:rsid w:val="00964F9A"/>
    <w:rsid w:val="009677C2"/>
    <w:rsid w:val="00967D8F"/>
    <w:rsid w:val="00970A91"/>
    <w:rsid w:val="00975A41"/>
    <w:rsid w:val="0097687E"/>
    <w:rsid w:val="00981B0B"/>
    <w:rsid w:val="009823B8"/>
    <w:rsid w:val="00984927"/>
    <w:rsid w:val="0098555A"/>
    <w:rsid w:val="00986A45"/>
    <w:rsid w:val="0099049F"/>
    <w:rsid w:val="00990B9D"/>
    <w:rsid w:val="009916AC"/>
    <w:rsid w:val="00994049"/>
    <w:rsid w:val="0099444B"/>
    <w:rsid w:val="009950F6"/>
    <w:rsid w:val="009A054B"/>
    <w:rsid w:val="009A0623"/>
    <w:rsid w:val="009A0F8E"/>
    <w:rsid w:val="009A7848"/>
    <w:rsid w:val="009B1AF6"/>
    <w:rsid w:val="009B20A7"/>
    <w:rsid w:val="009B20C0"/>
    <w:rsid w:val="009B53D8"/>
    <w:rsid w:val="009B56ED"/>
    <w:rsid w:val="009C187A"/>
    <w:rsid w:val="009C25F8"/>
    <w:rsid w:val="009C34E2"/>
    <w:rsid w:val="009C3533"/>
    <w:rsid w:val="009C3994"/>
    <w:rsid w:val="009C721F"/>
    <w:rsid w:val="009D250C"/>
    <w:rsid w:val="009D34C2"/>
    <w:rsid w:val="009D4EF9"/>
    <w:rsid w:val="009D7D7A"/>
    <w:rsid w:val="009D7EC2"/>
    <w:rsid w:val="009E03B3"/>
    <w:rsid w:val="009E05BE"/>
    <w:rsid w:val="009E0C32"/>
    <w:rsid w:val="009E2956"/>
    <w:rsid w:val="009E3EE2"/>
    <w:rsid w:val="009E42A2"/>
    <w:rsid w:val="009E4C7A"/>
    <w:rsid w:val="009E5098"/>
    <w:rsid w:val="009E5B29"/>
    <w:rsid w:val="009E6C6E"/>
    <w:rsid w:val="009E7248"/>
    <w:rsid w:val="009F2A5C"/>
    <w:rsid w:val="009F339F"/>
    <w:rsid w:val="009F3C73"/>
    <w:rsid w:val="009F52A4"/>
    <w:rsid w:val="009F6C37"/>
    <w:rsid w:val="009F6E25"/>
    <w:rsid w:val="00A03E4C"/>
    <w:rsid w:val="00A05703"/>
    <w:rsid w:val="00A059B5"/>
    <w:rsid w:val="00A10473"/>
    <w:rsid w:val="00A119FC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2D03"/>
    <w:rsid w:val="00A33D42"/>
    <w:rsid w:val="00A371ED"/>
    <w:rsid w:val="00A37D43"/>
    <w:rsid w:val="00A412A9"/>
    <w:rsid w:val="00A43F1A"/>
    <w:rsid w:val="00A527C6"/>
    <w:rsid w:val="00A52AF5"/>
    <w:rsid w:val="00A53158"/>
    <w:rsid w:val="00A539C1"/>
    <w:rsid w:val="00A622E5"/>
    <w:rsid w:val="00A64842"/>
    <w:rsid w:val="00A71FFE"/>
    <w:rsid w:val="00A72092"/>
    <w:rsid w:val="00A7221E"/>
    <w:rsid w:val="00A73A6E"/>
    <w:rsid w:val="00A84010"/>
    <w:rsid w:val="00A85892"/>
    <w:rsid w:val="00A85E16"/>
    <w:rsid w:val="00A86BF2"/>
    <w:rsid w:val="00A871EC"/>
    <w:rsid w:val="00A904B9"/>
    <w:rsid w:val="00A90782"/>
    <w:rsid w:val="00A9117C"/>
    <w:rsid w:val="00A91A96"/>
    <w:rsid w:val="00A920FC"/>
    <w:rsid w:val="00A9388B"/>
    <w:rsid w:val="00A96E60"/>
    <w:rsid w:val="00A97A61"/>
    <w:rsid w:val="00A97B8E"/>
    <w:rsid w:val="00AA02AF"/>
    <w:rsid w:val="00AA0C28"/>
    <w:rsid w:val="00AA36F1"/>
    <w:rsid w:val="00AA4B15"/>
    <w:rsid w:val="00AA54AF"/>
    <w:rsid w:val="00AA6D69"/>
    <w:rsid w:val="00AA72E8"/>
    <w:rsid w:val="00AB2459"/>
    <w:rsid w:val="00AB27C2"/>
    <w:rsid w:val="00AB3E37"/>
    <w:rsid w:val="00AB60B2"/>
    <w:rsid w:val="00AC47FF"/>
    <w:rsid w:val="00AC4A8F"/>
    <w:rsid w:val="00AC7A4C"/>
    <w:rsid w:val="00AD173E"/>
    <w:rsid w:val="00AD4EE7"/>
    <w:rsid w:val="00AD5AEC"/>
    <w:rsid w:val="00AD65D4"/>
    <w:rsid w:val="00AE1111"/>
    <w:rsid w:val="00AE1D28"/>
    <w:rsid w:val="00AE2CEB"/>
    <w:rsid w:val="00AE3C1F"/>
    <w:rsid w:val="00AE4F2B"/>
    <w:rsid w:val="00AE53A5"/>
    <w:rsid w:val="00AE67ED"/>
    <w:rsid w:val="00AE78F8"/>
    <w:rsid w:val="00AF22BD"/>
    <w:rsid w:val="00AF2E9C"/>
    <w:rsid w:val="00AF3216"/>
    <w:rsid w:val="00AF4172"/>
    <w:rsid w:val="00AF7C64"/>
    <w:rsid w:val="00B00792"/>
    <w:rsid w:val="00B0179F"/>
    <w:rsid w:val="00B06A60"/>
    <w:rsid w:val="00B1132B"/>
    <w:rsid w:val="00B12C3A"/>
    <w:rsid w:val="00B16E95"/>
    <w:rsid w:val="00B1791F"/>
    <w:rsid w:val="00B17B6E"/>
    <w:rsid w:val="00B247C4"/>
    <w:rsid w:val="00B27B49"/>
    <w:rsid w:val="00B27DB2"/>
    <w:rsid w:val="00B32566"/>
    <w:rsid w:val="00B32BCE"/>
    <w:rsid w:val="00B35FCB"/>
    <w:rsid w:val="00B366ED"/>
    <w:rsid w:val="00B37FAA"/>
    <w:rsid w:val="00B40469"/>
    <w:rsid w:val="00B40DB2"/>
    <w:rsid w:val="00B42E48"/>
    <w:rsid w:val="00B47CFB"/>
    <w:rsid w:val="00B514F9"/>
    <w:rsid w:val="00B535A0"/>
    <w:rsid w:val="00B5404A"/>
    <w:rsid w:val="00B56EA6"/>
    <w:rsid w:val="00B571E5"/>
    <w:rsid w:val="00B6260E"/>
    <w:rsid w:val="00B65F83"/>
    <w:rsid w:val="00B6643B"/>
    <w:rsid w:val="00B67EB3"/>
    <w:rsid w:val="00B71AD3"/>
    <w:rsid w:val="00B73625"/>
    <w:rsid w:val="00B7413B"/>
    <w:rsid w:val="00B74466"/>
    <w:rsid w:val="00B7472B"/>
    <w:rsid w:val="00B750A4"/>
    <w:rsid w:val="00B76BF1"/>
    <w:rsid w:val="00B77A0D"/>
    <w:rsid w:val="00B77E21"/>
    <w:rsid w:val="00B80D46"/>
    <w:rsid w:val="00B81FFC"/>
    <w:rsid w:val="00B822F4"/>
    <w:rsid w:val="00B832EF"/>
    <w:rsid w:val="00B86D53"/>
    <w:rsid w:val="00B87C52"/>
    <w:rsid w:val="00B909DA"/>
    <w:rsid w:val="00B910D9"/>
    <w:rsid w:val="00B9133F"/>
    <w:rsid w:val="00B91C6F"/>
    <w:rsid w:val="00B97613"/>
    <w:rsid w:val="00BA0AFE"/>
    <w:rsid w:val="00BA2FDE"/>
    <w:rsid w:val="00BB1735"/>
    <w:rsid w:val="00BB3B7A"/>
    <w:rsid w:val="00BB41B8"/>
    <w:rsid w:val="00BB48B4"/>
    <w:rsid w:val="00BB6290"/>
    <w:rsid w:val="00BB78D5"/>
    <w:rsid w:val="00BC2F3C"/>
    <w:rsid w:val="00BC3AD6"/>
    <w:rsid w:val="00BC410E"/>
    <w:rsid w:val="00BC5B79"/>
    <w:rsid w:val="00BC6E90"/>
    <w:rsid w:val="00BD1AFA"/>
    <w:rsid w:val="00BD2D63"/>
    <w:rsid w:val="00BD47F3"/>
    <w:rsid w:val="00BD4B35"/>
    <w:rsid w:val="00BD7EAB"/>
    <w:rsid w:val="00BE0EFA"/>
    <w:rsid w:val="00BE12FD"/>
    <w:rsid w:val="00BE185E"/>
    <w:rsid w:val="00BE2CED"/>
    <w:rsid w:val="00BE3725"/>
    <w:rsid w:val="00BE4995"/>
    <w:rsid w:val="00BE5B5A"/>
    <w:rsid w:val="00BE6A6F"/>
    <w:rsid w:val="00BF03D0"/>
    <w:rsid w:val="00BF0F6F"/>
    <w:rsid w:val="00BF243F"/>
    <w:rsid w:val="00BF4CFB"/>
    <w:rsid w:val="00BF57E7"/>
    <w:rsid w:val="00BF5FC4"/>
    <w:rsid w:val="00BF7334"/>
    <w:rsid w:val="00BF7895"/>
    <w:rsid w:val="00C00634"/>
    <w:rsid w:val="00C01B41"/>
    <w:rsid w:val="00C05AA9"/>
    <w:rsid w:val="00C05E2B"/>
    <w:rsid w:val="00C06CCE"/>
    <w:rsid w:val="00C107FE"/>
    <w:rsid w:val="00C11202"/>
    <w:rsid w:val="00C13030"/>
    <w:rsid w:val="00C13764"/>
    <w:rsid w:val="00C13DE5"/>
    <w:rsid w:val="00C13F1D"/>
    <w:rsid w:val="00C1697E"/>
    <w:rsid w:val="00C212EA"/>
    <w:rsid w:val="00C23CDF"/>
    <w:rsid w:val="00C31425"/>
    <w:rsid w:val="00C32635"/>
    <w:rsid w:val="00C335D2"/>
    <w:rsid w:val="00C36712"/>
    <w:rsid w:val="00C37D2D"/>
    <w:rsid w:val="00C41B44"/>
    <w:rsid w:val="00C41C03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3C15"/>
    <w:rsid w:val="00C7016D"/>
    <w:rsid w:val="00C7633A"/>
    <w:rsid w:val="00C76E9E"/>
    <w:rsid w:val="00C81CFB"/>
    <w:rsid w:val="00C83705"/>
    <w:rsid w:val="00C83D06"/>
    <w:rsid w:val="00C854F7"/>
    <w:rsid w:val="00C85AEA"/>
    <w:rsid w:val="00C86745"/>
    <w:rsid w:val="00C867BD"/>
    <w:rsid w:val="00C90650"/>
    <w:rsid w:val="00C93045"/>
    <w:rsid w:val="00C95D8C"/>
    <w:rsid w:val="00C972E0"/>
    <w:rsid w:val="00CA0464"/>
    <w:rsid w:val="00CA1D98"/>
    <w:rsid w:val="00CA3A8D"/>
    <w:rsid w:val="00CA41C9"/>
    <w:rsid w:val="00CA4436"/>
    <w:rsid w:val="00CA49E2"/>
    <w:rsid w:val="00CA6188"/>
    <w:rsid w:val="00CA74FB"/>
    <w:rsid w:val="00CA7A9F"/>
    <w:rsid w:val="00CA7AC5"/>
    <w:rsid w:val="00CB0912"/>
    <w:rsid w:val="00CB0D02"/>
    <w:rsid w:val="00CB31C4"/>
    <w:rsid w:val="00CB3755"/>
    <w:rsid w:val="00CB79D5"/>
    <w:rsid w:val="00CC1A43"/>
    <w:rsid w:val="00CC1E03"/>
    <w:rsid w:val="00CC6E16"/>
    <w:rsid w:val="00CD042B"/>
    <w:rsid w:val="00CD2C54"/>
    <w:rsid w:val="00CD2CA4"/>
    <w:rsid w:val="00CD38ED"/>
    <w:rsid w:val="00CD431B"/>
    <w:rsid w:val="00CD50EE"/>
    <w:rsid w:val="00CD63EF"/>
    <w:rsid w:val="00CE0748"/>
    <w:rsid w:val="00CE191E"/>
    <w:rsid w:val="00CE2770"/>
    <w:rsid w:val="00CE2CE5"/>
    <w:rsid w:val="00CE5496"/>
    <w:rsid w:val="00CE7151"/>
    <w:rsid w:val="00CF0D79"/>
    <w:rsid w:val="00CF21EC"/>
    <w:rsid w:val="00CF23B4"/>
    <w:rsid w:val="00CF5796"/>
    <w:rsid w:val="00D00134"/>
    <w:rsid w:val="00D00BDA"/>
    <w:rsid w:val="00D02078"/>
    <w:rsid w:val="00D02E99"/>
    <w:rsid w:val="00D04E99"/>
    <w:rsid w:val="00D0620B"/>
    <w:rsid w:val="00D079E5"/>
    <w:rsid w:val="00D106D3"/>
    <w:rsid w:val="00D11C5E"/>
    <w:rsid w:val="00D11FD8"/>
    <w:rsid w:val="00D1436B"/>
    <w:rsid w:val="00D14533"/>
    <w:rsid w:val="00D218F0"/>
    <w:rsid w:val="00D24C9F"/>
    <w:rsid w:val="00D26617"/>
    <w:rsid w:val="00D3121A"/>
    <w:rsid w:val="00D32FF1"/>
    <w:rsid w:val="00D340C2"/>
    <w:rsid w:val="00D34AFF"/>
    <w:rsid w:val="00D36D64"/>
    <w:rsid w:val="00D40599"/>
    <w:rsid w:val="00D40837"/>
    <w:rsid w:val="00D42260"/>
    <w:rsid w:val="00D42E55"/>
    <w:rsid w:val="00D44EF3"/>
    <w:rsid w:val="00D45201"/>
    <w:rsid w:val="00D45360"/>
    <w:rsid w:val="00D47D42"/>
    <w:rsid w:val="00D514AF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94"/>
    <w:rsid w:val="00D64CDD"/>
    <w:rsid w:val="00D65E9B"/>
    <w:rsid w:val="00D669F0"/>
    <w:rsid w:val="00D67A3A"/>
    <w:rsid w:val="00D73696"/>
    <w:rsid w:val="00D73D25"/>
    <w:rsid w:val="00D75010"/>
    <w:rsid w:val="00D75F0B"/>
    <w:rsid w:val="00D760E0"/>
    <w:rsid w:val="00D77826"/>
    <w:rsid w:val="00D77BE5"/>
    <w:rsid w:val="00D806BC"/>
    <w:rsid w:val="00D83E64"/>
    <w:rsid w:val="00D90505"/>
    <w:rsid w:val="00D90F66"/>
    <w:rsid w:val="00D94CA4"/>
    <w:rsid w:val="00DA0464"/>
    <w:rsid w:val="00DA050B"/>
    <w:rsid w:val="00DA06E0"/>
    <w:rsid w:val="00DA7BF0"/>
    <w:rsid w:val="00DA7E4F"/>
    <w:rsid w:val="00DA7F8C"/>
    <w:rsid w:val="00DB4EDE"/>
    <w:rsid w:val="00DB5CF7"/>
    <w:rsid w:val="00DB719A"/>
    <w:rsid w:val="00DB7344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2252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B63"/>
    <w:rsid w:val="00DF0B8F"/>
    <w:rsid w:val="00DF0DC9"/>
    <w:rsid w:val="00DF1E51"/>
    <w:rsid w:val="00DF25F4"/>
    <w:rsid w:val="00DF2AD2"/>
    <w:rsid w:val="00DF5543"/>
    <w:rsid w:val="00E02C7C"/>
    <w:rsid w:val="00E033FD"/>
    <w:rsid w:val="00E03701"/>
    <w:rsid w:val="00E06D6A"/>
    <w:rsid w:val="00E071C2"/>
    <w:rsid w:val="00E15323"/>
    <w:rsid w:val="00E16915"/>
    <w:rsid w:val="00E208ED"/>
    <w:rsid w:val="00E2100C"/>
    <w:rsid w:val="00E2247E"/>
    <w:rsid w:val="00E24B9A"/>
    <w:rsid w:val="00E2588F"/>
    <w:rsid w:val="00E30F59"/>
    <w:rsid w:val="00E30F91"/>
    <w:rsid w:val="00E41A37"/>
    <w:rsid w:val="00E41C08"/>
    <w:rsid w:val="00E420FD"/>
    <w:rsid w:val="00E4243B"/>
    <w:rsid w:val="00E44490"/>
    <w:rsid w:val="00E44BDB"/>
    <w:rsid w:val="00E46C95"/>
    <w:rsid w:val="00E5034D"/>
    <w:rsid w:val="00E51E06"/>
    <w:rsid w:val="00E51ED5"/>
    <w:rsid w:val="00E52803"/>
    <w:rsid w:val="00E5315B"/>
    <w:rsid w:val="00E534E0"/>
    <w:rsid w:val="00E54092"/>
    <w:rsid w:val="00E55659"/>
    <w:rsid w:val="00E56454"/>
    <w:rsid w:val="00E60364"/>
    <w:rsid w:val="00E6180B"/>
    <w:rsid w:val="00E628E7"/>
    <w:rsid w:val="00E63085"/>
    <w:rsid w:val="00E6633C"/>
    <w:rsid w:val="00E6758B"/>
    <w:rsid w:val="00E76A9B"/>
    <w:rsid w:val="00E76DA1"/>
    <w:rsid w:val="00E8113D"/>
    <w:rsid w:val="00E81387"/>
    <w:rsid w:val="00E823F8"/>
    <w:rsid w:val="00E83479"/>
    <w:rsid w:val="00E83B87"/>
    <w:rsid w:val="00E86275"/>
    <w:rsid w:val="00E8757D"/>
    <w:rsid w:val="00E93D4C"/>
    <w:rsid w:val="00E94A7A"/>
    <w:rsid w:val="00EA1090"/>
    <w:rsid w:val="00EA69F2"/>
    <w:rsid w:val="00EA767E"/>
    <w:rsid w:val="00EB34D8"/>
    <w:rsid w:val="00EB4DA8"/>
    <w:rsid w:val="00EB5531"/>
    <w:rsid w:val="00EB5673"/>
    <w:rsid w:val="00EB6E96"/>
    <w:rsid w:val="00EB79DA"/>
    <w:rsid w:val="00EC4523"/>
    <w:rsid w:val="00EC68F1"/>
    <w:rsid w:val="00ED3876"/>
    <w:rsid w:val="00EE4333"/>
    <w:rsid w:val="00EF0596"/>
    <w:rsid w:val="00EF31F0"/>
    <w:rsid w:val="00EF3C0F"/>
    <w:rsid w:val="00EF5542"/>
    <w:rsid w:val="00EF6F88"/>
    <w:rsid w:val="00EF7194"/>
    <w:rsid w:val="00F000AA"/>
    <w:rsid w:val="00F0060F"/>
    <w:rsid w:val="00F0208F"/>
    <w:rsid w:val="00F02B15"/>
    <w:rsid w:val="00F0347E"/>
    <w:rsid w:val="00F03DAC"/>
    <w:rsid w:val="00F07765"/>
    <w:rsid w:val="00F11C69"/>
    <w:rsid w:val="00F138B5"/>
    <w:rsid w:val="00F15A93"/>
    <w:rsid w:val="00F15FE0"/>
    <w:rsid w:val="00F207FE"/>
    <w:rsid w:val="00F214EC"/>
    <w:rsid w:val="00F24235"/>
    <w:rsid w:val="00F25429"/>
    <w:rsid w:val="00F2673C"/>
    <w:rsid w:val="00F26DA6"/>
    <w:rsid w:val="00F2746B"/>
    <w:rsid w:val="00F317F9"/>
    <w:rsid w:val="00F32648"/>
    <w:rsid w:val="00F41730"/>
    <w:rsid w:val="00F417B5"/>
    <w:rsid w:val="00F42DB2"/>
    <w:rsid w:val="00F43DD4"/>
    <w:rsid w:val="00F450D2"/>
    <w:rsid w:val="00F45F86"/>
    <w:rsid w:val="00F479DF"/>
    <w:rsid w:val="00F5401F"/>
    <w:rsid w:val="00F54809"/>
    <w:rsid w:val="00F570FA"/>
    <w:rsid w:val="00F63E3E"/>
    <w:rsid w:val="00F6488F"/>
    <w:rsid w:val="00F65635"/>
    <w:rsid w:val="00F675A7"/>
    <w:rsid w:val="00F709FE"/>
    <w:rsid w:val="00F75910"/>
    <w:rsid w:val="00F76A0F"/>
    <w:rsid w:val="00F81AAA"/>
    <w:rsid w:val="00F8385B"/>
    <w:rsid w:val="00F8403E"/>
    <w:rsid w:val="00F84448"/>
    <w:rsid w:val="00F8496A"/>
    <w:rsid w:val="00F84FA3"/>
    <w:rsid w:val="00F85B85"/>
    <w:rsid w:val="00F85D61"/>
    <w:rsid w:val="00F85F69"/>
    <w:rsid w:val="00F861F4"/>
    <w:rsid w:val="00F90337"/>
    <w:rsid w:val="00F918F5"/>
    <w:rsid w:val="00F939C9"/>
    <w:rsid w:val="00F96D22"/>
    <w:rsid w:val="00F970EE"/>
    <w:rsid w:val="00F97DF1"/>
    <w:rsid w:val="00FA14CE"/>
    <w:rsid w:val="00FA256F"/>
    <w:rsid w:val="00FA316E"/>
    <w:rsid w:val="00FA394E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3782"/>
    <w:rsid w:val="00FB62EA"/>
    <w:rsid w:val="00FB6657"/>
    <w:rsid w:val="00FC10CE"/>
    <w:rsid w:val="00FC438F"/>
    <w:rsid w:val="00FC7E16"/>
    <w:rsid w:val="00FD2200"/>
    <w:rsid w:val="00FD7426"/>
    <w:rsid w:val="00FD78FB"/>
    <w:rsid w:val="00FE02E6"/>
    <w:rsid w:val="00FE0E53"/>
    <w:rsid w:val="00FE2C0F"/>
    <w:rsid w:val="00FE3B33"/>
    <w:rsid w:val="00FE419D"/>
    <w:rsid w:val="00FE7277"/>
    <w:rsid w:val="00FE77D3"/>
    <w:rsid w:val="00FF3D78"/>
    <w:rsid w:val="00FF4559"/>
    <w:rsid w:val="00FF4C34"/>
    <w:rsid w:val="00FF4CFF"/>
    <w:rsid w:val="00FF52BB"/>
    <w:rsid w:val="00FF769C"/>
    <w:rsid w:val="02362655"/>
    <w:rsid w:val="0341385D"/>
    <w:rsid w:val="03B576DA"/>
    <w:rsid w:val="03D05241"/>
    <w:rsid w:val="042468F5"/>
    <w:rsid w:val="04511AD4"/>
    <w:rsid w:val="046F321A"/>
    <w:rsid w:val="047F54E8"/>
    <w:rsid w:val="055C763B"/>
    <w:rsid w:val="07F919A9"/>
    <w:rsid w:val="08B749FE"/>
    <w:rsid w:val="0A0D5942"/>
    <w:rsid w:val="0A3C7D44"/>
    <w:rsid w:val="0A8B590B"/>
    <w:rsid w:val="0A8F6CED"/>
    <w:rsid w:val="0BC80F77"/>
    <w:rsid w:val="0CDE0E0A"/>
    <w:rsid w:val="0CDE45A7"/>
    <w:rsid w:val="0D2144FC"/>
    <w:rsid w:val="0D246469"/>
    <w:rsid w:val="0E5A607D"/>
    <w:rsid w:val="134B6E88"/>
    <w:rsid w:val="146A0A5F"/>
    <w:rsid w:val="16B93CDD"/>
    <w:rsid w:val="16CC330E"/>
    <w:rsid w:val="174F69A1"/>
    <w:rsid w:val="17505376"/>
    <w:rsid w:val="180918CB"/>
    <w:rsid w:val="19993D35"/>
    <w:rsid w:val="19D015B3"/>
    <w:rsid w:val="1A255F44"/>
    <w:rsid w:val="1ACA4FA7"/>
    <w:rsid w:val="1AEF2948"/>
    <w:rsid w:val="1B404251"/>
    <w:rsid w:val="1C945FFD"/>
    <w:rsid w:val="1E546C55"/>
    <w:rsid w:val="206E39DA"/>
    <w:rsid w:val="2367449F"/>
    <w:rsid w:val="24AE7BD6"/>
    <w:rsid w:val="26221DF0"/>
    <w:rsid w:val="26530D20"/>
    <w:rsid w:val="26934DA4"/>
    <w:rsid w:val="27142DE2"/>
    <w:rsid w:val="277421C8"/>
    <w:rsid w:val="2B0C5FBE"/>
    <w:rsid w:val="2B806084"/>
    <w:rsid w:val="2C1E48EC"/>
    <w:rsid w:val="2E2246C6"/>
    <w:rsid w:val="31CE0EB9"/>
    <w:rsid w:val="32DC5354"/>
    <w:rsid w:val="33077DA7"/>
    <w:rsid w:val="338D40CF"/>
    <w:rsid w:val="33E44ECE"/>
    <w:rsid w:val="349565B8"/>
    <w:rsid w:val="34AE6447"/>
    <w:rsid w:val="357E12EA"/>
    <w:rsid w:val="35F20654"/>
    <w:rsid w:val="371A6CC3"/>
    <w:rsid w:val="379F45C7"/>
    <w:rsid w:val="38976255"/>
    <w:rsid w:val="390A6F17"/>
    <w:rsid w:val="39E407F6"/>
    <w:rsid w:val="39FC6CE4"/>
    <w:rsid w:val="3C1F720B"/>
    <w:rsid w:val="3EAA5A4F"/>
    <w:rsid w:val="3FF55C0F"/>
    <w:rsid w:val="3FFA2E2E"/>
    <w:rsid w:val="41973178"/>
    <w:rsid w:val="42E23897"/>
    <w:rsid w:val="430D0204"/>
    <w:rsid w:val="440272CB"/>
    <w:rsid w:val="45311B12"/>
    <w:rsid w:val="459C2D19"/>
    <w:rsid w:val="46904D0D"/>
    <w:rsid w:val="46E633C4"/>
    <w:rsid w:val="47F3702A"/>
    <w:rsid w:val="48072637"/>
    <w:rsid w:val="481373BD"/>
    <w:rsid w:val="48FF65D5"/>
    <w:rsid w:val="49091773"/>
    <w:rsid w:val="4A10420F"/>
    <w:rsid w:val="4BBE44C7"/>
    <w:rsid w:val="4BD053D8"/>
    <w:rsid w:val="4C6F421F"/>
    <w:rsid w:val="4CC72669"/>
    <w:rsid w:val="4DCE2DC9"/>
    <w:rsid w:val="4DD40A93"/>
    <w:rsid w:val="4E966B7B"/>
    <w:rsid w:val="4EF90772"/>
    <w:rsid w:val="506D6C44"/>
    <w:rsid w:val="50813C85"/>
    <w:rsid w:val="52DC1E37"/>
    <w:rsid w:val="52FB1CF0"/>
    <w:rsid w:val="53554611"/>
    <w:rsid w:val="5361597C"/>
    <w:rsid w:val="55472E9F"/>
    <w:rsid w:val="56515B6E"/>
    <w:rsid w:val="57694A2E"/>
    <w:rsid w:val="5808416F"/>
    <w:rsid w:val="58E067DA"/>
    <w:rsid w:val="598A585D"/>
    <w:rsid w:val="598D2D46"/>
    <w:rsid w:val="5999365F"/>
    <w:rsid w:val="5A3B5E53"/>
    <w:rsid w:val="5B76496D"/>
    <w:rsid w:val="5C574FEA"/>
    <w:rsid w:val="5D1B3D76"/>
    <w:rsid w:val="5DC74DD9"/>
    <w:rsid w:val="5E3A6A72"/>
    <w:rsid w:val="5F1E0E83"/>
    <w:rsid w:val="60415521"/>
    <w:rsid w:val="61354C50"/>
    <w:rsid w:val="61495CA1"/>
    <w:rsid w:val="626118BB"/>
    <w:rsid w:val="62CB325B"/>
    <w:rsid w:val="634F4900"/>
    <w:rsid w:val="65FE51B4"/>
    <w:rsid w:val="67161FCD"/>
    <w:rsid w:val="678A011B"/>
    <w:rsid w:val="679C4F5C"/>
    <w:rsid w:val="68D77787"/>
    <w:rsid w:val="69B539E4"/>
    <w:rsid w:val="6B9E52EA"/>
    <w:rsid w:val="6CFD7212"/>
    <w:rsid w:val="6D1F0970"/>
    <w:rsid w:val="6D207DB7"/>
    <w:rsid w:val="6D5348D9"/>
    <w:rsid w:val="6D5361A6"/>
    <w:rsid w:val="6DE86D3B"/>
    <w:rsid w:val="6E0E2E7D"/>
    <w:rsid w:val="6E222D25"/>
    <w:rsid w:val="701C486F"/>
    <w:rsid w:val="70B11756"/>
    <w:rsid w:val="70C13677"/>
    <w:rsid w:val="710B3A84"/>
    <w:rsid w:val="71131484"/>
    <w:rsid w:val="71F97E5D"/>
    <w:rsid w:val="748E1547"/>
    <w:rsid w:val="74FB3BF7"/>
    <w:rsid w:val="750545C9"/>
    <w:rsid w:val="76D4197D"/>
    <w:rsid w:val="77DA116A"/>
    <w:rsid w:val="78A37D37"/>
    <w:rsid w:val="78A37F5E"/>
    <w:rsid w:val="79616F7D"/>
    <w:rsid w:val="7A6F70BE"/>
    <w:rsid w:val="7A775668"/>
    <w:rsid w:val="7AB8227D"/>
    <w:rsid w:val="7B5D0216"/>
    <w:rsid w:val="7C0D0434"/>
    <w:rsid w:val="7C6D60C7"/>
    <w:rsid w:val="7CCB0136"/>
    <w:rsid w:val="7D267A87"/>
    <w:rsid w:val="7D2F0748"/>
    <w:rsid w:val="7D712B9C"/>
    <w:rsid w:val="7D745230"/>
    <w:rsid w:val="7E325633"/>
    <w:rsid w:val="7EB00ECA"/>
    <w:rsid w:val="7F3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semiHidden/>
    <w:qFormat/>
    <w:uiPriority w:val="0"/>
    <w:pPr>
      <w:jc w:val="left"/>
    </w:p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ind w:left="840" w:firstLine="480"/>
    </w:pPr>
    <w:rPr>
      <w:sz w:val="24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toc 8"/>
    <w:basedOn w:val="11"/>
    <w:next w:val="1"/>
    <w:semiHidden/>
    <w:qFormat/>
    <w:uiPriority w:val="0"/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link w:val="128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0"/>
  </w:style>
  <w:style w:type="paragraph" w:styleId="29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3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annotation reference"/>
    <w:semiHidden/>
    <w:qFormat/>
    <w:uiPriority w:val="0"/>
    <w:rPr>
      <w:sz w:val="21"/>
      <w:szCs w:val="21"/>
    </w:rPr>
  </w:style>
  <w:style w:type="character" w:styleId="42">
    <w:name w:val="HTML Cite"/>
    <w:qFormat/>
    <w:uiPriority w:val="0"/>
    <w:rPr>
      <w:i/>
      <w:iCs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character" w:styleId="44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5">
    <w:name w:val="HTML Sample"/>
    <w:qFormat/>
    <w:uiPriority w:val="0"/>
    <w:rPr>
      <w:rFonts w:ascii="Courier New" w:hAnsi="Courier New"/>
    </w:rPr>
  </w:style>
  <w:style w:type="paragraph" w:customStyle="1" w:styleId="4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7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1">
    <w:name w:val="标准书眉_偶数页"/>
    <w:basedOn w:val="50"/>
    <w:next w:val="1"/>
    <w:qFormat/>
    <w:uiPriority w:val="0"/>
    <w:pPr>
      <w:jc w:val="left"/>
    </w:pPr>
  </w:style>
  <w:style w:type="paragraph" w:customStyle="1" w:styleId="5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4">
    <w:name w:val="参考文献、索引标题"/>
    <w:basedOn w:val="53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5">
    <w:name w:val="段"/>
    <w:link w:val="12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章标题"/>
    <w:next w:val="55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一级条标题"/>
    <w:next w:val="5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二级条标题"/>
    <w:basedOn w:val="57"/>
    <w:next w:val="55"/>
    <w:qFormat/>
    <w:uiPriority w:val="0"/>
    <w:pPr>
      <w:numPr>
        <w:ilvl w:val="3"/>
      </w:numPr>
      <w:outlineLvl w:val="3"/>
    </w:pPr>
  </w:style>
  <w:style w:type="character" w:customStyle="1" w:styleId="5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0">
    <w:name w:val="发布部门"/>
    <w:next w:val="5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号2"/>
    <w:basedOn w:val="6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4">
    <w:name w:val="封面标准代替信息"/>
    <w:basedOn w:val="63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53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72">
    <w:name w:val="附录表标题"/>
    <w:next w:val="55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章标题"/>
    <w:next w:val="55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附录一级条标题"/>
    <w:basedOn w:val="73"/>
    <w:next w:val="55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5">
    <w:name w:val="附录二级条标题"/>
    <w:basedOn w:val="74"/>
    <w:next w:val="55"/>
    <w:qFormat/>
    <w:uiPriority w:val="0"/>
    <w:pPr>
      <w:numPr>
        <w:ilvl w:val="3"/>
      </w:numPr>
      <w:outlineLvl w:val="3"/>
    </w:pPr>
  </w:style>
  <w:style w:type="paragraph" w:customStyle="1" w:styleId="76">
    <w:name w:val="附录三级条标题"/>
    <w:basedOn w:val="75"/>
    <w:next w:val="55"/>
    <w:qFormat/>
    <w:uiPriority w:val="0"/>
    <w:pPr>
      <w:numPr>
        <w:ilvl w:val="4"/>
      </w:numPr>
      <w:outlineLvl w:val="4"/>
    </w:pPr>
  </w:style>
  <w:style w:type="paragraph" w:customStyle="1" w:styleId="77">
    <w:name w:val="附录四级条标题"/>
    <w:basedOn w:val="76"/>
    <w:next w:val="55"/>
    <w:qFormat/>
    <w:uiPriority w:val="0"/>
    <w:pPr>
      <w:numPr>
        <w:ilvl w:val="5"/>
      </w:numPr>
      <w:outlineLvl w:val="5"/>
    </w:pPr>
  </w:style>
  <w:style w:type="paragraph" w:customStyle="1" w:styleId="78">
    <w:name w:val="附录图标题"/>
    <w:next w:val="55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五级条标题"/>
    <w:basedOn w:val="77"/>
    <w:next w:val="55"/>
    <w:qFormat/>
    <w:uiPriority w:val="0"/>
    <w:pPr>
      <w:numPr>
        <w:ilvl w:val="6"/>
      </w:numPr>
      <w:outlineLvl w:val="6"/>
    </w:pPr>
  </w:style>
  <w:style w:type="character" w:customStyle="1" w:styleId="80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2">
    <w:name w:val="列项——（一级）"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●（二级）"/>
    <w:qFormat/>
    <w:uiPriority w:val="0"/>
    <w:pPr>
      <w:numPr>
        <w:ilvl w:val="0"/>
        <w:numId w:val="6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目次、标准名称标题"/>
    <w:basedOn w:val="53"/>
    <w:next w:val="55"/>
    <w:qFormat/>
    <w:uiPriority w:val="0"/>
    <w:pPr>
      <w:spacing w:line="460" w:lineRule="exact"/>
    </w:pPr>
  </w:style>
  <w:style w:type="paragraph" w:customStyle="1" w:styleId="8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其他发布部门"/>
    <w:basedOn w:val="60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88">
    <w:name w:val="三级条标题"/>
    <w:basedOn w:val="58"/>
    <w:next w:val="55"/>
    <w:qFormat/>
    <w:uiPriority w:val="0"/>
    <w:pPr>
      <w:numPr>
        <w:ilvl w:val="4"/>
      </w:numPr>
      <w:outlineLvl w:val="4"/>
    </w:pPr>
  </w:style>
  <w:style w:type="paragraph" w:customStyle="1" w:styleId="89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90">
    <w:name w:val="示例"/>
    <w:next w:val="55"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8"/>
    <w:next w:val="55"/>
    <w:qFormat/>
    <w:uiPriority w:val="0"/>
    <w:pPr>
      <w:numPr>
        <w:ilvl w:val="5"/>
      </w:numPr>
      <w:outlineLvl w:val="5"/>
    </w:pPr>
  </w:style>
  <w:style w:type="paragraph" w:customStyle="1" w:styleId="93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4">
    <w:name w:val="图表脚注"/>
    <w:next w:val="55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96">
    <w:name w:val="已访问的超链接1"/>
    <w:qFormat/>
    <w:uiPriority w:val="0"/>
    <w:rPr>
      <w:color w:val="800080"/>
      <w:u w:val="single"/>
    </w:rPr>
  </w:style>
  <w:style w:type="paragraph" w:customStyle="1" w:styleId="97">
    <w:name w:val="五级条标题"/>
    <w:basedOn w:val="92"/>
    <w:next w:val="55"/>
    <w:qFormat/>
    <w:uiPriority w:val="0"/>
    <w:pPr>
      <w:numPr>
        <w:ilvl w:val="6"/>
      </w:numPr>
      <w:outlineLvl w:val="6"/>
    </w:pPr>
  </w:style>
  <w:style w:type="paragraph" w:customStyle="1" w:styleId="98">
    <w:name w:val="正文表标题"/>
    <w:next w:val="55"/>
    <w:link w:val="125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正文图标题"/>
    <w:next w:val="55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0">
    <w:name w:val="注："/>
    <w:next w:val="55"/>
    <w:qFormat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注×："/>
    <w:qFormat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标准文件_段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ind w:right="-105" w:rightChars="-50"/>
      <w:jc w:val="both"/>
    </w:pPr>
    <w:rPr>
      <w:rFonts w:ascii="宋体" w:hAnsi="宋体" w:eastAsia="宋体" w:cs="Times New Roman"/>
      <w:spacing w:val="2"/>
      <w:sz w:val="21"/>
      <w:szCs w:val="21"/>
      <w:lang w:val="en-US" w:eastAsia="zh-CN" w:bidi="ar-SA"/>
    </w:rPr>
  </w:style>
  <w:style w:type="paragraph" w:customStyle="1" w:styleId="104">
    <w:name w:val="列项◆（三级）"/>
    <w:qFormat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标准文件_正文公式"/>
    <w:basedOn w:val="1"/>
    <w:next w:val="1"/>
    <w:qFormat/>
    <w:uiPriority w:val="0"/>
    <w:pPr>
      <w:tabs>
        <w:tab w:val="right" w:leader="middleDot" w:pos="0"/>
      </w:tabs>
      <w:adjustRightInd w:val="0"/>
      <w:spacing w:line="360" w:lineRule="auto"/>
      <w:ind w:right="10" w:firstLine="1050" w:firstLineChars="500"/>
      <w:jc w:val="right"/>
    </w:pPr>
    <w:rPr>
      <w:rFonts w:ascii="宋体" w:hAnsi="宋体"/>
      <w:szCs w:val="20"/>
    </w:rPr>
  </w:style>
  <w:style w:type="paragraph" w:customStyle="1" w:styleId="107">
    <w:name w:val="标准文件_参考文献、索引标题"/>
    <w:basedOn w:val="1"/>
    <w:next w:val="1"/>
    <w:qFormat/>
    <w:uiPriority w:val="0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108">
    <w:name w:val="二级无标题条"/>
    <w:basedOn w:val="1"/>
    <w:qFormat/>
    <w:uiPriority w:val="0"/>
    <w:pPr>
      <w:numPr>
        <w:ilvl w:val="3"/>
        <w:numId w:val="13"/>
      </w:numPr>
      <w:spacing w:line="310" w:lineRule="exact"/>
    </w:pPr>
  </w:style>
  <w:style w:type="paragraph" w:customStyle="1" w:styleId="109">
    <w:name w:val="三级无标题条"/>
    <w:basedOn w:val="1"/>
    <w:qFormat/>
    <w:uiPriority w:val="0"/>
    <w:pPr>
      <w:numPr>
        <w:ilvl w:val="4"/>
        <w:numId w:val="13"/>
      </w:numPr>
      <w:spacing w:line="310" w:lineRule="exact"/>
    </w:pPr>
  </w:style>
  <w:style w:type="paragraph" w:customStyle="1" w:styleId="110">
    <w:name w:val="四级无标题条"/>
    <w:basedOn w:val="1"/>
    <w:qFormat/>
    <w:uiPriority w:val="0"/>
    <w:pPr>
      <w:numPr>
        <w:ilvl w:val="5"/>
        <w:numId w:val="13"/>
      </w:numPr>
      <w:spacing w:line="310" w:lineRule="exact"/>
    </w:pPr>
  </w:style>
  <w:style w:type="paragraph" w:customStyle="1" w:styleId="111">
    <w:name w:val="五级无标题条"/>
    <w:basedOn w:val="1"/>
    <w:qFormat/>
    <w:uiPriority w:val="0"/>
    <w:pPr>
      <w:numPr>
        <w:ilvl w:val="6"/>
        <w:numId w:val="13"/>
      </w:numPr>
      <w:spacing w:line="310" w:lineRule="exact"/>
    </w:pPr>
  </w:style>
  <w:style w:type="paragraph" w:customStyle="1" w:styleId="112">
    <w:name w:val="一级无标题条"/>
    <w:basedOn w:val="1"/>
    <w:qFormat/>
    <w:uiPriority w:val="0"/>
    <w:pPr>
      <w:numPr>
        <w:ilvl w:val="2"/>
        <w:numId w:val="13"/>
      </w:numPr>
      <w:spacing w:line="310" w:lineRule="exact"/>
    </w:pPr>
  </w:style>
  <w:style w:type="paragraph" w:customStyle="1" w:styleId="113">
    <w:name w:val="标准文件_章标题"/>
    <w:next w:val="103"/>
    <w:qFormat/>
    <w:uiPriority w:val="0"/>
    <w:pPr>
      <w:spacing w:beforeLines="50" w:afterLines="50"/>
      <w:ind w:left="-50" w:leftChars="-50" w:right="-50" w:rightChars="-50"/>
      <w:jc w:val="both"/>
      <w:outlineLvl w:val="1"/>
    </w:pPr>
    <w:rPr>
      <w:rFonts w:ascii="黑体" w:hAnsi="Times New Roman" w:eastAsia="黑体" w:cs="Times New Roman"/>
      <w:spacing w:val="2"/>
      <w:sz w:val="21"/>
      <w:lang w:val="en-US" w:eastAsia="zh-CN" w:bidi="ar-SA"/>
    </w:rPr>
  </w:style>
  <w:style w:type="paragraph" w:customStyle="1" w:styleId="114">
    <w:name w:val="标准文件_一级条标题"/>
    <w:basedOn w:val="113"/>
    <w:next w:val="103"/>
    <w:qFormat/>
    <w:uiPriority w:val="0"/>
    <w:pPr>
      <w:spacing w:beforeLines="0" w:afterLines="0"/>
      <w:outlineLvl w:val="2"/>
    </w:pPr>
  </w:style>
  <w:style w:type="paragraph" w:customStyle="1" w:styleId="115">
    <w:name w:val="标准文件_二级条标题"/>
    <w:basedOn w:val="114"/>
    <w:next w:val="103"/>
    <w:qFormat/>
    <w:uiPriority w:val="0"/>
    <w:pPr>
      <w:ind w:left="0"/>
      <w:outlineLvl w:val="3"/>
    </w:pPr>
  </w:style>
  <w:style w:type="paragraph" w:customStyle="1" w:styleId="116">
    <w:name w:val="前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标准文件_三级条标题"/>
    <w:basedOn w:val="115"/>
    <w:next w:val="103"/>
    <w:qFormat/>
    <w:uiPriority w:val="0"/>
    <w:pPr>
      <w:ind w:left="-50"/>
      <w:outlineLvl w:val="4"/>
    </w:pPr>
  </w:style>
  <w:style w:type="paragraph" w:customStyle="1" w:styleId="118">
    <w:name w:val="标准文件_四级条标题"/>
    <w:basedOn w:val="117"/>
    <w:next w:val="103"/>
    <w:qFormat/>
    <w:uiPriority w:val="0"/>
    <w:pPr>
      <w:ind w:left="0"/>
      <w:outlineLvl w:val="5"/>
    </w:pPr>
  </w:style>
  <w:style w:type="paragraph" w:customStyle="1" w:styleId="119">
    <w:name w:val="标准文件_五级条标题"/>
    <w:basedOn w:val="118"/>
    <w:next w:val="103"/>
    <w:qFormat/>
    <w:uiPriority w:val="0"/>
    <w:pPr>
      <w:outlineLvl w:val="6"/>
    </w:pPr>
  </w:style>
  <w:style w:type="paragraph" w:customStyle="1" w:styleId="120">
    <w:name w:val="标准文件_正文表标题"/>
    <w:next w:val="103"/>
    <w:qFormat/>
    <w:uiPriority w:val="0"/>
    <w:p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1">
    <w:name w:val="标准文件_注："/>
    <w:next w:val="103"/>
    <w:qFormat/>
    <w:uiPriority w:val="0"/>
    <w:pPr>
      <w:widowControl w:val="0"/>
      <w:autoSpaceDE w:val="0"/>
      <w:autoSpaceDN w:val="0"/>
      <w:spacing w:afterLines="30" w:line="300" w:lineRule="exact"/>
      <w:ind w:left="513" w:leftChars="150" w:right="-50" w:rightChars="-50" w:hanging="36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标准文件_字母编号列项"/>
    <w:qFormat/>
    <w:uiPriority w:val="0"/>
    <w:pPr>
      <w:spacing w:line="300" w:lineRule="exact"/>
      <w:ind w:left="370" w:leftChars="170" w:right="-50" w:rightChars="-5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标准文件_破折号列项"/>
    <w:qFormat/>
    <w:uiPriority w:val="0"/>
    <w:pPr>
      <w:numPr>
        <w:ilvl w:val="0"/>
        <w:numId w:val="14"/>
      </w:numPr>
      <w:adjustRightInd w:val="0"/>
      <w:snapToGrid w:val="0"/>
      <w:spacing w:line="300" w:lineRule="exact"/>
      <w:ind w:left="350" w:leftChars="150" w:right="-50" w:rightChars="-50" w:hanging="200" w:hanging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4">
    <w:name w:val="标准文件_破折号列项（二级）"/>
    <w:basedOn w:val="123"/>
    <w:qFormat/>
    <w:uiPriority w:val="0"/>
    <w:pPr>
      <w:numPr>
        <w:numId w:val="15"/>
      </w:numPr>
      <w:ind w:left="550" w:leftChars="350" w:hanging="200"/>
    </w:pPr>
  </w:style>
  <w:style w:type="character" w:customStyle="1" w:styleId="125">
    <w:name w:val="正文表标题 Char"/>
    <w:link w:val="98"/>
    <w:qFormat/>
    <w:uiPriority w:val="0"/>
    <w:rPr>
      <w:rFonts w:ascii="黑体" w:eastAsia="黑体"/>
      <w:sz w:val="21"/>
      <w:lang w:bidi="ar-SA"/>
    </w:rPr>
  </w:style>
  <w:style w:type="character" w:customStyle="1" w:styleId="126">
    <w:name w:val="段 Char"/>
    <w:link w:val="55"/>
    <w:qFormat/>
    <w:uiPriority w:val="0"/>
    <w:rPr>
      <w:rFonts w:ascii="宋体"/>
      <w:sz w:val="21"/>
      <w:lang w:bidi="ar-SA"/>
    </w:rPr>
  </w:style>
  <w:style w:type="paragraph" w:customStyle="1" w:styleId="127">
    <w:name w:val="列出段落1"/>
    <w:basedOn w:val="1"/>
    <w:qFormat/>
    <w:uiPriority w:val="34"/>
    <w:pPr>
      <w:ind w:left="357" w:firstLine="420" w:firstLineChars="200"/>
    </w:pPr>
    <w:rPr>
      <w:rFonts w:ascii="Calibri" w:hAnsi="Calibri"/>
      <w:szCs w:val="22"/>
    </w:rPr>
  </w:style>
  <w:style w:type="character" w:customStyle="1" w:styleId="128">
    <w:name w:val="页脚 Char"/>
    <w:link w:val="25"/>
    <w:qFormat/>
    <w:uiPriority w:val="99"/>
    <w:rPr>
      <w:kern w:val="2"/>
      <w:sz w:val="18"/>
      <w:szCs w:val="18"/>
    </w:rPr>
  </w:style>
  <w:style w:type="character" w:customStyle="1" w:styleId="129">
    <w:name w:val="占位符文本1"/>
    <w:basedOn w:val="33"/>
    <w:semiHidden/>
    <w:qFormat/>
    <w:uiPriority w:val="99"/>
    <w:rPr>
      <w:color w:val="808080"/>
    </w:rPr>
  </w:style>
  <w:style w:type="paragraph" w:styleId="130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microsoft.com/office/2006/relationships/keyMapCustomizations" Target="customizations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5"/>
    <customShpInfo spid="_x0000_s2057"/>
    <customShpInfo spid="_x0000_s2053"/>
    <customShpInfo spid="_x0000_s2054"/>
    <customShpInfo spid="_x0000_s2052"/>
    <customShpInfo spid="_x0000_s2050"/>
    <customShpInfo spid="_x0000_s2049"/>
    <customShpInfo spid="_x0000_s205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F215E-EDAA-4A3C-BF49-3A80D3A62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8</Pages>
  <Words>379</Words>
  <Characters>2165</Characters>
  <Lines>18</Lines>
  <Paragraphs>5</Paragraphs>
  <TotalTime>373</TotalTime>
  <ScaleCrop>false</ScaleCrop>
  <LinksUpToDate>false</LinksUpToDate>
  <CharactersWithSpaces>2539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2016-05-14T01:01:00Z</dcterms:created>
  <dc:creator>03</dc:creator>
  <cp:lastModifiedBy>wuyanhua</cp:lastModifiedBy>
  <cp:lastPrinted>2017-03-27T02:41:00Z</cp:lastPrinted>
  <dcterms:modified xsi:type="dcterms:W3CDTF">2020-10-09T02:37:29Z</dcterms:modified>
  <dc:title>板式换热器用钛板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2052-11.1.0.9999</vt:lpwstr>
  </property>
</Properties>
</file>