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贵金属分标委会审定、讨论和任务落实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/>
          <w:sz w:val="28"/>
          <w:szCs w:val="28"/>
        </w:rPr>
        <w:t>项目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  <w:szCs w:val="28"/>
        </w:rPr>
      </w:pPr>
    </w:p>
    <w:tbl>
      <w:tblPr>
        <w:tblStyle w:val="2"/>
        <w:tblW w:w="139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4194"/>
        <w:gridCol w:w="2567"/>
        <w:gridCol w:w="5683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700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4194" w:type="dxa"/>
            <w:tcBorders>
              <w:bottom w:val="single" w:color="auto" w:sz="12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567" w:type="dxa"/>
            <w:tcBorders>
              <w:bottom w:val="single" w:color="auto" w:sz="12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568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起草单位及相关单位</w:t>
            </w:r>
          </w:p>
        </w:tc>
        <w:tc>
          <w:tcPr>
            <w:tcW w:w="853" w:type="dxa"/>
            <w:tcBorders>
              <w:bottom w:val="single" w:color="auto" w:sz="12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00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贵金属材料 压向蠕变试验方法</w:t>
            </w:r>
          </w:p>
        </w:tc>
        <w:tc>
          <w:tcPr>
            <w:tcW w:w="2567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工信厅科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73号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2018-2055T-YS</w:t>
            </w:r>
          </w:p>
        </w:tc>
        <w:tc>
          <w:tcPr>
            <w:tcW w:w="5683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西部金属材料股份有限公司、广东省工业分析检测中心、有研亿金新材料有限公司</w:t>
            </w:r>
          </w:p>
        </w:tc>
        <w:tc>
          <w:tcPr>
            <w:tcW w:w="853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0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op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高温形状记忆合金化学分析方法 第 1 部分：铂量的测定 硫脲络合沉淀法</w:t>
            </w:r>
          </w:p>
        </w:tc>
        <w:tc>
          <w:tcPr>
            <w:tcW w:w="2567" w:type="dxa"/>
            <w:tcBorders>
              <w:top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20202819-T-610</w:t>
            </w:r>
          </w:p>
        </w:tc>
        <w:tc>
          <w:tcPr>
            <w:tcW w:w="56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国合通用测试评价认证股份公司、国标（北京）检验认证有限公司、有研亿金新材料有限公司</w:t>
            </w:r>
          </w:p>
        </w:tc>
        <w:tc>
          <w:tcPr>
            <w:tcW w:w="853" w:type="dxa"/>
            <w:tcBorders>
              <w:top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银镍石墨化学分析方法 第1部分：银含量的测定 氯化钠电位滴定法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2020-0715T-YS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国合通用测试评价认证股份公司、国标（北京）检验认证有限公司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银镍石墨化学分析方法 第2部分：镍含量的测定 丁二酮肟沉淀分离-EDTA络合滴定法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2020-0716T-YS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国合通用测试评价认证股份公司、国标（北京）检验认证有限公司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银镍石墨化学分析方法 第3部分：总碳含量的测定 气体容量法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2020-0717T-YS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国合通用测试评价认证股份公司、国标（北京）检验认证有限公司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贵金属废催化剂包装规范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2020-0732T-YS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江苏北矿金属循环利用科技有限公司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照相用硝酸银YS/T 476-2005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126号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2019-0476T-YS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金川集团股份有限公司、兰州金川科技园有限公司、甘肃精普检测有限公司、中船重工黄冈贵金属有限公司、桐柏鑫泓银制品有限责任公司、国合通用测试评价认证股份公司、国标（北京）检验认证有限公司、广东省工业分析检测中心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有色金属行业贵金属冶炼单位产品能源消耗限额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245号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2019-1293T-YS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阳谷祥光铜业有限公司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绿色设计产品评价技术规范 金锭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2019-0028-T/CNIA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江西铜业股份有限公司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4194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绿色设计产品评价技术规范 银锭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2019-0029-T/CNIA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江西铜业股份有限公司</w:t>
            </w:r>
          </w:p>
        </w:tc>
        <w:tc>
          <w:tcPr>
            <w:tcW w:w="85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</w:tbl>
    <w:p>
      <w:pPr>
        <w:adjustRightInd w:val="0"/>
        <w:snapToGrid w:val="0"/>
        <w:spacing w:line="28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738E"/>
    <w:multiLevelType w:val="multilevel"/>
    <w:tmpl w:val="512D738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0909"/>
    <w:rsid w:val="266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2020-09-28T07:48:00Z</dcterms:created>
  <dc:creator>CathayMok</dc:creator>
  <cp:lastModifiedBy>CathayMok</cp:lastModifiedBy>
  <dcterms:modified xsi:type="dcterms:W3CDTF">2020-09-28T07:49:22Z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