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b/>
          <w:bCs/>
          <w:sz w:val="28"/>
          <w:szCs w:val="28"/>
        </w:rPr>
      </w:pPr>
      <w:bookmarkStart w:id="1" w:name="_GoBack"/>
      <w:bookmarkEnd w:id="1"/>
      <w:r>
        <w:rPr>
          <w:rFonts w:ascii="Times New Roman" w:hAnsi="Times New Roman"/>
          <w:b/>
          <w:bCs/>
          <w:sz w:val="28"/>
          <w:szCs w:val="28"/>
        </w:rPr>
        <w:t>国家标准《</w:t>
      </w:r>
      <w:r>
        <w:rPr>
          <w:rFonts w:hint="eastAsia" w:ascii="Times New Roman" w:hAnsi="Times New Roman"/>
          <w:b/>
          <w:bCs/>
          <w:sz w:val="28"/>
          <w:szCs w:val="28"/>
        </w:rPr>
        <w:t>碳化硅单晶抛光片</w:t>
      </w:r>
      <w:r>
        <w:rPr>
          <w:rFonts w:ascii="Times New Roman" w:hAnsi="Times New Roman"/>
          <w:b/>
          <w:bCs/>
          <w:sz w:val="28"/>
          <w:szCs w:val="28"/>
        </w:rPr>
        <w:t>》</w:t>
      </w:r>
    </w:p>
    <w:p>
      <w:pPr>
        <w:adjustRightInd w:val="0"/>
        <w:snapToGrid w:val="0"/>
        <w:jc w:val="center"/>
        <w:rPr>
          <w:rFonts w:ascii="Times New Roman" w:hAnsi="Times New Roman"/>
          <w:b/>
          <w:bCs/>
          <w:sz w:val="28"/>
          <w:szCs w:val="28"/>
        </w:rPr>
      </w:pPr>
      <w:r>
        <w:rPr>
          <w:rFonts w:ascii="Times New Roman" w:hAnsi="Times New Roman"/>
          <w:b/>
          <w:bCs/>
          <w:sz w:val="28"/>
          <w:szCs w:val="28"/>
        </w:rPr>
        <w:t>编制说明（</w:t>
      </w:r>
      <w:r>
        <w:rPr>
          <w:rFonts w:hint="eastAsia" w:ascii="Times New Roman" w:hAnsi="Times New Roman"/>
          <w:b/>
          <w:bCs/>
          <w:sz w:val="28"/>
          <w:szCs w:val="28"/>
        </w:rPr>
        <w:t>征求意见</w:t>
      </w:r>
      <w:r>
        <w:rPr>
          <w:rFonts w:ascii="Times New Roman" w:hAnsi="Times New Roman"/>
          <w:b/>
          <w:bCs/>
          <w:sz w:val="28"/>
          <w:szCs w:val="28"/>
        </w:rPr>
        <w:t>稿）</w:t>
      </w:r>
    </w:p>
    <w:p>
      <w:pPr>
        <w:adjustRightInd w:val="0"/>
        <w:snapToGrid w:val="0"/>
        <w:jc w:val="center"/>
        <w:rPr>
          <w:rFonts w:ascii="Times New Roman" w:hAnsi="Times New Roman"/>
          <w:b/>
          <w:bCs/>
          <w:sz w:val="30"/>
          <w:szCs w:val="30"/>
        </w:rPr>
      </w:pPr>
    </w:p>
    <w:p>
      <w:pPr>
        <w:pStyle w:val="15"/>
        <w:numPr>
          <w:ilvl w:val="0"/>
          <w:numId w:val="2"/>
        </w:numPr>
        <w:spacing w:line="360" w:lineRule="auto"/>
        <w:ind w:firstLineChars="0"/>
        <w:rPr>
          <w:rFonts w:ascii="Times New Roman" w:hAnsi="Times New Roman"/>
          <w:b/>
          <w:sz w:val="24"/>
          <w:szCs w:val="24"/>
        </w:rPr>
      </w:pPr>
      <w:r>
        <w:rPr>
          <w:rFonts w:ascii="Times New Roman" w:hAnsi="Times New Roman"/>
          <w:b/>
          <w:sz w:val="24"/>
          <w:szCs w:val="24"/>
        </w:rPr>
        <w:t>工作简况</w:t>
      </w:r>
    </w:p>
    <w:p>
      <w:pPr>
        <w:pStyle w:val="15"/>
        <w:numPr>
          <w:ilvl w:val="0"/>
          <w:numId w:val="1"/>
        </w:numPr>
        <w:spacing w:line="360" w:lineRule="auto"/>
        <w:ind w:firstLineChars="0"/>
        <w:rPr>
          <w:rFonts w:hint="default" w:ascii="Times New Roman" w:hAnsi="Times New Roman" w:eastAsia="宋体" w:cs="Times New Roman"/>
          <w:kern w:val="2"/>
          <w:sz w:val="24"/>
          <w:szCs w:val="24"/>
          <w:lang w:val="en-US" w:eastAsia="zh-CN" w:bidi="ar-SA"/>
        </w:rPr>
      </w:pPr>
      <w:r>
        <w:rPr>
          <w:rFonts w:ascii="Times New Roman" w:hAnsi="Times New Roman"/>
          <w:b/>
          <w:sz w:val="24"/>
          <w:szCs w:val="24"/>
        </w:rPr>
        <w:t>立项目的和意义</w:t>
      </w:r>
    </w:p>
    <w:p>
      <w:pPr>
        <w:spacing w:line="360" w:lineRule="auto"/>
        <w:ind w:firstLine="720" w:firstLineChars="300"/>
        <w:rPr>
          <w:rFonts w:hint="default" w:ascii="Times New Roman" w:hAnsi="Times New Roman"/>
          <w:sz w:val="24"/>
          <w:szCs w:val="24"/>
          <w:lang w:val="en-US"/>
        </w:rPr>
      </w:pPr>
      <w:r>
        <w:rPr>
          <w:rFonts w:hint="eastAsia" w:ascii="Times New Roman" w:hAnsi="Times New Roman" w:eastAsia="宋体" w:cs="Times New Roman"/>
          <w:kern w:val="2"/>
          <w:sz w:val="24"/>
          <w:szCs w:val="24"/>
          <w:lang w:val="en-US" w:eastAsia="zh-CN" w:bidi="ar-SA"/>
        </w:rPr>
        <w:t>随着碳化硅单晶生长和加工技术的进步，碳化硅单晶抛光片产量在快速增长。碳化硅（SiC）作为发展最为成熟的第三代半导体，是半导体界公认的“一种未来的材料”，是发展第三代半导体产业的关键基础材料。预计在今后5～10年将会快速发展和有显著成果出现。碳化硅具有宽禁带、高击穿电场、高热导率、高电子饱和速率及高抗辐射性能的优点，可以突破硅作为基片的半导体器件性能和能力极限，是电力电子及微波射频器件的“CPU”、绿色经济的“核芯”，在新一代移动通信 、智能电网、高速轨道交通、新能源汽车、消费类电子等领域有</w:t>
      </w:r>
      <w:r>
        <w:rPr>
          <w:rFonts w:hint="eastAsia" w:ascii="Times New Roman" w:hAnsi="Times New Roman" w:cs="Times New Roman"/>
          <w:kern w:val="2"/>
          <w:sz w:val="24"/>
          <w:szCs w:val="24"/>
          <w:lang w:val="en-US" w:eastAsia="zh-CN" w:bidi="ar-SA"/>
        </w:rPr>
        <w:t>广阔的应用前景。</w:t>
      </w:r>
    </w:p>
    <w:p>
      <w:pPr>
        <w:spacing w:line="360" w:lineRule="auto"/>
        <w:ind w:firstLine="720" w:firstLineChars="300"/>
        <w:rPr>
          <w:rFonts w:hint="eastAsia" w:ascii="Times New Roman" w:hAnsi="Times New Roman"/>
          <w:sz w:val="24"/>
          <w:szCs w:val="24"/>
        </w:rPr>
      </w:pPr>
      <w:r>
        <w:rPr>
          <w:rFonts w:hint="eastAsia" w:ascii="Times New Roman" w:hAnsi="Times New Roman"/>
          <w:sz w:val="24"/>
          <w:szCs w:val="24"/>
        </w:rPr>
        <w:t>GB/T 30656-2014《碳化硅单晶抛光片》国家标准中只包含2英寸（5</w:t>
      </w:r>
      <w:r>
        <w:rPr>
          <w:rFonts w:ascii="Times New Roman" w:hAnsi="Times New Roman"/>
          <w:sz w:val="24"/>
          <w:szCs w:val="24"/>
        </w:rPr>
        <w:t>0.8</w:t>
      </w:r>
      <w:r>
        <w:rPr>
          <w:rFonts w:hint="eastAsia" w:ascii="Times New Roman" w:hAnsi="Times New Roman"/>
          <w:sz w:val="24"/>
          <w:szCs w:val="24"/>
        </w:rPr>
        <w:t>mm）、3英寸（</w:t>
      </w:r>
      <w:r>
        <w:rPr>
          <w:rFonts w:ascii="Times New Roman" w:hAnsi="Times New Roman"/>
          <w:sz w:val="24"/>
          <w:szCs w:val="24"/>
        </w:rPr>
        <w:t>76.2</w:t>
      </w:r>
      <w:r>
        <w:rPr>
          <w:rFonts w:hint="eastAsia" w:ascii="Times New Roman" w:hAnsi="Times New Roman"/>
          <w:sz w:val="24"/>
          <w:szCs w:val="24"/>
        </w:rPr>
        <w:t>mm）和4英寸（</w:t>
      </w:r>
      <w:r>
        <w:rPr>
          <w:rFonts w:ascii="Times New Roman" w:hAnsi="Times New Roman"/>
          <w:sz w:val="24"/>
          <w:szCs w:val="24"/>
        </w:rPr>
        <w:t>100.0</w:t>
      </w:r>
      <w:r>
        <w:rPr>
          <w:rFonts w:hint="eastAsia" w:ascii="Times New Roman" w:hAnsi="Times New Roman"/>
          <w:sz w:val="24"/>
          <w:szCs w:val="24"/>
        </w:rPr>
        <w:t>mm）碳化硅单晶抛光片的要求。随着碳化硅单晶生长和加工技术的进步，目</w:t>
      </w:r>
      <w:r>
        <w:rPr>
          <w:rFonts w:ascii="Times New Roman" w:hAnsi="Times New Roman"/>
          <w:sz w:val="24"/>
          <w:szCs w:val="24"/>
        </w:rPr>
        <w:t>前国内6英寸（150.0mm）碳化硅单晶抛光片已经面世，并且其产量在快速增长，同时</w:t>
      </w:r>
      <w:bookmarkStart w:id="0" w:name="_Hlk39910694"/>
      <w:r>
        <w:rPr>
          <w:rFonts w:ascii="Times New Roman" w:hAnsi="Times New Roman"/>
          <w:sz w:val="24"/>
          <w:szCs w:val="24"/>
        </w:rPr>
        <w:t>2英寸、3英寸和4英寸碳化硅单晶抛光片质量</w:t>
      </w:r>
      <w:bookmarkEnd w:id="0"/>
      <w:r>
        <w:rPr>
          <w:rFonts w:ascii="Times New Roman" w:hAnsi="Times New Roman"/>
          <w:sz w:val="24"/>
          <w:szCs w:val="24"/>
        </w:rPr>
        <w:t>也得到进一步提升。在这种情况下，需要及时增加6英</w:t>
      </w:r>
      <w:r>
        <w:rPr>
          <w:rFonts w:hint="eastAsia" w:ascii="Times New Roman" w:hAnsi="Times New Roman"/>
          <w:sz w:val="24"/>
          <w:szCs w:val="24"/>
        </w:rPr>
        <w:t>寸碳化硅单晶抛光片的相关内容并对2英寸、3英寸和4英寸碳化硅单晶抛光片质量标准进行修订，因此对GB/T 30656-2014《碳化硅单晶抛光片》进行修订。</w:t>
      </w:r>
    </w:p>
    <w:p>
      <w:pPr>
        <w:pStyle w:val="15"/>
        <w:numPr>
          <w:ilvl w:val="0"/>
          <w:numId w:val="1"/>
        </w:numPr>
        <w:spacing w:line="360" w:lineRule="auto"/>
        <w:ind w:firstLineChars="0"/>
        <w:rPr>
          <w:rFonts w:ascii="Times New Roman" w:hAnsi="Times New Roman"/>
          <w:b/>
          <w:sz w:val="24"/>
          <w:szCs w:val="24"/>
        </w:rPr>
      </w:pPr>
      <w:r>
        <w:rPr>
          <w:rFonts w:ascii="Times New Roman" w:hAnsi="Times New Roman"/>
          <w:b/>
          <w:sz w:val="24"/>
          <w:szCs w:val="24"/>
        </w:rPr>
        <w:t>任务来源</w:t>
      </w:r>
    </w:p>
    <w:p>
      <w:pPr>
        <w:spacing w:line="360" w:lineRule="auto"/>
        <w:ind w:firstLine="480" w:firstLineChars="200"/>
        <w:rPr>
          <w:rFonts w:ascii="Times New Roman" w:hAnsi="Times New Roman"/>
          <w:sz w:val="24"/>
          <w:szCs w:val="24"/>
        </w:rPr>
      </w:pPr>
      <w:r>
        <w:rPr>
          <w:rFonts w:ascii="Times New Roman"/>
          <w:sz w:val="24"/>
          <w:szCs w:val="24"/>
        </w:rPr>
        <w:t>根据《</w:t>
      </w:r>
      <w:r>
        <w:rPr>
          <w:rFonts w:ascii="Times New Roman"/>
          <w:bCs/>
          <w:sz w:val="24"/>
          <w:szCs w:val="24"/>
        </w:rPr>
        <w:t>国家</w:t>
      </w:r>
      <w:r>
        <w:rPr>
          <w:rFonts w:hint="eastAsia" w:ascii="Times New Roman"/>
          <w:bCs/>
          <w:sz w:val="24"/>
          <w:szCs w:val="24"/>
        </w:rPr>
        <w:t>标准化管理委员会</w:t>
      </w:r>
      <w:r>
        <w:rPr>
          <w:rFonts w:ascii="Times New Roman"/>
          <w:bCs/>
          <w:sz w:val="24"/>
          <w:szCs w:val="24"/>
        </w:rPr>
        <w:t>关于下达2020年</w:t>
      </w:r>
      <w:r>
        <w:rPr>
          <w:rFonts w:hint="eastAsia" w:ascii="Times New Roman"/>
          <w:bCs/>
          <w:sz w:val="24"/>
          <w:szCs w:val="24"/>
        </w:rPr>
        <w:t>推荐性</w:t>
      </w:r>
      <w:r>
        <w:rPr>
          <w:rFonts w:ascii="Times New Roman"/>
          <w:bCs/>
          <w:sz w:val="24"/>
          <w:szCs w:val="24"/>
        </w:rPr>
        <w:t>国家标准</w:t>
      </w:r>
      <w:r>
        <w:rPr>
          <w:rFonts w:hint="eastAsia" w:ascii="Times New Roman"/>
          <w:bCs/>
          <w:sz w:val="24"/>
          <w:szCs w:val="24"/>
        </w:rPr>
        <w:t>计划（修订）</w:t>
      </w:r>
      <w:r>
        <w:rPr>
          <w:rFonts w:ascii="Times New Roman"/>
          <w:bCs/>
          <w:sz w:val="24"/>
          <w:szCs w:val="24"/>
        </w:rPr>
        <w:t>的通知</w:t>
      </w:r>
      <w:r>
        <w:rPr>
          <w:rFonts w:ascii="Times New Roman"/>
          <w:sz w:val="24"/>
          <w:szCs w:val="24"/>
        </w:rPr>
        <w:t>》（国标委综合[2020]6号）的要求</w:t>
      </w:r>
      <w:r>
        <w:rPr>
          <w:rFonts w:hint="eastAsia" w:ascii="Times New Roman"/>
          <w:sz w:val="24"/>
          <w:szCs w:val="24"/>
        </w:rPr>
        <w:t>，</w:t>
      </w:r>
      <w:r>
        <w:rPr>
          <w:rFonts w:ascii="Times New Roman"/>
          <w:sz w:val="24"/>
          <w:szCs w:val="24"/>
        </w:rPr>
        <w:t>由</w:t>
      </w:r>
      <w:r>
        <w:rPr>
          <w:rFonts w:hint="eastAsia" w:ascii="Times New Roman" w:hAnsi="Times New Roman"/>
          <w:sz w:val="24"/>
          <w:szCs w:val="24"/>
        </w:rPr>
        <w:t>北京天科合达半导体股份有限公司、中国科学院物理研究所</w:t>
      </w:r>
      <w:r>
        <w:rPr>
          <w:rFonts w:ascii="Times New Roman"/>
          <w:sz w:val="24"/>
          <w:szCs w:val="24"/>
        </w:rPr>
        <w:t>负责修订</w:t>
      </w:r>
      <w:r>
        <w:rPr>
          <w:rFonts w:hint="eastAsia" w:ascii="Times New Roman" w:hAnsi="Times New Roman"/>
          <w:sz w:val="24"/>
          <w:szCs w:val="24"/>
        </w:rPr>
        <w:t>GB/T 30656-2014</w:t>
      </w:r>
      <w:r>
        <w:rPr>
          <w:rFonts w:ascii="Times New Roman"/>
          <w:sz w:val="24"/>
          <w:szCs w:val="24"/>
        </w:rPr>
        <w:t>《</w:t>
      </w:r>
      <w:r>
        <w:rPr>
          <w:rFonts w:hint="eastAsia" w:ascii="Times New Roman" w:hAnsi="Times New Roman"/>
          <w:sz w:val="24"/>
          <w:szCs w:val="24"/>
        </w:rPr>
        <w:t>碳化硅单晶抛光片</w:t>
      </w:r>
      <w:r>
        <w:rPr>
          <w:rFonts w:ascii="Times New Roman"/>
          <w:sz w:val="24"/>
          <w:szCs w:val="24"/>
        </w:rPr>
        <w:t>》，计划编号20</w:t>
      </w:r>
      <w:r>
        <w:rPr>
          <w:rFonts w:hint="eastAsia" w:ascii="Times New Roman"/>
          <w:sz w:val="24"/>
          <w:szCs w:val="24"/>
        </w:rPr>
        <w:t>200799-T-469</w:t>
      </w:r>
      <w:r>
        <w:rPr>
          <w:rFonts w:ascii="Times New Roman"/>
          <w:sz w:val="24"/>
          <w:szCs w:val="24"/>
        </w:rPr>
        <w:t>。</w:t>
      </w:r>
      <w:r>
        <w:rPr>
          <w:rFonts w:hint="eastAsia" w:ascii="Times New Roman"/>
          <w:sz w:val="24"/>
          <w:szCs w:val="24"/>
        </w:rPr>
        <w:t>标准前言中的归口单位按</w:t>
      </w:r>
      <w:r>
        <w:rPr>
          <w:rFonts w:hint="eastAsia" w:ascii="Times New Roman" w:hAnsi="Times New Roman"/>
          <w:sz w:val="24"/>
          <w:szCs w:val="24"/>
        </w:rPr>
        <w:t>标委工二函[2014]22号的要求表述为“本标准由全国半导体设备和材料标准化技术委员会（SAC/TC 203）与全国半导体设备和材料标准化技术委员会材料分技术委员会（SAC/TC 203/SC2）共同提出并归口。”</w:t>
      </w:r>
    </w:p>
    <w:p>
      <w:pPr>
        <w:pStyle w:val="15"/>
        <w:numPr>
          <w:ilvl w:val="0"/>
          <w:numId w:val="1"/>
        </w:numPr>
        <w:spacing w:line="360" w:lineRule="auto"/>
        <w:ind w:firstLineChars="0"/>
        <w:rPr>
          <w:rFonts w:ascii="Times New Roman" w:hAnsi="Times New Roman"/>
          <w:b/>
          <w:sz w:val="24"/>
          <w:szCs w:val="24"/>
        </w:rPr>
      </w:pPr>
      <w:r>
        <w:rPr>
          <w:rFonts w:ascii="Times New Roman" w:hAnsi="Times New Roman"/>
          <w:b/>
          <w:sz w:val="24"/>
          <w:szCs w:val="24"/>
        </w:rPr>
        <w:t>标准主编单位简况</w:t>
      </w:r>
    </w:p>
    <w:p>
      <w:pPr>
        <w:pStyle w:val="3"/>
        <w:spacing w:before="0" w:line="360" w:lineRule="auto"/>
        <w:ind w:firstLine="480" w:firstLineChars="200"/>
        <w:jc w:val="both"/>
        <w:rPr>
          <w:rFonts w:ascii="Times New Roman" w:hAnsi="Times New Roman" w:cs="Times New Roman"/>
          <w:color w:val="auto"/>
          <w:highlight w:val="none"/>
          <w:lang w:eastAsia="zh-CN"/>
        </w:rPr>
      </w:pPr>
      <w:r>
        <w:rPr>
          <w:rFonts w:hint="eastAsia" w:ascii="Times New Roman" w:hAnsi="Times New Roman" w:eastAsia="宋体" w:cs="Times New Roman"/>
          <w:color w:val="auto"/>
          <w:kern w:val="0"/>
          <w:sz w:val="24"/>
          <w:szCs w:val="24"/>
          <w:highlight w:val="none"/>
          <w:lang w:val="en-US" w:eastAsia="zh-CN" w:bidi="ar-SA"/>
        </w:rPr>
        <w:t>北京天科合达半导体股份有限公司，成立于2006年9月，是国内成立时间最早、目前生产规模最大、产品种类最全的第三代半导体碳化硅晶片生产企业，同时也是国内唯一能批量供应工业级碳化硅晶片的企业。公司主要开展研究、开发、生产第三代半导体碳化硅产品（碳化硅晶片、晶体），销售自产产品等业务。公司现有两家全资子公司和一家分公司，两家全资子公司分别为新疆天科合达蓝光半导体有限公司位于新疆石河子市和江苏天科合达半导体有限公司位于江苏徐州市；一家分公司为北京天科合达半导体股份有限公司沈阳分公司。天科合达公司拥有完善的厂房设施和设备基础，5000平米的研发生产基地，自主研发设计的单晶炉，切磨抛设备若干台，进口检测设备若干台。第三代半导体行业技术准入门槛极高，天科合达公司已经进行碳化硅晶体研发10余年，拥有一支稳定的研发团队，作为北京市专利试点单位，申请了发明专利40余件（其中已获授权发明专利30件，含2项国际PCT专利），专利范围覆盖从原料制备、生长设备、晶体生长、晶体加工工艺流程以及清洗检测全生产线，形成了碳化硅晶片制备全工艺流程知识产权体系，彻底打破了国外的技术和专利封锁，为国产碳化硅晶片生产和全球销售扫清障碍。公司是中关村标准化试点单位，制定并发布了4项国家标准、1项行业标准和4项团体标准，其中《碳化硅单晶抛光片》为国内碳化硅半导体领域唯一一项国家产品标准。积累了丰富的标准编制经验，具备了本标准制定及相关实验条件和分析能力。</w:t>
      </w:r>
    </w:p>
    <w:p>
      <w:pPr>
        <w:spacing w:line="360" w:lineRule="auto"/>
        <w:ind w:firstLine="480" w:firstLineChars="200"/>
        <w:rPr>
          <w:rFonts w:ascii="Times New Roman" w:hAnsi="Times New Roman"/>
          <w:color w:val="auto"/>
          <w:kern w:val="0"/>
          <w:sz w:val="24"/>
          <w:szCs w:val="24"/>
        </w:rPr>
      </w:pPr>
      <w:r>
        <w:rPr>
          <w:rFonts w:hint="eastAsia" w:ascii="Times New Roman" w:hAnsi="Times New Roman"/>
          <w:color w:val="auto"/>
          <w:kern w:val="0"/>
          <w:sz w:val="24"/>
          <w:szCs w:val="24"/>
        </w:rPr>
        <w:t>北京天科合达半导体股份有限公司完成了一系列重点和关键技术研究成果。公司积极参与碳化硅行业的标准化工作，完善国内碳化硅行业相关标准，由公司和中科院物理所共同起草的</w:t>
      </w:r>
      <w:r>
        <w:rPr>
          <w:rFonts w:hint="eastAsia" w:ascii="Times New Roman" w:hAnsi="Times New Roman"/>
          <w:color w:val="auto"/>
          <w:kern w:val="0"/>
          <w:sz w:val="24"/>
          <w:szCs w:val="24"/>
          <w:lang w:val="en-US" w:eastAsia="zh-CN"/>
        </w:rPr>
        <w:t>四</w:t>
      </w:r>
      <w:r>
        <w:rPr>
          <w:rFonts w:hint="eastAsia" w:ascii="Times New Roman" w:hAnsi="Times New Roman"/>
          <w:color w:val="auto"/>
          <w:kern w:val="0"/>
          <w:sz w:val="24"/>
          <w:szCs w:val="24"/>
        </w:rPr>
        <w:t>项国家标准（</w:t>
      </w:r>
      <w:r>
        <w:rPr>
          <w:rFonts w:hint="eastAsia" w:ascii="Times New Roman" w:hAnsi="Times New Roman" w:eastAsia="宋体" w:cs="Times New Roman"/>
          <w:color w:val="auto"/>
          <w:kern w:val="2"/>
          <w:sz w:val="24"/>
          <w:szCs w:val="24"/>
          <w:lang w:val="en-US" w:eastAsia="zh-CN" w:bidi="ar-SA"/>
        </w:rPr>
        <w:t>GB/T 32278</w:t>
      </w:r>
      <w:r>
        <w:rPr>
          <w:rFonts w:hint="eastAsia" w:ascii="Times New Roman" w:hAnsi="Times New Roman"/>
          <w:color w:val="auto"/>
          <w:kern w:val="0"/>
          <w:sz w:val="24"/>
          <w:szCs w:val="24"/>
        </w:rPr>
        <w:t>碳化硅单晶片平整度测试方法</w:t>
      </w:r>
      <w:r>
        <w:rPr>
          <w:rFonts w:hint="eastAsia" w:ascii="Times New Roman" w:hAnsi="Times New Roman"/>
          <w:color w:val="auto"/>
          <w:kern w:val="0"/>
          <w:sz w:val="24"/>
          <w:szCs w:val="24"/>
          <w:lang w:eastAsia="zh-CN"/>
        </w:rPr>
        <w:t>、</w:t>
      </w:r>
      <w:r>
        <w:rPr>
          <w:rFonts w:hint="eastAsia"/>
          <w:color w:val="auto"/>
          <w:sz w:val="24"/>
        </w:rPr>
        <w:t>GB/T 30656</w:t>
      </w:r>
      <w:r>
        <w:rPr>
          <w:rFonts w:hint="eastAsia" w:ascii="Times New Roman" w:hAnsi="Times New Roman"/>
          <w:color w:val="auto"/>
          <w:kern w:val="0"/>
          <w:sz w:val="24"/>
          <w:szCs w:val="24"/>
        </w:rPr>
        <w:t>碳化硅单晶抛光片</w:t>
      </w:r>
      <w:r>
        <w:rPr>
          <w:rFonts w:hint="eastAsia" w:ascii="Times New Roman" w:hAnsi="Times New Roman"/>
          <w:color w:val="auto"/>
          <w:kern w:val="0"/>
          <w:sz w:val="24"/>
          <w:szCs w:val="24"/>
          <w:lang w:eastAsia="zh-CN"/>
        </w:rPr>
        <w:t>、</w:t>
      </w:r>
      <w:r>
        <w:rPr>
          <w:rFonts w:hint="eastAsia" w:ascii="Times New Roman" w:hAnsi="Times New Roman" w:eastAsia="宋体" w:cs="Times New Roman"/>
          <w:color w:val="auto"/>
          <w:kern w:val="2"/>
          <w:sz w:val="24"/>
          <w:szCs w:val="24"/>
          <w:lang w:val="en-US" w:eastAsia="zh-CN" w:bidi="ar-SA"/>
        </w:rPr>
        <w:t>GB/T 31351</w:t>
      </w:r>
      <w:r>
        <w:rPr>
          <w:rFonts w:hint="eastAsia" w:ascii="Times New Roman" w:hAnsi="Times New Roman"/>
          <w:color w:val="auto"/>
          <w:kern w:val="0"/>
          <w:sz w:val="24"/>
          <w:szCs w:val="24"/>
        </w:rPr>
        <w:t>碳化硅单晶抛光片微管密度无损检测方法）已成功发布并实施。碳化硅标准对产业发展具有重要意义，由于有了统一的产品及方法标准，可以为上下游企业的复核检测工作减少了大量的工作成本，这些标准的实施可为社会带来近亿元的经济效益。</w:t>
      </w:r>
    </w:p>
    <w:p>
      <w:pPr>
        <w:spacing w:line="360" w:lineRule="auto"/>
        <w:ind w:firstLine="480" w:firstLineChars="200"/>
        <w:rPr>
          <w:rFonts w:ascii="Times New Roman" w:hAnsi="Times New Roman"/>
          <w:kern w:val="0"/>
          <w:sz w:val="24"/>
          <w:szCs w:val="24"/>
        </w:rPr>
      </w:pPr>
      <w:r>
        <w:rPr>
          <w:rFonts w:hint="eastAsia" w:ascii="Times New Roman" w:hAnsi="Times New Roman"/>
          <w:color w:val="auto"/>
          <w:kern w:val="0"/>
          <w:sz w:val="24"/>
          <w:szCs w:val="24"/>
        </w:rPr>
        <w:t>2017年公司主导制定了1项团体标准</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碳化硅单晶抛光片</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参与</w:t>
      </w:r>
      <w:r>
        <w:rPr>
          <w:rFonts w:hint="eastAsia" w:ascii="Times New Roman" w:hAnsi="Times New Roman"/>
          <w:color w:val="auto"/>
          <w:kern w:val="0"/>
          <w:sz w:val="24"/>
          <w:szCs w:val="24"/>
          <w:highlight w:val="none"/>
        </w:rPr>
        <w:t>制定</w:t>
      </w:r>
      <w:r>
        <w:rPr>
          <w:rFonts w:hint="eastAsia" w:ascii="Times New Roman" w:hAnsi="Times New Roman"/>
          <w:color w:val="auto"/>
          <w:kern w:val="0"/>
          <w:sz w:val="24"/>
          <w:szCs w:val="24"/>
          <w:highlight w:val="none"/>
          <w:lang w:val="en-US" w:eastAsia="zh-CN"/>
        </w:rPr>
        <w:t>3</w:t>
      </w:r>
      <w:r>
        <w:rPr>
          <w:rFonts w:hint="eastAsia" w:ascii="Times New Roman" w:hAnsi="Times New Roman"/>
          <w:color w:val="auto"/>
          <w:kern w:val="0"/>
          <w:sz w:val="24"/>
          <w:szCs w:val="24"/>
          <w:highlight w:val="none"/>
        </w:rPr>
        <w:t>项团体标</w:t>
      </w:r>
      <w:r>
        <w:rPr>
          <w:rFonts w:hint="eastAsia" w:ascii="Times New Roman" w:hAnsi="Times New Roman"/>
          <w:color w:val="auto"/>
          <w:kern w:val="0"/>
          <w:sz w:val="24"/>
          <w:szCs w:val="24"/>
        </w:rPr>
        <w:t>准</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碳化硅外延片表面缺陷测试方法、碳化硅外延层载流子浓度测定-汞探针电容-电压法、电动汽车用功率半导体模块可靠性试验通用要求及试验方法。2018年公司主导制定了1项团体标准:6英寸碳化硅单晶抛光，参与制定了1项团体标准:碳化硅混合模块测试方法。涉及产业链上下游多个环节，减少了新型产业不同厂家对产品和标准的</w:t>
      </w:r>
      <w:r>
        <w:rPr>
          <w:rFonts w:hint="eastAsia" w:ascii="Times New Roman" w:hAnsi="Times New Roman"/>
          <w:kern w:val="0"/>
          <w:sz w:val="24"/>
          <w:szCs w:val="24"/>
        </w:rPr>
        <w:t>分歧。全方位促进了碳化硅行业从上游材料，到外延生长，到器件应用的产品和检测标准的规范化。　</w:t>
      </w:r>
    </w:p>
    <w:p>
      <w:pPr>
        <w:numPr>
          <w:ilvl w:val="0"/>
          <w:numId w:val="1"/>
        </w:numPr>
        <w:spacing w:line="360" w:lineRule="auto"/>
        <w:rPr>
          <w:rFonts w:ascii="Times New Roman" w:hAnsi="Times New Roman"/>
          <w:b/>
          <w:sz w:val="24"/>
          <w:szCs w:val="24"/>
        </w:rPr>
      </w:pPr>
      <w:r>
        <w:rPr>
          <w:rFonts w:ascii="Times New Roman" w:hAnsi="Times New Roman"/>
          <w:b/>
          <w:sz w:val="24"/>
          <w:szCs w:val="24"/>
        </w:rPr>
        <w:t>主要工作过程</w:t>
      </w:r>
    </w:p>
    <w:p>
      <w:pPr>
        <w:spacing w:line="360" w:lineRule="auto"/>
        <w:ind w:firstLine="480" w:firstLineChars="200"/>
        <w:rPr>
          <w:rFonts w:hint="eastAsia" w:ascii="Times New Roman" w:hAnsi="Times New Roman"/>
          <w:kern w:val="0"/>
          <w:sz w:val="24"/>
          <w:szCs w:val="24"/>
        </w:rPr>
      </w:pPr>
      <w:r>
        <w:rPr>
          <w:rFonts w:hint="eastAsia" w:ascii="Times New Roman" w:hAnsi="Times New Roman"/>
          <w:sz w:val="24"/>
          <w:szCs w:val="24"/>
        </w:rPr>
        <w:t>标准通过计划公示</w:t>
      </w:r>
      <w:r>
        <w:rPr>
          <w:rFonts w:ascii="Times New Roman" w:hAnsi="Times New Roman"/>
          <w:sz w:val="24"/>
          <w:szCs w:val="24"/>
        </w:rPr>
        <w:t>之后，</w:t>
      </w:r>
      <w:r>
        <w:rPr>
          <w:rFonts w:hint="eastAsia" w:ascii="Times New Roman" w:hAnsi="Times New Roman"/>
          <w:kern w:val="0"/>
          <w:sz w:val="24"/>
          <w:szCs w:val="24"/>
        </w:rPr>
        <w:t>北京天科合达半导体股份有限公司开始组织标准草案的完善，并在公司</w:t>
      </w:r>
      <w:r>
        <w:rPr>
          <w:rFonts w:hint="eastAsia" w:ascii="Times New Roman" w:hAnsi="Times New Roman"/>
          <w:kern w:val="0"/>
          <w:sz w:val="24"/>
          <w:szCs w:val="24"/>
          <w:lang w:val="en-US" w:eastAsia="zh-CN"/>
        </w:rPr>
        <w:t>内部</w:t>
      </w:r>
      <w:r>
        <w:rPr>
          <w:rFonts w:hint="eastAsia" w:ascii="Times New Roman" w:hAnsi="Times New Roman"/>
          <w:kern w:val="0"/>
          <w:sz w:val="24"/>
          <w:szCs w:val="24"/>
        </w:rPr>
        <w:t>进行了意见征集，并于</w:t>
      </w:r>
      <w:r>
        <w:rPr>
          <w:rFonts w:ascii="Times New Roman" w:hAnsi="Times New Roman"/>
          <w:sz w:val="24"/>
          <w:szCs w:val="24"/>
        </w:rPr>
        <w:t>2019年7月</w:t>
      </w:r>
      <w:r>
        <w:rPr>
          <w:rFonts w:hint="eastAsia" w:ascii="Times New Roman" w:hAnsi="Times New Roman"/>
          <w:sz w:val="24"/>
          <w:szCs w:val="24"/>
        </w:rPr>
        <w:t>将标准稿件提交给标委会秘书处。</w:t>
      </w:r>
      <w:r>
        <w:rPr>
          <w:rFonts w:ascii="Times New Roman" w:hAnsi="Times New Roman"/>
          <w:sz w:val="24"/>
          <w:szCs w:val="24"/>
        </w:rPr>
        <w:t>参加了标准讨论会</w:t>
      </w:r>
      <w:r>
        <w:rPr>
          <w:rFonts w:hint="eastAsia" w:ascii="Times New Roman" w:hAnsi="Times New Roman"/>
          <w:sz w:val="24"/>
          <w:szCs w:val="24"/>
        </w:rPr>
        <w:t>。</w:t>
      </w:r>
      <w:r>
        <w:rPr>
          <w:rFonts w:ascii="Times New Roman" w:hAnsi="Times New Roman"/>
          <w:sz w:val="24"/>
          <w:szCs w:val="24"/>
        </w:rPr>
        <w:t>201</w:t>
      </w:r>
      <w:r>
        <w:rPr>
          <w:rFonts w:hint="eastAsia" w:ascii="Times New Roman" w:hAnsi="Times New Roman"/>
          <w:sz w:val="24"/>
          <w:szCs w:val="24"/>
        </w:rPr>
        <w:t>9</w:t>
      </w:r>
      <w:r>
        <w:rPr>
          <w:rFonts w:ascii="Times New Roman" w:hAnsi="Times New Roman"/>
          <w:sz w:val="24"/>
          <w:szCs w:val="24"/>
        </w:rPr>
        <w:t>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5</w:t>
      </w:r>
      <w:r>
        <w:rPr>
          <w:rFonts w:ascii="Times New Roman" w:hAnsi="Times New Roman"/>
          <w:sz w:val="24"/>
          <w:szCs w:val="24"/>
        </w:rPr>
        <w:t>日，由全国半导体设备和材料标准化技术委员会材料分技术委员会组织，在</w:t>
      </w:r>
      <w:r>
        <w:rPr>
          <w:rFonts w:hint="eastAsia" w:ascii="Times New Roman" w:hAnsi="Times New Roman"/>
          <w:sz w:val="24"/>
          <w:szCs w:val="24"/>
        </w:rPr>
        <w:t>新疆石河子市</w:t>
      </w:r>
      <w:r>
        <w:rPr>
          <w:rFonts w:ascii="Times New Roman" w:hAnsi="Times New Roman"/>
          <w:sz w:val="24"/>
          <w:szCs w:val="24"/>
        </w:rPr>
        <w:t>召开了《</w:t>
      </w:r>
      <w:r>
        <w:rPr>
          <w:rFonts w:hint="eastAsia" w:ascii="Times New Roman" w:hAnsi="Times New Roman"/>
          <w:sz w:val="24"/>
          <w:szCs w:val="24"/>
        </w:rPr>
        <w:t>碳化硅</w:t>
      </w:r>
      <w:r>
        <w:rPr>
          <w:rFonts w:ascii="Times New Roman" w:hAnsi="Times New Roman"/>
          <w:sz w:val="24"/>
          <w:szCs w:val="24"/>
        </w:rPr>
        <w:t>单晶</w:t>
      </w:r>
      <w:r>
        <w:rPr>
          <w:rFonts w:hint="eastAsia" w:ascii="Times New Roman" w:hAnsi="Times New Roman"/>
          <w:sz w:val="24"/>
          <w:szCs w:val="24"/>
        </w:rPr>
        <w:t>抛光</w:t>
      </w:r>
      <w:r>
        <w:rPr>
          <w:rFonts w:ascii="Times New Roman" w:hAnsi="Times New Roman"/>
          <w:sz w:val="24"/>
          <w:szCs w:val="24"/>
        </w:rPr>
        <w:t>片》</w:t>
      </w:r>
      <w:r>
        <w:rPr>
          <w:rFonts w:hint="eastAsia" w:ascii="Times New Roman" w:hAnsi="Times New Roman"/>
          <w:sz w:val="24"/>
          <w:szCs w:val="24"/>
        </w:rPr>
        <w:t>（国家标准）</w:t>
      </w:r>
      <w:r>
        <w:rPr>
          <w:rFonts w:ascii="Times New Roman" w:hAnsi="Times New Roman"/>
          <w:sz w:val="24"/>
          <w:szCs w:val="24"/>
        </w:rPr>
        <w:t>第一次工作会议</w:t>
      </w:r>
      <w:r>
        <w:rPr>
          <w:rFonts w:hint="eastAsia" w:ascii="Times New Roman" w:hAnsi="Times New Roman"/>
          <w:sz w:val="24"/>
          <w:szCs w:val="24"/>
        </w:rPr>
        <w:t>（讨论会）</w:t>
      </w:r>
      <w:r>
        <w:rPr>
          <w:rFonts w:ascii="Times New Roman" w:hAnsi="Times New Roman"/>
          <w:sz w:val="24"/>
          <w:szCs w:val="24"/>
        </w:rPr>
        <w:t>，共有</w:t>
      </w:r>
      <w:r>
        <w:rPr>
          <w:rFonts w:hint="eastAsia" w:ascii="Times New Roman" w:hAnsi="Times New Roman"/>
          <w:sz w:val="24"/>
          <w:szCs w:val="24"/>
        </w:rPr>
        <w:t>有色金属技术经济研究院</w:t>
      </w:r>
      <w:r>
        <w:rPr>
          <w:rFonts w:ascii="Times New Roman" w:hAnsi="Times New Roman"/>
          <w:sz w:val="24"/>
          <w:szCs w:val="24"/>
        </w:rPr>
        <w:t>、</w:t>
      </w:r>
      <w:r>
        <w:rPr>
          <w:rFonts w:hint="eastAsia" w:ascii="Times New Roman" w:hAnsi="Times New Roman"/>
          <w:sz w:val="24"/>
          <w:szCs w:val="24"/>
        </w:rPr>
        <w:t>南京国盛电子</w:t>
      </w:r>
      <w:r>
        <w:rPr>
          <w:rFonts w:ascii="Times New Roman" w:hAnsi="Times New Roman"/>
          <w:sz w:val="24"/>
          <w:szCs w:val="24"/>
        </w:rPr>
        <w:t>有限公司、</w:t>
      </w:r>
      <w:r>
        <w:rPr>
          <w:rFonts w:hint="eastAsia" w:ascii="Times New Roman" w:hAnsi="Times New Roman"/>
          <w:sz w:val="24"/>
          <w:szCs w:val="24"/>
        </w:rPr>
        <w:t>芜湖启迪半导体有限公司</w:t>
      </w:r>
      <w:r>
        <w:rPr>
          <w:rFonts w:ascii="Times New Roman" w:hAnsi="Times New Roman"/>
          <w:sz w:val="24"/>
          <w:szCs w:val="24"/>
        </w:rPr>
        <w:t>等8家单位的1</w:t>
      </w:r>
      <w:r>
        <w:rPr>
          <w:rFonts w:hint="eastAsia" w:ascii="Times New Roman" w:hAnsi="Times New Roman"/>
          <w:sz w:val="24"/>
          <w:szCs w:val="24"/>
        </w:rPr>
        <w:t>0</w:t>
      </w:r>
      <w:r>
        <w:rPr>
          <w:rFonts w:ascii="Times New Roman" w:hAnsi="Times New Roman"/>
          <w:sz w:val="24"/>
          <w:szCs w:val="24"/>
        </w:rPr>
        <w:t>名专家参加了会议，与会专家对标准讨论稿从标准技术内容和文本质量等方面进行了充分的讨论</w:t>
      </w:r>
      <w:r>
        <w:rPr>
          <w:rFonts w:hint="eastAsia" w:ascii="Times New Roman" w:hAnsi="Times New Roman"/>
          <w:sz w:val="24"/>
          <w:szCs w:val="24"/>
        </w:rPr>
        <w:t>，并就标准文本提出了修改建议。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020</w:t>
      </w:r>
      <w:r>
        <w:rPr>
          <w:rFonts w:hint="eastAsia" w:ascii="Times New Roman" w:hAnsi="Times New Roman"/>
          <w:sz w:val="24"/>
          <w:szCs w:val="24"/>
        </w:rPr>
        <w:t>年3月，标准经国标委批复后正式立项，标委会秘书处组织</w:t>
      </w:r>
      <w:r>
        <w:rPr>
          <w:rFonts w:ascii="Times New Roman" w:hAnsi="Times New Roman"/>
          <w:sz w:val="24"/>
          <w:szCs w:val="24"/>
        </w:rPr>
        <w:t>成立了标准修订</w:t>
      </w:r>
      <w:r>
        <w:rPr>
          <w:rFonts w:hint="eastAsia" w:ascii="Times New Roman" w:hAnsi="Times New Roman"/>
          <w:sz w:val="24"/>
          <w:szCs w:val="24"/>
        </w:rPr>
        <w:t>编制组</w:t>
      </w:r>
      <w:r>
        <w:rPr>
          <w:rFonts w:ascii="Times New Roman" w:hAnsi="Times New Roman"/>
          <w:sz w:val="24"/>
          <w:szCs w:val="24"/>
        </w:rPr>
        <w:t>，</w:t>
      </w:r>
      <w:r>
        <w:rPr>
          <w:rFonts w:hint="eastAsia" w:ascii="Times New Roman" w:hAnsi="Times New Roman"/>
          <w:sz w:val="24"/>
          <w:szCs w:val="24"/>
        </w:rPr>
        <w:t>编制组成员</w:t>
      </w:r>
      <w:r>
        <w:rPr>
          <w:rFonts w:ascii="Times New Roman" w:hAnsi="Times New Roman"/>
          <w:sz w:val="24"/>
          <w:szCs w:val="24"/>
        </w:rPr>
        <w:t>都有较丰富的</w:t>
      </w:r>
      <w:r>
        <w:rPr>
          <w:rFonts w:hint="eastAsia" w:ascii="Times New Roman" w:hAnsi="Times New Roman"/>
          <w:sz w:val="24"/>
          <w:szCs w:val="24"/>
        </w:rPr>
        <w:t>碳化硅单晶抛光片生产、使用</w:t>
      </w:r>
      <w:r>
        <w:rPr>
          <w:rFonts w:ascii="Times New Roman" w:hAnsi="Times New Roman"/>
          <w:sz w:val="24"/>
          <w:szCs w:val="24"/>
        </w:rPr>
        <w:t>经验，对国内外本行业的发展有比较清晰的认识，起草人员通过对资料的收集等工作，</w:t>
      </w:r>
      <w:r>
        <w:rPr>
          <w:rFonts w:hint="eastAsia" w:ascii="Times New Roman" w:hAnsi="Times New Roman"/>
          <w:sz w:val="24"/>
          <w:szCs w:val="24"/>
        </w:rPr>
        <w:t>结合2</w:t>
      </w:r>
      <w:r>
        <w:rPr>
          <w:rFonts w:ascii="Times New Roman" w:hAnsi="Times New Roman"/>
          <w:sz w:val="24"/>
          <w:szCs w:val="24"/>
        </w:rPr>
        <w:t>019</w:t>
      </w:r>
      <w:r>
        <w:rPr>
          <w:rFonts w:hint="eastAsia" w:ascii="Times New Roman" w:hAnsi="Times New Roman"/>
          <w:sz w:val="24"/>
          <w:szCs w:val="24"/>
        </w:rPr>
        <w:t>年8月的会议意见，对标准稿件进行了修改，于2</w:t>
      </w:r>
      <w:r>
        <w:rPr>
          <w:rFonts w:ascii="Times New Roman" w:hAnsi="Times New Roman"/>
          <w:sz w:val="24"/>
          <w:szCs w:val="24"/>
        </w:rPr>
        <w:t>020</w:t>
      </w:r>
      <w:r>
        <w:rPr>
          <w:rFonts w:hint="eastAsia" w:ascii="Times New Roman" w:hAnsi="Times New Roman"/>
          <w:sz w:val="24"/>
          <w:szCs w:val="24"/>
        </w:rPr>
        <w:t>年7月形成了标准征求意见稿。</w:t>
      </w:r>
    </w:p>
    <w:p>
      <w:pPr>
        <w:spacing w:line="360" w:lineRule="auto"/>
        <w:ind w:firstLine="480" w:firstLineChars="200"/>
        <w:rPr>
          <w:rFonts w:hint="eastAsia" w:ascii="Times New Roman" w:hAnsi="Times New Roman"/>
          <w:sz w:val="24"/>
          <w:szCs w:val="24"/>
        </w:rPr>
      </w:pPr>
    </w:p>
    <w:p>
      <w:pPr>
        <w:pStyle w:val="15"/>
        <w:numPr>
          <w:ilvl w:val="0"/>
          <w:numId w:val="2"/>
        </w:numPr>
        <w:spacing w:line="360" w:lineRule="auto"/>
        <w:ind w:firstLineChars="0"/>
        <w:rPr>
          <w:rFonts w:ascii="Times New Roman" w:hAnsi="Times New Roman"/>
          <w:b/>
          <w:sz w:val="24"/>
          <w:szCs w:val="24"/>
        </w:rPr>
      </w:pPr>
      <w:r>
        <w:rPr>
          <w:rFonts w:ascii="Times New Roman" w:hAnsi="Times New Roman"/>
          <w:b/>
          <w:sz w:val="24"/>
          <w:szCs w:val="24"/>
        </w:rPr>
        <w:t>标准编制的原则和主要内容的确定依据</w:t>
      </w:r>
    </w:p>
    <w:p>
      <w:pPr>
        <w:pStyle w:val="15"/>
        <w:numPr>
          <w:ilvl w:val="0"/>
          <w:numId w:val="0"/>
        </w:numPr>
        <w:spacing w:line="360" w:lineRule="auto"/>
        <w:ind w:leftChars="0"/>
        <w:rPr>
          <w:rFonts w:ascii="Times New Roman" w:hAnsi="Times New Roman"/>
          <w:b/>
          <w:sz w:val="24"/>
          <w:szCs w:val="24"/>
        </w:rPr>
      </w:pPr>
      <w:r>
        <w:rPr>
          <w:rFonts w:ascii="Times New Roman" w:hAnsi="Times New Roman"/>
          <w:b/>
          <w:sz w:val="24"/>
          <w:szCs w:val="24"/>
        </w:rPr>
        <w:t>1、编制原则</w:t>
      </w:r>
    </w:p>
    <w:p>
      <w:pPr>
        <w:pStyle w:val="15"/>
        <w:numPr>
          <w:ilvl w:val="0"/>
          <w:numId w:val="3"/>
        </w:numPr>
        <w:spacing w:line="360" w:lineRule="auto"/>
        <w:ind w:left="0" w:firstLine="420" w:firstLineChars="0"/>
        <w:rPr>
          <w:rFonts w:ascii="Times New Roman" w:hAnsi="Times New Roman"/>
          <w:sz w:val="24"/>
          <w:szCs w:val="24"/>
        </w:rPr>
      </w:pPr>
      <w:r>
        <w:rPr>
          <w:rFonts w:ascii="Times New Roman" w:hAnsi="Times New Roman"/>
          <w:sz w:val="24"/>
          <w:szCs w:val="24"/>
        </w:rPr>
        <w:t>标准的编写格式按国家标准GB/T 1.1-20</w:t>
      </w:r>
      <w:r>
        <w:rPr>
          <w:rFonts w:hint="eastAsia" w:ascii="Times New Roman" w:hAnsi="Times New Roman"/>
          <w:sz w:val="24"/>
          <w:szCs w:val="24"/>
        </w:rPr>
        <w:t>20</w:t>
      </w:r>
      <w:r>
        <w:rPr>
          <w:rFonts w:ascii="Times New Roman" w:hAnsi="Times New Roman"/>
          <w:sz w:val="24"/>
          <w:szCs w:val="24"/>
        </w:rPr>
        <w:t>《标准化工作导则  第1部分：标准的结构和编写》的统一规定和要求进行编写。</w:t>
      </w:r>
    </w:p>
    <w:p>
      <w:pPr>
        <w:pStyle w:val="15"/>
        <w:numPr>
          <w:ilvl w:val="0"/>
          <w:numId w:val="3"/>
        </w:numPr>
        <w:spacing w:line="360" w:lineRule="auto"/>
        <w:ind w:left="0" w:firstLine="420" w:firstLineChars="0"/>
        <w:rPr>
          <w:rFonts w:ascii="Times New Roman" w:hAnsi="Times New Roman"/>
          <w:sz w:val="24"/>
          <w:szCs w:val="24"/>
        </w:rPr>
      </w:pPr>
      <w:r>
        <w:rPr>
          <w:rFonts w:ascii="Times New Roman" w:hAnsi="Times New Roman"/>
          <w:sz w:val="24"/>
          <w:szCs w:val="24"/>
        </w:rPr>
        <w:t>根据</w:t>
      </w:r>
      <w:r>
        <w:rPr>
          <w:rFonts w:hint="eastAsia" w:ascii="Times New Roman" w:hAnsi="Times New Roman"/>
          <w:sz w:val="24"/>
          <w:szCs w:val="24"/>
          <w:lang w:val="en-US" w:eastAsia="zh-CN"/>
        </w:rPr>
        <w:t>碳化硅单晶抛光片</w:t>
      </w:r>
      <w:r>
        <w:rPr>
          <w:rFonts w:ascii="Times New Roman" w:hAnsi="Times New Roman"/>
          <w:sz w:val="24"/>
          <w:szCs w:val="24"/>
        </w:rPr>
        <w:t>最新的产品分类编写。</w:t>
      </w:r>
    </w:p>
    <w:p>
      <w:pPr>
        <w:pStyle w:val="15"/>
        <w:numPr>
          <w:ilvl w:val="0"/>
          <w:numId w:val="3"/>
        </w:numPr>
        <w:spacing w:line="360" w:lineRule="auto"/>
        <w:ind w:left="0" w:firstLine="420" w:firstLineChars="0"/>
        <w:rPr>
          <w:rFonts w:ascii="Times New Roman" w:hAnsi="Times New Roman"/>
          <w:sz w:val="24"/>
          <w:szCs w:val="24"/>
        </w:rPr>
      </w:pPr>
      <w:r>
        <w:rPr>
          <w:rFonts w:ascii="Times New Roman" w:hAnsi="Times New Roman"/>
          <w:sz w:val="24"/>
          <w:szCs w:val="24"/>
        </w:rPr>
        <w:t>根据外延厂家对</w:t>
      </w:r>
      <w:r>
        <w:rPr>
          <w:rFonts w:hint="eastAsia" w:ascii="Times New Roman" w:hAnsi="Times New Roman"/>
          <w:sz w:val="24"/>
          <w:szCs w:val="24"/>
          <w:lang w:val="en-US" w:eastAsia="zh-CN"/>
        </w:rPr>
        <w:t>碳化硅单晶抛光片</w:t>
      </w:r>
      <w:r>
        <w:rPr>
          <w:rFonts w:ascii="Times New Roman" w:hAnsi="Times New Roman"/>
          <w:sz w:val="24"/>
          <w:szCs w:val="24"/>
        </w:rPr>
        <w:t>衬底的最新</w:t>
      </w:r>
      <w:r>
        <w:rPr>
          <w:rFonts w:hint="eastAsia" w:ascii="Times New Roman" w:hAnsi="Times New Roman"/>
          <w:sz w:val="24"/>
          <w:szCs w:val="24"/>
        </w:rPr>
        <w:t>技术</w:t>
      </w:r>
      <w:r>
        <w:rPr>
          <w:rFonts w:ascii="Times New Roman" w:hAnsi="Times New Roman"/>
          <w:sz w:val="24"/>
          <w:szCs w:val="24"/>
        </w:rPr>
        <w:t>要求进行编写。</w:t>
      </w:r>
    </w:p>
    <w:p>
      <w:pPr>
        <w:spacing w:line="360" w:lineRule="auto"/>
        <w:rPr>
          <w:rFonts w:hint="eastAsia" w:ascii="Times New Roman" w:hAnsi="Times New Roman"/>
          <w:b/>
          <w:bCs/>
          <w:sz w:val="24"/>
          <w:szCs w:val="24"/>
        </w:rPr>
      </w:pPr>
      <w:r>
        <w:rPr>
          <w:rFonts w:ascii="Times New Roman" w:hAnsi="Times New Roman"/>
          <w:b/>
          <w:bCs/>
          <w:sz w:val="24"/>
          <w:szCs w:val="24"/>
        </w:rPr>
        <w:t>2、主要内容的确定依据</w:t>
      </w:r>
    </w:p>
    <w:p>
      <w:pPr>
        <w:spacing w:line="360" w:lineRule="auto"/>
        <w:ind w:firstLine="480" w:firstLineChars="200"/>
        <w:rPr>
          <w:rFonts w:ascii="Times New Roman" w:hAnsi="Times New Roman"/>
          <w:sz w:val="24"/>
          <w:szCs w:val="24"/>
        </w:rPr>
      </w:pPr>
      <w:r>
        <w:rPr>
          <w:rFonts w:ascii="Times New Roman" w:hAnsi="Times New Roman"/>
          <w:sz w:val="24"/>
          <w:szCs w:val="24"/>
        </w:rPr>
        <w:t>本标准主要内容如下：</w:t>
      </w:r>
    </w:p>
    <w:p>
      <w:pPr>
        <w:pStyle w:val="7"/>
        <w:spacing w:line="360" w:lineRule="auto"/>
        <w:ind w:firstLine="480" w:firstLineChars="200"/>
        <w:rPr>
          <w:rFonts w:hint="eastAsia" w:ascii="Times New Roman"/>
          <w:sz w:val="24"/>
          <w:szCs w:val="24"/>
          <w:lang w:val="en-US" w:eastAsia="zh-CN"/>
        </w:rPr>
      </w:pPr>
      <w:r>
        <w:rPr>
          <w:rFonts w:hint="eastAsia" w:ascii="Times New Roman"/>
          <w:sz w:val="24"/>
          <w:szCs w:val="24"/>
          <w:lang w:val="en-US" w:eastAsia="zh-CN"/>
        </w:rPr>
        <w:t>1）标准范围中碳化硅单晶抛光片的用途增加了射频微波器件。因碳化硅抛光片不仅应用于制作电力电子器件，也应用于射频微波器件的外延衬底。</w:t>
      </w:r>
      <w:r>
        <w:rPr>
          <w:rFonts w:ascii="Times New Roman" w:hAnsi="Times New Roman"/>
          <w:sz w:val="24"/>
          <w:szCs w:val="24"/>
        </w:rPr>
        <w:t>因此</w:t>
      </w:r>
      <w:r>
        <w:rPr>
          <w:rFonts w:hint="eastAsia" w:ascii="Times New Roman"/>
          <w:sz w:val="24"/>
          <w:szCs w:val="24"/>
          <w:lang w:val="en-US" w:eastAsia="zh-CN"/>
        </w:rPr>
        <w:t>应用</w:t>
      </w:r>
      <w:r>
        <w:rPr>
          <w:rFonts w:ascii="Times New Roman" w:hAnsi="Times New Roman"/>
          <w:sz w:val="24"/>
          <w:szCs w:val="24"/>
        </w:rPr>
        <w:t>范围改为</w:t>
      </w:r>
      <w:r>
        <w:rPr>
          <w:rFonts w:hint="eastAsia" w:ascii="Times New Roman" w:hAnsi="Times New Roman"/>
          <w:sz w:val="24"/>
          <w:szCs w:val="24"/>
          <w:lang w:eastAsia="zh-CN"/>
        </w:rPr>
        <w:t>“</w:t>
      </w:r>
      <w:r>
        <w:rPr>
          <w:rFonts w:hint="eastAsia" w:ascii="Times New Roman"/>
          <w:sz w:val="24"/>
          <w:szCs w:val="24"/>
          <w:lang w:val="en-US" w:eastAsia="zh-CN"/>
        </w:rPr>
        <w:t>碳化硅单晶抛光片主要用于制作电力电子器件及射频微波器件的外延衬底</w:t>
      </w:r>
      <w:r>
        <w:rPr>
          <w:rFonts w:hint="eastAsia" w:ascii="Times New Roman" w:hAnsi="Times New Roman"/>
          <w:sz w:val="24"/>
          <w:szCs w:val="24"/>
          <w:lang w:eastAsia="zh-CN"/>
        </w:rPr>
        <w:t>”</w:t>
      </w:r>
      <w:r>
        <w:rPr>
          <w:rFonts w:hint="eastAsia" w:ascii="Times New Roman"/>
          <w:sz w:val="24"/>
          <w:szCs w:val="24"/>
          <w:lang w:val="en-US" w:eastAsia="zh-CN"/>
        </w:rPr>
        <w:t>。</w:t>
      </w:r>
    </w:p>
    <w:p>
      <w:pPr>
        <w:pStyle w:val="7"/>
        <w:spacing w:line="360" w:lineRule="auto"/>
        <w:ind w:firstLine="480" w:firstLineChars="200"/>
        <w:rPr>
          <w:rFonts w:hint="eastAsia" w:ascii="Times New Roman"/>
          <w:sz w:val="24"/>
          <w:szCs w:val="24"/>
          <w:lang w:val="en-US" w:eastAsia="zh-CN"/>
        </w:rPr>
      </w:pPr>
      <w:r>
        <w:rPr>
          <w:rFonts w:hint="eastAsia" w:ascii="Times New Roman"/>
          <w:sz w:val="24"/>
          <w:szCs w:val="24"/>
          <w:lang w:val="en-US" w:eastAsia="zh-CN"/>
        </w:rPr>
        <w:t>2）规范性引用文件中删除了GB/T 6619《硅片弯曲度测试方法》、GB/T 6620《硅片翘曲度非接触测试方法》、GB/T 29507《硅片平整度、厚度及总厚度变化测试 自动非接触扫描法》，增加了GB/T 32278《碳化硅单晶片平整度测试方法》，直接引用碳化硅单晶片平整度测试方法。删除了GB/T 14140《硅片直径测量测试方法》，增加了GB/T 30866《碳化硅单晶片直径测试方法》，直接引用碳化硅单晶片直径测试方法。删除了DIN 50448《半导体工艺材料试验》，因为该标准在1998年已废止，不再引用。增加了GB/T 2828.1-2012《计数抽样检验程序 第1部分：按接收质量限（AQL）检索的逐批检验抽样计划》，检验项目和取样要求按照国标执行。增加了GB/T 32188《氮化镓单晶衬底片X射线双晶摇摆曲线半高宽测试方法》，碳化硅单晶抛光片的</w:t>
      </w:r>
      <w:r>
        <w:rPr>
          <w:rFonts w:hint="eastAsia" w:hAnsi="宋体" w:eastAsia="宋体"/>
          <w:color w:val="auto"/>
          <w:szCs w:val="21"/>
          <w:lang w:val="en-US" w:eastAsia="zh-CN"/>
        </w:rPr>
        <w:t>结晶</w:t>
      </w:r>
      <w:r>
        <w:rPr>
          <w:rFonts w:hint="eastAsia" w:hAnsi="宋体"/>
          <w:color w:val="auto"/>
          <w:szCs w:val="21"/>
          <w:lang w:val="en-US" w:eastAsia="zh-CN"/>
        </w:rPr>
        <w:t>检测</w:t>
      </w:r>
      <w:r>
        <w:rPr>
          <w:rFonts w:hint="eastAsia" w:hAnsi="宋体" w:eastAsia="宋体"/>
          <w:color w:val="auto"/>
          <w:szCs w:val="21"/>
          <w:lang w:val="en-US" w:eastAsia="zh-CN"/>
        </w:rPr>
        <w:t>方法</w:t>
      </w:r>
      <w:r>
        <w:rPr>
          <w:rFonts w:hint="eastAsia" w:hAnsi="宋体"/>
          <w:color w:val="auto"/>
          <w:szCs w:val="21"/>
          <w:lang w:val="en-US" w:eastAsia="zh-CN"/>
        </w:rPr>
        <w:t>同</w:t>
      </w:r>
      <w:r>
        <w:rPr>
          <w:rFonts w:hint="eastAsia" w:ascii="Times New Roman"/>
          <w:sz w:val="24"/>
          <w:szCs w:val="24"/>
          <w:lang w:val="en-US" w:eastAsia="zh-CN"/>
        </w:rPr>
        <w:t>氮化镓单晶衬底片的方法一样，直接引用，删除“</w:t>
      </w:r>
      <w:r>
        <w:rPr>
          <w:rFonts w:hint="eastAsia" w:hAnsi="宋体" w:eastAsia="宋体"/>
          <w:color w:val="auto"/>
          <w:szCs w:val="21"/>
          <w:lang w:val="en-US" w:eastAsia="zh-CN"/>
        </w:rPr>
        <w:t>附录B规定的方法用高分辨率X射线衍射仪做双晶摇摆曲线的检测</w:t>
      </w:r>
      <w:r>
        <w:rPr>
          <w:rFonts w:hint="eastAsia" w:ascii="Times New Roman"/>
          <w:sz w:val="24"/>
          <w:szCs w:val="24"/>
          <w:lang w:val="en-US" w:eastAsia="zh-CN"/>
        </w:rPr>
        <w:t>”。</w:t>
      </w:r>
    </w:p>
    <w:p>
      <w:pPr>
        <w:pStyle w:val="7"/>
        <w:spacing w:line="360" w:lineRule="auto"/>
        <w:ind w:firstLine="480" w:firstLineChars="200"/>
        <w:rPr>
          <w:rFonts w:hint="eastAsia" w:hAnsi="宋体"/>
          <w:color w:val="auto"/>
          <w:szCs w:val="21"/>
          <w:lang w:val="en-US" w:eastAsia="zh-CN"/>
        </w:rPr>
      </w:pPr>
      <w:r>
        <w:rPr>
          <w:rFonts w:hint="eastAsia" w:ascii="Times New Roman"/>
          <w:sz w:val="24"/>
          <w:szCs w:val="24"/>
          <w:lang w:val="en-US" w:eastAsia="zh-CN"/>
        </w:rPr>
        <w:t>3）</w:t>
      </w:r>
      <w:r>
        <w:rPr>
          <w:rFonts w:hint="eastAsia" w:hAnsi="宋体" w:eastAsia="宋体"/>
          <w:color w:val="auto"/>
          <w:szCs w:val="21"/>
        </w:rPr>
        <w:t>术语</w:t>
      </w:r>
      <w:r>
        <w:rPr>
          <w:rFonts w:hint="eastAsia" w:hAnsi="宋体" w:eastAsia="宋体"/>
          <w:color w:val="auto"/>
          <w:szCs w:val="21"/>
          <w:lang w:val="en-US" w:eastAsia="zh-CN"/>
        </w:rPr>
        <w:t>和定义中</w:t>
      </w:r>
      <w:r>
        <w:rPr>
          <w:rFonts w:hint="eastAsia" w:hAnsi="宋体" w:eastAsia="宋体"/>
          <w:color w:val="auto"/>
          <w:szCs w:val="21"/>
        </w:rPr>
        <w:t>删除</w:t>
      </w:r>
      <w:r>
        <w:rPr>
          <w:rFonts w:hint="eastAsia" w:hAnsi="宋体" w:eastAsia="宋体"/>
          <w:color w:val="auto"/>
          <w:szCs w:val="21"/>
          <w:lang w:val="en-US" w:eastAsia="zh-CN"/>
        </w:rPr>
        <w:t>了</w:t>
      </w:r>
      <w:r>
        <w:rPr>
          <w:rFonts w:hint="eastAsia" w:hAnsi="宋体" w:eastAsia="宋体"/>
          <w:color w:val="auto"/>
          <w:szCs w:val="21"/>
        </w:rPr>
        <w:t>表面取向、正交</w:t>
      </w:r>
      <w:r>
        <w:rPr>
          <w:rFonts w:hint="eastAsia" w:hAnsi="宋体" w:eastAsia="宋体"/>
          <w:color w:val="auto"/>
          <w:szCs w:val="21"/>
          <w:lang w:val="en-US" w:eastAsia="zh-CN"/>
        </w:rPr>
        <w:t>取</w:t>
      </w:r>
      <w:r>
        <w:rPr>
          <w:rFonts w:hint="eastAsia" w:hAnsi="宋体" w:eastAsia="宋体"/>
          <w:color w:val="auto"/>
          <w:szCs w:val="21"/>
        </w:rPr>
        <w:t>向偏离</w:t>
      </w:r>
      <w:r>
        <w:rPr>
          <w:rFonts w:hint="eastAsia" w:hAnsi="宋体" w:eastAsia="宋体"/>
          <w:color w:val="auto"/>
          <w:szCs w:val="21"/>
          <w:lang w:eastAsia="zh-CN"/>
        </w:rPr>
        <w:t>，</w:t>
      </w:r>
      <w:r>
        <w:rPr>
          <w:rFonts w:hint="eastAsia" w:hAnsi="宋体"/>
          <w:color w:val="auto"/>
          <w:szCs w:val="21"/>
          <w:lang w:val="en-US" w:eastAsia="zh-CN"/>
        </w:rPr>
        <w:t>G</w:t>
      </w:r>
      <w:r>
        <w:rPr>
          <w:rFonts w:hint="eastAsia" w:ascii="Times New Roman"/>
          <w:sz w:val="24"/>
          <w:szCs w:val="24"/>
          <w:lang w:val="en-US" w:eastAsia="zh-CN"/>
        </w:rPr>
        <w:t>B/T14624 半导体材料术语有</w:t>
      </w:r>
      <w:r>
        <w:rPr>
          <w:rFonts w:hint="eastAsia" w:hAnsi="宋体" w:eastAsia="宋体"/>
          <w:color w:val="auto"/>
          <w:szCs w:val="21"/>
        </w:rPr>
        <w:t>表面取向、正交</w:t>
      </w:r>
      <w:r>
        <w:rPr>
          <w:rFonts w:hint="eastAsia" w:hAnsi="宋体" w:eastAsia="宋体"/>
          <w:color w:val="auto"/>
          <w:szCs w:val="21"/>
          <w:lang w:val="en-US" w:eastAsia="zh-CN"/>
        </w:rPr>
        <w:t>取</w:t>
      </w:r>
      <w:r>
        <w:rPr>
          <w:rFonts w:hint="eastAsia" w:hAnsi="宋体" w:eastAsia="宋体"/>
          <w:color w:val="auto"/>
          <w:szCs w:val="21"/>
        </w:rPr>
        <w:t>向偏离</w:t>
      </w:r>
      <w:r>
        <w:rPr>
          <w:rFonts w:hint="eastAsia" w:hAnsi="宋体"/>
          <w:color w:val="auto"/>
          <w:szCs w:val="21"/>
          <w:lang w:val="en-US" w:eastAsia="zh-CN"/>
        </w:rPr>
        <w:t>的定义，本标准直接直接引用这两项术语和定义，不重复定义。G</w:t>
      </w:r>
      <w:r>
        <w:rPr>
          <w:rFonts w:hint="eastAsia" w:ascii="Times New Roman"/>
          <w:sz w:val="24"/>
          <w:szCs w:val="24"/>
          <w:lang w:val="en-US" w:eastAsia="zh-CN"/>
        </w:rPr>
        <w:t>B/T14624 半导体材料术语中没有</w:t>
      </w:r>
      <w:r>
        <w:rPr>
          <w:rFonts w:hint="eastAsia" w:hAnsi="宋体" w:eastAsia="宋体"/>
          <w:color w:val="auto"/>
          <w:szCs w:val="21"/>
          <w:lang w:val="en-US" w:eastAsia="zh-CN"/>
        </w:rPr>
        <w:t>4H-SiC、6H-SiC</w:t>
      </w:r>
      <w:r>
        <w:rPr>
          <w:rFonts w:hint="eastAsia" w:hAnsi="宋体"/>
          <w:color w:val="auto"/>
          <w:szCs w:val="21"/>
          <w:lang w:val="en-US" w:eastAsia="zh-CN"/>
        </w:rPr>
        <w:t>的</w:t>
      </w:r>
      <w:r>
        <w:rPr>
          <w:rFonts w:hint="eastAsia" w:hAnsi="宋体" w:eastAsia="宋体"/>
          <w:color w:val="auto"/>
          <w:szCs w:val="21"/>
        </w:rPr>
        <w:t>术语</w:t>
      </w:r>
      <w:r>
        <w:rPr>
          <w:rFonts w:hint="eastAsia" w:hAnsi="宋体" w:eastAsia="宋体"/>
          <w:color w:val="auto"/>
          <w:szCs w:val="21"/>
          <w:lang w:val="en-US" w:eastAsia="zh-CN"/>
        </w:rPr>
        <w:t>和定义</w:t>
      </w:r>
      <w:r>
        <w:rPr>
          <w:rFonts w:hint="eastAsia" w:ascii="Times New Roman"/>
          <w:sz w:val="24"/>
          <w:szCs w:val="24"/>
          <w:lang w:val="en-US" w:eastAsia="zh-CN"/>
        </w:rPr>
        <w:t>，故本标准中</w:t>
      </w:r>
      <w:r>
        <w:rPr>
          <w:rFonts w:hint="eastAsia" w:hAnsi="宋体" w:eastAsia="宋体"/>
          <w:color w:val="auto"/>
          <w:szCs w:val="21"/>
          <w:lang w:val="en-US" w:eastAsia="zh-CN"/>
        </w:rPr>
        <w:t>增加了4H-SiC、6H-SiC</w:t>
      </w:r>
      <w:r>
        <w:rPr>
          <w:rFonts w:hint="eastAsia" w:hAnsi="宋体"/>
          <w:color w:val="auto"/>
          <w:szCs w:val="21"/>
          <w:lang w:val="en-US" w:eastAsia="zh-CN"/>
        </w:rPr>
        <w:t>的</w:t>
      </w:r>
      <w:r>
        <w:rPr>
          <w:rFonts w:hint="eastAsia" w:hAnsi="宋体" w:eastAsia="宋体"/>
          <w:color w:val="auto"/>
          <w:szCs w:val="21"/>
        </w:rPr>
        <w:t>术语</w:t>
      </w:r>
      <w:r>
        <w:rPr>
          <w:rFonts w:hint="eastAsia" w:hAnsi="宋体" w:eastAsia="宋体"/>
          <w:color w:val="auto"/>
          <w:szCs w:val="21"/>
          <w:lang w:val="en-US" w:eastAsia="zh-CN"/>
        </w:rPr>
        <w:t>和定义</w:t>
      </w:r>
      <w:r>
        <w:rPr>
          <w:rFonts w:hint="eastAsia" w:hAnsi="宋体"/>
          <w:color w:val="auto"/>
          <w:szCs w:val="21"/>
          <w:lang w:val="en-US" w:eastAsia="zh-CN"/>
        </w:rPr>
        <w:t>。</w:t>
      </w:r>
    </w:p>
    <w:p>
      <w:pPr>
        <w:pStyle w:val="7"/>
        <w:spacing w:line="360" w:lineRule="auto"/>
        <w:ind w:firstLine="480" w:firstLineChars="200"/>
        <w:rPr>
          <w:rFonts w:hint="eastAsia" w:hAnsi="宋体"/>
          <w:color w:val="auto"/>
          <w:szCs w:val="21"/>
          <w:lang w:val="en-US" w:eastAsia="zh-CN"/>
        </w:rPr>
      </w:pPr>
      <w:r>
        <w:rPr>
          <w:rFonts w:hint="eastAsia" w:hAnsi="宋体"/>
          <w:color w:val="auto"/>
          <w:szCs w:val="21"/>
          <w:lang w:val="en-US" w:eastAsia="zh-CN"/>
        </w:rPr>
        <w:t>4）</w:t>
      </w:r>
      <w:r>
        <w:rPr>
          <w:rFonts w:hint="eastAsia" w:hAnsi="宋体" w:eastAsia="宋体"/>
          <w:color w:val="auto"/>
          <w:szCs w:val="21"/>
          <w:lang w:val="en-US" w:eastAsia="zh-CN"/>
        </w:rPr>
        <w:t>牌号分类</w:t>
      </w:r>
      <w:r>
        <w:rPr>
          <w:rFonts w:hint="eastAsia" w:hAnsi="宋体" w:eastAsia="宋体"/>
          <w:color w:val="auto"/>
          <w:szCs w:val="21"/>
        </w:rPr>
        <w:t>增加</w:t>
      </w:r>
      <w:r>
        <w:rPr>
          <w:rFonts w:hint="eastAsia" w:hAnsi="宋体" w:eastAsia="宋体"/>
          <w:color w:val="auto"/>
          <w:szCs w:val="21"/>
          <w:lang w:val="en-US" w:eastAsia="zh-CN"/>
        </w:rPr>
        <w:t>了</w:t>
      </w:r>
      <w:r>
        <w:rPr>
          <w:rFonts w:hint="eastAsia" w:hAnsi="宋体" w:eastAsia="宋体"/>
          <w:i/>
          <w:iCs/>
          <w:color w:val="auto"/>
          <w:szCs w:val="21"/>
        </w:rPr>
        <w:t>ф</w:t>
      </w:r>
      <w:r>
        <w:rPr>
          <w:rFonts w:hint="eastAsia" w:hAnsi="宋体" w:eastAsia="宋体"/>
          <w:color w:val="auto"/>
          <w:szCs w:val="21"/>
        </w:rPr>
        <w:t>150 mm</w:t>
      </w:r>
      <w:r>
        <w:rPr>
          <w:rFonts w:hint="eastAsia" w:hAnsi="宋体" w:eastAsia="宋体"/>
          <w:color w:val="auto"/>
          <w:szCs w:val="21"/>
          <w:lang w:val="en-US" w:eastAsia="zh-CN"/>
        </w:rPr>
        <w:t>和“非标准直径要求由供需双方协商确定”</w:t>
      </w:r>
      <w:r>
        <w:rPr>
          <w:rFonts w:hint="eastAsia" w:hAnsi="宋体"/>
          <w:color w:val="auto"/>
          <w:szCs w:val="21"/>
          <w:lang w:val="en-US" w:eastAsia="zh-CN"/>
        </w:rPr>
        <w:t>。</w:t>
      </w:r>
    </w:p>
    <w:p>
      <w:pPr>
        <w:pStyle w:val="7"/>
        <w:spacing w:line="360" w:lineRule="auto"/>
        <w:ind w:firstLine="480" w:firstLineChars="200"/>
        <w:rPr>
          <w:rFonts w:hint="eastAsia" w:hAnsi="宋体"/>
          <w:color w:val="auto"/>
          <w:szCs w:val="21"/>
          <w:lang w:val="en-US" w:eastAsia="zh-CN"/>
        </w:rPr>
      </w:pPr>
      <w:r>
        <w:rPr>
          <w:rFonts w:hint="eastAsia" w:hAnsi="宋体"/>
          <w:color w:val="auto"/>
          <w:szCs w:val="21"/>
          <w:lang w:val="en-US" w:eastAsia="zh-CN"/>
        </w:rPr>
        <w:t>5）</w:t>
      </w:r>
      <w:r>
        <w:rPr>
          <w:rFonts w:ascii="Times New Roman" w:hAnsi="Times New Roman"/>
          <w:sz w:val="24"/>
          <w:szCs w:val="24"/>
        </w:rPr>
        <w:t>近些年来随着技术的发展，半绝缘单晶的直径</w:t>
      </w:r>
      <w:r>
        <w:rPr>
          <w:rFonts w:hint="eastAsia" w:ascii="Times New Roman" w:hAnsi="Times New Roman"/>
          <w:sz w:val="24"/>
          <w:szCs w:val="24"/>
          <w:lang w:val="en-US" w:eastAsia="zh-CN"/>
        </w:rPr>
        <w:t>可以做到</w:t>
      </w:r>
      <w:r>
        <w:rPr>
          <w:rFonts w:hint="eastAsia" w:hAnsi="宋体" w:eastAsia="宋体"/>
          <w:i/>
          <w:iCs/>
          <w:color w:val="auto"/>
          <w:szCs w:val="21"/>
        </w:rPr>
        <w:t>ф</w:t>
      </w:r>
      <w:r>
        <w:rPr>
          <w:rFonts w:hint="eastAsia" w:hAnsi="宋体" w:eastAsia="宋体"/>
          <w:color w:val="auto"/>
          <w:szCs w:val="21"/>
        </w:rPr>
        <w:t>1</w:t>
      </w:r>
      <w:r>
        <w:rPr>
          <w:rFonts w:hint="eastAsia" w:hAnsi="宋体" w:eastAsia="宋体"/>
          <w:color w:val="auto"/>
          <w:szCs w:val="21"/>
          <w:lang w:val="en-US" w:eastAsia="zh-CN"/>
        </w:rPr>
        <w:t>0</w:t>
      </w:r>
      <w:r>
        <w:rPr>
          <w:rFonts w:hint="eastAsia" w:hAnsi="宋体" w:eastAsia="宋体"/>
          <w:color w:val="auto"/>
          <w:szCs w:val="21"/>
        </w:rPr>
        <w:t>0 mm</w:t>
      </w:r>
      <w:r>
        <w:rPr>
          <w:rFonts w:hint="eastAsia" w:hAnsi="宋体"/>
          <w:color w:val="auto"/>
          <w:szCs w:val="21"/>
          <w:lang w:val="en-US" w:eastAsia="zh-CN"/>
        </w:rPr>
        <w:t>和</w:t>
      </w:r>
      <w:r>
        <w:rPr>
          <w:rFonts w:hint="eastAsia" w:hAnsi="宋体" w:eastAsia="宋体"/>
          <w:i/>
          <w:iCs/>
          <w:color w:val="auto"/>
          <w:szCs w:val="21"/>
        </w:rPr>
        <w:t>ф</w:t>
      </w:r>
      <w:r>
        <w:rPr>
          <w:rFonts w:hint="eastAsia" w:hAnsi="宋体" w:eastAsia="宋体"/>
          <w:color w:val="auto"/>
          <w:szCs w:val="21"/>
        </w:rPr>
        <w:t>1</w:t>
      </w:r>
      <w:r>
        <w:rPr>
          <w:rFonts w:hint="eastAsia" w:hAnsi="宋体"/>
          <w:color w:val="auto"/>
          <w:szCs w:val="21"/>
          <w:lang w:val="en-US" w:eastAsia="zh-CN"/>
        </w:rPr>
        <w:t>5</w:t>
      </w:r>
      <w:r>
        <w:rPr>
          <w:rFonts w:hint="eastAsia" w:hAnsi="宋体" w:eastAsia="宋体"/>
          <w:color w:val="auto"/>
          <w:szCs w:val="21"/>
        </w:rPr>
        <w:t>0 mm碳化硅单晶抛光片</w:t>
      </w:r>
      <w:r>
        <w:rPr>
          <w:rFonts w:hint="eastAsia" w:hAnsi="宋体" w:eastAsia="宋体"/>
          <w:color w:val="auto"/>
          <w:szCs w:val="21"/>
          <w:lang w:val="en-US" w:eastAsia="zh-CN"/>
        </w:rPr>
        <w:t>半绝缘型</w:t>
      </w:r>
      <w:r>
        <w:rPr>
          <w:rFonts w:hint="eastAsia" w:hAnsi="宋体"/>
          <w:color w:val="auto"/>
          <w:szCs w:val="21"/>
          <w:lang w:val="en-US" w:eastAsia="zh-CN"/>
        </w:rPr>
        <w:t>晶片，</w:t>
      </w:r>
      <w:r>
        <w:rPr>
          <w:rFonts w:hint="eastAsia" w:hAnsi="宋体" w:eastAsia="宋体"/>
          <w:color w:val="auto"/>
          <w:szCs w:val="21"/>
          <w:lang w:val="en-US" w:eastAsia="zh-CN"/>
        </w:rPr>
        <w:t>增加了</w:t>
      </w:r>
      <w:r>
        <w:rPr>
          <w:rFonts w:hint="eastAsia" w:hAnsi="宋体" w:eastAsia="宋体"/>
          <w:color w:val="auto"/>
          <w:szCs w:val="21"/>
        </w:rPr>
        <w:t>碳化硅单晶抛光片</w:t>
      </w:r>
      <w:r>
        <w:rPr>
          <w:rFonts w:hint="eastAsia" w:hAnsi="宋体" w:eastAsia="宋体"/>
          <w:color w:val="auto"/>
          <w:szCs w:val="21"/>
          <w:lang w:val="en-US" w:eastAsia="zh-CN"/>
        </w:rPr>
        <w:t>半绝缘型的厚度及允许偏差</w:t>
      </w:r>
      <w:r>
        <w:rPr>
          <w:rFonts w:hint="eastAsia" w:hAnsi="宋体"/>
          <w:color w:val="auto"/>
          <w:szCs w:val="21"/>
          <w:lang w:val="en-US" w:eastAsia="zh-CN"/>
        </w:rPr>
        <w:t>，及相关的技术指标、</w:t>
      </w:r>
      <w:r>
        <w:rPr>
          <w:rFonts w:hint="eastAsia" w:hAnsi="宋体" w:eastAsia="宋体"/>
          <w:color w:val="auto"/>
          <w:szCs w:val="21"/>
        </w:rPr>
        <w:t>规格、几何参数、晶片表面质量</w:t>
      </w:r>
      <w:r>
        <w:rPr>
          <w:rFonts w:hint="eastAsia" w:hAnsi="宋体" w:eastAsia="宋体"/>
          <w:color w:val="auto"/>
          <w:szCs w:val="21"/>
          <w:lang w:eastAsia="zh-CN"/>
        </w:rPr>
        <w:t>、</w:t>
      </w:r>
      <w:r>
        <w:rPr>
          <w:rFonts w:hint="eastAsia" w:hAnsi="宋体" w:eastAsia="宋体"/>
          <w:color w:val="auto"/>
          <w:szCs w:val="21"/>
          <w:lang w:val="en-US" w:eastAsia="zh-CN"/>
        </w:rPr>
        <w:t>微管密度</w:t>
      </w:r>
      <w:r>
        <w:rPr>
          <w:rFonts w:hint="eastAsia" w:hAnsi="宋体"/>
          <w:color w:val="auto"/>
          <w:szCs w:val="21"/>
          <w:lang w:val="en-US" w:eastAsia="zh-CN"/>
        </w:rPr>
        <w:t>等。</w:t>
      </w:r>
    </w:p>
    <w:p>
      <w:pPr>
        <w:autoSpaceDE w:val="0"/>
        <w:autoSpaceDN w:val="0"/>
        <w:adjustRightInd w:val="0"/>
        <w:spacing w:line="360" w:lineRule="auto"/>
        <w:ind w:firstLine="420" w:firstLineChars="200"/>
        <w:jc w:val="left"/>
        <w:rPr>
          <w:rFonts w:hint="eastAsia" w:hAnsi="宋体" w:cs="Times New Roman"/>
          <w:color w:val="auto"/>
          <w:kern w:val="2"/>
          <w:sz w:val="24"/>
          <w:szCs w:val="21"/>
          <w:lang w:val="en-US" w:eastAsia="zh-CN" w:bidi="ar-SA"/>
        </w:rPr>
      </w:pPr>
      <w:r>
        <w:rPr>
          <w:rFonts w:hint="eastAsia" w:hAnsi="宋体"/>
          <w:color w:val="auto"/>
          <w:szCs w:val="21"/>
          <w:lang w:val="en-US" w:eastAsia="zh-CN"/>
        </w:rPr>
        <w:t>6）</w:t>
      </w:r>
      <w:r>
        <w:rPr>
          <w:rFonts w:hint="eastAsia" w:ascii="Calibri" w:hAnsi="宋体" w:eastAsia="宋体" w:cs="Times New Roman"/>
          <w:color w:val="auto"/>
          <w:kern w:val="2"/>
          <w:sz w:val="24"/>
          <w:szCs w:val="21"/>
          <w:lang w:val="en-US" w:eastAsia="zh-CN" w:bidi="ar-SA"/>
        </w:rPr>
        <w:t>根据市场客户需求，修订了表面质量，工业级、研究级、试片级相关测试指标，增加了检验项目崩边的指标，修订了试片级的可用面积</w:t>
      </w:r>
      <w:r>
        <w:rPr>
          <w:rFonts w:hint="eastAsia" w:hAnsi="宋体" w:cs="Times New Roman"/>
          <w:color w:val="auto"/>
          <w:kern w:val="2"/>
          <w:sz w:val="24"/>
          <w:szCs w:val="21"/>
          <w:lang w:val="en-US" w:eastAsia="zh-CN" w:bidi="ar-SA"/>
        </w:rPr>
        <w:t>，</w:t>
      </w:r>
      <w:r>
        <w:rPr>
          <w:rFonts w:hint="eastAsia" w:ascii="Calibri" w:hAnsi="宋体" w:eastAsia="宋体" w:cs="Times New Roman"/>
          <w:color w:val="auto"/>
          <w:kern w:val="2"/>
          <w:sz w:val="24"/>
          <w:szCs w:val="21"/>
          <w:lang w:val="en-US" w:eastAsia="zh-CN" w:bidi="ar-SA"/>
        </w:rPr>
        <w:t>。</w:t>
      </w:r>
      <w:r>
        <w:rPr>
          <w:rFonts w:hint="eastAsia" w:hAnsi="宋体"/>
          <w:color w:val="auto"/>
          <w:szCs w:val="21"/>
          <w:lang w:eastAsia="zh-CN"/>
        </w:rPr>
        <w:br w:type="textWrapping"/>
      </w:r>
      <w:r>
        <w:rPr>
          <w:rFonts w:hint="eastAsia" w:hAnsi="宋体"/>
          <w:color w:val="auto"/>
          <w:szCs w:val="21"/>
          <w:lang w:val="en-US" w:eastAsia="zh-CN"/>
        </w:rPr>
        <w:t xml:space="preserve">    </w:t>
      </w:r>
      <w:r>
        <w:rPr>
          <w:rFonts w:hint="eastAsia" w:ascii="Calibri" w:hAnsi="宋体" w:eastAsia="宋体" w:cs="Times New Roman"/>
          <w:color w:val="auto"/>
          <w:kern w:val="2"/>
          <w:sz w:val="24"/>
          <w:szCs w:val="21"/>
          <w:lang w:val="en-US" w:eastAsia="zh-CN" w:bidi="ar-SA"/>
        </w:rPr>
        <w:t>7）增加了φ50.8 mm、φ76.2 mm、φ100.0 mm和φ150.0 mm碳化硅晶片C面粗糙度的指标要求。</w:t>
      </w:r>
      <w:r>
        <w:rPr>
          <w:rFonts w:hint="eastAsia" w:ascii="Calibri" w:hAnsi="宋体" w:eastAsia="宋体" w:cs="Times New Roman"/>
          <w:color w:val="auto"/>
          <w:kern w:val="2"/>
          <w:sz w:val="24"/>
          <w:szCs w:val="21"/>
          <w:lang w:val="en-US" w:eastAsia="zh-CN" w:bidi="ar-SA"/>
        </w:rPr>
        <w:br w:type="textWrapping"/>
      </w:r>
      <w:r>
        <w:rPr>
          <w:rFonts w:hint="eastAsia" w:hAnsi="宋体" w:cs="Times New Roman"/>
          <w:color w:val="auto"/>
          <w:kern w:val="2"/>
          <w:sz w:val="24"/>
          <w:szCs w:val="21"/>
          <w:lang w:val="en-US" w:eastAsia="zh-CN" w:bidi="ar-SA"/>
        </w:rPr>
        <w:t xml:space="preserve">   </w:t>
      </w:r>
      <w:r>
        <w:rPr>
          <w:rFonts w:hint="eastAsia" w:ascii="Calibri" w:hAnsi="宋体" w:eastAsia="宋体" w:cs="Times New Roman"/>
          <w:color w:val="auto"/>
          <w:kern w:val="2"/>
          <w:sz w:val="24"/>
          <w:szCs w:val="21"/>
          <w:lang w:val="en-US" w:eastAsia="zh-CN" w:bidi="ar-SA"/>
        </w:rPr>
        <w:t>8）修订了ф100 mm碳化硅单晶抛光片的微管密度。</w:t>
      </w:r>
      <w:r>
        <w:rPr>
          <w:rFonts w:hint="eastAsia" w:ascii="Calibri" w:hAnsi="宋体" w:eastAsia="宋体" w:cs="Times New Roman"/>
          <w:color w:val="auto"/>
          <w:kern w:val="2"/>
          <w:sz w:val="24"/>
          <w:szCs w:val="21"/>
          <w:lang w:val="en-US" w:eastAsia="zh-CN" w:bidi="ar-SA"/>
        </w:rPr>
        <w:br w:type="textWrapping"/>
      </w:r>
      <w:r>
        <w:rPr>
          <w:rFonts w:hint="eastAsia" w:hAnsi="宋体" w:cs="Times New Roman"/>
          <w:color w:val="auto"/>
          <w:kern w:val="2"/>
          <w:sz w:val="24"/>
          <w:szCs w:val="21"/>
          <w:lang w:val="en-US" w:eastAsia="zh-CN" w:bidi="ar-SA"/>
        </w:rPr>
        <w:t xml:space="preserve">   </w:t>
      </w:r>
      <w:r>
        <w:rPr>
          <w:rFonts w:hint="eastAsia" w:ascii="Calibri" w:hAnsi="宋体" w:eastAsia="宋体" w:cs="Times New Roman"/>
          <w:color w:val="auto"/>
          <w:kern w:val="2"/>
          <w:sz w:val="24"/>
          <w:szCs w:val="21"/>
          <w:lang w:val="en-US" w:eastAsia="zh-CN" w:bidi="ar-SA"/>
        </w:rPr>
        <w:t>9）目前碳化硅单晶</w:t>
      </w:r>
      <w:r>
        <w:rPr>
          <w:rFonts w:hint="eastAsia" w:hAnsi="宋体" w:cs="Times New Roman"/>
          <w:color w:val="auto"/>
          <w:kern w:val="2"/>
          <w:sz w:val="24"/>
          <w:szCs w:val="21"/>
          <w:lang w:val="en-US" w:eastAsia="zh-CN" w:bidi="ar-SA"/>
        </w:rPr>
        <w:t>抛光片</w:t>
      </w:r>
      <w:r>
        <w:rPr>
          <w:rFonts w:hint="eastAsia" w:ascii="Calibri" w:hAnsi="宋体" w:eastAsia="宋体" w:cs="Times New Roman"/>
          <w:color w:val="auto"/>
          <w:kern w:val="2"/>
          <w:sz w:val="24"/>
          <w:szCs w:val="21"/>
          <w:lang w:val="en-US" w:eastAsia="zh-CN" w:bidi="ar-SA"/>
        </w:rPr>
        <w:t>的应用领域</w:t>
      </w:r>
      <w:r>
        <w:rPr>
          <w:rFonts w:hint="eastAsia" w:hAnsi="宋体" w:cs="Times New Roman"/>
          <w:color w:val="auto"/>
          <w:kern w:val="2"/>
          <w:sz w:val="24"/>
          <w:szCs w:val="21"/>
          <w:lang w:val="en-US" w:eastAsia="zh-CN" w:bidi="ar-SA"/>
        </w:rPr>
        <w:t>，</w:t>
      </w:r>
      <w:r>
        <w:rPr>
          <w:rFonts w:hint="eastAsia" w:ascii="Calibri" w:hAnsi="宋体" w:eastAsia="宋体" w:cs="Times New Roman"/>
          <w:color w:val="auto"/>
          <w:kern w:val="2"/>
          <w:sz w:val="24"/>
          <w:szCs w:val="21"/>
          <w:lang w:val="en-US" w:eastAsia="zh-CN" w:bidi="ar-SA"/>
        </w:rPr>
        <w:t>主要用于制作电力电子器件及射频微波器件的外延衬底。依据客户的要求和目前的产品生产情况，</w:t>
      </w:r>
      <w:r>
        <w:rPr>
          <w:rFonts w:hint="eastAsia" w:hAnsi="宋体" w:cs="Times New Roman"/>
          <w:color w:val="auto"/>
          <w:kern w:val="2"/>
          <w:sz w:val="24"/>
          <w:szCs w:val="21"/>
          <w:lang w:val="en-US" w:eastAsia="zh-CN" w:bidi="ar-SA"/>
        </w:rPr>
        <w:t>增加了</w:t>
      </w:r>
      <w:r>
        <w:rPr>
          <w:rFonts w:hint="eastAsia" w:ascii="Calibri" w:hAnsi="宋体" w:eastAsia="宋体" w:cs="Times New Roman"/>
          <w:color w:val="auto"/>
          <w:kern w:val="2"/>
          <w:sz w:val="24"/>
          <w:szCs w:val="21"/>
          <w:lang w:val="en-US" w:eastAsia="zh-CN" w:bidi="ar-SA"/>
        </w:rPr>
        <w:t>导电型碳化硅单晶抛光片</w:t>
      </w:r>
      <w:r>
        <w:rPr>
          <w:rFonts w:hint="eastAsia" w:hAnsi="宋体" w:cs="Times New Roman"/>
          <w:color w:val="auto"/>
          <w:kern w:val="2"/>
          <w:sz w:val="24"/>
          <w:szCs w:val="21"/>
          <w:lang w:val="en-US" w:eastAsia="zh-CN" w:bidi="ar-SA"/>
        </w:rPr>
        <w:t>工业级等级</w:t>
      </w:r>
      <w:r>
        <w:rPr>
          <w:rFonts w:hint="eastAsia" w:ascii="Calibri" w:hAnsi="宋体" w:eastAsia="宋体" w:cs="Times New Roman"/>
          <w:color w:val="auto"/>
          <w:kern w:val="2"/>
          <w:sz w:val="24"/>
          <w:szCs w:val="21"/>
          <w:lang w:val="en-US" w:eastAsia="zh-CN" w:bidi="ar-SA"/>
        </w:rPr>
        <w:t>，位错密度即螺位错（TSD）＜1500cm</w:t>
      </w:r>
      <w:r>
        <w:rPr>
          <w:rFonts w:hint="eastAsia" w:ascii="Calibri" w:hAnsi="宋体" w:eastAsia="宋体" w:cs="Times New Roman"/>
          <w:color w:val="auto"/>
          <w:kern w:val="2"/>
          <w:sz w:val="24"/>
          <w:szCs w:val="21"/>
          <w:vertAlign w:val="superscript"/>
          <w:lang w:val="en-US" w:eastAsia="zh-CN" w:bidi="ar-SA"/>
        </w:rPr>
        <w:t>-2</w:t>
      </w:r>
      <w:r>
        <w:rPr>
          <w:rFonts w:hint="eastAsia" w:hAnsi="宋体" w:cs="Times New Roman"/>
          <w:color w:val="auto"/>
          <w:kern w:val="2"/>
          <w:sz w:val="24"/>
          <w:szCs w:val="21"/>
          <w:lang w:val="en-US" w:eastAsia="zh-CN" w:bidi="ar-SA"/>
        </w:rPr>
        <w:t>、</w:t>
      </w:r>
      <w:r>
        <w:rPr>
          <w:rFonts w:hint="eastAsia" w:ascii="Calibri" w:hAnsi="宋体" w:eastAsia="宋体" w:cs="Times New Roman"/>
          <w:color w:val="auto"/>
          <w:kern w:val="2"/>
          <w:sz w:val="24"/>
          <w:szCs w:val="21"/>
          <w:lang w:val="en-US" w:eastAsia="zh-CN" w:bidi="ar-SA"/>
        </w:rPr>
        <w:t>基平面（BPD）＜1500 cm</w:t>
      </w:r>
      <w:r>
        <w:rPr>
          <w:rFonts w:hint="eastAsia" w:ascii="Calibri" w:hAnsi="宋体" w:eastAsia="宋体" w:cs="Times New Roman"/>
          <w:color w:val="auto"/>
          <w:kern w:val="2"/>
          <w:sz w:val="24"/>
          <w:szCs w:val="21"/>
          <w:vertAlign w:val="superscript"/>
          <w:lang w:val="en-US" w:eastAsia="zh-CN" w:bidi="ar-SA"/>
        </w:rPr>
        <w:t>-2</w:t>
      </w:r>
      <w:r>
        <w:rPr>
          <w:rFonts w:hint="eastAsia" w:ascii="Calibri" w:hAnsi="宋体" w:eastAsia="宋体" w:cs="Times New Roman"/>
          <w:color w:val="auto"/>
          <w:kern w:val="2"/>
          <w:sz w:val="24"/>
          <w:szCs w:val="21"/>
          <w:lang w:val="en-US" w:eastAsia="zh-CN" w:bidi="ar-SA"/>
        </w:rPr>
        <w:t>、刃位错（TED）</w:t>
      </w:r>
      <w:r>
        <w:rPr>
          <w:rFonts w:hint="eastAsia" w:ascii="宋体" w:hAnsi="宋体" w:cs="宋体"/>
          <w:color w:val="auto"/>
          <w:kern w:val="0"/>
          <w:sz w:val="18"/>
          <w:szCs w:val="18"/>
        </w:rPr>
        <w:t>＜</w:t>
      </w:r>
      <w:r>
        <w:rPr>
          <w:rFonts w:hint="eastAsia" w:ascii="Calibri" w:hAnsi="宋体" w:eastAsia="宋体" w:cs="Times New Roman"/>
          <w:color w:val="auto"/>
          <w:kern w:val="2"/>
          <w:sz w:val="24"/>
          <w:szCs w:val="21"/>
          <w:lang w:val="en-US" w:eastAsia="zh-CN" w:bidi="ar-SA"/>
        </w:rPr>
        <w:t>10000cm</w:t>
      </w:r>
      <w:r>
        <w:rPr>
          <w:rFonts w:hint="eastAsia" w:ascii="Calibri" w:hAnsi="宋体" w:eastAsia="宋体" w:cs="Times New Roman"/>
          <w:color w:val="auto"/>
          <w:kern w:val="2"/>
          <w:sz w:val="24"/>
          <w:szCs w:val="21"/>
          <w:vertAlign w:val="superscript"/>
          <w:lang w:val="en-US" w:eastAsia="zh-CN" w:bidi="ar-SA"/>
        </w:rPr>
        <w:t>-2</w:t>
      </w:r>
      <w:r>
        <w:rPr>
          <w:rFonts w:hint="eastAsia" w:hAnsi="宋体" w:cs="Times New Roman"/>
          <w:color w:val="auto"/>
          <w:kern w:val="2"/>
          <w:sz w:val="24"/>
          <w:szCs w:val="21"/>
          <w:lang w:val="en-US" w:eastAsia="zh-CN" w:bidi="ar-SA"/>
        </w:rPr>
        <w:t>。</w:t>
      </w:r>
    </w:p>
    <w:p>
      <w:pPr>
        <w:pStyle w:val="21"/>
        <w:numPr>
          <w:ilvl w:val="0"/>
          <w:numId w:val="0"/>
        </w:numPr>
        <w:spacing w:line="360" w:lineRule="auto"/>
        <w:ind w:firstLine="240" w:firstLineChars="100"/>
        <w:rPr>
          <w:rFonts w:ascii="Times New Roman" w:hAnsi="Times New Roman"/>
          <w:b/>
          <w:bCs/>
          <w:sz w:val="24"/>
          <w:szCs w:val="24"/>
        </w:rPr>
      </w:pPr>
      <w:r>
        <w:rPr>
          <w:rFonts w:hint="eastAsia" w:ascii="Calibri" w:hAnsi="宋体" w:eastAsia="宋体" w:cs="Times New Roman"/>
          <w:color w:val="auto"/>
          <w:kern w:val="2"/>
          <w:sz w:val="24"/>
          <w:szCs w:val="21"/>
          <w:lang w:val="en-US" w:eastAsia="zh-CN" w:bidi="ar-SA"/>
        </w:rPr>
        <w:t>10）</w:t>
      </w:r>
      <w:r>
        <w:rPr>
          <w:rFonts w:hint="eastAsia" w:ascii="Calibri" w:hAnsi="宋体" w:cs="Times New Roman"/>
          <w:color w:val="auto"/>
          <w:kern w:val="2"/>
          <w:sz w:val="24"/>
          <w:szCs w:val="21"/>
          <w:lang w:val="en-US" w:eastAsia="zh-CN" w:bidi="ar-SA"/>
        </w:rPr>
        <w:t>依据GB/T14264 半导体材料术语的定义，</w:t>
      </w:r>
      <w:r>
        <w:rPr>
          <w:rFonts w:hint="eastAsia" w:ascii="Calibri" w:hAnsi="宋体" w:eastAsia="宋体" w:cs="Times New Roman"/>
          <w:color w:val="auto"/>
          <w:kern w:val="2"/>
          <w:sz w:val="24"/>
          <w:szCs w:val="21"/>
          <w:lang w:val="en-US" w:eastAsia="zh-CN" w:bidi="ar-SA"/>
        </w:rPr>
        <w:t>全文将“主、副参考边”修订为“主、副参考面”</w:t>
      </w:r>
      <w:r>
        <w:rPr>
          <w:rFonts w:hint="eastAsia" w:ascii="Calibri" w:hAnsi="宋体" w:cs="Times New Roman"/>
          <w:color w:val="auto"/>
          <w:kern w:val="2"/>
          <w:sz w:val="24"/>
          <w:szCs w:val="21"/>
          <w:lang w:val="en-US" w:eastAsia="zh-CN" w:bidi="ar-SA"/>
        </w:rPr>
        <w:t>。</w:t>
      </w:r>
      <w:r>
        <w:rPr>
          <w:rFonts w:hint="eastAsia" w:ascii="Calibri" w:hAnsi="宋体" w:cs="Times New Roman"/>
          <w:color w:val="auto"/>
          <w:kern w:val="2"/>
          <w:sz w:val="24"/>
          <w:szCs w:val="21"/>
          <w:lang w:val="en-US" w:eastAsia="zh-CN" w:bidi="ar-SA"/>
        </w:rPr>
        <w:br w:type="textWrapping"/>
      </w:r>
      <w:r>
        <w:rPr>
          <w:rFonts w:hint="eastAsia" w:ascii="Calibri" w:hAnsi="宋体" w:cs="Times New Roman"/>
          <w:b/>
          <w:bCs/>
          <w:color w:val="auto"/>
          <w:kern w:val="2"/>
          <w:sz w:val="24"/>
          <w:szCs w:val="21"/>
          <w:lang w:val="en-US" w:eastAsia="zh-CN" w:bidi="ar-SA"/>
        </w:rPr>
        <w:t xml:space="preserve">   </w:t>
      </w:r>
      <w:r>
        <w:rPr>
          <w:rFonts w:ascii="Times New Roman" w:hAnsi="Times New Roman"/>
          <w:b/>
          <w:bCs/>
          <w:sz w:val="24"/>
          <w:szCs w:val="24"/>
        </w:rPr>
        <w:t>3、试验情况</w:t>
      </w:r>
    </w:p>
    <w:p>
      <w:pPr>
        <w:pStyle w:val="15"/>
        <w:spacing w:line="360" w:lineRule="auto"/>
        <w:ind w:firstLine="480"/>
        <w:rPr>
          <w:rFonts w:ascii="Times New Roman" w:hAnsi="Times New Roman"/>
          <w:sz w:val="24"/>
          <w:szCs w:val="24"/>
        </w:rPr>
      </w:pPr>
      <w:r>
        <w:rPr>
          <w:rFonts w:ascii="Times New Roman" w:hAnsi="Times New Roman"/>
          <w:sz w:val="24"/>
          <w:szCs w:val="24"/>
        </w:rPr>
        <w:t>本次标准修订结合近些年来</w:t>
      </w:r>
      <w:r>
        <w:rPr>
          <w:rFonts w:hint="eastAsia" w:ascii="Times New Roman" w:hAnsi="Times New Roman"/>
          <w:sz w:val="24"/>
          <w:szCs w:val="24"/>
        </w:rPr>
        <w:t>碳化硅单晶抛光片</w:t>
      </w:r>
      <w:r>
        <w:rPr>
          <w:rFonts w:ascii="Times New Roman" w:hAnsi="Times New Roman"/>
          <w:sz w:val="24"/>
          <w:szCs w:val="24"/>
        </w:rPr>
        <w:t>质量水平，以及需方对产品的具体要求进行，修订后的标准技术指标科学、合理，满足需方要求，符合产品生产实际。同时，在标准修订中，对部分批次的</w:t>
      </w:r>
      <w:r>
        <w:rPr>
          <w:rFonts w:hint="eastAsia" w:ascii="Times New Roman" w:hAnsi="Times New Roman"/>
          <w:sz w:val="24"/>
          <w:szCs w:val="24"/>
        </w:rPr>
        <w:t>碳化硅单晶抛光片</w:t>
      </w:r>
      <w:r>
        <w:rPr>
          <w:rFonts w:ascii="Times New Roman" w:hAnsi="Times New Roman"/>
          <w:sz w:val="24"/>
          <w:szCs w:val="24"/>
        </w:rPr>
        <w:t>的关键技术指标进行了统计，进而确定了标准中的技术指标。部分</w:t>
      </w:r>
      <w:r>
        <w:rPr>
          <w:rFonts w:hint="eastAsia" w:ascii="Times New Roman" w:hAnsi="Times New Roman"/>
          <w:sz w:val="24"/>
          <w:szCs w:val="24"/>
        </w:rPr>
        <w:t>碳化硅单晶抛光</w:t>
      </w:r>
      <w:r>
        <w:rPr>
          <w:rFonts w:ascii="Times New Roman" w:hAnsi="Times New Roman"/>
          <w:sz w:val="24"/>
          <w:szCs w:val="24"/>
        </w:rPr>
        <w:t>片的要求见表1。</w:t>
      </w:r>
      <w:r>
        <w:rPr>
          <w:rFonts w:ascii="Times New Roman" w:hAnsi="Times New Roman"/>
          <w:sz w:val="24"/>
          <w:szCs w:val="24"/>
        </w:rPr>
        <w:br w:type="textWrapping"/>
      </w:r>
      <w:r>
        <w:rPr>
          <w:rFonts w:hint="eastAsia" w:ascii="Times New Roman" w:hAnsi="Times New Roman"/>
          <w:sz w:val="24"/>
          <w:szCs w:val="24"/>
          <w:lang w:val="en-US" w:eastAsia="zh-CN"/>
        </w:rPr>
        <w:t xml:space="preserve">    </w:t>
      </w:r>
      <w:r>
        <w:rPr>
          <w:rFonts w:ascii="Times New Roman" w:hAnsi="Times New Roman"/>
          <w:sz w:val="24"/>
          <w:szCs w:val="24"/>
        </w:rPr>
        <w:t>对于201</w:t>
      </w:r>
      <w:r>
        <w:rPr>
          <w:rFonts w:hint="eastAsia" w:ascii="Times New Roman" w:hAnsi="Times New Roman"/>
          <w:sz w:val="24"/>
          <w:szCs w:val="24"/>
        </w:rPr>
        <w:t>9</w:t>
      </w:r>
      <w:r>
        <w:rPr>
          <w:rFonts w:ascii="Times New Roman" w:hAnsi="Times New Roman"/>
          <w:sz w:val="24"/>
          <w:szCs w:val="24"/>
        </w:rPr>
        <w:t>年</w:t>
      </w:r>
      <w:r>
        <w:rPr>
          <w:rFonts w:hint="eastAsia" w:ascii="Times New Roman" w:hAnsi="Times New Roman"/>
          <w:sz w:val="24"/>
          <w:szCs w:val="24"/>
        </w:rPr>
        <w:t>碳化硅单晶抛光片</w:t>
      </w:r>
      <w:r>
        <w:rPr>
          <w:rFonts w:ascii="Times New Roman" w:hAnsi="Times New Roman"/>
          <w:sz w:val="24"/>
          <w:szCs w:val="24"/>
        </w:rPr>
        <w:t>，</w:t>
      </w:r>
      <w:r>
        <w:rPr>
          <w:rFonts w:hint="eastAsia" w:ascii="Times New Roman" w:hAnsi="Times New Roman"/>
          <w:sz w:val="24"/>
          <w:szCs w:val="24"/>
          <w:lang w:val="en-US" w:eastAsia="zh-CN"/>
        </w:rPr>
        <w:t>随机抽取2000片</w:t>
      </w:r>
      <w:r>
        <w:rPr>
          <w:rFonts w:hint="eastAsia" w:ascii="Times New Roman" w:hAnsi="Times New Roman"/>
          <w:sz w:val="24"/>
          <w:szCs w:val="24"/>
        </w:rPr>
        <w:t>同柱的</w:t>
      </w:r>
      <w:r>
        <w:rPr>
          <w:rFonts w:hint="eastAsia" w:ascii="Times New Roman" w:hAnsi="Times New Roman"/>
          <w:sz w:val="24"/>
          <w:szCs w:val="24"/>
          <w:lang w:val="en-US" w:eastAsia="zh-CN"/>
        </w:rPr>
        <w:t>4寸</w:t>
      </w:r>
      <w:r>
        <w:rPr>
          <w:rFonts w:hint="eastAsia" w:ascii="Times New Roman" w:hAnsi="Times New Roman"/>
          <w:sz w:val="24"/>
          <w:szCs w:val="24"/>
        </w:rPr>
        <w:t>产品片</w:t>
      </w:r>
      <w:r>
        <w:rPr>
          <w:rFonts w:hint="eastAsia" w:ascii="Times New Roman" w:hAnsi="Times New Roman"/>
          <w:sz w:val="24"/>
          <w:szCs w:val="24"/>
          <w:lang w:eastAsia="zh-CN"/>
        </w:rPr>
        <w:t>，</w:t>
      </w:r>
      <w:r>
        <w:rPr>
          <w:rFonts w:ascii="Times New Roman" w:hAnsi="Times New Roman"/>
          <w:sz w:val="24"/>
          <w:szCs w:val="24"/>
        </w:rPr>
        <w:t>进行了检验，表面质量全检，其他项目按照GB/T 2828.1-2012中</w:t>
      </w:r>
      <w:r>
        <w:rPr>
          <w:rFonts w:hint="eastAsia" w:ascii="Times New Roman" w:hAnsi="Times New Roman"/>
          <w:sz w:val="24"/>
          <w:szCs w:val="24"/>
        </w:rPr>
        <w:t>一般检验水平I，特殊检验水平S-1，</w:t>
      </w:r>
      <w:r>
        <w:rPr>
          <w:rFonts w:ascii="Times New Roman" w:hAnsi="Times New Roman"/>
          <w:sz w:val="24"/>
          <w:szCs w:val="24"/>
        </w:rPr>
        <w:t>正常检验一次抽样方案进行了检验，抽取样本</w:t>
      </w:r>
      <w:r>
        <w:rPr>
          <w:rFonts w:hint="eastAsia" w:ascii="Times New Roman" w:hAnsi="Times New Roman"/>
          <w:sz w:val="24"/>
          <w:szCs w:val="24"/>
          <w:lang w:val="en-US" w:eastAsia="zh-CN"/>
        </w:rPr>
        <w:t>200</w:t>
      </w:r>
      <w:r>
        <w:rPr>
          <w:rFonts w:ascii="Times New Roman" w:hAnsi="Times New Roman"/>
          <w:sz w:val="24"/>
          <w:szCs w:val="24"/>
        </w:rPr>
        <w:t>片，接收限AQL=</w:t>
      </w:r>
      <w:r>
        <w:rPr>
          <w:rFonts w:hint="eastAsia" w:ascii="Times New Roman" w:hAnsi="Times New Roman"/>
          <w:sz w:val="24"/>
          <w:szCs w:val="24"/>
          <w:lang w:val="en-US" w:eastAsia="zh-CN"/>
        </w:rPr>
        <w:t>1.0</w:t>
      </w:r>
      <w:r>
        <w:rPr>
          <w:rFonts w:ascii="Times New Roman" w:hAnsi="Times New Roman"/>
          <w:sz w:val="24"/>
          <w:szCs w:val="24"/>
        </w:rPr>
        <w:t>进行检验，结果见表1。</w:t>
      </w:r>
    </w:p>
    <w:p>
      <w:pPr>
        <w:pStyle w:val="15"/>
        <w:spacing w:line="360" w:lineRule="auto"/>
        <w:jc w:val="center"/>
        <w:rPr>
          <w:rFonts w:ascii="Times New Roman" w:hAnsi="Times New Roman"/>
          <w:sz w:val="24"/>
          <w:szCs w:val="24"/>
        </w:rPr>
      </w:pPr>
      <w:r>
        <w:rPr>
          <w:rFonts w:ascii="Times New Roman" w:hAnsi="Times New Roman"/>
          <w:sz w:val="24"/>
          <w:szCs w:val="24"/>
        </w:rPr>
        <w:t>表</w:t>
      </w:r>
      <w:r>
        <w:rPr>
          <w:rFonts w:hint="eastAsia" w:ascii="Times New Roman" w:hAnsi="Times New Roman"/>
          <w:sz w:val="24"/>
          <w:szCs w:val="24"/>
        </w:rPr>
        <w:t>1</w:t>
      </w:r>
    </w:p>
    <w:tbl>
      <w:tblPr>
        <w:tblStyle w:val="11"/>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2551"/>
        <w:gridCol w:w="2224"/>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14" w:type="dxa"/>
            <w:vAlign w:val="center"/>
          </w:tcPr>
          <w:p>
            <w:pPr>
              <w:pStyle w:val="15"/>
              <w:spacing w:line="360" w:lineRule="auto"/>
              <w:ind w:firstLine="0" w:firstLineChars="0"/>
              <w:jc w:val="center"/>
              <w:rPr>
                <w:rFonts w:ascii="Times New Roman" w:hAnsi="Times New Roman"/>
                <w:b/>
                <w:bCs/>
                <w:sz w:val="18"/>
                <w:szCs w:val="18"/>
              </w:rPr>
            </w:pPr>
            <w:r>
              <w:rPr>
                <w:rFonts w:ascii="Times New Roman" w:hAnsi="Times New Roman"/>
                <w:b/>
                <w:bCs/>
                <w:sz w:val="18"/>
                <w:szCs w:val="18"/>
              </w:rPr>
              <w:t>项目</w:t>
            </w:r>
          </w:p>
        </w:tc>
        <w:tc>
          <w:tcPr>
            <w:tcW w:w="2551" w:type="dxa"/>
            <w:vAlign w:val="center"/>
          </w:tcPr>
          <w:p>
            <w:pPr>
              <w:pStyle w:val="15"/>
              <w:spacing w:line="360" w:lineRule="auto"/>
              <w:ind w:firstLine="0" w:firstLineChars="0"/>
              <w:jc w:val="center"/>
              <w:rPr>
                <w:rFonts w:ascii="Times New Roman" w:hAnsi="Times New Roman"/>
                <w:b/>
                <w:bCs/>
                <w:sz w:val="18"/>
                <w:szCs w:val="18"/>
              </w:rPr>
            </w:pPr>
            <w:r>
              <w:rPr>
                <w:rFonts w:ascii="Times New Roman" w:hAnsi="Times New Roman"/>
                <w:b/>
                <w:bCs/>
                <w:sz w:val="18"/>
                <w:szCs w:val="18"/>
              </w:rPr>
              <w:t>客户要求</w:t>
            </w:r>
          </w:p>
        </w:tc>
        <w:tc>
          <w:tcPr>
            <w:tcW w:w="2224" w:type="dxa"/>
            <w:vAlign w:val="center"/>
          </w:tcPr>
          <w:p>
            <w:pPr>
              <w:pStyle w:val="15"/>
              <w:spacing w:line="360" w:lineRule="auto"/>
              <w:ind w:firstLine="0" w:firstLineChars="0"/>
              <w:jc w:val="center"/>
              <w:rPr>
                <w:rFonts w:ascii="Times New Roman" w:hAnsi="Times New Roman"/>
                <w:b/>
                <w:bCs/>
                <w:sz w:val="18"/>
                <w:szCs w:val="18"/>
              </w:rPr>
            </w:pPr>
            <w:r>
              <w:rPr>
                <w:rFonts w:ascii="Times New Roman" w:hAnsi="Times New Roman"/>
                <w:b/>
                <w:bCs/>
                <w:sz w:val="18"/>
                <w:szCs w:val="18"/>
              </w:rPr>
              <w:t>实际测量</w:t>
            </w:r>
          </w:p>
        </w:tc>
        <w:tc>
          <w:tcPr>
            <w:tcW w:w="2229" w:type="dxa"/>
            <w:vAlign w:val="center"/>
          </w:tcPr>
          <w:p>
            <w:pPr>
              <w:pStyle w:val="15"/>
              <w:spacing w:line="360" w:lineRule="auto"/>
              <w:ind w:firstLine="0" w:firstLineChars="0"/>
              <w:jc w:val="center"/>
              <w:rPr>
                <w:rFonts w:ascii="Times New Roman" w:hAnsi="Times New Roman"/>
                <w:b/>
                <w:bCs/>
                <w:sz w:val="18"/>
                <w:szCs w:val="18"/>
              </w:rPr>
            </w:pPr>
            <w:r>
              <w:rPr>
                <w:rFonts w:ascii="Times New Roman" w:hAnsi="Times New Roman"/>
                <w:b/>
                <w:bCs/>
                <w:sz w:val="18"/>
                <w:szCs w:val="18"/>
              </w:rPr>
              <w:t>本标准要求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914" w:type="dxa"/>
            <w:vAlign w:val="center"/>
          </w:tcPr>
          <w:p>
            <w:pPr>
              <w:pStyle w:val="15"/>
              <w:spacing w:line="360" w:lineRule="auto"/>
              <w:ind w:firstLine="0" w:firstLineChars="0"/>
              <w:jc w:val="center"/>
              <w:rPr>
                <w:rFonts w:ascii="Times New Roman" w:hAnsi="Times New Roman"/>
                <w:sz w:val="18"/>
                <w:szCs w:val="18"/>
              </w:rPr>
            </w:pPr>
            <w:r>
              <w:rPr>
                <w:rFonts w:ascii="Times New Roman" w:hAnsi="Times New Roman"/>
                <w:sz w:val="18"/>
                <w:szCs w:val="18"/>
              </w:rPr>
              <w:t>直径及允许偏差（mm）</w:t>
            </w:r>
          </w:p>
        </w:tc>
        <w:tc>
          <w:tcPr>
            <w:tcW w:w="2551"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100.0</w:t>
            </w:r>
            <w:r>
              <w:rPr>
                <w:rFonts w:hint="eastAsia" w:ascii="Times New Roman" w:hAnsi="Times New Roman"/>
                <w:szCs w:val="21"/>
              </w:rPr>
              <w:t>±</w:t>
            </w:r>
            <w:r>
              <w:rPr>
                <w:rFonts w:ascii="Times New Roman" w:hAnsi="Times New Roman"/>
                <w:sz w:val="18"/>
                <w:szCs w:val="18"/>
              </w:rPr>
              <w:t>0.5</w:t>
            </w:r>
          </w:p>
        </w:tc>
        <w:tc>
          <w:tcPr>
            <w:tcW w:w="2224"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99.6</w:t>
            </w:r>
            <w:r>
              <w:rPr>
                <w:rFonts w:ascii="Times New Roman" w:hAnsi="Times New Roman"/>
                <w:sz w:val="18"/>
                <w:szCs w:val="18"/>
              </w:rPr>
              <w:t>-</w:t>
            </w:r>
            <w:r>
              <w:rPr>
                <w:rFonts w:hint="eastAsia" w:ascii="Times New Roman" w:hAnsi="Times New Roman"/>
                <w:sz w:val="18"/>
                <w:szCs w:val="18"/>
              </w:rPr>
              <w:t>100</w:t>
            </w:r>
          </w:p>
        </w:tc>
        <w:tc>
          <w:tcPr>
            <w:tcW w:w="2229"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100.0</w:t>
            </w:r>
            <w:r>
              <w:rPr>
                <w:rFonts w:hint="eastAsia" w:ascii="Times New Roman" w:hAnsi="Times New Roman"/>
                <w:szCs w:val="21"/>
              </w:rPr>
              <w:t>±</w:t>
            </w:r>
            <w:r>
              <w:rPr>
                <w:rFonts w:ascii="Times New Roman" w:hAnsi="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914" w:type="dxa"/>
            <w:vAlign w:val="center"/>
          </w:tcPr>
          <w:p>
            <w:pPr>
              <w:pStyle w:val="15"/>
              <w:spacing w:line="360" w:lineRule="auto"/>
              <w:ind w:firstLine="0" w:firstLineChars="0"/>
              <w:jc w:val="center"/>
              <w:rPr>
                <w:rFonts w:ascii="Times New Roman" w:hAnsi="Times New Roman"/>
                <w:sz w:val="18"/>
                <w:szCs w:val="18"/>
              </w:rPr>
            </w:pPr>
            <w:r>
              <w:rPr>
                <w:rFonts w:ascii="Times New Roman" w:hAnsi="Times New Roman"/>
                <w:sz w:val="18"/>
                <w:szCs w:val="18"/>
              </w:rPr>
              <w:t>厚度</w:t>
            </w:r>
            <w:r>
              <w:rPr>
                <w:rFonts w:hint="eastAsia" w:ascii="Times New Roman" w:hAnsi="Times New Roman"/>
                <w:sz w:val="18"/>
                <w:szCs w:val="18"/>
              </w:rPr>
              <w:t>及允许偏差</w:t>
            </w:r>
            <w:r>
              <w:rPr>
                <w:rFonts w:ascii="Times New Roman" w:hAnsi="Times New Roman"/>
                <w:sz w:val="18"/>
                <w:szCs w:val="18"/>
              </w:rPr>
              <w:t>（</w:t>
            </w:r>
            <w:r>
              <w:rPr>
                <w:rFonts w:ascii="Times New Roman" w:hAnsi="Times New Roman"/>
                <w:szCs w:val="21"/>
              </w:rPr>
              <w:t>μm）</w:t>
            </w:r>
          </w:p>
        </w:tc>
        <w:tc>
          <w:tcPr>
            <w:tcW w:w="2551"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350</w:t>
            </w:r>
            <w:r>
              <w:rPr>
                <w:rFonts w:ascii="Times New Roman" w:hAnsi="Times New Roman"/>
                <w:sz w:val="18"/>
                <w:szCs w:val="18"/>
              </w:rPr>
              <w:t>±</w:t>
            </w:r>
            <w:r>
              <w:rPr>
                <w:rFonts w:hint="eastAsia" w:ascii="Times New Roman" w:hAnsi="Times New Roman"/>
                <w:sz w:val="18"/>
                <w:szCs w:val="18"/>
              </w:rPr>
              <w:t>25</w:t>
            </w:r>
          </w:p>
        </w:tc>
        <w:tc>
          <w:tcPr>
            <w:tcW w:w="2224"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360-368</w:t>
            </w:r>
          </w:p>
        </w:tc>
        <w:tc>
          <w:tcPr>
            <w:tcW w:w="2229"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350</w:t>
            </w:r>
            <w:r>
              <w:rPr>
                <w:rFonts w:ascii="Times New Roman" w:hAnsi="Times New Roman"/>
                <w:sz w:val="18"/>
                <w:szCs w:val="18"/>
              </w:rPr>
              <w:t>±</w:t>
            </w:r>
            <w:r>
              <w:rPr>
                <w:rFonts w:hint="eastAsia" w:ascii="Times New Roman" w:hAnsi="Times New Roman"/>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914" w:type="dxa"/>
            <w:vAlign w:val="center"/>
          </w:tcPr>
          <w:p>
            <w:pPr>
              <w:pStyle w:val="15"/>
              <w:spacing w:line="360" w:lineRule="auto"/>
              <w:ind w:firstLine="0" w:firstLineChars="0"/>
              <w:jc w:val="center"/>
              <w:rPr>
                <w:rFonts w:ascii="Times New Roman" w:hAnsi="Times New Roman"/>
                <w:sz w:val="18"/>
                <w:szCs w:val="18"/>
              </w:rPr>
            </w:pPr>
            <w:r>
              <w:rPr>
                <w:rFonts w:ascii="Times New Roman" w:hAnsi="Times New Roman"/>
                <w:sz w:val="18"/>
                <w:szCs w:val="18"/>
              </w:rPr>
              <w:t>主</w:t>
            </w:r>
            <w:r>
              <w:rPr>
                <w:rFonts w:hint="eastAsia" w:ascii="Times New Roman" w:hAnsi="Times New Roman"/>
                <w:sz w:val="18"/>
                <w:szCs w:val="18"/>
                <w:lang w:val="en-US" w:eastAsia="zh-CN"/>
              </w:rPr>
              <w:t>参考面</w:t>
            </w:r>
            <w:r>
              <w:rPr>
                <w:rFonts w:ascii="Times New Roman" w:hAnsi="Times New Roman"/>
                <w:sz w:val="18"/>
                <w:szCs w:val="18"/>
              </w:rPr>
              <w:t>取向</w:t>
            </w:r>
          </w:p>
        </w:tc>
        <w:tc>
          <w:tcPr>
            <w:tcW w:w="2551" w:type="dxa"/>
            <w:vAlign w:val="center"/>
          </w:tcPr>
          <w:p>
            <w:pPr>
              <w:pStyle w:val="15"/>
              <w:spacing w:line="360" w:lineRule="auto"/>
              <w:ind w:firstLine="0" w:firstLineChars="0"/>
              <w:jc w:val="center"/>
              <w:rPr>
                <w:rFonts w:ascii="Times New Roman" w:hAnsi="Times New Roman"/>
                <w:sz w:val="18"/>
                <w:szCs w:val="18"/>
              </w:rPr>
            </w:pPr>
            <w:r>
              <w:rPr>
                <w:rFonts w:ascii="宋体" w:hAnsi="宋体"/>
                <w:kern w:val="0"/>
                <w:sz w:val="18"/>
                <w:szCs w:val="18"/>
              </w:rPr>
              <w:t>平行于</w:t>
            </w:r>
            <w:r>
              <w:rPr>
                <w:rFonts w:ascii="宋体" w:hAnsi="宋体"/>
                <w:kern w:val="0"/>
                <w:position w:val="-10"/>
                <w:sz w:val="18"/>
                <w:szCs w:val="18"/>
              </w:rPr>
              <w:object>
                <v:shape id="_x0000_i1025" o:spt="75" type="#_x0000_t75" style="height:15.05pt;width:26.3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宋体" w:hAnsi="宋体"/>
                <w:kern w:val="0"/>
                <w:sz w:val="18"/>
                <w:szCs w:val="18"/>
              </w:rPr>
              <w:t>±5°</w:t>
            </w:r>
          </w:p>
        </w:tc>
        <w:tc>
          <w:tcPr>
            <w:tcW w:w="2224" w:type="dxa"/>
            <w:vAlign w:val="center"/>
          </w:tcPr>
          <w:p>
            <w:pPr>
              <w:pStyle w:val="15"/>
              <w:spacing w:line="360" w:lineRule="auto"/>
              <w:ind w:firstLine="0" w:firstLineChars="0"/>
              <w:jc w:val="center"/>
              <w:rPr>
                <w:rFonts w:ascii="Times New Roman" w:hAnsi="Times New Roman"/>
                <w:sz w:val="18"/>
                <w:szCs w:val="18"/>
              </w:rPr>
            </w:pPr>
            <w:r>
              <w:rPr>
                <w:rFonts w:ascii="宋体" w:hAnsi="宋体"/>
                <w:kern w:val="0"/>
                <w:sz w:val="18"/>
                <w:szCs w:val="18"/>
              </w:rPr>
              <w:t>平行于</w:t>
            </w:r>
            <w:r>
              <w:rPr>
                <w:rFonts w:ascii="宋体" w:hAnsi="宋体"/>
                <w:kern w:val="0"/>
                <w:position w:val="-10"/>
                <w:sz w:val="18"/>
                <w:szCs w:val="18"/>
              </w:rPr>
              <w:object>
                <v:shape id="_x0000_i1026" o:spt="75" type="#_x0000_t75" style="height:15.05pt;width:26.3pt;" o:ole="t" filled="f" o:preferrelative="t" stroked="f" coordsize="21600,21600">
                  <v:path/>
                  <v:fill on="f" focussize="0,0"/>
                  <v:stroke on="f" joinstyle="miter"/>
                  <v:imagedata r:id="rId6" o:title=""/>
                  <o:lock v:ext="edit" aspectratio="t"/>
                  <w10:wrap type="none"/>
                  <w10:anchorlock/>
                </v:shape>
                <o:OLEObject Type="Embed" ProgID="Equation.3" ShapeID="_x0000_i1026" DrawAspect="Content" ObjectID="_1468075726" r:id="rId7">
                  <o:LockedField>false</o:LockedField>
                </o:OLEObject>
              </w:object>
            </w:r>
            <w:r>
              <w:rPr>
                <w:rFonts w:ascii="宋体" w:hAnsi="宋体"/>
                <w:kern w:val="0"/>
                <w:sz w:val="18"/>
                <w:szCs w:val="18"/>
              </w:rPr>
              <w:t>±5°</w:t>
            </w:r>
          </w:p>
        </w:tc>
        <w:tc>
          <w:tcPr>
            <w:tcW w:w="2229" w:type="dxa"/>
            <w:vAlign w:val="center"/>
          </w:tcPr>
          <w:p>
            <w:pPr>
              <w:pStyle w:val="15"/>
              <w:spacing w:line="360" w:lineRule="auto"/>
              <w:ind w:firstLine="0" w:firstLineChars="0"/>
              <w:jc w:val="center"/>
              <w:rPr>
                <w:rFonts w:ascii="Times New Roman" w:hAnsi="Times New Roman"/>
                <w:sz w:val="18"/>
                <w:szCs w:val="18"/>
              </w:rPr>
            </w:pPr>
            <w:r>
              <w:rPr>
                <w:rFonts w:ascii="宋体" w:hAnsi="宋体"/>
                <w:kern w:val="0"/>
                <w:sz w:val="18"/>
                <w:szCs w:val="18"/>
              </w:rPr>
              <w:t>平行于</w:t>
            </w:r>
            <w:r>
              <w:rPr>
                <w:rFonts w:ascii="宋体" w:hAnsi="宋体"/>
                <w:kern w:val="0"/>
                <w:position w:val="-10"/>
                <w:sz w:val="18"/>
                <w:szCs w:val="18"/>
              </w:rPr>
              <w:object>
                <v:shape id="_x0000_i1027" o:spt="75" type="#_x0000_t75" style="height:15.05pt;width:26.3pt;" o:ole="t" filled="f" o:preferrelative="t" stroked="f" coordsize="21600,21600">
                  <v:path/>
                  <v:fill on="f" focussize="0,0"/>
                  <v:stroke on="f" joinstyle="miter"/>
                  <v:imagedata r:id="rId6" o:title=""/>
                  <o:lock v:ext="edit" aspectratio="t"/>
                  <w10:wrap type="none"/>
                  <w10:anchorlock/>
                </v:shape>
                <o:OLEObject Type="Embed" ProgID="Equation.3" ShapeID="_x0000_i1027" DrawAspect="Content" ObjectID="_1468075727" r:id="rId8">
                  <o:LockedField>false</o:LockedField>
                </o:OLEObject>
              </w:object>
            </w:r>
            <w:r>
              <w:rPr>
                <w:rFonts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914" w:type="dxa"/>
            <w:vAlign w:val="center"/>
          </w:tcPr>
          <w:p>
            <w:pPr>
              <w:adjustRightInd w:val="0"/>
              <w:snapToGrid w:val="0"/>
              <w:jc w:val="center"/>
              <w:rPr>
                <w:rFonts w:ascii="Times New Roman" w:hAnsi="Times New Roman"/>
                <w:sz w:val="18"/>
                <w:szCs w:val="18"/>
              </w:rPr>
            </w:pPr>
            <w:r>
              <w:rPr>
                <w:rFonts w:ascii="宋体" w:hAnsi="宋体"/>
                <w:sz w:val="18"/>
                <w:szCs w:val="18"/>
              </w:rPr>
              <w:t>主</w:t>
            </w:r>
            <w:r>
              <w:rPr>
                <w:rFonts w:hint="eastAsia" w:ascii="Times New Roman" w:hAnsi="Times New Roman"/>
                <w:sz w:val="18"/>
                <w:szCs w:val="18"/>
                <w:lang w:val="en-US" w:eastAsia="zh-CN"/>
              </w:rPr>
              <w:t>参考面</w:t>
            </w:r>
            <w:r>
              <w:rPr>
                <w:rFonts w:ascii="宋体" w:hAnsi="宋体"/>
                <w:sz w:val="18"/>
                <w:szCs w:val="18"/>
              </w:rPr>
              <w:t>长度及</w:t>
            </w:r>
            <w:r>
              <w:rPr>
                <w:rFonts w:hint="eastAsia" w:ascii="宋体" w:hAnsi="宋体"/>
                <w:sz w:val="18"/>
                <w:szCs w:val="18"/>
              </w:rPr>
              <w:t>允许</w:t>
            </w:r>
            <w:r>
              <w:rPr>
                <w:rFonts w:ascii="宋体" w:hAnsi="宋体"/>
                <w:sz w:val="18"/>
                <w:szCs w:val="18"/>
              </w:rPr>
              <w:t>偏差</w:t>
            </w:r>
            <w:r>
              <w:rPr>
                <w:rFonts w:ascii="Times New Roman" w:hAnsi="Times New Roman"/>
                <w:sz w:val="18"/>
                <w:szCs w:val="18"/>
              </w:rPr>
              <w:t>（mm）</w:t>
            </w:r>
          </w:p>
        </w:tc>
        <w:tc>
          <w:tcPr>
            <w:tcW w:w="2551" w:type="dxa"/>
            <w:vAlign w:val="center"/>
          </w:tcPr>
          <w:p>
            <w:pPr>
              <w:pStyle w:val="15"/>
              <w:spacing w:line="360" w:lineRule="auto"/>
              <w:ind w:firstLine="0" w:firstLineChars="0"/>
              <w:jc w:val="center"/>
              <w:rPr>
                <w:rFonts w:ascii="Times New Roman" w:hAnsi="Times New Roman"/>
                <w:sz w:val="18"/>
                <w:szCs w:val="18"/>
              </w:rPr>
            </w:pPr>
            <w:r>
              <w:rPr>
                <w:rFonts w:ascii="宋体" w:hAnsi="宋体"/>
                <w:sz w:val="18"/>
                <w:szCs w:val="18"/>
              </w:rPr>
              <w:t>32.5±2.0</w:t>
            </w:r>
          </w:p>
        </w:tc>
        <w:tc>
          <w:tcPr>
            <w:tcW w:w="2224" w:type="dxa"/>
            <w:vAlign w:val="center"/>
          </w:tcPr>
          <w:p>
            <w:pPr>
              <w:pStyle w:val="15"/>
              <w:spacing w:line="360" w:lineRule="auto"/>
              <w:ind w:firstLine="0" w:firstLineChars="0"/>
              <w:jc w:val="center"/>
              <w:rPr>
                <w:rFonts w:ascii="Times New Roman" w:hAnsi="Times New Roman"/>
                <w:sz w:val="18"/>
                <w:szCs w:val="18"/>
              </w:rPr>
            </w:pPr>
            <w:r>
              <w:rPr>
                <w:rFonts w:ascii="宋体" w:hAnsi="宋体"/>
                <w:sz w:val="18"/>
                <w:szCs w:val="18"/>
              </w:rPr>
              <w:t>3</w:t>
            </w:r>
            <w:r>
              <w:rPr>
                <w:rFonts w:hint="eastAsia" w:ascii="宋体" w:hAnsi="宋体"/>
                <w:sz w:val="18"/>
                <w:szCs w:val="18"/>
              </w:rPr>
              <w:t>3</w:t>
            </w:r>
            <w:r>
              <w:rPr>
                <w:rFonts w:ascii="宋体" w:hAnsi="宋体"/>
                <w:sz w:val="18"/>
                <w:szCs w:val="18"/>
              </w:rPr>
              <w:t>.</w:t>
            </w:r>
            <w:r>
              <w:rPr>
                <w:rFonts w:hint="eastAsia" w:ascii="宋体" w:hAnsi="宋体"/>
                <w:sz w:val="18"/>
                <w:szCs w:val="18"/>
              </w:rPr>
              <w:t>5-34.0</w:t>
            </w:r>
          </w:p>
        </w:tc>
        <w:tc>
          <w:tcPr>
            <w:tcW w:w="2229" w:type="dxa"/>
            <w:vAlign w:val="center"/>
          </w:tcPr>
          <w:p>
            <w:pPr>
              <w:pStyle w:val="15"/>
              <w:spacing w:line="360" w:lineRule="auto"/>
              <w:ind w:firstLine="0" w:firstLineChars="0"/>
              <w:jc w:val="center"/>
              <w:rPr>
                <w:rFonts w:ascii="Times New Roman" w:hAnsi="Times New Roman"/>
                <w:sz w:val="18"/>
                <w:szCs w:val="18"/>
              </w:rPr>
            </w:pPr>
            <w:r>
              <w:rPr>
                <w:rFonts w:ascii="宋体" w:hAnsi="宋体"/>
                <w:sz w:val="18"/>
                <w:szCs w:val="18"/>
              </w:rPr>
              <w:t>32.5±2.0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914" w:type="dxa"/>
            <w:vAlign w:val="center"/>
          </w:tcPr>
          <w:p>
            <w:pPr>
              <w:pStyle w:val="15"/>
              <w:spacing w:line="360" w:lineRule="auto"/>
              <w:ind w:firstLine="0" w:firstLineChars="0"/>
              <w:jc w:val="center"/>
              <w:rPr>
                <w:rFonts w:ascii="Times New Roman" w:hAnsi="Times New Roman"/>
                <w:sz w:val="18"/>
                <w:szCs w:val="18"/>
              </w:rPr>
            </w:pPr>
            <w:r>
              <w:rPr>
                <w:rFonts w:ascii="Times New Roman" w:hAnsi="Times New Roman"/>
                <w:sz w:val="18"/>
                <w:szCs w:val="18"/>
              </w:rPr>
              <w:t>表面质量</w:t>
            </w:r>
          </w:p>
        </w:tc>
        <w:tc>
          <w:tcPr>
            <w:tcW w:w="2551" w:type="dxa"/>
            <w:vAlign w:val="center"/>
          </w:tcPr>
          <w:p>
            <w:pPr>
              <w:pStyle w:val="21"/>
              <w:widowControl w:val="0"/>
              <w:ind w:firstLine="0" w:firstLineChars="0"/>
              <w:jc w:val="center"/>
              <w:rPr>
                <w:rFonts w:ascii="Times New Roman"/>
                <w:sz w:val="18"/>
                <w:szCs w:val="18"/>
              </w:rPr>
            </w:pPr>
            <w:r>
              <w:rPr>
                <w:rFonts w:ascii="Times New Roman"/>
                <w:sz w:val="18"/>
                <w:szCs w:val="18"/>
              </w:rPr>
              <w:t>表面无</w:t>
            </w:r>
            <w:r>
              <w:rPr>
                <w:rFonts w:hint="eastAsia" w:ascii="Times New Roman"/>
                <w:sz w:val="18"/>
                <w:szCs w:val="18"/>
              </w:rPr>
              <w:t>肉眼可见污染物</w:t>
            </w:r>
          </w:p>
        </w:tc>
        <w:tc>
          <w:tcPr>
            <w:tcW w:w="2224" w:type="dxa"/>
            <w:vAlign w:val="center"/>
          </w:tcPr>
          <w:p>
            <w:pPr>
              <w:pStyle w:val="21"/>
              <w:widowControl w:val="0"/>
              <w:ind w:firstLine="0" w:firstLineChars="0"/>
              <w:jc w:val="center"/>
              <w:rPr>
                <w:rFonts w:ascii="Times New Roman"/>
                <w:sz w:val="18"/>
                <w:szCs w:val="18"/>
              </w:rPr>
            </w:pPr>
            <w:r>
              <w:rPr>
                <w:rFonts w:ascii="Times New Roman"/>
                <w:sz w:val="18"/>
                <w:szCs w:val="18"/>
              </w:rPr>
              <w:t>全部合格</w:t>
            </w:r>
          </w:p>
        </w:tc>
        <w:tc>
          <w:tcPr>
            <w:tcW w:w="2229" w:type="dxa"/>
            <w:vAlign w:val="center"/>
          </w:tcPr>
          <w:p>
            <w:pPr>
              <w:pStyle w:val="21"/>
              <w:widowControl w:val="0"/>
              <w:ind w:firstLine="0" w:firstLineChars="0"/>
              <w:jc w:val="center"/>
              <w:rPr>
                <w:rFonts w:ascii="Times New Roman"/>
                <w:sz w:val="18"/>
                <w:szCs w:val="18"/>
              </w:rPr>
            </w:pPr>
            <w:r>
              <w:rPr>
                <w:rFonts w:ascii="Times New Roman"/>
                <w:sz w:val="18"/>
                <w:szCs w:val="18"/>
              </w:rPr>
              <w:t>表面无</w:t>
            </w:r>
            <w:r>
              <w:rPr>
                <w:rFonts w:hint="eastAsia" w:ascii="Times New Roman"/>
                <w:sz w:val="18"/>
                <w:szCs w:val="18"/>
              </w:rPr>
              <w:t>肉眼可见污染物</w:t>
            </w:r>
          </w:p>
        </w:tc>
      </w:tr>
    </w:tbl>
    <w:p>
      <w:pPr>
        <w:pStyle w:val="15"/>
        <w:spacing w:line="360" w:lineRule="auto"/>
        <w:ind w:firstLine="480"/>
        <w:rPr>
          <w:rFonts w:hint="eastAsia" w:ascii="Times New Roman" w:hAnsi="Times New Roman"/>
          <w:sz w:val="24"/>
          <w:szCs w:val="24"/>
          <w:lang w:val="en-US" w:eastAsia="zh-CN"/>
        </w:rPr>
      </w:pPr>
      <w:r>
        <w:rPr>
          <w:rFonts w:ascii="Times New Roman" w:hAnsi="Times New Roman"/>
          <w:sz w:val="24"/>
          <w:szCs w:val="24"/>
        </w:rPr>
        <w:br w:type="textWrapping"/>
      </w:r>
      <w:r>
        <w:rPr>
          <w:rFonts w:hint="eastAsia" w:ascii="Times New Roman" w:hAnsi="Times New Roman"/>
          <w:sz w:val="24"/>
          <w:szCs w:val="24"/>
          <w:lang w:val="en-US" w:eastAsia="zh-CN"/>
        </w:rPr>
        <w:t xml:space="preserve">    </w:t>
      </w:r>
      <w:r>
        <w:rPr>
          <w:rFonts w:ascii="Times New Roman" w:hAnsi="Times New Roman"/>
          <w:sz w:val="24"/>
          <w:szCs w:val="24"/>
        </w:rPr>
        <w:t>对于201</w:t>
      </w:r>
      <w:r>
        <w:rPr>
          <w:rFonts w:hint="eastAsia" w:ascii="Times New Roman" w:hAnsi="Times New Roman"/>
          <w:sz w:val="24"/>
          <w:szCs w:val="24"/>
        </w:rPr>
        <w:t>9</w:t>
      </w:r>
      <w:r>
        <w:rPr>
          <w:rFonts w:ascii="Times New Roman" w:hAnsi="Times New Roman"/>
          <w:sz w:val="24"/>
          <w:szCs w:val="24"/>
        </w:rPr>
        <w:t>年</w:t>
      </w:r>
      <w:r>
        <w:rPr>
          <w:rFonts w:hint="eastAsia" w:ascii="Times New Roman" w:hAnsi="Times New Roman"/>
          <w:sz w:val="24"/>
          <w:szCs w:val="24"/>
        </w:rPr>
        <w:t>碳化硅单晶抛光片</w:t>
      </w:r>
      <w:r>
        <w:rPr>
          <w:rFonts w:ascii="Times New Roman" w:hAnsi="Times New Roman"/>
          <w:sz w:val="24"/>
          <w:szCs w:val="24"/>
        </w:rPr>
        <w:t>，</w:t>
      </w:r>
      <w:r>
        <w:rPr>
          <w:rFonts w:hint="eastAsia" w:ascii="Times New Roman" w:hAnsi="Times New Roman"/>
          <w:sz w:val="24"/>
          <w:szCs w:val="24"/>
          <w:lang w:val="en-US" w:eastAsia="zh-CN"/>
        </w:rPr>
        <w:t>随机抽取1000片</w:t>
      </w:r>
      <w:r>
        <w:rPr>
          <w:rFonts w:hint="eastAsia" w:ascii="Times New Roman" w:hAnsi="Times New Roman"/>
          <w:sz w:val="24"/>
          <w:szCs w:val="24"/>
        </w:rPr>
        <w:t>同柱的</w:t>
      </w:r>
      <w:r>
        <w:rPr>
          <w:rFonts w:hint="eastAsia" w:ascii="Times New Roman" w:hAnsi="Times New Roman"/>
          <w:sz w:val="24"/>
          <w:szCs w:val="24"/>
          <w:lang w:val="en-US" w:eastAsia="zh-CN"/>
        </w:rPr>
        <w:t>6寸</w:t>
      </w:r>
      <w:r>
        <w:rPr>
          <w:rFonts w:hint="eastAsia" w:ascii="Times New Roman" w:hAnsi="Times New Roman"/>
          <w:sz w:val="24"/>
          <w:szCs w:val="24"/>
        </w:rPr>
        <w:t>产品片</w:t>
      </w:r>
      <w:r>
        <w:rPr>
          <w:rFonts w:hint="eastAsia" w:ascii="Times New Roman" w:hAnsi="Times New Roman"/>
          <w:sz w:val="24"/>
          <w:szCs w:val="24"/>
          <w:lang w:eastAsia="zh-CN"/>
        </w:rPr>
        <w:t>，</w:t>
      </w:r>
      <w:r>
        <w:rPr>
          <w:rFonts w:ascii="Times New Roman" w:hAnsi="Times New Roman"/>
          <w:sz w:val="24"/>
          <w:szCs w:val="24"/>
        </w:rPr>
        <w:t>进行了检验，表面质量全检，其他项目按照GB/T 2828.1-2012中</w:t>
      </w:r>
      <w:r>
        <w:rPr>
          <w:rFonts w:hint="eastAsia" w:ascii="Times New Roman" w:hAnsi="Times New Roman"/>
          <w:sz w:val="24"/>
          <w:szCs w:val="24"/>
        </w:rPr>
        <w:t>一般检验水平I，特殊检验水平S-1，</w:t>
      </w:r>
      <w:r>
        <w:rPr>
          <w:rFonts w:ascii="Times New Roman" w:hAnsi="Times New Roman"/>
          <w:sz w:val="24"/>
          <w:szCs w:val="24"/>
        </w:rPr>
        <w:t>正常检验一次抽样方案进行了检验，抽取样本</w:t>
      </w:r>
      <w:r>
        <w:rPr>
          <w:rFonts w:hint="eastAsia" w:ascii="Times New Roman" w:hAnsi="Times New Roman"/>
          <w:sz w:val="24"/>
          <w:szCs w:val="24"/>
          <w:lang w:val="en-US" w:eastAsia="zh-CN"/>
        </w:rPr>
        <w:t>100</w:t>
      </w:r>
      <w:r>
        <w:rPr>
          <w:rFonts w:ascii="Times New Roman" w:hAnsi="Times New Roman"/>
          <w:sz w:val="24"/>
          <w:szCs w:val="24"/>
        </w:rPr>
        <w:t>片，接收限AQL=</w:t>
      </w:r>
      <w:r>
        <w:rPr>
          <w:rFonts w:hint="eastAsia" w:ascii="Times New Roman" w:hAnsi="Times New Roman"/>
          <w:sz w:val="24"/>
          <w:szCs w:val="24"/>
          <w:lang w:val="en-US" w:eastAsia="zh-CN"/>
        </w:rPr>
        <w:t>1.0</w:t>
      </w:r>
      <w:r>
        <w:rPr>
          <w:rFonts w:ascii="Times New Roman" w:hAnsi="Times New Roman"/>
          <w:sz w:val="24"/>
          <w:szCs w:val="24"/>
        </w:rPr>
        <w:t>进行检验，结果见表</w:t>
      </w:r>
      <w:r>
        <w:rPr>
          <w:rFonts w:hint="eastAsia" w:ascii="Times New Roman" w:hAnsi="Times New Roman"/>
          <w:sz w:val="24"/>
          <w:szCs w:val="24"/>
          <w:lang w:val="en-US" w:eastAsia="zh-CN"/>
        </w:rPr>
        <w:t>2</w:t>
      </w:r>
      <w:r>
        <w:rPr>
          <w:rFonts w:ascii="Times New Roman" w:hAnsi="Times New Roman"/>
          <w:sz w:val="24"/>
          <w:szCs w:val="24"/>
        </w:rPr>
        <w:t>。</w:t>
      </w:r>
      <w:r>
        <w:rPr>
          <w:rFonts w:ascii="Times New Roman" w:hAnsi="Times New Roman"/>
          <w:sz w:val="24"/>
          <w:szCs w:val="24"/>
        </w:rPr>
        <w:br w:type="textWrapping"/>
      </w:r>
      <w:r>
        <w:rPr>
          <w:rFonts w:hint="eastAsia" w:ascii="Times New Roman" w:hAnsi="Times New Roman"/>
          <w:sz w:val="24"/>
          <w:szCs w:val="24"/>
          <w:lang w:val="en-US" w:eastAsia="zh-CN"/>
        </w:rPr>
        <w:t xml:space="preserve">                                   表2</w:t>
      </w:r>
    </w:p>
    <w:tbl>
      <w:tblPr>
        <w:tblStyle w:val="11"/>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2551"/>
        <w:gridCol w:w="2224"/>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14" w:type="dxa"/>
            <w:vAlign w:val="center"/>
          </w:tcPr>
          <w:p>
            <w:pPr>
              <w:pStyle w:val="15"/>
              <w:spacing w:line="360" w:lineRule="auto"/>
              <w:ind w:firstLine="0" w:firstLineChars="0"/>
              <w:jc w:val="center"/>
              <w:rPr>
                <w:rFonts w:ascii="Times New Roman" w:hAnsi="Times New Roman"/>
                <w:b/>
                <w:bCs/>
                <w:sz w:val="18"/>
                <w:szCs w:val="18"/>
              </w:rPr>
            </w:pPr>
            <w:r>
              <w:rPr>
                <w:rFonts w:ascii="Times New Roman" w:hAnsi="Times New Roman"/>
                <w:b/>
                <w:bCs/>
                <w:sz w:val="18"/>
                <w:szCs w:val="18"/>
              </w:rPr>
              <w:t>项目</w:t>
            </w:r>
          </w:p>
        </w:tc>
        <w:tc>
          <w:tcPr>
            <w:tcW w:w="2551" w:type="dxa"/>
            <w:vAlign w:val="center"/>
          </w:tcPr>
          <w:p>
            <w:pPr>
              <w:pStyle w:val="15"/>
              <w:spacing w:line="360" w:lineRule="auto"/>
              <w:ind w:firstLine="0" w:firstLineChars="0"/>
              <w:jc w:val="center"/>
              <w:rPr>
                <w:rFonts w:ascii="Times New Roman" w:hAnsi="Times New Roman"/>
                <w:b/>
                <w:bCs/>
                <w:sz w:val="18"/>
                <w:szCs w:val="18"/>
              </w:rPr>
            </w:pPr>
            <w:r>
              <w:rPr>
                <w:rFonts w:ascii="Times New Roman" w:hAnsi="Times New Roman"/>
                <w:b/>
                <w:bCs/>
                <w:sz w:val="18"/>
                <w:szCs w:val="18"/>
              </w:rPr>
              <w:t>客户要求</w:t>
            </w:r>
          </w:p>
        </w:tc>
        <w:tc>
          <w:tcPr>
            <w:tcW w:w="2224" w:type="dxa"/>
            <w:vAlign w:val="center"/>
          </w:tcPr>
          <w:p>
            <w:pPr>
              <w:pStyle w:val="15"/>
              <w:spacing w:line="360" w:lineRule="auto"/>
              <w:ind w:firstLine="0" w:firstLineChars="0"/>
              <w:jc w:val="center"/>
              <w:rPr>
                <w:rFonts w:ascii="Times New Roman" w:hAnsi="Times New Roman"/>
                <w:b/>
                <w:bCs/>
                <w:sz w:val="18"/>
                <w:szCs w:val="18"/>
              </w:rPr>
            </w:pPr>
            <w:r>
              <w:rPr>
                <w:rFonts w:ascii="Times New Roman" w:hAnsi="Times New Roman"/>
                <w:b/>
                <w:bCs/>
                <w:sz w:val="18"/>
                <w:szCs w:val="18"/>
              </w:rPr>
              <w:t>实际测量</w:t>
            </w:r>
          </w:p>
        </w:tc>
        <w:tc>
          <w:tcPr>
            <w:tcW w:w="2229" w:type="dxa"/>
            <w:vAlign w:val="center"/>
          </w:tcPr>
          <w:p>
            <w:pPr>
              <w:pStyle w:val="15"/>
              <w:spacing w:line="360" w:lineRule="auto"/>
              <w:ind w:firstLine="0" w:firstLineChars="0"/>
              <w:jc w:val="center"/>
              <w:rPr>
                <w:rFonts w:ascii="Times New Roman" w:hAnsi="Times New Roman"/>
                <w:b/>
                <w:bCs/>
                <w:sz w:val="18"/>
                <w:szCs w:val="18"/>
              </w:rPr>
            </w:pPr>
            <w:r>
              <w:rPr>
                <w:rFonts w:ascii="Times New Roman" w:hAnsi="Times New Roman"/>
                <w:b/>
                <w:bCs/>
                <w:sz w:val="18"/>
                <w:szCs w:val="18"/>
              </w:rPr>
              <w:t>本标准要求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914" w:type="dxa"/>
            <w:vAlign w:val="center"/>
          </w:tcPr>
          <w:p>
            <w:pPr>
              <w:pStyle w:val="15"/>
              <w:spacing w:line="360" w:lineRule="auto"/>
              <w:ind w:firstLine="0" w:firstLineChars="0"/>
              <w:jc w:val="center"/>
              <w:rPr>
                <w:rFonts w:ascii="Times New Roman" w:hAnsi="Times New Roman"/>
                <w:sz w:val="18"/>
                <w:szCs w:val="18"/>
              </w:rPr>
            </w:pPr>
            <w:r>
              <w:rPr>
                <w:rFonts w:ascii="Times New Roman" w:hAnsi="Times New Roman"/>
                <w:sz w:val="18"/>
                <w:szCs w:val="18"/>
              </w:rPr>
              <w:t>直径及允许偏差（mm）</w:t>
            </w:r>
          </w:p>
        </w:tc>
        <w:tc>
          <w:tcPr>
            <w:tcW w:w="2551"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1</w:t>
            </w:r>
            <w:r>
              <w:rPr>
                <w:rFonts w:hint="eastAsia" w:ascii="Times New Roman" w:hAnsi="Times New Roman"/>
                <w:sz w:val="18"/>
                <w:szCs w:val="18"/>
                <w:lang w:val="en-US" w:eastAsia="zh-CN"/>
              </w:rPr>
              <w:t>50</w:t>
            </w:r>
            <w:r>
              <w:rPr>
                <w:rFonts w:hint="eastAsia" w:ascii="Times New Roman" w:hAnsi="Times New Roman"/>
                <w:sz w:val="18"/>
                <w:szCs w:val="18"/>
              </w:rPr>
              <w:t>.0</w:t>
            </w:r>
            <w:r>
              <w:rPr>
                <w:rFonts w:hint="eastAsia" w:ascii="Times New Roman" w:hAnsi="Times New Roman"/>
                <w:szCs w:val="21"/>
              </w:rPr>
              <w:t>±</w:t>
            </w:r>
            <w:r>
              <w:rPr>
                <w:rFonts w:ascii="Times New Roman" w:hAnsi="Times New Roman"/>
                <w:sz w:val="18"/>
                <w:szCs w:val="18"/>
              </w:rPr>
              <w:t>0.5</w:t>
            </w:r>
          </w:p>
        </w:tc>
        <w:tc>
          <w:tcPr>
            <w:tcW w:w="2224" w:type="dxa"/>
            <w:vAlign w:val="center"/>
          </w:tcPr>
          <w:p>
            <w:pPr>
              <w:pStyle w:val="15"/>
              <w:spacing w:line="360" w:lineRule="auto"/>
              <w:ind w:firstLine="0" w:firstLineChars="0"/>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149.5</w:t>
            </w:r>
            <w:r>
              <w:rPr>
                <w:rFonts w:ascii="Times New Roman" w:hAnsi="Times New Roman"/>
                <w:sz w:val="18"/>
                <w:szCs w:val="18"/>
              </w:rPr>
              <w:t>-</w:t>
            </w:r>
            <w:r>
              <w:rPr>
                <w:rFonts w:hint="eastAsia" w:ascii="Times New Roman" w:hAnsi="Times New Roman"/>
                <w:sz w:val="18"/>
                <w:szCs w:val="18"/>
                <w:lang w:val="en-US" w:eastAsia="zh-CN"/>
              </w:rPr>
              <w:t>150.0</w:t>
            </w:r>
          </w:p>
        </w:tc>
        <w:tc>
          <w:tcPr>
            <w:tcW w:w="2229"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1</w:t>
            </w:r>
            <w:r>
              <w:rPr>
                <w:rFonts w:hint="eastAsia" w:ascii="Times New Roman" w:hAnsi="Times New Roman"/>
                <w:sz w:val="18"/>
                <w:szCs w:val="18"/>
                <w:lang w:val="en-US" w:eastAsia="zh-CN"/>
              </w:rPr>
              <w:t>50</w:t>
            </w:r>
            <w:r>
              <w:rPr>
                <w:rFonts w:hint="eastAsia" w:ascii="Times New Roman" w:hAnsi="Times New Roman"/>
                <w:sz w:val="18"/>
                <w:szCs w:val="18"/>
              </w:rPr>
              <w:t>.0</w:t>
            </w:r>
            <w:r>
              <w:rPr>
                <w:rFonts w:hint="eastAsia" w:ascii="Times New Roman" w:hAnsi="Times New Roman"/>
                <w:szCs w:val="21"/>
              </w:rPr>
              <w:t>±</w:t>
            </w:r>
            <w:r>
              <w:rPr>
                <w:rFonts w:ascii="Times New Roman" w:hAnsi="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914" w:type="dxa"/>
            <w:vAlign w:val="center"/>
          </w:tcPr>
          <w:p>
            <w:pPr>
              <w:pStyle w:val="15"/>
              <w:spacing w:line="360" w:lineRule="auto"/>
              <w:ind w:firstLine="0" w:firstLineChars="0"/>
              <w:jc w:val="center"/>
              <w:rPr>
                <w:rFonts w:ascii="Times New Roman" w:hAnsi="Times New Roman"/>
                <w:sz w:val="18"/>
                <w:szCs w:val="18"/>
              </w:rPr>
            </w:pPr>
            <w:r>
              <w:rPr>
                <w:rFonts w:ascii="Times New Roman" w:hAnsi="Times New Roman"/>
                <w:sz w:val="18"/>
                <w:szCs w:val="18"/>
              </w:rPr>
              <w:t>厚度</w:t>
            </w:r>
            <w:r>
              <w:rPr>
                <w:rFonts w:hint="eastAsia" w:ascii="Times New Roman" w:hAnsi="Times New Roman"/>
                <w:sz w:val="18"/>
                <w:szCs w:val="18"/>
              </w:rPr>
              <w:t>及允许偏差</w:t>
            </w:r>
            <w:r>
              <w:rPr>
                <w:rFonts w:ascii="Times New Roman" w:hAnsi="Times New Roman"/>
                <w:sz w:val="18"/>
                <w:szCs w:val="18"/>
              </w:rPr>
              <w:t>（</w:t>
            </w:r>
            <w:r>
              <w:rPr>
                <w:rFonts w:ascii="Times New Roman" w:hAnsi="Times New Roman"/>
                <w:szCs w:val="21"/>
              </w:rPr>
              <w:t>μm）</w:t>
            </w:r>
          </w:p>
        </w:tc>
        <w:tc>
          <w:tcPr>
            <w:tcW w:w="2551"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350</w:t>
            </w:r>
            <w:r>
              <w:rPr>
                <w:rFonts w:ascii="Times New Roman" w:hAnsi="Times New Roman"/>
                <w:sz w:val="18"/>
                <w:szCs w:val="18"/>
              </w:rPr>
              <w:t>±</w:t>
            </w:r>
            <w:r>
              <w:rPr>
                <w:rFonts w:hint="eastAsia" w:ascii="Times New Roman" w:hAnsi="Times New Roman"/>
                <w:sz w:val="18"/>
                <w:szCs w:val="18"/>
              </w:rPr>
              <w:t>25</w:t>
            </w:r>
          </w:p>
        </w:tc>
        <w:tc>
          <w:tcPr>
            <w:tcW w:w="2224"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360-368</w:t>
            </w:r>
          </w:p>
        </w:tc>
        <w:tc>
          <w:tcPr>
            <w:tcW w:w="2229"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350</w:t>
            </w:r>
            <w:r>
              <w:rPr>
                <w:rFonts w:ascii="Times New Roman" w:hAnsi="Times New Roman"/>
                <w:sz w:val="18"/>
                <w:szCs w:val="18"/>
              </w:rPr>
              <w:t>±</w:t>
            </w:r>
            <w:r>
              <w:rPr>
                <w:rFonts w:hint="eastAsia" w:ascii="Times New Roman" w:hAnsi="Times New Roman"/>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914" w:type="dxa"/>
            <w:vAlign w:val="center"/>
          </w:tcPr>
          <w:p>
            <w:pPr>
              <w:pStyle w:val="15"/>
              <w:spacing w:line="360" w:lineRule="auto"/>
              <w:ind w:firstLine="0" w:firstLineChars="0"/>
              <w:jc w:val="center"/>
              <w:rPr>
                <w:rFonts w:ascii="Times New Roman" w:hAnsi="Times New Roman"/>
                <w:sz w:val="18"/>
                <w:szCs w:val="18"/>
              </w:rPr>
            </w:pPr>
            <w:r>
              <w:rPr>
                <w:rFonts w:ascii="Times New Roman" w:hAnsi="Times New Roman"/>
                <w:sz w:val="18"/>
                <w:szCs w:val="18"/>
              </w:rPr>
              <w:t>主</w:t>
            </w:r>
            <w:r>
              <w:rPr>
                <w:rFonts w:hint="eastAsia" w:ascii="Times New Roman" w:hAnsi="Times New Roman"/>
                <w:sz w:val="18"/>
                <w:szCs w:val="18"/>
                <w:lang w:val="en-US" w:eastAsia="zh-CN"/>
              </w:rPr>
              <w:t>参考面</w:t>
            </w:r>
            <w:r>
              <w:rPr>
                <w:rFonts w:ascii="Times New Roman" w:hAnsi="Times New Roman"/>
                <w:sz w:val="18"/>
                <w:szCs w:val="18"/>
              </w:rPr>
              <w:t>取向</w:t>
            </w:r>
          </w:p>
        </w:tc>
        <w:tc>
          <w:tcPr>
            <w:tcW w:w="2551" w:type="dxa"/>
            <w:vAlign w:val="center"/>
          </w:tcPr>
          <w:p>
            <w:pPr>
              <w:pStyle w:val="15"/>
              <w:spacing w:line="360" w:lineRule="auto"/>
              <w:ind w:firstLine="0" w:firstLineChars="0"/>
              <w:jc w:val="center"/>
              <w:rPr>
                <w:rFonts w:ascii="Times New Roman" w:hAnsi="Times New Roman"/>
                <w:sz w:val="18"/>
                <w:szCs w:val="18"/>
              </w:rPr>
            </w:pPr>
            <w:r>
              <w:rPr>
                <w:rFonts w:ascii="宋体" w:hAnsi="宋体"/>
                <w:kern w:val="0"/>
                <w:sz w:val="18"/>
                <w:szCs w:val="18"/>
              </w:rPr>
              <w:t>平行于</w:t>
            </w:r>
            <w:r>
              <w:rPr>
                <w:rFonts w:ascii="宋体" w:hAnsi="宋体"/>
                <w:kern w:val="0"/>
                <w:position w:val="-10"/>
                <w:sz w:val="18"/>
                <w:szCs w:val="18"/>
              </w:rPr>
              <w:object>
                <v:shape id="_x0000_i1028" o:spt="75" type="#_x0000_t75" style="height:15.05pt;width:26.3pt;" o:ole="t" filled="f" o:preferrelative="t" stroked="f" coordsize="21600,21600">
                  <v:path/>
                  <v:fill on="f" focussize="0,0"/>
                  <v:stroke on="f" joinstyle="miter"/>
                  <v:imagedata r:id="rId6" o:title=""/>
                  <o:lock v:ext="edit" aspectratio="t"/>
                  <w10:wrap type="none"/>
                  <w10:anchorlock/>
                </v:shape>
                <o:OLEObject Type="Embed" ProgID="Equation.3" ShapeID="_x0000_i1028" DrawAspect="Content" ObjectID="_1468075728" r:id="rId9">
                  <o:LockedField>false</o:LockedField>
                </o:OLEObject>
              </w:object>
            </w:r>
            <w:r>
              <w:rPr>
                <w:rFonts w:ascii="宋体" w:hAnsi="宋体"/>
                <w:kern w:val="0"/>
                <w:sz w:val="18"/>
                <w:szCs w:val="18"/>
              </w:rPr>
              <w:t>±5°</w:t>
            </w:r>
          </w:p>
        </w:tc>
        <w:tc>
          <w:tcPr>
            <w:tcW w:w="2224" w:type="dxa"/>
            <w:vAlign w:val="center"/>
          </w:tcPr>
          <w:p>
            <w:pPr>
              <w:pStyle w:val="15"/>
              <w:spacing w:line="360" w:lineRule="auto"/>
              <w:ind w:firstLine="0" w:firstLineChars="0"/>
              <w:jc w:val="center"/>
              <w:rPr>
                <w:rFonts w:ascii="Times New Roman" w:hAnsi="Times New Roman"/>
                <w:sz w:val="18"/>
                <w:szCs w:val="18"/>
              </w:rPr>
            </w:pPr>
            <w:r>
              <w:rPr>
                <w:rFonts w:ascii="宋体" w:hAnsi="宋体"/>
                <w:kern w:val="0"/>
                <w:sz w:val="18"/>
                <w:szCs w:val="18"/>
              </w:rPr>
              <w:t>平行于</w:t>
            </w:r>
            <w:r>
              <w:rPr>
                <w:rFonts w:ascii="宋体" w:hAnsi="宋体"/>
                <w:kern w:val="0"/>
                <w:position w:val="-10"/>
                <w:sz w:val="18"/>
                <w:szCs w:val="18"/>
              </w:rPr>
              <w:object>
                <v:shape id="_x0000_i1029" o:spt="75" type="#_x0000_t75" style="height:15.05pt;width:26.3pt;" o:ole="t" filled="f" o:preferrelative="t" stroked="f" coordsize="21600,21600">
                  <v:path/>
                  <v:fill on="f" focussize="0,0"/>
                  <v:stroke on="f" joinstyle="miter"/>
                  <v:imagedata r:id="rId6" o:title=""/>
                  <o:lock v:ext="edit" aspectratio="t"/>
                  <w10:wrap type="none"/>
                  <w10:anchorlock/>
                </v:shape>
                <o:OLEObject Type="Embed" ProgID="Equation.3" ShapeID="_x0000_i1029" DrawAspect="Content" ObjectID="_1468075729" r:id="rId10">
                  <o:LockedField>false</o:LockedField>
                </o:OLEObject>
              </w:object>
            </w:r>
            <w:r>
              <w:rPr>
                <w:rFonts w:ascii="宋体" w:hAnsi="宋体"/>
                <w:kern w:val="0"/>
                <w:sz w:val="18"/>
                <w:szCs w:val="18"/>
              </w:rPr>
              <w:t>±5°</w:t>
            </w:r>
          </w:p>
        </w:tc>
        <w:tc>
          <w:tcPr>
            <w:tcW w:w="2229" w:type="dxa"/>
            <w:vAlign w:val="center"/>
          </w:tcPr>
          <w:p>
            <w:pPr>
              <w:pStyle w:val="15"/>
              <w:spacing w:line="360" w:lineRule="auto"/>
              <w:ind w:firstLine="0" w:firstLineChars="0"/>
              <w:jc w:val="center"/>
              <w:rPr>
                <w:rFonts w:ascii="Times New Roman" w:hAnsi="Times New Roman"/>
                <w:sz w:val="18"/>
                <w:szCs w:val="18"/>
              </w:rPr>
            </w:pPr>
            <w:r>
              <w:rPr>
                <w:rFonts w:ascii="宋体" w:hAnsi="宋体"/>
                <w:kern w:val="0"/>
                <w:sz w:val="18"/>
                <w:szCs w:val="18"/>
              </w:rPr>
              <w:t>平行于</w:t>
            </w:r>
            <w:r>
              <w:rPr>
                <w:rFonts w:ascii="宋体" w:hAnsi="宋体"/>
                <w:kern w:val="0"/>
                <w:position w:val="-10"/>
                <w:sz w:val="18"/>
                <w:szCs w:val="18"/>
              </w:rPr>
              <w:object>
                <v:shape id="_x0000_i1030" o:spt="75" type="#_x0000_t75" style="height:15.05pt;width:26.3pt;" o:ole="t" filled="f" o:preferrelative="t" stroked="f" coordsize="21600,21600">
                  <v:path/>
                  <v:fill on="f" focussize="0,0"/>
                  <v:stroke on="f" joinstyle="miter"/>
                  <v:imagedata r:id="rId6" o:title=""/>
                  <o:lock v:ext="edit" aspectratio="t"/>
                  <w10:wrap type="none"/>
                  <w10:anchorlock/>
                </v:shape>
                <o:OLEObject Type="Embed" ProgID="Equation.3" ShapeID="_x0000_i1030" DrawAspect="Content" ObjectID="_1468075730" r:id="rId11">
                  <o:LockedField>false</o:LockedField>
                </o:OLEObject>
              </w:object>
            </w:r>
            <w:r>
              <w:rPr>
                <w:rFonts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914" w:type="dxa"/>
            <w:vAlign w:val="center"/>
          </w:tcPr>
          <w:p>
            <w:pPr>
              <w:adjustRightInd w:val="0"/>
              <w:snapToGrid w:val="0"/>
              <w:jc w:val="center"/>
              <w:rPr>
                <w:rFonts w:ascii="Times New Roman" w:hAnsi="Times New Roman"/>
                <w:sz w:val="18"/>
                <w:szCs w:val="18"/>
              </w:rPr>
            </w:pPr>
            <w:r>
              <w:rPr>
                <w:rFonts w:ascii="宋体" w:hAnsi="宋体"/>
                <w:sz w:val="18"/>
                <w:szCs w:val="18"/>
              </w:rPr>
              <w:t>主</w:t>
            </w:r>
            <w:r>
              <w:rPr>
                <w:rFonts w:hint="eastAsia" w:ascii="Times New Roman" w:hAnsi="Times New Roman"/>
                <w:sz w:val="18"/>
                <w:szCs w:val="18"/>
                <w:lang w:val="en-US" w:eastAsia="zh-CN"/>
              </w:rPr>
              <w:t>参考面</w:t>
            </w:r>
            <w:r>
              <w:rPr>
                <w:rFonts w:ascii="宋体" w:hAnsi="宋体"/>
                <w:sz w:val="18"/>
                <w:szCs w:val="18"/>
              </w:rPr>
              <w:t>长度及</w:t>
            </w:r>
            <w:r>
              <w:rPr>
                <w:rFonts w:hint="eastAsia" w:ascii="宋体" w:hAnsi="宋体"/>
                <w:sz w:val="18"/>
                <w:szCs w:val="18"/>
              </w:rPr>
              <w:t>允许</w:t>
            </w:r>
            <w:r>
              <w:rPr>
                <w:rFonts w:ascii="宋体" w:hAnsi="宋体"/>
                <w:sz w:val="18"/>
                <w:szCs w:val="18"/>
              </w:rPr>
              <w:t>偏差mm</w:t>
            </w:r>
            <w:r>
              <w:rPr>
                <w:rFonts w:ascii="Times New Roman" w:hAnsi="Times New Roman"/>
                <w:sz w:val="18"/>
                <w:szCs w:val="18"/>
              </w:rPr>
              <w:t>（mm）</w:t>
            </w:r>
          </w:p>
        </w:tc>
        <w:tc>
          <w:tcPr>
            <w:tcW w:w="2551" w:type="dxa"/>
            <w:vAlign w:val="center"/>
          </w:tcPr>
          <w:p>
            <w:pPr>
              <w:pStyle w:val="15"/>
              <w:spacing w:line="360" w:lineRule="auto"/>
              <w:ind w:firstLine="0" w:firstLineChars="0"/>
              <w:jc w:val="center"/>
              <w:rPr>
                <w:rFonts w:ascii="Times New Roman" w:hAnsi="Times New Roman"/>
                <w:sz w:val="18"/>
                <w:szCs w:val="18"/>
              </w:rPr>
            </w:pPr>
            <w:r>
              <w:rPr>
                <w:rFonts w:hint="eastAsia" w:ascii="宋体" w:hAnsi="宋体"/>
                <w:sz w:val="18"/>
                <w:szCs w:val="18"/>
                <w:lang w:val="en-US" w:eastAsia="zh-CN"/>
              </w:rPr>
              <w:t>47</w:t>
            </w:r>
            <w:r>
              <w:rPr>
                <w:rFonts w:ascii="宋体" w:hAnsi="宋体"/>
                <w:sz w:val="18"/>
                <w:szCs w:val="18"/>
              </w:rPr>
              <w:t>.5±2.0</w:t>
            </w:r>
          </w:p>
        </w:tc>
        <w:tc>
          <w:tcPr>
            <w:tcW w:w="2224" w:type="dxa"/>
            <w:vAlign w:val="center"/>
          </w:tcPr>
          <w:p>
            <w:pPr>
              <w:pStyle w:val="15"/>
              <w:spacing w:line="360" w:lineRule="auto"/>
              <w:ind w:firstLine="0" w:firstLineChars="0"/>
              <w:jc w:val="center"/>
              <w:rPr>
                <w:rFonts w:hint="default" w:ascii="Times New Roman" w:hAnsi="Times New Roman" w:eastAsia="宋体"/>
                <w:sz w:val="18"/>
                <w:szCs w:val="18"/>
                <w:lang w:val="en-US" w:eastAsia="zh-CN"/>
              </w:rPr>
            </w:pPr>
            <w:r>
              <w:rPr>
                <w:rFonts w:hint="eastAsia" w:ascii="宋体" w:hAnsi="宋体"/>
                <w:sz w:val="18"/>
                <w:szCs w:val="18"/>
                <w:lang w:val="en-US" w:eastAsia="zh-CN"/>
              </w:rPr>
              <w:t>45.8</w:t>
            </w:r>
            <w:r>
              <w:rPr>
                <w:rFonts w:hint="eastAsia" w:ascii="宋体" w:hAnsi="宋体"/>
                <w:sz w:val="18"/>
                <w:szCs w:val="18"/>
              </w:rPr>
              <w:t>-</w:t>
            </w:r>
            <w:r>
              <w:rPr>
                <w:rFonts w:hint="eastAsia" w:ascii="宋体" w:hAnsi="宋体"/>
                <w:sz w:val="18"/>
                <w:szCs w:val="18"/>
                <w:lang w:val="en-US" w:eastAsia="zh-CN"/>
              </w:rPr>
              <w:t>49.5</w:t>
            </w:r>
          </w:p>
        </w:tc>
        <w:tc>
          <w:tcPr>
            <w:tcW w:w="2229" w:type="dxa"/>
            <w:vAlign w:val="center"/>
          </w:tcPr>
          <w:p>
            <w:pPr>
              <w:pStyle w:val="15"/>
              <w:spacing w:line="360" w:lineRule="auto"/>
              <w:ind w:firstLine="0" w:firstLineChars="0"/>
              <w:jc w:val="center"/>
              <w:rPr>
                <w:rFonts w:ascii="Times New Roman" w:hAnsi="Times New Roman"/>
                <w:sz w:val="18"/>
                <w:szCs w:val="18"/>
              </w:rPr>
            </w:pPr>
            <w:r>
              <w:rPr>
                <w:rFonts w:hint="eastAsia" w:ascii="宋体" w:hAnsi="宋体"/>
                <w:sz w:val="18"/>
                <w:szCs w:val="18"/>
                <w:lang w:val="en-US" w:eastAsia="zh-CN"/>
              </w:rPr>
              <w:t>47</w:t>
            </w:r>
            <w:r>
              <w:rPr>
                <w:rFonts w:ascii="宋体" w:hAnsi="宋体"/>
                <w:sz w:val="18"/>
                <w:szCs w:val="18"/>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914" w:type="dxa"/>
            <w:vAlign w:val="center"/>
          </w:tcPr>
          <w:p>
            <w:pPr>
              <w:pStyle w:val="15"/>
              <w:spacing w:line="360" w:lineRule="auto"/>
              <w:ind w:firstLine="0" w:firstLineChars="0"/>
              <w:jc w:val="center"/>
              <w:rPr>
                <w:rFonts w:ascii="Times New Roman" w:hAnsi="Times New Roman"/>
                <w:sz w:val="18"/>
                <w:szCs w:val="18"/>
              </w:rPr>
            </w:pPr>
            <w:r>
              <w:rPr>
                <w:rFonts w:ascii="Times New Roman" w:hAnsi="Times New Roman"/>
                <w:sz w:val="18"/>
                <w:szCs w:val="18"/>
              </w:rPr>
              <w:t>表面质量</w:t>
            </w:r>
          </w:p>
        </w:tc>
        <w:tc>
          <w:tcPr>
            <w:tcW w:w="2551" w:type="dxa"/>
            <w:vAlign w:val="center"/>
          </w:tcPr>
          <w:p>
            <w:pPr>
              <w:pStyle w:val="21"/>
              <w:widowControl w:val="0"/>
              <w:ind w:firstLine="0" w:firstLineChars="0"/>
              <w:jc w:val="center"/>
              <w:rPr>
                <w:rFonts w:ascii="Times New Roman"/>
                <w:sz w:val="18"/>
                <w:szCs w:val="18"/>
              </w:rPr>
            </w:pPr>
            <w:r>
              <w:rPr>
                <w:rFonts w:ascii="Times New Roman"/>
                <w:sz w:val="18"/>
                <w:szCs w:val="18"/>
              </w:rPr>
              <w:t>表面无</w:t>
            </w:r>
            <w:r>
              <w:rPr>
                <w:rFonts w:hint="eastAsia" w:ascii="Times New Roman"/>
                <w:sz w:val="18"/>
                <w:szCs w:val="18"/>
              </w:rPr>
              <w:t>肉眼可见污染物</w:t>
            </w:r>
          </w:p>
        </w:tc>
        <w:tc>
          <w:tcPr>
            <w:tcW w:w="2224" w:type="dxa"/>
            <w:vAlign w:val="center"/>
          </w:tcPr>
          <w:p>
            <w:pPr>
              <w:pStyle w:val="21"/>
              <w:widowControl w:val="0"/>
              <w:ind w:firstLine="0" w:firstLineChars="0"/>
              <w:jc w:val="center"/>
              <w:rPr>
                <w:rFonts w:ascii="Times New Roman"/>
                <w:sz w:val="18"/>
                <w:szCs w:val="18"/>
              </w:rPr>
            </w:pPr>
            <w:r>
              <w:rPr>
                <w:rFonts w:ascii="Times New Roman"/>
                <w:sz w:val="18"/>
                <w:szCs w:val="18"/>
              </w:rPr>
              <w:t>全部合格</w:t>
            </w:r>
          </w:p>
        </w:tc>
        <w:tc>
          <w:tcPr>
            <w:tcW w:w="2229" w:type="dxa"/>
            <w:vAlign w:val="center"/>
          </w:tcPr>
          <w:p>
            <w:pPr>
              <w:pStyle w:val="21"/>
              <w:widowControl w:val="0"/>
              <w:ind w:firstLine="0" w:firstLineChars="0"/>
              <w:jc w:val="center"/>
              <w:rPr>
                <w:rFonts w:ascii="Times New Roman"/>
                <w:sz w:val="18"/>
                <w:szCs w:val="18"/>
              </w:rPr>
            </w:pPr>
            <w:r>
              <w:rPr>
                <w:rFonts w:ascii="Times New Roman"/>
                <w:sz w:val="18"/>
                <w:szCs w:val="18"/>
              </w:rPr>
              <w:t>表面无</w:t>
            </w:r>
            <w:r>
              <w:rPr>
                <w:rFonts w:hint="eastAsia" w:ascii="Times New Roman"/>
                <w:sz w:val="18"/>
                <w:szCs w:val="18"/>
              </w:rPr>
              <w:t>肉眼可见污染物</w:t>
            </w:r>
          </w:p>
        </w:tc>
      </w:tr>
    </w:tbl>
    <w:p>
      <w:pPr>
        <w:pStyle w:val="15"/>
        <w:spacing w:line="360" w:lineRule="auto"/>
        <w:ind w:firstLine="480"/>
        <w:rPr>
          <w:rFonts w:ascii="Times New Roman" w:hAnsi="Times New Roman"/>
          <w:sz w:val="24"/>
          <w:szCs w:val="24"/>
        </w:rPr>
      </w:pPr>
    </w:p>
    <w:p>
      <w:pPr>
        <w:pStyle w:val="15"/>
        <w:spacing w:line="360" w:lineRule="auto"/>
        <w:ind w:firstLine="480"/>
        <w:rPr>
          <w:rFonts w:ascii="Times New Roman" w:hAnsi="Times New Roman"/>
          <w:sz w:val="24"/>
          <w:szCs w:val="24"/>
        </w:rPr>
      </w:pPr>
      <w:r>
        <w:rPr>
          <w:rFonts w:ascii="Times New Roman" w:hAnsi="Times New Roman"/>
          <w:sz w:val="24"/>
          <w:szCs w:val="24"/>
        </w:rPr>
        <w:t>由以上产品的关键技术指标可知，本标准中规定的技术指标符合产品实际情况，本次修订科学合理。</w:t>
      </w:r>
    </w:p>
    <w:p>
      <w:pPr>
        <w:pStyle w:val="15"/>
        <w:spacing w:line="360" w:lineRule="auto"/>
        <w:ind w:firstLine="0" w:firstLineChars="0"/>
        <w:rPr>
          <w:rFonts w:ascii="Times New Roman" w:hAnsi="Times New Roman"/>
          <w:b/>
          <w:sz w:val="24"/>
          <w:szCs w:val="24"/>
        </w:rPr>
      </w:pPr>
      <w:r>
        <w:rPr>
          <w:rFonts w:ascii="Times New Roman" w:hAnsi="Times New Roman"/>
          <w:b/>
          <w:sz w:val="24"/>
          <w:szCs w:val="24"/>
        </w:rPr>
        <w:t>三、标准水平分析</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本标准是在GB/T 30656</w:t>
      </w:r>
      <w:r>
        <w:rPr>
          <w:rFonts w:ascii="Times New Roman" w:hAnsi="Times New Roman"/>
          <w:sz w:val="24"/>
          <w:szCs w:val="24"/>
        </w:rPr>
        <w:t>-2014</w:t>
      </w:r>
      <w:r>
        <w:rPr>
          <w:rFonts w:hint="eastAsia" w:ascii="Times New Roman" w:hAnsi="Times New Roman"/>
          <w:sz w:val="24"/>
          <w:szCs w:val="24"/>
        </w:rPr>
        <w:t>《碳化硅单晶抛光片》标准的基础上，相关技术指标做了适当提高，</w:t>
      </w:r>
      <w:r>
        <w:rPr>
          <w:rFonts w:ascii="Times New Roman" w:hAnsi="Times New Roman"/>
          <w:sz w:val="24"/>
          <w:szCs w:val="24"/>
        </w:rPr>
        <w:t>经过本次修订，标准内容更加贴合实际，反应客户真实需求和产品现阶段质量，达到国内先进水平</w:t>
      </w:r>
      <w:r>
        <w:rPr>
          <w:rFonts w:hint="eastAsia" w:ascii="Times New Roman" w:hAnsi="Times New Roman"/>
          <w:sz w:val="24"/>
          <w:szCs w:val="24"/>
        </w:rPr>
        <w:t>。</w:t>
      </w:r>
    </w:p>
    <w:p>
      <w:pPr>
        <w:tabs>
          <w:tab w:val="left" w:pos="567"/>
        </w:tabs>
        <w:spacing w:line="360" w:lineRule="auto"/>
        <w:rPr>
          <w:rFonts w:ascii="Times New Roman" w:hAnsi="Times New Roman"/>
          <w:b/>
          <w:sz w:val="24"/>
          <w:szCs w:val="24"/>
        </w:rPr>
      </w:pPr>
      <w:r>
        <w:rPr>
          <w:rFonts w:ascii="Times New Roman" w:hAnsi="Times New Roman"/>
          <w:b/>
          <w:sz w:val="24"/>
          <w:szCs w:val="24"/>
        </w:rPr>
        <w:t>四、与现行法律、法规、强制性国家标准及相关标准协调配套情况</w:t>
      </w:r>
    </w:p>
    <w:p>
      <w:pPr>
        <w:spacing w:line="360" w:lineRule="auto"/>
        <w:ind w:firstLine="480" w:firstLineChars="200"/>
        <w:rPr>
          <w:rFonts w:ascii="Times New Roman" w:hAnsi="Times New Roman"/>
          <w:sz w:val="24"/>
          <w:szCs w:val="24"/>
        </w:rPr>
      </w:pPr>
      <w:r>
        <w:rPr>
          <w:rFonts w:ascii="Times New Roman" w:hAnsi="Times New Roman"/>
          <w:sz w:val="24"/>
          <w:szCs w:val="24"/>
        </w:rPr>
        <w:t>本标准是</w:t>
      </w:r>
      <w:r>
        <w:rPr>
          <w:rFonts w:hint="eastAsia" w:ascii="Times New Roman" w:hAnsi="Times New Roman"/>
          <w:sz w:val="24"/>
          <w:szCs w:val="24"/>
        </w:rPr>
        <w:t>参照GB/T 30656《碳化硅单晶抛光片》进行</w:t>
      </w:r>
      <w:r>
        <w:rPr>
          <w:rFonts w:ascii="Times New Roman" w:hAnsi="Times New Roman"/>
          <w:sz w:val="24"/>
          <w:szCs w:val="24"/>
        </w:rPr>
        <w:t>的修订和补充，仅修订了产品的技术要求和标准格式，与现行的法律、法规及</w:t>
      </w:r>
      <w:r>
        <w:rPr>
          <w:rFonts w:hint="eastAsia" w:ascii="Times New Roman" w:hAnsi="Times New Roman"/>
          <w:sz w:val="24"/>
          <w:szCs w:val="24"/>
        </w:rPr>
        <w:t>相关技术领域的国家现行法律、法规和政策保持一致。</w:t>
      </w:r>
    </w:p>
    <w:p>
      <w:pPr>
        <w:tabs>
          <w:tab w:val="left" w:pos="567"/>
        </w:tabs>
        <w:spacing w:line="360" w:lineRule="auto"/>
        <w:rPr>
          <w:rFonts w:ascii="Times New Roman" w:hAnsi="Times New Roman"/>
          <w:b/>
          <w:sz w:val="24"/>
          <w:szCs w:val="24"/>
        </w:rPr>
      </w:pPr>
      <w:r>
        <w:rPr>
          <w:rFonts w:ascii="Times New Roman" w:hAnsi="Times New Roman"/>
          <w:b/>
          <w:sz w:val="24"/>
          <w:szCs w:val="24"/>
        </w:rPr>
        <w:t>五、重大分歧意见的处理经过和依据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无。</w:t>
      </w:r>
    </w:p>
    <w:p>
      <w:pPr>
        <w:pStyle w:val="15"/>
        <w:spacing w:line="360" w:lineRule="auto"/>
        <w:ind w:firstLine="0" w:firstLineChars="0"/>
        <w:rPr>
          <w:rFonts w:ascii="Times New Roman" w:hAnsi="Times New Roman"/>
          <w:b/>
          <w:sz w:val="24"/>
          <w:szCs w:val="24"/>
        </w:rPr>
      </w:pPr>
      <w:r>
        <w:rPr>
          <w:rFonts w:ascii="Times New Roman" w:hAnsi="Times New Roman"/>
          <w:b/>
          <w:sz w:val="24"/>
          <w:szCs w:val="24"/>
        </w:rPr>
        <w:t>六、贯彻标准的要求和建议</w:t>
      </w:r>
    </w:p>
    <w:p>
      <w:pPr>
        <w:spacing w:line="500" w:lineRule="exact"/>
        <w:ind w:firstLine="480" w:firstLineChars="200"/>
        <w:rPr>
          <w:rFonts w:ascii="Times New Roman" w:hAnsi="Times New Roman"/>
          <w:b/>
          <w:bCs/>
          <w:sz w:val="24"/>
          <w:szCs w:val="24"/>
        </w:rPr>
      </w:pPr>
      <w:r>
        <w:rPr>
          <w:rFonts w:ascii="Times New Roman" w:hAnsi="Times New Roman"/>
          <w:sz w:val="24"/>
          <w:szCs w:val="24"/>
        </w:rPr>
        <w:t>本标准发布后建议由归口单位和标准编制单位组织宣贯，促进本标准的实施。</w:t>
      </w:r>
    </w:p>
    <w:p>
      <w:pPr>
        <w:pStyle w:val="15"/>
        <w:spacing w:line="360" w:lineRule="auto"/>
        <w:ind w:firstLine="0" w:firstLineChars="0"/>
        <w:rPr>
          <w:rFonts w:ascii="Times New Roman" w:hAnsi="Times New Roman"/>
          <w:b/>
          <w:bCs/>
          <w:sz w:val="24"/>
          <w:szCs w:val="24"/>
        </w:rPr>
      </w:pPr>
      <w:r>
        <w:rPr>
          <w:rFonts w:ascii="Times New Roman" w:hAnsi="Times New Roman"/>
          <w:b/>
          <w:bCs/>
          <w:sz w:val="24"/>
          <w:szCs w:val="24"/>
        </w:rPr>
        <w:t>七、废止现行有关标准的建议</w:t>
      </w:r>
    </w:p>
    <w:p>
      <w:pPr>
        <w:pStyle w:val="15"/>
        <w:spacing w:line="360" w:lineRule="auto"/>
        <w:ind w:firstLine="480"/>
        <w:rPr>
          <w:rFonts w:ascii="Times New Roman" w:hAnsi="Times New Roman"/>
          <w:sz w:val="24"/>
          <w:szCs w:val="24"/>
        </w:rPr>
      </w:pPr>
      <w:r>
        <w:rPr>
          <w:rFonts w:ascii="Times New Roman" w:hAnsi="Times New Roman"/>
          <w:sz w:val="24"/>
          <w:szCs w:val="24"/>
        </w:rPr>
        <w:t>本标准颁布后，将代替</w:t>
      </w:r>
      <w:r>
        <w:rPr>
          <w:rFonts w:hint="eastAsia" w:ascii="Times New Roman" w:hAnsi="Times New Roman"/>
          <w:sz w:val="24"/>
          <w:szCs w:val="24"/>
        </w:rPr>
        <w:t>GB/T 30656-2014</w:t>
      </w:r>
      <w:r>
        <w:rPr>
          <w:rFonts w:ascii="Times New Roman" w:hAnsi="Times New Roman"/>
          <w:sz w:val="24"/>
          <w:szCs w:val="24"/>
        </w:rPr>
        <w:t>，原标准建议废止。</w:t>
      </w:r>
    </w:p>
    <w:p>
      <w:pPr>
        <w:spacing w:line="360" w:lineRule="auto"/>
        <w:rPr>
          <w:rFonts w:ascii="Times New Roman" w:hAnsi="Times New Roman"/>
          <w:b/>
          <w:bCs/>
          <w:sz w:val="24"/>
          <w:szCs w:val="24"/>
        </w:rPr>
      </w:pPr>
      <w:r>
        <w:rPr>
          <w:rFonts w:ascii="Times New Roman" w:hAnsi="Times New Roman"/>
          <w:b/>
          <w:bCs/>
          <w:sz w:val="24"/>
          <w:szCs w:val="24"/>
        </w:rPr>
        <w:t>八、标准作为强制性或推荐性标准的建议</w:t>
      </w:r>
    </w:p>
    <w:p>
      <w:pPr>
        <w:spacing w:line="360" w:lineRule="auto"/>
        <w:ind w:firstLine="480" w:firstLineChars="200"/>
        <w:rPr>
          <w:rFonts w:ascii="Times New Roman" w:hAnsi="Times New Roman"/>
          <w:sz w:val="24"/>
          <w:szCs w:val="24"/>
        </w:rPr>
      </w:pPr>
      <w:r>
        <w:rPr>
          <w:rFonts w:ascii="Times New Roman" w:hAnsi="Times New Roman"/>
          <w:sz w:val="24"/>
          <w:szCs w:val="24"/>
        </w:rPr>
        <w:t>建议将本标准作为推荐性国家标准发布实施。</w:t>
      </w:r>
    </w:p>
    <w:p>
      <w:pPr>
        <w:pStyle w:val="15"/>
        <w:spacing w:line="360" w:lineRule="auto"/>
        <w:ind w:firstLine="0" w:firstLineChars="0"/>
        <w:rPr>
          <w:rFonts w:ascii="Times New Roman" w:hAnsi="Times New Roman"/>
          <w:b/>
          <w:bCs/>
          <w:sz w:val="24"/>
          <w:szCs w:val="24"/>
        </w:rPr>
      </w:pPr>
      <w:r>
        <w:rPr>
          <w:rFonts w:ascii="Times New Roman" w:hAnsi="Times New Roman"/>
          <w:b/>
          <w:bCs/>
          <w:sz w:val="24"/>
          <w:szCs w:val="24"/>
        </w:rPr>
        <w:t>九、其他应予以说明的情况</w:t>
      </w:r>
    </w:p>
    <w:p>
      <w:pPr>
        <w:pStyle w:val="15"/>
        <w:spacing w:line="360" w:lineRule="auto"/>
        <w:ind w:firstLine="480"/>
        <w:rPr>
          <w:rFonts w:ascii="Times New Roman" w:hAnsi="Times New Roman"/>
          <w:sz w:val="24"/>
          <w:szCs w:val="24"/>
        </w:rPr>
      </w:pPr>
      <w:r>
        <w:rPr>
          <w:rFonts w:ascii="Times New Roman" w:hAnsi="Times New Roman"/>
          <w:sz w:val="24"/>
          <w:szCs w:val="24"/>
        </w:rPr>
        <w:t>本标准作为推荐性国家标准供大家使用，若对结果有疑义，以供需双方协商。本标准将根据技术的发展和产业的进步进行适时修订，以满足当前产品对标准的需求。</w:t>
      </w:r>
    </w:p>
    <w:p>
      <w:pPr>
        <w:pStyle w:val="15"/>
        <w:spacing w:line="360" w:lineRule="auto"/>
        <w:ind w:firstLine="480"/>
        <w:rPr>
          <w:rFonts w:ascii="Times New Roman" w:hAnsi="Times New Roman"/>
          <w:sz w:val="24"/>
          <w:szCs w:val="24"/>
        </w:rPr>
      </w:pPr>
    </w:p>
    <w:p>
      <w:pPr>
        <w:pStyle w:val="15"/>
        <w:spacing w:line="360" w:lineRule="auto"/>
        <w:ind w:firstLine="480"/>
        <w:rPr>
          <w:rFonts w:ascii="Times New Roman" w:hAnsi="Times New Roman"/>
          <w:sz w:val="24"/>
          <w:szCs w:val="24"/>
        </w:rPr>
      </w:pPr>
    </w:p>
    <w:p>
      <w:pPr>
        <w:pStyle w:val="15"/>
        <w:spacing w:line="360" w:lineRule="auto"/>
        <w:ind w:firstLine="480"/>
        <w:rPr>
          <w:rFonts w:ascii="Times New Roman" w:hAnsi="Times New Roman"/>
          <w:sz w:val="24"/>
          <w:szCs w:val="24"/>
        </w:rPr>
      </w:pPr>
    </w:p>
    <w:p>
      <w:pPr>
        <w:pStyle w:val="21"/>
        <w:adjustRightInd w:val="0"/>
        <w:snapToGrid w:val="0"/>
        <w:spacing w:line="360" w:lineRule="auto"/>
        <w:ind w:right="240" w:firstLine="360" w:firstLineChars="0"/>
        <w:jc w:val="center"/>
        <w:rPr>
          <w:rFonts w:ascii="Times New Roman"/>
          <w:kern w:val="2"/>
          <w:sz w:val="24"/>
          <w:szCs w:val="24"/>
        </w:rPr>
      </w:pPr>
      <w:r>
        <w:rPr>
          <w:rFonts w:hint="eastAsia" w:ascii="Times New Roman"/>
          <w:kern w:val="2"/>
          <w:sz w:val="24"/>
          <w:szCs w:val="24"/>
          <w:lang w:val="en-US" w:eastAsia="zh-CN"/>
        </w:rPr>
        <w:t xml:space="preserve">                                                             </w:t>
      </w:r>
      <w:r>
        <w:rPr>
          <w:rFonts w:hint="eastAsia" w:ascii="Times New Roman"/>
          <w:kern w:val="2"/>
          <w:sz w:val="24"/>
          <w:szCs w:val="24"/>
        </w:rPr>
        <w:t>标准编制组</w:t>
      </w:r>
    </w:p>
    <w:p>
      <w:pPr>
        <w:pStyle w:val="21"/>
        <w:adjustRightInd w:val="0"/>
        <w:snapToGrid w:val="0"/>
        <w:spacing w:line="360" w:lineRule="auto"/>
        <w:ind w:right="480" w:firstLine="360" w:firstLineChars="0"/>
        <w:jc w:val="right"/>
        <w:rPr>
          <w:rFonts w:ascii="Times New Roman"/>
          <w:kern w:val="2"/>
          <w:sz w:val="24"/>
          <w:szCs w:val="24"/>
        </w:rPr>
      </w:pPr>
      <w:r>
        <w:rPr>
          <w:rFonts w:hint="eastAsia" w:ascii="Times New Roman"/>
          <w:kern w:val="2"/>
          <w:sz w:val="24"/>
          <w:szCs w:val="24"/>
          <w:lang w:val="en-US" w:eastAsia="zh-CN"/>
        </w:rPr>
        <w:t xml:space="preserve">    </w:t>
      </w:r>
      <w:r>
        <w:rPr>
          <w:rFonts w:hint="eastAsia" w:ascii="Times New Roman"/>
          <w:kern w:val="2"/>
          <w:sz w:val="24"/>
          <w:szCs w:val="24"/>
        </w:rPr>
        <w:t>2</w:t>
      </w:r>
      <w:r>
        <w:rPr>
          <w:rFonts w:ascii="Times New Roman"/>
          <w:kern w:val="2"/>
          <w:sz w:val="24"/>
          <w:szCs w:val="24"/>
        </w:rPr>
        <w:t>020</w:t>
      </w:r>
      <w:r>
        <w:rPr>
          <w:rFonts w:hint="eastAsia" w:ascii="Times New Roman"/>
          <w:kern w:val="2"/>
          <w:sz w:val="24"/>
          <w:szCs w:val="24"/>
        </w:rPr>
        <w:t>年</w:t>
      </w:r>
      <w:r>
        <w:rPr>
          <w:rFonts w:ascii="Times New Roman"/>
          <w:kern w:val="2"/>
          <w:sz w:val="24"/>
          <w:szCs w:val="24"/>
        </w:rPr>
        <w:t>7</w:t>
      </w:r>
      <w:r>
        <w:rPr>
          <w:rFonts w:hint="eastAsia" w:ascii="Times New Roman"/>
          <w:kern w:val="2"/>
          <w:sz w:val="24"/>
          <w:szCs w:val="24"/>
        </w:rPr>
        <w:t>月</w:t>
      </w:r>
    </w:p>
    <w:sectPr>
      <w:footerReference r:id="rId3" w:type="default"/>
      <w:pgSz w:w="11906" w:h="16838"/>
      <w:pgMar w:top="1247" w:right="1247" w:bottom="1134" w:left="1247" w:header="851" w:footer="992"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705134"/>
    </w:sdtPr>
    <w:sdtEndPr>
      <w:rPr>
        <w:rFonts w:asciiTheme="minorEastAsia" w:hAnsiTheme="minorEastAsia" w:eastAsiaTheme="minorEastAsia"/>
      </w:rPr>
    </w:sdtEndPr>
    <w:sdtContent>
      <w:p>
        <w:pPr>
          <w:pStyle w:val="5"/>
          <w:jc w:val="cente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1B0B"/>
    <w:multiLevelType w:val="multilevel"/>
    <w:tmpl w:val="14C21B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894FBD"/>
    <w:multiLevelType w:val="multilevel"/>
    <w:tmpl w:val="15894FB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pStyle w:val="20"/>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FFE004C"/>
    <w:multiLevelType w:val="multilevel"/>
    <w:tmpl w:val="1FFE004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55A82"/>
    <w:rsid w:val="000071AA"/>
    <w:rsid w:val="00031F40"/>
    <w:rsid w:val="00043D38"/>
    <w:rsid w:val="0006577E"/>
    <w:rsid w:val="00090834"/>
    <w:rsid w:val="00092767"/>
    <w:rsid w:val="00093944"/>
    <w:rsid w:val="000B373F"/>
    <w:rsid w:val="000C4A30"/>
    <w:rsid w:val="00102070"/>
    <w:rsid w:val="001104AF"/>
    <w:rsid w:val="00183E06"/>
    <w:rsid w:val="00192196"/>
    <w:rsid w:val="0019768E"/>
    <w:rsid w:val="001B6968"/>
    <w:rsid w:val="001C387B"/>
    <w:rsid w:val="001C789A"/>
    <w:rsid w:val="001F0FC7"/>
    <w:rsid w:val="00232168"/>
    <w:rsid w:val="0024621A"/>
    <w:rsid w:val="002778F1"/>
    <w:rsid w:val="00295703"/>
    <w:rsid w:val="002B0DB4"/>
    <w:rsid w:val="002B180C"/>
    <w:rsid w:val="002E04B6"/>
    <w:rsid w:val="00310467"/>
    <w:rsid w:val="00386AA3"/>
    <w:rsid w:val="003B0EFA"/>
    <w:rsid w:val="003E6CED"/>
    <w:rsid w:val="003F18B2"/>
    <w:rsid w:val="003F27B9"/>
    <w:rsid w:val="003F59C7"/>
    <w:rsid w:val="004356A0"/>
    <w:rsid w:val="00443B3E"/>
    <w:rsid w:val="00460932"/>
    <w:rsid w:val="0047062C"/>
    <w:rsid w:val="0049274B"/>
    <w:rsid w:val="004A463B"/>
    <w:rsid w:val="004B415F"/>
    <w:rsid w:val="004B6F20"/>
    <w:rsid w:val="004C7D0D"/>
    <w:rsid w:val="004F4F44"/>
    <w:rsid w:val="004F7554"/>
    <w:rsid w:val="00516612"/>
    <w:rsid w:val="00546DCB"/>
    <w:rsid w:val="00582B9B"/>
    <w:rsid w:val="00584D04"/>
    <w:rsid w:val="00592E21"/>
    <w:rsid w:val="005A4181"/>
    <w:rsid w:val="00622B46"/>
    <w:rsid w:val="006C0D39"/>
    <w:rsid w:val="006F4771"/>
    <w:rsid w:val="0073581B"/>
    <w:rsid w:val="00752616"/>
    <w:rsid w:val="007607E7"/>
    <w:rsid w:val="00764977"/>
    <w:rsid w:val="00796954"/>
    <w:rsid w:val="007A70BD"/>
    <w:rsid w:val="007C3308"/>
    <w:rsid w:val="007D318E"/>
    <w:rsid w:val="007D4F95"/>
    <w:rsid w:val="007D7313"/>
    <w:rsid w:val="007F5364"/>
    <w:rsid w:val="00810C08"/>
    <w:rsid w:val="008312A2"/>
    <w:rsid w:val="008368C8"/>
    <w:rsid w:val="0084621E"/>
    <w:rsid w:val="00867AE2"/>
    <w:rsid w:val="00895A39"/>
    <w:rsid w:val="008A28C3"/>
    <w:rsid w:val="008A3EA0"/>
    <w:rsid w:val="008C61F1"/>
    <w:rsid w:val="00931571"/>
    <w:rsid w:val="009B1E93"/>
    <w:rsid w:val="009C78D7"/>
    <w:rsid w:val="009D4691"/>
    <w:rsid w:val="00A03EA6"/>
    <w:rsid w:val="00A47601"/>
    <w:rsid w:val="00A90250"/>
    <w:rsid w:val="00AC51AE"/>
    <w:rsid w:val="00AD0EC8"/>
    <w:rsid w:val="00AD59B6"/>
    <w:rsid w:val="00B20030"/>
    <w:rsid w:val="00B4594A"/>
    <w:rsid w:val="00B5561A"/>
    <w:rsid w:val="00B85A2B"/>
    <w:rsid w:val="00B96762"/>
    <w:rsid w:val="00BA45D8"/>
    <w:rsid w:val="00BB43F4"/>
    <w:rsid w:val="00BC050D"/>
    <w:rsid w:val="00BC2A48"/>
    <w:rsid w:val="00C328AC"/>
    <w:rsid w:val="00C35D45"/>
    <w:rsid w:val="00C517EE"/>
    <w:rsid w:val="00C85102"/>
    <w:rsid w:val="00CD372A"/>
    <w:rsid w:val="00D44AEE"/>
    <w:rsid w:val="00D64DDF"/>
    <w:rsid w:val="00D702F6"/>
    <w:rsid w:val="00D76689"/>
    <w:rsid w:val="00DB4949"/>
    <w:rsid w:val="00DD148E"/>
    <w:rsid w:val="00DD6E09"/>
    <w:rsid w:val="00DE1C95"/>
    <w:rsid w:val="00DE7B4D"/>
    <w:rsid w:val="00E06DD5"/>
    <w:rsid w:val="00E11886"/>
    <w:rsid w:val="00E1705D"/>
    <w:rsid w:val="00E20B2D"/>
    <w:rsid w:val="00E222E1"/>
    <w:rsid w:val="00E34C68"/>
    <w:rsid w:val="00E60FD6"/>
    <w:rsid w:val="00E84469"/>
    <w:rsid w:val="00EA0959"/>
    <w:rsid w:val="00EC2797"/>
    <w:rsid w:val="00EC7B55"/>
    <w:rsid w:val="00EE19B7"/>
    <w:rsid w:val="00EE291A"/>
    <w:rsid w:val="00F00110"/>
    <w:rsid w:val="00F04041"/>
    <w:rsid w:val="00F1477E"/>
    <w:rsid w:val="00F521E1"/>
    <w:rsid w:val="00FD4232"/>
    <w:rsid w:val="01FE2B32"/>
    <w:rsid w:val="037F2539"/>
    <w:rsid w:val="03F85803"/>
    <w:rsid w:val="04DF316B"/>
    <w:rsid w:val="05082060"/>
    <w:rsid w:val="065C024C"/>
    <w:rsid w:val="084921EF"/>
    <w:rsid w:val="08B47313"/>
    <w:rsid w:val="09876DFD"/>
    <w:rsid w:val="098D5DA4"/>
    <w:rsid w:val="09CF34E5"/>
    <w:rsid w:val="0AB356F0"/>
    <w:rsid w:val="0AF0748B"/>
    <w:rsid w:val="0B84650B"/>
    <w:rsid w:val="0CA711EA"/>
    <w:rsid w:val="0D0D0EDE"/>
    <w:rsid w:val="0D174C9E"/>
    <w:rsid w:val="0D24133D"/>
    <w:rsid w:val="0DFB7374"/>
    <w:rsid w:val="0EBE2121"/>
    <w:rsid w:val="0ECA2903"/>
    <w:rsid w:val="0F7C3921"/>
    <w:rsid w:val="10EC697C"/>
    <w:rsid w:val="10FE3D48"/>
    <w:rsid w:val="12E37533"/>
    <w:rsid w:val="1361279D"/>
    <w:rsid w:val="13FB4725"/>
    <w:rsid w:val="14A1397D"/>
    <w:rsid w:val="155F5EC2"/>
    <w:rsid w:val="15C039EA"/>
    <w:rsid w:val="16954374"/>
    <w:rsid w:val="16EC6BAF"/>
    <w:rsid w:val="17262367"/>
    <w:rsid w:val="175551E0"/>
    <w:rsid w:val="183407DD"/>
    <w:rsid w:val="18F93F9C"/>
    <w:rsid w:val="19592507"/>
    <w:rsid w:val="19F461D0"/>
    <w:rsid w:val="19F7697C"/>
    <w:rsid w:val="1B270D9B"/>
    <w:rsid w:val="1B996868"/>
    <w:rsid w:val="1C4070DD"/>
    <w:rsid w:val="1C775BCB"/>
    <w:rsid w:val="1CD51468"/>
    <w:rsid w:val="1DFE1B2C"/>
    <w:rsid w:val="1E2E2953"/>
    <w:rsid w:val="1F240604"/>
    <w:rsid w:val="1FCD4B4A"/>
    <w:rsid w:val="21786292"/>
    <w:rsid w:val="227626CD"/>
    <w:rsid w:val="2293136A"/>
    <w:rsid w:val="238244C8"/>
    <w:rsid w:val="2430725E"/>
    <w:rsid w:val="245D7B6D"/>
    <w:rsid w:val="25720EB9"/>
    <w:rsid w:val="25AC0A75"/>
    <w:rsid w:val="25EA7098"/>
    <w:rsid w:val="27E76579"/>
    <w:rsid w:val="28537575"/>
    <w:rsid w:val="285622BC"/>
    <w:rsid w:val="28B556EF"/>
    <w:rsid w:val="28BE1973"/>
    <w:rsid w:val="2AB366AB"/>
    <w:rsid w:val="2AEB0A1D"/>
    <w:rsid w:val="2B5C1B3C"/>
    <w:rsid w:val="2CB56A7D"/>
    <w:rsid w:val="2CC277CE"/>
    <w:rsid w:val="2D413C99"/>
    <w:rsid w:val="2E8D15BB"/>
    <w:rsid w:val="2EFA2A68"/>
    <w:rsid w:val="2FC67767"/>
    <w:rsid w:val="300B18B2"/>
    <w:rsid w:val="311C1244"/>
    <w:rsid w:val="31B25B77"/>
    <w:rsid w:val="327659E2"/>
    <w:rsid w:val="32D513B7"/>
    <w:rsid w:val="34D259B9"/>
    <w:rsid w:val="357A6677"/>
    <w:rsid w:val="35B14874"/>
    <w:rsid w:val="35D74B40"/>
    <w:rsid w:val="35E56415"/>
    <w:rsid w:val="36D42668"/>
    <w:rsid w:val="36F86359"/>
    <w:rsid w:val="385B07E5"/>
    <w:rsid w:val="39B24586"/>
    <w:rsid w:val="39DD776B"/>
    <w:rsid w:val="3B1E53B3"/>
    <w:rsid w:val="3C7709B7"/>
    <w:rsid w:val="3CDD293E"/>
    <w:rsid w:val="3D0362AA"/>
    <w:rsid w:val="3D182619"/>
    <w:rsid w:val="3D4A3F97"/>
    <w:rsid w:val="3DE53738"/>
    <w:rsid w:val="3E1B195A"/>
    <w:rsid w:val="3ED62D62"/>
    <w:rsid w:val="3F130A11"/>
    <w:rsid w:val="3FBC3CEC"/>
    <w:rsid w:val="403F05DA"/>
    <w:rsid w:val="4082773A"/>
    <w:rsid w:val="4089242D"/>
    <w:rsid w:val="41662717"/>
    <w:rsid w:val="425D670A"/>
    <w:rsid w:val="42606EDF"/>
    <w:rsid w:val="43A92C22"/>
    <w:rsid w:val="44955C84"/>
    <w:rsid w:val="45112F9D"/>
    <w:rsid w:val="452672B7"/>
    <w:rsid w:val="4555364F"/>
    <w:rsid w:val="457E607F"/>
    <w:rsid w:val="45B364B6"/>
    <w:rsid w:val="46453A66"/>
    <w:rsid w:val="465B74C2"/>
    <w:rsid w:val="481664E5"/>
    <w:rsid w:val="48432402"/>
    <w:rsid w:val="485A2ED2"/>
    <w:rsid w:val="48A3125B"/>
    <w:rsid w:val="48B43B38"/>
    <w:rsid w:val="48F22126"/>
    <w:rsid w:val="499E428B"/>
    <w:rsid w:val="49C54B65"/>
    <w:rsid w:val="4A6A520E"/>
    <w:rsid w:val="4B1A5EF6"/>
    <w:rsid w:val="4D8D73D7"/>
    <w:rsid w:val="4DF85366"/>
    <w:rsid w:val="4E3D3803"/>
    <w:rsid w:val="4F2504D7"/>
    <w:rsid w:val="51B55A82"/>
    <w:rsid w:val="530D02BE"/>
    <w:rsid w:val="53D4305F"/>
    <w:rsid w:val="53FE500A"/>
    <w:rsid w:val="552B7B66"/>
    <w:rsid w:val="553C3CF4"/>
    <w:rsid w:val="56160B64"/>
    <w:rsid w:val="56620E7D"/>
    <w:rsid w:val="580952AB"/>
    <w:rsid w:val="5932152C"/>
    <w:rsid w:val="5A1A6429"/>
    <w:rsid w:val="5AB41259"/>
    <w:rsid w:val="5BCB3576"/>
    <w:rsid w:val="5D023C6E"/>
    <w:rsid w:val="5D61238A"/>
    <w:rsid w:val="5D726763"/>
    <w:rsid w:val="5DED159E"/>
    <w:rsid w:val="5E5D1680"/>
    <w:rsid w:val="5F613830"/>
    <w:rsid w:val="60F37706"/>
    <w:rsid w:val="613546BB"/>
    <w:rsid w:val="624C4B00"/>
    <w:rsid w:val="6294026E"/>
    <w:rsid w:val="63B37137"/>
    <w:rsid w:val="65524E71"/>
    <w:rsid w:val="656F21B5"/>
    <w:rsid w:val="670C2956"/>
    <w:rsid w:val="67642F32"/>
    <w:rsid w:val="68BC3E78"/>
    <w:rsid w:val="69342F80"/>
    <w:rsid w:val="6A335913"/>
    <w:rsid w:val="6B030D7D"/>
    <w:rsid w:val="6BD747E7"/>
    <w:rsid w:val="6C7E3951"/>
    <w:rsid w:val="6D535020"/>
    <w:rsid w:val="6EF61C32"/>
    <w:rsid w:val="6F6F7F4A"/>
    <w:rsid w:val="701E13F9"/>
    <w:rsid w:val="701F6537"/>
    <w:rsid w:val="70943B6B"/>
    <w:rsid w:val="70D65FF5"/>
    <w:rsid w:val="70FC41B5"/>
    <w:rsid w:val="71F44579"/>
    <w:rsid w:val="72991FBC"/>
    <w:rsid w:val="729E10FB"/>
    <w:rsid w:val="731E3256"/>
    <w:rsid w:val="73EE15AC"/>
    <w:rsid w:val="740C5A6A"/>
    <w:rsid w:val="750A7BF3"/>
    <w:rsid w:val="763D05D9"/>
    <w:rsid w:val="76A629A2"/>
    <w:rsid w:val="77E97B80"/>
    <w:rsid w:val="78263271"/>
    <w:rsid w:val="78CD3027"/>
    <w:rsid w:val="791525A8"/>
    <w:rsid w:val="793703FA"/>
    <w:rsid w:val="795D01FA"/>
    <w:rsid w:val="79E85467"/>
    <w:rsid w:val="7A7539ED"/>
    <w:rsid w:val="7A956F79"/>
    <w:rsid w:val="7C5D245B"/>
    <w:rsid w:val="7CFB106C"/>
    <w:rsid w:val="7D0A351D"/>
    <w:rsid w:val="7DED7218"/>
    <w:rsid w:val="7F243929"/>
    <w:rsid w:val="7F6E7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Times New Roman" w:hAnsi="Times New Roman"/>
      <w:szCs w:val="24"/>
    </w:rPr>
  </w:style>
  <w:style w:type="paragraph" w:styleId="3">
    <w:name w:val="Body Text"/>
    <w:basedOn w:val="1"/>
    <w:qFormat/>
    <w:uiPriority w:val="0"/>
    <w:pPr>
      <w:spacing w:after="120"/>
    </w:pPr>
  </w:style>
  <w:style w:type="paragraph" w:styleId="4">
    <w:name w:val="Balloon Text"/>
    <w:basedOn w:val="1"/>
    <w:link w:val="19"/>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tabs>
        <w:tab w:val="left" w:pos="2520"/>
      </w:tabs>
      <w:jc w:val="left"/>
    </w:pPr>
    <w:rPr>
      <w:sz w:val="24"/>
    </w:rPr>
  </w:style>
  <w:style w:type="paragraph" w:styleId="8">
    <w:name w:val="annotation subject"/>
    <w:basedOn w:val="2"/>
    <w:next w:val="2"/>
    <w:link w:val="25"/>
    <w:qFormat/>
    <w:uiPriority w:val="0"/>
    <w:rPr>
      <w:rFonts w:ascii="Calibri" w:hAnsi="Calibri"/>
      <w:b/>
      <w:bCs/>
      <w:szCs w:val="22"/>
    </w:rPr>
  </w:style>
  <w:style w:type="paragraph" w:styleId="9">
    <w:name w:val="Body Text First Indent"/>
    <w:basedOn w:val="3"/>
    <w:qFormat/>
    <w:uiPriority w:val="0"/>
    <w:pPr>
      <w:adjustRightInd w:val="0"/>
      <w:spacing w:after="0" w:line="240" w:lineRule="atLeast"/>
      <w:jc w:val="left"/>
      <w:textAlignment w:val="baseline"/>
    </w:pPr>
    <w:rPr>
      <w:rFonts w:ascii="宋体" w:hAnsi="宋体"/>
      <w:color w:val="000000"/>
      <w:kern w:val="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cs="Times New Roman"/>
      <w:b/>
      <w:bCs/>
    </w:rPr>
  </w:style>
  <w:style w:type="character" w:styleId="14">
    <w:name w:val="annotation reference"/>
    <w:basedOn w:val="12"/>
    <w:qFormat/>
    <w:uiPriority w:val="0"/>
    <w:rPr>
      <w:sz w:val="21"/>
      <w:szCs w:val="21"/>
    </w:rPr>
  </w:style>
  <w:style w:type="paragraph" w:styleId="15">
    <w:name w:val="List Paragraph"/>
    <w:basedOn w:val="1"/>
    <w:qFormat/>
    <w:uiPriority w:val="0"/>
    <w:pPr>
      <w:ind w:firstLine="420" w:firstLineChars="200"/>
    </w:pPr>
  </w:style>
  <w:style w:type="paragraph" w:customStyle="1" w:styleId="1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17">
    <w:name w:val="页眉 字符"/>
    <w:basedOn w:val="12"/>
    <w:link w:val="6"/>
    <w:qFormat/>
    <w:uiPriority w:val="0"/>
    <w:rPr>
      <w:rFonts w:ascii="Calibri" w:hAnsi="Calibri"/>
      <w:kern w:val="2"/>
      <w:sz w:val="18"/>
      <w:szCs w:val="18"/>
    </w:rPr>
  </w:style>
  <w:style w:type="character" w:customStyle="1" w:styleId="18">
    <w:name w:val="页脚 字符"/>
    <w:basedOn w:val="12"/>
    <w:link w:val="5"/>
    <w:qFormat/>
    <w:uiPriority w:val="99"/>
    <w:rPr>
      <w:rFonts w:ascii="Calibri" w:hAnsi="Calibri"/>
      <w:kern w:val="2"/>
      <w:sz w:val="18"/>
      <w:szCs w:val="18"/>
    </w:rPr>
  </w:style>
  <w:style w:type="character" w:customStyle="1" w:styleId="19">
    <w:name w:val="批注框文本 字符"/>
    <w:basedOn w:val="12"/>
    <w:link w:val="4"/>
    <w:qFormat/>
    <w:uiPriority w:val="0"/>
    <w:rPr>
      <w:rFonts w:ascii="Calibri" w:hAnsi="Calibri"/>
      <w:kern w:val="2"/>
      <w:sz w:val="18"/>
      <w:szCs w:val="18"/>
    </w:rPr>
  </w:style>
  <w:style w:type="paragraph" w:customStyle="1" w:styleId="20">
    <w:name w:val="二级无"/>
    <w:basedOn w:val="1"/>
    <w:qFormat/>
    <w:uiPriority w:val="0"/>
    <w:pPr>
      <w:widowControl/>
      <w:numPr>
        <w:ilvl w:val="2"/>
        <w:numId w:val="1"/>
      </w:numPr>
      <w:jc w:val="left"/>
      <w:outlineLvl w:val="3"/>
    </w:pPr>
    <w:rPr>
      <w:rFonts w:ascii="宋体" w:hAnsi="Times New Roman"/>
      <w:kern w:val="0"/>
      <w:szCs w:val="21"/>
    </w:rPr>
  </w:style>
  <w:style w:type="paragraph" w:customStyle="1" w:styleId="21">
    <w:name w:val="段"/>
    <w:link w:val="2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2">
    <w:name w:val="批注文字 字符"/>
    <w:link w:val="2"/>
    <w:qFormat/>
    <w:uiPriority w:val="0"/>
    <w:rPr>
      <w:kern w:val="2"/>
      <w:sz w:val="21"/>
      <w:szCs w:val="24"/>
    </w:rPr>
  </w:style>
  <w:style w:type="character" w:customStyle="1" w:styleId="23">
    <w:name w:val="批注文字 字符1"/>
    <w:basedOn w:val="12"/>
    <w:qFormat/>
    <w:uiPriority w:val="0"/>
    <w:rPr>
      <w:rFonts w:ascii="Calibri" w:hAnsi="Calibri"/>
      <w:kern w:val="2"/>
      <w:sz w:val="21"/>
      <w:szCs w:val="22"/>
    </w:rPr>
  </w:style>
  <w:style w:type="character" w:customStyle="1" w:styleId="24">
    <w:name w:val="段 Char"/>
    <w:link w:val="21"/>
    <w:qFormat/>
    <w:uiPriority w:val="0"/>
    <w:rPr>
      <w:rFonts w:ascii="宋体"/>
      <w:sz w:val="21"/>
    </w:rPr>
  </w:style>
  <w:style w:type="character" w:customStyle="1" w:styleId="25">
    <w:name w:val="批注主题 字符"/>
    <w:basedOn w:val="22"/>
    <w:link w:val="8"/>
    <w:qFormat/>
    <w:uiPriority w:val="0"/>
    <w:rPr>
      <w:rFonts w:ascii="Calibri" w:hAnsi="Calibri"/>
      <w:b/>
      <w:bCs/>
      <w:kern w:val="2"/>
      <w:sz w:val="21"/>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oleObject" Target="embeddings/oleObject6.bin"/><Relationship Id="rId10" Type="http://schemas.openxmlformats.org/officeDocument/2006/relationships/oleObject" Target="embeddings/oleObject5.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Pages>
  <Words>450</Words>
  <Characters>2570</Characters>
  <Lines>21</Lines>
  <Paragraphs>6</Paragraphs>
  <TotalTime>4</TotalTime>
  <ScaleCrop>false</ScaleCrop>
  <LinksUpToDate>false</LinksUpToDate>
  <CharactersWithSpaces>3014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2018-11-30T00:49:00Z</dcterms:created>
  <dc:creator>Lenovo</dc:creator>
  <cp:lastModifiedBy>CathayMok</cp:lastModifiedBy>
  <cp:lastPrinted>2020-01-08T06:49:00Z</cp:lastPrinted>
  <dcterms:modified xsi:type="dcterms:W3CDTF">2020-09-22T01:40:02Z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