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6" w:name="_GoBack"/>
      <w:bookmarkEnd w:id="6"/>
      <w:bookmarkStart w:id="0" w:name="SectionMark0"/>
      <w:bookmarkStart w:id="1" w:name="_Toc38878166"/>
      <w:bookmarkStart w:id="2" w:name="_Toc38959397"/>
      <w:bookmarkStart w:id="3" w:name="_Toc41299116"/>
      <w:bookmarkStart w:id="4" w:name="SectionMark4"/>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8889365</wp:posOffset>
                </wp:positionV>
                <wp:extent cx="6121400" cy="635"/>
                <wp:effectExtent l="14605" t="10160" r="7620" b="8255"/>
                <wp:wrapNone/>
                <wp:docPr id="10" name="Line 576"/>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wps:spPr>
                      <wps:bodyPr/>
                    </wps:wsp>
                  </a:graphicData>
                </a:graphic>
              </wp:anchor>
            </w:drawing>
          </mc:Choice>
          <mc:Fallback>
            <w:pict>
              <v:line id="Line 576" o:spid="_x0000_s1026" o:spt="20" style="position:absolute;left:0pt;margin-left:0pt;margin-top:699.95pt;height:0.05pt;width:482pt;z-index:251660288;mso-width-relative:page;mso-height-relative:page;" filled="f" stroked="t" coordsize="21600,21600" o:gfxdata="UEsDBAoAAAAAAIdO4kAAAAAAAAAAAAAAAAAEAAAAZHJzL1BLAwQUAAAACACHTuJAgaOAFdYAAAAK&#10;AQAADwAAAGRycy9kb3ducmV2LnhtbE2PQUvDQBCF74L/YRnBi9idaizdNJuCguDVtiDetsk0CWZn&#10;Q3ab1H/veNLjfO/x5r1ie/G9mmiMXWALywWCIq5C3XFj4bB/vV+Dislx7frAZOGbImzL66vC5XWY&#10;+Z2mXWqUhHDMnYU2pSHXOlYteRcXYSAW7RRG75KcY6Pr0c0S7nv9gLjS3nUsH1o30EtL1dfu7C3M&#10;H2+6+jR36J+mQ9InzJ7RB2tvb5a4AZXokv7M8FtfqkMpnY7hzHVUvQUZkoQ+GmNAiW5WmaCjoAwR&#10;QZeF/j+h/AFQSwMEFAAAAAgAh07iQAzym/C0AQAAVwMAAA4AAABkcnMvZTJvRG9jLnhtbK1Ty27b&#10;MBC8F+g/ELzXktzGMQTLOThIL25rIOkH0HxIREkuQdKW/Pdd0o82zS2oDoRWuzs7M0utHiZryFGG&#10;qMF1tJnVlEjHQWjXd/Tny9OnJSUxMSeYASc7epKRPqw/fliNvpVzGMAIGQiCuNiOvqNDSr6tqsgH&#10;aVmcgZcOkwqCZQnD0FcisBHRranmdb2oRgjCB+AyRvz6eE7SdcFXSvL0Q6koEzEdRW6pnKGc+3xW&#10;6xVr+8D8oPmFBnsHC8u0w6E3qEeWGDkE/QbKah4ggkozDrYCpTSXRQOqaep/1DwPzMuiBc2J/mZT&#10;/H+w/PtxF4gWuDu0xzGLO9pqJ8nd/SKbM/rYYs3G7UKWxyf37LfAf0XiYDMw18tC8uXksbHJHdWr&#10;lhxEjyP24zcQWMMOCYpTkwo2Q6IHZCoLOd0WIqdEOH5cNPPmS43EOOYWn+8KPmuvrT7E9FWCJfml&#10;owZ5F2h23MaUqbD2WpInOXjSxpSNG0dG5Du/R/CcimC0yNkShH6/MYEcGV6aZY3P8jL4VVmAgxPn&#10;KcZddGepZ9P2IE67cPUDt1foXG5avh5/x6X7z/+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o4AV1gAAAAoBAAAPAAAAAAAAAAEAIAAAACIAAABkcnMvZG93bnJldi54bWxQSwECFAAUAAAACACH&#10;TuJADPKb8LQBAABXAwAADgAAAAAAAAABACAAAAAlAQAAZHJzL2Uyb0RvYy54bWxQSwUGAAAAAAYA&#10;BgBZAQAASw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1981200</wp:posOffset>
                </wp:positionV>
                <wp:extent cx="6121400" cy="635"/>
                <wp:effectExtent l="14605" t="7620" r="7620" b="10795"/>
                <wp:wrapNone/>
                <wp:docPr id="9" name="Line 575"/>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2700">
                          <a:solidFill>
                            <a:srgbClr val="800008"/>
                          </a:solidFill>
                          <a:round/>
                        </a:ln>
                      </wps:spPr>
                      <wps:bodyPr/>
                    </wps:wsp>
                  </a:graphicData>
                </a:graphic>
              </wp:anchor>
            </w:drawing>
          </mc:Choice>
          <mc:Fallback>
            <w:pict>
              <v:line id="Line 575" o:spid="_x0000_s1026" o:spt="20" style="position:absolute;left:0pt;margin-left:5.25pt;margin-top:156pt;height:0.05pt;width:482pt;z-index:251659264;mso-width-relative:page;mso-height-relative:page;" filled="f" stroked="t" coordsize="21600,21600" o:gfxdata="UEsDBAoAAAAAAIdO4kAAAAAAAAAAAAAAAAAEAAAAZHJzL1BLAwQUAAAACACHTuJASO57f9YAAAAK&#10;AQAADwAAAGRycy9kb3ducmV2LnhtbE2PQUvDQBCF7wX/wzKCl2J3U1u1MZuCguDVWhBv0+w0CWZn&#10;Q3ab1H/v6EWP783Hm/eK7dl3aqQhtoEtZAsDirgKruXawv7t+foeVEzIDrvAZOGLImzLi1mBuQsT&#10;v9K4S7WSEI45WmhS6nOtY9WQx7gIPbHcjmHwmEQOtXYDThLuO7005lZ7bFk+NNjTU0PV5+7kLUzv&#10;L7r62MyNX4/7pI9m9Wh8sPbqMjMPoBKd0x8MP/WlOpTS6RBO7KLqRJu1kBZusqVsEmBztxLn8Otk&#10;oMtC/59QfgNQSwMEFAAAAAgAh07iQFtvBRe0AQAAVgMAAA4AAABkcnMvZTJvRG9jLnhtbK1Ty27b&#10;MBC8F+g/ELzXktzGcQXLOThIL25rIOkH0HxIREkuQdKW/Pdd0o+06a2oDoRWuzs7M0utHiZryFGG&#10;qMF1tJnVlEjHQWjXd/THy9OHJSUxMSeYASc7epKRPqzfv1uNvpVzGMAIGQiCuNiOvqNDSr6tqsgH&#10;aVmcgZcOkwqCZQnD0FcisBHRranmdb2oRgjCB+AyRvz6eE7SdcFXSvL0XakoEzEdRW6pnKGc+3xW&#10;6xVr+8D8oPmFBvsHFpZph0NvUI8sMXII+i8oq3mACCrNONgKlNJcFg2opqnfqHkemJdFC5oT/c2m&#10;+P9g+bfjLhAtOvqZEscsrmirnSR393fZm9HHFks2bheyOj65Z78F/jMSB5uBuV4Wji8nj41N7qj+&#10;aMlB9DhhP34FgTXskKAYNalgMyRaQKayj9NtH3JKhOPHRTNvPtW4No65xcfCqGLttdWHmL5IsCS/&#10;dNQg7wLNjtuYMhXWXkvyJAdP2piycOPIiHzn9wieUxGMFjlbgtDvNyaQI8M7s6zxWRZhb8oCHJw4&#10;TzHuojtLPZu2B3HahasfuLxC53LR8u34PS7dr7/D+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I&#10;7nt/1gAAAAoBAAAPAAAAAAAAAAEAIAAAACIAAABkcnMvZG93bnJldi54bWxQSwECFAAUAAAACACH&#10;TuJAW28FF7QBAABWAwAADgAAAAAAAAABACAAAAAlAQAAZHJzL2Uyb0RvYy54bWxQSwUGAAAAAAYA&#10;BgBZAQAASw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-266700</wp:posOffset>
                </wp:positionH>
                <wp:positionV relativeFrom="margin">
                  <wp:posOffset>8960485</wp:posOffset>
                </wp:positionV>
                <wp:extent cx="6000750" cy="797560"/>
                <wp:effectExtent l="0" t="0" r="4445" b="0"/>
                <wp:wrapNone/>
                <wp:docPr id="8" name="fmFrame7"/>
                <wp:cNvGraphicFramePr/>
                <a:graphic xmlns:a="http://schemas.openxmlformats.org/drawingml/2006/main">
                  <a:graphicData uri="http://schemas.microsoft.com/office/word/2010/wordprocessingShape">
                    <wps:wsp>
                      <wps:cNvSpPr txBox="1">
                        <a:spLocks noChangeArrowheads="1"/>
                      </wps:cNvSpPr>
                      <wps:spPr bwMode="auto">
                        <a:xfrm>
                          <a:off x="0" y="0"/>
                          <a:ext cx="6000750" cy="797560"/>
                        </a:xfrm>
                        <a:prstGeom prst="rect">
                          <a:avLst/>
                        </a:prstGeom>
                        <a:solidFill>
                          <a:srgbClr val="FFFFFF"/>
                        </a:solidFill>
                        <a:ln>
                          <a:noFill/>
                        </a:ln>
                      </wps:spPr>
                      <wps:txbx>
                        <w:txbxContent>
                          <w:p>
                            <w:pPr>
                              <w:pStyle w:val="59"/>
                              <w:rPr>
                                <w:sz w:val="28"/>
                              </w:rPr>
                            </w:pPr>
                            <w:r>
                              <w:rPr>
                                <w:sz w:val="28"/>
                              </w:rPr>
                              <w:t>国</w:t>
                            </w:r>
                            <w:r>
                              <w:rPr>
                                <w:rFonts w:hint="eastAsia"/>
                                <w:sz w:val="28"/>
                              </w:rPr>
                              <w:t xml:space="preserve"> </w:t>
                            </w:r>
                            <w:r>
                              <w:rPr>
                                <w:sz w:val="28"/>
                              </w:rPr>
                              <w:t>家</w:t>
                            </w:r>
                            <w:r>
                              <w:rPr>
                                <w:rFonts w:hint="eastAsia"/>
                                <w:sz w:val="28"/>
                              </w:rPr>
                              <w:t xml:space="preserve"> 市 场 </w:t>
                            </w:r>
                            <w:r>
                              <w:rPr>
                                <w:sz w:val="28"/>
                              </w:rPr>
                              <w:t>监</w:t>
                            </w:r>
                            <w:r>
                              <w:rPr>
                                <w:rFonts w:hint="eastAsia"/>
                                <w:sz w:val="28"/>
                              </w:rPr>
                              <w:t xml:space="preserve"> </w:t>
                            </w:r>
                            <w:r>
                              <w:rPr>
                                <w:sz w:val="28"/>
                              </w:rPr>
                              <w:t>督</w:t>
                            </w:r>
                            <w:r>
                              <w:rPr>
                                <w:rFonts w:hint="eastAsia"/>
                                <w:sz w:val="28"/>
                              </w:rPr>
                              <w:t xml:space="preserve"> 管 理 总 </w:t>
                            </w:r>
                            <w:r>
                              <w:rPr>
                                <w:sz w:val="28"/>
                              </w:rPr>
                              <w:t>局</w:t>
                            </w:r>
                          </w:p>
                          <w:p>
                            <w:pPr>
                              <w:pStyle w:val="59"/>
                              <w:rPr>
                                <w:sz w:val="28"/>
                              </w:rPr>
                            </w:pPr>
                            <w:r>
                              <w:rPr>
                                <w:rFonts w:hint="eastAsia"/>
                                <w:sz w:val="28"/>
                              </w:rPr>
                              <w:t>国 家 标 准 化 管 理 委 员 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1pt;margin-top:705.55pt;height:62.8pt;width:472.5pt;mso-position-horizontal-relative:margin;mso-position-vertical-relative:margin;z-index:251663360;mso-width-relative:page;mso-height-relative:page;" fillcolor="#FFFFFF" filled="t" stroked="f" coordsize="21600,21600" o:gfxdata="UEsDBAoAAAAAAIdO4kAAAAAAAAAAAAAAAAAEAAAAZHJzL1BLAwQUAAAACACHTuJAvw0zWtsAAAAN&#10;AQAADwAAAGRycy9kb3ducmV2LnhtbE2PwU7DMBBE70j8g7VIXFBrOy0BQpxKtHCDQ0vVsxubJCJe&#10;R7bTtH/PcoLjzoxm35Srs+vZyYbYeVQg5wKYxdqbDhsF+8+32SOwmDQa3Xu0Ci42wqq6vip1YfyE&#10;W3vapYZRCcZCK2hTGgrOY91ap+PcDxbJ+/LB6URnaLgJeqJy1/NMiJw73SF9aPVg162tv3ejU5Bv&#10;wjhtcX232b++64+hyQ4vl4NStzdSPANL9pz+wvCLT+hQEdPRj2gi6xXMlhltSWQspZTAKPIkFiQd&#10;Sbpf5A/Aq5L/X1H9AFBLAwQUAAAACACHTuJAQ+GoiPQBAADdAwAADgAAAGRycy9lMm9Eb2MueG1s&#10;rVPbjtMwEH1H4h8sv9OkK20LUdPV0lUR0nKRFj7AcezEIvaYsdukfD1jpy2r5Q2RB2tszxzPOWey&#10;uZvswI4KgwFX8+Wi5Ew5Ca1xXc2/f9u/ectZiMK1YgCnan5Sgd9tX7/ajL5SN9DD0CpkBOJCNfqa&#10;9zH6qiiC7JUVYQFeObrUgFZE2mJXtChGQrdDcVOWq2IEbD2CVCHQ6cN8ybcZX2sl4xetg4psqDn1&#10;FvOKeW3SWmw3oupQ+N7IcxviH7qwwjh69Ar1IKJgBzR/QVkjEQLouJBgC9DaSJU5EJtl+YLNUy+8&#10;ylxInOCvMoX/Bys/H78iM23NySgnLFmk7R4pWCdtRh8qSnnylBSn9zCRx5ln8I8gfwTmYNcL16l7&#10;RBh7JVrqbZkqi2elM05IIM34CVp6RBwiZKBJo03CkRSM0Mmj09UXNUUm6XBVluX6lq4k3a3frW9X&#10;2bhCVJdqjyF+UGBZCmqO5HtGF8fHEFM3orqkpMcCDKbdm2HIG+ya3YDsKGhG9vnLBF6kDS4lO0hl&#10;M2I6yTQTs5ljnJrpLFsD7YkII8wzR/8IBT3gL85Gmreah58HgYqz4aMj0dJwXgK8BM0lEE5Sac0j&#10;Z3O4i/MQHzyarifk2RYH9ySsNplzcmDu4twnzVCW4jzvaUif73PWn79y+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TNa2wAAAA0BAAAPAAAAAAAAAAEAIAAAACIAAABkcnMvZG93bnJldi54bWxQ&#10;SwECFAAUAAAACACHTuJAQ+GoiPQBAADdAwAADgAAAAAAAAABACAAAAAqAQAAZHJzL2Uyb0RvYy54&#10;bWxQSwUGAAAAAAYABgBZAQAAkAUAAAAA&#10;">
                <v:fill on="t" focussize="0,0"/>
                <v:stroke on="f"/>
                <v:imagedata o:title=""/>
                <o:lock v:ext="edit" aspectratio="f"/>
                <v:textbox inset="0mm,0mm,0mm,0mm">
                  <w:txbxContent>
                    <w:p>
                      <w:pPr>
                        <w:pStyle w:val="59"/>
                        <w:rPr>
                          <w:sz w:val="28"/>
                        </w:rPr>
                      </w:pPr>
                      <w:r>
                        <w:rPr>
                          <w:sz w:val="28"/>
                        </w:rPr>
                        <w:t>国</w:t>
                      </w:r>
                      <w:r>
                        <w:rPr>
                          <w:rFonts w:hint="eastAsia"/>
                          <w:sz w:val="28"/>
                        </w:rPr>
                        <w:t xml:space="preserve"> </w:t>
                      </w:r>
                      <w:r>
                        <w:rPr>
                          <w:sz w:val="28"/>
                        </w:rPr>
                        <w:t>家</w:t>
                      </w:r>
                      <w:r>
                        <w:rPr>
                          <w:rFonts w:hint="eastAsia"/>
                          <w:sz w:val="28"/>
                        </w:rPr>
                        <w:t xml:space="preserve"> 市 场 </w:t>
                      </w:r>
                      <w:r>
                        <w:rPr>
                          <w:sz w:val="28"/>
                        </w:rPr>
                        <w:t>监</w:t>
                      </w:r>
                      <w:r>
                        <w:rPr>
                          <w:rFonts w:hint="eastAsia"/>
                          <w:sz w:val="28"/>
                        </w:rPr>
                        <w:t xml:space="preserve"> </w:t>
                      </w:r>
                      <w:r>
                        <w:rPr>
                          <w:sz w:val="28"/>
                        </w:rPr>
                        <w:t>督</w:t>
                      </w:r>
                      <w:r>
                        <w:rPr>
                          <w:rFonts w:hint="eastAsia"/>
                          <w:sz w:val="28"/>
                        </w:rPr>
                        <w:t xml:space="preserve"> 管 理 总 </w:t>
                      </w:r>
                      <w:r>
                        <w:rPr>
                          <w:sz w:val="28"/>
                        </w:rPr>
                        <w:t>局</w:t>
                      </w:r>
                    </w:p>
                    <w:p>
                      <w:pPr>
                        <w:pStyle w:val="59"/>
                        <w:rPr>
                          <w:sz w:val="28"/>
                        </w:rPr>
                      </w:pPr>
                      <w:r>
                        <w:rPr>
                          <w:rFonts w:hint="eastAsia"/>
                          <w:sz w:val="28"/>
                        </w:rPr>
                        <w:t>国 家 标 准 化 管 理 委 员 会</w:t>
                      </w:r>
                    </w:p>
                  </w:txbxContent>
                </v:textbox>
                <w10:anchorlock/>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5624830</wp:posOffset>
                </wp:positionH>
                <wp:positionV relativeFrom="paragraph">
                  <wp:posOffset>9158605</wp:posOffset>
                </wp:positionV>
                <wp:extent cx="733425" cy="495300"/>
                <wp:effectExtent l="635" t="3175" r="0" b="0"/>
                <wp:wrapNone/>
                <wp:docPr id="7" name="Text Box 578"/>
                <wp:cNvGraphicFramePr/>
                <a:graphic xmlns:a="http://schemas.openxmlformats.org/drawingml/2006/main">
                  <a:graphicData uri="http://schemas.microsoft.com/office/word/2010/wordprocessingShape">
                    <wps:wsp>
                      <wps:cNvSpPr txBox="1">
                        <a:spLocks noChangeArrowheads="1"/>
                      </wps:cNvSpPr>
                      <wps:spPr bwMode="auto">
                        <a:xfrm>
                          <a:off x="0" y="0"/>
                          <a:ext cx="733425" cy="495300"/>
                        </a:xfrm>
                        <a:prstGeom prst="rect">
                          <a:avLst/>
                        </a:prstGeom>
                        <a:solidFill>
                          <a:srgbClr val="FFFFFF"/>
                        </a:solidFill>
                        <a:ln>
                          <a:noFill/>
                        </a:ln>
                      </wps:spPr>
                      <wps:txbx>
                        <w:txbxContent>
                          <w:p>
                            <w:r>
                              <w:rPr>
                                <w:rStyle w:val="58"/>
                                <w:rFonts w:hint="eastAsia"/>
                              </w:rPr>
                              <w:t>发布</w:t>
                            </w:r>
                          </w:p>
                        </w:txbxContent>
                      </wps:txbx>
                      <wps:bodyPr rot="0" vert="horz" wrap="square" lIns="91440" tIns="45720" rIns="91440" bIns="45720" anchor="t" anchorCtr="0" upright="1">
                        <a:noAutofit/>
                      </wps:bodyPr>
                    </wps:wsp>
                  </a:graphicData>
                </a:graphic>
              </wp:anchor>
            </w:drawing>
          </mc:Choice>
          <mc:Fallback>
            <w:pict>
              <v:shape id="Text Box 578" o:spid="_x0000_s1026" o:spt="202" type="#_x0000_t202" style="position:absolute;left:0pt;margin-left:442.9pt;margin-top:721.15pt;height:39pt;width:57.75pt;z-index:251662336;mso-width-relative:page;mso-height-relative:page;" fillcolor="#FFFFFF" filled="t" stroked="f" coordsize="21600,21600" o:gfxdata="UEsDBAoAAAAAAIdO4kAAAAAAAAAAAAAAAAAEAAAAZHJzL1BLAwQUAAAACACHTuJA7m6Z6doAAAAO&#10;AQAADwAAAGRycy9kb3ducmV2LnhtbE2PwW6DMBBE75X6D9ZW6qVqbAgkhGIitVKrXpPmAxbYAAq2&#10;EXZC8vfdnNrbrGY0+6bYXs0gLjT53lkN0UKBIFu7prethsPP52sGwge0DQ7OkoYbediWjw8F5o2b&#10;7Y4u+9AKLrE+Rw1dCGMupa87MugXbiTL3tFNBgOfUyubCWcuN4OMlVpJg73lDx2O9NFRfdqfjYbj&#10;9/ySbubqKxzWu2T1jv26cjetn58i9QYi0DX8heGOz+hQMlPlzrbxYtCQZSmjBzaSJF6CuEeUilhV&#10;rNJYLUGWhfw/o/wFUEsDBBQAAAAIAIdO4kB5IbuGAQIAAPADAAAOAAAAZHJzL2Uyb0RvYy54bWyt&#10;U8tu2zAQvBfoPxC81/KzTgTLQerARYH0AST9AIqiJKIUl13Sltyv75JyXCO9FdWB0HKXw5nZ5eZu&#10;6Aw7KvQabMFnkylnykqotG0K/v15/+6GMx+ErYQBqwp+Up7fbd++2fQuV3NowVQKGYFYn/eu4G0I&#10;Ls8yL1vVCT8Bpywla8BOBAqxySoUPaF3JptPp++zHrByCFJ5T7sPY5JvE35dKxm+1rVXgZmCE7eQ&#10;VkxrGddsuxF5g8K1Wp5piH9g0Qlt6dIL1IMIgh1Q/wXVaYngoQ4TCV0Gda2lShpIzWz6Ss1TK5xK&#10;Wsgc7y42+f8HK78cvyHTVcHXnFnRUYue1RDYBxjYan0T/emdz6nsyVFhGChBfU5avXsE+cMzC7tW&#10;2EbdI0LfKlERv1k8mV0dHXF8BCn7z1DRReIQIAENNXbRPLKDETr16XTpTSQjaXO9WCznK84kpZa3&#10;q8U09S4T+cthhz58VNCx+FNwpNYncHF89CGSEflLSbzLg9HVXhuTAmzKnUF2FDQm+/Ql/q/KjI3F&#10;FuKxETHuJJVR2CgxDOVwdq2E6kR6Ecaxo2dCPy3gL856GrmC+58HgYoz88mSZ7ez5TLOaAqWq/Wc&#10;ArzOlNcZYSVBFTxwNv7uwjjXB4e6aemmsUsW7snnWicPYkNGVmfeNFbJmvMTiHN7HaeqPw91+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bpnp2gAAAA4BAAAPAAAAAAAAAAEAIAAAACIAAABkcnMv&#10;ZG93bnJldi54bWxQSwECFAAUAAAACACHTuJAeSG7hgECAADwAwAADgAAAAAAAAABACAAAAApAQAA&#10;ZHJzL2Uyb0RvYy54bWxQSwUGAAAAAAYABgBZAQAAnAUAAAAA&#10;">
                <v:fill on="t" focussize="0,0"/>
                <v:stroke on="f"/>
                <v:imagedata o:title=""/>
                <o:lock v:ext="edit" aspectratio="f"/>
                <v:textbox>
                  <w:txbxContent>
                    <w:p>
                      <w:r>
                        <w:rPr>
                          <w:rStyle w:val="58"/>
                          <w:rFonts w:hint="eastAsia"/>
                        </w:rPr>
                        <w:t>发布</w:t>
                      </w:r>
                    </w:p>
                  </w:txbxContent>
                </v:textbox>
              </v:shape>
            </w:pict>
          </mc:Fallback>
        </mc:AlternateContent>
      </w:r>
      <w:r>
        <w:drawing>
          <wp:anchor distT="0" distB="0" distL="114300" distR="114300" simplePos="0" relativeHeight="251661312" behindDoc="0" locked="1" layoutInCell="1" allowOverlap="1">
            <wp:simplePos x="0" y="0"/>
            <wp:positionH relativeFrom="margin">
              <wp:posOffset>4284345</wp:posOffset>
            </wp:positionH>
            <wp:positionV relativeFrom="margin">
              <wp:posOffset>107315</wp:posOffset>
            </wp:positionV>
            <wp:extent cx="1403350" cy="720090"/>
            <wp:effectExtent l="19050" t="0" r="6350" b="0"/>
            <wp:wrapNone/>
            <wp:docPr id="577" name="HBPicture" descr="GB"/>
            <wp:cNvGraphicFramePr/>
            <a:graphic xmlns:a="http://schemas.openxmlformats.org/drawingml/2006/main">
              <a:graphicData uri="http://schemas.openxmlformats.org/drawingml/2006/picture">
                <pic:pic xmlns:pic="http://schemas.openxmlformats.org/drawingml/2006/picture">
                  <pic:nvPicPr>
                    <pic:cNvPr id="577" name="HBPicture" descr="GB"/>
                    <pic:cNvPicPr>
                      <a:picLocks noChangeArrowheads="1"/>
                    </pic:cNvPicPr>
                  </pic:nvPicPr>
                  <pic:blipFill>
                    <a:blip r:embed="rId16"/>
                    <a:srcRect/>
                    <a:stretch>
                      <a:fillRect/>
                    </a:stretch>
                  </pic:blipFill>
                  <pic:spPr>
                    <a:xfrm>
                      <a:off x="0" y="0"/>
                      <a:ext cx="1403350" cy="720090"/>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88"/>
                              <w:numPr>
                                <w:ilvl w:val="0"/>
                                <w:numId w:val="0"/>
                              </w:numPr>
                              <w:ind w:right="140"/>
                            </w:pP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hqujU8wEAAN0DAAAOAAAAZHJzL2Uyb0RvYy54bWyt&#10;U8GO0zAQvSPxD5bvNG0XVRA1XS1dFSEtsNLCBziOnVg4HjN2m5SvZ+w0ZbXcEDlYY3vmed6bl+3t&#10;2Ft2UhgMuIqvFkvOlJPQGNdW/Pu3w5t3nIUoXCMsOFXxswr8dvf61XbwpVpDB7ZRyAjEhXLwFe9i&#10;9GVRBNmpXoQFeOXoUgP2ItIW26JBMRB6b4v1crkpBsDGI0gVAp3eT5d8l/G1VjJ+1TqoyGzFqbeY&#10;V8xrndZitxVli8J3Rl7aEP/QRS+Mo0evUPciCnZE8xdUbyRCAB0XEvoCtDZSZQ7EZrV8weapE15l&#10;LiRO8FeZwv+DlV9Oj8hMU/ENZ070NCLdH5CCTdJm8KGklCdPSXH8ACPNOPMM/gHkj8Ac7DvhWnWH&#10;CEOnREO9rVJl8ax0wgkJpB4+Q0OPiGOEDDRq7JNwJAUjdJrR+ToXNUYm6ZCkeX+zpCtJdzer9dt1&#10;HlwhyrnaY4gfFfQsBRVHmntGF6eHEFM3opxT0mMBrGkOxtq8wbbeW2QnQR455C8TeJFmXUp2kMom&#10;xHSSaSZmE8c41uNFthqaMxFGmDxH/wgFHeAvzgbyW8XDz6NAxZn95Ei0ZM45wDmo50A4SaUVj5xN&#10;4T5OJj56NG1HyNNYHNyRsNpkzmkCUxeXPslDWYqL35NJn+9z1p+/cvc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2q19oAAAANAQAADwAAAAAAAAABACAAAAAiAAAAZHJzL2Rvd25yZXYueG1sUEsB&#10;AhQAFAAAAAgAh07iQKGq6NTzAQAA3QMAAA4AAAAAAAAAAQAgAAAAKQEAAGRycy9lMm9Eb2MueG1s&#10;UEsFBgAAAAAGAAYAWQEAAI4FAAAAAA==&#10;">
                <v:fill on="t" focussize="0,0"/>
                <v:stroke on="f"/>
                <v:imagedata o:title=""/>
                <o:lock v:ext="edit" aspectratio="f"/>
                <v:textbox inset="0mm,0mm,0mm,0mm">
                  <w:txbxContent>
                    <w:p>
                      <w:pPr>
                        <w:pStyle w:val="88"/>
                        <w:numPr>
                          <w:ilvl w:val="0"/>
                          <w:numId w:val="0"/>
                        </w:numPr>
                        <w:ind w:right="140"/>
                      </w:pPr>
                      <w:r>
                        <w:rPr>
                          <w:rFonts w:hint="eastAsia"/>
                        </w:rPr>
                        <w:t>××××-××-××实施</w:t>
                      </w:r>
                    </w:p>
                  </w:txbxContent>
                </v:textbox>
                <w10:anchorlock/>
              </v:shap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0"/>
                            </w:pP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uzDrNPQBAADdAwAADgAAAGRycy9lMm9Eb2MueG1srVPb&#10;jtMwEH1H4h8sv9O0XRZB1HS1dFWEtFykhQ9wHDuxsD1m7DZZvp6x05bV8obIgzW2Z47nnDnZ3EzO&#10;sqPCaMA3fLVYcqa8hM74vuHfv+1fveUsJuE7YcGrhj+qyG+2L19sxlCrNQxgO4WMQHysx9DwIaVQ&#10;V1WUg3IiLiAoT5ca0IlEW+yrDsVI6M5W6+XyTTUCdgFBqhjp9G6+5NuCr7WS6YvWUSVmG069pbJi&#10;Wdu8VtuNqHsUYTDy1Ib4hy6cMJ4evUDdiSTYAc1fUM5IhAg6LSS4CrQ2UhUOxGa1fMbmYRBBFS4k&#10;TgwXmeL/g5Wfj1+Rma7h15x54WhE2u2RguuszRhiTSkPgZLS9B4mmnHhGcM9yB+RedgNwvfqFhHG&#10;QYmOelvlyupJ6YwTM0g7foKOHhGHBAVo0uiycCQFI3Sa0eNlLmpKTNIhSfPuaklXku6uVuvX6zK4&#10;StTn6oAxfVDgWA4ajjT3gi6O9zHlbkR9TsmPRbCm2xtrywb7dmeRHQV5ZF++QuBZmvU52UMumxHz&#10;SaGZmc0c09ROJ9la6B6JMMLsOfpHKBgAf3E2kt8aHn8eBCrO7EdPomVzngM8B+05EF5SacMTZ3O4&#10;S7OJDwFNPxDyPBYPtySsNoVznsDcxalP8lCR4uT3bNKn+5L156/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NsqI2AAAAAoBAAAPAAAAAAAAAAEAIAAAACIAAABkcnMvZG93bnJldi54bWxQSwEC&#10;FAAUAAAACACHTuJAuzDrNPQBAADdAwAADgAAAAAAAAABACAAAAAnAQAAZHJzL2Uyb0RvYy54bWxQ&#10;SwUGAAAAAAYABgBZAQAAjQUAAAAA&#10;">
                <v:fill on="t" focussize="0,0"/>
                <v:stroke on="f"/>
                <v:imagedata o:title=""/>
                <o:lock v:ext="edit" aspectratio="f"/>
                <v:textbox inset="0mm,0mm,0mm,0mm">
                  <w:txbxContent>
                    <w:p>
                      <w:pPr>
                        <w:pStyle w:val="60"/>
                      </w:pPr>
                      <w:r>
                        <w:rPr>
                          <w:rFonts w:hint="eastAsia"/>
                        </w:rPr>
                        <w:t>××××-××-××发布</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spacing w:line="4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金属锗化学分析方法</w:t>
                            </w:r>
                          </w:p>
                          <w:p>
                            <w:pPr>
                              <w:spacing w:line="40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 xml:space="preserve">     </w:t>
                            </w:r>
                          </w:p>
                          <w:p>
                            <w:pPr>
                              <w:spacing w:line="4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第</w:t>
                            </w:r>
                            <w:r>
                              <w:rPr>
                                <w:rFonts w:asciiTheme="minorEastAsia" w:hAnsiTheme="minorEastAsia" w:eastAsiaTheme="minorEastAsia"/>
                                <w:b/>
                                <w:sz w:val="44"/>
                                <w:szCs w:val="44"/>
                              </w:rPr>
                              <w:t>3</w:t>
                            </w:r>
                            <w:r>
                              <w:rPr>
                                <w:rFonts w:hint="eastAsia" w:asciiTheme="minorEastAsia" w:hAnsiTheme="minorEastAsia" w:eastAsiaTheme="minorEastAsia"/>
                                <w:b/>
                                <w:sz w:val="44"/>
                                <w:szCs w:val="44"/>
                              </w:rPr>
                              <w:t>部分：</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痕量杂质元素的测定</w:t>
                            </w:r>
                          </w:p>
                          <w:p>
                            <w:pPr>
                              <w:spacing w:line="400" w:lineRule="exact"/>
                              <w:jc w:val="center"/>
                              <w:rPr>
                                <w:rFonts w:asciiTheme="minorEastAsia" w:hAnsiTheme="minorEastAsia" w:eastAsiaTheme="minorEastAsia"/>
                                <w:b/>
                                <w:sz w:val="44"/>
                                <w:szCs w:val="44"/>
                              </w:rPr>
                            </w:pPr>
                          </w:p>
                          <w:p>
                            <w:pPr>
                              <w:spacing w:line="40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辉光放电质谱法</w:t>
                            </w:r>
                          </w:p>
                          <w:p>
                            <w:pPr>
                              <w:spacing w:line="400" w:lineRule="exact"/>
                              <w:rPr>
                                <w:rFonts w:asciiTheme="minorEastAsia" w:hAnsiTheme="minorEastAsia" w:eastAsiaTheme="minorEastAsia"/>
                                <w:b/>
                                <w:sz w:val="44"/>
                                <w:szCs w:val="44"/>
                              </w:rPr>
                            </w:pPr>
                          </w:p>
                          <w:p>
                            <w:pPr>
                              <w:spacing w:before="284" w:line="240" w:lineRule="atLeast"/>
                              <w:jc w:val="center"/>
                              <w:rPr>
                                <w:rFonts w:ascii="黑体" w:hAnsi="黑体" w:eastAsia="黑体"/>
                                <w:kern w:val="0"/>
                                <w:sz w:val="28"/>
                                <w:szCs w:val="28"/>
                              </w:rPr>
                            </w:pPr>
                            <w:r>
                              <w:rPr>
                                <w:rFonts w:hint="eastAsia" w:ascii="黑体" w:hAnsi="黑体" w:eastAsia="黑体"/>
                                <w:kern w:val="0"/>
                                <w:sz w:val="28"/>
                                <w:szCs w:val="28"/>
                              </w:rPr>
                              <w:t xml:space="preserve">Method for </w:t>
                            </w:r>
                            <w:r>
                              <w:rPr>
                                <w:rFonts w:ascii="黑体" w:hAnsi="黑体" w:eastAsia="黑体"/>
                                <w:kern w:val="0"/>
                                <w:sz w:val="28"/>
                                <w:szCs w:val="28"/>
                              </w:rPr>
                              <w:t xml:space="preserve">chemical analysis of </w:t>
                            </w:r>
                            <w:r>
                              <w:rPr>
                                <w:rStyle w:val="111"/>
                              </w:rPr>
                              <w:t>M</w:t>
                            </w:r>
                            <w:r>
                              <w:rPr>
                                <w:rFonts w:ascii="黑体" w:hAnsi="黑体" w:eastAsia="黑体"/>
                                <w:kern w:val="0"/>
                                <w:sz w:val="28"/>
                                <w:szCs w:val="28"/>
                              </w:rPr>
                              <w:t>etal germanium</w:t>
                            </w:r>
                            <w:r>
                              <w:rPr>
                                <w:rFonts w:hint="eastAsia" w:ascii="黑体" w:hAnsi="黑体" w:eastAsia="黑体"/>
                                <w:kern w:val="0"/>
                                <w:sz w:val="28"/>
                                <w:szCs w:val="28"/>
                              </w:rPr>
                              <w:t>—</w:t>
                            </w:r>
                          </w:p>
                          <w:p>
                            <w:pPr>
                              <w:spacing w:line="240" w:lineRule="atLeast"/>
                              <w:jc w:val="center"/>
                              <w:rPr>
                                <w:rFonts w:ascii="黑体" w:eastAsia="黑体"/>
                                <w:color w:val="000000"/>
                                <w:sz w:val="28"/>
                                <w:szCs w:val="28"/>
                              </w:rPr>
                            </w:pPr>
                            <w:r>
                              <w:rPr>
                                <w:rFonts w:hint="eastAsia" w:ascii="黑体" w:eastAsia="黑体"/>
                                <w:color w:val="000000"/>
                                <w:sz w:val="28"/>
                                <w:szCs w:val="28"/>
                              </w:rPr>
                              <w:t xml:space="preserve">Determination of trace impurity elements </w:t>
                            </w:r>
                            <w:r>
                              <w:rPr>
                                <w:rFonts w:hint="eastAsia" w:ascii="黑体" w:hAnsi="黑体" w:eastAsia="黑体"/>
                                <w:kern w:val="0"/>
                                <w:sz w:val="28"/>
                                <w:szCs w:val="28"/>
                              </w:rPr>
                              <w:t>content—</w:t>
                            </w:r>
                            <w:r>
                              <w:rPr>
                                <w:rFonts w:ascii="黑体" w:hAnsi="黑体" w:eastAsia="黑体"/>
                                <w:kern w:val="0"/>
                                <w:sz w:val="28"/>
                                <w:szCs w:val="28"/>
                              </w:rPr>
                              <w:t xml:space="preserve">                                                    </w:t>
                            </w:r>
                            <w:r>
                              <w:rPr>
                                <w:rFonts w:hint="eastAsia" w:ascii="黑体" w:eastAsia="黑体"/>
                                <w:color w:val="000000"/>
                                <w:sz w:val="28"/>
                                <w:szCs w:val="28"/>
                              </w:rPr>
                              <w:t>Glow discharge mass spectrometry</w:t>
                            </w:r>
                          </w:p>
                          <w:p>
                            <w:pPr>
                              <w:spacing w:line="240" w:lineRule="atLeast"/>
                              <w:rPr>
                                <w:rFonts w:hint="eastAsia" w:ascii="黑体" w:hAnsi="黑体" w:eastAsia="黑体"/>
                                <w:kern w:val="0"/>
                                <w:sz w:val="28"/>
                                <w:szCs w:val="28"/>
                              </w:rPr>
                            </w:pPr>
                            <w:r>
                              <w:rPr>
                                <w:rFonts w:hint="eastAsia" w:ascii="黑体" w:eastAsia="黑体"/>
                                <w:color w:val="000000"/>
                                <w:sz w:val="28"/>
                                <w:szCs w:val="28"/>
                              </w:rPr>
                              <w:t xml:space="preserve">                        (讨论稿)</w:t>
                            </w:r>
                          </w:p>
                          <w:p>
                            <w:pPr>
                              <w:spacing w:line="400" w:lineRule="exact"/>
                              <w:rPr>
                                <w:rFonts w:asciiTheme="minorEastAsia" w:hAnsiTheme="minorEastAsia" w:eastAsiaTheme="minorEastAsia"/>
                                <w:b/>
                                <w:sz w:val="44"/>
                                <w:szCs w:val="44"/>
                              </w:rPr>
                            </w:pPr>
                          </w:p>
                          <w:p>
                            <w:pPr>
                              <w:pStyle w:val="66"/>
                              <w:jc w:val="both"/>
                            </w:pPr>
                          </w:p>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57216;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2I6MqfYBAADeAwAADgAAAGRycy9lMm9Eb2MueG1srVPB&#10;jtMwEL0j8Q+W7zRpVardqOlq6aoIaYGVFj7AcZzEwvGYsdukfD1jpymr5YbIwRrbM8/z3rxs78be&#10;sJNCr8GWfLnIOVNWQq1tW/Lv3w7vbjjzQdhaGLCq5Gfl+d3u7Zvt4Aq1gg5MrZARiPXF4EreheCK&#10;LPOyU73wC3DK0mUD2ItAW2yzGsVA6L3JVnm+yQbA2iFI5T2dPkyXfJfwm0bJ8LVpvArMlJx6C2nF&#10;tFZxzXZbUbQoXKflpQ3xD130Qlt69Ar1IIJgR9R/QfVaInhowkJCn0HTaKkSB2KzzF+xee6EU4kL&#10;iePdVSb//2Dll9MTMl2XfM2ZFT2NqOkPSME6ajM4X1DKs6OkMH6AkWaceHr3CPKHZxb2nbCtukeE&#10;oVOipt6WsTJ7UTrh+AhSDZ+hpkfEMUACGhvso3AkBSN0mtH5Ohc1Bibp8P3t5jbP6UrS3Xpzs1yt&#10;0uQyUczlDn34qKBnMSg50uATvDg9+hDbEcWcEl/zYHR90MakDbbV3iA7CTLJIX2Jwas0Y2OyhVg2&#10;IcaTxDNSm0iGsRovulVQn4kxwmQ6+kko6AB/cTaQ4Urufx4FKs7MJ0uqRXfOAc5BNQfCSioteeBs&#10;CvdhcvHRoW47Qp7mYuGelG104hxHMHVx6ZNMlKS4GD669OU+Zf35LX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Xn3HYAAAACQEAAA8AAAAAAAAAAQAgAAAAIgAAAGRycy9kb3ducmV2LnhtbFBL&#10;AQIUABQAAAAIAIdO4kDYjoyp9gEAAN4DAAAOAAAAAAAAAAEAIAAAACcBAABkcnMvZTJvRG9jLnht&#10;bFBLBQYAAAAABgAGAFkBAACPBQAAAAA=&#10;">
                <v:fill on="t" focussize="0,0"/>
                <v:stroke on="f"/>
                <v:imagedata o:title=""/>
                <o:lock v:ext="edit" aspectratio="f"/>
                <v:textbox inset="0mm,0mm,0mm,0mm">
                  <w:txbxContent>
                    <w:p>
                      <w:pPr>
                        <w:spacing w:line="4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金属锗化学分析方法</w:t>
                      </w:r>
                    </w:p>
                    <w:p>
                      <w:pPr>
                        <w:spacing w:line="40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 xml:space="preserve">     </w:t>
                      </w:r>
                    </w:p>
                    <w:p>
                      <w:pPr>
                        <w:spacing w:line="4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 xml:space="preserve"> 第</w:t>
                      </w:r>
                      <w:r>
                        <w:rPr>
                          <w:rFonts w:asciiTheme="minorEastAsia" w:hAnsiTheme="minorEastAsia" w:eastAsiaTheme="minorEastAsia"/>
                          <w:b/>
                          <w:sz w:val="44"/>
                          <w:szCs w:val="44"/>
                        </w:rPr>
                        <w:t>3</w:t>
                      </w:r>
                      <w:r>
                        <w:rPr>
                          <w:rFonts w:hint="eastAsia" w:asciiTheme="minorEastAsia" w:hAnsiTheme="minorEastAsia" w:eastAsiaTheme="minorEastAsia"/>
                          <w:b/>
                          <w:sz w:val="44"/>
                          <w:szCs w:val="44"/>
                        </w:rPr>
                        <w:t>部分：</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痕量杂质元素的测定</w:t>
                      </w:r>
                    </w:p>
                    <w:p>
                      <w:pPr>
                        <w:spacing w:line="400" w:lineRule="exact"/>
                        <w:jc w:val="center"/>
                        <w:rPr>
                          <w:rFonts w:asciiTheme="minorEastAsia" w:hAnsiTheme="minorEastAsia" w:eastAsiaTheme="minorEastAsia"/>
                          <w:b/>
                          <w:sz w:val="44"/>
                          <w:szCs w:val="44"/>
                        </w:rPr>
                      </w:pPr>
                    </w:p>
                    <w:p>
                      <w:pPr>
                        <w:spacing w:line="40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辉光放电质谱法</w:t>
                      </w:r>
                    </w:p>
                    <w:p>
                      <w:pPr>
                        <w:spacing w:line="400" w:lineRule="exact"/>
                        <w:rPr>
                          <w:rFonts w:asciiTheme="minorEastAsia" w:hAnsiTheme="minorEastAsia" w:eastAsiaTheme="minorEastAsia"/>
                          <w:b/>
                          <w:sz w:val="44"/>
                          <w:szCs w:val="44"/>
                        </w:rPr>
                      </w:pPr>
                    </w:p>
                    <w:p>
                      <w:pPr>
                        <w:spacing w:before="284" w:line="240" w:lineRule="atLeast"/>
                        <w:jc w:val="center"/>
                        <w:rPr>
                          <w:rFonts w:ascii="黑体" w:hAnsi="黑体" w:eastAsia="黑体"/>
                          <w:kern w:val="0"/>
                          <w:sz w:val="28"/>
                          <w:szCs w:val="28"/>
                        </w:rPr>
                      </w:pPr>
                      <w:r>
                        <w:rPr>
                          <w:rFonts w:hint="eastAsia" w:ascii="黑体" w:hAnsi="黑体" w:eastAsia="黑体"/>
                          <w:kern w:val="0"/>
                          <w:sz w:val="28"/>
                          <w:szCs w:val="28"/>
                        </w:rPr>
                        <w:t xml:space="preserve">Method for </w:t>
                      </w:r>
                      <w:r>
                        <w:rPr>
                          <w:rFonts w:ascii="黑体" w:hAnsi="黑体" w:eastAsia="黑体"/>
                          <w:kern w:val="0"/>
                          <w:sz w:val="28"/>
                          <w:szCs w:val="28"/>
                        </w:rPr>
                        <w:t xml:space="preserve">chemical analysis of </w:t>
                      </w:r>
                      <w:r>
                        <w:rPr>
                          <w:rStyle w:val="111"/>
                        </w:rPr>
                        <w:t>M</w:t>
                      </w:r>
                      <w:r>
                        <w:rPr>
                          <w:rFonts w:ascii="黑体" w:hAnsi="黑体" w:eastAsia="黑体"/>
                          <w:kern w:val="0"/>
                          <w:sz w:val="28"/>
                          <w:szCs w:val="28"/>
                        </w:rPr>
                        <w:t>etal germanium</w:t>
                      </w:r>
                      <w:r>
                        <w:rPr>
                          <w:rFonts w:hint="eastAsia" w:ascii="黑体" w:hAnsi="黑体" w:eastAsia="黑体"/>
                          <w:kern w:val="0"/>
                          <w:sz w:val="28"/>
                          <w:szCs w:val="28"/>
                        </w:rPr>
                        <w:t>—</w:t>
                      </w:r>
                    </w:p>
                    <w:p>
                      <w:pPr>
                        <w:spacing w:line="240" w:lineRule="atLeast"/>
                        <w:jc w:val="center"/>
                        <w:rPr>
                          <w:rFonts w:ascii="黑体" w:eastAsia="黑体"/>
                          <w:color w:val="000000"/>
                          <w:sz w:val="28"/>
                          <w:szCs w:val="28"/>
                        </w:rPr>
                      </w:pPr>
                      <w:r>
                        <w:rPr>
                          <w:rFonts w:hint="eastAsia" w:ascii="黑体" w:eastAsia="黑体"/>
                          <w:color w:val="000000"/>
                          <w:sz w:val="28"/>
                          <w:szCs w:val="28"/>
                        </w:rPr>
                        <w:t xml:space="preserve">Determination of trace impurity elements </w:t>
                      </w:r>
                      <w:r>
                        <w:rPr>
                          <w:rFonts w:hint="eastAsia" w:ascii="黑体" w:hAnsi="黑体" w:eastAsia="黑体"/>
                          <w:kern w:val="0"/>
                          <w:sz w:val="28"/>
                          <w:szCs w:val="28"/>
                        </w:rPr>
                        <w:t>content—</w:t>
                      </w:r>
                      <w:r>
                        <w:rPr>
                          <w:rFonts w:ascii="黑体" w:hAnsi="黑体" w:eastAsia="黑体"/>
                          <w:kern w:val="0"/>
                          <w:sz w:val="28"/>
                          <w:szCs w:val="28"/>
                        </w:rPr>
                        <w:t xml:space="preserve">                                                    </w:t>
                      </w:r>
                      <w:r>
                        <w:rPr>
                          <w:rFonts w:hint="eastAsia" w:ascii="黑体" w:eastAsia="黑体"/>
                          <w:color w:val="000000"/>
                          <w:sz w:val="28"/>
                          <w:szCs w:val="28"/>
                        </w:rPr>
                        <w:t>Glow discharge mass spectrometry</w:t>
                      </w:r>
                    </w:p>
                    <w:p>
                      <w:pPr>
                        <w:spacing w:line="240" w:lineRule="atLeast"/>
                        <w:rPr>
                          <w:rFonts w:hint="eastAsia" w:ascii="黑体" w:hAnsi="黑体" w:eastAsia="黑体"/>
                          <w:kern w:val="0"/>
                          <w:sz w:val="28"/>
                          <w:szCs w:val="28"/>
                        </w:rPr>
                      </w:pPr>
                      <w:r>
                        <w:rPr>
                          <w:rFonts w:hint="eastAsia" w:ascii="黑体" w:eastAsia="黑体"/>
                          <w:color w:val="000000"/>
                          <w:sz w:val="28"/>
                          <w:szCs w:val="28"/>
                        </w:rPr>
                        <w:t xml:space="preserve">                        (讨论稿)</w:t>
                      </w:r>
                    </w:p>
                    <w:p>
                      <w:pPr>
                        <w:spacing w:line="400" w:lineRule="exact"/>
                        <w:rPr>
                          <w:rFonts w:asciiTheme="minorEastAsia" w:hAnsiTheme="minorEastAsia" w:eastAsiaTheme="minorEastAsia"/>
                          <w:b/>
                          <w:sz w:val="44"/>
                          <w:szCs w:val="44"/>
                        </w:rPr>
                      </w:pPr>
                    </w:p>
                    <w:p>
                      <w:pPr>
                        <w:pStyle w:val="66"/>
                        <w:jc w:val="both"/>
                      </w:pPr>
                    </w:p>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1401445</wp:posOffset>
                </wp:positionV>
                <wp:extent cx="6134100" cy="678815"/>
                <wp:effectExtent l="0" t="0" r="4445" b="0"/>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6134100" cy="678815"/>
                        </a:xfrm>
                        <a:prstGeom prst="rect">
                          <a:avLst/>
                        </a:prstGeom>
                        <a:solidFill>
                          <a:srgbClr val="FFFFFF"/>
                        </a:solidFill>
                        <a:ln>
                          <a:noFill/>
                        </a:ln>
                      </wps:spPr>
                      <wps:txbx>
                        <w:txbxContent>
                          <w:p>
                            <w:pPr>
                              <w:pStyle w:val="62"/>
                              <w:tabs>
                                <w:tab w:val="left" w:pos="9030"/>
                              </w:tabs>
                              <w:ind w:firstLine="313" w:firstLineChars="112"/>
                            </w:pPr>
                            <w:r>
                              <w:t>GB</w:t>
                            </w:r>
                            <w:r>
                              <w:rPr>
                                <w:rFonts w:hint="eastAsia"/>
                              </w:rPr>
                              <w:t>/T ××××.3-20</w:t>
                            </w:r>
                            <w:r>
                              <w:rPr>
                                <w:rFonts w:hint="eastAsia" w:ascii="宋体" w:hAnsi="宋体"/>
                              </w:rPr>
                              <w:t>×</w:t>
                            </w:r>
                            <w:r>
                              <w:rPr>
                                <w:rFonts w:hint="eastAsia"/>
                              </w:rPr>
                              <w:t>×</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53.45pt;width:483pt;mso-position-horizontal-relative:margin;mso-position-vertical-relative:margin;z-index:251656192;mso-width-relative:page;mso-height-relative:page;" fillcolor="#FFFFFF" filled="t" stroked="f" coordsize="21600,21600" o:gfxdata="UEsDBAoAAAAAAIdO4kAAAAAAAAAAAAAAAAAEAAAAZHJzL1BLAwQUAAAACACHTuJA3EuoktcAAAAI&#10;AQAADwAAAGRycy9kb3ducmV2LnhtbE2PwU7DMBBE70j8g7VIXBC1aySXpnEq0cINDi1Vz268JBHx&#10;OrKdpv17zAmOs7OaeVOuL65nZwyx86RhPhPAkGpvO2o0HD7fHp+BxWTImt4TarhihHV1e1OawvqJ&#10;dnjep4blEIqF0dCmNBScx7pFZ+LMD0jZ+/LBmZRlaLgNZsrhrudSCMWd6Sg3tGbATYv19350GtQ2&#10;jNOONg/bw+u7+RgaeXy5HrW+v5uLFbCEl/T3DL/4GR2qzHTyI9nIeg15SNIgpVgAy/ZSqXw5aXiS&#10;CwW8Kvn/AdUPUEsDBBQAAAAIAIdO4kCqpHLJ9QEAAN0DAAAOAAAAZHJzL2Uyb0RvYy54bWytU1GP&#10;0zAMfkfiP0R5Z11vMKZq3enYaQjp4JAOfkCaJm1EGwcnWzt+PU7ajQPeEH2InNj+7O+zu70d+46d&#10;FHoDtuT5YsmZshJqY5uSf/1yeLXhzAdha9GBVSU/K89vdy9fbAdXqBtooasVMgKxvhhcydsQXJFl&#10;XraqF34BTllyasBeBLpik9UoBkLvu+xmuVxnA2DtEKTynl7vJyffJXytlQyPWnsVWFdy6i2kE9NZ&#10;xTPbbUXRoHCtkXMb4h+66IWxVPQKdS+CYEc0f0H1RiJ40GEhoc9AayNV4kBs8uUfbJ5a4VTiQuJ4&#10;d5XJ/z9Y+en0GZmpS77izIqeRqT7A5KxitoMzhcU8uQoKIzvYKQZJ57ePYD85pmFfStso+4QYWiV&#10;qKm3PGZmz1InHB9BquEj1FREHAMkoFFjH4UjKRih04zO17moMTBJj+t89TpfkkuSb/12s8nfpBKi&#10;uGQ79OG9gp5Fo+RIc0/o4vTgQ+xGFJeQWMxDZ+qD6bp0wabad8hOgnbkkL4Z/bewzsZgCzFtQowv&#10;iWZkNnEMYzXOslVQn4kwwrRz9I+Q0QL+4GygfSu5/34UqDjrPlgSLS7nxcCLUV0MYSWlljxwNpn7&#10;MC3x0aFpWkKexmLhjoTVJnGOE5i6mPukHUpSzPsel/T5PUX9+it3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S6iS1wAAAAgBAAAPAAAAAAAAAAEAIAAAACIAAABkcnMvZG93bnJldi54bWxQSwEC&#10;FAAUAAAACACHTuJAqqRyyfUBAADdAwAADgAAAAAAAAABACAAAAAmAQAAZHJzL2Uyb0RvYy54bWxQ&#10;SwUGAAAAAAYABgBZAQAAjQUAAAAA&#10;">
                <v:fill on="t" focussize="0,0"/>
                <v:stroke on="f"/>
                <v:imagedata o:title=""/>
                <o:lock v:ext="edit" aspectratio="f"/>
                <v:textbox inset="0mm,0mm,0mm,0mm">
                  <w:txbxContent>
                    <w:p>
                      <w:pPr>
                        <w:pStyle w:val="62"/>
                        <w:tabs>
                          <w:tab w:val="left" w:pos="9030"/>
                        </w:tabs>
                        <w:ind w:firstLine="313" w:firstLineChars="112"/>
                      </w:pPr>
                      <w:r>
                        <w:t>GB</w:t>
                      </w:r>
                      <w:r>
                        <w:rPr>
                          <w:rFonts w:hint="eastAsia"/>
                        </w:rPr>
                        <w:t>/T ××××.3-20</w:t>
                      </w:r>
                      <w:r>
                        <w:rPr>
                          <w:rFonts w:hint="eastAsia" w:ascii="宋体" w:hAnsi="宋体"/>
                        </w:rPr>
                        <w:t>×</w:t>
                      </w:r>
                      <w:r>
                        <w:rPr>
                          <w:rFonts w:hint="eastAsia"/>
                        </w:rPr>
                        <w:t>×</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2"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516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gaHtp8wEAAN0DAAAOAAAAZHJzL2Uyb0RvYy54bWytU9uO&#10;2yAQfa/Uf0C8N46zUtRacVbbrFJV2l6kbT8AY7BRMUMHEjv9+g44SVfbt9X6AQ0wc5hz5nhzOw2W&#10;HRUGA67m5WLJmXISWuO6mv/8sX/3nrMQhWuFBadqflKB327fvtmMvlIr6MG2ChmBuFCNvuZ9jL4q&#10;iiB7NYiwAK8cXWrAQUTaYle0KEZCH2yxWi7XxQjYegSpQqDT+/mSbzO+1krGb1oHFZmtOfUW84p5&#10;bdJabDei6lD43shzG+IFXQzCOHr0CnUvomAHNP9BDUYiBNBxIWEoQGsjVeZAbMrlMzaPvfAqcyFx&#10;gr/KFF4PVn49fkdm2pqvOHNioBHpYY8UrJI2ow8VpTx6SorTR5hoxpln8A8gfwXmYNcL16k7RBh7&#10;JVrqrUyVxZPSGSckkGb8Ai09Ig4RMtCkcUjCkRSM0GlGp+tc1BSZpMN1SeLc0JWku5sPZbnOgytE&#10;dan2GOInBQNLQc2R5p7RxfEhxNSNqC4p6bEA1rR7Y23eYNfsLLKjII/s85cJPEuzLiU7SGUzYjrJ&#10;NBOzmWOcmuksWwPtiQgjzJ6jf4SCHvAPZyP5rebh90Gg4sx+diRaMuclwEvQXALhJJXWPHI2h7s4&#10;m/jg0XQ9Ic9jcXBHwmqTOacJzF2c+yQPZSnOfk8mfbrPWf/+yu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g5HBdcAAAAIAQAADwAAAAAAAAABACAAAAAiAAAAZHJzL2Rvd25yZXYueG1sUEsBAhQA&#10;FAAAAAgAh07iQOBoe2nzAQAA3QMAAA4AAAAAAAAAAQAgAAAAJgEAAGRycy9lMm9Eb2MueG1sUEsF&#10;BgAAAAAGAAYAWQEAAIsFAAAAAA==&#10;">
                <v:fill on="t" focussize="0,0"/>
                <v:stroke on="f"/>
                <v:imagedata o:title=""/>
                <o:lock v:ext="edit" aspectratio="f"/>
                <v:textbox inset="0mm,0mm,0mm,0mm">
                  <w:txbxContent>
                    <w:p>
                      <w:pPr>
                        <w:pStyle w:val="4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1"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4"/>
                              <w:rPr>
                                <w:rFonts w:ascii="黑体"/>
                              </w:rPr>
                            </w:pPr>
                            <w:r>
                              <w:rPr>
                                <w:rFonts w:hint="eastAsia" w:ascii="黑体"/>
                              </w:rPr>
                              <w:t>ICS 29.045</w:t>
                            </w:r>
                          </w:p>
                          <w:p>
                            <w:pPr>
                              <w:pStyle w:val="94"/>
                              <w:rPr>
                                <w:rFonts w:ascii="黑体"/>
                              </w:rPr>
                            </w:pPr>
                            <w:r>
                              <w:rPr>
                                <w:rFonts w:hint="eastAsia" w:ascii="黑体"/>
                              </w:rPr>
                              <w:t>CCS</w:t>
                            </w:r>
                            <w:r>
                              <w:rPr>
                                <w:rFonts w:ascii="黑体"/>
                              </w:rPr>
                              <w:t xml:space="preserve"> H 14</w:t>
                            </w:r>
                          </w:p>
                          <w:p>
                            <w:pPr>
                              <w:pStyle w:val="94"/>
                              <w:rPr>
                                <w:rFonts w:ascii="黑体"/>
                              </w:rPr>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414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LCbL5rzAQAA3QMAAA4AAABkcnMvZTJvRG9jLnhtbK1TwW7bMAy9&#10;D9g/CLovToI1K4w4RZciw4BuK9D1A2RZsoVZokYpsbOvHyUnWbDehukgUCL5xMdHre9G27ODwmDA&#10;VXwxm3OmnITGuLbiL9937245C1G4RvTgVMWPKvC7zds368GXagkd9I1CRiAulIOveBejL4siyE5Z&#10;EWbglSOnBrQi0hHbokExELrti+V8vioGwMYjSBUC3T5MTr7J+ForGb9pHVRkfcWptph3zHud9mKz&#10;FmWLwndGnsoQ/1CFFcbRoxeoBxEF26N5BWWNRAig40yCLUBrI1XmQGwW87/YPHfCq8yFmhP8pU3h&#10;/8HKr4cnZKYh7ThzwpJE2u6QjEXqzeBDSSHPnoLi+BHGFJd4Bv8I8kdgDradcK26R4ShU6Kh2nJm&#10;cZU64YQEUg9foKFHxD5CBho12gRIrWCEThodL7qoMTJJl8ub93NanEnyrW4+3K6ycIUoz9keQ/yk&#10;wLJkVBxJ94wuDo8hEg8KPYfk6qE3zc70fT5gW297ZAdBM7LLK1GnlHAd1rsU7CClTe50k2kmZhPH&#10;ONbjqW01NEcijDDNHP0RMjrAX5wNNG8VDz/3AhVn/WdHTUvDeTbwbNRnQzhJqRWPnE3mNk5DvPdo&#10;2o6QJ1kc3FNjtcmckwJTFac6aYYyr9O8pyG9PueoP79y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7Mvg0wAAAAUBAAAPAAAAAAAAAAEAIAAAACIAAABkcnMvZG93bnJldi54bWxQSwECFAAUAAAA&#10;CACHTuJAsJsvmvMBAADdAwAADgAAAAAAAAABACAAAAAiAQAAZHJzL2Uyb0RvYy54bWxQSwUGAAAA&#10;AAYABgBZAQAAhwUAAAAA&#10;">
                <v:fill on="t" focussize="0,0"/>
                <v:stroke on="f"/>
                <v:imagedata o:title=""/>
                <o:lock v:ext="edit" aspectratio="f"/>
                <v:textbox inset="0mm,0mm,0mm,0mm">
                  <w:txbxContent>
                    <w:p>
                      <w:pPr>
                        <w:pStyle w:val="94"/>
                        <w:rPr>
                          <w:rFonts w:ascii="黑体"/>
                        </w:rPr>
                      </w:pPr>
                      <w:r>
                        <w:rPr>
                          <w:rFonts w:hint="eastAsia" w:ascii="黑体"/>
                        </w:rPr>
                        <w:t>ICS 29.045</w:t>
                      </w:r>
                    </w:p>
                    <w:p>
                      <w:pPr>
                        <w:pStyle w:val="94"/>
                        <w:rPr>
                          <w:rFonts w:ascii="黑体"/>
                        </w:rPr>
                      </w:pPr>
                      <w:r>
                        <w:rPr>
                          <w:rFonts w:hint="eastAsia" w:ascii="黑体"/>
                        </w:rPr>
                        <w:t>CCS</w:t>
                      </w:r>
                      <w:r>
                        <w:rPr>
                          <w:rFonts w:ascii="黑体"/>
                        </w:rPr>
                        <w:t xml:space="preserve"> H 14</w:t>
                      </w:r>
                    </w:p>
                    <w:p>
                      <w:pPr>
                        <w:pStyle w:val="94"/>
                        <w:rPr>
                          <w:rFonts w:ascii="黑体"/>
                        </w:rPr>
                      </w:pPr>
                    </w:p>
                  </w:txbxContent>
                </v:textbox>
                <w10:anchorlock/>
              </v:shape>
            </w:pict>
          </mc:Fallback>
        </mc:AlternateContent>
      </w:r>
    </w:p>
    <w:bookmarkEnd w:id="0"/>
    <w:p>
      <w:pPr>
        <w:pStyle w:val="52"/>
        <w:numPr>
          <w:ilvl w:val="0"/>
          <w:numId w:val="0"/>
        </w:numPr>
        <w:ind w:firstLine="3520" w:firstLineChars="1100"/>
        <w:jc w:val="both"/>
        <w:rPr>
          <w:rFonts w:ascii="Times New Roman" w:eastAsia="宋体"/>
        </w:rPr>
      </w:pPr>
      <w:r>
        <w:rPr>
          <w:rFonts w:ascii="Times New Roman" w:eastAsia="宋体"/>
        </w:rPr>
        <w:t>前    言</w:t>
      </w:r>
      <w:bookmarkEnd w:id="1"/>
      <w:bookmarkEnd w:id="2"/>
      <w:bookmarkEnd w:id="3"/>
    </w:p>
    <w:p>
      <w:pPr>
        <w:pStyle w:val="105"/>
        <w:spacing w:line="320" w:lineRule="exact"/>
        <w:ind w:left="197" w:leftChars="94" w:firstLine="210" w:firstLineChars="100"/>
        <w:rPr>
          <w:rFonts w:ascii="Times New Roman"/>
        </w:rPr>
      </w:pPr>
      <w:r>
        <w:rPr>
          <w:rFonts w:hint="eastAsia" w:hAnsi="宋体"/>
        </w:rPr>
        <w:t>本文件按照GB/T 1.1-2020《标准化工作</w:t>
      </w:r>
      <w:r>
        <w:rPr>
          <w:rFonts w:hAnsi="宋体"/>
        </w:rPr>
        <w:t>导则</w:t>
      </w:r>
      <w:r>
        <w:rPr>
          <w:rFonts w:hint="eastAsia" w:hAnsi="宋体"/>
        </w:rPr>
        <w:t xml:space="preserve"> 第1部分</w:t>
      </w:r>
      <w:r>
        <w:rPr>
          <w:rFonts w:hAnsi="宋体"/>
        </w:rPr>
        <w:t>：标准化文件的结构和起草规则</w:t>
      </w:r>
      <w:r>
        <w:rPr>
          <w:rFonts w:hint="eastAsia" w:hAnsi="宋体"/>
        </w:rPr>
        <w:t>》的规定起草</w:t>
      </w:r>
      <w:r>
        <w:rPr>
          <w:rFonts w:ascii="Times New Roman"/>
        </w:rPr>
        <w:t>。</w:t>
      </w:r>
    </w:p>
    <w:p>
      <w:pPr>
        <w:ind w:left="15" w:firstLine="411" w:firstLineChars="196"/>
        <w:rPr>
          <w:rFonts w:ascii="宋体" w:hAnsi="宋体"/>
        </w:rPr>
      </w:pPr>
      <w:r>
        <w:t>本</w:t>
      </w:r>
      <w:r>
        <w:rPr>
          <w:rFonts w:hint="eastAsia"/>
        </w:rPr>
        <w:t>文件</w:t>
      </w:r>
      <w:r>
        <w:t>由</w:t>
      </w:r>
      <w:r>
        <w:rPr>
          <w:rFonts w:hint="eastAsia" w:ascii="宋体" w:hAnsi="宋体"/>
        </w:rPr>
        <w:t>中国有色金属</w:t>
      </w:r>
      <w:r>
        <w:rPr>
          <w:rFonts w:ascii="宋体" w:hAnsi="宋体"/>
        </w:rPr>
        <w:t>工业协会提出</w:t>
      </w:r>
      <w:r>
        <w:rPr>
          <w:rFonts w:hint="eastAsia" w:ascii="宋体" w:hAnsi="宋体"/>
        </w:rPr>
        <w:t>。</w:t>
      </w:r>
    </w:p>
    <w:p>
      <w:pPr>
        <w:ind w:left="15" w:firstLine="411" w:firstLineChars="196"/>
      </w:pPr>
      <w:r>
        <w:rPr>
          <w:rFonts w:hint="eastAsia" w:ascii="宋体" w:hAnsi="宋体"/>
        </w:rPr>
        <w:t>本文件</w:t>
      </w:r>
      <w:r>
        <w:rPr>
          <w:rFonts w:ascii="宋体" w:hAnsi="宋体"/>
        </w:rPr>
        <w:t>由</w:t>
      </w:r>
      <w:r>
        <w:rPr>
          <w:rFonts w:hint="eastAsia"/>
        </w:rPr>
        <w:t>全国有色金属标准化技术委员会（SAC/TC243）归口</w:t>
      </w:r>
    </w:p>
    <w:p>
      <w:pPr>
        <w:ind w:left="15" w:firstLine="411" w:firstLineChars="196"/>
      </w:pPr>
      <w:r>
        <w:t>本标准起草单位：</w:t>
      </w:r>
      <w:r>
        <w:rPr>
          <w:rFonts w:hint="eastAsia"/>
        </w:rPr>
        <w:t>广东</w:t>
      </w:r>
      <w:r>
        <w:t>先导稀材股份有限公司</w:t>
      </w:r>
    </w:p>
    <w:p>
      <w:pPr>
        <w:ind w:left="15" w:firstLine="411" w:firstLineChars="196"/>
      </w:pPr>
      <w:r>
        <w:t>本标准主要起草人：</w:t>
      </w:r>
    </w:p>
    <w:p>
      <w:pPr>
        <w:ind w:left="15" w:firstLine="420"/>
      </w:pPr>
    </w:p>
    <w:p>
      <w:pPr>
        <w:ind w:left="15" w:firstLine="420"/>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pPr>
    </w:p>
    <w:p>
      <w:pPr>
        <w:pStyle w:val="54"/>
        <w:ind w:firstLine="420"/>
        <w:rPr>
          <w:rFonts w:ascii="Times New Roman"/>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cols w:space="720" w:num="1"/>
          <w:docGrid w:type="lines" w:linePitch="312" w:charSpace="0"/>
        </w:sectPr>
      </w:pPr>
    </w:p>
    <w:p>
      <w:pPr>
        <w:pStyle w:val="64"/>
        <w:framePr w:h="2103" w:hRule="exact" w:vAnchor="page" w:hAnchor="page" w:x="1209" w:y="1257"/>
        <w:rPr>
          <w:rFonts w:ascii="Times New Roman"/>
          <w:sz w:val="32"/>
          <w:szCs w:val="32"/>
        </w:rPr>
      </w:pPr>
      <w:r>
        <w:rPr>
          <w:rFonts w:hint="eastAsia" w:ascii="Times New Roman"/>
          <w:sz w:val="32"/>
          <w:szCs w:val="32"/>
        </w:rPr>
        <w:t>金属锗</w:t>
      </w:r>
      <w:r>
        <w:rPr>
          <w:rFonts w:ascii="Times New Roman"/>
          <w:sz w:val="32"/>
          <w:szCs w:val="32"/>
        </w:rPr>
        <w:t>化学分析方法</w:t>
      </w:r>
    </w:p>
    <w:p>
      <w:pPr>
        <w:pStyle w:val="64"/>
        <w:framePr w:h="2103" w:hRule="exact" w:vAnchor="page" w:hAnchor="page" w:x="1209" w:y="1257"/>
        <w:rPr>
          <w:rFonts w:ascii="Times New Roman"/>
          <w:sz w:val="32"/>
          <w:szCs w:val="32"/>
        </w:rPr>
      </w:pPr>
      <w:r>
        <w:rPr>
          <w:rFonts w:ascii="Times New Roman"/>
          <w:sz w:val="32"/>
          <w:szCs w:val="32"/>
        </w:rPr>
        <w:t>第</w:t>
      </w:r>
      <w:r>
        <w:rPr>
          <w:rFonts w:hint="eastAsia" w:ascii="Times New Roman"/>
          <w:sz w:val="32"/>
          <w:szCs w:val="32"/>
        </w:rPr>
        <w:t>3</w:t>
      </w:r>
      <w:r>
        <w:rPr>
          <w:rFonts w:ascii="Times New Roman"/>
          <w:sz w:val="32"/>
          <w:szCs w:val="32"/>
        </w:rPr>
        <w:t>部分</w:t>
      </w:r>
      <w:r>
        <w:rPr>
          <w:rFonts w:hint="eastAsia" w:ascii="Times New Roman"/>
          <w:sz w:val="32"/>
          <w:szCs w:val="32"/>
        </w:rPr>
        <w:t>：痕量杂质元素</w:t>
      </w:r>
      <w:r>
        <w:rPr>
          <w:rFonts w:ascii="Times New Roman"/>
          <w:sz w:val="32"/>
          <w:szCs w:val="32"/>
        </w:rPr>
        <w:t>的测定</w:t>
      </w:r>
    </w:p>
    <w:p>
      <w:pPr>
        <w:pStyle w:val="64"/>
        <w:framePr w:h="2103" w:hRule="exact" w:vAnchor="page" w:hAnchor="page" w:x="1209" w:y="1257"/>
        <w:rPr>
          <w:rFonts w:ascii="Times New Roman"/>
          <w:sz w:val="28"/>
          <w:szCs w:val="28"/>
        </w:rPr>
      </w:pPr>
      <w:r>
        <w:rPr>
          <w:rFonts w:hint="eastAsia" w:ascii="Times New Roman"/>
          <w:sz w:val="32"/>
          <w:szCs w:val="32"/>
        </w:rPr>
        <w:t>辉光放电</w:t>
      </w:r>
      <w:r>
        <w:rPr>
          <w:rFonts w:ascii="Times New Roman"/>
          <w:sz w:val="32"/>
          <w:szCs w:val="32"/>
        </w:rPr>
        <w:t>质谱法</w:t>
      </w:r>
    </w:p>
    <w:bookmarkEnd w:id="4"/>
    <w:p>
      <w:pPr>
        <w:pStyle w:val="109"/>
        <w:numPr>
          <w:ilvl w:val="0"/>
          <w:numId w:val="10"/>
        </w:numPr>
        <w:snapToGrid w:val="0"/>
        <w:spacing w:after="162" w:afterLines="50" w:line="360" w:lineRule="atLeast"/>
        <w:ind w:left="0" w:firstLine="0" w:firstLineChars="0"/>
        <w:outlineLvl w:val="1"/>
        <w:rPr>
          <w:rFonts w:ascii="黑体" w:hAnsi="黑体" w:eastAsia="黑体"/>
          <w:b/>
          <w:szCs w:val="21"/>
        </w:rPr>
      </w:pPr>
      <w:r>
        <w:rPr>
          <w:rFonts w:ascii="黑体" w:hAnsi="黑体" w:eastAsia="黑体"/>
          <w:b/>
          <w:szCs w:val="21"/>
        </w:rPr>
        <w:t>范围</w:t>
      </w:r>
    </w:p>
    <w:p>
      <w:pPr>
        <w:spacing w:line="360" w:lineRule="atLeast"/>
        <w:ind w:firstLine="420"/>
      </w:pPr>
      <w:r>
        <w:t>本</w:t>
      </w:r>
      <w:r>
        <w:rPr>
          <w:rFonts w:hint="eastAsia"/>
        </w:rPr>
        <w:t>文件</w:t>
      </w:r>
      <w:r>
        <w:t>规定了</w:t>
      </w:r>
      <w:r>
        <w:rPr>
          <w:rFonts w:hint="eastAsia"/>
        </w:rPr>
        <w:t>金属锗中痕量杂质元素含量的</w:t>
      </w:r>
      <w:r>
        <w:t>测定方法。</w:t>
      </w:r>
    </w:p>
    <w:p>
      <w:pPr>
        <w:spacing w:line="360" w:lineRule="atLeast"/>
        <w:ind w:firstLine="420"/>
      </w:pPr>
      <w:r>
        <w:t>本</w:t>
      </w:r>
      <w:r>
        <w:rPr>
          <w:rFonts w:hint="eastAsia"/>
        </w:rPr>
        <w:t>文件</w:t>
      </w:r>
      <w:r>
        <w:t>适用于</w:t>
      </w:r>
      <w:r>
        <w:rPr>
          <w:rFonts w:hint="eastAsia"/>
        </w:rPr>
        <w:t>金属锗</w:t>
      </w:r>
      <w:r>
        <w:t>中</w:t>
      </w:r>
      <w:r>
        <w:rPr>
          <w:rFonts w:hint="eastAsia"/>
        </w:rPr>
        <w:t>痕量杂质元素含</w:t>
      </w:r>
      <w:r>
        <w:t>量的测定。</w:t>
      </w:r>
      <w:r>
        <w:rPr>
          <w:rFonts w:hint="eastAsia" w:hAnsi="宋体"/>
        </w:rPr>
        <w:t>元素</w:t>
      </w:r>
      <w:r>
        <w:rPr>
          <w:rFonts w:hAnsi="宋体"/>
        </w:rPr>
        <w:t>测定范围</w:t>
      </w:r>
      <w:r>
        <w:rPr>
          <w:rFonts w:hint="eastAsia" w:hAnsi="宋体"/>
        </w:rPr>
        <w:t>为</w:t>
      </w:r>
      <w:r>
        <w:rPr>
          <w:rFonts w:hAnsi="宋体"/>
        </w:rPr>
        <w:t>：</w:t>
      </w:r>
      <w:r>
        <w:t>1</w:t>
      </w:r>
      <w:r>
        <w:rPr>
          <w:rFonts w:hint="eastAsia"/>
        </w:rPr>
        <w:t>0</w:t>
      </w:r>
      <w:r>
        <w:t>µg/kg~</w:t>
      </w:r>
      <w:r>
        <w:rPr>
          <w:rFonts w:hint="eastAsia"/>
        </w:rPr>
        <w:t>2</w:t>
      </w:r>
      <w:r>
        <w:t>00</w:t>
      </w:r>
      <w:r>
        <w:rPr>
          <w:rFonts w:hint="eastAsia"/>
        </w:rPr>
        <w:t>0</w:t>
      </w:r>
      <w:r>
        <w:t>µg/kg。</w:t>
      </w:r>
    </w:p>
    <w:p>
      <w:pPr>
        <w:spacing w:line="360" w:lineRule="atLeast"/>
        <w:ind w:firstLine="420"/>
        <w:rPr>
          <w:rFonts w:hint="eastAsia"/>
        </w:rPr>
      </w:pPr>
    </w:p>
    <w:p>
      <w:pPr>
        <w:spacing w:line="360" w:lineRule="atLeast"/>
        <w:rPr>
          <w:rFonts w:hAnsi="宋体"/>
          <w:b/>
          <w:szCs w:val="21"/>
        </w:rPr>
      </w:pPr>
      <w:r>
        <w:rPr>
          <w:rFonts w:hint="eastAsia" w:hAnsi="宋体"/>
          <w:b/>
          <w:szCs w:val="21"/>
        </w:rPr>
        <w:t>2  规范性</w:t>
      </w:r>
      <w:r>
        <w:rPr>
          <w:rFonts w:hAnsi="宋体"/>
          <w:b/>
          <w:szCs w:val="21"/>
        </w:rPr>
        <w:t>引用文件</w:t>
      </w:r>
    </w:p>
    <w:p>
      <w:pPr>
        <w:spacing w:line="360" w:lineRule="atLeast"/>
        <w:rPr>
          <w:rFonts w:hAnsi="宋体"/>
          <w:szCs w:val="21"/>
        </w:rPr>
      </w:pP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本文件</w:t>
      </w:r>
      <w:r>
        <w:rPr>
          <w:rFonts w:ascii="宋体"/>
          <w:kern w:val="0"/>
          <w:szCs w:val="20"/>
        </w:rPr>
        <w:t>没有规范性引用文件</w:t>
      </w:r>
      <w:r>
        <w:rPr>
          <w:rFonts w:hint="eastAsia" w:ascii="宋体"/>
          <w:kern w:val="0"/>
          <w:szCs w:val="20"/>
        </w:rPr>
        <w:t>。</w:t>
      </w:r>
    </w:p>
    <w:p>
      <w:pPr>
        <w:spacing w:line="360" w:lineRule="atLeast"/>
      </w:pPr>
    </w:p>
    <w:p>
      <w:pPr>
        <w:spacing w:line="360" w:lineRule="atLeast"/>
        <w:rPr>
          <w:rFonts w:ascii="宋体" w:hAnsi="宋体"/>
          <w:b/>
        </w:rPr>
      </w:pPr>
      <w:r>
        <w:rPr>
          <w:rFonts w:hint="eastAsia" w:ascii="宋体" w:hAnsi="宋体"/>
          <w:b/>
        </w:rPr>
        <w:t>3   原理</w:t>
      </w:r>
    </w:p>
    <w:p>
      <w:pPr>
        <w:spacing w:line="360" w:lineRule="atLeast"/>
        <w:ind w:firstLine="420" w:firstLineChars="200"/>
        <w:rPr>
          <w:rFonts w:hAnsi="宋体"/>
          <w:szCs w:val="21"/>
        </w:rPr>
      </w:pPr>
      <w:r>
        <w:rPr>
          <w:rFonts w:ascii="宋体" w:hAnsi="宋体"/>
        </w:rPr>
        <w:t>试料</w:t>
      </w:r>
      <w:r>
        <w:rPr>
          <w:rFonts w:hint="eastAsia" w:ascii="宋体" w:hAnsi="宋体"/>
        </w:rPr>
        <w:t>作为阴极</w:t>
      </w:r>
      <w:r>
        <w:rPr>
          <w:rFonts w:hint="eastAsia" w:ascii="宋体" w:cs="宋体"/>
          <w:kern w:val="0"/>
          <w:szCs w:val="21"/>
        </w:rPr>
        <w:t>进行辉光放电，在氩气气氛下，其表面原子被溅射而脱离试样进入辉光放电等离子体中，在等离子体中离子化后被导入质谱仪。在各元素同位素质量数处以预设的扫描点数和积分时间对相应谱峰积分，所得面积即为谱峰强度。有标准样品时，首先</w:t>
      </w:r>
      <w:r>
        <w:rPr>
          <w:rFonts w:hint="eastAsia" w:ascii="宋体" w:hAnsi="宋体"/>
          <w:color w:val="000000"/>
          <w:szCs w:val="21"/>
        </w:rPr>
        <w:t>在相同测定条件下对标准样品进行独立测定获得</w:t>
      </w:r>
      <w:r>
        <w:rPr>
          <w:rFonts w:hint="eastAsia" w:ascii="宋体" w:cs="宋体"/>
          <w:kern w:val="0"/>
          <w:szCs w:val="21"/>
        </w:rPr>
        <w:t>相对灵敏度因子，然后用该相对灵敏度因子计算出各元素的质量分数；无标准样品时，计算机根据仪器软件中的“典型相对灵敏度因子”自动计算出各元素的质量分数</w:t>
      </w:r>
      <w:r>
        <w:rPr>
          <w:rFonts w:hAnsi="宋体"/>
          <w:szCs w:val="21"/>
        </w:rPr>
        <w:t>。</w:t>
      </w:r>
    </w:p>
    <w:p>
      <w:pPr>
        <w:spacing w:line="360" w:lineRule="atLeast"/>
        <w:ind w:firstLine="420" w:firstLineChars="200"/>
        <w:rPr>
          <w:rFonts w:hAnsi="宋体"/>
          <w:szCs w:val="21"/>
        </w:rPr>
      </w:pPr>
    </w:p>
    <w:p>
      <w:pPr>
        <w:widowControl/>
        <w:tabs>
          <w:tab w:val="center" w:pos="4201"/>
          <w:tab w:val="right" w:leader="dot" w:pos="9298"/>
        </w:tabs>
        <w:autoSpaceDE w:val="0"/>
        <w:autoSpaceDN w:val="0"/>
        <w:rPr>
          <w:rFonts w:ascii="宋体"/>
          <w:b/>
          <w:kern w:val="0"/>
          <w:szCs w:val="20"/>
        </w:rPr>
      </w:pPr>
      <w:r>
        <w:rPr>
          <w:rFonts w:hint="eastAsia" w:ascii="宋体"/>
          <w:b/>
          <w:kern w:val="0"/>
          <w:szCs w:val="20"/>
        </w:rPr>
        <w:t>4  术语</w:t>
      </w:r>
      <w:r>
        <w:rPr>
          <w:rFonts w:ascii="宋体"/>
          <w:b/>
          <w:kern w:val="0"/>
          <w:szCs w:val="20"/>
        </w:rPr>
        <w:t>和定义</w:t>
      </w:r>
    </w:p>
    <w:p>
      <w:pPr>
        <w:widowControl/>
        <w:tabs>
          <w:tab w:val="center" w:pos="4201"/>
          <w:tab w:val="right" w:leader="dot" w:pos="9298"/>
        </w:tabs>
        <w:autoSpaceDE w:val="0"/>
        <w:autoSpaceDN w:val="0"/>
        <w:rPr>
          <w:rFonts w:ascii="宋体"/>
          <w:kern w:val="0"/>
          <w:szCs w:val="20"/>
        </w:rPr>
      </w:pPr>
    </w:p>
    <w:p>
      <w:pPr>
        <w:widowControl/>
        <w:tabs>
          <w:tab w:val="center" w:pos="4201"/>
          <w:tab w:val="right" w:leader="dot" w:pos="9298"/>
        </w:tabs>
        <w:autoSpaceDE w:val="0"/>
        <w:autoSpaceDN w:val="0"/>
        <w:rPr>
          <w:rFonts w:ascii="宋体"/>
          <w:kern w:val="0"/>
          <w:szCs w:val="20"/>
        </w:rPr>
      </w:pPr>
      <w:r>
        <w:rPr>
          <w:rFonts w:hint="eastAsia" w:ascii="宋体"/>
          <w:kern w:val="0"/>
          <w:szCs w:val="20"/>
        </w:rPr>
        <w:t xml:space="preserve">   本</w:t>
      </w:r>
      <w:r>
        <w:rPr>
          <w:rFonts w:ascii="宋体"/>
          <w:kern w:val="0"/>
          <w:szCs w:val="20"/>
        </w:rPr>
        <w:t>文件没有需要界定的术语和定义</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ascii="黑体" w:hAnsi="黑体" w:eastAsia="黑体"/>
          <w:b/>
          <w:szCs w:val="21"/>
        </w:rPr>
        <w:t>5  试剂</w:t>
      </w:r>
      <w:r>
        <w:rPr>
          <w:rFonts w:hint="eastAsia" w:ascii="黑体" w:hAnsi="黑体" w:eastAsia="黑体"/>
          <w:b/>
          <w:szCs w:val="21"/>
        </w:rPr>
        <w:t>和</w:t>
      </w:r>
      <w:r>
        <w:rPr>
          <w:rFonts w:ascii="黑体" w:hAnsi="黑体" w:eastAsia="黑体"/>
          <w:b/>
          <w:szCs w:val="21"/>
        </w:rPr>
        <w:t>材料</w:t>
      </w:r>
    </w:p>
    <w:p>
      <w:pPr>
        <w:spacing w:line="360" w:lineRule="atLeast"/>
      </w:pPr>
      <w:r>
        <w:rPr>
          <w:rFonts w:eastAsia="黑体"/>
        </w:rPr>
        <w:t xml:space="preserve">    </w:t>
      </w:r>
      <w:r>
        <w:t>除非另有说明，在分析中仅使用确认</w:t>
      </w:r>
      <w:r>
        <w:rPr>
          <w:rFonts w:hint="eastAsia"/>
        </w:rPr>
        <w:t>为优级纯的</w:t>
      </w:r>
      <w:r>
        <w:t>试剂</w:t>
      </w:r>
      <w:r>
        <w:rPr>
          <w:rFonts w:hint="eastAsia"/>
        </w:rPr>
        <w:t>和蒸馏水或</w:t>
      </w:r>
      <w:r>
        <w:t>去离子水</w:t>
      </w:r>
      <w:r>
        <w:rPr>
          <w:rFonts w:hint="eastAsia"/>
        </w:rPr>
        <w:t>或相当纯度的水</w:t>
      </w:r>
      <w:r>
        <w:t>。</w:t>
      </w:r>
    </w:p>
    <w:p>
      <w:pPr>
        <w:pStyle w:val="56"/>
        <w:numPr>
          <w:ilvl w:val="0"/>
          <w:numId w:val="0"/>
        </w:numPr>
        <w:spacing w:line="360" w:lineRule="atLeast"/>
      </w:pPr>
      <w:r>
        <w:rPr>
          <w:rFonts w:hint="eastAsia"/>
          <w:b/>
        </w:rPr>
        <w:t>5.1</w:t>
      </w:r>
      <w:r>
        <w:rPr>
          <w:rFonts w:hint="eastAsia"/>
        </w:rPr>
        <w:t>无水乙醇。</w:t>
      </w:r>
    </w:p>
    <w:p>
      <w:pPr>
        <w:pStyle w:val="56"/>
        <w:numPr>
          <w:ilvl w:val="0"/>
          <w:numId w:val="0"/>
        </w:numPr>
        <w:spacing w:line="360" w:lineRule="atLeast"/>
      </w:pPr>
      <w:r>
        <w:rPr>
          <w:rFonts w:hint="eastAsia"/>
          <w:b/>
        </w:rPr>
        <w:t>5.2</w:t>
      </w:r>
      <w:r>
        <w:rPr>
          <w:rFonts w:hint="eastAsia"/>
        </w:rPr>
        <w:t>氢氟酸（</w:t>
      </w:r>
      <w:r>
        <w:rPr>
          <w:i/>
        </w:rPr>
        <w:t xml:space="preserve">ρ </w:t>
      </w:r>
      <w:r>
        <w:t>1.42g/mL</w:t>
      </w:r>
      <w:r>
        <w:rPr>
          <w:rFonts w:hint="eastAsia"/>
        </w:rPr>
        <w:t>）。</w:t>
      </w:r>
    </w:p>
    <w:p>
      <w:pPr>
        <w:pStyle w:val="56"/>
        <w:numPr>
          <w:ilvl w:val="0"/>
          <w:numId w:val="0"/>
        </w:numPr>
        <w:spacing w:line="360" w:lineRule="atLeast"/>
      </w:pPr>
      <w:r>
        <w:rPr>
          <w:rFonts w:hint="eastAsia"/>
          <w:b/>
        </w:rPr>
        <w:t>5.3</w:t>
      </w:r>
      <w:r>
        <w:rPr>
          <w:rFonts w:hint="eastAsia"/>
        </w:rPr>
        <w:t>氢氟酸（1+9）</w:t>
      </w:r>
      <w:r>
        <w:t>。</w:t>
      </w:r>
    </w:p>
    <w:p>
      <w:pPr>
        <w:pStyle w:val="56"/>
        <w:numPr>
          <w:ilvl w:val="0"/>
          <w:numId w:val="0"/>
        </w:numPr>
        <w:spacing w:line="360" w:lineRule="atLeast"/>
      </w:pPr>
      <w:r>
        <w:rPr>
          <w:b/>
        </w:rPr>
        <w:t>5</w:t>
      </w:r>
      <w:r>
        <w:rPr>
          <w:rFonts w:hint="eastAsia"/>
          <w:b/>
        </w:rPr>
        <w:t>.4</w:t>
      </w:r>
      <w:r>
        <w:t>仪器背景监控样品，被测元素质量分数低于被测试样的10倍以上。</w:t>
      </w:r>
    </w:p>
    <w:p>
      <w:pPr>
        <w:pStyle w:val="56"/>
        <w:numPr>
          <w:ilvl w:val="0"/>
          <w:numId w:val="0"/>
        </w:numPr>
        <w:spacing w:line="360" w:lineRule="atLeast"/>
      </w:pPr>
      <w:r>
        <w:rPr>
          <w:rFonts w:hint="eastAsia"/>
          <w:b/>
        </w:rPr>
        <w:t>5</w:t>
      </w:r>
      <w:r>
        <w:rPr>
          <w:b/>
        </w:rPr>
        <w:t>.5</w:t>
      </w:r>
      <w:r>
        <w:rPr>
          <w:rFonts w:hint="eastAsia"/>
        </w:rPr>
        <w:t>氩气（纯度≥99.999%）</w:t>
      </w:r>
      <w:r>
        <w:t>。</w:t>
      </w:r>
    </w:p>
    <w:p>
      <w:pPr>
        <w:pStyle w:val="56"/>
        <w:numPr>
          <w:ilvl w:val="0"/>
          <w:numId w:val="0"/>
        </w:numPr>
        <w:spacing w:line="360" w:lineRule="atLeast"/>
      </w:pPr>
      <w:r>
        <w:rPr>
          <w:rFonts w:hint="eastAsia"/>
          <w:b/>
        </w:rPr>
        <w:t>5</w:t>
      </w:r>
      <w:r>
        <w:rPr>
          <w:b/>
        </w:rPr>
        <w:t>.6</w:t>
      </w:r>
      <w:r>
        <w:rPr>
          <w:rFonts w:hint="eastAsia"/>
        </w:rPr>
        <w:t>氮气（纯度≥99.99%）</w:t>
      </w:r>
      <w:r>
        <w:t>。</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 xml:space="preserve">6  </w:t>
      </w:r>
      <w:r>
        <w:rPr>
          <w:rFonts w:ascii="黑体" w:hAnsi="黑体" w:eastAsia="黑体"/>
          <w:b/>
          <w:szCs w:val="21"/>
        </w:rPr>
        <w:t>仪器</w:t>
      </w:r>
      <w:r>
        <w:rPr>
          <w:rFonts w:hint="eastAsia" w:ascii="黑体" w:hAnsi="黑体" w:eastAsia="黑体"/>
          <w:b/>
          <w:szCs w:val="21"/>
        </w:rPr>
        <w:t>和</w:t>
      </w:r>
      <w:r>
        <w:rPr>
          <w:rFonts w:ascii="黑体" w:hAnsi="黑体" w:eastAsia="黑体"/>
          <w:b/>
          <w:szCs w:val="21"/>
        </w:rPr>
        <w:t>设备</w:t>
      </w:r>
    </w:p>
    <w:p>
      <w:pPr>
        <w:pStyle w:val="56"/>
        <w:numPr>
          <w:ilvl w:val="0"/>
          <w:numId w:val="0"/>
        </w:numPr>
        <w:spacing w:line="360" w:lineRule="atLeast"/>
      </w:pPr>
      <w:r>
        <w:rPr>
          <w:b/>
          <w:color w:val="000000"/>
        </w:rPr>
        <w:t>6.1</w:t>
      </w:r>
      <w:r>
        <w:rPr>
          <w:color w:val="000000"/>
        </w:rPr>
        <w:t>高</w:t>
      </w:r>
      <w:r>
        <w:rPr>
          <w:szCs w:val="21"/>
        </w:rPr>
        <w:t>质量分辨率辉光放电质谱仪，中分辨率模式下分辨率可达3000～4000，高分辨率模式下分辨率可达9000～10000。</w:t>
      </w:r>
    </w:p>
    <w:p>
      <w:pPr>
        <w:pStyle w:val="56"/>
        <w:numPr>
          <w:ilvl w:val="0"/>
          <w:numId w:val="0"/>
        </w:numPr>
        <w:spacing w:line="360" w:lineRule="atLeast"/>
        <w:rPr>
          <w:color w:val="000000"/>
        </w:rPr>
      </w:pPr>
      <w:r>
        <w:rPr>
          <w:b/>
          <w:color w:val="000000"/>
        </w:rPr>
        <w:t>6.2</w:t>
      </w:r>
      <w:r>
        <w:rPr>
          <w:color w:val="000000"/>
        </w:rPr>
        <w:t>测定同位素及分辨率见表1。</w:t>
      </w:r>
      <w:r>
        <w:t>测定时要求</w:t>
      </w:r>
      <w:r>
        <w:rPr>
          <w:color w:val="000000"/>
        </w:rPr>
        <w:t>Ge</w:t>
      </w:r>
      <w:r>
        <w:t>同位素</w:t>
      </w:r>
      <w:r>
        <w:rPr>
          <w:color w:val="000000"/>
        </w:rPr>
        <w:t>的谱峰强度不小于</w:t>
      </w:r>
      <w:r>
        <w:rPr>
          <w:rFonts w:hint="eastAsia"/>
          <w:color w:val="000000"/>
        </w:rPr>
        <w:t>1</w:t>
      </w:r>
      <w:r>
        <w:rPr>
          <w:color w:val="000000"/>
        </w:rPr>
        <w:t>×10</w:t>
      </w:r>
      <w:r>
        <w:rPr>
          <w:color w:val="000000"/>
          <w:vertAlign w:val="superscript"/>
        </w:rPr>
        <w:t>9</w:t>
      </w:r>
      <w:r>
        <w:rPr>
          <w:color w:val="000000"/>
        </w:rPr>
        <w:t>cps，峰形符合分辨率要求。</w:t>
      </w:r>
    </w:p>
    <w:p>
      <w:pPr>
        <w:pStyle w:val="21"/>
        <w:spacing w:after="97" w:afterLines="30" w:line="360" w:lineRule="atLeast"/>
        <w:ind w:firstLine="420"/>
        <w:jc w:val="center"/>
        <w:rPr>
          <w:rFonts w:ascii="黑体" w:hAnsi="黑体" w:eastAsia="黑体"/>
        </w:rPr>
      </w:pPr>
    </w:p>
    <w:p>
      <w:pPr>
        <w:pStyle w:val="21"/>
        <w:spacing w:after="97" w:afterLines="30" w:line="360" w:lineRule="atLeast"/>
        <w:ind w:firstLine="420"/>
        <w:jc w:val="center"/>
        <w:rPr>
          <w:rFonts w:ascii="黑体" w:hAnsi="黑体" w:eastAsia="黑体"/>
        </w:rPr>
      </w:pPr>
      <w:r>
        <w:rPr>
          <w:rFonts w:hint="eastAsia" w:ascii="黑体" w:hAnsi="黑体" w:eastAsia="黑体"/>
        </w:rPr>
        <w:t>表1 同位素及分辨率</w:t>
      </w:r>
    </w:p>
    <w:tbl>
      <w:tblPr>
        <w:tblStyle w:val="31"/>
        <w:tblW w:w="5000"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Layout w:type="autofit"/>
        <w:tblCellMar>
          <w:top w:w="0" w:type="dxa"/>
          <w:left w:w="108" w:type="dxa"/>
          <w:bottom w:w="0" w:type="dxa"/>
          <w:right w:w="108" w:type="dxa"/>
        </w:tblCellMar>
      </w:tblPr>
      <w:tblGrid>
        <w:gridCol w:w="1065"/>
        <w:gridCol w:w="1063"/>
        <w:gridCol w:w="1063"/>
        <w:gridCol w:w="1063"/>
        <w:gridCol w:w="1063"/>
        <w:gridCol w:w="1063"/>
        <w:gridCol w:w="1063"/>
        <w:gridCol w:w="1063"/>
        <w:gridCol w:w="106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元 素</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同位素</w:t>
            </w:r>
          </w:p>
          <w:p>
            <w:pPr>
              <w:jc w:val="center"/>
              <w:rPr>
                <w:sz w:val="18"/>
                <w:szCs w:val="18"/>
              </w:rPr>
            </w:pPr>
            <w:r>
              <w:rPr>
                <w:rFonts w:hint="eastAsia"/>
                <w:sz w:val="18"/>
                <w:szCs w:val="18"/>
              </w:rPr>
              <w:t>质量数</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分辨率</w:t>
            </w:r>
          </w:p>
        </w:tc>
        <w:tc>
          <w:tcPr>
            <w:tcW w:w="555" w:type="pct"/>
            <w:tcBorders>
              <w:left w:val="double" w:color="auto" w:sz="4" w:space="0"/>
              <w:right w:val="single" w:color="auto" w:sz="4" w:space="0"/>
            </w:tcBorders>
            <w:vAlign w:val="center"/>
          </w:tcPr>
          <w:p>
            <w:pPr>
              <w:spacing w:line="400" w:lineRule="exact"/>
              <w:jc w:val="center"/>
              <w:rPr>
                <w:sz w:val="18"/>
                <w:szCs w:val="18"/>
              </w:rPr>
            </w:pPr>
            <w:r>
              <w:rPr>
                <w:rFonts w:hint="eastAsia"/>
                <w:sz w:val="18"/>
                <w:szCs w:val="18"/>
              </w:rPr>
              <w:t>元 素</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同位素</w:t>
            </w:r>
          </w:p>
          <w:p>
            <w:pPr>
              <w:jc w:val="center"/>
              <w:rPr>
                <w:sz w:val="18"/>
                <w:szCs w:val="18"/>
              </w:rPr>
            </w:pPr>
            <w:r>
              <w:rPr>
                <w:rFonts w:hint="eastAsia"/>
                <w:sz w:val="18"/>
                <w:szCs w:val="18"/>
              </w:rPr>
              <w:t>质量数</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分辨率</w:t>
            </w:r>
          </w:p>
        </w:tc>
        <w:tc>
          <w:tcPr>
            <w:tcW w:w="555" w:type="pct"/>
            <w:tcBorders>
              <w:left w:val="double" w:color="auto" w:sz="4" w:space="0"/>
              <w:right w:val="single" w:color="auto" w:sz="4" w:space="0"/>
            </w:tcBorders>
            <w:vAlign w:val="center"/>
          </w:tcPr>
          <w:p>
            <w:pPr>
              <w:jc w:val="center"/>
              <w:rPr>
                <w:sz w:val="18"/>
                <w:szCs w:val="18"/>
              </w:rPr>
            </w:pPr>
            <w:r>
              <w:rPr>
                <w:rFonts w:hint="eastAsia"/>
                <w:sz w:val="18"/>
                <w:szCs w:val="18"/>
              </w:rPr>
              <w:t>元 素</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同位素</w:t>
            </w:r>
          </w:p>
          <w:p>
            <w:pPr>
              <w:jc w:val="center"/>
              <w:rPr>
                <w:sz w:val="18"/>
                <w:szCs w:val="18"/>
              </w:rPr>
            </w:pPr>
            <w:r>
              <w:rPr>
                <w:rFonts w:hint="eastAsia"/>
                <w:sz w:val="18"/>
                <w:szCs w:val="18"/>
              </w:rPr>
              <w:t>质量数</w:t>
            </w:r>
          </w:p>
        </w:tc>
        <w:tc>
          <w:tcPr>
            <w:tcW w:w="556" w:type="pct"/>
            <w:tcBorders>
              <w:left w:val="single" w:color="auto" w:sz="4" w:space="0"/>
            </w:tcBorders>
            <w:vAlign w:val="center"/>
          </w:tcPr>
          <w:p>
            <w:pPr>
              <w:jc w:val="center"/>
              <w:rPr>
                <w:sz w:val="18"/>
                <w:szCs w:val="18"/>
              </w:rPr>
            </w:pPr>
            <w:r>
              <w:rPr>
                <w:rFonts w:hint="eastAsia"/>
                <w:sz w:val="18"/>
                <w:szCs w:val="18"/>
              </w:rPr>
              <w:t>分辨率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Li</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As</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75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Sm</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152</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Be</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Se</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82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Eu</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153</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Br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79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Gd</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158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F</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Rb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85</w:t>
            </w:r>
          </w:p>
        </w:tc>
        <w:tc>
          <w:tcPr>
            <w:tcW w:w="555" w:type="pct"/>
            <w:tcBorders>
              <w:left w:val="single" w:color="auto" w:sz="4" w:space="0"/>
              <w:right w:val="double" w:color="auto" w:sz="4" w:space="0"/>
            </w:tcBorders>
          </w:tcPr>
          <w:p>
            <w:pPr>
              <w:jc w:val="cente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Tb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159</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Na</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Sr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88</w:t>
            </w:r>
          </w:p>
        </w:tc>
        <w:tc>
          <w:tcPr>
            <w:tcW w:w="555" w:type="pct"/>
            <w:tcBorders>
              <w:left w:val="single" w:color="auto" w:sz="4" w:space="0"/>
              <w:right w:val="double" w:color="auto" w:sz="4" w:space="0"/>
            </w:tcBorders>
          </w:tcPr>
          <w:p>
            <w:pPr>
              <w:jc w:val="cente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Dy</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164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Mg</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24</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Y</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89</w:t>
            </w:r>
          </w:p>
        </w:tc>
        <w:tc>
          <w:tcPr>
            <w:tcW w:w="555" w:type="pct"/>
            <w:tcBorders>
              <w:left w:val="single" w:color="auto" w:sz="4" w:space="0"/>
              <w:right w:val="double" w:color="auto" w:sz="4" w:space="0"/>
            </w:tcBorders>
          </w:tcPr>
          <w:p>
            <w:pPr>
              <w:jc w:val="cente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Go</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165</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Al</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Zr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91</w:t>
            </w:r>
          </w:p>
        </w:tc>
        <w:tc>
          <w:tcPr>
            <w:tcW w:w="555" w:type="pct"/>
            <w:tcBorders>
              <w:left w:val="single" w:color="auto" w:sz="4" w:space="0"/>
              <w:right w:val="double" w:color="auto" w:sz="4" w:space="0"/>
            </w:tcBorders>
          </w:tcPr>
          <w:p>
            <w:pPr>
              <w:jc w:val="cente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Er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166</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Si</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28</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Nb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93</w:t>
            </w:r>
          </w:p>
        </w:tc>
        <w:tc>
          <w:tcPr>
            <w:tcW w:w="555" w:type="pct"/>
            <w:tcBorders>
              <w:left w:val="single" w:color="auto" w:sz="4" w:space="0"/>
              <w:right w:val="double" w:color="auto" w:sz="4" w:space="0"/>
            </w:tcBorders>
          </w:tcPr>
          <w:p>
            <w:pPr>
              <w:jc w:val="cente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Tm</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169</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P</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31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Mo</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95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Yb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174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S</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32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Ru</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102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Lu</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175</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Cl</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35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R</w:t>
            </w:r>
            <w:r>
              <w:rPr>
                <w:rFonts w:hint="eastAsia"/>
                <w:sz w:val="18"/>
                <w:szCs w:val="18"/>
              </w:rPr>
              <w:t>h</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103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rFonts w:hint="eastAsia"/>
                <w:sz w:val="18"/>
                <w:szCs w:val="18"/>
              </w:rPr>
              <w:t>Hf</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178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K</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39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Pd</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105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Ta</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181</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Ca</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44</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Ag</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107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W</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184</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Sc</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45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Cd</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111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Re</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187</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Ti</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48</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In</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115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Os</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192</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V</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51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Sn</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119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Ir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 xml:space="preserve">193                   </w:t>
            </w:r>
          </w:p>
        </w:tc>
        <w:tc>
          <w:tcPr>
            <w:tcW w:w="556" w:type="pct"/>
            <w:tcBorders>
              <w:left w:val="single" w:color="auto" w:sz="4" w:space="0"/>
            </w:tcBorders>
          </w:tcPr>
          <w:p>
            <w:pPr>
              <w:jc w:val="cente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Cr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52</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rFonts w:hint="eastAsia"/>
                <w:sz w:val="18"/>
                <w:szCs w:val="18"/>
              </w:rPr>
              <w:t>Sb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121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Pt</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194</w:t>
            </w:r>
          </w:p>
        </w:tc>
        <w:tc>
          <w:tcPr>
            <w:tcW w:w="556" w:type="pct"/>
            <w:tcBorders>
              <w:left w:val="single" w:color="auto" w:sz="4" w:space="0"/>
            </w:tcBorders>
          </w:tcPr>
          <w:p>
            <w:pPr>
              <w:jc w:val="cente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Mn</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55</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Te</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130</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Au</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197</w:t>
            </w:r>
          </w:p>
        </w:tc>
        <w:tc>
          <w:tcPr>
            <w:tcW w:w="556" w:type="pct"/>
            <w:tcBorders>
              <w:left w:val="single" w:color="auto" w:sz="4" w:space="0"/>
            </w:tcBorders>
            <w:vAlign w:val="center"/>
          </w:tcPr>
          <w:p>
            <w:pPr>
              <w:jc w:val="center"/>
              <w:rPr>
                <w:sz w:val="18"/>
                <w:szCs w:val="18"/>
              </w:rPr>
            </w:pPr>
            <w:r>
              <w:rPr>
                <w:rFonts w:hint="eastAsia"/>
                <w:sz w:val="18"/>
                <w:szCs w:val="18"/>
              </w:rPr>
              <w:t>高分辨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Fe</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56</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高分辨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I</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127</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rFonts w:hint="eastAsia"/>
                <w:sz w:val="18"/>
                <w:szCs w:val="18"/>
              </w:rPr>
              <w:t>H</w:t>
            </w:r>
            <w:r>
              <w:rPr>
                <w:sz w:val="18"/>
                <w:szCs w:val="18"/>
              </w:rPr>
              <w:t>g</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202</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Co</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59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Cs</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133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Tl</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205</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Ni</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60</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Ba</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138</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Pb</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208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Cu</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63</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La</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139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Bi</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209</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rFonts w:hint="eastAsia"/>
                <w:sz w:val="18"/>
                <w:szCs w:val="18"/>
              </w:rPr>
              <w:t>Zn</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64</w:t>
            </w:r>
          </w:p>
        </w:tc>
        <w:tc>
          <w:tcPr>
            <w:tcW w:w="555" w:type="pct"/>
            <w:tcBorders>
              <w:left w:val="single" w:color="auto" w:sz="4" w:space="0"/>
              <w:right w:val="double" w:color="auto" w:sz="4" w:space="0"/>
            </w:tcBorders>
            <w:vAlign w:val="center"/>
          </w:tcPr>
          <w:p>
            <w:pPr>
              <w:jc w:val="center"/>
              <w:rPr>
                <w:sz w:val="18"/>
                <w:szCs w:val="18"/>
              </w:rPr>
            </w:pPr>
            <w:bookmarkStart w:id="5" w:name="OLE_LINK1"/>
            <w:r>
              <w:rPr>
                <w:rFonts w:hint="eastAsia"/>
                <w:sz w:val="18"/>
                <w:szCs w:val="18"/>
              </w:rPr>
              <w:t>中分辨</w:t>
            </w:r>
            <w:bookmarkEnd w:id="5"/>
          </w:p>
        </w:tc>
        <w:tc>
          <w:tcPr>
            <w:tcW w:w="555" w:type="pct"/>
            <w:tcBorders>
              <w:left w:val="double" w:color="auto" w:sz="4" w:space="0"/>
              <w:right w:val="single" w:color="auto" w:sz="4" w:space="0"/>
            </w:tcBorders>
            <w:vAlign w:val="center"/>
          </w:tcPr>
          <w:p>
            <w:pPr>
              <w:jc w:val="center"/>
              <w:rPr>
                <w:sz w:val="18"/>
                <w:szCs w:val="18"/>
              </w:rPr>
            </w:pPr>
            <w:r>
              <w:rPr>
                <w:sz w:val="18"/>
                <w:szCs w:val="18"/>
              </w:rPr>
              <w:t>Ce</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140</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T</w:t>
            </w:r>
            <w:r>
              <w:rPr>
                <w:rFonts w:hint="eastAsia"/>
                <w:sz w:val="18"/>
                <w:szCs w:val="18"/>
              </w:rPr>
              <w:t>h</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232</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r>
              <w:rPr>
                <w:sz w:val="18"/>
                <w:szCs w:val="18"/>
              </w:rPr>
              <w:t>Ga</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69</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Pr</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141</w:t>
            </w:r>
          </w:p>
        </w:tc>
        <w:tc>
          <w:tcPr>
            <w:tcW w:w="555" w:type="pct"/>
            <w:tcBorders>
              <w:left w:val="single" w:color="auto" w:sz="4" w:space="0"/>
              <w:right w:val="double" w:color="auto" w:sz="4" w:space="0"/>
            </w:tcBorders>
            <w:vAlign w:val="center"/>
          </w:tcPr>
          <w:p>
            <w:pPr>
              <w:jc w:val="center"/>
              <w:rPr>
                <w:sz w:val="18"/>
                <w:szCs w:val="18"/>
              </w:rPr>
            </w:pPr>
            <w:r>
              <w:rPr>
                <w:rFonts w:hint="eastAsia"/>
                <w:sz w:val="18"/>
                <w:szCs w:val="18"/>
              </w:rPr>
              <w:t>中分辨</w:t>
            </w:r>
          </w:p>
        </w:tc>
        <w:tc>
          <w:tcPr>
            <w:tcW w:w="555" w:type="pct"/>
            <w:tcBorders>
              <w:left w:val="double" w:color="auto" w:sz="4" w:space="0"/>
              <w:right w:val="single" w:color="auto" w:sz="4" w:space="0"/>
            </w:tcBorders>
            <w:vAlign w:val="center"/>
          </w:tcPr>
          <w:p>
            <w:pPr>
              <w:jc w:val="center"/>
              <w:rPr>
                <w:sz w:val="18"/>
                <w:szCs w:val="18"/>
              </w:rPr>
            </w:pPr>
            <w:r>
              <w:rPr>
                <w:sz w:val="18"/>
                <w:szCs w:val="18"/>
              </w:rPr>
              <w:t>U</w:t>
            </w:r>
          </w:p>
        </w:tc>
        <w:tc>
          <w:tcPr>
            <w:tcW w:w="555" w:type="pct"/>
            <w:tcBorders>
              <w:left w:val="single" w:color="auto" w:sz="4" w:space="0"/>
              <w:right w:val="single" w:color="auto" w:sz="4" w:space="0"/>
            </w:tcBorders>
            <w:vAlign w:val="center"/>
          </w:tcPr>
          <w:p>
            <w:pPr>
              <w:jc w:val="center"/>
              <w:rPr>
                <w:sz w:val="18"/>
                <w:szCs w:val="18"/>
              </w:rPr>
            </w:pPr>
            <w:r>
              <w:rPr>
                <w:rFonts w:hint="eastAsia"/>
                <w:sz w:val="18"/>
                <w:szCs w:val="18"/>
              </w:rPr>
              <w:t>238</w:t>
            </w:r>
          </w:p>
        </w:tc>
        <w:tc>
          <w:tcPr>
            <w:tcW w:w="556" w:type="pct"/>
            <w:tcBorders>
              <w:left w:val="single" w:color="auto" w:sz="4" w:space="0"/>
            </w:tcBorders>
            <w:vAlign w:val="center"/>
          </w:tcPr>
          <w:p>
            <w:pPr>
              <w:jc w:val="center"/>
              <w:rPr>
                <w:sz w:val="18"/>
                <w:szCs w:val="18"/>
              </w:rPr>
            </w:pPr>
            <w:r>
              <w:rPr>
                <w:rFonts w:hint="eastAsia"/>
                <w:sz w:val="18"/>
                <w:szCs w:val="18"/>
              </w:rPr>
              <w:t>中分辨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12" w:space="0"/>
          </w:tblBorders>
          <w:tblCellMar>
            <w:top w:w="0" w:type="dxa"/>
            <w:left w:w="108" w:type="dxa"/>
            <w:bottom w:w="0" w:type="dxa"/>
            <w:right w:w="108" w:type="dxa"/>
          </w:tblCellMar>
        </w:tblPrEx>
        <w:tc>
          <w:tcPr>
            <w:tcW w:w="556" w:type="pct"/>
            <w:tcBorders>
              <w:right w:val="single" w:color="auto" w:sz="4" w:space="0"/>
            </w:tcBorders>
            <w:vAlign w:val="center"/>
          </w:tcPr>
          <w:p>
            <w:pPr>
              <w:jc w:val="center"/>
              <w:rPr>
                <w:sz w:val="18"/>
                <w:szCs w:val="18"/>
              </w:rPr>
            </w:pPr>
          </w:p>
        </w:tc>
        <w:tc>
          <w:tcPr>
            <w:tcW w:w="555" w:type="pct"/>
            <w:tcBorders>
              <w:left w:val="single" w:color="auto" w:sz="4" w:space="0"/>
              <w:right w:val="single" w:color="auto" w:sz="4" w:space="0"/>
            </w:tcBorders>
            <w:vAlign w:val="center"/>
          </w:tcPr>
          <w:p>
            <w:pPr>
              <w:jc w:val="center"/>
              <w:rPr>
                <w:sz w:val="18"/>
                <w:szCs w:val="18"/>
              </w:rPr>
            </w:pPr>
          </w:p>
        </w:tc>
        <w:tc>
          <w:tcPr>
            <w:tcW w:w="555" w:type="pct"/>
            <w:tcBorders>
              <w:left w:val="single" w:color="auto" w:sz="4" w:space="0"/>
              <w:right w:val="double" w:color="auto" w:sz="4" w:space="0"/>
            </w:tcBorders>
            <w:vAlign w:val="center"/>
          </w:tcPr>
          <w:p>
            <w:pPr>
              <w:jc w:val="center"/>
              <w:rPr>
                <w:sz w:val="18"/>
                <w:szCs w:val="18"/>
              </w:rPr>
            </w:pPr>
          </w:p>
        </w:tc>
        <w:tc>
          <w:tcPr>
            <w:tcW w:w="555" w:type="pct"/>
            <w:tcBorders>
              <w:left w:val="double" w:color="auto" w:sz="4" w:space="0"/>
              <w:right w:val="single" w:color="auto" w:sz="4" w:space="0"/>
            </w:tcBorders>
            <w:vAlign w:val="center"/>
          </w:tcPr>
          <w:p>
            <w:pPr>
              <w:jc w:val="center"/>
              <w:rPr>
                <w:sz w:val="18"/>
                <w:szCs w:val="18"/>
              </w:rPr>
            </w:pPr>
          </w:p>
        </w:tc>
        <w:tc>
          <w:tcPr>
            <w:tcW w:w="555" w:type="pct"/>
            <w:tcBorders>
              <w:left w:val="single" w:color="auto" w:sz="4" w:space="0"/>
              <w:right w:val="single" w:color="auto" w:sz="4" w:space="0"/>
            </w:tcBorders>
            <w:vAlign w:val="center"/>
          </w:tcPr>
          <w:p>
            <w:pPr>
              <w:jc w:val="center"/>
              <w:rPr>
                <w:sz w:val="18"/>
                <w:szCs w:val="18"/>
              </w:rPr>
            </w:pPr>
          </w:p>
        </w:tc>
        <w:tc>
          <w:tcPr>
            <w:tcW w:w="555" w:type="pct"/>
            <w:tcBorders>
              <w:left w:val="single" w:color="auto" w:sz="4" w:space="0"/>
              <w:right w:val="double" w:color="auto" w:sz="4" w:space="0"/>
            </w:tcBorders>
            <w:vAlign w:val="center"/>
          </w:tcPr>
          <w:p>
            <w:pPr>
              <w:jc w:val="center"/>
              <w:rPr>
                <w:sz w:val="18"/>
                <w:szCs w:val="18"/>
              </w:rPr>
            </w:pPr>
          </w:p>
        </w:tc>
        <w:tc>
          <w:tcPr>
            <w:tcW w:w="555" w:type="pct"/>
            <w:tcBorders>
              <w:left w:val="double" w:color="auto" w:sz="4" w:space="0"/>
              <w:right w:val="single" w:color="auto" w:sz="4" w:space="0"/>
            </w:tcBorders>
            <w:vAlign w:val="center"/>
          </w:tcPr>
          <w:p>
            <w:pPr>
              <w:jc w:val="center"/>
              <w:rPr>
                <w:sz w:val="18"/>
                <w:szCs w:val="18"/>
              </w:rPr>
            </w:pPr>
          </w:p>
        </w:tc>
        <w:tc>
          <w:tcPr>
            <w:tcW w:w="555" w:type="pct"/>
            <w:tcBorders>
              <w:left w:val="single" w:color="auto" w:sz="4" w:space="0"/>
              <w:right w:val="single" w:color="auto" w:sz="4" w:space="0"/>
            </w:tcBorders>
            <w:vAlign w:val="center"/>
          </w:tcPr>
          <w:p>
            <w:pPr>
              <w:jc w:val="center"/>
              <w:rPr>
                <w:sz w:val="18"/>
                <w:szCs w:val="18"/>
              </w:rPr>
            </w:pPr>
          </w:p>
        </w:tc>
        <w:tc>
          <w:tcPr>
            <w:tcW w:w="556" w:type="pct"/>
            <w:tcBorders>
              <w:left w:val="single" w:color="auto" w:sz="4" w:space="0"/>
            </w:tcBorders>
            <w:vAlign w:val="center"/>
          </w:tcPr>
          <w:p>
            <w:pPr>
              <w:jc w:val="center"/>
              <w:rPr>
                <w:sz w:val="18"/>
                <w:szCs w:val="18"/>
              </w:rPr>
            </w:pPr>
          </w:p>
        </w:tc>
      </w:tr>
    </w:tbl>
    <w:p>
      <w:pPr>
        <w:pStyle w:val="56"/>
        <w:numPr>
          <w:ilvl w:val="0"/>
          <w:numId w:val="0"/>
        </w:numPr>
        <w:spacing w:line="360" w:lineRule="atLeast"/>
        <w:ind w:firstLine="105" w:firstLineChars="50"/>
        <w:rPr>
          <w:b/>
          <w:color w:val="000000"/>
        </w:rPr>
      </w:pPr>
    </w:p>
    <w:p>
      <w:pPr>
        <w:pStyle w:val="56"/>
        <w:numPr>
          <w:ilvl w:val="0"/>
          <w:numId w:val="0"/>
        </w:numPr>
        <w:spacing w:line="360" w:lineRule="atLeast"/>
        <w:rPr>
          <w:color w:val="000000"/>
        </w:rPr>
      </w:pPr>
      <w:r>
        <w:rPr>
          <w:rFonts w:hint="eastAsia"/>
          <w:b/>
          <w:color w:val="000000"/>
        </w:rPr>
        <w:t>6</w:t>
      </w:r>
      <w:r>
        <w:rPr>
          <w:b/>
          <w:color w:val="000000"/>
        </w:rPr>
        <w:t>.3</w:t>
      </w:r>
      <w:r>
        <w:rPr>
          <w:color w:val="000000"/>
        </w:rPr>
        <w:t xml:space="preserve">  </w:t>
      </w:r>
      <w:r>
        <w:rPr>
          <w:rFonts w:hint="eastAsia"/>
          <w:color w:val="000000"/>
        </w:rPr>
        <w:t>用机械加工设备将样品制备成所需要的几何形状（块状或棒状），试料待分析面应平坦光滑。</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7  样品</w:t>
      </w:r>
    </w:p>
    <w:p>
      <w:pPr>
        <w:pStyle w:val="21"/>
        <w:spacing w:line="360" w:lineRule="atLeast"/>
        <w:ind w:firstLine="420"/>
        <w:rPr>
          <w:rFonts w:ascii="Times New Roman" w:hAnsi="宋体"/>
        </w:rPr>
      </w:pPr>
      <w:r>
        <w:rPr>
          <w:rFonts w:hint="eastAsia" w:ascii="Times New Roman" w:hAnsi="宋体"/>
        </w:rPr>
        <w:t xml:space="preserve">试料尺寸符合要求，能放入辉光放电离子源内并且能够稳定地进行辉光放电。 </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8  试验</w:t>
      </w:r>
      <w:r>
        <w:rPr>
          <w:rFonts w:ascii="黑体" w:hAnsi="黑体" w:eastAsia="黑体"/>
          <w:b/>
          <w:szCs w:val="21"/>
        </w:rPr>
        <w:t>步骤</w:t>
      </w:r>
    </w:p>
    <w:p>
      <w:pPr>
        <w:pStyle w:val="56"/>
        <w:numPr>
          <w:ilvl w:val="0"/>
          <w:numId w:val="0"/>
        </w:numPr>
        <w:spacing w:before="156" w:after="156" w:line="360" w:lineRule="atLeast"/>
        <w:rPr>
          <w:rFonts w:ascii="黑体" w:hAnsi="黑体"/>
        </w:rPr>
      </w:pPr>
      <w:r>
        <w:rPr>
          <w:rFonts w:hint="eastAsia" w:ascii="黑体" w:hAnsi="黑体"/>
          <w:b/>
        </w:rPr>
        <w:t>8</w:t>
      </w:r>
      <w:r>
        <w:rPr>
          <w:rFonts w:ascii="黑体" w:hAnsi="黑体"/>
          <w:b/>
        </w:rPr>
        <w:t>.1</w:t>
      </w:r>
      <w:r>
        <w:rPr>
          <w:rFonts w:hint="eastAsia" w:ascii="黑体" w:hAnsi="黑体"/>
        </w:rPr>
        <w:t>样品预处理</w:t>
      </w:r>
    </w:p>
    <w:p>
      <w:pPr>
        <w:spacing w:line="360" w:lineRule="atLeast"/>
        <w:ind w:firstLine="420" w:firstLineChars="200"/>
        <w:rPr>
          <w:rFonts w:hAnsi="宋体"/>
        </w:rPr>
      </w:pPr>
      <w:r>
        <w:rPr>
          <w:rFonts w:hint="eastAsia" w:cs="宋体"/>
          <w:kern w:val="0"/>
        </w:rPr>
        <w:t>将加工好的样品</w:t>
      </w:r>
      <w:r>
        <w:rPr>
          <w:rFonts w:hAnsi="宋体"/>
        </w:rPr>
        <w:t>依次用氢氟酸（</w:t>
      </w:r>
      <w:r>
        <w:t>5.</w:t>
      </w:r>
      <w:r>
        <w:rPr>
          <w:rFonts w:hint="eastAsia"/>
        </w:rPr>
        <w:t>3</w:t>
      </w:r>
      <w:r>
        <w:rPr>
          <w:rFonts w:hAnsi="宋体"/>
        </w:rPr>
        <w:t>）</w:t>
      </w:r>
      <w:r>
        <w:rPr>
          <w:rFonts w:hint="eastAsia" w:hAnsi="宋体"/>
        </w:rPr>
        <w:t>、</w:t>
      </w:r>
      <w:r>
        <w:rPr>
          <w:rFonts w:hAnsi="宋体"/>
        </w:rPr>
        <w:t>去离子水</w:t>
      </w:r>
      <w:r>
        <w:rPr>
          <w:rFonts w:hint="eastAsia" w:hAnsi="宋体"/>
        </w:rPr>
        <w:t>、</w:t>
      </w:r>
      <w:r>
        <w:rPr>
          <w:rFonts w:hAnsi="宋体"/>
        </w:rPr>
        <w:t>无水乙醇（</w:t>
      </w:r>
      <w:r>
        <w:rPr>
          <w:rFonts w:hint="eastAsia" w:hAnsi="宋体"/>
        </w:rPr>
        <w:t>5</w:t>
      </w:r>
      <w:r>
        <w:t>.1</w:t>
      </w:r>
      <w:r>
        <w:rPr>
          <w:rFonts w:hAnsi="宋体"/>
        </w:rPr>
        <w:t>）清洗</w:t>
      </w:r>
      <w:r>
        <w:rPr>
          <w:rFonts w:hint="eastAsia" w:hAnsi="宋体"/>
        </w:rPr>
        <w:t>干</w:t>
      </w:r>
      <w:r>
        <w:rPr>
          <w:rFonts w:hAnsi="宋体"/>
        </w:rPr>
        <w:t>净，吹干或晾干后，装入辉光放电离子源中。</w:t>
      </w:r>
    </w:p>
    <w:p>
      <w:pPr>
        <w:pStyle w:val="56"/>
        <w:numPr>
          <w:ilvl w:val="0"/>
          <w:numId w:val="0"/>
        </w:numPr>
        <w:spacing w:before="156" w:after="156" w:line="360" w:lineRule="atLeast"/>
        <w:rPr>
          <w:rFonts w:ascii="黑体" w:hAnsi="黑体"/>
        </w:rPr>
      </w:pPr>
      <w:r>
        <w:rPr>
          <w:rFonts w:hint="eastAsia" w:ascii="黑体" w:hAnsi="黑体"/>
          <w:b/>
        </w:rPr>
        <w:t>8</w:t>
      </w:r>
      <w:r>
        <w:rPr>
          <w:rFonts w:ascii="黑体" w:hAnsi="黑体"/>
          <w:b/>
        </w:rPr>
        <w:t>.2</w:t>
      </w:r>
      <w:r>
        <w:rPr>
          <w:rFonts w:hint="eastAsia" w:ascii="黑体" w:hAnsi="黑体"/>
        </w:rPr>
        <w:t>仪器背景监控试验</w:t>
      </w:r>
    </w:p>
    <w:p>
      <w:pPr>
        <w:spacing w:line="360" w:lineRule="atLeast"/>
        <w:ind w:firstLine="420" w:firstLineChars="200"/>
      </w:pPr>
      <w:r>
        <w:rPr>
          <w:rFonts w:hint="eastAsia" w:hAnsi="宋体"/>
        </w:rPr>
        <w:t>测定仪器背景监控样品，观察被测元素的仪器背景情况。</w:t>
      </w:r>
    </w:p>
    <w:p>
      <w:pPr>
        <w:pStyle w:val="56"/>
        <w:numPr>
          <w:ilvl w:val="0"/>
          <w:numId w:val="0"/>
        </w:numPr>
        <w:spacing w:before="156" w:after="156" w:line="360" w:lineRule="atLeast"/>
        <w:rPr>
          <w:rFonts w:ascii="黑体" w:hAnsi="黑体"/>
        </w:rPr>
      </w:pPr>
      <w:r>
        <w:rPr>
          <w:rFonts w:hint="eastAsia" w:ascii="黑体" w:hAnsi="黑体"/>
          <w:b/>
        </w:rPr>
        <w:t>8</w:t>
      </w:r>
      <w:r>
        <w:rPr>
          <w:rFonts w:ascii="黑体" w:hAnsi="黑体"/>
          <w:b/>
        </w:rPr>
        <w:t>.3</w:t>
      </w:r>
      <w:r>
        <w:rPr>
          <w:rFonts w:hint="eastAsia" w:ascii="黑体" w:hAnsi="黑体"/>
        </w:rPr>
        <w:t>相对灵敏度因子的测定</w:t>
      </w:r>
    </w:p>
    <w:p>
      <w:pPr>
        <w:spacing w:line="360" w:lineRule="atLeast"/>
        <w:ind w:firstLine="420" w:firstLineChars="200"/>
        <w:rPr>
          <w:rFonts w:hAnsi="宋体"/>
        </w:rPr>
      </w:pPr>
      <w:r>
        <w:t>使用</w:t>
      </w:r>
      <w:r>
        <w:rPr>
          <w:rFonts w:hint="eastAsia"/>
        </w:rPr>
        <w:t>锗</w:t>
      </w:r>
      <w:r>
        <w:t>标准样品（3.</w:t>
      </w:r>
      <w:r>
        <w:rPr>
          <w:rFonts w:hint="eastAsia"/>
        </w:rPr>
        <w:t>4</w:t>
      </w:r>
      <w:r>
        <w:t>）</w:t>
      </w:r>
      <w:r>
        <w:rPr>
          <w:rFonts w:hint="eastAsia"/>
        </w:rPr>
        <w:t>得出各被测元素的相对灵敏度因子。</w:t>
      </w:r>
    </w:p>
    <w:p>
      <w:pPr>
        <w:pStyle w:val="56"/>
        <w:numPr>
          <w:ilvl w:val="0"/>
          <w:numId w:val="0"/>
        </w:numPr>
        <w:spacing w:before="156" w:after="156" w:line="360" w:lineRule="atLeast"/>
        <w:rPr>
          <w:rFonts w:ascii="黑体" w:hAnsi="黑体"/>
          <w:b/>
        </w:rPr>
      </w:pPr>
      <w:r>
        <w:rPr>
          <w:rFonts w:hint="eastAsia" w:ascii="黑体" w:hAnsi="黑体"/>
          <w:b/>
        </w:rPr>
        <w:t>8</w:t>
      </w:r>
      <w:r>
        <w:rPr>
          <w:rFonts w:ascii="黑体" w:hAnsi="黑体"/>
          <w:b/>
        </w:rPr>
        <w:t>.4测定</w:t>
      </w:r>
    </w:p>
    <w:p>
      <w:pPr>
        <w:spacing w:line="360" w:lineRule="atLeast"/>
        <w:rPr>
          <w:rFonts w:ascii="宋体" w:hAnsi="宋体" w:cs="宋体"/>
          <w:kern w:val="0"/>
          <w:szCs w:val="21"/>
        </w:rPr>
      </w:pPr>
      <w:r>
        <w:rPr>
          <w:rFonts w:ascii="黑体" w:hAnsi="黑体" w:eastAsia="黑体"/>
          <w:b/>
        </w:rPr>
        <w:t>8.4.1</w:t>
      </w:r>
      <w:r>
        <w:rPr>
          <w:rFonts w:hint="eastAsia" w:ascii="宋体" w:hAnsi="宋体"/>
        </w:rPr>
        <w:t>选择适当电流进行</w:t>
      </w:r>
      <w:r>
        <w:t>10</w:t>
      </w:r>
      <w:r>
        <w:rPr>
          <w:color w:val="000000"/>
        </w:rPr>
        <w:t>～</w:t>
      </w:r>
      <w:r>
        <w:rPr>
          <w:kern w:val="0"/>
          <w:szCs w:val="21"/>
        </w:rPr>
        <w:t>20min</w:t>
      </w:r>
      <w:r>
        <w:rPr>
          <w:rFonts w:hint="eastAsia" w:ascii="宋体" w:hAnsi="宋体" w:cs="宋体"/>
          <w:kern w:val="0"/>
          <w:szCs w:val="21"/>
        </w:rPr>
        <w:t>电流预溅射，以清除试料表面污染。</w:t>
      </w:r>
    </w:p>
    <w:p>
      <w:pPr>
        <w:spacing w:line="360" w:lineRule="atLeast"/>
      </w:pPr>
      <w:r>
        <w:rPr>
          <w:rFonts w:ascii="黑体" w:hAnsi="黑体" w:eastAsia="黑体"/>
          <w:b/>
        </w:rPr>
        <w:t>8.</w:t>
      </w:r>
      <w:r>
        <w:rPr>
          <w:rFonts w:hint="eastAsia" w:ascii="黑体" w:hAnsi="黑体" w:eastAsia="黑体"/>
          <w:b/>
        </w:rPr>
        <w:t>4</w:t>
      </w:r>
      <w:r>
        <w:rPr>
          <w:rFonts w:ascii="黑体" w:hAnsi="黑体" w:eastAsia="黑体"/>
          <w:b/>
        </w:rPr>
        <w:t>.</w:t>
      </w:r>
      <w:r>
        <w:rPr>
          <w:rFonts w:hint="eastAsia" w:ascii="黑体" w:hAnsi="黑体" w:eastAsia="黑体"/>
          <w:b/>
        </w:rPr>
        <w:t>2</w:t>
      </w:r>
      <w:r>
        <w:t>将</w:t>
      </w:r>
      <w:r>
        <w:rPr>
          <w:rFonts w:hint="eastAsia" w:hAnsi="宋体"/>
        </w:rPr>
        <w:t>辉光放电离子源溅射条件调节到分析所需要的条件，进行测量。同一溅射点连续采集的三个测量数据的精密度满足表2所允许的相对偏差的要求时，取其平均值作为测量结果。被测元素的含量以质量分数计，计算机直接给出计算结果。</w:t>
      </w:r>
    </w:p>
    <w:p>
      <w:pPr>
        <w:pStyle w:val="109"/>
        <w:snapToGrid w:val="0"/>
        <w:spacing w:before="162" w:beforeLines="50" w:after="162" w:afterLines="50" w:line="360" w:lineRule="atLeast"/>
        <w:ind w:firstLine="0" w:firstLineChars="0"/>
        <w:outlineLvl w:val="1"/>
        <w:rPr>
          <w:rFonts w:ascii="黑体" w:hAnsi="黑体" w:eastAsia="黑体"/>
          <w:b/>
          <w:szCs w:val="21"/>
        </w:rPr>
      </w:pPr>
      <w:r>
        <w:rPr>
          <w:rFonts w:hint="eastAsia" w:ascii="黑体" w:hAnsi="黑体" w:eastAsia="黑体"/>
          <w:b/>
          <w:szCs w:val="21"/>
        </w:rPr>
        <w:t xml:space="preserve">9 </w:t>
      </w:r>
      <w:r>
        <w:rPr>
          <w:rFonts w:ascii="黑体" w:hAnsi="黑体" w:eastAsia="黑体"/>
          <w:b/>
          <w:szCs w:val="21"/>
        </w:rPr>
        <w:t>分析结果的计算</w:t>
      </w:r>
    </w:p>
    <w:p>
      <w:pPr>
        <w:spacing w:line="360" w:lineRule="atLeast"/>
        <w:ind w:firstLine="420" w:firstLineChars="200"/>
        <w:rPr>
          <w:rFonts w:ascii="宋体" w:hAnsi="宋体"/>
        </w:rPr>
      </w:pPr>
      <w:r>
        <w:rPr>
          <w:rFonts w:hint="eastAsia" w:ascii="宋体" w:hAnsi="宋体"/>
        </w:rPr>
        <w:t>被测元素的含量以质量分数</w:t>
      </w:r>
      <w:r>
        <w:rPr>
          <w:position w:val="-10"/>
        </w:rPr>
        <w:object>
          <v:shape id="_x0000_i1025" o:spt="75" type="#_x0000_t75" style="height:17.25pt;width:17.2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ascii="宋体" w:hAnsi="宋体"/>
        </w:rPr>
        <w:t>计，按公式(1)计算：</w:t>
      </w:r>
    </w:p>
    <w:p>
      <w:pPr>
        <w:pStyle w:val="21"/>
        <w:spacing w:line="300" w:lineRule="auto"/>
        <w:ind w:firstLine="1365" w:firstLineChars="650"/>
        <w:rPr>
          <w:sz w:val="28"/>
          <w:szCs w:val="28"/>
        </w:rPr>
      </w:pPr>
      <w:r>
        <w:rPr>
          <w:position w:val="-30"/>
        </w:rPr>
        <w:object>
          <v:shape id="_x0000_i1026" o:spt="75" type="#_x0000_t75" style="height:36pt;width:171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t xml:space="preserve">   ……………………………(1) </w:t>
      </w:r>
    </w:p>
    <w:p>
      <w:pPr>
        <w:autoSpaceDE w:val="0"/>
        <w:autoSpaceDN w:val="0"/>
        <w:adjustRightInd w:val="0"/>
        <w:spacing w:line="360" w:lineRule="auto"/>
        <w:ind w:firstLine="420"/>
        <w:jc w:val="left"/>
        <w:rPr>
          <w:rFonts w:ascii="宋体" w:cs="宋体"/>
          <w:kern w:val="0"/>
          <w:szCs w:val="21"/>
        </w:rPr>
      </w:pPr>
      <w:r>
        <w:rPr>
          <w:rFonts w:hint="eastAsia" w:ascii="宋体" w:cs="宋体"/>
          <w:kern w:val="0"/>
          <w:szCs w:val="21"/>
        </w:rPr>
        <w:t>式中</w:t>
      </w:r>
      <w:r>
        <w:rPr>
          <w:rFonts w:ascii="宋体" w:cs="宋体"/>
          <w:kern w:val="0"/>
          <w:szCs w:val="21"/>
        </w:rPr>
        <w:t>:</w:t>
      </w:r>
    </w:p>
    <w:p>
      <w:pPr>
        <w:autoSpaceDE w:val="0"/>
        <w:autoSpaceDN w:val="0"/>
        <w:adjustRightInd w:val="0"/>
        <w:spacing w:line="360" w:lineRule="auto"/>
        <w:ind w:firstLine="420"/>
        <w:jc w:val="left"/>
      </w:pPr>
      <w:r>
        <w:rPr>
          <w:i/>
          <w:kern w:val="0"/>
          <w:sz w:val="24"/>
        </w:rPr>
        <w:t>w</w:t>
      </w:r>
      <w:r>
        <w:rPr>
          <w:kern w:val="0"/>
          <w:sz w:val="24"/>
          <w:vertAlign w:val="subscript"/>
        </w:rPr>
        <w:t>x</w:t>
      </w:r>
      <w:r>
        <w:rPr>
          <w:kern w:val="0"/>
          <w:sz w:val="24"/>
          <w:vertAlign w:val="subscript"/>
        </w:rPr>
        <w:tab/>
      </w:r>
      <w:r>
        <w:t>——</w:t>
      </w:r>
      <w:r>
        <w:rPr>
          <w:rFonts w:hint="eastAsia"/>
        </w:rPr>
        <w:t>待测元素质量分数，单位为</w:t>
      </w:r>
      <w:r>
        <w:rPr>
          <w:rFonts w:hAnsi="宋体"/>
        </w:rPr>
        <w:t>微克每</w:t>
      </w:r>
      <w:r>
        <w:rPr>
          <w:rFonts w:hint="eastAsia" w:hAnsi="宋体"/>
        </w:rPr>
        <w:t>千克</w:t>
      </w:r>
      <w:r>
        <w:rPr>
          <w:rFonts w:hint="eastAsia"/>
        </w:rPr>
        <w:t>（</w:t>
      </w:r>
      <w:r>
        <w:t>μg/</w:t>
      </w:r>
      <w:r>
        <w:rPr>
          <w:rFonts w:hint="eastAsia"/>
        </w:rPr>
        <w:t>kg）；</w:t>
      </w:r>
    </w:p>
    <w:p>
      <w:pPr>
        <w:autoSpaceDE w:val="0"/>
        <w:autoSpaceDN w:val="0"/>
        <w:adjustRightInd w:val="0"/>
        <w:spacing w:line="360" w:lineRule="auto"/>
        <w:ind w:firstLine="420"/>
        <w:jc w:val="left"/>
      </w:pPr>
      <w:r>
        <w:rPr>
          <w:kern w:val="0"/>
          <w:szCs w:val="21"/>
        </w:rPr>
        <w:t>RSF</w:t>
      </w:r>
      <w:r>
        <w:rPr>
          <w:rFonts w:hint="eastAsia"/>
          <w:kern w:val="0"/>
          <w:szCs w:val="21"/>
        </w:rPr>
        <w:t>（</w:t>
      </w:r>
      <w:r>
        <w:rPr>
          <w:kern w:val="0"/>
          <w:szCs w:val="21"/>
        </w:rPr>
        <w:t>X/</w:t>
      </w:r>
      <w:r>
        <w:rPr>
          <w:rFonts w:hint="eastAsia"/>
          <w:kern w:val="0"/>
          <w:szCs w:val="21"/>
        </w:rPr>
        <w:t>Ge）</w:t>
      </w:r>
      <w:r>
        <w:rPr>
          <w:kern w:val="0"/>
          <w:szCs w:val="21"/>
          <w:vertAlign w:val="subscript"/>
        </w:rPr>
        <w:t xml:space="preserve"> </w:t>
      </w:r>
      <w:r>
        <w:t>——</w:t>
      </w:r>
      <w:r>
        <w:rPr>
          <w:rFonts w:hint="eastAsia"/>
        </w:rPr>
        <w:t>在特定辉光放电条件下测定Ge中X杂质的校正系数，即</w:t>
      </w:r>
      <w:r>
        <w:rPr>
          <w:rFonts w:hint="eastAsia"/>
          <w:kern w:val="0"/>
          <w:szCs w:val="21"/>
        </w:rPr>
        <w:t>“典型相对灵敏度因子”</w:t>
      </w:r>
      <w:r>
        <w:rPr>
          <w:rFonts w:hint="eastAsia"/>
        </w:rPr>
        <w:t>；</w:t>
      </w:r>
    </w:p>
    <w:p>
      <w:pPr>
        <w:autoSpaceDE w:val="0"/>
        <w:autoSpaceDN w:val="0"/>
        <w:adjustRightInd w:val="0"/>
        <w:spacing w:line="360" w:lineRule="auto"/>
        <w:ind w:firstLine="420"/>
        <w:jc w:val="left"/>
      </w:pPr>
      <w:r>
        <w:rPr>
          <w:kern w:val="0"/>
          <w:szCs w:val="21"/>
        </w:rPr>
        <w:t>I</w:t>
      </w:r>
      <w:r>
        <w:rPr>
          <w:kern w:val="0"/>
          <w:szCs w:val="21"/>
          <w:vertAlign w:val="subscript"/>
        </w:rPr>
        <w:t>x</w:t>
      </w:r>
      <w:r>
        <w:rPr>
          <w:kern w:val="0"/>
          <w:szCs w:val="21"/>
          <w:vertAlign w:val="subscript"/>
        </w:rPr>
        <w:tab/>
      </w:r>
      <w:r>
        <w:t>——</w:t>
      </w:r>
      <w:r>
        <w:rPr>
          <w:rFonts w:hint="eastAsia"/>
        </w:rPr>
        <w:t>待测元素X的同位素谱峰强度，cps；</w:t>
      </w:r>
    </w:p>
    <w:p>
      <w:pPr>
        <w:autoSpaceDE w:val="0"/>
        <w:autoSpaceDN w:val="0"/>
        <w:adjustRightInd w:val="0"/>
        <w:spacing w:line="360" w:lineRule="auto"/>
        <w:ind w:firstLine="420"/>
        <w:jc w:val="left"/>
        <w:rPr>
          <w:kern w:val="0"/>
          <w:szCs w:val="21"/>
        </w:rPr>
      </w:pPr>
      <w:r>
        <w:rPr>
          <w:kern w:val="0"/>
          <w:szCs w:val="21"/>
        </w:rPr>
        <w:t>I</w:t>
      </w:r>
      <w:r>
        <w:rPr>
          <w:rFonts w:hint="eastAsia"/>
          <w:kern w:val="0"/>
          <w:szCs w:val="21"/>
          <w:vertAlign w:val="subscript"/>
        </w:rPr>
        <w:t xml:space="preserve">Ge </w:t>
      </w:r>
      <w:r>
        <w:tab/>
      </w:r>
      <w:r>
        <w:t>——</w:t>
      </w:r>
      <w:r>
        <w:rPr>
          <w:rFonts w:hint="eastAsia"/>
        </w:rPr>
        <w:t>Ge元素的同位素谱峰强度，cps；</w:t>
      </w:r>
    </w:p>
    <w:p>
      <w:pPr>
        <w:autoSpaceDE w:val="0"/>
        <w:autoSpaceDN w:val="0"/>
        <w:adjustRightInd w:val="0"/>
        <w:spacing w:line="360" w:lineRule="auto"/>
        <w:ind w:firstLine="420"/>
        <w:jc w:val="left"/>
      </w:pPr>
      <w:r>
        <w:rPr>
          <w:rFonts w:hint="eastAsia"/>
          <w:kern w:val="0"/>
          <w:szCs w:val="21"/>
        </w:rPr>
        <w:t>A</w:t>
      </w:r>
      <w:r>
        <w:rPr>
          <w:kern w:val="0"/>
          <w:szCs w:val="21"/>
          <w:vertAlign w:val="subscript"/>
        </w:rPr>
        <w:t>x</w:t>
      </w:r>
      <w:r>
        <w:rPr>
          <w:kern w:val="0"/>
          <w:szCs w:val="21"/>
          <w:vertAlign w:val="subscript"/>
        </w:rPr>
        <w:tab/>
      </w:r>
      <w:r>
        <w:t>——</w:t>
      </w:r>
      <w:r>
        <w:rPr>
          <w:rFonts w:hint="eastAsia"/>
        </w:rPr>
        <w:t>待测元素X的同位素丰度；</w:t>
      </w:r>
    </w:p>
    <w:p>
      <w:pPr>
        <w:autoSpaceDE w:val="0"/>
        <w:autoSpaceDN w:val="0"/>
        <w:adjustRightInd w:val="0"/>
        <w:spacing w:line="360" w:lineRule="auto"/>
        <w:ind w:firstLine="420"/>
        <w:jc w:val="left"/>
      </w:pPr>
      <w:r>
        <w:rPr>
          <w:rFonts w:hint="eastAsia"/>
          <w:kern w:val="0"/>
          <w:szCs w:val="21"/>
        </w:rPr>
        <w:t>A</w:t>
      </w:r>
      <w:r>
        <w:rPr>
          <w:rFonts w:hint="eastAsia"/>
          <w:kern w:val="0"/>
          <w:szCs w:val="21"/>
          <w:vertAlign w:val="subscript"/>
        </w:rPr>
        <w:t>Ge</w:t>
      </w:r>
      <w:r>
        <w:rPr>
          <w:kern w:val="0"/>
          <w:szCs w:val="21"/>
          <w:vertAlign w:val="subscript"/>
        </w:rPr>
        <w:tab/>
      </w:r>
      <w:r>
        <w:t>——</w:t>
      </w:r>
      <w:r>
        <w:rPr>
          <w:rFonts w:hint="eastAsia"/>
        </w:rPr>
        <w:t>Ge元素的同位素丰度；</w:t>
      </w:r>
    </w:p>
    <w:p>
      <w:pPr>
        <w:autoSpaceDE w:val="0"/>
        <w:autoSpaceDN w:val="0"/>
        <w:adjustRightInd w:val="0"/>
        <w:spacing w:line="360" w:lineRule="auto"/>
        <w:ind w:firstLine="420"/>
        <w:jc w:val="left"/>
      </w:pPr>
      <w:r>
        <w:rPr>
          <w:i/>
          <w:kern w:val="0"/>
          <w:sz w:val="24"/>
        </w:rPr>
        <w:t>W</w:t>
      </w:r>
      <w:r>
        <w:rPr>
          <w:rFonts w:hint="eastAsia"/>
          <w:kern w:val="0"/>
          <w:sz w:val="24"/>
          <w:vertAlign w:val="subscript"/>
        </w:rPr>
        <w:t>Ge</w:t>
      </w:r>
      <w:r>
        <w:t>——</w:t>
      </w:r>
      <w:r>
        <w:rPr>
          <w:rFonts w:hint="eastAsia"/>
        </w:rPr>
        <w:t>锗的质量分数定义为1.00×10</w:t>
      </w:r>
      <w:r>
        <w:rPr>
          <w:rFonts w:hint="eastAsia"/>
          <w:vertAlign w:val="superscript"/>
        </w:rPr>
        <w:t>9</w:t>
      </w:r>
      <w:r>
        <w:t>μg/</w:t>
      </w:r>
      <w:r>
        <w:rPr>
          <w:rFonts w:hint="eastAsia"/>
        </w:rPr>
        <w:t>Kg。</w:t>
      </w:r>
    </w:p>
    <w:p>
      <w:pPr>
        <w:snapToGrid w:val="0"/>
        <w:spacing w:before="162" w:beforeLines="50" w:after="162" w:afterLines="50" w:line="360" w:lineRule="atLeast"/>
        <w:outlineLvl w:val="1"/>
        <w:rPr>
          <w:rFonts w:ascii="黑体" w:hAnsi="黑体" w:eastAsia="黑体"/>
          <w:b/>
          <w:szCs w:val="21"/>
        </w:rPr>
      </w:pPr>
      <w:r>
        <w:rPr>
          <w:rFonts w:hint="eastAsia" w:ascii="黑体" w:hAnsi="黑体" w:eastAsia="黑体"/>
          <w:b/>
          <w:szCs w:val="21"/>
        </w:rPr>
        <w:t>1</w:t>
      </w:r>
      <w:r>
        <w:rPr>
          <w:rFonts w:ascii="黑体" w:hAnsi="黑体" w:eastAsia="黑体"/>
          <w:b/>
          <w:szCs w:val="21"/>
        </w:rPr>
        <w:t xml:space="preserve">0  </w:t>
      </w:r>
      <w:r>
        <w:rPr>
          <w:rFonts w:hint="eastAsia" w:ascii="黑体" w:hAnsi="黑体" w:eastAsia="黑体"/>
          <w:b/>
          <w:szCs w:val="21"/>
        </w:rPr>
        <w:t>允许差</w:t>
      </w:r>
    </w:p>
    <w:p>
      <w:pPr>
        <w:pStyle w:val="109"/>
        <w:snapToGrid w:val="0"/>
        <w:spacing w:before="162" w:beforeLines="50" w:after="162" w:afterLines="50" w:line="360" w:lineRule="atLeast"/>
        <w:ind w:left="360" w:firstLine="0" w:firstLineChars="0"/>
        <w:outlineLvl w:val="1"/>
        <w:rPr>
          <w:rFonts w:ascii="宋体" w:hAnsi="宋体"/>
          <w:szCs w:val="21"/>
        </w:rPr>
      </w:pPr>
      <w:r>
        <w:rPr>
          <w:rFonts w:hint="eastAsia" w:ascii="宋体" w:hAnsi="宋体"/>
          <w:szCs w:val="21"/>
        </w:rPr>
        <w:t>实验室之间分析结果的相对偏差应不大于表2所列的允许相对偏差。</w:t>
      </w:r>
    </w:p>
    <w:p>
      <w:pPr>
        <w:pStyle w:val="21"/>
        <w:spacing w:after="97" w:afterLines="30" w:line="360" w:lineRule="atLeast"/>
        <w:jc w:val="center"/>
        <w:rPr>
          <w:rFonts w:ascii="黑体" w:hAnsi="黑体" w:eastAsia="黑体"/>
        </w:rPr>
      </w:pPr>
      <w:r>
        <w:rPr>
          <w:rFonts w:hint="eastAsia" w:ascii="黑体" w:hAnsi="黑体" w:eastAsia="黑体"/>
        </w:rPr>
        <w:t>表2 允许差</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sz w:val="18"/>
                <w:szCs w:val="18"/>
              </w:rPr>
            </w:pPr>
            <w:r>
              <w:rPr>
                <w:rFonts w:hint="eastAsia"/>
                <w:sz w:val="18"/>
                <w:szCs w:val="18"/>
              </w:rPr>
              <w:t>元素含量范围</w:t>
            </w:r>
            <w:r>
              <w:rPr>
                <w:rFonts w:hint="eastAsia"/>
                <w:i/>
                <w:sz w:val="18"/>
                <w:szCs w:val="18"/>
              </w:rPr>
              <w:t>w/</w:t>
            </w:r>
            <w:r>
              <w:rPr>
                <w:rFonts w:hint="eastAsia"/>
                <w:sz w:val="18"/>
                <w:szCs w:val="18"/>
              </w:rPr>
              <w:t>(</w:t>
            </w:r>
            <w:r>
              <w:rPr>
                <w:sz w:val="18"/>
                <w:szCs w:val="18"/>
              </w:rPr>
              <w:t>µ</w:t>
            </w:r>
            <w:r>
              <w:rPr>
                <w:rFonts w:hint="eastAsia"/>
                <w:sz w:val="18"/>
                <w:szCs w:val="18"/>
              </w:rPr>
              <w:t>g/kg)</w:t>
            </w:r>
          </w:p>
        </w:tc>
        <w:tc>
          <w:tcPr>
            <w:tcW w:w="4261" w:type="dxa"/>
          </w:tcPr>
          <w:p>
            <w:pPr>
              <w:spacing w:line="360" w:lineRule="atLeast"/>
              <w:jc w:val="center"/>
              <w:rPr>
                <w:rFonts w:ascii="宋体" w:hAnsi="宋体"/>
                <w:sz w:val="18"/>
                <w:szCs w:val="18"/>
              </w:rPr>
            </w:pPr>
            <w:r>
              <w:rPr>
                <w:rFonts w:hint="eastAsia" w:ascii="宋体" w:hAnsi="宋体"/>
                <w:sz w:val="18"/>
                <w:szCs w:val="18"/>
              </w:rPr>
              <w:t>允许相对偏差</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ind w:firstLine="180" w:firstLineChars="100"/>
              <w:jc w:val="center"/>
              <w:rPr>
                <w:rFonts w:ascii="宋体" w:hAnsi="宋体"/>
                <w:sz w:val="18"/>
                <w:szCs w:val="18"/>
              </w:rPr>
            </w:pPr>
            <w:r>
              <w:rPr>
                <w:rFonts w:hint="eastAsia" w:ascii="宋体" w:hAnsi="宋体"/>
                <w:sz w:val="18"/>
                <w:szCs w:val="18"/>
              </w:rPr>
              <w:t>10</w:t>
            </w:r>
            <w:r>
              <w:rPr>
                <w:rFonts w:hint="eastAsia" w:ascii="宋体" w:hAnsi="宋体" w:cs="宋体-18030"/>
                <w:sz w:val="18"/>
                <w:szCs w:val="18"/>
              </w:rPr>
              <w:t>～</w:t>
            </w:r>
            <w:r>
              <w:rPr>
                <w:rFonts w:hint="eastAsia" w:ascii="宋体" w:hAnsi="宋体"/>
                <w:sz w:val="18"/>
                <w:szCs w:val="18"/>
              </w:rPr>
              <w:t>50</w:t>
            </w:r>
          </w:p>
        </w:tc>
        <w:tc>
          <w:tcPr>
            <w:tcW w:w="4261" w:type="dxa"/>
          </w:tcPr>
          <w:p>
            <w:pPr>
              <w:spacing w:line="360" w:lineRule="atLeast"/>
              <w:jc w:val="center"/>
              <w:rPr>
                <w:rFonts w:ascii="宋体" w:hAnsi="宋体"/>
                <w:sz w:val="18"/>
                <w:szCs w:val="18"/>
              </w:rPr>
            </w:pPr>
            <w:r>
              <w:rPr>
                <w:rFonts w:hint="eastAsia" w:ascii="宋体" w:hAnsi="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rFonts w:ascii="宋体" w:hAnsi="宋体"/>
                <w:sz w:val="18"/>
                <w:szCs w:val="18"/>
              </w:rPr>
            </w:pPr>
            <w:r>
              <w:rPr>
                <w:rFonts w:ascii="宋体" w:hAnsi="宋体"/>
                <w:sz w:val="18"/>
                <w:szCs w:val="18"/>
              </w:rPr>
              <w:t>＞</w:t>
            </w:r>
            <w:r>
              <w:rPr>
                <w:rFonts w:hint="eastAsia" w:ascii="宋体" w:hAnsi="宋体"/>
                <w:sz w:val="18"/>
                <w:szCs w:val="18"/>
              </w:rPr>
              <w:t>50</w:t>
            </w:r>
            <w:r>
              <w:rPr>
                <w:rFonts w:hint="eastAsia" w:ascii="宋体" w:hAnsi="宋体" w:cs="宋体-18030"/>
                <w:sz w:val="18"/>
                <w:szCs w:val="18"/>
              </w:rPr>
              <w:t>～</w:t>
            </w:r>
            <w:r>
              <w:rPr>
                <w:rFonts w:hint="eastAsia" w:ascii="宋体" w:hAnsi="宋体"/>
                <w:sz w:val="18"/>
                <w:szCs w:val="18"/>
              </w:rPr>
              <w:t>100</w:t>
            </w:r>
          </w:p>
        </w:tc>
        <w:tc>
          <w:tcPr>
            <w:tcW w:w="4261" w:type="dxa"/>
          </w:tcPr>
          <w:p>
            <w:pPr>
              <w:spacing w:line="360" w:lineRule="atLeast"/>
              <w:jc w:val="center"/>
              <w:rPr>
                <w:rFonts w:ascii="宋体" w:hAnsi="宋体"/>
                <w:sz w:val="18"/>
                <w:szCs w:val="18"/>
              </w:rPr>
            </w:pPr>
            <w:r>
              <w:rPr>
                <w:rFonts w:hint="eastAsia" w:ascii="宋体" w:hAnsi="宋体"/>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rFonts w:ascii="宋体" w:hAnsi="宋体"/>
                <w:sz w:val="18"/>
                <w:szCs w:val="18"/>
              </w:rPr>
            </w:pPr>
            <w:r>
              <w:rPr>
                <w:rFonts w:ascii="宋体" w:hAnsi="宋体"/>
                <w:sz w:val="18"/>
                <w:szCs w:val="18"/>
              </w:rPr>
              <w:t>＞</w:t>
            </w:r>
            <w:r>
              <w:rPr>
                <w:rFonts w:hint="eastAsia" w:ascii="宋体" w:hAnsi="宋体"/>
                <w:sz w:val="18"/>
                <w:szCs w:val="18"/>
              </w:rPr>
              <w:t>100</w:t>
            </w:r>
            <w:r>
              <w:rPr>
                <w:rFonts w:hint="eastAsia" w:ascii="宋体" w:hAnsi="宋体" w:cs="宋体-18030"/>
                <w:sz w:val="18"/>
                <w:szCs w:val="18"/>
              </w:rPr>
              <w:t>～</w:t>
            </w:r>
            <w:r>
              <w:rPr>
                <w:rFonts w:hint="eastAsia" w:ascii="宋体" w:hAnsi="宋体"/>
                <w:sz w:val="18"/>
                <w:szCs w:val="18"/>
              </w:rPr>
              <w:t>300</w:t>
            </w:r>
          </w:p>
        </w:tc>
        <w:tc>
          <w:tcPr>
            <w:tcW w:w="4261" w:type="dxa"/>
          </w:tcPr>
          <w:p>
            <w:pPr>
              <w:spacing w:line="360" w:lineRule="atLeast"/>
              <w:jc w:val="center"/>
              <w:rPr>
                <w:rFonts w:ascii="宋体" w:hAnsi="宋体"/>
                <w:sz w:val="18"/>
                <w:szCs w:val="18"/>
              </w:rPr>
            </w:pPr>
            <w:r>
              <w:rPr>
                <w:rFonts w:hint="eastAsia" w:ascii="宋体" w:hAnsi="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rFonts w:ascii="宋体" w:hAnsi="宋体"/>
                <w:sz w:val="18"/>
                <w:szCs w:val="18"/>
              </w:rPr>
            </w:pPr>
            <w:r>
              <w:rPr>
                <w:rFonts w:ascii="宋体" w:hAnsi="宋体"/>
                <w:sz w:val="18"/>
                <w:szCs w:val="18"/>
              </w:rPr>
              <w:t>＞</w:t>
            </w:r>
            <w:r>
              <w:rPr>
                <w:rFonts w:hint="eastAsia" w:ascii="宋体" w:hAnsi="宋体"/>
                <w:sz w:val="18"/>
                <w:szCs w:val="18"/>
              </w:rPr>
              <w:t>300</w:t>
            </w:r>
            <w:r>
              <w:rPr>
                <w:rFonts w:hint="eastAsia" w:ascii="宋体" w:hAnsi="宋体" w:cs="宋体-18030"/>
                <w:sz w:val="18"/>
                <w:szCs w:val="18"/>
              </w:rPr>
              <w:t>～</w:t>
            </w:r>
            <w:r>
              <w:rPr>
                <w:rFonts w:hint="eastAsia" w:ascii="宋体" w:hAnsi="宋体"/>
                <w:sz w:val="18"/>
                <w:szCs w:val="18"/>
              </w:rPr>
              <w:t>500</w:t>
            </w:r>
          </w:p>
        </w:tc>
        <w:tc>
          <w:tcPr>
            <w:tcW w:w="4261" w:type="dxa"/>
          </w:tcPr>
          <w:p>
            <w:pPr>
              <w:spacing w:line="360" w:lineRule="atLeast"/>
              <w:jc w:val="center"/>
              <w:rPr>
                <w:rFonts w:ascii="宋体" w:hAnsi="宋体"/>
                <w:sz w:val="18"/>
                <w:szCs w:val="18"/>
              </w:rPr>
            </w:pPr>
            <w:r>
              <w:rPr>
                <w:rFonts w:hint="eastAsia" w:ascii="宋体"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rFonts w:ascii="宋体" w:hAnsi="宋体"/>
                <w:sz w:val="18"/>
                <w:szCs w:val="18"/>
              </w:rPr>
            </w:pPr>
            <w:r>
              <w:rPr>
                <w:rFonts w:ascii="宋体" w:hAnsi="宋体"/>
                <w:sz w:val="18"/>
                <w:szCs w:val="18"/>
              </w:rPr>
              <w:t>＞</w:t>
            </w:r>
            <w:r>
              <w:rPr>
                <w:rFonts w:hint="eastAsia" w:ascii="宋体" w:hAnsi="宋体"/>
                <w:sz w:val="18"/>
                <w:szCs w:val="18"/>
              </w:rPr>
              <w:t>500</w:t>
            </w:r>
            <w:r>
              <w:rPr>
                <w:rFonts w:hint="eastAsia" w:ascii="宋体" w:hAnsi="宋体" w:cs="宋体-18030"/>
                <w:sz w:val="18"/>
                <w:szCs w:val="18"/>
              </w:rPr>
              <w:t>～</w:t>
            </w:r>
            <w:r>
              <w:rPr>
                <w:rFonts w:hint="eastAsia" w:ascii="宋体" w:hAnsi="宋体"/>
                <w:sz w:val="18"/>
                <w:szCs w:val="18"/>
              </w:rPr>
              <w:t>1000</w:t>
            </w:r>
          </w:p>
        </w:tc>
        <w:tc>
          <w:tcPr>
            <w:tcW w:w="4261" w:type="dxa"/>
          </w:tcPr>
          <w:p>
            <w:pPr>
              <w:spacing w:line="360" w:lineRule="atLeast"/>
              <w:jc w:val="center"/>
              <w:rPr>
                <w:rFonts w:ascii="宋体" w:hAnsi="宋体"/>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spacing w:line="360" w:lineRule="atLeast"/>
              <w:jc w:val="center"/>
              <w:rPr>
                <w:rFonts w:ascii="宋体" w:hAnsi="宋体"/>
                <w:sz w:val="18"/>
                <w:szCs w:val="18"/>
              </w:rPr>
            </w:pPr>
            <w:r>
              <w:rPr>
                <w:rFonts w:ascii="宋体" w:hAnsi="宋体"/>
                <w:sz w:val="18"/>
                <w:szCs w:val="18"/>
              </w:rPr>
              <w:t>＞</w:t>
            </w:r>
            <w:r>
              <w:rPr>
                <w:rFonts w:hint="eastAsia" w:ascii="宋体" w:hAnsi="宋体"/>
                <w:sz w:val="18"/>
                <w:szCs w:val="18"/>
              </w:rPr>
              <w:t>1000</w:t>
            </w:r>
            <w:r>
              <w:rPr>
                <w:rFonts w:hint="eastAsia" w:ascii="宋体" w:hAnsi="宋体" w:cs="宋体-18030"/>
                <w:sz w:val="18"/>
                <w:szCs w:val="18"/>
              </w:rPr>
              <w:t>～</w:t>
            </w:r>
            <w:r>
              <w:rPr>
                <w:rFonts w:hint="eastAsia" w:ascii="宋体" w:hAnsi="宋体"/>
                <w:sz w:val="18"/>
                <w:szCs w:val="18"/>
              </w:rPr>
              <w:t>2000</w:t>
            </w:r>
          </w:p>
        </w:tc>
        <w:tc>
          <w:tcPr>
            <w:tcW w:w="4261" w:type="dxa"/>
          </w:tcPr>
          <w:p>
            <w:pPr>
              <w:spacing w:line="360" w:lineRule="atLeast"/>
              <w:jc w:val="center"/>
              <w:rPr>
                <w:rFonts w:ascii="宋体" w:hAnsi="宋体"/>
                <w:sz w:val="18"/>
                <w:szCs w:val="18"/>
              </w:rPr>
            </w:pPr>
            <w:r>
              <w:rPr>
                <w:rFonts w:hint="eastAsia" w:ascii="宋体" w:hAnsi="宋体"/>
                <w:sz w:val="18"/>
                <w:szCs w:val="18"/>
              </w:rPr>
              <w:t>20</w:t>
            </w:r>
          </w:p>
        </w:tc>
      </w:tr>
    </w:tbl>
    <w:p>
      <w:pPr>
        <w:pStyle w:val="21"/>
        <w:spacing w:after="97" w:afterLines="30" w:line="360" w:lineRule="atLeast"/>
        <w:jc w:val="center"/>
        <w:rPr>
          <w:rFonts w:ascii="黑体" w:hAnsi="黑体" w:eastAsia="黑体"/>
        </w:rPr>
      </w:pPr>
    </w:p>
    <w:p>
      <w:pPr>
        <w:snapToGrid w:val="0"/>
        <w:spacing w:before="162" w:beforeLines="50" w:after="162" w:afterLines="50" w:line="360" w:lineRule="atLeast"/>
        <w:outlineLvl w:val="1"/>
        <w:rPr>
          <w:rFonts w:ascii="黑体" w:hAnsi="黑体" w:eastAsia="黑体"/>
          <w:b/>
          <w:szCs w:val="21"/>
        </w:rPr>
      </w:pPr>
      <w:r>
        <w:rPr>
          <w:rFonts w:hint="eastAsia" w:ascii="黑体" w:hAnsi="黑体" w:eastAsia="黑体"/>
          <w:b/>
          <w:szCs w:val="21"/>
        </w:rPr>
        <w:t>1</w:t>
      </w:r>
      <w:r>
        <w:rPr>
          <w:rFonts w:ascii="黑体" w:hAnsi="黑体" w:eastAsia="黑体"/>
          <w:b/>
          <w:szCs w:val="21"/>
        </w:rPr>
        <w:t>1 试验报告</w:t>
      </w:r>
    </w:p>
    <w:p>
      <w:pPr>
        <w:spacing w:line="360" w:lineRule="auto"/>
        <w:ind w:firstLine="420" w:firstLineChars="200"/>
        <w:rPr>
          <w:szCs w:val="21"/>
        </w:rPr>
      </w:pPr>
      <w:r>
        <w:rPr>
          <w:rFonts w:hint="eastAsia" w:hAnsi="宋体"/>
          <w:szCs w:val="21"/>
        </w:rPr>
        <w:t>试验报告至少应给出以下几个方面的内容：</w:t>
      </w:r>
    </w:p>
    <w:p>
      <w:pPr>
        <w:spacing w:line="360" w:lineRule="auto"/>
        <w:ind w:firstLine="420" w:firstLineChars="200"/>
        <w:rPr>
          <w:rFonts w:hAnsi="宋体"/>
          <w:szCs w:val="21"/>
        </w:rPr>
      </w:pPr>
      <w:r>
        <w:rPr>
          <w:i/>
          <w:szCs w:val="21"/>
        </w:rPr>
        <w:t>——</w:t>
      </w:r>
      <w:r>
        <w:rPr>
          <w:rFonts w:hint="eastAsia" w:hAnsi="宋体"/>
          <w:szCs w:val="21"/>
        </w:rPr>
        <w:t>试验对象；</w:t>
      </w:r>
    </w:p>
    <w:p>
      <w:pPr>
        <w:spacing w:line="360" w:lineRule="auto"/>
        <w:ind w:firstLine="420" w:firstLineChars="200"/>
        <w:rPr>
          <w:rFonts w:hAnsi="宋体"/>
          <w:szCs w:val="21"/>
        </w:rPr>
      </w:pPr>
      <w:r>
        <w:rPr>
          <w:i/>
          <w:szCs w:val="21"/>
        </w:rPr>
        <w:t>——</w:t>
      </w:r>
      <w:r>
        <w:rPr>
          <w:rFonts w:hint="eastAsia"/>
          <w:szCs w:val="21"/>
        </w:rPr>
        <w:t>所</w:t>
      </w:r>
      <w:r>
        <w:rPr>
          <w:rFonts w:hint="eastAsia" w:hAnsi="宋体"/>
          <w:szCs w:val="21"/>
        </w:rPr>
        <w:t>使用的标准（包括发布或出版年号）；</w:t>
      </w:r>
    </w:p>
    <w:p>
      <w:pPr>
        <w:spacing w:line="360" w:lineRule="auto"/>
        <w:ind w:firstLine="420" w:firstLineChars="200"/>
        <w:rPr>
          <w:rFonts w:hAnsi="宋体"/>
          <w:szCs w:val="21"/>
        </w:rPr>
      </w:pPr>
      <w:r>
        <w:rPr>
          <w:i/>
          <w:szCs w:val="21"/>
        </w:rPr>
        <w:t>——</w:t>
      </w:r>
      <w:r>
        <w:rPr>
          <w:rFonts w:hint="eastAsia"/>
          <w:szCs w:val="21"/>
        </w:rPr>
        <w:t>所</w:t>
      </w:r>
      <w:r>
        <w:rPr>
          <w:rFonts w:hint="eastAsia" w:hAnsi="宋体"/>
          <w:szCs w:val="21"/>
        </w:rPr>
        <w:t>使用的方法（如果标准中包括几个方法）；</w:t>
      </w:r>
    </w:p>
    <w:p>
      <w:pPr>
        <w:spacing w:line="360" w:lineRule="auto"/>
        <w:ind w:firstLine="420" w:firstLineChars="200"/>
        <w:rPr>
          <w:szCs w:val="21"/>
        </w:rPr>
      </w:pPr>
      <w:r>
        <w:rPr>
          <w:i/>
          <w:szCs w:val="21"/>
        </w:rPr>
        <w:t>——</w:t>
      </w:r>
      <w:r>
        <w:rPr>
          <w:rFonts w:hint="eastAsia" w:hAnsi="宋体"/>
          <w:szCs w:val="21"/>
        </w:rPr>
        <w:t>结果；</w:t>
      </w:r>
    </w:p>
    <w:p>
      <w:pPr>
        <w:spacing w:line="360" w:lineRule="auto"/>
        <w:ind w:firstLine="420" w:firstLineChars="200"/>
        <w:rPr>
          <w:szCs w:val="21"/>
        </w:rPr>
      </w:pPr>
      <w:r>
        <w:rPr>
          <w:i/>
          <w:szCs w:val="21"/>
        </w:rPr>
        <w:t>——</w:t>
      </w:r>
      <w:r>
        <w:rPr>
          <w:rFonts w:hint="eastAsia" w:hAnsi="宋体"/>
          <w:szCs w:val="21"/>
        </w:rPr>
        <w:t>观察的异常现象；</w:t>
      </w:r>
    </w:p>
    <w:p>
      <w:pPr>
        <w:spacing w:line="360" w:lineRule="auto"/>
        <w:ind w:firstLine="420" w:firstLineChars="200"/>
      </w:pPr>
      <w:r>
        <w:rPr>
          <w:i/>
          <w:szCs w:val="21"/>
        </w:rPr>
        <w:t>——</w:t>
      </w:r>
      <w:r>
        <w:rPr>
          <w:rFonts w:hint="eastAsia" w:hAnsi="宋体"/>
          <w:szCs w:val="21"/>
        </w:rPr>
        <w:t>试验日期。</w:t>
      </w:r>
    </w:p>
    <w:sectPr>
      <w:headerReference r:id="rId12" w:type="default"/>
      <w:footerReference r:id="rId14" w:type="default"/>
      <w:headerReference r:id="rId13" w:type="even"/>
      <w:type w:val="evenPage"/>
      <w:pgSz w:w="11907" w:h="16840"/>
      <w:pgMar w:top="1418" w:right="1134" w:bottom="1134" w:left="1418" w:header="851" w:footer="851" w:gutter="0"/>
      <w:pgNumType w:start="1"/>
      <w:cols w:space="425"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33"/>
      </w:rPr>
    </w:pPr>
    <w:r>
      <w:fldChar w:fldCharType="begin"/>
    </w:r>
    <w:r>
      <w:rPr>
        <w:rStyle w:val="33"/>
      </w:rPr>
      <w:instrText xml:space="preserve">PAGE  </w:instrText>
    </w:r>
    <w:r>
      <w:fldChar w:fldCharType="separate"/>
    </w:r>
    <w:r>
      <w:rPr>
        <w:rStyle w:val="33"/>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33"/>
      </w:rPr>
    </w:pPr>
    <w:r>
      <w:fldChar w:fldCharType="begin"/>
    </w:r>
    <w:r>
      <w:rPr>
        <w:rStyle w:val="33"/>
      </w:rPr>
      <w:instrText xml:space="preserve">PAGE  </w:instrText>
    </w:r>
    <w:r>
      <w:fldChar w:fldCharType="separate"/>
    </w:r>
    <w:r>
      <w:rPr>
        <w:rStyle w:val="33"/>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Style w:val="33"/>
      </w:rPr>
    </w:pPr>
    <w:r>
      <w:fldChar w:fldCharType="begin"/>
    </w:r>
    <w:r>
      <w:rPr>
        <w:rStyle w:val="33"/>
      </w:rPr>
      <w:instrText xml:space="preserve">PAGE  </w:instrText>
    </w:r>
    <w:r>
      <w:fldChar w:fldCharType="separate"/>
    </w:r>
    <w:r>
      <w:rPr>
        <w:rStyle w:val="33"/>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33"/>
      </w:rPr>
    </w:pPr>
    <w:r>
      <w:fldChar w:fldCharType="begin"/>
    </w:r>
    <w:r>
      <w:rPr>
        <w:rStyle w:val="33"/>
      </w:rPr>
      <w:instrText xml:space="preserve">PAGE  </w:instrText>
    </w:r>
    <w:r>
      <w:fldChar w:fldCharType="separate"/>
    </w:r>
    <w:r>
      <w:rPr>
        <w:rStyle w:val="33"/>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33"/>
      </w:rPr>
    </w:pPr>
    <w:r>
      <w:rPr>
        <w:rStyle w:val="33"/>
      </w:rPr>
      <w:fldChar w:fldCharType="begin"/>
    </w:r>
    <w:r>
      <w:rPr>
        <w:rStyle w:val="33"/>
      </w:rPr>
      <w:instrText xml:space="preserve">PAGE  </w:instrText>
    </w:r>
    <w:r>
      <w:rPr>
        <w:rStyle w:val="33"/>
      </w:rPr>
      <w:fldChar w:fldCharType="separate"/>
    </w:r>
    <w:r>
      <w:rPr>
        <w:rStyle w:val="33"/>
      </w:rPr>
      <w:t>5</w:t>
    </w:r>
    <w:r>
      <w:rPr>
        <w:rStyle w:val="33"/>
      </w:rPr>
      <w:fldChar w:fldCharType="end"/>
    </w:r>
  </w:p>
  <w:p>
    <w:pPr>
      <w:pStyle w:val="48"/>
      <w:ind w:right="360" w:firstLine="360"/>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t>GB</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035" w:firstLineChars="3350"/>
    </w:pPr>
    <w:r>
      <w:t>GB</w:t>
    </w:r>
    <w:r>
      <w:rPr>
        <w:rFonts w:hint="eastAsia"/>
      </w:rPr>
      <w:t>/T ××××.3-20××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420" w:firstLine="6615" w:firstLineChars="3150"/>
      <w:jc w:val="both"/>
    </w:pPr>
    <w:r>
      <w:t>GB</w:t>
    </w:r>
    <w:r>
      <w:rPr>
        <w:rFonts w:hint="eastAsia"/>
      </w:rPr>
      <w:t>/T ××××.3-20××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numPr>
        <w:ilvl w:val="0"/>
        <w:numId w:val="0"/>
      </w:numPr>
      <w:ind w:right="360" w:firstLine="6510" w:firstLineChars="3100"/>
      <w:jc w:val="both"/>
      <w:rPr>
        <w:sz w:val="21"/>
        <w:szCs w:val="21"/>
      </w:rPr>
    </w:pPr>
    <w:r>
      <w:rPr>
        <w:sz w:val="21"/>
        <w:szCs w:val="21"/>
      </w:rPr>
      <w:t>GB</w:t>
    </w:r>
    <w:r>
      <w:rPr>
        <w:rFonts w:hint="eastAsia"/>
        <w:sz w:val="21"/>
        <w:szCs w:val="21"/>
      </w:rPr>
      <w:t>/T ××××.3-20××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DE1116"/>
    <w:multiLevelType w:val="multilevel"/>
    <w:tmpl w:val="15DE1116"/>
    <w:lvl w:ilvl="0" w:tentative="0">
      <w:start w:val="1"/>
      <w:numFmt w:val="decimal"/>
      <w:lvlText w:val="%1"/>
      <w:lvlJc w:val="left"/>
      <w:pPr>
        <w:ind w:left="360" w:hanging="360"/>
      </w:pPr>
      <w:rPr>
        <w:rFonts w:hint="default" w:hAnsi="Times New Roman"/>
      </w:rPr>
    </w:lvl>
    <w:lvl w:ilvl="1" w:tentative="0">
      <w:start w:val="1"/>
      <w:numFmt w:val="decimal"/>
      <w:isLgl/>
      <w:lvlText w:val="%1.%2"/>
      <w:lvlJc w:val="left"/>
      <w:pPr>
        <w:ind w:left="360" w:hanging="360"/>
      </w:pPr>
      <w:rPr>
        <w:rFonts w:hint="default"/>
      </w:rPr>
    </w:lvl>
    <w:lvl w:ilvl="2" w:tentative="0">
      <w:start w:val="1"/>
      <w:numFmt w:val="decimal"/>
      <w:lvlText w:val="3.%3"/>
      <w:lvlJc w:val="left"/>
      <w:pPr>
        <w:ind w:left="720" w:hanging="720"/>
      </w:pPr>
      <w:rPr>
        <w:rFonts w:hint="eastAsia" w:ascii="黑体" w:hAnsi="黑体" w:eastAsia="黑体"/>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
    <w:nsid w:val="46806F7D"/>
    <w:multiLevelType w:val="multilevel"/>
    <w:tmpl w:val="46806F7D"/>
    <w:lvl w:ilvl="0" w:tentative="0">
      <w:start w:val="1"/>
      <w:numFmt w:val="none"/>
      <w:pStyle w:val="77"/>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2"/>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7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350366A"/>
    <w:multiLevelType w:val="multilevel"/>
    <w:tmpl w:val="6350366A"/>
    <w:lvl w:ilvl="0" w:tentative="0">
      <w:start w:val="1"/>
      <w:numFmt w:val="none"/>
      <w:pStyle w:val="8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7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52"/>
      <w:suff w:val="nothing"/>
      <w:lvlText w:val="%1"/>
      <w:lvlJc w:val="left"/>
      <w:pPr>
        <w:ind w:left="0" w:firstLine="0"/>
      </w:pPr>
      <w:rPr>
        <w:rFonts w:hint="default" w:ascii="Times New Roman" w:hAnsi="Times New Roman"/>
        <w:b/>
        <w:i w:val="0"/>
        <w:sz w:val="21"/>
      </w:rPr>
    </w:lvl>
    <w:lvl w:ilvl="1" w:tentative="0">
      <w:start w:val="1"/>
      <w:numFmt w:val="decimal"/>
      <w:pStyle w:val="55"/>
      <w:suff w:val="nothing"/>
      <w:lvlText w:val="%1%2　"/>
      <w:lvlJc w:val="left"/>
      <w:pPr>
        <w:ind w:left="0" w:firstLine="0"/>
      </w:pPr>
      <w:rPr>
        <w:rFonts w:hint="eastAsia" w:ascii="黑体" w:hAnsi="Times New Roman" w:eastAsia="黑体"/>
        <w:b w:val="0"/>
        <w:i w:val="0"/>
        <w:sz w:val="21"/>
      </w:rPr>
    </w:lvl>
    <w:lvl w:ilvl="2" w:tentative="0">
      <w:start w:val="1"/>
      <w:numFmt w:val="decimal"/>
      <w:pStyle w:val="56"/>
      <w:suff w:val="nothing"/>
      <w:lvlText w:val="%1%2.%3　"/>
      <w:lvlJc w:val="left"/>
      <w:pPr>
        <w:ind w:left="142"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10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933334"/>
    <w:multiLevelType w:val="multilevel"/>
    <w:tmpl w:val="76933334"/>
    <w:lvl w:ilvl="0" w:tentative="0">
      <w:start w:val="1"/>
      <w:numFmt w:val="none"/>
      <w:pStyle w:val="8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6"/>
  </w:num>
  <w:num w:numId="4">
    <w:abstractNumId w:val="2"/>
  </w:num>
  <w:num w:numId="5">
    <w:abstractNumId w:val="9"/>
  </w:num>
  <w:num w:numId="6">
    <w:abstractNumId w:val="5"/>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18"/>
    <w:rsid w:val="00000168"/>
    <w:rsid w:val="0000059E"/>
    <w:rsid w:val="00001CCC"/>
    <w:rsid w:val="00012067"/>
    <w:rsid w:val="00015D2A"/>
    <w:rsid w:val="0002027D"/>
    <w:rsid w:val="00026BEE"/>
    <w:rsid w:val="000300DC"/>
    <w:rsid w:val="00030C1B"/>
    <w:rsid w:val="000313E8"/>
    <w:rsid w:val="000478EF"/>
    <w:rsid w:val="000702D9"/>
    <w:rsid w:val="00072388"/>
    <w:rsid w:val="00083BBE"/>
    <w:rsid w:val="000A4108"/>
    <w:rsid w:val="000A7040"/>
    <w:rsid w:val="000B0733"/>
    <w:rsid w:val="000B26B6"/>
    <w:rsid w:val="000E24A4"/>
    <w:rsid w:val="000E34D7"/>
    <w:rsid w:val="000E3B5F"/>
    <w:rsid w:val="000F0D7C"/>
    <w:rsid w:val="000F404B"/>
    <w:rsid w:val="000F5F06"/>
    <w:rsid w:val="00101403"/>
    <w:rsid w:val="00103684"/>
    <w:rsid w:val="00112B62"/>
    <w:rsid w:val="0012774A"/>
    <w:rsid w:val="0015333D"/>
    <w:rsid w:val="00153A97"/>
    <w:rsid w:val="00190150"/>
    <w:rsid w:val="001929E6"/>
    <w:rsid w:val="00194EBF"/>
    <w:rsid w:val="001A2F6B"/>
    <w:rsid w:val="001A6F30"/>
    <w:rsid w:val="001B0C5D"/>
    <w:rsid w:val="001C1543"/>
    <w:rsid w:val="001E0859"/>
    <w:rsid w:val="001F264E"/>
    <w:rsid w:val="00203D3C"/>
    <w:rsid w:val="00221823"/>
    <w:rsid w:val="0022560F"/>
    <w:rsid w:val="00255EA4"/>
    <w:rsid w:val="00287AB4"/>
    <w:rsid w:val="00295236"/>
    <w:rsid w:val="002A551E"/>
    <w:rsid w:val="002B4AF5"/>
    <w:rsid w:val="002B6C64"/>
    <w:rsid w:val="002B6D2E"/>
    <w:rsid w:val="002C5818"/>
    <w:rsid w:val="002E1BEA"/>
    <w:rsid w:val="002E7AE8"/>
    <w:rsid w:val="002F0717"/>
    <w:rsid w:val="002F3E03"/>
    <w:rsid w:val="00301D87"/>
    <w:rsid w:val="00303AB7"/>
    <w:rsid w:val="003128EE"/>
    <w:rsid w:val="0031422C"/>
    <w:rsid w:val="003431E6"/>
    <w:rsid w:val="0038549B"/>
    <w:rsid w:val="00397F6E"/>
    <w:rsid w:val="003A33D0"/>
    <w:rsid w:val="003B0F90"/>
    <w:rsid w:val="003D00F4"/>
    <w:rsid w:val="003D05AE"/>
    <w:rsid w:val="003E079F"/>
    <w:rsid w:val="003E0BB1"/>
    <w:rsid w:val="003F0D17"/>
    <w:rsid w:val="003F6A4F"/>
    <w:rsid w:val="004008B2"/>
    <w:rsid w:val="00403FBB"/>
    <w:rsid w:val="00411EB4"/>
    <w:rsid w:val="00423ADF"/>
    <w:rsid w:val="00465364"/>
    <w:rsid w:val="004870C2"/>
    <w:rsid w:val="004A638A"/>
    <w:rsid w:val="004B73EF"/>
    <w:rsid w:val="004C1C65"/>
    <w:rsid w:val="004E145A"/>
    <w:rsid w:val="00527A75"/>
    <w:rsid w:val="005367E0"/>
    <w:rsid w:val="005526CF"/>
    <w:rsid w:val="005577CA"/>
    <w:rsid w:val="005623D7"/>
    <w:rsid w:val="00564547"/>
    <w:rsid w:val="005A4271"/>
    <w:rsid w:val="005C6A3A"/>
    <w:rsid w:val="005D3788"/>
    <w:rsid w:val="005F30B4"/>
    <w:rsid w:val="00607904"/>
    <w:rsid w:val="006158CC"/>
    <w:rsid w:val="006211EB"/>
    <w:rsid w:val="00636A30"/>
    <w:rsid w:val="00642BE3"/>
    <w:rsid w:val="0064403D"/>
    <w:rsid w:val="00651725"/>
    <w:rsid w:val="0066459D"/>
    <w:rsid w:val="006678B8"/>
    <w:rsid w:val="00674F60"/>
    <w:rsid w:val="006800DF"/>
    <w:rsid w:val="006828A0"/>
    <w:rsid w:val="006A5570"/>
    <w:rsid w:val="006A5586"/>
    <w:rsid w:val="006B09DE"/>
    <w:rsid w:val="006B6684"/>
    <w:rsid w:val="006D2890"/>
    <w:rsid w:val="006E0BAD"/>
    <w:rsid w:val="00717C19"/>
    <w:rsid w:val="0072593B"/>
    <w:rsid w:val="00736B79"/>
    <w:rsid w:val="0074333F"/>
    <w:rsid w:val="00777236"/>
    <w:rsid w:val="007851B0"/>
    <w:rsid w:val="007B1D06"/>
    <w:rsid w:val="007B463D"/>
    <w:rsid w:val="007B6791"/>
    <w:rsid w:val="007D1B8F"/>
    <w:rsid w:val="007D6217"/>
    <w:rsid w:val="00845E7D"/>
    <w:rsid w:val="00856D30"/>
    <w:rsid w:val="008609F2"/>
    <w:rsid w:val="0087487D"/>
    <w:rsid w:val="00876ECE"/>
    <w:rsid w:val="008A11EB"/>
    <w:rsid w:val="008A388F"/>
    <w:rsid w:val="008C18FA"/>
    <w:rsid w:val="008D21B4"/>
    <w:rsid w:val="008D2965"/>
    <w:rsid w:val="008D77FB"/>
    <w:rsid w:val="008F6ED5"/>
    <w:rsid w:val="009003B6"/>
    <w:rsid w:val="009028CE"/>
    <w:rsid w:val="0091463E"/>
    <w:rsid w:val="0091760B"/>
    <w:rsid w:val="00923803"/>
    <w:rsid w:val="009436C8"/>
    <w:rsid w:val="00945EAD"/>
    <w:rsid w:val="0094648B"/>
    <w:rsid w:val="009508C4"/>
    <w:rsid w:val="0096094F"/>
    <w:rsid w:val="00962126"/>
    <w:rsid w:val="00975820"/>
    <w:rsid w:val="009A35D7"/>
    <w:rsid w:val="009C02A4"/>
    <w:rsid w:val="009C5D18"/>
    <w:rsid w:val="009D0124"/>
    <w:rsid w:val="009E3DCE"/>
    <w:rsid w:val="009F2BCB"/>
    <w:rsid w:val="00A16FDC"/>
    <w:rsid w:val="00A31B3E"/>
    <w:rsid w:val="00A35E38"/>
    <w:rsid w:val="00A468CA"/>
    <w:rsid w:val="00A71477"/>
    <w:rsid w:val="00A95DD8"/>
    <w:rsid w:val="00A977B3"/>
    <w:rsid w:val="00AA045E"/>
    <w:rsid w:val="00AA0E5B"/>
    <w:rsid w:val="00AA2209"/>
    <w:rsid w:val="00AA7B17"/>
    <w:rsid w:val="00AD3E27"/>
    <w:rsid w:val="00AD4DA4"/>
    <w:rsid w:val="00AE37D2"/>
    <w:rsid w:val="00AF14AC"/>
    <w:rsid w:val="00B12862"/>
    <w:rsid w:val="00B4502E"/>
    <w:rsid w:val="00B73DA3"/>
    <w:rsid w:val="00B7651F"/>
    <w:rsid w:val="00B80868"/>
    <w:rsid w:val="00B8199E"/>
    <w:rsid w:val="00BB0F02"/>
    <w:rsid w:val="00BB69E5"/>
    <w:rsid w:val="00BE4A53"/>
    <w:rsid w:val="00BE507D"/>
    <w:rsid w:val="00BE7087"/>
    <w:rsid w:val="00BF57A1"/>
    <w:rsid w:val="00BF7C39"/>
    <w:rsid w:val="00C13B12"/>
    <w:rsid w:val="00C2725C"/>
    <w:rsid w:val="00C30867"/>
    <w:rsid w:val="00C56978"/>
    <w:rsid w:val="00C57DB2"/>
    <w:rsid w:val="00C63DDE"/>
    <w:rsid w:val="00CE239D"/>
    <w:rsid w:val="00D140DC"/>
    <w:rsid w:val="00D41D46"/>
    <w:rsid w:val="00D55A6B"/>
    <w:rsid w:val="00D631FD"/>
    <w:rsid w:val="00D72E97"/>
    <w:rsid w:val="00DA7C5F"/>
    <w:rsid w:val="00DB6F50"/>
    <w:rsid w:val="00E046CA"/>
    <w:rsid w:val="00E0627B"/>
    <w:rsid w:val="00E067F4"/>
    <w:rsid w:val="00E10B0C"/>
    <w:rsid w:val="00E170D4"/>
    <w:rsid w:val="00E204F4"/>
    <w:rsid w:val="00E24A99"/>
    <w:rsid w:val="00E2589A"/>
    <w:rsid w:val="00E27D60"/>
    <w:rsid w:val="00E45B78"/>
    <w:rsid w:val="00E5307A"/>
    <w:rsid w:val="00E63C8C"/>
    <w:rsid w:val="00E641E1"/>
    <w:rsid w:val="00E846FC"/>
    <w:rsid w:val="00EA67BE"/>
    <w:rsid w:val="00EC7FF5"/>
    <w:rsid w:val="00ED5B3C"/>
    <w:rsid w:val="00EE219B"/>
    <w:rsid w:val="00EE6DA8"/>
    <w:rsid w:val="00F2510D"/>
    <w:rsid w:val="00F30F51"/>
    <w:rsid w:val="00F31AE8"/>
    <w:rsid w:val="00F40EDB"/>
    <w:rsid w:val="00F64691"/>
    <w:rsid w:val="00F87B4C"/>
    <w:rsid w:val="00F91560"/>
    <w:rsid w:val="00FC62DD"/>
    <w:rsid w:val="00FE0CEE"/>
    <w:rsid w:val="3B41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2">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uiPriority w:val="0"/>
  </w:style>
  <w:style w:type="paragraph" w:styleId="13">
    <w:name w:val="toc 5"/>
    <w:basedOn w:val="14"/>
    <w:next w:val="1"/>
    <w:semiHidden/>
    <w:qFormat/>
    <w:uiPriority w:val="0"/>
  </w:style>
  <w:style w:type="paragraph" w:styleId="14">
    <w:name w:val="toc 4"/>
    <w:basedOn w:val="15"/>
    <w:next w:val="1"/>
    <w:semiHidden/>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uiPriority w:val="0"/>
    <w:pPr>
      <w:jc w:val="both"/>
    </w:pPr>
    <w:rPr>
      <w:rFonts w:ascii="宋体" w:hAnsi="Times New Roman" w:eastAsia="宋体" w:cs="Times New Roman"/>
      <w:sz w:val="21"/>
      <w:lang w:val="en-US" w:eastAsia="zh-CN" w:bidi="ar-SA"/>
    </w:rPr>
  </w:style>
  <w:style w:type="paragraph" w:styleId="18">
    <w:name w:val="Body Text"/>
    <w:basedOn w:val="1"/>
    <w:qFormat/>
    <w:uiPriority w:val="0"/>
    <w:pPr>
      <w:spacing w:after="120"/>
    </w:pPr>
  </w:style>
  <w:style w:type="paragraph" w:styleId="19">
    <w:name w:val="Body Text Indent"/>
    <w:basedOn w:val="1"/>
    <w:uiPriority w:val="0"/>
    <w:pPr>
      <w:ind w:firstLine="420" w:firstLineChars="200"/>
    </w:pPr>
    <w:rPr>
      <w:rFonts w:ascii="宋体" w:hAnsi="宋体"/>
    </w:rPr>
  </w:style>
  <w:style w:type="paragraph" w:styleId="20">
    <w:name w:val="HTML Address"/>
    <w:basedOn w:val="1"/>
    <w:uiPriority w:val="0"/>
    <w:rPr>
      <w:i/>
      <w:iCs/>
    </w:rPr>
  </w:style>
  <w:style w:type="paragraph" w:styleId="21">
    <w:name w:val="Plain Text"/>
    <w:basedOn w:val="1"/>
    <w:link w:val="108"/>
    <w:uiPriority w:val="0"/>
    <w:rPr>
      <w:rFonts w:ascii="宋体" w:hAnsi="Courier New"/>
      <w:szCs w:val="20"/>
    </w:rPr>
  </w:style>
  <w:style w:type="paragraph" w:styleId="22">
    <w:name w:val="toc 8"/>
    <w:basedOn w:val="11"/>
    <w:next w:val="1"/>
    <w:semiHidden/>
    <w:qFormat/>
    <w:uiPriority w:val="0"/>
  </w:style>
  <w:style w:type="paragraph" w:styleId="23">
    <w:name w:val="Date"/>
    <w:basedOn w:val="1"/>
    <w:next w:val="1"/>
    <w:uiPriority w:val="0"/>
    <w:rPr>
      <w:rFonts w:eastAsia="楷体_GB2312"/>
      <w:sz w:val="24"/>
      <w:szCs w:val="20"/>
    </w:rPr>
  </w:style>
  <w:style w:type="paragraph" w:styleId="24">
    <w:name w:val="Balloon Text"/>
    <w:basedOn w:val="1"/>
    <w:link w:val="110"/>
    <w:qFormat/>
    <w:uiPriority w:val="0"/>
    <w:rPr>
      <w:sz w:val="18"/>
      <w:szCs w:val="18"/>
    </w:rPr>
  </w:style>
  <w:style w:type="paragraph" w:styleId="25">
    <w:name w:val="footer"/>
    <w:basedOn w:val="1"/>
    <w:qFormat/>
    <w:uiPriority w:val="0"/>
    <w:pPr>
      <w:tabs>
        <w:tab w:val="center" w:pos="4153"/>
        <w:tab w:val="right" w:pos="8306"/>
      </w:tabs>
      <w:snapToGrid w:val="0"/>
      <w:ind w:right="210" w:rightChars="100"/>
      <w:jc w:val="right"/>
    </w:pPr>
    <w:rPr>
      <w:sz w:val="18"/>
      <w:szCs w:val="18"/>
    </w:rPr>
  </w:style>
  <w:style w:type="paragraph" w:styleId="26">
    <w:name w:val="header"/>
    <w:basedOn w:val="1"/>
    <w:qFormat/>
    <w:uiPriority w:val="0"/>
    <w:pPr>
      <w:numPr>
        <w:ilvl w:val="6"/>
        <w:numId w:val="1"/>
      </w:numPr>
      <w:tabs>
        <w:tab w:val="center" w:pos="4153"/>
        <w:tab w:val="right" w:pos="8306"/>
      </w:tabs>
      <w:snapToGrid w:val="0"/>
      <w:jc w:val="center"/>
    </w:pPr>
    <w:rPr>
      <w:sz w:val="18"/>
      <w:szCs w:val="18"/>
    </w:rPr>
  </w:style>
  <w:style w:type="paragraph" w:styleId="27">
    <w:name w:val="footnote text"/>
    <w:basedOn w:val="1"/>
    <w:semiHidden/>
    <w:qFormat/>
    <w:uiPriority w:val="0"/>
    <w:pPr>
      <w:snapToGrid w:val="0"/>
      <w:jc w:val="left"/>
    </w:pPr>
    <w:rPr>
      <w:sz w:val="18"/>
      <w:szCs w:val="18"/>
    </w:rPr>
  </w:style>
  <w:style w:type="paragraph" w:styleId="28">
    <w:name w:val="toc 9"/>
    <w:basedOn w:val="22"/>
    <w:next w:val="1"/>
    <w:semiHidden/>
    <w:qFormat/>
    <w:uiPriority w:val="0"/>
  </w:style>
  <w:style w:type="paragraph" w:styleId="29">
    <w:name w:val="HTML Preformatted"/>
    <w:basedOn w:val="1"/>
    <w:qFormat/>
    <w:uiPriority w:val="0"/>
    <w:rPr>
      <w:rFonts w:ascii="Courier New" w:hAnsi="Courier New" w:cs="Courier New"/>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TML Definition"/>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2"/>
    <w:uiPriority w:val="0"/>
  </w:style>
  <w:style w:type="character" w:styleId="38">
    <w:name w:val="HTML Variable"/>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uiPriority w:val="0"/>
    <w:rPr>
      <w:rFonts w:ascii="Courier New" w:hAnsi="Courier New"/>
      <w:sz w:val="20"/>
      <w:szCs w:val="20"/>
    </w:rPr>
  </w:style>
  <w:style w:type="character" w:styleId="41">
    <w:name w:val="HTML Cite"/>
    <w:uiPriority w:val="0"/>
    <w:rPr>
      <w:i/>
      <w:iCs/>
    </w:rPr>
  </w:style>
  <w:style w:type="character" w:styleId="42">
    <w:name w:val="footnote reference"/>
    <w:semiHidden/>
    <w:qFormat/>
    <w:uiPriority w:val="0"/>
    <w:rPr>
      <w:vertAlign w:val="superscript"/>
    </w:rPr>
  </w:style>
  <w:style w:type="character" w:styleId="43">
    <w:name w:val="HTML Keyboard"/>
    <w:uiPriority w:val="0"/>
    <w:rPr>
      <w:rFonts w:ascii="Courier New" w:hAnsi="Courier New"/>
      <w:sz w:val="20"/>
      <w:szCs w:val="20"/>
    </w:rPr>
  </w:style>
  <w:style w:type="character" w:styleId="44">
    <w:name w:val="HTML Sample"/>
    <w:uiPriority w:val="0"/>
    <w:rPr>
      <w:rFonts w:ascii="Courier New" w:hAnsi="Courier New"/>
    </w:rPr>
  </w:style>
  <w:style w:type="paragraph" w:customStyle="1" w:styleId="4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7">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4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0">
    <w:name w:val="标准书眉_偶数页"/>
    <w:basedOn w:val="49"/>
    <w:next w:val="1"/>
    <w:uiPriority w:val="0"/>
    <w:pPr>
      <w:jc w:val="left"/>
    </w:pPr>
  </w:style>
  <w:style w:type="paragraph" w:customStyle="1" w:styleId="51">
    <w:name w:val="标准书眉一"/>
    <w:uiPriority w:val="0"/>
    <w:pPr>
      <w:jc w:val="both"/>
    </w:pPr>
    <w:rPr>
      <w:rFonts w:ascii="Times New Roman" w:hAnsi="Times New Roman" w:eastAsia="宋体" w:cs="Times New Roman"/>
      <w:lang w:val="en-US" w:eastAsia="zh-CN" w:bidi="ar-SA"/>
    </w:rPr>
  </w:style>
  <w:style w:type="paragraph" w:customStyle="1" w:styleId="52">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3">
    <w:name w:val="参考文献、索引标题"/>
    <w:basedOn w:val="52"/>
    <w:next w:val="1"/>
    <w:qFormat/>
    <w:uiPriority w:val="0"/>
    <w:pPr>
      <w:numPr>
        <w:numId w:val="0"/>
      </w:numPr>
      <w:spacing w:after="200"/>
    </w:pPr>
    <w:rPr>
      <w:sz w:val="21"/>
    </w:rPr>
  </w:style>
  <w:style w:type="paragraph" w:customStyle="1" w:styleId="54">
    <w:name w:val="段"/>
    <w:link w:val="10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章标题"/>
    <w:next w:val="54"/>
    <w:link w:val="106"/>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6">
    <w:name w:val="一级条标题"/>
    <w:next w:val="54"/>
    <w:qFormat/>
    <w:uiPriority w:val="0"/>
    <w:pPr>
      <w:numPr>
        <w:ilvl w:val="2"/>
        <w:numId w:val="1"/>
      </w:numPr>
      <w:ind w:left="0"/>
      <w:outlineLvl w:val="2"/>
    </w:pPr>
    <w:rPr>
      <w:rFonts w:ascii="Times New Roman" w:hAnsi="Times New Roman" w:eastAsia="黑体" w:cs="Times New Roman"/>
      <w:kern w:val="2"/>
      <w:sz w:val="21"/>
      <w:szCs w:val="24"/>
      <w:lang w:val="en-US" w:eastAsia="zh-CN" w:bidi="ar-SA"/>
    </w:rPr>
  </w:style>
  <w:style w:type="paragraph" w:customStyle="1" w:styleId="57">
    <w:name w:val="二级条标题"/>
    <w:basedOn w:val="56"/>
    <w:next w:val="54"/>
    <w:qFormat/>
    <w:uiPriority w:val="0"/>
    <w:pPr>
      <w:numPr>
        <w:ilvl w:val="3"/>
      </w:numPr>
      <w:outlineLvl w:val="3"/>
    </w:pPr>
  </w:style>
  <w:style w:type="character" w:customStyle="1" w:styleId="58">
    <w:name w:val="发布"/>
    <w:uiPriority w:val="0"/>
    <w:rPr>
      <w:rFonts w:ascii="黑体" w:eastAsia="黑体"/>
      <w:spacing w:val="22"/>
      <w:w w:val="100"/>
      <w:position w:val="3"/>
      <w:sz w:val="28"/>
    </w:rPr>
  </w:style>
  <w:style w:type="paragraph" w:customStyle="1" w:styleId="59">
    <w:name w:val="发布部门"/>
    <w:next w:val="54"/>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封面标准号2"/>
    <w:basedOn w:val="61"/>
    <w:uiPriority w:val="0"/>
    <w:pPr>
      <w:framePr w:w="9138" w:h="1244" w:hRule="exact" w:wrap="around" w:vAnchor="page" w:hAnchor="margin" w:y="2908"/>
      <w:adjustRightInd w:val="0"/>
      <w:spacing w:before="357" w:line="280" w:lineRule="exact"/>
    </w:pPr>
  </w:style>
  <w:style w:type="paragraph" w:customStyle="1" w:styleId="63">
    <w:name w:val="封面标准代替信息"/>
    <w:basedOn w:val="62"/>
    <w:qFormat/>
    <w:uiPriority w:val="0"/>
    <w:pPr>
      <w:spacing w:before="57"/>
    </w:pPr>
    <w:rPr>
      <w:rFonts w:ascii="宋体"/>
      <w:sz w:val="21"/>
    </w:rPr>
  </w:style>
  <w:style w:type="paragraph" w:customStyle="1" w:styleId="6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66">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6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封面正文"/>
    <w:qFormat/>
    <w:uiPriority w:val="0"/>
    <w:pPr>
      <w:jc w:val="both"/>
    </w:pPr>
    <w:rPr>
      <w:rFonts w:ascii="Times New Roman" w:hAnsi="Times New Roman" w:eastAsia="宋体" w:cs="Times New Roman"/>
      <w:lang w:val="en-US" w:eastAsia="zh-CN" w:bidi="ar-SA"/>
    </w:rPr>
  </w:style>
  <w:style w:type="paragraph" w:customStyle="1" w:styleId="70">
    <w:name w:val="附录标识"/>
    <w:basedOn w:val="52"/>
    <w:uiPriority w:val="0"/>
    <w:pPr>
      <w:numPr>
        <w:numId w:val="0"/>
      </w:numPr>
      <w:tabs>
        <w:tab w:val="left" w:pos="6405"/>
      </w:tabs>
      <w:spacing w:after="200"/>
    </w:pPr>
    <w:rPr>
      <w:sz w:val="21"/>
    </w:rPr>
  </w:style>
  <w:style w:type="paragraph" w:customStyle="1" w:styleId="71">
    <w:name w:val="附录表标题"/>
    <w:next w:val="54"/>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72">
    <w:name w:val="附录章标题"/>
    <w:next w:val="54"/>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3">
    <w:name w:val="附录一级条标题"/>
    <w:basedOn w:val="72"/>
    <w:next w:val="54"/>
    <w:uiPriority w:val="0"/>
    <w:pPr>
      <w:numPr>
        <w:ilvl w:val="0"/>
        <w:numId w:val="0"/>
      </w:numPr>
      <w:autoSpaceDN w:val="0"/>
      <w:spacing w:beforeLines="0" w:afterLines="0"/>
      <w:outlineLvl w:val="2"/>
    </w:pPr>
  </w:style>
  <w:style w:type="paragraph" w:customStyle="1" w:styleId="74">
    <w:name w:val="附录二级条标题"/>
    <w:basedOn w:val="73"/>
    <w:next w:val="54"/>
    <w:uiPriority w:val="0"/>
    <w:pPr>
      <w:numPr>
        <w:ilvl w:val="2"/>
      </w:numPr>
      <w:outlineLvl w:val="3"/>
    </w:pPr>
  </w:style>
  <w:style w:type="paragraph" w:customStyle="1" w:styleId="75">
    <w:name w:val="附录三级条标题"/>
    <w:basedOn w:val="74"/>
    <w:next w:val="54"/>
    <w:uiPriority w:val="0"/>
    <w:pPr>
      <w:numPr>
        <w:ilvl w:val="3"/>
      </w:numPr>
      <w:outlineLvl w:val="4"/>
    </w:pPr>
  </w:style>
  <w:style w:type="paragraph" w:customStyle="1" w:styleId="76">
    <w:name w:val="附录四级条标题"/>
    <w:basedOn w:val="75"/>
    <w:next w:val="54"/>
    <w:qFormat/>
    <w:uiPriority w:val="0"/>
    <w:pPr>
      <w:numPr>
        <w:ilvl w:val="4"/>
      </w:numPr>
      <w:outlineLvl w:val="5"/>
    </w:pPr>
  </w:style>
  <w:style w:type="paragraph" w:customStyle="1" w:styleId="77">
    <w:name w:val="附录图标题"/>
    <w:next w:val="5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78">
    <w:name w:val="附录五级条标题"/>
    <w:basedOn w:val="76"/>
    <w:next w:val="54"/>
    <w:qFormat/>
    <w:uiPriority w:val="0"/>
    <w:pPr>
      <w:numPr>
        <w:ilvl w:val="0"/>
      </w:numPr>
      <w:outlineLvl w:val="6"/>
    </w:pPr>
  </w:style>
  <w:style w:type="character" w:customStyle="1" w:styleId="79">
    <w:name w:val="个人答复风格"/>
    <w:uiPriority w:val="0"/>
    <w:rPr>
      <w:rFonts w:ascii="Arial" w:hAnsi="Arial" w:eastAsia="宋体" w:cs="Arial"/>
      <w:color w:val="auto"/>
      <w:sz w:val="20"/>
    </w:rPr>
  </w:style>
  <w:style w:type="character" w:customStyle="1" w:styleId="80">
    <w:name w:val="个人撰写风格"/>
    <w:uiPriority w:val="0"/>
    <w:rPr>
      <w:rFonts w:ascii="Arial" w:hAnsi="Arial" w:eastAsia="宋体" w:cs="Arial"/>
      <w:color w:val="auto"/>
      <w:sz w:val="20"/>
    </w:rPr>
  </w:style>
  <w:style w:type="paragraph" w:customStyle="1" w:styleId="81">
    <w:name w:val="列项——（一级）"/>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2">
    <w:name w:val="列项●（二级）"/>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3">
    <w:name w:val="目次、标准名称标题"/>
    <w:basedOn w:val="52"/>
    <w:next w:val="54"/>
    <w:uiPriority w:val="0"/>
    <w:pPr>
      <w:numPr>
        <w:numId w:val="0"/>
      </w:numPr>
      <w:spacing w:line="460" w:lineRule="exact"/>
    </w:pPr>
  </w:style>
  <w:style w:type="paragraph" w:customStyle="1" w:styleId="8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6">
    <w:name w:val="其他发布部门"/>
    <w:basedOn w:val="59"/>
    <w:uiPriority w:val="0"/>
    <w:pPr>
      <w:framePr/>
      <w:spacing w:line="0" w:lineRule="atLeast"/>
    </w:pPr>
    <w:rPr>
      <w:rFonts w:ascii="黑体" w:eastAsia="黑体"/>
      <w:b w:val="0"/>
    </w:rPr>
  </w:style>
  <w:style w:type="paragraph" w:customStyle="1" w:styleId="87">
    <w:name w:val="三级条标题"/>
    <w:basedOn w:val="57"/>
    <w:next w:val="54"/>
    <w:qFormat/>
    <w:uiPriority w:val="0"/>
    <w:pPr>
      <w:numPr>
        <w:ilvl w:val="0"/>
        <w:numId w:val="0"/>
      </w:numPr>
      <w:outlineLvl w:val="4"/>
    </w:pPr>
  </w:style>
  <w:style w:type="paragraph" w:customStyle="1" w:styleId="88">
    <w:name w:val="实施日期"/>
    <w:basedOn w:val="60"/>
    <w:qFormat/>
    <w:uiPriority w:val="0"/>
    <w:pPr>
      <w:framePr w:hSpace="0" w:xAlign="right"/>
      <w:numPr>
        <w:ilvl w:val="4"/>
        <w:numId w:val="1"/>
      </w:numPr>
      <w:jc w:val="right"/>
    </w:pPr>
  </w:style>
  <w:style w:type="paragraph" w:customStyle="1" w:styleId="89">
    <w:name w:val="示例"/>
    <w:next w:val="54"/>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0">
    <w:name w:val="数字编号列项（二级）"/>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1">
    <w:name w:val="四级条标题"/>
    <w:basedOn w:val="87"/>
    <w:next w:val="54"/>
    <w:qFormat/>
    <w:uiPriority w:val="0"/>
    <w:pPr>
      <w:numPr>
        <w:numId w:val="7"/>
      </w:numPr>
      <w:ind w:firstLine="0"/>
      <w:outlineLvl w:val="5"/>
    </w:pPr>
  </w:style>
  <w:style w:type="paragraph" w:customStyle="1" w:styleId="92">
    <w:name w:val="条文脚注"/>
    <w:basedOn w:val="27"/>
    <w:qFormat/>
    <w:uiPriority w:val="0"/>
    <w:pPr>
      <w:ind w:left="780" w:leftChars="200" w:hanging="360" w:hangingChars="200"/>
      <w:jc w:val="both"/>
    </w:pPr>
    <w:rPr>
      <w:rFonts w:ascii="宋体"/>
    </w:rPr>
  </w:style>
  <w:style w:type="paragraph" w:customStyle="1" w:styleId="93">
    <w:name w:val="图表脚注"/>
    <w:next w:val="54"/>
    <w:uiPriority w:val="0"/>
    <w:pPr>
      <w:numPr>
        <w:ilvl w:val="5"/>
        <w:numId w:val="1"/>
      </w:numPr>
      <w:ind w:left="300" w:leftChars="200" w:hanging="100" w:hangingChars="100"/>
      <w:jc w:val="both"/>
    </w:pPr>
    <w:rPr>
      <w:rFonts w:ascii="宋体" w:hAnsi="Times New Roman" w:eastAsia="宋体" w:cs="Times New Roman"/>
      <w:sz w:val="18"/>
      <w:lang w:val="en-US" w:eastAsia="zh-CN" w:bidi="ar-SA"/>
    </w:rPr>
  </w:style>
  <w:style w:type="paragraph" w:customStyle="1" w:styleId="94">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5">
    <w:name w:val="五级条标题"/>
    <w:basedOn w:val="91"/>
    <w:next w:val="54"/>
    <w:qFormat/>
    <w:uiPriority w:val="0"/>
    <w:pPr>
      <w:numPr>
        <w:numId w:val="0"/>
      </w:numPr>
      <w:outlineLvl w:val="6"/>
    </w:pPr>
  </w:style>
  <w:style w:type="paragraph" w:customStyle="1" w:styleId="96">
    <w:name w:val="正文表标题"/>
    <w:next w:val="54"/>
    <w:qFormat/>
    <w:uiPriority w:val="0"/>
    <w:pPr>
      <w:jc w:val="center"/>
    </w:pPr>
    <w:rPr>
      <w:rFonts w:ascii="黑体" w:hAnsi="Times New Roman" w:eastAsia="黑体" w:cs="Times New Roman"/>
      <w:sz w:val="21"/>
      <w:lang w:val="en-US" w:eastAsia="zh-CN" w:bidi="ar-SA"/>
    </w:rPr>
  </w:style>
  <w:style w:type="paragraph" w:customStyle="1" w:styleId="97">
    <w:name w:val="正文图标题"/>
    <w:next w:val="54"/>
    <w:qFormat/>
    <w:uiPriority w:val="0"/>
    <w:pPr>
      <w:jc w:val="center"/>
    </w:pPr>
    <w:rPr>
      <w:rFonts w:ascii="黑体" w:hAnsi="Times New Roman" w:eastAsia="黑体" w:cs="Times New Roman"/>
      <w:sz w:val="21"/>
      <w:lang w:val="en-US" w:eastAsia="zh-CN" w:bidi="ar-SA"/>
    </w:rPr>
  </w:style>
  <w:style w:type="paragraph" w:customStyle="1" w:styleId="98">
    <w:name w:val="注："/>
    <w:next w:val="5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99">
    <w:name w:val="注×："/>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01">
    <w:name w:val="一级条标题 Char"/>
    <w:uiPriority w:val="0"/>
    <w:rPr>
      <w:rFonts w:eastAsia="黑体"/>
      <w:kern w:val="2"/>
      <w:sz w:val="21"/>
      <w:szCs w:val="24"/>
      <w:lang w:val="en-US" w:eastAsia="zh-CN" w:bidi="ar-SA"/>
    </w:rPr>
  </w:style>
  <w:style w:type="paragraph" w:customStyle="1" w:styleId="102">
    <w:name w:val="列项◆（三级）"/>
    <w:qFormat/>
    <w:uiPriority w:val="0"/>
    <w:pPr>
      <w:numPr>
        <w:ilvl w:val="0"/>
        <w:numId w:val="8"/>
      </w:numPr>
      <w:ind w:left="800" w:leftChars="600" w:hanging="200" w:hangingChars="200"/>
    </w:pPr>
    <w:rPr>
      <w:rFonts w:ascii="宋体" w:hAnsi="Times New Roman" w:eastAsia="宋体" w:cs="Times New Roman"/>
      <w:sz w:val="21"/>
      <w:lang w:val="en-US" w:eastAsia="zh-CN" w:bidi="ar-SA"/>
    </w:rPr>
  </w:style>
  <w:style w:type="paragraph" w:customStyle="1" w:styleId="103">
    <w:name w:val="编号列项（三级）"/>
    <w:uiPriority w:val="0"/>
    <w:pPr>
      <w:numPr>
        <w:ilvl w:val="0"/>
        <w:numId w:val="9"/>
      </w:numPr>
      <w:tabs>
        <w:tab w:val="clear" w:pos="1140"/>
      </w:tabs>
      <w:ind w:left="800" w:leftChars="600" w:hanging="200" w:hangingChars="200"/>
    </w:pPr>
    <w:rPr>
      <w:rFonts w:ascii="宋体" w:hAnsi="Times New Roman" w:eastAsia="宋体" w:cs="Times New Roman"/>
      <w:sz w:val="21"/>
      <w:lang w:val="en-US" w:eastAsia="zh-CN" w:bidi="ar-SA"/>
    </w:rPr>
  </w:style>
  <w:style w:type="character" w:customStyle="1" w:styleId="104">
    <w:name w:val="二级条标题 Char"/>
    <w:basedOn w:val="101"/>
    <w:qFormat/>
    <w:uiPriority w:val="0"/>
    <w:rPr>
      <w:rFonts w:eastAsia="黑体"/>
      <w:kern w:val="2"/>
      <w:sz w:val="21"/>
      <w:szCs w:val="24"/>
      <w:lang w:val="en-US" w:eastAsia="zh-CN" w:bidi="ar-SA"/>
    </w:rPr>
  </w:style>
  <w:style w:type="paragraph" w:customStyle="1" w:styleId="105">
    <w:name w:val="列项说明"/>
    <w:basedOn w:val="1"/>
    <w:qFormat/>
    <w:uiPriority w:val="0"/>
    <w:pPr>
      <w:adjustRightInd w:val="0"/>
      <w:spacing w:line="320" w:lineRule="atLeast"/>
      <w:ind w:left="200" w:leftChars="200" w:hanging="200" w:hangingChars="200"/>
      <w:jc w:val="left"/>
    </w:pPr>
    <w:rPr>
      <w:rFonts w:ascii="宋体"/>
      <w:kern w:val="0"/>
      <w:szCs w:val="20"/>
    </w:rPr>
  </w:style>
  <w:style w:type="character" w:customStyle="1" w:styleId="106">
    <w:name w:val="章标题 Char"/>
    <w:link w:val="55"/>
    <w:qFormat/>
    <w:uiPriority w:val="0"/>
    <w:rPr>
      <w:rFonts w:ascii="黑体" w:eastAsia="黑体"/>
      <w:sz w:val="21"/>
      <w:lang w:val="en-US" w:eastAsia="zh-CN" w:bidi="ar-SA"/>
    </w:rPr>
  </w:style>
  <w:style w:type="character" w:customStyle="1" w:styleId="107">
    <w:name w:val="段 Char"/>
    <w:link w:val="54"/>
    <w:qFormat/>
    <w:uiPriority w:val="0"/>
    <w:rPr>
      <w:rFonts w:ascii="宋体"/>
      <w:sz w:val="21"/>
      <w:lang w:val="en-US" w:eastAsia="zh-CN" w:bidi="ar-SA"/>
    </w:rPr>
  </w:style>
  <w:style w:type="character" w:customStyle="1" w:styleId="108">
    <w:name w:val="纯文本 Char"/>
    <w:basedOn w:val="32"/>
    <w:link w:val="21"/>
    <w:uiPriority w:val="0"/>
    <w:rPr>
      <w:rFonts w:ascii="宋体" w:hAnsi="Courier New"/>
      <w:kern w:val="2"/>
      <w:sz w:val="21"/>
    </w:rPr>
  </w:style>
  <w:style w:type="paragraph" w:styleId="109">
    <w:name w:val="List Paragraph"/>
    <w:basedOn w:val="1"/>
    <w:qFormat/>
    <w:uiPriority w:val="34"/>
    <w:pPr>
      <w:ind w:firstLine="420" w:firstLineChars="200"/>
    </w:pPr>
  </w:style>
  <w:style w:type="character" w:customStyle="1" w:styleId="110">
    <w:name w:val="批注框文本 Char"/>
    <w:basedOn w:val="32"/>
    <w:link w:val="24"/>
    <w:qFormat/>
    <w:uiPriority w:val="0"/>
    <w:rPr>
      <w:kern w:val="2"/>
      <w:sz w:val="18"/>
      <w:szCs w:val="18"/>
    </w:rPr>
  </w:style>
  <w:style w:type="character" w:customStyle="1" w:styleId="111">
    <w:name w:val="high-light-bg"/>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2.wmf"/><Relationship Id="rId17" Type="http://schemas.openxmlformats.org/officeDocument/2006/relationships/oleObject" Target="embeddings/oleObject1.bin"/><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2862E-9C45-476D-9891-1B1297C7F67D}">
  <ds:schemaRefs/>
</ds:datastoreItem>
</file>

<file path=docProps/app.xml><?xml version="1.0" encoding="utf-8"?>
<Properties xmlns="http://schemas.openxmlformats.org/officeDocument/2006/extended-properties" xmlns:vt="http://schemas.openxmlformats.org/officeDocument/2006/docPropsVTypes">
  <Template>tds2</Template>
  <Company>CNIS</Company>
  <Pages>7</Pages>
  <Words>399</Words>
  <Characters>2279</Characters>
  <Lines>18</Lines>
  <Paragraphs>5</Paragraphs>
  <TotalTime>0</TotalTime>
  <ScaleCrop>false</ScaleCrop>
  <LinksUpToDate>false</LinksUpToDate>
  <CharactersWithSpaces>2673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2020-09-18T03:18:00Z</dcterms:created>
  <dc:creator>Pu Shikun</dc:creator>
  <cp:lastModifiedBy>CathayMok</cp:lastModifiedBy>
  <cp:lastPrinted>2010-08-20T08:00:00Z</cp:lastPrinted>
  <dcterms:modified xsi:type="dcterms:W3CDTF">2020-09-18T08:16:46Z</dcterms:modified>
  <dc:subject>锗分析方法</dc:subject>
  <dc:title>区熔锗锭化学分析方法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2052-11.1.0.10000</vt:lpwstr>
  </property>
</Properties>
</file>