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rPr>
          <w:rFonts w:ascii="Times New Roman"/>
        </w:rPr>
      </w:pPr>
      <w:bookmarkStart w:id="0" w:name="_Toc49776953"/>
      <w:bookmarkStart w:id="1" w:name="_Toc48717817"/>
      <w:bookmarkStart w:id="2" w:name="SectionMark0"/>
    </w:p>
    <w:p>
      <w:pPr>
        <w:pStyle w:val="14"/>
        <w:rPr>
          <w:rFonts w:ascii="Times New Roman"/>
        </w:rPr>
      </w:pPr>
    </w:p>
    <w:p>
      <w:pPr>
        <w:pStyle w:val="14"/>
        <w:rPr>
          <w:rFonts w:ascii="Times New Roman"/>
        </w:rPr>
      </w:pPr>
    </w:p>
    <w:p>
      <w:pPr>
        <w:pStyle w:val="14"/>
        <w:rPr>
          <w:rFonts w:ascii="Times New Roman"/>
        </w:rPr>
      </w:pPr>
      <w:r>
        <w:rPr>
          <w:rFonts w:ascii="Times New Roman"/>
          <w:sz w:val="24"/>
        </w:rPr>
        <w:drawing>
          <wp:inline distT="0" distB="0" distL="0" distR="0">
            <wp:extent cx="5927090" cy="1301115"/>
            <wp:effectExtent l="0" t="0" r="16510" b="13335"/>
            <wp:docPr id="2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7090" cy="130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8287385</wp:posOffset>
                </wp:positionV>
                <wp:extent cx="6057900" cy="0"/>
                <wp:effectExtent l="0" t="0" r="0" b="0"/>
                <wp:wrapNone/>
                <wp:docPr id="5" name="Lin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8" o:spid="_x0000_s1026" o:spt="20" style="position:absolute;left:0pt;margin-left:-7.9pt;margin-top:652.55pt;height:0pt;width:477pt;z-index:251664384;mso-width-relative:page;mso-height-relative:page;" filled="f" stroked="t" coordsize="21600,21600" o:gfxdata="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zvGf7XAAAADQEAAA8AAAAAAAAAAQAgAAAAIgAAAGRycy9kb3ducmV2LnhtbFBL&#10;AQIUABQAAAAIAIdO4kBSjEtwvgEAAI8DAAAOAAAAAAAAAAEAIAAAACYBAABkcnMvZTJvRG9jLnht&#10;bFBLBQYAAAAABgAGAFkBAABW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margin">
                  <wp:posOffset>3810</wp:posOffset>
                </wp:positionH>
                <wp:positionV relativeFrom="margin">
                  <wp:posOffset>110490</wp:posOffset>
                </wp:positionV>
                <wp:extent cx="2406650" cy="719455"/>
                <wp:effectExtent l="0" t="0" r="0" b="0"/>
                <wp:wrapNone/>
                <wp:docPr id="6" name="fm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92"/>
                              <w:rPr>
                                <w:rFonts w:eastAsia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黑体"/>
                                <w:sz w:val="21"/>
                                <w:szCs w:val="21"/>
                              </w:rPr>
                              <w:t>ICS 77.120.60</w:t>
                            </w:r>
                          </w:p>
                          <w:p>
                            <w:pPr>
                              <w:pStyle w:val="92"/>
                              <w:rPr>
                                <w:rFonts w:eastAsia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黑体"/>
                                <w:sz w:val="21"/>
                                <w:szCs w:val="21"/>
                              </w:rPr>
                              <w:t>CCS H 13</w:t>
                            </w:r>
                          </w:p>
                          <w:p>
                            <w:pPr>
                              <w:pStyle w:val="52"/>
                              <w:rPr>
                                <w:strike/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1" o:spid="_x0000_s1026" o:spt="202" type="#_x0000_t202" style="position:absolute;left:0pt;margin-left:0.3pt;margin-top:8.7pt;height:56.65pt;width:189.5pt;mso-position-horizontal-relative:margin;mso-position-vertical-relative:margin;z-index:251666432;mso-width-relative:page;mso-height-relative:page;" fillcolor="#FFFFFF" filled="t" stroked="f" coordsize="21600,21600" o:gfxdata="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xO6SbU&#10;AAAABwEAAA8AAAAAAAAAAQAgAAAAIgAAAGRycy9kb3ducmV2LnhtbFBLAQIUABQAAAAIAIdO4kDY&#10;SHfEsgEAAHIDAAAOAAAAAAAAAAEAIAAAACMBAABkcnMvZTJvRG9jLnhtbFBLBQYAAAAABgAGAFkB&#10;AABH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2"/>
                        <w:rPr>
                          <w:rFonts w:eastAsia="黑体"/>
                          <w:sz w:val="21"/>
                          <w:szCs w:val="21"/>
                        </w:rPr>
                      </w:pPr>
                      <w:r>
                        <w:rPr>
                          <w:rFonts w:eastAsia="黑体"/>
                          <w:sz w:val="21"/>
                          <w:szCs w:val="21"/>
                        </w:rPr>
                        <w:t>ICS 77.120.60</w:t>
                      </w:r>
                    </w:p>
                    <w:p>
                      <w:pPr>
                        <w:pStyle w:val="92"/>
                        <w:rPr>
                          <w:rFonts w:eastAsia="黑体"/>
                          <w:sz w:val="21"/>
                          <w:szCs w:val="21"/>
                        </w:rPr>
                      </w:pPr>
                      <w:r>
                        <w:rPr>
                          <w:rFonts w:eastAsia="黑体"/>
                          <w:sz w:val="21"/>
                          <w:szCs w:val="21"/>
                        </w:rPr>
                        <w:t>CCS H 13</w:t>
                      </w:r>
                    </w:p>
                    <w:p>
                      <w:pPr>
                        <w:pStyle w:val="52"/>
                        <w:rPr>
                          <w:strike/>
                          <w:color w:val="FF0000"/>
                          <w:szCs w:val="2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-133985</wp:posOffset>
                </wp:positionH>
                <wp:positionV relativeFrom="margin">
                  <wp:posOffset>8826500</wp:posOffset>
                </wp:positionV>
                <wp:extent cx="6120130" cy="793750"/>
                <wp:effectExtent l="0" t="0" r="0" b="0"/>
                <wp:wrapNone/>
                <wp:docPr id="4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61"/>
                              <w:spacing w:line="340" w:lineRule="exact"/>
                              <w:ind w:firstLine="2299" w:firstLineChars="550"/>
                              <w:jc w:val="both"/>
                              <w:rPr>
                                <w:rFonts w:ascii="黑体" w:eastAsia="黑体"/>
                                <w:b w:val="0"/>
                                <w:bCs/>
                                <w:sz w:val="28"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61"/>
                              <w:spacing w:line="340" w:lineRule="exact"/>
                              <w:rPr>
                                <w:rFonts w:ascii="黑体" w:eastAsia="黑体"/>
                                <w:b w:val="0"/>
                                <w:bCs/>
                                <w:sz w:val="28"/>
                              </w:rPr>
                            </w:pPr>
                          </w:p>
                          <w:p>
                            <w:pPr>
                              <w:pStyle w:val="61"/>
                              <w:spacing w:line="340" w:lineRule="exact"/>
                              <w:rPr>
                                <w:rFonts w:ascii="黑体" w:eastAsia="黑体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Cs/>
                                <w:sz w:val="28"/>
                              </w:rPr>
                              <w:t>中华人民共和国工业和信息化部　发布</w:t>
                            </w:r>
                          </w:p>
                          <w:p>
                            <w:pPr>
                              <w:pStyle w:val="46"/>
                              <w:ind w:firstLine="420"/>
                            </w:pPr>
                          </w:p>
                          <w:p>
                            <w:pPr>
                              <w:pStyle w:val="46"/>
                              <w:ind w:firstLine="420"/>
                            </w:pPr>
                          </w:p>
                          <w:p>
                            <w:pPr>
                              <w:pStyle w:val="46"/>
                              <w:ind w:firstLine="420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-10.55pt;margin-top:695pt;height:62.5pt;width:481.9pt;mso-position-horizontal-relative:margin;mso-position-vertical-relative:margin;z-index:251663360;mso-width-relative:page;mso-height-relative:page;" fillcolor="#FFFFFF" filled="t" stroked="f" coordsize="21600,21600" o:gfxdata="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7OEjvbAAAA&#10;DQEAAA8AAAAAAAAAAQAgAAAAIgAAAGRycy9kb3ducmV2LnhtbFBLAQIUABQAAAAIAIdO4kBPAvfD&#10;qAEAAFgDAAAOAAAAAAAAAAEAIAAAACoBAABkcnMvZTJvRG9jLnhtbFBLBQYAAAAABgAGAFkBAABE&#10;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1"/>
                        <w:spacing w:line="340" w:lineRule="exact"/>
                        <w:ind w:firstLine="2299" w:firstLineChars="550"/>
                        <w:jc w:val="both"/>
                        <w:rPr>
                          <w:rFonts w:ascii="黑体" w:eastAsia="黑体"/>
                          <w:b w:val="0"/>
                          <w:bCs/>
                          <w:sz w:val="28"/>
                          <w:u w:val="single"/>
                        </w:rPr>
                      </w:pPr>
                    </w:p>
                    <w:p>
                      <w:pPr>
                        <w:pStyle w:val="61"/>
                        <w:spacing w:line="340" w:lineRule="exact"/>
                        <w:rPr>
                          <w:rFonts w:ascii="黑体" w:eastAsia="黑体"/>
                          <w:b w:val="0"/>
                          <w:bCs/>
                          <w:sz w:val="28"/>
                        </w:rPr>
                      </w:pPr>
                    </w:p>
                    <w:p>
                      <w:pPr>
                        <w:pStyle w:val="61"/>
                        <w:spacing w:line="340" w:lineRule="exact"/>
                        <w:rPr>
                          <w:rFonts w:ascii="黑体" w:eastAsia="黑体"/>
                          <w:bCs/>
                          <w:sz w:val="28"/>
                        </w:rPr>
                      </w:pPr>
                      <w:r>
                        <w:rPr>
                          <w:rFonts w:hint="eastAsia" w:ascii="黑体" w:eastAsia="黑体"/>
                          <w:bCs/>
                          <w:sz w:val="28"/>
                        </w:rPr>
                        <w:t>中华人民共和国工业和信息化部　发布</w:t>
                      </w:r>
                    </w:p>
                    <w:p>
                      <w:pPr>
                        <w:pStyle w:val="46"/>
                        <w:ind w:firstLine="420"/>
                      </w:pPr>
                    </w:p>
                    <w:p>
                      <w:pPr>
                        <w:pStyle w:val="46"/>
                        <w:ind w:firstLine="420"/>
                      </w:pPr>
                    </w:p>
                    <w:p>
                      <w:pPr>
                        <w:pStyle w:val="46"/>
                        <w:ind w:firstLine="42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3823970</wp:posOffset>
                </wp:positionH>
                <wp:positionV relativeFrom="margin">
                  <wp:posOffset>8514080</wp:posOffset>
                </wp:positionV>
                <wp:extent cx="2019300" cy="312420"/>
                <wp:effectExtent l="0" t="0" r="0" b="0"/>
                <wp:wrapNone/>
                <wp:docPr id="3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黑体"/>
                                <w:sz w:val="28"/>
                                <w:szCs w:val="28"/>
                              </w:rPr>
                              <w:t xml:space="preserve">XXXX-XX-XX实施 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6" o:spid="_x0000_s1026" o:spt="202" type="#_x0000_t202" style="position:absolute;left:0pt;margin-left:301.1pt;margin-top:670.4pt;height:24.6pt;width:159pt;mso-position-horizontal-relative:margin;mso-position-vertical-relative:margin;z-index:251662336;mso-width-relative:page;mso-height-relative:page;" fillcolor="#FFFFFF" filled="t" stroked="f" coordsize="21600,21600" o:gfxdata="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NQPaDfYAAAADQEA&#10;AA8AAAAAAAAAAQAgAAAAIgAAAGRycy9kb3ducmV2LnhtbFBLAQIUABQAAAAIAIdO4kB2pelvqAEA&#10;AFgDAAAOAAAAAAAAAAEAIAAAACcBAABkcnMvZTJvRG9jLnhtbFBLBQYAAAAABgAGAFkBAABBBQAA&#10;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right"/>
                        <w:rPr>
                          <w:rFonts w:eastAsia="黑体"/>
                          <w:sz w:val="28"/>
                          <w:szCs w:val="28"/>
                        </w:rPr>
                      </w:pPr>
                      <w:r>
                        <w:rPr>
                          <w:rFonts w:eastAsia="黑体"/>
                          <w:sz w:val="28"/>
                          <w:szCs w:val="28"/>
                        </w:rPr>
                        <w:t xml:space="preserve">XXXX-XX-XX实施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8516620</wp:posOffset>
                </wp:positionV>
                <wp:extent cx="2019300" cy="312420"/>
                <wp:effectExtent l="0" t="0" r="0" b="0"/>
                <wp:wrapNone/>
                <wp:docPr id="2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77"/>
                            </w:pPr>
                            <w:r>
                              <w:t>XXXX-XX-XX发布</w:t>
                            </w:r>
                          </w:p>
                          <w:p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0pt;margin-top:670.6pt;height:24.6pt;width:159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IhpYXYAAAACgEA&#10;AA8AAAAAAAAAAQAgAAAAIgAAAGRycy9kb3ducmV2LnhtbFBLAQIUABQAAAAIAIdO4kD7+hLlqAEA&#10;AFgDAAAOAAAAAAAAAAEAIAAAACcBAABkcnMvZTJvRG9jLnhtbFBLBQYAAAAABgAGAFkBAABBBQAA&#10;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7"/>
                      </w:pPr>
                      <w:r>
                        <w:t>XXXX-XX-XX发布</w:t>
                      </w:r>
                    </w:p>
                    <w:p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111760</wp:posOffset>
                </wp:positionH>
                <wp:positionV relativeFrom="margin">
                  <wp:posOffset>2778760</wp:posOffset>
                </wp:positionV>
                <wp:extent cx="5722620" cy="4586605"/>
                <wp:effectExtent l="0" t="0" r="0" b="0"/>
                <wp:wrapNone/>
                <wp:docPr id="1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458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5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黑体"/>
                                <w:bCs/>
                                <w:sz w:val="52"/>
                                <w:szCs w:val="72"/>
                              </w:rPr>
                            </w:pPr>
                            <w:r>
                              <w:rPr>
                                <w:rFonts w:eastAsia="黑体"/>
                                <w:bCs/>
                                <w:sz w:val="52"/>
                                <w:szCs w:val="72"/>
                              </w:rPr>
                              <w:t>铜冶炼烟尘化学分析方法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黑体"/>
                                <w:bCs/>
                                <w:sz w:val="52"/>
                                <w:szCs w:val="72"/>
                              </w:rPr>
                            </w:pPr>
                            <w:r>
                              <w:rPr>
                                <w:rFonts w:eastAsia="黑体"/>
                                <w:bCs/>
                                <w:sz w:val="52"/>
                                <w:szCs w:val="72"/>
                              </w:rPr>
                              <w:t>第4部分：铋含量的测定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黑体"/>
                                <w:bCs/>
                                <w:sz w:val="52"/>
                                <w:szCs w:val="72"/>
                              </w:rPr>
                            </w:pPr>
                            <w:r>
                              <w:rPr>
                                <w:rFonts w:eastAsia="黑体"/>
                                <w:bCs/>
                                <w:sz w:val="52"/>
                                <w:szCs w:val="72"/>
                              </w:rPr>
                              <w:t>火焰原子吸收光谱法和Na</w:t>
                            </w:r>
                            <w:r>
                              <w:rPr>
                                <w:rFonts w:eastAsia="黑体"/>
                                <w:bCs/>
                                <w:sz w:val="52"/>
                                <w:szCs w:val="72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eastAsia="黑体"/>
                                <w:bCs/>
                                <w:sz w:val="52"/>
                                <w:szCs w:val="72"/>
                              </w:rPr>
                              <w:t>EDTA滴定法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黑体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黑体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Methods for chemical analysis of copper smelting soot—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黑体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黑体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Part4：Determination of bismuth content—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黑体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黑体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Flame atomic absorption spectrometic method and Na</w:t>
                            </w:r>
                            <w:r>
                              <w:rPr>
                                <w:rFonts w:eastAsia="黑体"/>
                                <w:color w:val="000000"/>
                                <w:kern w:val="0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eastAsia="黑体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EDTA —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黑体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黑体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titrimetric method</w:t>
                            </w:r>
                          </w:p>
                          <w:p>
                            <w:pPr>
                              <w:pStyle w:val="73"/>
                              <w:spacing w:before="0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黑体"/>
                                <w:color w:val="000000"/>
                                <w:sz w:val="28"/>
                              </w:rPr>
                              <w:t>（送审稿）</w:t>
                            </w:r>
                          </w:p>
                          <w:p>
                            <w:pPr>
                              <w:pStyle w:val="73"/>
                              <w:rPr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pStyle w:val="60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8.8pt;margin-top:218.8pt;height:361.15pt;width:450.6pt;mso-position-horizontal-relative:margin;mso-position-vertical-relative:margin;z-index:251660288;mso-width-relative:page;mso-height-relative:page;" fillcolor="#FFFFFF" filled="t" stroked="f" coordsize="21600,21600" o:gfxdata="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A947nLZAAAACwEA&#10;AA8AAAAAAAAAAQAgAAAAIgAAAGRycy9kb3ducmV2LnhtbFBLAQIUABQAAAAIAIdO4kCd82LvpwEA&#10;AFkDAAAOAAAAAAAAAAEAIAAAACgBAABkcnMvZTJvRG9jLnhtbFBLBQYAAAAABgAGAFkBAABBBQAA&#10;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52"/>
                        </w:rPr>
                      </w:pPr>
                    </w:p>
                    <w:p>
                      <w:pPr>
                        <w:jc w:val="center"/>
                        <w:rPr>
                          <w:rFonts w:eastAsia="黑体"/>
                          <w:bCs/>
                          <w:sz w:val="52"/>
                          <w:szCs w:val="72"/>
                        </w:rPr>
                      </w:pPr>
                      <w:r>
                        <w:rPr>
                          <w:rFonts w:eastAsia="黑体"/>
                          <w:bCs/>
                          <w:sz w:val="52"/>
                          <w:szCs w:val="72"/>
                        </w:rPr>
                        <w:t>铜冶炼烟尘化学分析方法</w:t>
                      </w:r>
                    </w:p>
                    <w:p>
                      <w:pPr>
                        <w:jc w:val="center"/>
                        <w:rPr>
                          <w:rFonts w:eastAsia="黑体"/>
                          <w:bCs/>
                          <w:sz w:val="52"/>
                          <w:szCs w:val="72"/>
                        </w:rPr>
                      </w:pPr>
                      <w:r>
                        <w:rPr>
                          <w:rFonts w:eastAsia="黑体"/>
                          <w:bCs/>
                          <w:sz w:val="52"/>
                          <w:szCs w:val="72"/>
                        </w:rPr>
                        <w:t>第4部分：铋含量的测定</w:t>
                      </w:r>
                    </w:p>
                    <w:p>
                      <w:pPr>
                        <w:jc w:val="center"/>
                        <w:rPr>
                          <w:rFonts w:eastAsia="黑体"/>
                          <w:bCs/>
                          <w:sz w:val="52"/>
                          <w:szCs w:val="72"/>
                        </w:rPr>
                      </w:pPr>
                      <w:r>
                        <w:rPr>
                          <w:rFonts w:eastAsia="黑体"/>
                          <w:bCs/>
                          <w:sz w:val="52"/>
                          <w:szCs w:val="72"/>
                        </w:rPr>
                        <w:t>火焰原子吸收光谱法和Na</w:t>
                      </w:r>
                      <w:r>
                        <w:rPr>
                          <w:rFonts w:eastAsia="黑体"/>
                          <w:bCs/>
                          <w:sz w:val="52"/>
                          <w:szCs w:val="72"/>
                          <w:vertAlign w:val="subscript"/>
                        </w:rPr>
                        <w:t>2</w:t>
                      </w:r>
                      <w:r>
                        <w:rPr>
                          <w:rFonts w:eastAsia="黑体"/>
                          <w:bCs/>
                          <w:sz w:val="52"/>
                          <w:szCs w:val="72"/>
                        </w:rPr>
                        <w:t>EDTA滴定法</w:t>
                      </w:r>
                    </w:p>
                    <w:p>
                      <w:pPr>
                        <w:jc w:val="center"/>
                        <w:rPr>
                          <w:rFonts w:eastAsia="黑体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eastAsia="黑体"/>
                          <w:color w:val="000000"/>
                          <w:kern w:val="0"/>
                          <w:sz w:val="28"/>
                          <w:szCs w:val="28"/>
                        </w:rPr>
                        <w:t>Methods for chemical analysis of copper smelting soot—</w:t>
                      </w:r>
                    </w:p>
                    <w:p>
                      <w:pPr>
                        <w:jc w:val="center"/>
                        <w:rPr>
                          <w:rFonts w:eastAsia="黑体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eastAsia="黑体"/>
                          <w:color w:val="000000"/>
                          <w:kern w:val="0"/>
                          <w:sz w:val="28"/>
                          <w:szCs w:val="28"/>
                        </w:rPr>
                        <w:t>Part4：Determination of bismuth content—</w:t>
                      </w:r>
                    </w:p>
                    <w:p>
                      <w:pPr>
                        <w:jc w:val="center"/>
                        <w:rPr>
                          <w:rFonts w:eastAsia="黑体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eastAsia="黑体"/>
                          <w:color w:val="000000"/>
                          <w:kern w:val="0"/>
                          <w:sz w:val="28"/>
                          <w:szCs w:val="28"/>
                        </w:rPr>
                        <w:t xml:space="preserve"> Flame atomic absorption spectrometic method and Na</w:t>
                      </w:r>
                      <w:r>
                        <w:rPr>
                          <w:rFonts w:eastAsia="黑体"/>
                          <w:color w:val="000000"/>
                          <w:kern w:val="0"/>
                          <w:sz w:val="28"/>
                          <w:szCs w:val="28"/>
                          <w:vertAlign w:val="subscript"/>
                        </w:rPr>
                        <w:t>2</w:t>
                      </w:r>
                      <w:r>
                        <w:rPr>
                          <w:rFonts w:eastAsia="黑体"/>
                          <w:color w:val="000000"/>
                          <w:kern w:val="0"/>
                          <w:sz w:val="28"/>
                          <w:szCs w:val="28"/>
                        </w:rPr>
                        <w:t>EDTA —</w:t>
                      </w:r>
                    </w:p>
                    <w:p>
                      <w:pPr>
                        <w:jc w:val="center"/>
                        <w:rPr>
                          <w:rFonts w:eastAsia="黑体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eastAsia="黑体"/>
                          <w:color w:val="000000"/>
                          <w:kern w:val="0"/>
                          <w:sz w:val="28"/>
                          <w:szCs w:val="28"/>
                        </w:rPr>
                        <w:t>titrimetric method</w:t>
                      </w:r>
                    </w:p>
                    <w:p>
                      <w:pPr>
                        <w:pStyle w:val="73"/>
                        <w:spacing w:before="0"/>
                        <w:rPr>
                          <w:rFonts w:asci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eastAsia="黑体"/>
                          <w:color w:val="000000"/>
                          <w:sz w:val="28"/>
                        </w:rPr>
                        <w:t>（送审稿）</w:t>
                      </w:r>
                    </w:p>
                    <w:p>
                      <w:pPr>
                        <w:pStyle w:val="73"/>
                        <w:rPr>
                          <w:b/>
                          <w:sz w:val="30"/>
                        </w:rPr>
                      </w:pPr>
                    </w:p>
                    <w:p>
                      <w:pPr>
                        <w:pStyle w:val="6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  <w:bookmarkEnd w:id="1"/>
    </w:p>
    <w:p/>
    <w:p>
      <w:pPr>
        <w:tabs>
          <w:tab w:val="left" w:pos="8489"/>
        </w:tabs>
        <w:ind w:firstLine="7350" w:firstLineChars="3500"/>
        <w:jc w:val="left"/>
        <w:rPr>
          <w:rFonts w:eastAsia="黑体"/>
          <w:szCs w:val="21"/>
        </w:rPr>
      </w:pPr>
      <w:r>
        <w:rPr>
          <w:rFonts w:eastAsia="黑体"/>
          <w:szCs w:val="21"/>
        </w:rPr>
        <w:t>YS/T XXXX.4-202X</w:t>
      </w:r>
    </w:p>
    <w:p>
      <w:pPr>
        <w:tabs>
          <w:tab w:val="left" w:pos="8489"/>
        </w:tabs>
        <w:ind w:firstLine="8160" w:firstLineChars="3400"/>
        <w:jc w:val="left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19685</wp:posOffset>
                </wp:positionV>
                <wp:extent cx="5781675" cy="1270"/>
                <wp:effectExtent l="38100" t="38100" r="47625" b="7493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12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.9pt;margin-top:1.55pt;height:0.1pt;width:455.25pt;z-index:251671552;mso-width-relative:page;mso-height-relative:page;" filled="f" stroked="t" coordsize="21600,21600" o:gfxdata="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SSgyn1AAAAAYBAAAPAAAAAAAAAAEAIAAA&#10;ACIAAABkcnMvZG93bnJldi54bWxQSwECFAAUAAAACACHTuJA4OkQSBACAAAIBAAADgAAAAAAAAAB&#10;ACAAAAAjAQAAZHJzL2Uyb0RvYy54bWxQSwUGAAAAAAYABgBZAQAApQUAAAAA&#10;">
                <v:fill on="f" focussize="0,0"/>
                <v:stroke weight="1.5pt" color="#000000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</w:p>
    <w:p>
      <w:pPr>
        <w:tabs>
          <w:tab w:val="left" w:pos="8489"/>
        </w:tabs>
        <w:ind w:firstLine="7140" w:firstLineChars="3400"/>
        <w:jc w:val="left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567" w:right="1134" w:bottom="1361" w:left="1418" w:header="0" w:footer="0" w:gutter="0"/>
          <w:pgNumType w:fmt="upperRoman" w:start="1"/>
          <w:cols w:space="720" w:num="1"/>
          <w:titlePg/>
          <w:docGrid w:type="linesAndChars" w:linePitch="312" w:charSpace="0"/>
        </w:sectPr>
      </w:pPr>
    </w:p>
    <w:bookmarkEnd w:id="2"/>
    <w:p>
      <w:pPr>
        <w:pStyle w:val="49"/>
        <w:numPr>
          <w:ilvl w:val="0"/>
          <w:numId w:val="3"/>
        </w:numPr>
        <w:spacing w:line="340" w:lineRule="exact"/>
        <w:ind w:left="720" w:hanging="720"/>
        <w:rPr>
          <w:rFonts w:ascii="Times New Roman"/>
          <w:szCs w:val="22"/>
        </w:rPr>
      </w:pPr>
      <w:r>
        <w:rPr>
          <w:rFonts w:ascii="Times New Roman"/>
          <w:szCs w:val="22"/>
        </w:rPr>
        <w:t>前   言</w:t>
      </w:r>
    </w:p>
    <w:p>
      <w:pPr>
        <w:ind w:firstLine="420" w:firstLineChars="200"/>
      </w:pPr>
      <w:r>
        <w:rPr>
          <w:szCs w:val="21"/>
        </w:rPr>
        <w:t>本文件按照GB/T1.1-2020《标准化工作导则 第1部分：标准化文件的结构和起草规则》的规定起草。</w:t>
      </w:r>
    </w:p>
    <w:p>
      <w:pPr>
        <w:ind w:firstLine="420" w:firstLineChars="200"/>
        <w:rPr>
          <w:rFonts w:eastAsiaTheme="minorEastAsia"/>
        </w:rPr>
      </w:pPr>
      <w:r>
        <w:t>本文件为YS/TXXXX-202X的第4部分。YS/T XXXX-202X 《铜冶炼烟尘化学分析方法》已经发布了以下部分：</w:t>
      </w:r>
    </w:p>
    <w:p>
      <w:pPr>
        <w:spacing w:line="360" w:lineRule="auto"/>
        <w:ind w:firstLine="420" w:firstLineChars="200"/>
      </w:pPr>
      <w:r>
        <w:t>——第1部分：铜含量的测定 火焰原子吸收光谱法和碘量法；</w:t>
      </w:r>
    </w:p>
    <w:p>
      <w:pPr>
        <w:spacing w:line="360" w:lineRule="auto"/>
        <w:ind w:firstLine="420" w:firstLineChars="200"/>
      </w:pPr>
      <w:r>
        <w:t>——第2部分：铅含量的测定 火焰原子吸收光谱法和Na</w:t>
      </w:r>
      <w:r>
        <w:rPr>
          <w:vertAlign w:val="subscript"/>
        </w:rPr>
        <w:t>2</w:t>
      </w:r>
      <w:r>
        <w:t>EDTA滴定法；</w:t>
      </w:r>
    </w:p>
    <w:p>
      <w:pPr>
        <w:spacing w:line="360" w:lineRule="auto"/>
        <w:ind w:firstLine="420" w:firstLineChars="200"/>
      </w:pPr>
      <w:r>
        <w:t>——第3部分：锌含量的测定 火焰原子吸收光谱法和容量法；</w:t>
      </w:r>
    </w:p>
    <w:p>
      <w:pPr>
        <w:spacing w:line="360" w:lineRule="auto"/>
        <w:ind w:firstLine="420" w:firstLineChars="200"/>
      </w:pPr>
      <w:r>
        <w:t>——第4部分：铋含量的测定 火焰原子吸收光谱法和Na</w:t>
      </w:r>
      <w:r>
        <w:rPr>
          <w:vertAlign w:val="subscript"/>
        </w:rPr>
        <w:t>2</w:t>
      </w:r>
      <w:r>
        <w:t>EDTA滴定法；</w:t>
      </w:r>
    </w:p>
    <w:p>
      <w:pPr>
        <w:spacing w:line="360" w:lineRule="auto"/>
        <w:ind w:firstLine="420" w:firstLineChars="200"/>
      </w:pPr>
      <w:r>
        <w:t>——第5部分：砷含量的测定 硫酸亚铁铵滴定法；</w:t>
      </w:r>
    </w:p>
    <w:p>
      <w:pPr>
        <w:spacing w:line="360" w:lineRule="auto"/>
        <w:ind w:firstLine="420" w:firstLineChars="200"/>
      </w:pPr>
      <w:r>
        <w:t>——第6部分：铟含量的测定 火焰原子吸收光谱法；</w:t>
      </w:r>
    </w:p>
    <w:p>
      <w:pPr>
        <w:spacing w:line="360" w:lineRule="auto"/>
        <w:ind w:firstLine="420" w:firstLineChars="200"/>
      </w:pPr>
      <w:r>
        <w:t>——第7部分：镉含量的测定 火焰原子吸收光谱法和容量法；</w:t>
      </w:r>
    </w:p>
    <w:p>
      <w:pPr>
        <w:spacing w:line="360" w:lineRule="auto"/>
        <w:ind w:firstLine="420" w:firstLineChars="200"/>
      </w:pPr>
      <w:r>
        <w:t>——第8部分：</w:t>
      </w:r>
      <w:r>
        <w:rPr>
          <w:color w:val="36363D"/>
        </w:rPr>
        <w:t xml:space="preserve">银和金含量的测定 火焰原子吸收光谱法和火试金法； </w:t>
      </w:r>
    </w:p>
    <w:p>
      <w:pPr>
        <w:tabs>
          <w:tab w:val="left" w:pos="5145"/>
        </w:tabs>
        <w:spacing w:line="360" w:lineRule="auto"/>
        <w:ind w:firstLine="420" w:firstLineChars="200"/>
      </w:pPr>
      <w:r>
        <w:t>——第9部分：锑含量的测定 火焰原子吸收光谱法。</w:t>
      </w:r>
    </w:p>
    <w:p>
      <w:pPr>
        <w:pStyle w:val="46"/>
        <w:tabs>
          <w:tab w:val="center" w:pos="4201"/>
          <w:tab w:val="right" w:leader="dot" w:pos="9298"/>
        </w:tabs>
        <w:spacing w:line="480" w:lineRule="exact"/>
        <w:ind w:firstLine="409" w:firstLineChars="1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请注意本文件的某些内容可能涉及专利。本文件的发布机构不承担识别专利的责任。</w:t>
      </w:r>
    </w:p>
    <w:p>
      <w:pPr>
        <w:ind w:firstLine="420" w:firstLineChars="200"/>
      </w:pPr>
      <w:r>
        <w:t>本文件由全国有色金属标准化技术委员会（SAC/TC 243）提出并归口。</w:t>
      </w:r>
    </w:p>
    <w:p>
      <w:pPr>
        <w:ind w:firstLine="420" w:firstLineChars="200"/>
        <w:rPr>
          <w:szCs w:val="21"/>
        </w:rPr>
      </w:pPr>
      <w:r>
        <w:t>本文件负责起草单位：</w:t>
      </w:r>
    </w:p>
    <w:p>
      <w:pPr>
        <w:ind w:firstLine="435"/>
        <w:jc w:val="left"/>
        <w:rPr>
          <w:szCs w:val="21"/>
        </w:rPr>
      </w:pPr>
      <w:r>
        <w:rPr>
          <w:szCs w:val="21"/>
        </w:rPr>
        <w:t>本文件方法</w:t>
      </w:r>
      <w:r>
        <w:t>1</w:t>
      </w:r>
      <w:r>
        <w:rPr>
          <w:szCs w:val="21"/>
        </w:rPr>
        <w:t>起草单位：富民薪冶工贸有限公司、</w:t>
      </w:r>
      <w:r>
        <w:rPr>
          <w:kern w:val="0"/>
          <w:szCs w:val="21"/>
        </w:rPr>
        <w:t>广东先导稀材股份有限公司</w:t>
      </w:r>
      <w:r>
        <w:rPr>
          <w:szCs w:val="21"/>
        </w:rPr>
        <w:t>、</w:t>
      </w:r>
      <w:r>
        <w:t>云</w:t>
      </w:r>
      <w:r>
        <w:rPr>
          <w:rFonts w:hint="eastAsia"/>
        </w:rPr>
        <w:t>南</w:t>
      </w:r>
      <w:r>
        <w:t>锡</w:t>
      </w:r>
      <w:r>
        <w:rPr>
          <w:rFonts w:hint="eastAsia"/>
        </w:rPr>
        <w:t>业</w:t>
      </w:r>
      <w:r>
        <w:t>股份</w:t>
      </w:r>
      <w:r>
        <w:rPr>
          <w:rFonts w:hint="eastAsia"/>
        </w:rPr>
        <w:t>有限</w:t>
      </w:r>
      <w:r>
        <w:t>公司</w:t>
      </w:r>
      <w:r>
        <w:rPr>
          <w:rFonts w:hint="eastAsia"/>
        </w:rPr>
        <w:t>铜业分公司</w:t>
      </w:r>
      <w:r>
        <w:rPr>
          <w:szCs w:val="21"/>
        </w:rPr>
        <w:t>、</w:t>
      </w:r>
      <w:r>
        <w:rPr>
          <w:kern w:val="0"/>
          <w:szCs w:val="21"/>
        </w:rPr>
        <w:t>河南豫光金铅股份有限公司</w:t>
      </w:r>
      <w:r>
        <w:rPr>
          <w:szCs w:val="21"/>
        </w:rPr>
        <w:t>、</w:t>
      </w:r>
      <w:r>
        <w:rPr>
          <w:kern w:val="0"/>
          <w:szCs w:val="21"/>
        </w:rPr>
        <w:t>江西铜业股份有限公司、五矿铜业（湖南）有限公司、山东恒邦冶炼股份有限公司、</w:t>
      </w:r>
      <w:r>
        <w:rPr>
          <w:rFonts w:hint="eastAsia"/>
          <w:kern w:val="0"/>
          <w:szCs w:val="21"/>
        </w:rPr>
        <w:t>阳谷</w:t>
      </w:r>
      <w:r>
        <w:rPr>
          <w:kern w:val="0"/>
          <w:szCs w:val="21"/>
        </w:rPr>
        <w:t>祥光铜业有限公司、郴州市金贵银业股份有限公司、长沙矿冶研究院有限责任公司</w:t>
      </w:r>
      <w:r>
        <w:rPr>
          <w:szCs w:val="21"/>
        </w:rPr>
        <w:t>。</w:t>
      </w:r>
    </w:p>
    <w:p>
      <w:pPr>
        <w:ind w:firstLine="435"/>
        <w:jc w:val="left"/>
        <w:rPr>
          <w:szCs w:val="21"/>
        </w:rPr>
      </w:pPr>
      <w:r>
        <w:rPr>
          <w:szCs w:val="21"/>
        </w:rPr>
        <w:t>本文件方法</w:t>
      </w:r>
      <w:r>
        <w:t>1</w:t>
      </w:r>
      <w:r>
        <w:rPr>
          <w:szCs w:val="21"/>
        </w:rPr>
        <w:t>起草人：</w:t>
      </w:r>
      <w:r>
        <w:rPr>
          <w:rFonts w:eastAsiaTheme="minorEastAsia"/>
        </w:rPr>
        <w:t>李艳萍、张浩、李素玲、李莉、王洪栋、张立云、</w:t>
      </w:r>
      <w:r>
        <w:rPr>
          <w:rFonts w:hint="eastAsia" w:eastAsiaTheme="minorEastAsia"/>
        </w:rPr>
        <w:t>谢昆良、</w:t>
      </w:r>
      <w:r>
        <w:rPr>
          <w:rFonts w:eastAsiaTheme="minorEastAsia"/>
        </w:rPr>
        <w:t>倪玉成、李先和、曾龙、符招弟、刘敏、曹远栋、</w:t>
      </w:r>
      <w:r>
        <w:rPr>
          <w:rFonts w:hint="eastAsia" w:eastAsiaTheme="minorEastAsia"/>
        </w:rPr>
        <w:t>沈桐、</w:t>
      </w:r>
      <w:r>
        <w:rPr>
          <w:rFonts w:eastAsiaTheme="minorEastAsia"/>
        </w:rPr>
        <w:t>孔令政、孙福英、</w:t>
      </w:r>
      <w:r>
        <w:rPr>
          <w:rFonts w:hint="eastAsia" w:eastAsiaTheme="minorEastAsia"/>
        </w:rPr>
        <w:t>陈剑、</w:t>
      </w:r>
      <w:r>
        <w:rPr>
          <w:rFonts w:eastAsiaTheme="minorEastAsia"/>
        </w:rPr>
        <w:t>王姗、陈春香、谢明月、杨炳红。</w:t>
      </w:r>
    </w:p>
    <w:p>
      <w:pPr>
        <w:ind w:firstLine="435"/>
        <w:jc w:val="left"/>
        <w:rPr>
          <w:color w:val="36363D"/>
        </w:rPr>
      </w:pPr>
      <w:r>
        <w:t>本文件方法2起草单位：富民薪冶工贸有限公司</w:t>
      </w:r>
      <w:r>
        <w:rPr>
          <w:rFonts w:eastAsiaTheme="minorEastAsia"/>
          <w:szCs w:val="21"/>
        </w:rPr>
        <w:t>、江西铜业股份有限公司、广东先导稀材股份有限公司、紫金矿</w:t>
      </w:r>
      <w:r>
        <w:rPr>
          <w:rFonts w:hint="eastAsia" w:eastAsiaTheme="minorEastAsia"/>
          <w:szCs w:val="21"/>
        </w:rPr>
        <w:t>业集团股份</w:t>
      </w:r>
      <w:r>
        <w:rPr>
          <w:rFonts w:eastAsiaTheme="minorEastAsia"/>
          <w:szCs w:val="21"/>
        </w:rPr>
        <w:t>有限公司、河南豫光金铅股份有限公司、深圳清华大学研究院、北矿检测技术有限公司、大冶有色</w:t>
      </w:r>
      <w:r>
        <w:rPr>
          <w:rFonts w:hint="eastAsia" w:eastAsiaTheme="minorEastAsia"/>
          <w:szCs w:val="21"/>
        </w:rPr>
        <w:t>设计研究院有限公司</w:t>
      </w:r>
      <w:r>
        <w:rPr>
          <w:rFonts w:eastAsiaTheme="minorEastAsia"/>
          <w:szCs w:val="21"/>
        </w:rPr>
        <w:t>、铜陵有色金属集团控股有限公司、山东恒邦冶炼股份有限公司、紫金铜业有限公司。</w:t>
      </w:r>
    </w:p>
    <w:p>
      <w:pPr>
        <w:spacing w:line="340" w:lineRule="exact"/>
        <w:ind w:firstLine="420" w:firstLineChars="200"/>
        <w:rPr>
          <w:rFonts w:eastAsiaTheme="minorEastAsia"/>
        </w:rPr>
      </w:pPr>
      <w:r>
        <w:rPr>
          <w:rFonts w:eastAsiaTheme="minorEastAsia"/>
        </w:rPr>
        <w:t>本文件方法2起草人：胡花苗、陈娅陶、段春兰、李尚卷、黄菊梅、吴梅梅、夏露、</w:t>
      </w:r>
      <w:r>
        <w:rPr>
          <w:rFonts w:eastAsiaTheme="minorEastAsia"/>
          <w:bCs/>
          <w:szCs w:val="21"/>
        </w:rPr>
        <w:t>蒯丽君、曾静、</w:t>
      </w:r>
      <w:r>
        <w:rPr>
          <w:rFonts w:hint="eastAsia" w:eastAsiaTheme="minorEastAsia"/>
          <w:bCs/>
          <w:szCs w:val="21"/>
        </w:rPr>
        <w:t>龚昌合、张雪、</w:t>
      </w:r>
      <w:r>
        <w:rPr>
          <w:rFonts w:eastAsiaTheme="minorEastAsia"/>
          <w:bCs/>
          <w:szCs w:val="21"/>
        </w:rPr>
        <w:t>赖秋祥、</w:t>
      </w:r>
      <w:r>
        <w:rPr>
          <w:rFonts w:eastAsiaTheme="minorEastAsia"/>
        </w:rPr>
        <w:t>郑洪毅、</w:t>
      </w:r>
      <w:r>
        <w:rPr>
          <w:rFonts w:hint="eastAsia" w:eastAsiaTheme="minorEastAsia"/>
        </w:rPr>
        <w:t>李富华</w:t>
      </w:r>
      <w:r>
        <w:rPr>
          <w:rFonts w:eastAsiaTheme="minorEastAsia"/>
        </w:rPr>
        <w:t>、史延霞、吴银来、王九</w:t>
      </w:r>
      <w:r>
        <w:rPr>
          <w:rFonts w:hint="eastAsia" w:eastAsiaTheme="minorEastAsia"/>
        </w:rPr>
        <w:t>菊</w:t>
      </w:r>
      <w:r>
        <w:rPr>
          <w:rFonts w:eastAsiaTheme="minorEastAsia"/>
        </w:rPr>
        <w:t>、陈建军、</w:t>
      </w:r>
      <w:r>
        <w:rPr>
          <w:rFonts w:hint="eastAsia" w:eastAsiaTheme="minorEastAsia"/>
        </w:rPr>
        <w:t>施小英</w:t>
      </w:r>
      <w:r>
        <w:rPr>
          <w:rFonts w:eastAsiaTheme="minorEastAsia"/>
        </w:rPr>
        <w:t>、</w:t>
      </w:r>
      <w:r>
        <w:rPr>
          <w:rFonts w:hint="eastAsia" w:eastAsiaTheme="minorEastAsia"/>
        </w:rPr>
        <w:t>胡瑞芬、</w:t>
      </w:r>
      <w:r>
        <w:rPr>
          <w:rFonts w:eastAsiaTheme="minorEastAsia"/>
        </w:rPr>
        <w:t>李莎莎、</w:t>
      </w:r>
      <w:r>
        <w:rPr>
          <w:rFonts w:eastAsiaTheme="minorEastAsia"/>
          <w:bCs/>
          <w:szCs w:val="21"/>
        </w:rPr>
        <w:t>张玉萍。</w:t>
      </w:r>
    </w:p>
    <w:p>
      <w:pPr>
        <w:ind w:firstLine="435"/>
        <w:rPr>
          <w:szCs w:val="21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  <w:sectPr>
          <w:footerReference r:id="rId9" w:type="default"/>
          <w:footerReference r:id="rId10" w:type="even"/>
          <w:pgSz w:w="11906" w:h="16838"/>
          <w:pgMar w:top="1418" w:right="1134" w:bottom="1440" w:left="1418" w:header="851" w:footer="992" w:gutter="0"/>
          <w:pgNumType w:fmt="upperRoman" w:start="1"/>
          <w:cols w:space="720" w:num="1"/>
          <w:docGrid w:type="linesAndChars" w:linePitch="312" w:charSpace="0"/>
        </w:sectPr>
      </w:pPr>
    </w:p>
    <w:p>
      <w:pPr>
        <w:jc w:val="center"/>
        <w:rPr>
          <w:b/>
          <w:bCs/>
          <w:sz w:val="30"/>
          <w:szCs w:val="30"/>
        </w:rPr>
      </w:pPr>
      <w:r>
        <w:rPr>
          <w:rFonts w:eastAsia="黑体"/>
          <w:bCs/>
          <w:sz w:val="32"/>
          <w:szCs w:val="32"/>
        </w:rPr>
        <w:t>铜冶炼烟尘化学分析方法</w:t>
      </w:r>
    </w:p>
    <w:p>
      <w:pPr>
        <w:spacing w:line="360" w:lineRule="auto"/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第4部分：铋含量的测定</w:t>
      </w:r>
    </w:p>
    <w:p>
      <w:pPr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火焰原子吸收光谱法和Na</w:t>
      </w:r>
      <w:r>
        <w:rPr>
          <w:rFonts w:eastAsia="黑体"/>
          <w:bCs/>
          <w:sz w:val="32"/>
          <w:szCs w:val="32"/>
          <w:vertAlign w:val="subscript"/>
        </w:rPr>
        <w:t>2</w:t>
      </w:r>
      <w:r>
        <w:rPr>
          <w:rFonts w:eastAsia="黑体"/>
          <w:bCs/>
          <w:sz w:val="32"/>
          <w:szCs w:val="32"/>
        </w:rPr>
        <w:t>EDTA滴定法</w:t>
      </w:r>
    </w:p>
    <w:p>
      <w:pPr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 xml:space="preserve"> </w:t>
      </w:r>
    </w:p>
    <w:p>
      <w:pPr>
        <w:rPr>
          <w:rFonts w:eastAsia="黑体"/>
        </w:rPr>
      </w:pPr>
      <w:r>
        <w:rPr>
          <w:rFonts w:eastAsia="黑体"/>
        </w:rPr>
        <w:t xml:space="preserve">1 </w:t>
      </w:r>
      <w:r>
        <w:rPr>
          <w:rFonts w:hint="eastAsia" w:eastAsia="黑体"/>
        </w:rPr>
        <w:t xml:space="preserve"> </w:t>
      </w:r>
      <w:r>
        <w:rPr>
          <w:rFonts w:eastAsia="黑体"/>
        </w:rPr>
        <w:t xml:space="preserve">范围  </w:t>
      </w:r>
    </w:p>
    <w:p>
      <w:pPr>
        <w:rPr>
          <w:rFonts w:eastAsia="黑体"/>
        </w:rPr>
      </w:pPr>
      <w:r>
        <w:rPr>
          <w:rFonts w:eastAsia="黑体"/>
        </w:rPr>
        <w:t xml:space="preserve"> 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本文件规定了铜冶炼烟尘中铋含量的测定方法。</w:t>
      </w:r>
    </w:p>
    <w:p>
      <w:pPr>
        <w:ind w:firstLine="420" w:firstLineChars="200"/>
        <w:rPr>
          <w:rFonts w:eastAsiaTheme="minorEastAsia"/>
          <w:szCs w:val="21"/>
        </w:rPr>
      </w:pPr>
      <w:r>
        <w:rPr>
          <w:rFonts w:hint="eastAsia" w:ascii="宋体" w:hAnsi="宋体" w:cs="宋体"/>
          <w:szCs w:val="21"/>
        </w:rPr>
        <w:t>本文件适用于铜冶炼烟尘中铋含量的测定。方法</w:t>
      </w:r>
      <w:r>
        <w:rPr>
          <w:rFonts w:eastAsiaTheme="minorEastAsia"/>
          <w:szCs w:val="21"/>
        </w:rPr>
        <w:t>1</w:t>
      </w:r>
      <w:r>
        <w:rPr>
          <w:rFonts w:hint="eastAsia" w:ascii="宋体" w:hAnsi="宋体" w:cs="宋体"/>
          <w:szCs w:val="21"/>
        </w:rPr>
        <w:t>测定范围</w:t>
      </w:r>
      <w:r>
        <w:rPr>
          <w:rFonts w:eastAsiaTheme="minorEastAsia"/>
          <w:szCs w:val="21"/>
        </w:rPr>
        <w:t>:</w:t>
      </w:r>
      <w:r>
        <w:rPr>
          <w:rFonts w:eastAsia="黑体"/>
          <w:szCs w:val="21"/>
        </w:rPr>
        <w:t>0</w:t>
      </w:r>
      <w:r>
        <w:rPr>
          <w:rFonts w:eastAsiaTheme="minorEastAsia"/>
          <w:szCs w:val="21"/>
        </w:rPr>
        <w:t>.050% ~5.00%；</w:t>
      </w:r>
      <w:r>
        <w:rPr>
          <w:rFonts w:hint="eastAsia" w:ascii="宋体" w:hAnsi="宋体" w:cs="宋体"/>
          <w:szCs w:val="21"/>
        </w:rPr>
        <w:t>方法</w:t>
      </w:r>
      <w:r>
        <w:rPr>
          <w:rFonts w:eastAsiaTheme="minorEastAsia"/>
          <w:szCs w:val="21"/>
        </w:rPr>
        <w:t>2</w:t>
      </w:r>
      <w:r>
        <w:rPr>
          <w:rFonts w:hint="eastAsia" w:ascii="宋体" w:hAnsi="宋体" w:cs="宋体"/>
          <w:szCs w:val="21"/>
        </w:rPr>
        <w:t>测定范围：</w:t>
      </w:r>
      <w:r>
        <w:rPr>
          <w:rFonts w:eastAsiaTheme="minorEastAsia"/>
          <w:szCs w:val="21"/>
        </w:rPr>
        <w:t>5.00 %</w:t>
      </w:r>
      <w:bookmarkStart w:id="3" w:name="OLE_LINK3"/>
      <w:r>
        <w:rPr>
          <w:rFonts w:eastAsiaTheme="minorEastAsia"/>
          <w:szCs w:val="21"/>
        </w:rPr>
        <w:t xml:space="preserve"> </w:t>
      </w:r>
      <w:bookmarkEnd w:id="3"/>
      <w:r>
        <w:rPr>
          <w:rFonts w:eastAsiaTheme="minorEastAsia"/>
          <w:kern w:val="0"/>
          <w:szCs w:val="21"/>
        </w:rPr>
        <w:t xml:space="preserve">~ </w:t>
      </w:r>
      <w:r>
        <w:rPr>
          <w:rFonts w:eastAsiaTheme="minorEastAsia"/>
          <w:szCs w:val="21"/>
        </w:rPr>
        <w:t xml:space="preserve">16.00%。 </w:t>
      </w:r>
    </w:p>
    <w:p>
      <w:pPr>
        <w:rPr>
          <w:rFonts w:eastAsia="黑体"/>
        </w:rPr>
      </w:pPr>
    </w:p>
    <w:p>
      <w:pPr>
        <w:rPr>
          <w:rFonts w:eastAsia="黑体"/>
          <w:szCs w:val="21"/>
        </w:rPr>
      </w:pPr>
      <w:r>
        <w:rPr>
          <w:rFonts w:eastAsia="黑体"/>
        </w:rPr>
        <w:t xml:space="preserve">2 </w:t>
      </w:r>
      <w:r>
        <w:rPr>
          <w:rFonts w:hint="eastAsia" w:eastAsia="黑体"/>
        </w:rPr>
        <w:t xml:space="preserve"> </w:t>
      </w:r>
      <w:r>
        <w:rPr>
          <w:rFonts w:eastAsia="黑体"/>
          <w:szCs w:val="21"/>
        </w:rPr>
        <w:t>规范性引用文件</w:t>
      </w: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  <w:r>
        <w:rPr>
          <w:rFonts w:eastAsia="黑体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本文件没有规范性引用文件。</w:t>
      </w:r>
    </w:p>
    <w:p>
      <w:pPr>
        <w:jc w:val="left"/>
        <w:rPr>
          <w:rFonts w:eastAsia="黑体"/>
        </w:rPr>
      </w:pPr>
    </w:p>
    <w:p>
      <w:pPr>
        <w:jc w:val="left"/>
        <w:rPr>
          <w:rFonts w:eastAsia="黑体"/>
          <w:szCs w:val="21"/>
        </w:rPr>
      </w:pPr>
      <w:r>
        <w:rPr>
          <w:rFonts w:eastAsia="黑体"/>
        </w:rPr>
        <w:t xml:space="preserve">3 </w:t>
      </w:r>
      <w:r>
        <w:rPr>
          <w:rFonts w:hint="eastAsia" w:eastAsia="黑体"/>
        </w:rPr>
        <w:t xml:space="preserve"> </w:t>
      </w:r>
      <w:r>
        <w:rPr>
          <w:rFonts w:eastAsia="黑体"/>
          <w:szCs w:val="21"/>
        </w:rPr>
        <w:t>术语和定义</w:t>
      </w:r>
    </w:p>
    <w:p>
      <w:pPr>
        <w:jc w:val="left"/>
        <w:rPr>
          <w:rFonts w:eastAsia="黑体"/>
          <w:szCs w:val="21"/>
        </w:rPr>
      </w:pPr>
    </w:p>
    <w:p>
      <w:pPr>
        <w:ind w:firstLine="382" w:firstLineChars="182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本文件没有需要界定的术语和定义。</w:t>
      </w:r>
    </w:p>
    <w:p>
      <w:pPr>
        <w:ind w:firstLine="382" w:firstLineChars="182"/>
        <w:jc w:val="left"/>
        <w:rPr>
          <w:rFonts w:eastAsia="黑体"/>
          <w:szCs w:val="21"/>
        </w:rPr>
      </w:pPr>
    </w:p>
    <w:p>
      <w:pPr>
        <w:jc w:val="left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 xml:space="preserve">4 </w:t>
      </w:r>
      <w:r>
        <w:rPr>
          <w:rFonts w:hint="eastAsia" w:eastAsia="黑体"/>
          <w:bCs/>
          <w:szCs w:val="21"/>
        </w:rPr>
        <w:t xml:space="preserve"> </w:t>
      </w:r>
      <w:r>
        <w:rPr>
          <w:rFonts w:eastAsia="黑体"/>
          <w:bCs/>
          <w:szCs w:val="21"/>
        </w:rPr>
        <w:t>方法1 火焰原子吸收光谱法</w:t>
      </w:r>
    </w:p>
    <w:p>
      <w:pPr>
        <w:jc w:val="left"/>
        <w:rPr>
          <w:rFonts w:eastAsia="黑体"/>
          <w:bCs/>
          <w:szCs w:val="21"/>
        </w:rPr>
      </w:pPr>
    </w:p>
    <w:p>
      <w:pPr>
        <w:rPr>
          <w:rFonts w:eastAsia="黑体"/>
          <w:bCs/>
        </w:rPr>
      </w:pPr>
      <w:r>
        <w:rPr>
          <w:rFonts w:eastAsia="黑体"/>
          <w:bCs/>
        </w:rPr>
        <w:t xml:space="preserve">4.1 </w:t>
      </w:r>
      <w:r>
        <w:rPr>
          <w:rFonts w:hint="eastAsia" w:eastAsia="黑体"/>
          <w:bCs/>
          <w:color w:val="FF0000"/>
        </w:rPr>
        <w:t xml:space="preserve"> </w:t>
      </w:r>
      <w:r>
        <w:rPr>
          <w:rFonts w:hint="eastAsia" w:eastAsia="黑体"/>
          <w:bCs/>
        </w:rPr>
        <w:t>原理</w:t>
      </w:r>
    </w:p>
    <w:p>
      <w:pPr>
        <w:rPr>
          <w:rFonts w:eastAsia="黑体"/>
          <w:bCs/>
        </w:rPr>
      </w:pPr>
      <w:r>
        <w:rPr>
          <w:rFonts w:eastAsia="黑体"/>
          <w:bCs/>
        </w:rPr>
        <w:t xml:space="preserve"> </w:t>
      </w:r>
    </w:p>
    <w:p>
      <w:pPr>
        <w:ind w:firstLine="420" w:firstLineChars="200"/>
        <w:jc w:val="left"/>
      </w:pPr>
      <w:r>
        <w:t>试料用盐酸、氟化氢铵、硝酸、高氯酸溶解，在稀盐酸介质中，使用空气-乙炔火焰，于原子吸收光谱仪波长223.1 nm处，测定铋的吸光度，通过工作曲线法计算试料中铋的含量。</w:t>
      </w:r>
    </w:p>
    <w:p>
      <w:pPr>
        <w:rPr>
          <w:rFonts w:eastAsia="黑体"/>
        </w:rPr>
      </w:pPr>
    </w:p>
    <w:p>
      <w:pPr>
        <w:rPr>
          <w:rFonts w:eastAsia="黑体"/>
        </w:rPr>
      </w:pPr>
      <w:r>
        <w:rPr>
          <w:rFonts w:eastAsia="黑体"/>
        </w:rPr>
        <w:t xml:space="preserve">4.2 </w:t>
      </w:r>
      <w:r>
        <w:rPr>
          <w:rFonts w:hint="eastAsia" w:eastAsia="黑体"/>
        </w:rPr>
        <w:t xml:space="preserve"> </w:t>
      </w:r>
      <w:r>
        <w:rPr>
          <w:rFonts w:eastAsia="黑体"/>
        </w:rPr>
        <w:t>试剂</w:t>
      </w:r>
    </w:p>
    <w:p>
      <w:pPr>
        <w:spacing w:line="440" w:lineRule="exact"/>
        <w:ind w:firstLine="420" w:firstLineChars="200"/>
        <w:rPr>
          <w:color w:val="FF0000"/>
          <w:szCs w:val="21"/>
        </w:rPr>
      </w:pPr>
      <w:r>
        <w:rPr>
          <w:szCs w:val="21"/>
        </w:rPr>
        <w:t>除非另有说明，</w:t>
      </w:r>
      <w:r>
        <w:rPr>
          <w:rFonts w:hint="eastAsia"/>
          <w:szCs w:val="21"/>
        </w:rPr>
        <w:t>本文件中所用试剂均</w:t>
      </w:r>
      <w:r>
        <w:rPr>
          <w:szCs w:val="21"/>
        </w:rPr>
        <w:t>为分析纯</w:t>
      </w:r>
      <w:r>
        <w:rPr>
          <w:rFonts w:hint="eastAsia"/>
          <w:szCs w:val="21"/>
        </w:rPr>
        <w:t>及以上纯度</w:t>
      </w:r>
      <w:r>
        <w:rPr>
          <w:szCs w:val="21"/>
        </w:rPr>
        <w:t>的试剂</w:t>
      </w:r>
      <w:r>
        <w:rPr>
          <w:rFonts w:hint="eastAsia"/>
          <w:szCs w:val="21"/>
        </w:rPr>
        <w:t>，所用水符合GB</w:t>
      </w:r>
      <w:r>
        <w:rPr>
          <w:szCs w:val="21"/>
        </w:rPr>
        <w:t>/T 6682</w:t>
      </w:r>
      <w:r>
        <w:rPr>
          <w:rFonts w:hint="eastAsia"/>
          <w:szCs w:val="21"/>
        </w:rPr>
        <w:t>规定的二级及以上</w:t>
      </w:r>
      <w:r>
        <w:rPr>
          <w:szCs w:val="21"/>
        </w:rPr>
        <w:t>纯度的水。</w:t>
      </w:r>
    </w:p>
    <w:p>
      <w:pPr>
        <w:pStyle w:val="134"/>
        <w:jc w:val="left"/>
      </w:pPr>
      <w:r>
        <w:rPr>
          <w:rFonts w:eastAsia="黑体"/>
        </w:rPr>
        <w:t xml:space="preserve">4.2.1 </w:t>
      </w:r>
      <w:r>
        <w:rPr>
          <w:rFonts w:hint="eastAsia" w:eastAsia="黑体"/>
        </w:rPr>
        <w:t xml:space="preserve"> </w:t>
      </w:r>
      <w:r>
        <w:t>盐酸（ρ=1.19 g/mL）。</w:t>
      </w:r>
    </w:p>
    <w:p>
      <w:pPr>
        <w:jc w:val="left"/>
      </w:pPr>
      <w:r>
        <w:rPr>
          <w:rFonts w:eastAsia="黑体"/>
          <w:szCs w:val="21"/>
        </w:rPr>
        <w:t>4.2.2</w:t>
      </w:r>
      <w:r>
        <w:rPr>
          <w:rFonts w:hint="eastAsia" w:eastAsia="黑体"/>
          <w:szCs w:val="21"/>
        </w:rPr>
        <w:t xml:space="preserve"> </w:t>
      </w:r>
      <w:r>
        <w:rPr>
          <w:rFonts w:eastAsia="黑体"/>
          <w:szCs w:val="21"/>
        </w:rPr>
        <w:t xml:space="preserve"> </w:t>
      </w:r>
      <w:r>
        <w:t>硝酸（ρ=1.42 g/mL）。</w:t>
      </w:r>
    </w:p>
    <w:p>
      <w:pPr>
        <w:jc w:val="left"/>
      </w:pPr>
      <w:r>
        <w:rPr>
          <w:rFonts w:eastAsia="黑体"/>
          <w:szCs w:val="21"/>
        </w:rPr>
        <w:t xml:space="preserve">4.2.3 </w:t>
      </w:r>
      <w:r>
        <w:rPr>
          <w:rFonts w:hint="eastAsia" w:eastAsia="黑体"/>
          <w:szCs w:val="21"/>
        </w:rPr>
        <w:t xml:space="preserve"> </w:t>
      </w:r>
      <w:r>
        <w:t>高氯酸（ρ=1.67 g/mL）。</w:t>
      </w:r>
    </w:p>
    <w:p>
      <w:pPr>
        <w:jc w:val="left"/>
      </w:pPr>
      <w:r>
        <w:rPr>
          <w:rFonts w:eastAsia="黑体"/>
          <w:szCs w:val="21"/>
        </w:rPr>
        <w:t xml:space="preserve">4.2.4 </w:t>
      </w:r>
      <w:r>
        <w:rPr>
          <w:rFonts w:hint="eastAsia" w:eastAsia="黑体"/>
          <w:szCs w:val="21"/>
        </w:rPr>
        <w:t xml:space="preserve"> </w:t>
      </w:r>
      <w:r>
        <w:t>盐酸（2+98）。</w:t>
      </w:r>
    </w:p>
    <w:p>
      <w:pPr>
        <w:jc w:val="left"/>
      </w:pPr>
      <w:r>
        <w:rPr>
          <w:rFonts w:eastAsia="黑体"/>
          <w:szCs w:val="21"/>
        </w:rPr>
        <w:t xml:space="preserve">4.2.5 </w:t>
      </w:r>
      <w:r>
        <w:rPr>
          <w:rFonts w:hint="eastAsia" w:eastAsia="黑体"/>
          <w:szCs w:val="21"/>
        </w:rPr>
        <w:t xml:space="preserve"> </w:t>
      </w:r>
      <w:r>
        <w:t>硝酸（1+1）。</w:t>
      </w:r>
    </w:p>
    <w:p>
      <w:pPr>
        <w:jc w:val="left"/>
      </w:pPr>
      <w:r>
        <w:rPr>
          <w:rFonts w:eastAsia="黑体"/>
          <w:szCs w:val="21"/>
        </w:rPr>
        <w:t xml:space="preserve">4.2.6 </w:t>
      </w:r>
      <w:r>
        <w:rPr>
          <w:rFonts w:hint="eastAsia" w:eastAsia="黑体"/>
          <w:szCs w:val="21"/>
        </w:rPr>
        <w:t xml:space="preserve"> </w:t>
      </w:r>
      <w:r>
        <w:rPr>
          <w:szCs w:val="21"/>
        </w:rPr>
        <w:t>氟化氢铵饱和溶液。</w:t>
      </w:r>
    </w:p>
    <w:p>
      <w:pPr>
        <w:jc w:val="left"/>
      </w:pPr>
      <w:r>
        <w:rPr>
          <w:rFonts w:eastAsia="黑体"/>
          <w:szCs w:val="21"/>
        </w:rPr>
        <w:t>4.2.7</w:t>
      </w:r>
      <w:r>
        <w:rPr>
          <w:rFonts w:hint="eastAsia" w:eastAsia="黑体"/>
          <w:szCs w:val="21"/>
        </w:rPr>
        <w:t xml:space="preserve"> </w:t>
      </w:r>
      <w:r>
        <w:rPr>
          <w:rFonts w:eastAsia="黑体"/>
          <w:szCs w:val="21"/>
        </w:rPr>
        <w:t xml:space="preserve"> </w:t>
      </w:r>
      <w:r>
        <w:t>铋标准贮存溶液：称取0.500 0 g金属铋（</w:t>
      </w:r>
      <w:r>
        <w:rPr>
          <w:rFonts w:eastAsiaTheme="minorEastAsia"/>
          <w:i/>
        </w:rPr>
        <w:t>w</w:t>
      </w:r>
      <w:r>
        <w:rPr>
          <w:rFonts w:eastAsiaTheme="minorEastAsia"/>
          <w:iCs/>
          <w:vertAlign w:val="subscript"/>
        </w:rPr>
        <w:t>Bi</w:t>
      </w:r>
      <w:r>
        <w:rPr>
          <w:rFonts w:eastAsiaTheme="minorEastAsia"/>
          <w:szCs w:val="21"/>
        </w:rPr>
        <w:t>≥99.99%</w:t>
      </w:r>
      <w:r>
        <w:t>）于250 mL烧杯中，加入20 mL硝酸（</w:t>
      </w:r>
      <w:r>
        <w:rPr>
          <w:rFonts w:eastAsia="黑体"/>
        </w:rPr>
        <w:t>4.2.5</w:t>
      </w:r>
      <w:r>
        <w:t>）溶解完全后，移入500 mL容量瓶中，加入50 mL硝酸（</w:t>
      </w:r>
      <w:r>
        <w:rPr>
          <w:rFonts w:eastAsia="黑体"/>
        </w:rPr>
        <w:t>4.2.5</w:t>
      </w:r>
      <w:r>
        <w:t>），用水稀释至刻度，混匀。此溶液1 mL含1 mg铋。</w:t>
      </w:r>
    </w:p>
    <w:p>
      <w:pPr>
        <w:jc w:val="left"/>
      </w:pPr>
      <w:r>
        <w:rPr>
          <w:rFonts w:eastAsia="黑体"/>
          <w:szCs w:val="21"/>
        </w:rPr>
        <w:t>4.2.8</w:t>
      </w:r>
      <w:r>
        <w:rPr>
          <w:rFonts w:eastAsia="黑体"/>
        </w:rPr>
        <w:t xml:space="preserve"> </w:t>
      </w:r>
      <w:r>
        <w:rPr>
          <w:rFonts w:hint="eastAsia" w:eastAsia="黑体"/>
        </w:rPr>
        <w:t xml:space="preserve"> </w:t>
      </w:r>
      <w:r>
        <w:t>铋标准溶液：移取20.00 mL铋标准贮存溶液（</w:t>
      </w:r>
      <w:r>
        <w:rPr>
          <w:rFonts w:eastAsia="黑体"/>
        </w:rPr>
        <w:t>4.2.7</w:t>
      </w:r>
      <w:r>
        <w:t>）于200 mL容量瓶中，加入20 mL硝酸（</w:t>
      </w:r>
      <w:r>
        <w:rPr>
          <w:rFonts w:eastAsia="黑体"/>
        </w:rPr>
        <w:t>4.2.5</w:t>
      </w:r>
      <w:r>
        <w:t>），用水稀释至刻度，混匀。此溶液1 mL含100 μg铋。</w:t>
      </w:r>
    </w:p>
    <w:p>
      <w:pPr>
        <w:rPr>
          <w:rFonts w:eastAsia="黑体"/>
        </w:rPr>
      </w:pPr>
    </w:p>
    <w:p>
      <w:pPr>
        <w:rPr>
          <w:rFonts w:eastAsia="黑体"/>
        </w:rPr>
      </w:pPr>
      <w:r>
        <w:rPr>
          <w:rFonts w:eastAsia="黑体"/>
        </w:rPr>
        <w:t xml:space="preserve">4.3 </w:t>
      </w:r>
      <w:r>
        <w:rPr>
          <w:rFonts w:hint="eastAsia" w:eastAsia="黑体"/>
        </w:rPr>
        <w:t xml:space="preserve"> </w:t>
      </w:r>
      <w:r>
        <w:rPr>
          <w:rFonts w:eastAsia="黑体"/>
        </w:rPr>
        <w:t>仪器</w:t>
      </w:r>
    </w:p>
    <w:p>
      <w:pPr>
        <w:rPr>
          <w:rFonts w:eastAsia="黑体"/>
        </w:rPr>
      </w:pPr>
    </w:p>
    <w:p>
      <w:pPr>
        <w:pStyle w:val="13"/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原子吸收光谱仪，附铋空心阴极灯。</w:t>
      </w:r>
    </w:p>
    <w:p>
      <w:pPr>
        <w:pStyle w:val="13"/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根据不同型号仪器选择最佳测定条件，在仪器最佳工作条件下，凡能达到下列指标者均可使用：</w:t>
      </w:r>
    </w:p>
    <w:p>
      <w:pPr>
        <w:pStyle w:val="13"/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——特征浓度：在与测量溶液的基体相一致的溶液中，铋的特征质量浓度不大于0.2 µg/mL。</w:t>
      </w:r>
    </w:p>
    <w:p>
      <w:pPr>
        <w:pStyle w:val="13"/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—精密度：用最高浓度标准溶液测量10次，其吸光度的标准偏差应不超过其平均吸光度的1.0%；用最低浓度的标准溶液（不是“零浓度”标准溶液）测量10次吸光度，其标准偏差应不超过最高浓度标准溶液平均吸光度的0.5%。</w:t>
      </w:r>
    </w:p>
    <w:p>
      <w:pPr>
        <w:pStyle w:val="13"/>
        <w:snapToGrid w:val="0"/>
        <w:ind w:firstLine="420" w:firstLineChars="20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——工作曲线线性：将工作曲线按浓度等分为5段，最高段的吸光度差值与最低段的吸光度差值之比，应不小于0.7。</w:t>
      </w:r>
    </w:p>
    <w:p>
      <w:pPr>
        <w:pStyle w:val="13"/>
        <w:ind w:left="420" w:leftChars="200"/>
        <w:rPr>
          <w:rFonts w:ascii="Times New Roman" w:hAnsi="Times New Roman" w:cs="Times New Roman"/>
        </w:rPr>
      </w:pPr>
    </w:p>
    <w:p>
      <w:pPr>
        <w:rPr>
          <w:rFonts w:eastAsia="黑体"/>
        </w:rPr>
      </w:pPr>
      <w:r>
        <w:rPr>
          <w:rFonts w:eastAsia="黑体"/>
        </w:rPr>
        <w:t xml:space="preserve">4.4 </w:t>
      </w:r>
      <w:r>
        <w:rPr>
          <w:rFonts w:hint="eastAsia" w:eastAsia="黑体"/>
        </w:rPr>
        <w:t xml:space="preserve"> 样品</w:t>
      </w:r>
    </w:p>
    <w:p>
      <w:pPr>
        <w:rPr>
          <w:rFonts w:eastAsia="黑体"/>
        </w:rPr>
      </w:pPr>
    </w:p>
    <w:p>
      <w:pPr>
        <w:spacing w:line="440" w:lineRule="exact"/>
        <w:rPr>
          <w:rFonts w:eastAsia="黑体"/>
        </w:rPr>
      </w:pPr>
      <w:r>
        <w:rPr>
          <w:rFonts w:eastAsia="黑体"/>
          <w:kern w:val="0"/>
        </w:rPr>
        <w:t xml:space="preserve">4.4.1 </w:t>
      </w:r>
      <w:r>
        <w:rPr>
          <w:rFonts w:hint="eastAsia" w:eastAsia="黑体"/>
          <w:kern w:val="0"/>
        </w:rPr>
        <w:t xml:space="preserve"> </w:t>
      </w:r>
      <w:r>
        <w:rPr>
          <w:szCs w:val="21"/>
        </w:rPr>
        <w:t>试样粒度应不大于0.125 mm。</w:t>
      </w:r>
    </w:p>
    <w:p>
      <w:pPr>
        <w:autoSpaceDE w:val="0"/>
        <w:autoSpaceDN w:val="0"/>
        <w:adjustRightInd w:val="0"/>
        <w:ind w:right="159"/>
        <w:rPr>
          <w:kern w:val="0"/>
        </w:rPr>
      </w:pPr>
      <w:r>
        <w:rPr>
          <w:rFonts w:eastAsia="黑体"/>
          <w:kern w:val="0"/>
        </w:rPr>
        <w:t>4.4.2</w:t>
      </w:r>
      <w:r>
        <w:rPr>
          <w:rFonts w:hint="eastAsia" w:eastAsia="黑体"/>
          <w:kern w:val="0"/>
        </w:rPr>
        <w:t xml:space="preserve"> </w:t>
      </w:r>
      <w:r>
        <w:rPr>
          <w:rFonts w:eastAsia="黑体"/>
          <w:kern w:val="0"/>
        </w:rPr>
        <w:t xml:space="preserve"> </w:t>
      </w:r>
      <w:r>
        <w:rPr>
          <w:kern w:val="0"/>
        </w:rPr>
        <w:t>试样应在</w:t>
      </w:r>
      <w:r>
        <w:t xml:space="preserve">105 </w:t>
      </w:r>
      <w:r>
        <w:rPr>
          <w:rFonts w:eastAsia="黑体"/>
          <w:sz w:val="24"/>
        </w:rPr>
        <w:t>℃</w:t>
      </w:r>
      <w:r>
        <w:t>±</w:t>
      </w:r>
      <w:r>
        <w:rPr>
          <w:rFonts w:eastAsia="黑体"/>
          <w:sz w:val="24"/>
        </w:rPr>
        <w:t>5 ℃</w:t>
      </w:r>
      <w:r>
        <w:rPr>
          <w:kern w:val="0"/>
        </w:rPr>
        <w:t>烘干2 h，并置于干燥器中冷却至室温备用。</w:t>
      </w:r>
    </w:p>
    <w:p>
      <w:pPr>
        <w:rPr>
          <w:rFonts w:eastAsia="黑体"/>
        </w:rPr>
      </w:pPr>
    </w:p>
    <w:p>
      <w:pPr>
        <w:rPr>
          <w:rFonts w:eastAsia="黑体"/>
        </w:rPr>
      </w:pPr>
      <w:r>
        <w:rPr>
          <w:rFonts w:eastAsia="黑体"/>
        </w:rPr>
        <w:t>4</w:t>
      </w:r>
      <w:r>
        <w:rPr>
          <w:rFonts w:eastAsia="黑体"/>
          <w:kern w:val="0"/>
        </w:rPr>
        <w:t>.5</w:t>
      </w:r>
      <w:r>
        <w:rPr>
          <w:rFonts w:eastAsia="黑体"/>
        </w:rPr>
        <w:t xml:space="preserve"> </w:t>
      </w:r>
      <w:r>
        <w:rPr>
          <w:rFonts w:hint="eastAsia" w:eastAsia="黑体"/>
        </w:rPr>
        <w:t xml:space="preserve"> </w:t>
      </w:r>
      <w:r>
        <w:rPr>
          <w:rFonts w:eastAsia="黑体"/>
        </w:rPr>
        <w:t>试验步骤</w:t>
      </w:r>
    </w:p>
    <w:p>
      <w:pPr>
        <w:rPr>
          <w:rFonts w:eastAsia="黑体"/>
        </w:rPr>
      </w:pPr>
    </w:p>
    <w:p>
      <w:pPr>
        <w:rPr>
          <w:szCs w:val="21"/>
        </w:rPr>
      </w:pPr>
      <w:r>
        <w:rPr>
          <w:rFonts w:eastAsia="黑体"/>
        </w:rPr>
        <w:t xml:space="preserve">4.5.1 </w:t>
      </w:r>
      <w:r>
        <w:rPr>
          <w:rFonts w:hint="eastAsia" w:eastAsia="黑体"/>
        </w:rPr>
        <w:t xml:space="preserve"> </w:t>
      </w:r>
      <w:r>
        <w:rPr>
          <w:rFonts w:eastAsia="黑体"/>
          <w:bCs/>
        </w:rPr>
        <w:t>试料量</w:t>
      </w:r>
    </w:p>
    <w:p>
      <w:pPr>
        <w:ind w:left="210" w:firstLine="420" w:firstLineChars="200"/>
      </w:pPr>
      <w:r>
        <w:t>按表1称取</w:t>
      </w:r>
      <w:r>
        <w:rPr>
          <w:rFonts w:hint="eastAsia"/>
        </w:rPr>
        <w:t>样品（4</w:t>
      </w:r>
      <w:r>
        <w:t>.4</w:t>
      </w:r>
      <w:r>
        <w:rPr>
          <w:rFonts w:hint="eastAsia"/>
        </w:rPr>
        <w:t>）</w:t>
      </w:r>
      <w:r>
        <w:t>，精确至0.0001 g。</w:t>
      </w:r>
    </w:p>
    <w:p>
      <w:pPr>
        <w:spacing w:line="240" w:lineRule="exact"/>
        <w:ind w:firstLine="3150" w:firstLineChars="1500"/>
        <w:rPr>
          <w:rFonts w:eastAsia="黑体"/>
          <w:bCs/>
          <w:color w:val="000000"/>
          <w:szCs w:val="21"/>
        </w:rPr>
      </w:pPr>
      <w:r>
        <w:rPr>
          <w:rFonts w:eastAsia="黑体"/>
          <w:bCs/>
          <w:color w:val="000000"/>
          <w:szCs w:val="21"/>
        </w:rPr>
        <w:t>表1 试料量及分取试液体积</w:t>
      </w:r>
    </w:p>
    <w:tbl>
      <w:tblPr>
        <w:tblStyle w:val="28"/>
        <w:tblpPr w:leftFromText="180" w:rightFromText="180" w:vertAnchor="text" w:horzAnchor="page" w:tblpX="1515" w:tblpY="230"/>
        <w:tblOverlap w:val="never"/>
        <w:tblW w:w="9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228"/>
        <w:gridCol w:w="1593"/>
        <w:gridCol w:w="1842"/>
        <w:gridCol w:w="2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4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inorEastAsia"/>
                <w:bCs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bCs/>
                <w:sz w:val="18"/>
                <w:szCs w:val="18"/>
              </w:rPr>
              <w:t>铋质量分数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22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试料量</w:t>
            </w:r>
            <w:r>
              <w:rPr>
                <w:rFonts w:ascii="黑体" w:hAnsi="黑体" w:eastAsia="黑体"/>
                <w:sz w:val="18"/>
                <w:szCs w:val="18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1593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bCs/>
                <w:sz w:val="18"/>
                <w:szCs w:val="18"/>
              </w:rPr>
              <w:t>试液总体积</w:t>
            </w:r>
            <w:r>
              <w:rPr>
                <w:rFonts w:ascii="黑体" w:hAnsi="黑体" w:eastAsia="黑体"/>
                <w:bCs/>
                <w:sz w:val="18"/>
                <w:szCs w:val="18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mL</w:t>
            </w: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分取试液体积</w:t>
            </w:r>
            <w:r>
              <w:rPr>
                <w:rFonts w:ascii="黑体" w:hAnsi="黑体" w:eastAsia="黑体"/>
                <w:sz w:val="18"/>
                <w:szCs w:val="18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mL</w:t>
            </w:r>
          </w:p>
        </w:tc>
        <w:tc>
          <w:tcPr>
            <w:tcW w:w="27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 xml:space="preserve">补加盐酸体积 </w:t>
            </w:r>
          </w:p>
          <w:p>
            <w:pPr>
              <w:spacing w:line="240" w:lineRule="exact"/>
              <w:jc w:val="center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44" w:type="dxa"/>
            <w:vAlign w:val="center"/>
          </w:tcPr>
          <w:p>
            <w:pPr>
              <w:spacing w:line="240" w:lineRule="exact"/>
              <w:ind w:firstLine="540" w:firstLineChars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~0.</w:t>
            </w: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2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593" w:type="dxa"/>
            <w:vMerge w:val="restart"/>
            <w:vAlign w:val="center"/>
          </w:tcPr>
          <w:p>
            <w:pPr>
              <w:spacing w:line="240" w:lineRule="exact"/>
              <w:ind w:firstLine="720" w:firstLineChars="40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–</w:t>
            </w:r>
          </w:p>
        </w:tc>
        <w:tc>
          <w:tcPr>
            <w:tcW w:w="27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44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﹥</w:t>
            </w: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~</w:t>
            </w:r>
            <w:r>
              <w:rPr>
                <w:rFonts w:hint="eastAsia"/>
                <w:sz w:val="18"/>
                <w:szCs w:val="18"/>
              </w:rPr>
              <w:t>2.00</w:t>
            </w:r>
          </w:p>
        </w:tc>
        <w:tc>
          <w:tcPr>
            <w:tcW w:w="122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9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20</w:t>
            </w:r>
          </w:p>
        </w:tc>
        <w:tc>
          <w:tcPr>
            <w:tcW w:w="2710" w:type="dxa"/>
            <w:vAlign w:val="center"/>
          </w:tcPr>
          <w:p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44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﹥2.0</w:t>
            </w:r>
            <w:r>
              <w:rPr>
                <w:sz w:val="18"/>
                <w:szCs w:val="18"/>
              </w:rPr>
              <w:t>0~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12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10</w:t>
            </w:r>
          </w:p>
        </w:tc>
        <w:tc>
          <w:tcPr>
            <w:tcW w:w="2710" w:type="dxa"/>
            <w:vAlign w:val="center"/>
          </w:tcPr>
          <w:p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44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﹥4.0</w:t>
            </w:r>
            <w:r>
              <w:rPr>
                <w:sz w:val="18"/>
                <w:szCs w:val="18"/>
              </w:rPr>
              <w:t>0~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12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</w:p>
        </w:tc>
        <w:tc>
          <w:tcPr>
            <w:tcW w:w="2710" w:type="dxa"/>
            <w:vAlign w:val="center"/>
          </w:tcPr>
          <w:p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9.5</w:t>
            </w:r>
          </w:p>
        </w:tc>
      </w:tr>
    </w:tbl>
    <w:p>
      <w:pPr>
        <w:spacing w:line="240" w:lineRule="exact"/>
      </w:pPr>
    </w:p>
    <w:p>
      <w:pPr>
        <w:rPr>
          <w:caps/>
          <w:szCs w:val="21"/>
        </w:rPr>
      </w:pPr>
      <w:r>
        <w:rPr>
          <w:rFonts w:eastAsia="黑体"/>
        </w:rPr>
        <w:t xml:space="preserve">4.5.2 </w:t>
      </w:r>
      <w:r>
        <w:rPr>
          <w:rFonts w:hint="eastAsia" w:eastAsia="黑体"/>
        </w:rPr>
        <w:t xml:space="preserve"> </w:t>
      </w:r>
      <w:r>
        <w:rPr>
          <w:rFonts w:eastAsia="黑体"/>
        </w:rPr>
        <w:t>平</w:t>
      </w:r>
      <w:r>
        <w:rPr>
          <w:rFonts w:eastAsia="黑体"/>
          <w:bCs/>
          <w:color w:val="000000"/>
        </w:rPr>
        <w:t>行试验</w:t>
      </w:r>
    </w:p>
    <w:p>
      <w:pPr>
        <w:ind w:left="210" w:firstLine="420" w:firstLineChars="200"/>
      </w:pPr>
      <w:r>
        <w:t>独立地进行两次测定，取其平均值。</w:t>
      </w:r>
    </w:p>
    <w:p>
      <w:pPr>
        <w:rPr>
          <w:szCs w:val="21"/>
        </w:rPr>
      </w:pPr>
      <w:r>
        <w:rPr>
          <w:rFonts w:eastAsia="黑体"/>
        </w:rPr>
        <w:t>4.5.3</w:t>
      </w:r>
      <w:r>
        <w:rPr>
          <w:rFonts w:hint="eastAsia" w:eastAsia="黑体"/>
        </w:rPr>
        <w:t xml:space="preserve"> </w:t>
      </w:r>
      <w:r>
        <w:rPr>
          <w:rFonts w:eastAsia="黑体"/>
        </w:rPr>
        <w:t xml:space="preserve"> </w:t>
      </w:r>
      <w:r>
        <w:rPr>
          <w:rFonts w:eastAsia="黑体"/>
          <w:bCs/>
          <w:color w:val="000000"/>
        </w:rPr>
        <w:t>空白试验</w:t>
      </w:r>
    </w:p>
    <w:p>
      <w:pPr>
        <w:ind w:left="210" w:firstLine="420" w:firstLineChars="200"/>
      </w:pPr>
      <w:r>
        <w:t>随同试料做空白试验。</w:t>
      </w:r>
    </w:p>
    <w:p>
      <w:pPr>
        <w:rPr>
          <w:rFonts w:eastAsia="黑体"/>
          <w:szCs w:val="21"/>
        </w:rPr>
      </w:pPr>
      <w:r>
        <w:rPr>
          <w:rFonts w:eastAsia="黑体"/>
          <w:szCs w:val="21"/>
        </w:rPr>
        <w:t xml:space="preserve">4.5.4 </w:t>
      </w:r>
      <w:r>
        <w:rPr>
          <w:rFonts w:hint="eastAsia" w:eastAsia="黑体"/>
          <w:szCs w:val="21"/>
        </w:rPr>
        <w:t xml:space="preserve"> </w:t>
      </w:r>
      <w:r>
        <w:rPr>
          <w:rFonts w:eastAsia="黑体"/>
          <w:bCs/>
          <w:color w:val="000000"/>
        </w:rPr>
        <w:t>测定</w:t>
      </w:r>
    </w:p>
    <w:p>
      <w:r>
        <w:rPr>
          <w:rFonts w:eastAsia="黑体"/>
          <w:szCs w:val="21"/>
        </w:rPr>
        <w:t xml:space="preserve">4.5.4.1 </w:t>
      </w:r>
      <w:r>
        <w:rPr>
          <w:rFonts w:hint="eastAsia" w:eastAsia="黑体"/>
          <w:szCs w:val="21"/>
        </w:rPr>
        <w:t xml:space="preserve"> </w:t>
      </w:r>
      <w:r>
        <w:t>将试料（</w:t>
      </w:r>
      <w:r>
        <w:rPr>
          <w:rFonts w:eastAsia="黑体"/>
        </w:rPr>
        <w:t>4.5.1</w:t>
      </w:r>
      <w:r>
        <w:t>）置于250 mL烧杯中，用少许水润湿，加入10 mL盐酸（</w:t>
      </w:r>
      <w:r>
        <w:rPr>
          <w:rFonts w:eastAsia="黑体"/>
        </w:rPr>
        <w:t>4.2.1</w:t>
      </w:r>
      <w:r>
        <w:t>），2 mL氟化氢铵饱和溶液（</w:t>
      </w:r>
      <w:r>
        <w:rPr>
          <w:rFonts w:eastAsia="黑体"/>
        </w:rPr>
        <w:t>4.2.6</w:t>
      </w:r>
      <w:r>
        <w:t>），低温加热溶解至体积剩约5 mL，取下，稍冷，加入5 mL硝酸（</w:t>
      </w:r>
      <w:r>
        <w:rPr>
          <w:rFonts w:eastAsia="黑体"/>
        </w:rPr>
        <w:t>4.2.2</w:t>
      </w:r>
      <w:r>
        <w:t>），低温溶解至体积剩约2 mL，取下，稍冷。加入5 mL高氯酸（</w:t>
      </w:r>
      <w:r>
        <w:rPr>
          <w:rFonts w:eastAsia="黑体"/>
        </w:rPr>
        <w:t>4.2.3</w:t>
      </w:r>
      <w:r>
        <w:t>），盖上表面皿，继续加热至冒高氯酸浓白烟，若有不溶物，滴加硝酸（</w:t>
      </w:r>
      <w:r>
        <w:rPr>
          <w:rFonts w:eastAsia="黑体"/>
        </w:rPr>
        <w:t>4.2.2</w:t>
      </w:r>
      <w:r>
        <w:t>）至试料溶解完全，打开表面皿继续冒烟至</w:t>
      </w:r>
      <w:r>
        <w:rPr>
          <w:rFonts w:eastAsiaTheme="minorEastAsia"/>
          <w:szCs w:val="21"/>
        </w:rPr>
        <w:t>湿盐状，</w:t>
      </w:r>
      <w:r>
        <w:t>取下，稍冷。加入10 mL盐酸（</w:t>
      </w:r>
      <w:r>
        <w:rPr>
          <w:rFonts w:eastAsia="黑体"/>
        </w:rPr>
        <w:t>4.2.1</w:t>
      </w:r>
      <w:r>
        <w:t>），用水吹洗表面皿及杯壁，加热煮沸使可溶性盐类溶解，取下冷却至室温，用盐酸（</w:t>
      </w:r>
      <w:r>
        <w:rPr>
          <w:rFonts w:eastAsia="黑体"/>
        </w:rPr>
        <w:t>4.2.4</w:t>
      </w:r>
      <w:r>
        <w:t>）吹洗杯壁并移入100 mL容量瓶中，继续用水稀释至刻度，混匀, 澄清。</w:t>
      </w:r>
    </w:p>
    <w:p>
      <w:r>
        <w:rPr>
          <w:rFonts w:eastAsia="黑体"/>
          <w:szCs w:val="21"/>
        </w:rPr>
        <w:t>4.5.4.2</w:t>
      </w:r>
      <w:r>
        <w:rPr>
          <w:rFonts w:eastAsia="黑体"/>
        </w:rPr>
        <w:t xml:space="preserve"> </w:t>
      </w:r>
      <w:r>
        <w:rPr>
          <w:rFonts w:hint="eastAsia" w:eastAsia="黑体"/>
        </w:rPr>
        <w:t xml:space="preserve"> </w:t>
      </w:r>
      <w:r>
        <w:t>根据表1分取试液置于100 mL容量瓶中，</w:t>
      </w:r>
      <w:r>
        <w:rPr>
          <w:rFonts w:hint="eastAsia"/>
        </w:rPr>
        <w:t>并补加相应体积的</w:t>
      </w:r>
      <w:r>
        <w:t>盐酸（</w:t>
      </w:r>
      <w:r>
        <w:rPr>
          <w:rFonts w:eastAsia="黑体"/>
        </w:rPr>
        <w:t>4.2.1</w:t>
      </w:r>
      <w:r>
        <w:t>），用水稀释至刻度，混匀。</w:t>
      </w:r>
    </w:p>
    <w:p>
      <w:r>
        <w:rPr>
          <w:rFonts w:eastAsia="黑体"/>
          <w:szCs w:val="21"/>
        </w:rPr>
        <w:t>4.5.4.3</w:t>
      </w:r>
      <w:r>
        <w:rPr>
          <w:rFonts w:eastAsia="黑体"/>
        </w:rPr>
        <w:t xml:space="preserve"> </w:t>
      </w:r>
      <w:r>
        <w:rPr>
          <w:rFonts w:hint="eastAsia" w:eastAsia="黑体"/>
        </w:rPr>
        <w:t xml:space="preserve"> </w:t>
      </w:r>
      <w:r>
        <w:t>使用空气－乙炔火焰，于原子吸收光谱仪波长223.1 nm处,按选定的工作条件，与标准溶液系列同时，以水调零，测量试液中铋的吸光度，减去空白试液溶液的吸光度，从工作曲线上查出相应的铋的质量浓度。</w:t>
      </w:r>
    </w:p>
    <w:p>
      <w:pPr>
        <w:rPr>
          <w:szCs w:val="21"/>
        </w:rPr>
      </w:pPr>
      <w:r>
        <w:rPr>
          <w:rFonts w:eastAsia="黑体"/>
          <w:szCs w:val="21"/>
        </w:rPr>
        <w:t xml:space="preserve">4.5.5 </w:t>
      </w:r>
      <w:r>
        <w:rPr>
          <w:rFonts w:hint="eastAsia" w:eastAsia="黑体"/>
          <w:szCs w:val="21"/>
        </w:rPr>
        <w:t xml:space="preserve"> </w:t>
      </w:r>
      <w:r>
        <w:rPr>
          <w:rFonts w:eastAsia="黑体"/>
          <w:color w:val="000000"/>
        </w:rPr>
        <w:t>工</w:t>
      </w:r>
      <w:r>
        <w:rPr>
          <w:rFonts w:eastAsia="黑体"/>
          <w:bCs/>
          <w:color w:val="000000"/>
        </w:rPr>
        <w:t>作曲线的绘制</w:t>
      </w:r>
    </w:p>
    <w:p>
      <w:pPr>
        <w:ind w:firstLine="630" w:firstLineChars="300"/>
      </w:pPr>
      <w:r>
        <w:t>移取0 mL，2.00 mL，4.00 mL，6.00 mL，8.00 mL，10.00 mL铋标准溶液（</w:t>
      </w:r>
      <w:r>
        <w:rPr>
          <w:rFonts w:eastAsia="黑体"/>
        </w:rPr>
        <w:t>4.2.8</w:t>
      </w:r>
      <w:r>
        <w:t>），于一组100 mL容量瓶中，各加入10 mL盐酸（</w:t>
      </w:r>
      <w:r>
        <w:rPr>
          <w:rFonts w:eastAsia="黑体"/>
        </w:rPr>
        <w:t>4.2.1</w:t>
      </w:r>
      <w:r>
        <w:t>），用水稀释至刻度，混匀。</w:t>
      </w:r>
    </w:p>
    <w:p>
      <w:pPr>
        <w:ind w:firstLine="630" w:firstLineChars="300"/>
      </w:pPr>
      <w:r>
        <w:t>使用空气－乙炔火焰，于原子吸收光谱仪波长223.1 nm处，以水调零，测量系列标准溶液的吸光度，减去系列标准溶液中“零”浓度溶液的吸光度，以铋的浓度为橫坐标，吸光度为纵坐标绘制工作曲线。</w:t>
      </w:r>
    </w:p>
    <w:p>
      <w:pPr>
        <w:ind w:firstLine="420" w:firstLineChars="200"/>
      </w:pPr>
    </w:p>
    <w:p>
      <w:pPr>
        <w:rPr>
          <w:rFonts w:eastAsia="黑体"/>
        </w:rPr>
      </w:pPr>
      <w:r>
        <w:rPr>
          <w:rFonts w:eastAsia="黑体"/>
        </w:rPr>
        <w:t xml:space="preserve">4.6 </w:t>
      </w:r>
      <w:r>
        <w:rPr>
          <w:rFonts w:hint="eastAsia" w:eastAsia="黑体"/>
        </w:rPr>
        <w:t xml:space="preserve"> </w:t>
      </w:r>
      <w:r>
        <w:rPr>
          <w:rFonts w:eastAsia="黑体"/>
        </w:rPr>
        <w:t>试验数据处理</w:t>
      </w:r>
    </w:p>
    <w:p>
      <w:pPr>
        <w:rPr>
          <w:rFonts w:eastAsia="黑体"/>
        </w:rPr>
      </w:pPr>
    </w:p>
    <w:p>
      <w:pPr>
        <w:ind w:firstLine="420" w:firstLineChars="200"/>
      </w:pPr>
      <w:r>
        <w:t>铋含量以铋的质量分数</w:t>
      </w:r>
      <w:r>
        <w:rPr>
          <w:rFonts w:eastAsiaTheme="minorEastAsia"/>
          <w:i/>
          <w:szCs w:val="21"/>
        </w:rPr>
        <w:t>w</w:t>
      </w:r>
      <w:r>
        <w:rPr>
          <w:rFonts w:eastAsiaTheme="minorEastAsia"/>
          <w:iCs/>
          <w:szCs w:val="21"/>
          <w:vertAlign w:val="subscript"/>
        </w:rPr>
        <w:t>Bi</w:t>
      </w:r>
      <w:r>
        <w:rPr>
          <w:szCs w:val="21"/>
        </w:rPr>
        <w:t>计</w:t>
      </w:r>
      <w:r>
        <w:t>，数值以%表示，按公式(1)计算：</w:t>
      </w:r>
    </w:p>
    <w:p>
      <w:pPr>
        <w:jc w:val="center"/>
        <w:rPr>
          <w:color w:val="000000"/>
          <w:sz w:val="24"/>
        </w:rPr>
      </w:pPr>
      <w:r>
        <w:rPr>
          <w:rFonts w:eastAsiaTheme="minorEastAsia"/>
          <w:i/>
          <w:sz w:val="28"/>
          <w:szCs w:val="28"/>
        </w:rPr>
        <w:t xml:space="preserve">               </w:t>
      </w:r>
      <w:r>
        <w:rPr>
          <w:rFonts w:eastAsiaTheme="minorEastAsia"/>
          <w:i/>
          <w:szCs w:val="21"/>
        </w:rPr>
        <w:t>w</w:t>
      </w:r>
      <w:r>
        <w:rPr>
          <w:rFonts w:eastAsiaTheme="minorEastAsia"/>
          <w:iCs/>
          <w:szCs w:val="21"/>
          <w:vertAlign w:val="subscript"/>
        </w:rPr>
        <w:t>Bi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color w:val="000000"/>
          <w:szCs w:val="21"/>
        </w:rPr>
        <w:drawing>
          <wp:inline distT="0" distB="0" distL="114300" distR="114300">
            <wp:extent cx="4133850" cy="806450"/>
            <wp:effectExtent l="0" t="0" r="0" b="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 xml:space="preserve"> = </w:t>
      </w:r>
      <w:r>
        <w:rPr>
          <w:color w:val="000000"/>
          <w:position w:val="-30"/>
          <w:szCs w:val="21"/>
        </w:rPr>
        <w:object>
          <v:shape id="_x0000_i1025" o:spt="75" type="#_x0000_t75" style="height:36pt;width:131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5">
            <o:LockedField>false</o:LockedField>
          </o:OLEObject>
        </w:object>
      </w:r>
      <w:r>
        <w:rPr>
          <w:color w:val="000000"/>
          <w:szCs w:val="21"/>
        </w:rPr>
        <w:t xml:space="preserve">……………………………… </w:t>
      </w:r>
      <w:r>
        <w:rPr>
          <w:rFonts w:hint="eastAsia" w:ascii="宋体" w:hAnsi="宋体" w:cs="宋体"/>
          <w:szCs w:val="21"/>
        </w:rPr>
        <w:t>⑴</w:t>
      </w:r>
    </w:p>
    <w:p>
      <w:pPr>
        <w:ind w:firstLine="420" w:firstLineChars="200"/>
      </w:pPr>
      <w:r>
        <w:t>式中：</w:t>
      </w:r>
    </w:p>
    <w:p>
      <w:pPr>
        <w:adjustRightInd w:val="0"/>
        <w:snapToGrid w:val="0"/>
        <w:spacing w:before="50" w:after="50"/>
        <w:ind w:firstLine="444" w:firstLineChars="200"/>
        <w:rPr>
          <w:spacing w:val="6"/>
        </w:rPr>
      </w:pPr>
      <w:r>
        <w:rPr>
          <w:i/>
          <w:spacing w:val="6"/>
        </w:rPr>
        <w:t xml:space="preserve">ρ  </w:t>
      </w:r>
      <w:r>
        <w:t>——</w:t>
      </w:r>
      <w:r>
        <w:rPr>
          <w:spacing w:val="6"/>
        </w:rPr>
        <w:t>自工作曲线上查得的测定溶液中铋的质量浓度，单位为微克每毫升（µg/mL）；</w:t>
      </w:r>
    </w:p>
    <w:p>
      <w:pPr>
        <w:adjustRightInd w:val="0"/>
        <w:snapToGrid w:val="0"/>
        <w:spacing w:before="50" w:after="50"/>
        <w:ind w:firstLine="444" w:firstLineChars="200"/>
        <w:rPr>
          <w:spacing w:val="6"/>
        </w:rPr>
      </w:pPr>
      <w:r>
        <w:rPr>
          <w:i/>
          <w:spacing w:val="6"/>
        </w:rPr>
        <w:t>ρ</w:t>
      </w:r>
      <w:r>
        <w:rPr>
          <w:spacing w:val="6"/>
          <w:vertAlign w:val="subscript"/>
        </w:rPr>
        <w:t xml:space="preserve">0  </w:t>
      </w:r>
      <w:r>
        <w:t>——</w:t>
      </w:r>
      <w:r>
        <w:rPr>
          <w:spacing w:val="6"/>
        </w:rPr>
        <w:t>自工作曲线上查得的空白溶液中铋的质量浓度，单位为微克每毫升（µg/mL）；</w:t>
      </w:r>
    </w:p>
    <w:p>
      <w:pPr>
        <w:adjustRightInd w:val="0"/>
        <w:snapToGrid w:val="0"/>
        <w:spacing w:before="50" w:after="50"/>
        <w:ind w:firstLine="420" w:firstLineChars="200"/>
      </w:pPr>
      <w:r>
        <w:rPr>
          <w:i/>
        </w:rPr>
        <w:t>V</w:t>
      </w:r>
      <w:r>
        <w:rPr>
          <w:i/>
          <w:vertAlign w:val="subscript"/>
        </w:rPr>
        <w:t xml:space="preserve">  </w:t>
      </w:r>
      <w:r>
        <w:rPr>
          <w:rFonts w:hint="eastAsia"/>
          <w:i/>
          <w:vertAlign w:val="subscript"/>
        </w:rPr>
        <w:t xml:space="preserve"> </w:t>
      </w:r>
      <w:r>
        <w:rPr>
          <w:i/>
          <w:vertAlign w:val="subscript"/>
        </w:rPr>
        <w:t xml:space="preserve"> </w:t>
      </w:r>
      <w:r>
        <w:t>——试液总体积，单位为毫升（mL）；</w:t>
      </w:r>
    </w:p>
    <w:p>
      <w:pPr>
        <w:adjustRightInd w:val="0"/>
        <w:snapToGrid w:val="0"/>
        <w:spacing w:before="50" w:after="50"/>
        <w:ind w:firstLine="420" w:firstLineChars="200"/>
      </w:pPr>
      <w:r>
        <w:rPr>
          <w:i/>
        </w:rPr>
        <w:t>V</w:t>
      </w:r>
      <w:r>
        <w:rPr>
          <w:i/>
          <w:vertAlign w:val="subscript"/>
        </w:rPr>
        <w:t xml:space="preserve">2 </w:t>
      </w:r>
      <w:r>
        <w:rPr>
          <w:rFonts w:hint="eastAsia"/>
          <w:i/>
          <w:vertAlign w:val="subscript"/>
        </w:rPr>
        <w:t xml:space="preserve"> </w:t>
      </w:r>
      <w:r>
        <w:rPr>
          <w:i/>
          <w:vertAlign w:val="subscript"/>
        </w:rPr>
        <w:t xml:space="preserve"> </w:t>
      </w:r>
      <w:r>
        <w:t>——测定试液的体积，单位为毫升（mL）；</w:t>
      </w:r>
    </w:p>
    <w:p>
      <w:pPr>
        <w:adjustRightInd w:val="0"/>
        <w:snapToGrid w:val="0"/>
        <w:spacing w:before="50" w:after="50"/>
        <w:ind w:firstLine="420" w:firstLineChars="200"/>
      </w:pPr>
      <w:r>
        <w:t>m  ——试料的质量，单位为克（g）；</w:t>
      </w:r>
    </w:p>
    <w:p>
      <w:pPr>
        <w:adjustRightInd w:val="0"/>
        <w:snapToGrid w:val="0"/>
        <w:spacing w:before="50" w:after="50"/>
        <w:ind w:firstLine="420" w:firstLineChars="200"/>
      </w:pPr>
      <w:r>
        <w:rPr>
          <w:i/>
        </w:rPr>
        <w:t>V</w:t>
      </w:r>
      <w:r>
        <w:rPr>
          <w:i/>
          <w:vertAlign w:val="subscript"/>
        </w:rPr>
        <w:t>1</w:t>
      </w:r>
      <w:r>
        <w:rPr>
          <w:i/>
        </w:rPr>
        <w:t xml:space="preserve"> </w:t>
      </w:r>
      <w:r>
        <w:rPr>
          <w:i/>
          <w:vertAlign w:val="subscript"/>
        </w:rPr>
        <w:t xml:space="preserve"> </w:t>
      </w:r>
      <w:r>
        <w:t>——分取试液的体积，单位为毫升（mL）；</w:t>
      </w:r>
    </w:p>
    <w:p>
      <w:pPr>
        <w:adjustRightInd w:val="0"/>
        <w:snapToGrid w:val="0"/>
        <w:spacing w:before="50" w:after="50"/>
        <w:ind w:firstLine="444" w:firstLineChars="200"/>
        <w:rPr>
          <w:spacing w:val="6"/>
        </w:rPr>
      </w:pPr>
      <w:r>
        <w:rPr>
          <w:rFonts w:hint="eastAsia"/>
          <w:spacing w:val="6"/>
        </w:rPr>
        <w:t>当计算</w:t>
      </w:r>
      <w:r>
        <w:rPr>
          <w:spacing w:val="6"/>
        </w:rPr>
        <w:t>结果</w:t>
      </w:r>
      <w:r>
        <w:rPr>
          <w:rFonts w:hint="eastAsia"/>
          <w:spacing w:val="6"/>
        </w:rPr>
        <w:t>大于等于0</w:t>
      </w:r>
      <w:r>
        <w:rPr>
          <w:spacing w:val="6"/>
        </w:rPr>
        <w:t>.1</w:t>
      </w:r>
      <w:r>
        <w:rPr>
          <w:rFonts w:hint="eastAsia"/>
          <w:spacing w:val="6"/>
        </w:rPr>
        <w:t>0%时，表示到</w:t>
      </w:r>
      <w:r>
        <w:rPr>
          <w:spacing w:val="6"/>
        </w:rPr>
        <w:t>小数点后两位，当</w:t>
      </w:r>
      <w:r>
        <w:rPr>
          <w:rFonts w:hint="eastAsia"/>
          <w:spacing w:val="6"/>
        </w:rPr>
        <w:t>计算</w:t>
      </w:r>
      <w:r>
        <w:rPr>
          <w:spacing w:val="6"/>
        </w:rPr>
        <w:t>结果小于0.10%时，</w:t>
      </w:r>
      <w:r>
        <w:rPr>
          <w:rFonts w:hint="eastAsia"/>
          <w:spacing w:val="6"/>
        </w:rPr>
        <w:t>表示到</w:t>
      </w:r>
      <w:r>
        <w:rPr>
          <w:spacing w:val="6"/>
        </w:rPr>
        <w:t>小数点后三位</w:t>
      </w:r>
      <w:r>
        <w:rPr>
          <w:rFonts w:hint="eastAsia"/>
          <w:spacing w:val="6"/>
        </w:rPr>
        <w:t>。</w:t>
      </w:r>
      <w:r>
        <w:rPr>
          <w:spacing w:val="6"/>
        </w:rPr>
        <w:t xml:space="preserve">数值修约按照GB/T 8170规定执行。 </w:t>
      </w:r>
    </w:p>
    <w:p>
      <w:pPr>
        <w:adjustRightInd w:val="0"/>
        <w:snapToGrid w:val="0"/>
        <w:spacing w:before="50" w:after="50"/>
        <w:ind w:left="210" w:leftChars="100" w:firstLine="444" w:firstLineChars="200"/>
        <w:rPr>
          <w:spacing w:val="6"/>
        </w:rPr>
      </w:pPr>
    </w:p>
    <w:p>
      <w:pPr>
        <w:rPr>
          <w:rFonts w:eastAsia="黑体"/>
          <w:bCs/>
          <w:color w:val="000000"/>
        </w:rPr>
      </w:pPr>
      <w:r>
        <w:rPr>
          <w:rFonts w:eastAsia="黑体"/>
          <w:bCs/>
          <w:color w:val="000000"/>
        </w:rPr>
        <w:t>4.7</w:t>
      </w:r>
      <w:r>
        <w:rPr>
          <w:rFonts w:eastAsia="黑体"/>
          <w:b/>
          <w:color w:val="000000"/>
        </w:rPr>
        <w:t xml:space="preserve"> </w:t>
      </w:r>
      <w:r>
        <w:rPr>
          <w:rFonts w:hint="eastAsia" w:eastAsia="黑体"/>
          <w:b/>
          <w:color w:val="000000"/>
        </w:rPr>
        <w:t xml:space="preserve"> </w:t>
      </w:r>
      <w:r>
        <w:rPr>
          <w:rFonts w:eastAsia="黑体"/>
          <w:bCs/>
          <w:color w:val="000000"/>
        </w:rPr>
        <w:t>精密度</w:t>
      </w:r>
    </w:p>
    <w:p>
      <w:pPr>
        <w:rPr>
          <w:rFonts w:eastAsia="黑体"/>
          <w:bCs/>
          <w:color w:val="000000"/>
        </w:rPr>
      </w:pPr>
    </w:p>
    <w:p>
      <w:pPr>
        <w:pStyle w:val="46"/>
        <w:ind w:firstLine="0"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 xml:space="preserve">4.7.1 </w:t>
      </w:r>
      <w:r>
        <w:rPr>
          <w:rFonts w:hint="eastAsia" w:ascii="Times New Roman" w:hAnsi="Times New Roman" w:eastAsia="黑体" w:cs="Times New Roman"/>
          <w:szCs w:val="21"/>
        </w:rPr>
        <w:t xml:space="preserve"> </w:t>
      </w:r>
      <w:r>
        <w:rPr>
          <w:rFonts w:ascii="Times New Roman" w:hAnsi="Times New Roman" w:eastAsia="黑体" w:cs="Times New Roman"/>
          <w:bCs/>
          <w:color w:val="000000"/>
        </w:rPr>
        <w:t>重复性</w:t>
      </w:r>
    </w:p>
    <w:p>
      <w:pPr>
        <w:pStyle w:val="46"/>
        <w:tabs>
          <w:tab w:val="left" w:pos="360"/>
          <w:tab w:val="left" w:pos="540"/>
        </w:tabs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在重复性条件下获得的两次独立测试结果的测定值，在以下给出的平均值范围内，这两个测试结果的绝对差值不超过重复性限（</w:t>
      </w:r>
      <w:r>
        <w:rPr>
          <w:rFonts w:ascii="Times New Roman" w:hAnsi="Times New Roman" w:eastAsia="宋体" w:cs="Times New Roman"/>
          <w:i/>
          <w:iCs/>
        </w:rPr>
        <w:t>r</w:t>
      </w:r>
      <w:r>
        <w:rPr>
          <w:rFonts w:ascii="Times New Roman" w:hAnsi="Times New Roman" w:eastAsia="宋体" w:cs="Times New Roman"/>
        </w:rPr>
        <w:t>），超过重复性限（</w:t>
      </w:r>
      <w:r>
        <w:rPr>
          <w:rFonts w:ascii="Times New Roman" w:hAnsi="Times New Roman" w:eastAsia="宋体" w:cs="Times New Roman"/>
          <w:i/>
          <w:iCs/>
        </w:rPr>
        <w:t>r</w:t>
      </w:r>
      <w:r>
        <w:rPr>
          <w:rFonts w:ascii="Times New Roman" w:hAnsi="Times New Roman" w:eastAsia="宋体" w:cs="Times New Roman"/>
        </w:rPr>
        <w:t>）的情况不超过5%。重复性限（</w:t>
      </w:r>
      <w:r>
        <w:rPr>
          <w:rFonts w:ascii="Times New Roman" w:hAnsi="Times New Roman" w:eastAsia="宋体" w:cs="Times New Roman"/>
          <w:i/>
          <w:iCs/>
        </w:rPr>
        <w:t>r</w:t>
      </w:r>
      <w:r>
        <w:rPr>
          <w:rFonts w:ascii="Times New Roman" w:hAnsi="Times New Roman" w:eastAsia="宋体" w:cs="Times New Roman"/>
        </w:rPr>
        <w:t>）按表2数据采用线性内插法或外延法求得：</w:t>
      </w:r>
    </w:p>
    <w:p>
      <w:pPr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>表2  重复性限</w:t>
      </w:r>
    </w:p>
    <w:tbl>
      <w:tblPr>
        <w:tblStyle w:val="28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568"/>
        <w:gridCol w:w="1568"/>
        <w:gridCol w:w="1568"/>
        <w:gridCol w:w="1566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dxa"/>
            <w:vAlign w:val="center"/>
          </w:tcPr>
          <w:p>
            <w:pPr>
              <w:jc w:val="center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i/>
                <w:sz w:val="18"/>
                <w:szCs w:val="18"/>
              </w:rPr>
              <w:t xml:space="preserve">W </w:t>
            </w:r>
            <w:r>
              <w:rPr>
                <w:rFonts w:eastAsiaTheme="minorEastAsia"/>
                <w:i/>
                <w:sz w:val="18"/>
                <w:szCs w:val="18"/>
                <w:vertAlign w:val="subscript"/>
              </w:rPr>
              <w:t xml:space="preserve">Bi </w:t>
            </w:r>
            <w:r>
              <w:rPr>
                <w:rFonts w:eastAsiaTheme="minorEastAsia"/>
                <w:sz w:val="18"/>
                <w:szCs w:val="18"/>
              </w:rPr>
              <w:t>/ %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0.089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0.95 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2.02 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3.53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dxa"/>
            <w:vAlign w:val="center"/>
          </w:tcPr>
          <w:p>
            <w:pPr>
              <w:jc w:val="center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i/>
                <w:sz w:val="18"/>
                <w:szCs w:val="18"/>
              </w:rPr>
              <w:t xml:space="preserve">r </w:t>
            </w:r>
            <w:r>
              <w:rPr>
                <w:rFonts w:eastAsiaTheme="minorEastAsia"/>
                <w:bCs/>
                <w:sz w:val="18"/>
                <w:szCs w:val="18"/>
              </w:rPr>
              <w:t>/ %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0.004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0.036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0.053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0.13</w:t>
            </w:r>
          </w:p>
        </w:tc>
      </w:tr>
    </w:tbl>
    <w:p>
      <w:pPr>
        <w:pStyle w:val="46"/>
        <w:ind w:firstLine="0" w:firstLineChars="0"/>
        <w:rPr>
          <w:rFonts w:ascii="Times New Roman" w:hAnsi="Times New Roman" w:cs="Times New Roman"/>
          <w:b/>
        </w:rPr>
      </w:pPr>
    </w:p>
    <w:p>
      <w:pPr>
        <w:pStyle w:val="46"/>
        <w:ind w:firstLine="0"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 xml:space="preserve">4.7.2 </w:t>
      </w:r>
      <w:r>
        <w:rPr>
          <w:rFonts w:hint="eastAsia" w:ascii="Times New Roman" w:hAnsi="Times New Roman" w:eastAsia="黑体" w:cs="Times New Roman"/>
          <w:szCs w:val="21"/>
        </w:rPr>
        <w:t xml:space="preserve"> </w:t>
      </w:r>
      <w:r>
        <w:rPr>
          <w:rFonts w:ascii="Times New Roman" w:hAnsi="Times New Roman" w:eastAsia="黑体" w:cs="Times New Roman"/>
          <w:bCs/>
          <w:color w:val="000000"/>
        </w:rPr>
        <w:t>再现性</w:t>
      </w:r>
    </w:p>
    <w:p>
      <w:pPr>
        <w:pStyle w:val="46"/>
        <w:ind w:firstLine="420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宋体" w:cs="Times New Roman"/>
        </w:rPr>
        <w:t>在再现性条件下获得的两次独立测试结果的测定值，在以下给出的平均值范围内，这两个测试结果的绝对差值不超过再现性限（</w:t>
      </w:r>
      <w:r>
        <w:rPr>
          <w:rFonts w:ascii="Times New Roman" w:hAnsi="Times New Roman" w:eastAsia="宋体" w:cs="Times New Roman"/>
          <w:i/>
          <w:iCs/>
        </w:rPr>
        <w:t>R</w:t>
      </w:r>
      <w:r>
        <w:rPr>
          <w:rFonts w:ascii="Times New Roman" w:hAnsi="Times New Roman" w:eastAsia="宋体" w:cs="Times New Roman"/>
        </w:rPr>
        <w:t>），超过再现性限（</w:t>
      </w:r>
      <w:r>
        <w:rPr>
          <w:rFonts w:ascii="Times New Roman" w:hAnsi="Times New Roman" w:eastAsia="宋体" w:cs="Times New Roman"/>
          <w:i/>
          <w:iCs/>
        </w:rPr>
        <w:t>R</w:t>
      </w:r>
      <w:r>
        <w:rPr>
          <w:rFonts w:ascii="Times New Roman" w:hAnsi="Times New Roman" w:eastAsia="宋体" w:cs="Times New Roman"/>
        </w:rPr>
        <w:t>）的情况不超过5%，再现性限（</w:t>
      </w:r>
      <w:r>
        <w:rPr>
          <w:rFonts w:ascii="Times New Roman" w:hAnsi="Times New Roman" w:eastAsia="宋体" w:cs="Times New Roman"/>
          <w:i/>
          <w:iCs/>
        </w:rPr>
        <w:t>R</w:t>
      </w:r>
      <w:r>
        <w:rPr>
          <w:rFonts w:ascii="Times New Roman" w:hAnsi="Times New Roman" w:eastAsia="宋体" w:cs="Times New Roman"/>
        </w:rPr>
        <w:t>）按表3数据采用线性内插法或外延法求得：</w:t>
      </w:r>
    </w:p>
    <w:p>
      <w:pPr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>表3  再现性限</w:t>
      </w:r>
    </w:p>
    <w:tbl>
      <w:tblPr>
        <w:tblStyle w:val="28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568"/>
        <w:gridCol w:w="1568"/>
        <w:gridCol w:w="1568"/>
        <w:gridCol w:w="1566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568" w:type="dxa"/>
          </w:tcPr>
          <w:p>
            <w:pPr>
              <w:jc w:val="center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i/>
                <w:sz w:val="18"/>
                <w:szCs w:val="18"/>
              </w:rPr>
              <w:t xml:space="preserve">W </w:t>
            </w:r>
            <w:r>
              <w:rPr>
                <w:rFonts w:eastAsiaTheme="minorEastAsia"/>
                <w:i/>
                <w:sz w:val="18"/>
                <w:szCs w:val="18"/>
                <w:vertAlign w:val="subscript"/>
              </w:rPr>
              <w:t>Bi</w:t>
            </w:r>
            <w:r>
              <w:rPr>
                <w:rFonts w:eastAsiaTheme="minorEastAsia"/>
                <w:sz w:val="18"/>
                <w:szCs w:val="18"/>
              </w:rPr>
              <w:t xml:space="preserve"> /%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0.089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2.02 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3.53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568" w:type="dxa"/>
          </w:tcPr>
          <w:p>
            <w:pPr>
              <w:jc w:val="center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i/>
                <w:sz w:val="18"/>
                <w:szCs w:val="18"/>
              </w:rPr>
              <w:t>R</w:t>
            </w:r>
            <w:r>
              <w:rPr>
                <w:rFonts w:eastAsiaTheme="minorEastAsia"/>
                <w:bCs/>
                <w:sz w:val="18"/>
                <w:szCs w:val="18"/>
              </w:rPr>
              <w:t xml:space="preserve"> / %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0.010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0.052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0.087 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0.17</w:t>
            </w:r>
          </w:p>
        </w:tc>
      </w:tr>
    </w:tbl>
    <w:p>
      <w:pPr>
        <w:spacing w:before="312" w:beforeLines="100" w:after="156" w:afterLines="50" w:line="240" w:lineRule="exact"/>
        <w:jc w:val="left"/>
        <w:rPr>
          <w:rFonts w:eastAsia="黑体"/>
          <w:szCs w:val="21"/>
        </w:rPr>
      </w:pPr>
    </w:p>
    <w:p>
      <w:pPr>
        <w:spacing w:before="312" w:beforeLines="100" w:after="156" w:afterLines="50" w:line="240" w:lineRule="exact"/>
        <w:jc w:val="left"/>
        <w:rPr>
          <w:rFonts w:eastAsia="黑体"/>
          <w:szCs w:val="21"/>
        </w:rPr>
      </w:pPr>
      <w:r>
        <w:rPr>
          <w:rFonts w:eastAsia="黑体"/>
          <w:szCs w:val="21"/>
        </w:rPr>
        <w:t xml:space="preserve">5 </w:t>
      </w:r>
      <w:r>
        <w:rPr>
          <w:rFonts w:hint="eastAsia" w:eastAsia="黑体"/>
          <w:szCs w:val="21"/>
        </w:rPr>
        <w:t xml:space="preserve"> </w:t>
      </w:r>
      <w:r>
        <w:rPr>
          <w:rFonts w:eastAsia="黑体"/>
          <w:szCs w:val="21"/>
        </w:rPr>
        <w:t>方法2 Na</w:t>
      </w:r>
      <w:r>
        <w:rPr>
          <w:rFonts w:eastAsia="黑体"/>
          <w:szCs w:val="21"/>
          <w:vertAlign w:val="subscript"/>
        </w:rPr>
        <w:t>2</w:t>
      </w:r>
      <w:r>
        <w:rPr>
          <w:rFonts w:eastAsia="黑体"/>
          <w:szCs w:val="21"/>
        </w:rPr>
        <w:t>EDTA滴定法</w:t>
      </w:r>
    </w:p>
    <w:p>
      <w:pPr>
        <w:spacing w:line="240" w:lineRule="exact"/>
        <w:rPr>
          <w:rFonts w:eastAsia="黑体"/>
          <w:szCs w:val="21"/>
        </w:rPr>
      </w:pPr>
    </w:p>
    <w:p>
      <w:pPr>
        <w:spacing w:line="240" w:lineRule="exact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 xml:space="preserve">5.1 </w:t>
      </w:r>
      <w:r>
        <w:rPr>
          <w:rFonts w:hint="eastAsia" w:eastAsia="黑体"/>
          <w:bCs/>
          <w:szCs w:val="21"/>
        </w:rPr>
        <w:t xml:space="preserve"> 原理</w:t>
      </w:r>
    </w:p>
    <w:p>
      <w:pPr>
        <w:spacing w:line="240" w:lineRule="exact"/>
        <w:rPr>
          <w:rFonts w:eastAsia="黑体"/>
          <w:bCs/>
          <w:szCs w:val="21"/>
        </w:rPr>
      </w:pPr>
    </w:p>
    <w:p>
      <w:pPr>
        <w:autoSpaceDE w:val="0"/>
        <w:autoSpaceDN w:val="0"/>
        <w:adjustRightInd w:val="0"/>
        <w:ind w:right="159" w:firstLine="420" w:firstLineChars="200"/>
      </w:pPr>
      <w:r>
        <w:t>试料用盐酸、氟化氢铵、硝酸、高氯酸分解。在高氯酸存在下用盐酸-氢溴酸排砷、锑、锡及硒。用</w:t>
      </w:r>
      <w:r>
        <w:rPr>
          <w:kern w:val="0"/>
        </w:rPr>
        <w:t>抗坏血酸、氟化铵</w:t>
      </w:r>
      <w:r>
        <w:t>和硫脲消除</w:t>
      </w:r>
      <w:r>
        <w:rPr>
          <w:kern w:val="0"/>
        </w:rPr>
        <w:t>铁、铜的影响，</w:t>
      </w:r>
      <w:r>
        <w:t>在硝酸﹣酒石酸﹣</w:t>
      </w:r>
      <w:r>
        <w:rPr>
          <w:kern w:val="0"/>
        </w:rPr>
        <w:t>氟化铵﹣</w:t>
      </w:r>
      <w:r>
        <w:t>硫脲介质中，用无水乙酸钠溶液调节试样溶液pH值为</w:t>
      </w:r>
      <w:r>
        <w:rPr>
          <w:szCs w:val="21"/>
        </w:rPr>
        <w:t>1.2</w:t>
      </w:r>
      <w:r>
        <w:rPr>
          <w:rFonts w:eastAsiaTheme="minorEastAsia"/>
          <w:szCs w:val="21"/>
        </w:rPr>
        <w:t>~</w:t>
      </w:r>
      <w:r>
        <w:rPr>
          <w:rFonts w:hint="eastAsia"/>
          <w:szCs w:val="21"/>
        </w:rPr>
        <w:t>1.</w:t>
      </w:r>
      <w:r>
        <w:rPr>
          <w:szCs w:val="21"/>
        </w:rPr>
        <w:t>8，以二甲酚橙为指示剂，用Na</w:t>
      </w:r>
      <w:r>
        <w:rPr>
          <w:szCs w:val="21"/>
          <w:vertAlign w:val="subscript"/>
        </w:rPr>
        <w:t>2</w:t>
      </w:r>
      <w:r>
        <w:rPr>
          <w:szCs w:val="21"/>
        </w:rPr>
        <w:t>EDTA标准滴定溶液</w:t>
      </w:r>
      <w:r>
        <w:t>滴定，测其铋量。</w:t>
      </w:r>
    </w:p>
    <w:p>
      <w:pPr>
        <w:autoSpaceDE w:val="0"/>
        <w:autoSpaceDN w:val="0"/>
        <w:adjustRightInd w:val="0"/>
        <w:ind w:right="159" w:firstLine="420" w:firstLineChars="200"/>
      </w:pPr>
    </w:p>
    <w:p>
      <w:pPr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 xml:space="preserve">5.2 </w:t>
      </w:r>
      <w:r>
        <w:rPr>
          <w:rFonts w:hint="eastAsia" w:eastAsia="黑体"/>
          <w:bCs/>
          <w:szCs w:val="21"/>
        </w:rPr>
        <w:t xml:space="preserve"> </w:t>
      </w:r>
      <w:r>
        <w:rPr>
          <w:rFonts w:eastAsia="黑体"/>
          <w:bCs/>
          <w:szCs w:val="21"/>
        </w:rPr>
        <w:t>试剂</w:t>
      </w:r>
    </w:p>
    <w:p>
      <w:pPr>
        <w:rPr>
          <w:rFonts w:eastAsia="黑体"/>
          <w:bCs/>
          <w:szCs w:val="21"/>
        </w:rPr>
      </w:pPr>
    </w:p>
    <w:p>
      <w:pPr>
        <w:spacing w:line="440" w:lineRule="exact"/>
        <w:ind w:firstLine="420" w:firstLineChars="200"/>
        <w:rPr>
          <w:szCs w:val="21"/>
        </w:rPr>
      </w:pPr>
      <w:r>
        <w:rPr>
          <w:szCs w:val="21"/>
        </w:rPr>
        <w:t>除非另有说明，</w:t>
      </w:r>
      <w:r>
        <w:rPr>
          <w:rFonts w:hint="eastAsia"/>
          <w:szCs w:val="21"/>
        </w:rPr>
        <w:t>本文件中所用试剂均</w:t>
      </w:r>
      <w:r>
        <w:rPr>
          <w:szCs w:val="21"/>
        </w:rPr>
        <w:t>为分析纯</w:t>
      </w:r>
      <w:r>
        <w:rPr>
          <w:rFonts w:hint="eastAsia"/>
          <w:szCs w:val="21"/>
        </w:rPr>
        <w:t>及以上纯度</w:t>
      </w:r>
      <w:r>
        <w:rPr>
          <w:szCs w:val="21"/>
        </w:rPr>
        <w:t>的试剂</w:t>
      </w:r>
      <w:r>
        <w:rPr>
          <w:rFonts w:hint="eastAsia"/>
          <w:szCs w:val="21"/>
        </w:rPr>
        <w:t>，所用水符合GB</w:t>
      </w:r>
      <w:r>
        <w:rPr>
          <w:szCs w:val="21"/>
        </w:rPr>
        <w:t>/T 6682</w:t>
      </w:r>
      <w:r>
        <w:rPr>
          <w:rFonts w:hint="eastAsia"/>
          <w:szCs w:val="21"/>
        </w:rPr>
        <w:t>规定的二级及以上</w:t>
      </w:r>
      <w:r>
        <w:rPr>
          <w:szCs w:val="21"/>
        </w:rPr>
        <w:t>纯度的水。</w:t>
      </w:r>
    </w:p>
    <w:p>
      <w:pPr>
        <w:rPr>
          <w:rFonts w:eastAsiaTheme="minorEastAsia"/>
        </w:rPr>
      </w:pPr>
      <w:r>
        <w:rPr>
          <w:rFonts w:eastAsia="黑体"/>
        </w:rPr>
        <w:t>5.2.1</w:t>
      </w:r>
      <w:r>
        <w:rPr>
          <w:rFonts w:hint="eastAsia" w:eastAsia="黑体"/>
        </w:rPr>
        <w:t xml:space="preserve"> </w:t>
      </w:r>
      <w:r>
        <w:rPr>
          <w:rFonts w:eastAsia="黑体"/>
        </w:rPr>
        <w:t xml:space="preserve"> </w:t>
      </w:r>
      <w:r>
        <w:t>抗坏血酸。</w:t>
      </w:r>
    </w:p>
    <w:p>
      <w:pPr>
        <w:widowControl/>
        <w:jc w:val="left"/>
        <w:rPr>
          <w:rFonts w:eastAsiaTheme="minorEastAsia"/>
        </w:rPr>
      </w:pPr>
      <w:r>
        <w:rPr>
          <w:rFonts w:eastAsia="黑体"/>
        </w:rPr>
        <w:t>5.2.2</w:t>
      </w:r>
      <w:r>
        <w:rPr>
          <w:rFonts w:hint="eastAsia" w:eastAsia="黑体"/>
        </w:rPr>
        <w:t xml:space="preserve"> </w:t>
      </w:r>
      <w:r>
        <w:rPr>
          <w:rFonts w:eastAsia="黑体"/>
        </w:rPr>
        <w:t xml:space="preserve"> </w:t>
      </w:r>
      <w:r>
        <w:rPr>
          <w:kern w:val="0"/>
        </w:rPr>
        <w:t>盐酸</w:t>
      </w:r>
      <w:r>
        <w:rPr>
          <w:rFonts w:eastAsiaTheme="minorEastAsia"/>
          <w:szCs w:val="21"/>
        </w:rPr>
        <w:t>（ρ=1.19 g/mL）。</w:t>
      </w:r>
    </w:p>
    <w:p>
      <w:pPr>
        <w:widowControl/>
        <w:jc w:val="left"/>
        <w:rPr>
          <w:rFonts w:eastAsiaTheme="minorEastAsia"/>
        </w:rPr>
      </w:pPr>
      <w:r>
        <w:rPr>
          <w:rFonts w:eastAsia="黑体"/>
          <w:bCs/>
          <w:szCs w:val="21"/>
        </w:rPr>
        <w:t>5.2</w:t>
      </w:r>
      <w:r>
        <w:rPr>
          <w:rFonts w:eastAsia="黑体"/>
          <w:szCs w:val="21"/>
        </w:rPr>
        <w:t>.3</w:t>
      </w:r>
      <w:r>
        <w:rPr>
          <w:rFonts w:hint="eastAsia" w:eastAsia="黑体"/>
          <w:szCs w:val="21"/>
        </w:rPr>
        <w:t xml:space="preserve">  </w:t>
      </w:r>
      <w:r>
        <w:rPr>
          <w:szCs w:val="21"/>
        </w:rPr>
        <w:t>硝酸</w:t>
      </w:r>
      <w:r>
        <w:rPr>
          <w:rFonts w:eastAsiaTheme="minorEastAsia"/>
          <w:szCs w:val="21"/>
        </w:rPr>
        <w:t>（ρ=1.42 g/mL）。</w:t>
      </w:r>
    </w:p>
    <w:p>
      <w:pPr>
        <w:widowControl/>
        <w:jc w:val="left"/>
        <w:rPr>
          <w:rFonts w:eastAsiaTheme="minorEastAsia"/>
        </w:rPr>
      </w:pPr>
      <w:r>
        <w:rPr>
          <w:rFonts w:eastAsia="黑体"/>
          <w:bCs/>
          <w:szCs w:val="21"/>
        </w:rPr>
        <w:t>5.2</w:t>
      </w:r>
      <w:r>
        <w:rPr>
          <w:rFonts w:eastAsia="黑体"/>
          <w:szCs w:val="21"/>
        </w:rPr>
        <w:t xml:space="preserve">.4 </w:t>
      </w:r>
      <w:r>
        <w:rPr>
          <w:rFonts w:hint="eastAsia" w:eastAsia="黑体"/>
          <w:szCs w:val="21"/>
        </w:rPr>
        <w:t xml:space="preserve"> </w:t>
      </w:r>
      <w:r>
        <w:t>氢溴酸（</w:t>
      </w:r>
      <w:r>
        <w:rPr>
          <w:kern w:val="1"/>
        </w:rPr>
        <w:t>ρ=1.49 g/mL）。</w:t>
      </w:r>
    </w:p>
    <w:p>
      <w:pPr>
        <w:widowControl/>
        <w:jc w:val="left"/>
        <w:rPr>
          <w:rFonts w:eastAsiaTheme="minorEastAsia"/>
        </w:rPr>
      </w:pPr>
      <w:r>
        <w:rPr>
          <w:rFonts w:eastAsia="黑体"/>
          <w:bCs/>
          <w:szCs w:val="21"/>
        </w:rPr>
        <w:t>5.2</w:t>
      </w:r>
      <w:r>
        <w:rPr>
          <w:rFonts w:eastAsia="黑体"/>
          <w:szCs w:val="21"/>
        </w:rPr>
        <w:t xml:space="preserve">.5 </w:t>
      </w:r>
      <w:r>
        <w:rPr>
          <w:rFonts w:hint="eastAsia" w:eastAsia="黑体"/>
          <w:szCs w:val="21"/>
        </w:rPr>
        <w:t xml:space="preserve"> </w:t>
      </w:r>
      <w:r>
        <w:t>高氯酸（ρ=1.67 g/mL）。</w:t>
      </w:r>
    </w:p>
    <w:p>
      <w:pPr>
        <w:rPr>
          <w:rFonts w:eastAsiaTheme="minorEastAsia"/>
          <w:szCs w:val="21"/>
        </w:rPr>
      </w:pPr>
      <w:r>
        <w:rPr>
          <w:rFonts w:eastAsia="黑体"/>
        </w:rPr>
        <w:t>5.2.</w:t>
      </w:r>
      <w:r>
        <w:rPr>
          <w:rFonts w:hint="eastAsia" w:eastAsia="黑体"/>
        </w:rPr>
        <w:t xml:space="preserve">6 </w:t>
      </w:r>
      <w:r>
        <w:rPr>
          <w:rFonts w:eastAsia="黑体"/>
        </w:rPr>
        <w:t xml:space="preserve"> </w:t>
      </w:r>
      <w:r>
        <w:t>硫脲溶液（</w:t>
      </w:r>
      <w:r>
        <w:rPr>
          <w:rFonts w:eastAsiaTheme="minorEastAsia"/>
          <w:szCs w:val="21"/>
        </w:rPr>
        <w:t>50 g/L</w:t>
      </w:r>
      <w:r>
        <w:rPr>
          <w:szCs w:val="21"/>
        </w:rPr>
        <w:t>）。</w:t>
      </w:r>
    </w:p>
    <w:p>
      <w:pPr>
        <w:jc w:val="left"/>
        <w:rPr>
          <w:rFonts w:eastAsiaTheme="minorEastAsia"/>
          <w:szCs w:val="21"/>
        </w:rPr>
      </w:pPr>
      <w:r>
        <w:rPr>
          <w:rFonts w:eastAsia="黑体"/>
        </w:rPr>
        <w:t>5.2.</w:t>
      </w:r>
      <w:r>
        <w:rPr>
          <w:rFonts w:hint="eastAsia" w:eastAsia="黑体"/>
        </w:rPr>
        <w:t xml:space="preserve">7  </w:t>
      </w:r>
      <w:r>
        <w:t>酒石酸溶液（</w:t>
      </w:r>
      <w:r>
        <w:rPr>
          <w:rFonts w:eastAsiaTheme="minorEastAsia"/>
          <w:szCs w:val="21"/>
        </w:rPr>
        <w:t>100 g/L</w:t>
      </w:r>
      <w:r>
        <w:rPr>
          <w:szCs w:val="21"/>
        </w:rPr>
        <w:t>）</w:t>
      </w:r>
      <w:r>
        <w:t>。</w:t>
      </w:r>
    </w:p>
    <w:p>
      <w:pPr>
        <w:jc w:val="left"/>
        <w:rPr>
          <w:szCs w:val="21"/>
        </w:rPr>
      </w:pPr>
      <w:r>
        <w:rPr>
          <w:rFonts w:eastAsia="黑体"/>
        </w:rPr>
        <w:t>5.2.</w:t>
      </w:r>
      <w:r>
        <w:rPr>
          <w:rFonts w:hint="eastAsia" w:eastAsia="黑体"/>
        </w:rPr>
        <w:t xml:space="preserve">8  </w:t>
      </w:r>
      <w:r>
        <w:rPr>
          <w:kern w:val="0"/>
        </w:rPr>
        <w:t>氟化铵</w:t>
      </w:r>
      <w:r>
        <w:t>溶液（</w:t>
      </w:r>
      <w:r>
        <w:rPr>
          <w:rFonts w:eastAsiaTheme="minorEastAsia"/>
          <w:szCs w:val="21"/>
        </w:rPr>
        <w:t>100 g/L</w:t>
      </w:r>
      <w:r>
        <w:rPr>
          <w:rFonts w:hint="eastAsia" w:eastAsiaTheme="minorEastAsia"/>
          <w:szCs w:val="21"/>
        </w:rPr>
        <w:t>）。</w:t>
      </w:r>
    </w:p>
    <w:p>
      <w:pPr>
        <w:jc w:val="left"/>
        <w:rPr>
          <w:szCs w:val="21"/>
        </w:rPr>
      </w:pPr>
      <w:r>
        <w:rPr>
          <w:rFonts w:eastAsia="黑体"/>
        </w:rPr>
        <w:t>5.2.</w:t>
      </w:r>
      <w:r>
        <w:rPr>
          <w:rFonts w:hint="eastAsia" w:eastAsia="黑体"/>
        </w:rPr>
        <w:t>9</w:t>
      </w:r>
      <w:r>
        <w:rPr>
          <w:rFonts w:eastAsia="黑体"/>
        </w:rPr>
        <w:t xml:space="preserve"> </w:t>
      </w:r>
      <w:r>
        <w:rPr>
          <w:rFonts w:hint="eastAsia" w:eastAsia="黑体"/>
        </w:rPr>
        <w:t xml:space="preserve"> </w:t>
      </w:r>
      <w:r>
        <w:rPr>
          <w:szCs w:val="21"/>
        </w:rPr>
        <w:t>氟化氢铵饱和溶液</w:t>
      </w:r>
      <w:r>
        <w:rPr>
          <w:rFonts w:hint="eastAsia"/>
          <w:szCs w:val="21"/>
        </w:rPr>
        <w:t>。</w:t>
      </w:r>
    </w:p>
    <w:p>
      <w:pPr>
        <w:jc w:val="left"/>
        <w:rPr>
          <w:szCs w:val="21"/>
        </w:rPr>
      </w:pPr>
      <w:r>
        <w:rPr>
          <w:rFonts w:eastAsia="黑体"/>
        </w:rPr>
        <w:t>5.2.1</w:t>
      </w:r>
      <w:r>
        <w:rPr>
          <w:rFonts w:hint="eastAsia" w:eastAsia="黑体"/>
        </w:rPr>
        <w:t>0</w:t>
      </w:r>
      <w:r>
        <w:rPr>
          <w:rFonts w:hint="eastAsia"/>
          <w:szCs w:val="21"/>
        </w:rPr>
        <w:t xml:space="preserve">  </w:t>
      </w:r>
      <w:r>
        <w:rPr>
          <w:rFonts w:hint="eastAsia" w:eastAsiaTheme="minorEastAsia"/>
        </w:rPr>
        <w:t>无水乙酸钠饱和溶液。</w:t>
      </w:r>
    </w:p>
    <w:p>
      <w:pPr>
        <w:jc w:val="left"/>
        <w:rPr>
          <w:rFonts w:eastAsiaTheme="minorEastAsia"/>
        </w:rPr>
      </w:pPr>
      <w:r>
        <w:rPr>
          <w:rFonts w:eastAsia="黑体"/>
        </w:rPr>
        <w:t>5.2.1</w:t>
      </w:r>
      <w:r>
        <w:rPr>
          <w:rFonts w:hint="eastAsia" w:eastAsia="黑体"/>
        </w:rPr>
        <w:t xml:space="preserve">1 </w:t>
      </w:r>
      <w:r>
        <w:t xml:space="preserve"> </w:t>
      </w:r>
      <w:r>
        <w:rPr>
          <w:szCs w:val="21"/>
        </w:rPr>
        <w:t>硝酸</w:t>
      </w:r>
      <w:r>
        <w:rPr>
          <w:rFonts w:eastAsiaTheme="minorEastAsia"/>
          <w:szCs w:val="21"/>
        </w:rPr>
        <w:t>（1+1）</w:t>
      </w:r>
      <w:r>
        <w:rPr>
          <w:rFonts w:eastAsiaTheme="minorEastAsia"/>
        </w:rPr>
        <w:t>。</w:t>
      </w:r>
    </w:p>
    <w:p>
      <w:pPr>
        <w:rPr>
          <w:rFonts w:eastAsiaTheme="minorEastAsia"/>
        </w:rPr>
      </w:pPr>
      <w:r>
        <w:rPr>
          <w:rFonts w:eastAsia="黑体"/>
          <w:szCs w:val="21"/>
        </w:rPr>
        <w:t>5.2.12</w:t>
      </w:r>
      <w:r>
        <w:rPr>
          <w:rFonts w:hint="eastAsia" w:eastAsia="黑体"/>
          <w:szCs w:val="21"/>
        </w:rPr>
        <w:t xml:space="preserve"> </w:t>
      </w:r>
      <w:r>
        <w:rPr>
          <w:rFonts w:eastAsia="黑体"/>
          <w:szCs w:val="21"/>
        </w:rPr>
        <w:t xml:space="preserve"> </w:t>
      </w:r>
      <w:r>
        <w:rPr>
          <w:szCs w:val="21"/>
        </w:rPr>
        <w:t>二甲酚橙溶液（</w:t>
      </w:r>
      <w:r>
        <w:rPr>
          <w:rFonts w:eastAsiaTheme="minorEastAsia"/>
        </w:rPr>
        <w:t>5</w:t>
      </w:r>
      <w:r>
        <w:rPr>
          <w:rFonts w:eastAsiaTheme="minorEastAsia"/>
          <w:szCs w:val="21"/>
        </w:rPr>
        <w:t xml:space="preserve"> g/L</w:t>
      </w:r>
      <w:r>
        <w:rPr>
          <w:rFonts w:hint="eastAsia" w:eastAsiaTheme="minorEastAsia"/>
          <w:szCs w:val="21"/>
        </w:rPr>
        <w:t>，</w:t>
      </w:r>
      <w:r>
        <w:rPr>
          <w:rFonts w:hint="eastAsia"/>
          <w:szCs w:val="21"/>
        </w:rPr>
        <w:t>有效期</w:t>
      </w:r>
      <w:r>
        <w:rPr>
          <w:szCs w:val="21"/>
        </w:rPr>
        <w:t>7</w:t>
      </w:r>
      <w:r>
        <w:rPr>
          <w:rFonts w:hint="eastAsia"/>
          <w:szCs w:val="21"/>
        </w:rPr>
        <w:t>天</w:t>
      </w:r>
      <w:r>
        <w:rPr>
          <w:szCs w:val="21"/>
        </w:rPr>
        <w:t>）</w:t>
      </w:r>
      <w:r>
        <w:rPr>
          <w:rFonts w:hint="eastAsia"/>
          <w:szCs w:val="21"/>
        </w:rPr>
        <w:t>。</w:t>
      </w:r>
    </w:p>
    <w:p>
      <w:pPr>
        <w:rPr>
          <w:rFonts w:eastAsia="黑体"/>
        </w:rPr>
      </w:pPr>
      <w:r>
        <w:rPr>
          <w:rFonts w:eastAsia="黑体"/>
        </w:rPr>
        <w:t xml:space="preserve">5.2.13 </w:t>
      </w:r>
      <w:r>
        <w:rPr>
          <w:rFonts w:eastAsia="黑体"/>
          <w:szCs w:val="21"/>
        </w:rPr>
        <w:t xml:space="preserve"> </w:t>
      </w:r>
      <w:r>
        <w:rPr>
          <w:szCs w:val="21"/>
        </w:rPr>
        <w:t>铋标准溶液：准确称取1.0000 g纯金属铋</w:t>
      </w:r>
      <w:r>
        <w:rPr>
          <w:rFonts w:eastAsiaTheme="minorEastAsia"/>
          <w:szCs w:val="21"/>
        </w:rPr>
        <w:t>（</w:t>
      </w:r>
      <w:r>
        <w:rPr>
          <w:rFonts w:eastAsiaTheme="minorEastAsia"/>
          <w:i/>
        </w:rPr>
        <w:t>w</w:t>
      </w:r>
      <w:r>
        <w:rPr>
          <w:rFonts w:eastAsiaTheme="minorEastAsia"/>
          <w:iCs/>
          <w:vertAlign w:val="subscript"/>
        </w:rPr>
        <w:t>Bi</w:t>
      </w:r>
      <w:r>
        <w:rPr>
          <w:rFonts w:eastAsiaTheme="minorEastAsia"/>
          <w:szCs w:val="21"/>
        </w:rPr>
        <w:t>≥99.99%）</w:t>
      </w:r>
      <w:r>
        <w:rPr>
          <w:szCs w:val="21"/>
        </w:rPr>
        <w:t>，置于</w:t>
      </w:r>
      <w:r>
        <w:rPr>
          <w:rFonts w:eastAsiaTheme="minorEastAsia"/>
          <w:szCs w:val="21"/>
        </w:rPr>
        <w:t>250 mL</w:t>
      </w:r>
      <w:r>
        <w:rPr>
          <w:szCs w:val="21"/>
        </w:rPr>
        <w:t>烧杯，加入</w:t>
      </w:r>
      <w:r>
        <w:rPr>
          <w:rFonts w:eastAsiaTheme="minorEastAsia"/>
          <w:szCs w:val="21"/>
        </w:rPr>
        <w:t>50 mL</w:t>
      </w:r>
      <w:r>
        <w:rPr>
          <w:szCs w:val="21"/>
        </w:rPr>
        <w:t>硝酸</w:t>
      </w:r>
      <w:r>
        <w:rPr>
          <w:rFonts w:eastAsiaTheme="minorEastAsia"/>
          <w:szCs w:val="21"/>
        </w:rPr>
        <w:t>（</w:t>
      </w:r>
      <w:r>
        <w:rPr>
          <w:rFonts w:eastAsia="黑体"/>
          <w:szCs w:val="21"/>
        </w:rPr>
        <w:t>5.2.11</w:t>
      </w:r>
      <w:r>
        <w:rPr>
          <w:rFonts w:eastAsiaTheme="minorEastAsia"/>
          <w:szCs w:val="21"/>
        </w:rPr>
        <w:t>）</w:t>
      </w:r>
      <w:r>
        <w:rPr>
          <w:szCs w:val="21"/>
        </w:rPr>
        <w:t>，盖上表面皿，低温加热至溶解完全，煮沸除去氮的氧化物，取下冷却。用硝酸</w:t>
      </w:r>
      <w:r>
        <w:rPr>
          <w:rFonts w:eastAsiaTheme="minorEastAsia"/>
          <w:szCs w:val="21"/>
        </w:rPr>
        <w:t>（</w:t>
      </w:r>
      <w:r>
        <w:rPr>
          <w:rFonts w:eastAsia="黑体"/>
          <w:szCs w:val="21"/>
        </w:rPr>
        <w:t>5.2.1</w:t>
      </w:r>
      <w:r>
        <w:rPr>
          <w:rFonts w:eastAsiaTheme="minorEastAsia"/>
          <w:szCs w:val="21"/>
        </w:rPr>
        <w:t>1）</w:t>
      </w:r>
      <w:r>
        <w:rPr>
          <w:szCs w:val="21"/>
        </w:rPr>
        <w:t>吹洗表面皿及杯壁，移入</w:t>
      </w:r>
      <w:r>
        <w:rPr>
          <w:rFonts w:eastAsiaTheme="minorEastAsia"/>
          <w:szCs w:val="21"/>
        </w:rPr>
        <w:t>1000 mL</w:t>
      </w:r>
      <w:r>
        <w:rPr>
          <w:szCs w:val="21"/>
        </w:rPr>
        <w:t>容量瓶中，补加</w:t>
      </w:r>
      <w:r>
        <w:rPr>
          <w:rFonts w:eastAsiaTheme="minorEastAsia"/>
          <w:szCs w:val="21"/>
        </w:rPr>
        <w:t>150 mL</w:t>
      </w:r>
      <w:r>
        <w:rPr>
          <w:szCs w:val="21"/>
        </w:rPr>
        <w:t>硝酸</w:t>
      </w:r>
      <w:r>
        <w:rPr>
          <w:rFonts w:eastAsiaTheme="minorEastAsia"/>
          <w:szCs w:val="21"/>
        </w:rPr>
        <w:t>（</w:t>
      </w:r>
      <w:r>
        <w:rPr>
          <w:rFonts w:eastAsia="黑体"/>
          <w:szCs w:val="21"/>
        </w:rPr>
        <w:t>5.2.11</w:t>
      </w:r>
      <w:r>
        <w:rPr>
          <w:rFonts w:eastAsiaTheme="minorEastAsia"/>
          <w:szCs w:val="21"/>
        </w:rPr>
        <w:t>）</w:t>
      </w:r>
      <w:r>
        <w:rPr>
          <w:szCs w:val="21"/>
        </w:rPr>
        <w:t>，用水稀释至刻线，混匀。此溶液</w:t>
      </w:r>
      <w:r>
        <w:rPr>
          <w:rFonts w:eastAsiaTheme="minorEastAsia"/>
          <w:szCs w:val="21"/>
        </w:rPr>
        <w:t>1 mL</w:t>
      </w:r>
      <w:r>
        <w:rPr>
          <w:szCs w:val="21"/>
        </w:rPr>
        <w:t>含铋</w:t>
      </w:r>
      <w:r>
        <w:rPr>
          <w:rFonts w:eastAsiaTheme="minorEastAsia"/>
          <w:szCs w:val="21"/>
        </w:rPr>
        <w:t>1.00 mg</w:t>
      </w:r>
      <w:r>
        <w:rPr>
          <w:szCs w:val="21"/>
        </w:rPr>
        <w:t>。</w:t>
      </w:r>
    </w:p>
    <w:p>
      <w:r>
        <w:rPr>
          <w:rFonts w:eastAsia="黑体"/>
        </w:rPr>
        <w:t>5.2.1</w:t>
      </w:r>
      <w:r>
        <w:rPr>
          <w:rFonts w:hint="eastAsia" w:eastAsia="黑体"/>
        </w:rPr>
        <w:t xml:space="preserve">4  </w:t>
      </w:r>
      <w:r>
        <w:t>乙二胺四乙酸二钠</w:t>
      </w:r>
      <w:r>
        <w:rPr>
          <w:rFonts w:eastAsiaTheme="minorEastAsia"/>
        </w:rPr>
        <w:t>（Na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>EDTA）</w:t>
      </w:r>
      <w:r>
        <w:t>标准滴定溶液［</w:t>
      </w:r>
      <w:r>
        <w:rPr>
          <w:rFonts w:eastAsiaTheme="minorEastAsia"/>
        </w:rPr>
        <w:t>c(Na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>EDTA)≈0.005 mol／L］</w:t>
      </w:r>
      <w:r>
        <w:rPr>
          <w:rFonts w:hint="eastAsia" w:eastAsiaTheme="minorEastAsia"/>
        </w:rPr>
        <w:t>，</w:t>
      </w:r>
      <w:r>
        <w:rPr>
          <w:rFonts w:hint="eastAsia"/>
        </w:rPr>
        <w:t>按以下步骤</w:t>
      </w:r>
      <w:r>
        <w:t>配制和标定：</w:t>
      </w:r>
    </w:p>
    <w:p>
      <w:pPr>
        <w:ind w:firstLine="420" w:firstLineChars="200"/>
        <w:rPr>
          <w:rFonts w:eastAsiaTheme="minorEastAsia"/>
        </w:rPr>
      </w:pPr>
      <w:r>
        <w:rPr>
          <w:rFonts w:eastAsiaTheme="minorEastAsia"/>
        </w:rPr>
        <w:t xml:space="preserve">a） </w:t>
      </w:r>
      <w:r>
        <w:t>配制：称取</w:t>
      </w:r>
      <w:r>
        <w:rPr>
          <w:rFonts w:eastAsiaTheme="minorEastAsia"/>
        </w:rPr>
        <w:t>1.86 g Na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>EDTA</w:t>
      </w:r>
      <w:r>
        <w:t>于</w:t>
      </w:r>
      <w:r>
        <w:rPr>
          <w:rFonts w:eastAsiaTheme="minorEastAsia"/>
        </w:rPr>
        <w:t>500 mL</w:t>
      </w:r>
      <w:r>
        <w:t>烧杯中，加</w:t>
      </w:r>
      <w:r>
        <w:rPr>
          <w:rFonts w:eastAsiaTheme="minorEastAsia"/>
        </w:rPr>
        <w:t>200 mL</w:t>
      </w:r>
      <w:r>
        <w:t>热水溶解，冷却，移入</w:t>
      </w:r>
      <w:r>
        <w:rPr>
          <w:rFonts w:eastAsiaTheme="minorEastAsia"/>
        </w:rPr>
        <w:t>1000 mL</w:t>
      </w:r>
      <w:r>
        <w:t>容量瓶中，用水稀释至刻度，混匀。放置三天后标定。</w:t>
      </w:r>
    </w:p>
    <w:p>
      <w:pPr>
        <w:ind w:firstLine="420" w:firstLineChars="200"/>
      </w:pPr>
      <w:r>
        <w:rPr>
          <w:rFonts w:eastAsiaTheme="minorEastAsia"/>
        </w:rPr>
        <w:t xml:space="preserve">b） </w:t>
      </w:r>
      <w:r>
        <w:t>标定：移取四份</w:t>
      </w:r>
      <w:r>
        <w:rPr>
          <w:rFonts w:eastAsiaTheme="minorEastAsia"/>
        </w:rPr>
        <w:t>20.00 mL</w:t>
      </w:r>
      <w:r>
        <w:t>铋标准</w:t>
      </w:r>
      <w:r>
        <w:rPr>
          <w:szCs w:val="21"/>
        </w:rPr>
        <w:t>储存</w:t>
      </w:r>
      <w:r>
        <w:t>溶液</w:t>
      </w:r>
      <w:r>
        <w:rPr>
          <w:rFonts w:eastAsiaTheme="minorEastAsia"/>
        </w:rPr>
        <w:t>（</w:t>
      </w:r>
      <w:r>
        <w:rPr>
          <w:rFonts w:eastAsia="黑体"/>
        </w:rPr>
        <w:t>5.2.1</w:t>
      </w:r>
      <w:r>
        <w:rPr>
          <w:rFonts w:hint="eastAsia" w:eastAsia="黑体"/>
        </w:rPr>
        <w:t>3</w:t>
      </w:r>
      <w:r>
        <w:rPr>
          <w:rFonts w:eastAsiaTheme="minorEastAsia"/>
        </w:rPr>
        <w:t>）</w:t>
      </w:r>
      <w:r>
        <w:t>于一组4</w:t>
      </w:r>
      <w:r>
        <w:rPr>
          <w:rFonts w:eastAsiaTheme="minorEastAsia"/>
        </w:rPr>
        <w:t>00 mL</w:t>
      </w:r>
      <w:r>
        <w:t>烧杯中，加入</w:t>
      </w:r>
      <w:r>
        <w:rPr>
          <w:rFonts w:eastAsiaTheme="minorEastAsia"/>
        </w:rPr>
        <w:t>5 mL</w:t>
      </w:r>
      <w:r>
        <w:t>酒石酸溶液</w:t>
      </w:r>
      <w:r>
        <w:rPr>
          <w:rFonts w:eastAsiaTheme="minorEastAsia"/>
        </w:rPr>
        <w:t>（</w:t>
      </w:r>
      <w:r>
        <w:rPr>
          <w:rFonts w:eastAsia="黑体"/>
        </w:rPr>
        <w:t>5.2.</w:t>
      </w:r>
      <w:r>
        <w:rPr>
          <w:rFonts w:hint="eastAsia" w:eastAsia="黑体"/>
        </w:rPr>
        <w:t>7</w:t>
      </w:r>
      <w:r>
        <w:rPr>
          <w:rFonts w:eastAsiaTheme="minorEastAsia"/>
        </w:rPr>
        <w:t>），0.5 mL</w:t>
      </w:r>
      <w:r>
        <w:rPr>
          <w:kern w:val="0"/>
        </w:rPr>
        <w:t>氟化铵</w:t>
      </w:r>
      <w:r>
        <w:rPr>
          <w:rFonts w:eastAsiaTheme="minorEastAsia"/>
          <w:kern w:val="0"/>
        </w:rPr>
        <w:t>（</w:t>
      </w:r>
      <w:r>
        <w:rPr>
          <w:rFonts w:eastAsia="黑体"/>
          <w:kern w:val="0"/>
        </w:rPr>
        <w:t>5.2.</w:t>
      </w:r>
      <w:r>
        <w:rPr>
          <w:rFonts w:hint="eastAsia" w:eastAsia="黑体"/>
          <w:kern w:val="0"/>
        </w:rPr>
        <w:t>8</w:t>
      </w:r>
      <w:r>
        <w:rPr>
          <w:rFonts w:eastAsiaTheme="minorEastAsia"/>
          <w:kern w:val="0"/>
        </w:rPr>
        <w:t>）</w:t>
      </w:r>
      <w:r>
        <w:rPr>
          <w:kern w:val="0"/>
        </w:rPr>
        <w:t>，</w:t>
      </w:r>
      <w:r>
        <w:t>加水至</w:t>
      </w:r>
      <w:r>
        <w:rPr>
          <w:rFonts w:eastAsiaTheme="minorEastAsia"/>
        </w:rPr>
        <w:t>200 mL</w:t>
      </w:r>
      <w:r>
        <w:t>，加入</w:t>
      </w:r>
      <w:r>
        <w:rPr>
          <w:rFonts w:eastAsiaTheme="minorEastAsia"/>
        </w:rPr>
        <w:t>0.2</w:t>
      </w:r>
      <w:r>
        <w:rPr>
          <w:rFonts w:eastAsiaTheme="minorEastAsia"/>
          <w:szCs w:val="21"/>
        </w:rPr>
        <w:t xml:space="preserve"> g</w:t>
      </w:r>
      <w:r>
        <w:t>抗坏血酸</w:t>
      </w:r>
      <w:r>
        <w:rPr>
          <w:rFonts w:eastAsiaTheme="minorEastAsia"/>
        </w:rPr>
        <w:t>（</w:t>
      </w:r>
      <w:r>
        <w:rPr>
          <w:rFonts w:eastAsia="黑体"/>
          <w:bCs/>
          <w:szCs w:val="21"/>
        </w:rPr>
        <w:t>5.2</w:t>
      </w:r>
      <w:r>
        <w:rPr>
          <w:rFonts w:eastAsia="黑体"/>
          <w:szCs w:val="21"/>
        </w:rPr>
        <w:t>.1</w:t>
      </w:r>
      <w:r>
        <w:rPr>
          <w:rFonts w:eastAsiaTheme="minorEastAsia"/>
          <w:szCs w:val="21"/>
        </w:rPr>
        <w:t>）</w:t>
      </w:r>
      <w:r>
        <w:rPr>
          <w:szCs w:val="21"/>
        </w:rPr>
        <w:t>搅拌均匀</w:t>
      </w:r>
      <w:r>
        <w:t>，加入</w:t>
      </w:r>
      <w:r>
        <w:rPr>
          <w:rFonts w:eastAsiaTheme="minorEastAsia"/>
        </w:rPr>
        <w:t>5 mL</w:t>
      </w:r>
      <w:r>
        <w:t>硫脲</w:t>
      </w:r>
      <w:r>
        <w:rPr>
          <w:rFonts w:eastAsiaTheme="minorEastAsia"/>
        </w:rPr>
        <w:t>（</w:t>
      </w:r>
      <w:r>
        <w:rPr>
          <w:rFonts w:eastAsia="黑体"/>
        </w:rPr>
        <w:t>5.2.</w:t>
      </w:r>
      <w:r>
        <w:rPr>
          <w:rFonts w:hint="eastAsia" w:eastAsia="黑体"/>
        </w:rPr>
        <w:t>6</w:t>
      </w:r>
      <w:r>
        <w:rPr>
          <w:rFonts w:eastAsiaTheme="minorEastAsia"/>
        </w:rPr>
        <w:t>）</w:t>
      </w:r>
      <w:r>
        <w:rPr>
          <w:szCs w:val="21"/>
        </w:rPr>
        <w:t>搅</w:t>
      </w:r>
      <w:r>
        <w:t>匀，用无水乙酸钠溶液</w:t>
      </w:r>
      <w:r>
        <w:rPr>
          <w:rFonts w:eastAsiaTheme="minorEastAsia"/>
        </w:rPr>
        <w:t>（</w:t>
      </w:r>
      <w:r>
        <w:rPr>
          <w:rFonts w:eastAsia="黑体"/>
        </w:rPr>
        <w:t>5.2.</w:t>
      </w:r>
      <w:r>
        <w:rPr>
          <w:rFonts w:hint="eastAsia" w:eastAsia="黑体"/>
        </w:rPr>
        <w:t>10</w:t>
      </w:r>
      <w:r>
        <w:rPr>
          <w:rFonts w:eastAsiaTheme="minorEastAsia"/>
        </w:rPr>
        <w:t>）</w:t>
      </w:r>
      <w:r>
        <w:t>调节</w:t>
      </w:r>
      <w:r>
        <w:rPr>
          <w:rFonts w:eastAsiaTheme="minorEastAsia"/>
        </w:rPr>
        <w:t>pH</w:t>
      </w:r>
      <w:r>
        <w:t>值为1.2</w:t>
      </w:r>
      <w:r>
        <w:rPr>
          <w:rFonts w:eastAsiaTheme="minorEastAsia"/>
          <w:szCs w:val="21"/>
        </w:rPr>
        <w:t>~</w:t>
      </w:r>
      <w:r>
        <w:t>1.8，加入1</w:t>
      </w:r>
      <w:r>
        <w:rPr>
          <w:rFonts w:eastAsiaTheme="minorEastAsia"/>
          <w:szCs w:val="21"/>
        </w:rPr>
        <w:t>~</w:t>
      </w:r>
      <w:r>
        <w:t>2滴二甲酚橙溶液</w:t>
      </w:r>
      <w:r>
        <w:rPr>
          <w:rFonts w:eastAsiaTheme="minorEastAsia"/>
        </w:rPr>
        <w:t>（</w:t>
      </w:r>
      <w:r>
        <w:rPr>
          <w:rFonts w:eastAsia="黑体"/>
        </w:rPr>
        <w:t>5.2.12</w:t>
      </w:r>
      <w:r>
        <w:rPr>
          <w:rFonts w:eastAsiaTheme="minorEastAsia"/>
        </w:rPr>
        <w:t>）</w:t>
      </w:r>
      <w:r>
        <w:t>，用</w:t>
      </w:r>
      <w:r>
        <w:rPr>
          <w:rFonts w:eastAsiaTheme="minorEastAsia"/>
        </w:rPr>
        <w:t>Na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>EDTA</w:t>
      </w:r>
      <w:r>
        <w:t>标准滴定溶液</w:t>
      </w:r>
      <w:r>
        <w:rPr>
          <w:rFonts w:eastAsiaTheme="minorEastAsia"/>
        </w:rPr>
        <w:t>（</w:t>
      </w:r>
      <w:r>
        <w:rPr>
          <w:rFonts w:eastAsia="黑体"/>
        </w:rPr>
        <w:t>5.2.1</w:t>
      </w:r>
      <w:r>
        <w:rPr>
          <w:rFonts w:hint="eastAsia" w:eastAsia="黑体"/>
        </w:rPr>
        <w:t>4</w:t>
      </w:r>
      <w:r>
        <w:rPr>
          <w:rFonts w:eastAsiaTheme="minorEastAsia"/>
        </w:rPr>
        <w:t>）</w:t>
      </w:r>
      <w:r>
        <w:t>滴定，溶液由紫红色变为亮黄色，即为终点。随同标定做空白试验。</w:t>
      </w:r>
    </w:p>
    <w:p>
      <w:pPr>
        <w:ind w:firstLine="420" w:firstLineChars="200"/>
        <w:rPr>
          <w:rFonts w:eastAsiaTheme="minorEastAsia"/>
        </w:rPr>
      </w:pPr>
      <w:r>
        <w:t>按公式（2）计算</w:t>
      </w:r>
      <w:r>
        <w:rPr>
          <w:rFonts w:eastAsiaTheme="minorEastAsia"/>
        </w:rPr>
        <w:t>Na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>EDTA</w:t>
      </w:r>
      <w:r>
        <w:t>标准滴定溶液的浓度</w:t>
      </w:r>
      <w:r>
        <w:rPr>
          <w:rFonts w:hint="eastAsia"/>
        </w:rPr>
        <w:t>（</w:t>
      </w:r>
      <w:r>
        <w:rPr>
          <w:rFonts w:eastAsiaTheme="minorEastAsia"/>
        </w:rPr>
        <w:t>mol/L</w:t>
      </w:r>
      <w:r>
        <w:rPr>
          <w:rFonts w:hint="eastAsia"/>
        </w:rPr>
        <w:t>）</w:t>
      </w:r>
      <w:r>
        <w:t>：</w:t>
      </w:r>
    </w:p>
    <w:p>
      <w:pPr>
        <w:jc w:val="center"/>
      </w:pPr>
      <w:r>
        <w:rPr>
          <w:rFonts w:eastAsiaTheme="minorEastAsia"/>
        </w:rPr>
        <w:t xml:space="preserve">                    </w:t>
      </w:r>
      <w:r>
        <w:rPr>
          <w:rFonts w:eastAsiaTheme="minorEastAsia"/>
          <w:position w:val="-30"/>
        </w:rPr>
        <w:object>
          <v:shape id="_x0000_i1026" o:spt="75" type="#_x0000_t75" style="height:33.7pt;width:104.9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7">
            <o:LockedField>false</o:LockedField>
          </o:OLEObject>
        </w:object>
      </w:r>
      <w:r>
        <w:rPr>
          <w:color w:val="000000"/>
          <w:sz w:val="28"/>
          <w:szCs w:val="28"/>
        </w:rPr>
        <w:t xml:space="preserve"> ………………………………………</w:t>
      </w:r>
      <w:r>
        <w:rPr>
          <w:rFonts w:eastAsiaTheme="minorEastAsia"/>
        </w:rPr>
        <w:t>（2）</w:t>
      </w:r>
    </w:p>
    <w:p>
      <w:pPr>
        <w:ind w:firstLine="420" w:firstLineChars="200"/>
      </w:pPr>
      <w:r>
        <w:t>式中：</w:t>
      </w:r>
    </w:p>
    <w:p>
      <w:pPr>
        <w:ind w:firstLine="420" w:firstLineChars="200"/>
        <w:rPr>
          <w:rFonts w:eastAsiaTheme="minorEastAsia"/>
        </w:rPr>
      </w:pPr>
      <w:r>
        <w:rPr>
          <w:i/>
          <w:iCs/>
        </w:rPr>
        <w:t>c</w:t>
      </w:r>
      <w:r>
        <w:t xml:space="preserve"> </w:t>
      </w:r>
      <w:r>
        <w:rPr>
          <w:rFonts w:hint="eastAsia"/>
        </w:rPr>
        <w:t xml:space="preserve">    </w:t>
      </w:r>
      <w:r>
        <w:t>——</w:t>
      </w:r>
      <w:r>
        <w:rPr>
          <w:rFonts w:eastAsiaTheme="minorEastAsia"/>
        </w:rPr>
        <w:t>Na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>EDTA</w:t>
      </w:r>
      <w:r>
        <w:t>标准滴定溶液的</w:t>
      </w:r>
      <w:r>
        <w:rPr>
          <w:rFonts w:hint="eastAsia"/>
        </w:rPr>
        <w:t>摩尔</w:t>
      </w:r>
      <w:r>
        <w:t>浓度，单位为摩尔每升</w:t>
      </w:r>
      <w:r>
        <w:rPr>
          <w:rFonts w:eastAsiaTheme="minorEastAsia"/>
        </w:rPr>
        <w:t>（mol/L）；</w:t>
      </w:r>
    </w:p>
    <w:p>
      <w:pPr>
        <w:ind w:firstLine="420" w:firstLineChars="200"/>
        <w:rPr>
          <w:rFonts w:eastAsiaTheme="minorEastAsia"/>
        </w:rPr>
      </w:pPr>
      <w:r>
        <w:rPr>
          <w:rFonts w:eastAsiaTheme="minorEastAsia"/>
          <w:i/>
        </w:rPr>
        <w:t>ρ</w:t>
      </w:r>
      <w:r>
        <w:rPr>
          <w:rFonts w:eastAsiaTheme="minorEastAsia"/>
          <w:iCs/>
          <w:vertAlign w:val="subscript"/>
        </w:rPr>
        <w:t>1</w:t>
      </w:r>
      <w:r>
        <w:rPr>
          <w:rFonts w:hint="eastAsia" w:eastAsiaTheme="minorEastAsia"/>
          <w:iCs/>
          <w:vertAlign w:val="subscript"/>
        </w:rPr>
        <w:t xml:space="preserve">     </w:t>
      </w:r>
      <w:r>
        <w:rPr>
          <w:rFonts w:eastAsiaTheme="minorEastAsia"/>
          <w:iCs/>
          <w:vertAlign w:val="subscript"/>
        </w:rPr>
        <w:t xml:space="preserve"> </w:t>
      </w:r>
      <w:r>
        <w:t>——铋标准溶液的</w:t>
      </w:r>
      <w:r>
        <w:rPr>
          <w:rFonts w:hint="eastAsia"/>
        </w:rPr>
        <w:t>质量</w:t>
      </w:r>
      <w:r>
        <w:t>浓度，单位为毫克每毫升</w:t>
      </w:r>
      <w:r>
        <w:rPr>
          <w:rFonts w:eastAsiaTheme="minorEastAsia"/>
        </w:rPr>
        <w:t>（mg/mL）；</w:t>
      </w:r>
    </w:p>
    <w:p>
      <w:pPr>
        <w:ind w:firstLine="420" w:firstLineChars="200"/>
        <w:rPr>
          <w:rFonts w:eastAsiaTheme="minorEastAsia"/>
        </w:rPr>
      </w:pPr>
      <w:r>
        <w:rPr>
          <w:rFonts w:eastAsiaTheme="minorEastAsia"/>
          <w:i/>
          <w:iCs/>
        </w:rPr>
        <w:t>V</w:t>
      </w:r>
      <w:r>
        <w:rPr>
          <w:rFonts w:eastAsiaTheme="minorEastAsia"/>
          <w:vertAlign w:val="subscript"/>
        </w:rPr>
        <w:t>4</w:t>
      </w:r>
      <w:r>
        <w:rPr>
          <w:rFonts w:hint="eastAsia" w:eastAsiaTheme="minorEastAsia"/>
          <w:vertAlign w:val="subscript"/>
        </w:rPr>
        <w:t xml:space="preserve">     </w:t>
      </w:r>
      <w:r>
        <w:rPr>
          <w:rFonts w:eastAsiaTheme="minorEastAsia"/>
          <w:vertAlign w:val="subscript"/>
        </w:rPr>
        <w:t xml:space="preserve"> </w:t>
      </w:r>
      <w:r>
        <w:t>——移取铋标准溶液的体积，单位为毫升</w:t>
      </w:r>
      <w:r>
        <w:rPr>
          <w:rFonts w:eastAsiaTheme="minorEastAsia"/>
        </w:rPr>
        <w:t>（mL）；</w:t>
      </w:r>
    </w:p>
    <w:p>
      <w:pPr>
        <w:ind w:firstLine="420" w:firstLineChars="200"/>
        <w:rPr>
          <w:rFonts w:eastAsiaTheme="minorEastAsia"/>
        </w:rPr>
      </w:pPr>
      <w:r>
        <w:rPr>
          <w:rFonts w:eastAsiaTheme="minorEastAsia"/>
          <w:i/>
          <w:iCs/>
        </w:rPr>
        <w:t>V</w:t>
      </w:r>
      <w:r>
        <w:rPr>
          <w:rFonts w:eastAsiaTheme="minorEastAsia"/>
          <w:vertAlign w:val="subscript"/>
        </w:rPr>
        <w:t>5</w:t>
      </w:r>
      <w:r>
        <w:rPr>
          <w:rFonts w:hint="eastAsia" w:eastAsiaTheme="minorEastAsia"/>
          <w:vertAlign w:val="subscript"/>
        </w:rPr>
        <w:t xml:space="preserve">      </w:t>
      </w:r>
      <w:r>
        <w:t>——空白试验消耗</w:t>
      </w:r>
      <w:r>
        <w:rPr>
          <w:rFonts w:eastAsiaTheme="minorEastAsia"/>
        </w:rPr>
        <w:t>Na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>EDTA</w:t>
      </w:r>
      <w:r>
        <w:t>标准滴定溶液的体积，单位为毫升</w:t>
      </w:r>
      <w:r>
        <w:rPr>
          <w:rFonts w:eastAsiaTheme="minorEastAsia"/>
        </w:rPr>
        <w:t>（mL）；</w:t>
      </w:r>
    </w:p>
    <w:p>
      <w:pPr>
        <w:ind w:firstLine="420" w:firstLineChars="200"/>
        <w:rPr>
          <w:rFonts w:eastAsiaTheme="minorEastAsia"/>
        </w:rPr>
      </w:pPr>
      <w:r>
        <w:rPr>
          <w:rFonts w:eastAsiaTheme="minorEastAsia"/>
          <w:i/>
          <w:iCs/>
        </w:rPr>
        <w:t>V</w:t>
      </w:r>
      <w:r>
        <w:rPr>
          <w:rFonts w:eastAsiaTheme="minorEastAsia"/>
          <w:vertAlign w:val="subscript"/>
        </w:rPr>
        <w:t>3</w:t>
      </w:r>
      <w:r>
        <w:rPr>
          <w:rFonts w:hint="eastAsia" w:eastAsiaTheme="minorEastAsia"/>
          <w:vertAlign w:val="subscript"/>
        </w:rPr>
        <w:t xml:space="preserve">      </w:t>
      </w:r>
      <w:r>
        <w:t>——测定时滴定空白溶液消耗</w:t>
      </w:r>
      <w:r>
        <w:rPr>
          <w:rFonts w:eastAsiaTheme="minorEastAsia"/>
        </w:rPr>
        <w:t>Na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>EDTA</w:t>
      </w:r>
      <w:r>
        <w:t>标准滴定溶液的体积，单位为毫升</w:t>
      </w:r>
      <w:r>
        <w:rPr>
          <w:rFonts w:eastAsiaTheme="minorEastAsia"/>
        </w:rPr>
        <w:t>（mL）；</w:t>
      </w:r>
    </w:p>
    <w:p>
      <w:pPr>
        <w:ind w:firstLine="420" w:firstLineChars="200"/>
        <w:rPr>
          <w:rFonts w:eastAsiaTheme="minorEastAsia"/>
          <w:color w:val="FF0000"/>
        </w:rPr>
      </w:pPr>
      <w:r>
        <w:rPr>
          <w:rFonts w:eastAsiaTheme="minorEastAsia"/>
        </w:rPr>
        <w:t xml:space="preserve">208.98 </w:t>
      </w:r>
      <w:r>
        <w:t>——铋的摩尔质量，单位为克每摩尔</w:t>
      </w:r>
      <w:r>
        <w:rPr>
          <w:rFonts w:eastAsiaTheme="minorEastAsia"/>
        </w:rPr>
        <w:t>（g/mol）。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取四次标定结果的平均值，结果保留四位有效数字，四次标定结果极差应不大于3×10</w:t>
      </w:r>
      <w:r>
        <w:rPr>
          <w:szCs w:val="21"/>
          <w:vertAlign w:val="superscript"/>
        </w:rPr>
        <w:t>-5</w:t>
      </w:r>
      <w:r>
        <w:rPr>
          <w:szCs w:val="21"/>
        </w:rPr>
        <w:t> mol/L，取其平均值，否则重新标定。</w:t>
      </w:r>
    </w:p>
    <w:p>
      <w:pPr>
        <w:rPr>
          <w:rFonts w:eastAsiaTheme="minorEastAsia"/>
          <w:szCs w:val="21"/>
        </w:rPr>
      </w:pPr>
    </w:p>
    <w:p>
      <w:pPr>
        <w:rPr>
          <w:rFonts w:eastAsia="黑体"/>
          <w:bCs/>
        </w:rPr>
      </w:pPr>
      <w:r>
        <w:rPr>
          <w:rFonts w:eastAsia="黑体"/>
          <w:bCs/>
        </w:rPr>
        <w:t xml:space="preserve">5.3 </w:t>
      </w:r>
      <w:r>
        <w:rPr>
          <w:rFonts w:hint="eastAsia" w:eastAsia="黑体"/>
          <w:bCs/>
        </w:rPr>
        <w:t xml:space="preserve"> 样品</w:t>
      </w:r>
    </w:p>
    <w:p>
      <w:pPr>
        <w:rPr>
          <w:rFonts w:eastAsia="黑体"/>
          <w:bCs/>
        </w:rPr>
      </w:pPr>
    </w:p>
    <w:p>
      <w:pPr>
        <w:outlineLvl w:val="0"/>
        <w:rPr>
          <w:rFonts w:eastAsiaTheme="minorEastAsia"/>
          <w:bCs/>
        </w:rPr>
      </w:pPr>
      <w:r>
        <w:rPr>
          <w:rFonts w:eastAsia="黑体"/>
          <w:bCs/>
          <w:szCs w:val="21"/>
        </w:rPr>
        <w:t>5.3.</w:t>
      </w:r>
      <w:r>
        <w:rPr>
          <w:rFonts w:eastAsiaTheme="minorEastAsia"/>
          <w:bCs/>
          <w:szCs w:val="21"/>
        </w:rPr>
        <w:t xml:space="preserve">1 </w:t>
      </w:r>
      <w:r>
        <w:rPr>
          <w:rFonts w:hint="eastAsia" w:eastAsiaTheme="minorEastAsia"/>
          <w:bCs/>
          <w:szCs w:val="21"/>
        </w:rPr>
        <w:t xml:space="preserve"> </w:t>
      </w:r>
      <w:r>
        <w:rPr>
          <w:szCs w:val="21"/>
        </w:rPr>
        <w:t>试样粒度应不大于0.125 mm。</w:t>
      </w:r>
    </w:p>
    <w:p>
      <w:pPr>
        <w:widowControl/>
        <w:jc w:val="left"/>
        <w:rPr>
          <w:rFonts w:eastAsiaTheme="minorEastAsia"/>
          <w:bCs/>
        </w:rPr>
      </w:pPr>
      <w:r>
        <w:rPr>
          <w:rFonts w:eastAsia="黑体"/>
          <w:bCs/>
        </w:rPr>
        <w:t xml:space="preserve">5.3.2 </w:t>
      </w:r>
      <w:r>
        <w:rPr>
          <w:rFonts w:hint="eastAsia" w:eastAsia="黑体"/>
          <w:bCs/>
        </w:rPr>
        <w:t xml:space="preserve"> </w:t>
      </w:r>
      <w:r>
        <w:rPr>
          <w:spacing w:val="6"/>
        </w:rPr>
        <w:t>试样应在</w:t>
      </w:r>
      <w:r>
        <w:rPr>
          <w:rFonts w:eastAsiaTheme="minorEastAsia"/>
          <w:spacing w:val="6"/>
        </w:rPr>
        <w:t>105 ℃±5 ℃</w:t>
      </w:r>
      <w:r>
        <w:rPr>
          <w:spacing w:val="6"/>
        </w:rPr>
        <w:t>烘干</w:t>
      </w:r>
      <w:r>
        <w:rPr>
          <w:rFonts w:eastAsiaTheme="minorEastAsia"/>
          <w:spacing w:val="6"/>
        </w:rPr>
        <w:t>2 h</w:t>
      </w:r>
      <w:r>
        <w:rPr>
          <w:spacing w:val="6"/>
        </w:rPr>
        <w:t>，并置于干燥器中冷至室温备用</w:t>
      </w:r>
      <w:r>
        <w:rPr>
          <w:szCs w:val="21"/>
        </w:rPr>
        <w:t>。</w:t>
      </w:r>
    </w:p>
    <w:p>
      <w:pPr>
        <w:widowControl/>
        <w:jc w:val="left"/>
        <w:rPr>
          <w:rFonts w:eastAsia="黑体"/>
          <w:bCs/>
        </w:rPr>
      </w:pPr>
    </w:p>
    <w:p>
      <w:pPr>
        <w:widowControl/>
        <w:jc w:val="left"/>
        <w:rPr>
          <w:rFonts w:eastAsia="黑体"/>
          <w:bCs/>
        </w:rPr>
      </w:pPr>
      <w:r>
        <w:rPr>
          <w:rFonts w:eastAsia="黑体"/>
          <w:bCs/>
        </w:rPr>
        <w:t xml:space="preserve">5.4 </w:t>
      </w:r>
      <w:r>
        <w:rPr>
          <w:rFonts w:hint="eastAsia" w:eastAsia="黑体"/>
          <w:bCs/>
        </w:rPr>
        <w:t xml:space="preserve"> </w:t>
      </w:r>
      <w:r>
        <w:rPr>
          <w:rFonts w:eastAsia="黑体"/>
          <w:bCs/>
        </w:rPr>
        <w:t>试验步骤</w:t>
      </w:r>
    </w:p>
    <w:p>
      <w:pPr>
        <w:rPr>
          <w:rFonts w:eastAsiaTheme="minorEastAsia"/>
          <w:bCs/>
        </w:rPr>
      </w:pPr>
      <w:r>
        <w:rPr>
          <w:rFonts w:eastAsia="黑体"/>
          <w:bCs/>
        </w:rPr>
        <w:t>5.4.1</w:t>
      </w:r>
      <w:r>
        <w:rPr>
          <w:rFonts w:hint="eastAsia" w:eastAsia="黑体"/>
          <w:bCs/>
        </w:rPr>
        <w:t xml:space="preserve"> </w:t>
      </w:r>
      <w:r>
        <w:rPr>
          <w:rFonts w:eastAsia="黑体"/>
          <w:bCs/>
        </w:rPr>
        <w:t xml:space="preserve"> 试料</w:t>
      </w:r>
    </w:p>
    <w:p>
      <w:pPr>
        <w:ind w:firstLine="630" w:firstLineChars="300"/>
        <w:rPr>
          <w:bCs/>
        </w:rPr>
      </w:pPr>
      <w:r>
        <w:rPr>
          <w:bCs/>
        </w:rPr>
        <w:t>按表</w:t>
      </w:r>
      <w:r>
        <w:rPr>
          <w:rFonts w:eastAsiaTheme="minorEastAsia"/>
          <w:bCs/>
        </w:rPr>
        <w:t>4</w:t>
      </w:r>
      <w:r>
        <w:rPr>
          <w:bCs/>
        </w:rPr>
        <w:t>称取</w:t>
      </w:r>
      <w:r>
        <w:rPr>
          <w:rFonts w:hint="eastAsia"/>
          <w:bCs/>
        </w:rPr>
        <w:t>样品（5</w:t>
      </w:r>
      <w:r>
        <w:rPr>
          <w:bCs/>
        </w:rPr>
        <w:t>.3</w:t>
      </w:r>
      <w:r>
        <w:rPr>
          <w:rFonts w:hint="eastAsia"/>
          <w:bCs/>
        </w:rPr>
        <w:t>）</w:t>
      </w:r>
      <w:r>
        <w:rPr>
          <w:bCs/>
        </w:rPr>
        <w:t>，精确至</w:t>
      </w:r>
      <w:r>
        <w:rPr>
          <w:rFonts w:eastAsiaTheme="minorEastAsia"/>
          <w:bCs/>
        </w:rPr>
        <w:t>0.0001 g</w:t>
      </w:r>
      <w:r>
        <w:rPr>
          <w:bCs/>
        </w:rPr>
        <w:t>。</w:t>
      </w:r>
    </w:p>
    <w:p>
      <w:pPr>
        <w:jc w:val="center"/>
        <w:rPr>
          <w:rFonts w:eastAsiaTheme="minorEastAsia"/>
          <w:bCs/>
          <w:color w:val="FF0000"/>
        </w:rPr>
      </w:pPr>
      <w:r>
        <w:rPr>
          <w:rFonts w:eastAsia="黑体"/>
          <w:bCs/>
        </w:rPr>
        <w:t>表4  试料量</w:t>
      </w:r>
    </w:p>
    <w:tbl>
      <w:tblPr>
        <w:tblStyle w:val="2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4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  <w:sz w:val="18"/>
                <w:szCs w:val="18"/>
              </w:rPr>
              <w:t xml:space="preserve">铋的质量分数/ </w:t>
            </w:r>
            <w:r>
              <w:rPr>
                <w:rFonts w:eastAsiaTheme="minorEastAsia"/>
                <w:bCs/>
                <w:sz w:val="18"/>
                <w:szCs w:val="18"/>
              </w:rPr>
              <w:t>%</w:t>
            </w:r>
          </w:p>
        </w:tc>
        <w:tc>
          <w:tcPr>
            <w:tcW w:w="4443" w:type="dxa"/>
          </w:tcPr>
          <w:p>
            <w:pPr>
              <w:jc w:val="center"/>
              <w:rPr>
                <w:rFonts w:eastAsiaTheme="minorEastAsia"/>
                <w:bCs/>
              </w:rPr>
            </w:pPr>
            <w:r>
              <w:rPr>
                <w:bCs/>
                <w:sz w:val="18"/>
                <w:szCs w:val="18"/>
              </w:rPr>
              <w:t xml:space="preserve">试料质量/ </w:t>
            </w:r>
            <w:r>
              <w:rPr>
                <w:rFonts w:eastAsiaTheme="minorEastAsia"/>
                <w:bCs/>
                <w:sz w:val="18"/>
                <w:szCs w:val="18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 xml:space="preserve"> &gt;5.00 </w:t>
            </w:r>
            <w:r>
              <w:rPr>
                <w:rFonts w:eastAsiaTheme="minorEastAsia"/>
                <w:bCs/>
                <w:kern w:val="0"/>
                <w:szCs w:val="21"/>
              </w:rPr>
              <w:t xml:space="preserve">~ </w:t>
            </w:r>
            <w:r>
              <w:rPr>
                <w:rFonts w:eastAsiaTheme="minorEastAsia"/>
                <w:bCs/>
              </w:rPr>
              <w:t>10.00</w:t>
            </w:r>
          </w:p>
        </w:tc>
        <w:tc>
          <w:tcPr>
            <w:tcW w:w="4443" w:type="dxa"/>
          </w:tcPr>
          <w:p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 xml:space="preserve">&gt;10.00 </w:t>
            </w:r>
            <w:r>
              <w:rPr>
                <w:rFonts w:eastAsiaTheme="minorEastAsia"/>
                <w:bCs/>
                <w:kern w:val="0"/>
                <w:szCs w:val="21"/>
              </w:rPr>
              <w:t xml:space="preserve">~ </w:t>
            </w:r>
            <w:r>
              <w:rPr>
                <w:rFonts w:eastAsiaTheme="minorEastAsia"/>
                <w:bCs/>
              </w:rPr>
              <w:t>15.00</w:t>
            </w:r>
          </w:p>
        </w:tc>
        <w:tc>
          <w:tcPr>
            <w:tcW w:w="4443" w:type="dxa"/>
          </w:tcPr>
          <w:p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0.10</w:t>
            </w:r>
          </w:p>
        </w:tc>
      </w:tr>
    </w:tbl>
    <w:p>
      <w:pPr>
        <w:outlineLvl w:val="0"/>
        <w:rPr>
          <w:rFonts w:eastAsiaTheme="minorEastAsia"/>
          <w:bCs/>
        </w:rPr>
      </w:pPr>
    </w:p>
    <w:p>
      <w:pPr>
        <w:outlineLvl w:val="0"/>
        <w:rPr>
          <w:rFonts w:eastAsiaTheme="minorEastAsia"/>
          <w:bCs/>
        </w:rPr>
      </w:pPr>
      <w:r>
        <w:rPr>
          <w:rFonts w:eastAsia="黑体"/>
          <w:bCs/>
        </w:rPr>
        <w:t xml:space="preserve">5.4.2 </w:t>
      </w:r>
      <w:r>
        <w:rPr>
          <w:rFonts w:hint="eastAsia" w:eastAsia="黑体"/>
          <w:bCs/>
        </w:rPr>
        <w:t xml:space="preserve"> </w:t>
      </w:r>
      <w:r>
        <w:rPr>
          <w:rFonts w:eastAsia="黑体"/>
          <w:bCs/>
        </w:rPr>
        <w:t>测定次数</w:t>
      </w:r>
    </w:p>
    <w:p>
      <w:pPr>
        <w:ind w:firstLine="630" w:firstLineChars="300"/>
        <w:rPr>
          <w:bCs/>
        </w:rPr>
      </w:pPr>
      <w:r>
        <w:rPr>
          <w:bCs/>
        </w:rPr>
        <w:t>独立地进行两次测定，取其平均值。</w:t>
      </w:r>
    </w:p>
    <w:p>
      <w:pPr>
        <w:rPr>
          <w:rFonts w:eastAsiaTheme="minorEastAsia"/>
          <w:bCs/>
        </w:rPr>
      </w:pPr>
      <w:r>
        <w:rPr>
          <w:rFonts w:eastAsia="黑体"/>
          <w:bCs/>
        </w:rPr>
        <w:t xml:space="preserve">5.4.3 </w:t>
      </w:r>
      <w:r>
        <w:rPr>
          <w:rFonts w:hint="eastAsia" w:eastAsia="黑体"/>
          <w:bCs/>
        </w:rPr>
        <w:t xml:space="preserve"> </w:t>
      </w:r>
      <w:r>
        <w:rPr>
          <w:rFonts w:eastAsia="黑体"/>
          <w:bCs/>
        </w:rPr>
        <w:t>空白试验</w:t>
      </w:r>
    </w:p>
    <w:p>
      <w:pPr>
        <w:ind w:firstLine="630" w:firstLineChars="300"/>
        <w:outlineLvl w:val="0"/>
        <w:rPr>
          <w:bCs/>
        </w:rPr>
      </w:pPr>
      <w:r>
        <w:rPr>
          <w:bCs/>
        </w:rPr>
        <w:t>随同试料做空白试验。</w:t>
      </w:r>
    </w:p>
    <w:p>
      <w:pPr>
        <w:outlineLvl w:val="0"/>
        <w:rPr>
          <w:rFonts w:eastAsiaTheme="minorEastAsia"/>
          <w:b/>
        </w:rPr>
      </w:pPr>
      <w:r>
        <w:rPr>
          <w:rFonts w:eastAsia="黑体"/>
          <w:bCs/>
        </w:rPr>
        <w:t>5.4.4</w:t>
      </w:r>
      <w:r>
        <w:rPr>
          <w:rFonts w:hint="eastAsia" w:eastAsia="黑体"/>
          <w:bCs/>
        </w:rPr>
        <w:t xml:space="preserve"> </w:t>
      </w:r>
      <w:r>
        <w:rPr>
          <w:rFonts w:eastAsia="黑体"/>
          <w:bCs/>
        </w:rPr>
        <w:t xml:space="preserve"> 测定</w:t>
      </w:r>
    </w:p>
    <w:p>
      <w:pPr>
        <w:widowControl/>
        <w:jc w:val="left"/>
        <w:rPr>
          <w:rFonts w:eastAsiaTheme="minorEastAsia"/>
          <w:kern w:val="0"/>
          <w:sz w:val="20"/>
        </w:rPr>
      </w:pPr>
      <w:r>
        <w:rPr>
          <w:rFonts w:eastAsia="黑体"/>
        </w:rPr>
        <w:t xml:space="preserve">5.4.4.1 </w:t>
      </w:r>
      <w:r>
        <w:rPr>
          <w:rFonts w:hint="eastAsia" w:eastAsia="黑体"/>
        </w:rPr>
        <w:t xml:space="preserve"> </w:t>
      </w:r>
      <w:r>
        <w:rPr>
          <w:rFonts w:eastAsia="黑体"/>
          <w:bCs/>
        </w:rPr>
        <w:t>试料的处理</w:t>
      </w:r>
    </w:p>
    <w:p>
      <w:pPr>
        <w:ind w:firstLine="630" w:firstLineChars="300"/>
        <w:rPr>
          <w:rFonts w:eastAsiaTheme="minorEastAsia"/>
        </w:rPr>
      </w:pPr>
      <w:r>
        <w:rPr>
          <w:kern w:val="0"/>
        </w:rPr>
        <w:t>将试料</w:t>
      </w:r>
      <w:r>
        <w:rPr>
          <w:rFonts w:eastAsiaTheme="minorEastAsia"/>
          <w:kern w:val="0"/>
        </w:rPr>
        <w:t>（</w:t>
      </w:r>
      <w:r>
        <w:rPr>
          <w:rFonts w:eastAsia="黑体"/>
        </w:rPr>
        <w:t>5.4.1</w:t>
      </w:r>
      <w:r>
        <w:rPr>
          <w:rFonts w:eastAsiaTheme="minorEastAsia"/>
          <w:kern w:val="0"/>
        </w:rPr>
        <w:t>）</w:t>
      </w:r>
      <w:r>
        <w:rPr>
          <w:kern w:val="0"/>
        </w:rPr>
        <w:t>置于</w:t>
      </w:r>
      <w:r>
        <w:rPr>
          <w:rFonts w:eastAsiaTheme="minorEastAsia"/>
          <w:kern w:val="0"/>
        </w:rPr>
        <w:t>400 mL</w:t>
      </w:r>
      <w:r>
        <w:rPr>
          <w:kern w:val="0"/>
        </w:rPr>
        <w:t>烧杯中，</w:t>
      </w:r>
      <w:r>
        <w:t>用少量水润湿，加</w:t>
      </w:r>
      <w:r>
        <w:rPr>
          <w:rFonts w:eastAsiaTheme="minorEastAsia"/>
        </w:rPr>
        <w:t>10 mL</w:t>
      </w:r>
      <w:bookmarkStart w:id="4" w:name="OLE_LINK8"/>
      <w:bookmarkStart w:id="5" w:name="OLE_LINK7"/>
      <w:r>
        <w:t>盐</w:t>
      </w:r>
      <w:bookmarkEnd w:id="4"/>
      <w:bookmarkEnd w:id="5"/>
      <w:r>
        <w:t>酸</w:t>
      </w:r>
      <w:r>
        <w:rPr>
          <w:rFonts w:eastAsiaTheme="minorEastAsia"/>
        </w:rPr>
        <w:t>（</w:t>
      </w:r>
      <w:r>
        <w:rPr>
          <w:rFonts w:eastAsia="黑体"/>
        </w:rPr>
        <w:t>5.2.</w:t>
      </w:r>
      <w:r>
        <w:rPr>
          <w:rFonts w:hint="eastAsia" w:eastAsia="黑体"/>
        </w:rPr>
        <w:t>2</w:t>
      </w:r>
      <w:r>
        <w:rPr>
          <w:rFonts w:eastAsiaTheme="minorEastAsia"/>
        </w:rPr>
        <w:t>）及</w:t>
      </w:r>
      <w:r>
        <w:t>2 mL</w:t>
      </w:r>
      <w:r>
        <w:rPr>
          <w:rFonts w:eastAsiaTheme="minorEastAsia"/>
          <w:szCs w:val="21"/>
        </w:rPr>
        <w:t xml:space="preserve"> </w:t>
      </w:r>
      <w:r>
        <w:rPr>
          <w:szCs w:val="21"/>
        </w:rPr>
        <w:t>氟化氢铵饱和溶液</w:t>
      </w:r>
      <w:r>
        <w:rPr>
          <w:rFonts w:eastAsiaTheme="minorEastAsia"/>
          <w:szCs w:val="21"/>
        </w:rPr>
        <w:t>(</w:t>
      </w:r>
      <w:r>
        <w:rPr>
          <w:rFonts w:eastAsia="黑体"/>
          <w:bCs/>
          <w:szCs w:val="21"/>
        </w:rPr>
        <w:t>5.2</w:t>
      </w:r>
      <w:r>
        <w:rPr>
          <w:rFonts w:eastAsia="黑体"/>
          <w:szCs w:val="21"/>
        </w:rPr>
        <w:t>.</w:t>
      </w:r>
      <w:r>
        <w:rPr>
          <w:rFonts w:hint="eastAsia" w:eastAsia="黑体"/>
          <w:szCs w:val="21"/>
        </w:rPr>
        <w:t>9</w:t>
      </w:r>
      <w:r>
        <w:rPr>
          <w:rFonts w:eastAsia="黑体"/>
          <w:szCs w:val="21"/>
        </w:rPr>
        <w:t>)</w:t>
      </w:r>
      <w:r>
        <w:rPr>
          <w:szCs w:val="21"/>
        </w:rPr>
        <w:t>低温加热溶解至溶液剩余</w:t>
      </w:r>
      <w:r>
        <w:rPr>
          <w:rFonts w:eastAsiaTheme="minorEastAsia"/>
          <w:szCs w:val="21"/>
        </w:rPr>
        <w:t xml:space="preserve">5 </w:t>
      </w:r>
      <w:r>
        <w:rPr>
          <w:rFonts w:eastAsiaTheme="minorEastAsia"/>
        </w:rPr>
        <w:t>mL</w:t>
      </w:r>
      <w:r>
        <w:t>左右，取下，加入</w:t>
      </w:r>
      <w:r>
        <w:rPr>
          <w:rFonts w:eastAsiaTheme="minorEastAsia"/>
        </w:rPr>
        <w:t>5 mL</w:t>
      </w:r>
      <w:r>
        <w:t>硝酸</w:t>
      </w:r>
      <w:r>
        <w:rPr>
          <w:rFonts w:eastAsiaTheme="minorEastAsia"/>
        </w:rPr>
        <w:t>（5.2.</w:t>
      </w:r>
      <w:r>
        <w:rPr>
          <w:rFonts w:hint="eastAsia" w:eastAsiaTheme="minorEastAsia"/>
        </w:rPr>
        <w:t>3</w:t>
      </w:r>
      <w:r>
        <w:rPr>
          <w:rFonts w:eastAsiaTheme="minorEastAsia"/>
        </w:rPr>
        <w:t>）</w:t>
      </w:r>
      <w:r>
        <w:t>，低温加热至试液</w:t>
      </w:r>
      <w:r>
        <w:rPr>
          <w:szCs w:val="21"/>
        </w:rPr>
        <w:t>剩余约</w:t>
      </w:r>
      <w:r>
        <w:rPr>
          <w:rFonts w:eastAsiaTheme="minorEastAsia"/>
          <w:szCs w:val="21"/>
        </w:rPr>
        <w:t xml:space="preserve">2 </w:t>
      </w:r>
      <w:r>
        <w:rPr>
          <w:rFonts w:eastAsiaTheme="minorEastAsia"/>
        </w:rPr>
        <w:t>mL</w:t>
      </w:r>
      <w:r>
        <w:t>，取下稍冷</w:t>
      </w:r>
      <w:r>
        <w:rPr>
          <w:rFonts w:hint="eastAsia"/>
        </w:rPr>
        <w:t>。</w:t>
      </w:r>
      <w:r>
        <w:t>加入</w:t>
      </w:r>
      <w:r>
        <w:rPr>
          <w:rFonts w:eastAsiaTheme="minorEastAsia"/>
        </w:rPr>
        <w:t>5 mL</w:t>
      </w:r>
      <w:r>
        <w:rPr>
          <w:kern w:val="0"/>
        </w:rPr>
        <w:t>高氯酸</w:t>
      </w:r>
      <w:r>
        <w:rPr>
          <w:rFonts w:eastAsiaTheme="minorEastAsia"/>
          <w:kern w:val="0"/>
        </w:rPr>
        <w:t>（</w:t>
      </w:r>
      <w:r>
        <w:rPr>
          <w:rFonts w:eastAsia="黑体"/>
          <w:kern w:val="0"/>
        </w:rPr>
        <w:t>5.2.</w:t>
      </w:r>
      <w:r>
        <w:rPr>
          <w:rFonts w:hint="eastAsia" w:eastAsia="黑体"/>
          <w:kern w:val="0"/>
        </w:rPr>
        <w:t>5</w:t>
      </w:r>
      <w:r>
        <w:rPr>
          <w:rFonts w:eastAsiaTheme="minorEastAsia"/>
          <w:kern w:val="0"/>
        </w:rPr>
        <w:t>）</w:t>
      </w:r>
      <w:r>
        <w:rPr>
          <w:kern w:val="0"/>
        </w:rPr>
        <w:t>盖</w:t>
      </w:r>
      <w:r>
        <w:t>表面皿，继续加热至冒烟，若有不溶物，滴加硝酸</w:t>
      </w:r>
      <w:r>
        <w:rPr>
          <w:rFonts w:eastAsiaTheme="minorEastAsia"/>
        </w:rPr>
        <w:t>（</w:t>
      </w:r>
      <w:r>
        <w:rPr>
          <w:rFonts w:eastAsia="黑体"/>
        </w:rPr>
        <w:t>5.2.</w:t>
      </w:r>
      <w:r>
        <w:rPr>
          <w:rFonts w:hint="eastAsia" w:eastAsia="黑体"/>
        </w:rPr>
        <w:t>3</w:t>
      </w:r>
      <w:r>
        <w:rPr>
          <w:rFonts w:eastAsiaTheme="minorEastAsia"/>
        </w:rPr>
        <w:t>）</w:t>
      </w:r>
      <w:r>
        <w:t>至</w:t>
      </w:r>
      <w:r>
        <w:rPr>
          <w:kern w:val="0"/>
        </w:rPr>
        <w:t>试料</w:t>
      </w:r>
      <w:r>
        <w:t>完全溶解，继续低温加热至</w:t>
      </w:r>
      <w:r>
        <w:rPr>
          <w:kern w:val="0"/>
        </w:rPr>
        <w:t>高氯酸</w:t>
      </w:r>
      <w:r>
        <w:t>冒烟，取下冷却</w:t>
      </w:r>
      <w:r>
        <w:rPr>
          <w:rFonts w:hint="eastAsia"/>
        </w:rPr>
        <w:t>。</w:t>
      </w:r>
      <w:r>
        <w:t>用少量水吹洗表面皿，加入2 mL盐酸（</w:t>
      </w:r>
      <w:r>
        <w:rPr>
          <w:rFonts w:eastAsia="黑体"/>
        </w:rPr>
        <w:t>5.2.</w:t>
      </w:r>
      <w:r>
        <w:rPr>
          <w:rFonts w:hint="eastAsia" w:eastAsia="黑体"/>
        </w:rPr>
        <w:t>2</w:t>
      </w:r>
      <w:r>
        <w:t>）2 mL氢溴酸（</w:t>
      </w:r>
      <w:r>
        <w:rPr>
          <w:rFonts w:eastAsia="黑体"/>
          <w:bCs/>
          <w:szCs w:val="21"/>
        </w:rPr>
        <w:t>5.2</w:t>
      </w:r>
      <w:r>
        <w:rPr>
          <w:rFonts w:eastAsia="黑体"/>
          <w:szCs w:val="21"/>
        </w:rPr>
        <w:t>.</w:t>
      </w:r>
      <w:r>
        <w:rPr>
          <w:rFonts w:hint="eastAsia" w:eastAsia="黑体"/>
          <w:szCs w:val="21"/>
        </w:rPr>
        <w:t>4</w:t>
      </w:r>
      <w:r>
        <w:rPr>
          <w:rFonts w:eastAsia="黑体"/>
          <w:szCs w:val="21"/>
        </w:rPr>
        <w:t>）</w:t>
      </w:r>
      <w:r>
        <w:t>低温加热至冒烟，取下冷却，重复加入2 mL盐酸（</w:t>
      </w:r>
      <w:r>
        <w:rPr>
          <w:rFonts w:eastAsia="黑体"/>
        </w:rPr>
        <w:t>5.2.</w:t>
      </w:r>
      <w:r>
        <w:rPr>
          <w:rFonts w:hint="eastAsia" w:eastAsia="黑体"/>
        </w:rPr>
        <w:t>2</w:t>
      </w:r>
      <w:r>
        <w:t>）及2 mL氢溴酸（</w:t>
      </w:r>
      <w:r>
        <w:rPr>
          <w:rFonts w:eastAsia="黑体"/>
        </w:rPr>
        <w:t>5</w:t>
      </w:r>
      <w:r>
        <w:rPr>
          <w:rFonts w:eastAsia="黑体"/>
          <w:bCs/>
          <w:szCs w:val="21"/>
        </w:rPr>
        <w:t>.2</w:t>
      </w:r>
      <w:r>
        <w:rPr>
          <w:rFonts w:eastAsia="黑体"/>
          <w:szCs w:val="21"/>
        </w:rPr>
        <w:t>.</w:t>
      </w:r>
      <w:r>
        <w:rPr>
          <w:rFonts w:hint="eastAsia" w:eastAsia="黑体"/>
          <w:szCs w:val="21"/>
        </w:rPr>
        <w:t>4</w:t>
      </w:r>
      <w:r>
        <w:rPr>
          <w:rFonts w:eastAsia="黑体"/>
          <w:szCs w:val="21"/>
        </w:rPr>
        <w:t>）</w:t>
      </w:r>
      <w:r>
        <w:t>继续低温加热冒烟至</w:t>
      </w:r>
      <w:r>
        <w:rPr>
          <w:szCs w:val="21"/>
        </w:rPr>
        <w:t>湿盐状</w:t>
      </w:r>
      <w:r>
        <w:t>，取下冷却。加入1.5 mL硝酸（</w:t>
      </w:r>
      <w:r>
        <w:rPr>
          <w:rFonts w:eastAsia="黑体"/>
        </w:rPr>
        <w:t>5.2.</w:t>
      </w:r>
      <w:r>
        <w:rPr>
          <w:rFonts w:hint="eastAsia" w:eastAsia="黑体"/>
        </w:rPr>
        <w:t>3</w:t>
      </w:r>
      <w:r>
        <w:t>），轻轻摇动浸润盐类，加入5</w:t>
      </w:r>
      <w:r>
        <w:rPr>
          <w:rFonts w:eastAsiaTheme="minorEastAsia"/>
        </w:rPr>
        <w:t xml:space="preserve"> mL</w:t>
      </w:r>
      <w:r>
        <w:t>酒石酸溶液</w:t>
      </w:r>
      <w:r>
        <w:rPr>
          <w:rFonts w:eastAsiaTheme="minorEastAsia"/>
        </w:rPr>
        <w:t>（</w:t>
      </w:r>
      <w:r>
        <w:rPr>
          <w:rFonts w:eastAsia="黑体"/>
        </w:rPr>
        <w:t>5.2.</w:t>
      </w:r>
      <w:r>
        <w:rPr>
          <w:rFonts w:hint="eastAsia" w:eastAsia="黑体"/>
        </w:rPr>
        <w:t>7</w:t>
      </w:r>
      <w:r>
        <w:rPr>
          <w:rFonts w:eastAsiaTheme="minorEastAsia"/>
        </w:rPr>
        <w:t>）</w:t>
      </w:r>
      <w:r>
        <w:t>用少量水吹洗杯壁，加热溶解盐类。</w:t>
      </w:r>
    </w:p>
    <w:p>
      <w:pPr>
        <w:rPr>
          <w:rFonts w:eastAsia="黑体"/>
          <w:bCs/>
        </w:rPr>
      </w:pPr>
      <w:r>
        <w:rPr>
          <w:rFonts w:eastAsia="黑体"/>
        </w:rPr>
        <w:t xml:space="preserve">5.4.4.2 </w:t>
      </w:r>
      <w:r>
        <w:rPr>
          <w:rFonts w:hint="eastAsia" w:eastAsia="黑体"/>
        </w:rPr>
        <w:t xml:space="preserve"> </w:t>
      </w:r>
      <w:r>
        <w:rPr>
          <w:rFonts w:eastAsia="黑体"/>
          <w:bCs/>
        </w:rPr>
        <w:t>滴定</w:t>
      </w:r>
    </w:p>
    <w:p>
      <w:pPr>
        <w:ind w:firstLine="630" w:firstLineChars="300"/>
      </w:pPr>
      <w:r>
        <w:t>加入0.5 mL氟化铵</w:t>
      </w:r>
      <w:r>
        <w:rPr>
          <w:rFonts w:eastAsia="黑体"/>
        </w:rPr>
        <w:t>（5.2.</w:t>
      </w:r>
      <w:r>
        <w:rPr>
          <w:rFonts w:hint="eastAsia" w:eastAsia="黑体"/>
        </w:rPr>
        <w:t>8</w:t>
      </w:r>
      <w:r>
        <w:t>）搅拌均匀，加水至200 mL，加入0.2 g抗坏血酸（</w:t>
      </w:r>
      <w:r>
        <w:rPr>
          <w:rFonts w:eastAsia="黑体"/>
        </w:rPr>
        <w:t>5.2.1</w:t>
      </w:r>
      <w:r>
        <w:t>），加入5 mL硫脲（</w:t>
      </w:r>
      <w:r>
        <w:rPr>
          <w:rFonts w:eastAsia="黑体"/>
        </w:rPr>
        <w:t>5.2.</w:t>
      </w:r>
      <w:r>
        <w:rPr>
          <w:rFonts w:hint="eastAsia" w:eastAsia="黑体"/>
        </w:rPr>
        <w:t>6</w:t>
      </w:r>
      <w:r>
        <w:t>）搅匀，用无水乙酸钠溶液（</w:t>
      </w:r>
      <w:r>
        <w:rPr>
          <w:rFonts w:eastAsia="黑体"/>
        </w:rPr>
        <w:t>5.2.</w:t>
      </w:r>
      <w:r>
        <w:rPr>
          <w:rFonts w:hint="eastAsia" w:eastAsia="黑体"/>
        </w:rPr>
        <w:t>10</w:t>
      </w:r>
      <w:r>
        <w:t>）调节pH值为1.2</w:t>
      </w:r>
      <w:r>
        <w:rPr>
          <w:rFonts w:eastAsiaTheme="minorEastAsia"/>
          <w:szCs w:val="21"/>
        </w:rPr>
        <w:t>~</w:t>
      </w:r>
      <w:r>
        <w:t>1.8，加入1</w:t>
      </w:r>
      <w:r>
        <w:rPr>
          <w:rFonts w:eastAsiaTheme="minorEastAsia"/>
          <w:szCs w:val="21"/>
        </w:rPr>
        <w:t>~</w:t>
      </w:r>
      <w:r>
        <w:t>2滴二甲酚橙（</w:t>
      </w:r>
      <w:r>
        <w:rPr>
          <w:rFonts w:eastAsia="黑体"/>
        </w:rPr>
        <w:t>5.2.12</w:t>
      </w:r>
      <w:r>
        <w:t>），用Na</w:t>
      </w:r>
      <w:r>
        <w:rPr>
          <w:vertAlign w:val="subscript"/>
        </w:rPr>
        <w:t>2</w:t>
      </w:r>
      <w:r>
        <w:t>EDTA标准滴定溶液（</w:t>
      </w:r>
      <w:r>
        <w:rPr>
          <w:rFonts w:eastAsia="黑体"/>
        </w:rPr>
        <w:t>5.2.1</w:t>
      </w:r>
      <w:r>
        <w:rPr>
          <w:rFonts w:hint="eastAsia" w:eastAsia="黑体"/>
        </w:rPr>
        <w:t>4</w:t>
      </w:r>
      <w:r>
        <w:t>）滴定，溶液由紫红色变为亮黄色，即为终点。</w:t>
      </w:r>
    </w:p>
    <w:p>
      <w:pPr>
        <w:ind w:firstLine="420" w:firstLineChars="200"/>
      </w:pPr>
    </w:p>
    <w:p>
      <w:pPr>
        <w:rPr>
          <w:rFonts w:eastAsia="黑体"/>
        </w:rPr>
      </w:pPr>
      <w:r>
        <w:rPr>
          <w:rFonts w:eastAsia="黑体"/>
          <w:bCs/>
        </w:rPr>
        <w:t xml:space="preserve">5.5 </w:t>
      </w:r>
      <w:r>
        <w:rPr>
          <w:rFonts w:hint="eastAsia" w:eastAsia="黑体"/>
          <w:bCs/>
        </w:rPr>
        <w:t xml:space="preserve"> </w:t>
      </w:r>
      <w:r>
        <w:rPr>
          <w:rFonts w:eastAsia="黑体"/>
        </w:rPr>
        <w:t>试验数据处理</w:t>
      </w:r>
    </w:p>
    <w:p>
      <w:pPr>
        <w:widowControl/>
        <w:spacing w:before="156" w:beforeLines="50" w:after="156" w:afterLines="50"/>
        <w:ind w:firstLine="630" w:firstLineChars="300"/>
        <w:jc w:val="left"/>
        <w:rPr>
          <w:rFonts w:eastAsia="黑体"/>
          <w:bCs/>
        </w:rPr>
      </w:pPr>
      <w:r>
        <w:t>铋含量以铋的质量分数</w:t>
      </w:r>
      <w:r>
        <w:rPr>
          <w:rFonts w:eastAsiaTheme="minorEastAsia"/>
          <w:i/>
        </w:rPr>
        <w:t>w</w:t>
      </w:r>
      <w:r>
        <w:rPr>
          <w:rFonts w:eastAsiaTheme="minorEastAsia"/>
          <w:iCs/>
          <w:vertAlign w:val="subscript"/>
        </w:rPr>
        <w:t>Bi</w:t>
      </w:r>
      <w:r>
        <w:t>计，</w:t>
      </w:r>
      <w:bookmarkStart w:id="6" w:name="_Hlk50453459"/>
      <w:r>
        <w:t>数值以%表示</w:t>
      </w:r>
      <w:bookmarkEnd w:id="6"/>
      <w:r>
        <w:t>，按公式（3）计算：</w:t>
      </w:r>
    </w:p>
    <w:p>
      <w:pPr>
        <w:ind w:left="1680" w:leftChars="700" w:hanging="210" w:hangingChars="100"/>
        <w:jc w:val="left"/>
        <w:rPr>
          <w:rFonts w:eastAsiaTheme="minorEastAsia"/>
        </w:rPr>
      </w:pPr>
      <w:r>
        <w:rPr>
          <w:rFonts w:eastAsiaTheme="minorEastAsia"/>
          <w:position w:val="-30"/>
        </w:rPr>
        <w:object>
          <v:shape id="_x0000_i1027" o:spt="75" type="#_x0000_t75" style="height:36pt;width:182.3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9">
            <o:LockedField>false</o:LockedField>
          </o:OLEObject>
        </w:object>
      </w:r>
      <w:r>
        <w:rPr>
          <w:rFonts w:eastAsiaTheme="minorEastAsia"/>
        </w:rPr>
        <w:t xml:space="preserve"> </w:t>
      </w:r>
      <w:r>
        <w:rPr>
          <w:color w:val="000000"/>
          <w:sz w:val="28"/>
          <w:szCs w:val="28"/>
        </w:rPr>
        <w:t>………………………………</w:t>
      </w:r>
      <w:r>
        <w:t>（3）</w:t>
      </w:r>
    </w:p>
    <w:p>
      <w:pPr>
        <w:ind w:firstLine="840" w:firstLineChars="400"/>
        <w:jc w:val="left"/>
      </w:pPr>
      <w:r>
        <w:t>式中：</w:t>
      </w:r>
    </w:p>
    <w:p>
      <w:pPr>
        <w:ind w:firstLine="840" w:firstLineChars="400"/>
      </w:pPr>
      <w:r>
        <w:rPr>
          <w:i/>
          <w:iCs/>
        </w:rPr>
        <w:t>c</w:t>
      </w:r>
      <w:r>
        <w:t xml:space="preserve"> </w:t>
      </w:r>
      <w:r>
        <w:rPr>
          <w:rFonts w:hint="eastAsia"/>
        </w:rPr>
        <w:t xml:space="preserve">     </w:t>
      </w:r>
      <w:r>
        <w:t xml:space="preserve"> ——Na</w:t>
      </w:r>
      <w:r>
        <w:rPr>
          <w:vertAlign w:val="subscript"/>
        </w:rPr>
        <w:t>2</w:t>
      </w:r>
      <w:r>
        <w:t>EDTA标准滴定溶液的</w:t>
      </w:r>
      <w:r>
        <w:rPr>
          <w:rFonts w:hint="eastAsia"/>
        </w:rPr>
        <w:t>摩尔</w:t>
      </w:r>
      <w:r>
        <w:t>浓度，单位为摩尔每升（mol/L）；</w:t>
      </w:r>
    </w:p>
    <w:p>
      <w:pPr>
        <w:ind w:firstLine="840" w:firstLineChars="400"/>
      </w:pPr>
      <w:r>
        <w:rPr>
          <w:i/>
          <w:iCs/>
        </w:rPr>
        <w:t>V</w:t>
      </w:r>
      <w:r>
        <w:rPr>
          <w:vertAlign w:val="subscript"/>
        </w:rPr>
        <w:t xml:space="preserve">7  </w:t>
      </w:r>
      <w:r>
        <w:rPr>
          <w:rFonts w:hint="eastAsia"/>
          <w:vertAlign w:val="subscript"/>
        </w:rPr>
        <w:t xml:space="preserve">       </w:t>
      </w:r>
      <w:r>
        <w:t>——滴定试样溶液时消耗的Na</w:t>
      </w:r>
      <w:r>
        <w:rPr>
          <w:vertAlign w:val="subscript"/>
        </w:rPr>
        <w:t>2</w:t>
      </w:r>
      <w:r>
        <w:t>EDTA标准滴定溶液的体积，单位为毫升（mL）；</w:t>
      </w:r>
    </w:p>
    <w:p>
      <w:pPr>
        <w:ind w:firstLine="840" w:firstLineChars="400"/>
      </w:pPr>
      <w:r>
        <w:rPr>
          <w:i/>
          <w:iCs/>
        </w:rPr>
        <w:t>V</w:t>
      </w:r>
      <w:r>
        <w:rPr>
          <w:vertAlign w:val="subscript"/>
        </w:rPr>
        <w:t xml:space="preserve">6  </w:t>
      </w:r>
      <w:r>
        <w:rPr>
          <w:rFonts w:hint="eastAsia"/>
          <w:vertAlign w:val="subscript"/>
        </w:rPr>
        <w:t xml:space="preserve">       </w:t>
      </w:r>
      <w:r>
        <w:t>——滴定空白溶液时消耗的Na</w:t>
      </w:r>
      <w:r>
        <w:rPr>
          <w:vertAlign w:val="subscript"/>
        </w:rPr>
        <w:t>2</w:t>
      </w:r>
      <w:r>
        <w:t>EDTA标准滴定溶液的体积，单位为毫升（mL）；</w:t>
      </w:r>
    </w:p>
    <w:p>
      <w:pPr>
        <w:ind w:firstLine="840" w:firstLineChars="400"/>
      </w:pPr>
      <w:r>
        <w:t>208.98  ——</w:t>
      </w:r>
      <w:r>
        <w:rPr>
          <w:rFonts w:eastAsiaTheme="minorEastAsia"/>
        </w:rPr>
        <w:t>铋</w:t>
      </w:r>
      <w:r>
        <w:t>的摩尔质量，单位为克每摩尔（g/mol）。</w:t>
      </w:r>
    </w:p>
    <w:p>
      <w:pPr>
        <w:ind w:firstLine="840" w:firstLineChars="400"/>
      </w:pPr>
      <w:r>
        <w:rPr>
          <w:i/>
          <w:iCs/>
        </w:rPr>
        <w:t>m</w:t>
      </w:r>
      <w:r>
        <w:rPr>
          <w:vertAlign w:val="subscript"/>
        </w:rPr>
        <w:t xml:space="preserve">1 </w:t>
      </w:r>
      <w:r>
        <w:rPr>
          <w:rFonts w:hint="eastAsia"/>
          <w:vertAlign w:val="subscript"/>
        </w:rPr>
        <w:t xml:space="preserve">      </w:t>
      </w:r>
      <w:r>
        <w:rPr>
          <w:vertAlign w:val="subscript"/>
        </w:rPr>
        <w:t xml:space="preserve"> </w:t>
      </w:r>
      <w:r>
        <w:t>——试料的质量，单位为克（g）。</w:t>
      </w:r>
    </w:p>
    <w:p>
      <w:pPr>
        <w:ind w:firstLine="840" w:firstLineChars="400"/>
      </w:pPr>
      <w:r>
        <w:t>计算结果</w:t>
      </w:r>
      <w:r>
        <w:rPr>
          <w:rFonts w:hint="eastAsia"/>
        </w:rPr>
        <w:t>表示到</w:t>
      </w:r>
      <w:r>
        <w:t>小数点后两位</w:t>
      </w:r>
      <w:r>
        <w:rPr>
          <w:rFonts w:hint="eastAsia"/>
        </w:rPr>
        <w:t>。</w:t>
      </w:r>
      <w:r>
        <w:t>数值修约按照GB/T 8170规定执行。</w:t>
      </w:r>
    </w:p>
    <w:p>
      <w:pPr>
        <w:rPr>
          <w:szCs w:val="21"/>
        </w:rPr>
      </w:pPr>
    </w:p>
    <w:p>
      <w:pPr>
        <w:rPr>
          <w:rFonts w:eastAsia="黑体"/>
          <w:szCs w:val="21"/>
        </w:rPr>
      </w:pPr>
      <w:r>
        <w:rPr>
          <w:rFonts w:eastAsia="黑体"/>
          <w:szCs w:val="21"/>
        </w:rPr>
        <w:t xml:space="preserve">5.6 </w:t>
      </w:r>
      <w:r>
        <w:rPr>
          <w:rFonts w:hint="eastAsia" w:eastAsia="黑体"/>
          <w:szCs w:val="21"/>
        </w:rPr>
        <w:t xml:space="preserve"> </w:t>
      </w:r>
      <w:r>
        <w:rPr>
          <w:rFonts w:eastAsia="黑体"/>
          <w:szCs w:val="21"/>
        </w:rPr>
        <w:t>精密度</w:t>
      </w:r>
    </w:p>
    <w:p>
      <w:pPr>
        <w:rPr>
          <w:rFonts w:eastAsiaTheme="minorEastAsia"/>
          <w:szCs w:val="21"/>
        </w:rPr>
      </w:pPr>
      <w:r>
        <w:rPr>
          <w:rFonts w:eastAsiaTheme="minorEastAsia"/>
          <w:szCs w:val="21"/>
        </w:rPr>
        <w:tab/>
      </w:r>
    </w:p>
    <w:p>
      <w:pPr>
        <w:rPr>
          <w:rFonts w:eastAsia="黑体"/>
          <w:szCs w:val="21"/>
        </w:rPr>
      </w:pPr>
      <w:r>
        <w:rPr>
          <w:rFonts w:eastAsia="黑体"/>
          <w:szCs w:val="21"/>
        </w:rPr>
        <w:t xml:space="preserve">5.6.1 </w:t>
      </w:r>
      <w:r>
        <w:rPr>
          <w:rFonts w:hint="eastAsia" w:eastAsia="黑体"/>
          <w:szCs w:val="21"/>
        </w:rPr>
        <w:t xml:space="preserve"> </w:t>
      </w:r>
      <w:r>
        <w:rPr>
          <w:rFonts w:eastAsia="黑体"/>
          <w:szCs w:val="21"/>
        </w:rPr>
        <w:t>重复性</w:t>
      </w:r>
    </w:p>
    <w:p>
      <w:pPr>
        <w:ind w:firstLine="437"/>
        <w:rPr>
          <w:bCs/>
          <w:szCs w:val="21"/>
        </w:rPr>
      </w:pPr>
      <w:r>
        <w:rPr>
          <w:bCs/>
          <w:szCs w:val="21"/>
        </w:rPr>
        <w:t>在重复性条件下获得的两次独立测试结果的测定值，在以下给出的平均值范围内，这两个测试结果的绝对</w:t>
      </w:r>
      <w:r>
        <w:rPr>
          <w:rFonts w:hint="eastAsia"/>
          <w:bCs/>
          <w:szCs w:val="21"/>
        </w:rPr>
        <w:t>差</w:t>
      </w:r>
      <w:r>
        <w:rPr>
          <w:bCs/>
          <w:szCs w:val="21"/>
        </w:rPr>
        <w:t>值不超过重复性限（</w:t>
      </w:r>
      <w:r>
        <w:rPr>
          <w:bCs/>
          <w:i/>
          <w:szCs w:val="21"/>
        </w:rPr>
        <w:t>r</w:t>
      </w:r>
      <w:r>
        <w:rPr>
          <w:bCs/>
          <w:szCs w:val="21"/>
        </w:rPr>
        <w:t>），超过重复性限（</w:t>
      </w:r>
      <w:r>
        <w:rPr>
          <w:bCs/>
          <w:i/>
          <w:szCs w:val="21"/>
        </w:rPr>
        <w:t>r</w:t>
      </w:r>
      <w:r>
        <w:rPr>
          <w:bCs/>
          <w:szCs w:val="21"/>
        </w:rPr>
        <w:t>）的情况不超过5%，重复性限（</w:t>
      </w:r>
      <w:r>
        <w:rPr>
          <w:bCs/>
          <w:i/>
          <w:szCs w:val="21"/>
        </w:rPr>
        <w:t>r</w:t>
      </w:r>
      <w:r>
        <w:rPr>
          <w:bCs/>
          <w:szCs w:val="21"/>
        </w:rPr>
        <w:t>）按表5数据采用线性内插法或外延法求得。</w:t>
      </w:r>
    </w:p>
    <w:p>
      <w:pPr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>表5  重复性限</w:t>
      </w:r>
    </w:p>
    <w:tbl>
      <w:tblPr>
        <w:tblStyle w:val="28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568"/>
        <w:gridCol w:w="1568"/>
        <w:gridCol w:w="1568"/>
        <w:gridCol w:w="1566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dxa"/>
            <w:vAlign w:val="center"/>
          </w:tcPr>
          <w:p>
            <w:pPr>
              <w:jc w:val="center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="黑体"/>
                <w:i/>
                <w:sz w:val="18"/>
                <w:szCs w:val="18"/>
              </w:rPr>
              <w:t>w</w:t>
            </w:r>
            <w:r>
              <w:rPr>
                <w:rFonts w:eastAsia="黑体"/>
                <w:sz w:val="18"/>
                <w:szCs w:val="18"/>
                <w:vertAlign w:val="subscript"/>
              </w:rPr>
              <w:t>Bi</w:t>
            </w:r>
            <w:r>
              <w:rPr>
                <w:rFonts w:eastAsiaTheme="minorEastAsia"/>
                <w:sz w:val="18"/>
                <w:szCs w:val="18"/>
              </w:rPr>
              <w:t>/ %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5.64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7.73 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10.32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13.20 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15.6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dxa"/>
            <w:vAlign w:val="center"/>
          </w:tcPr>
          <w:p>
            <w:pPr>
              <w:jc w:val="center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i/>
                <w:sz w:val="18"/>
                <w:szCs w:val="18"/>
              </w:rPr>
              <w:t xml:space="preserve">r </w:t>
            </w:r>
            <w:r>
              <w:rPr>
                <w:rFonts w:eastAsiaTheme="minorEastAsia"/>
                <w:bCs/>
                <w:sz w:val="18"/>
                <w:szCs w:val="18"/>
              </w:rPr>
              <w:t>/ %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0.14 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0.17 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0.18 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0.21 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0.23 </w:t>
            </w:r>
          </w:p>
        </w:tc>
      </w:tr>
    </w:tbl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  <w:r>
        <w:rPr>
          <w:rFonts w:eastAsia="黑体"/>
          <w:szCs w:val="21"/>
        </w:rPr>
        <w:t>5.6.2</w:t>
      </w:r>
      <w:r>
        <w:rPr>
          <w:rFonts w:hint="eastAsia" w:eastAsia="黑体"/>
          <w:szCs w:val="21"/>
        </w:rPr>
        <w:t xml:space="preserve"> </w:t>
      </w:r>
      <w:r>
        <w:rPr>
          <w:rFonts w:eastAsia="黑体"/>
          <w:szCs w:val="21"/>
        </w:rPr>
        <w:t xml:space="preserve"> 再现性</w:t>
      </w:r>
    </w:p>
    <w:p>
      <w:pPr>
        <w:ind w:firstLine="420" w:firstLineChars="200"/>
        <w:rPr>
          <w:bCs/>
          <w:szCs w:val="21"/>
        </w:rPr>
      </w:pPr>
      <w:r>
        <w:rPr>
          <w:bCs/>
          <w:szCs w:val="21"/>
        </w:rPr>
        <w:t>在再现性条件下获得的两次独立测试结果的测定值，在以下给出的平均值范围内，这两个测试结果的绝对差</w:t>
      </w:r>
      <w:r>
        <w:rPr>
          <w:rFonts w:hint="eastAsia"/>
          <w:bCs/>
          <w:szCs w:val="21"/>
        </w:rPr>
        <w:t>值</w:t>
      </w:r>
      <w:r>
        <w:rPr>
          <w:bCs/>
          <w:szCs w:val="21"/>
        </w:rPr>
        <w:t>不超过再现性限（</w:t>
      </w:r>
      <w:r>
        <w:rPr>
          <w:bCs/>
          <w:i/>
          <w:szCs w:val="21"/>
        </w:rPr>
        <w:t>R</w:t>
      </w:r>
      <w:r>
        <w:rPr>
          <w:bCs/>
          <w:szCs w:val="21"/>
        </w:rPr>
        <w:t>），超过再现性限（</w:t>
      </w:r>
      <w:r>
        <w:rPr>
          <w:bCs/>
          <w:i/>
          <w:szCs w:val="21"/>
        </w:rPr>
        <w:t>R</w:t>
      </w:r>
      <w:r>
        <w:rPr>
          <w:bCs/>
          <w:szCs w:val="21"/>
        </w:rPr>
        <w:t>）的情况不超过5%，再现性限（</w:t>
      </w:r>
      <w:r>
        <w:rPr>
          <w:bCs/>
          <w:i/>
          <w:szCs w:val="21"/>
        </w:rPr>
        <w:t>R</w:t>
      </w:r>
      <w:r>
        <w:rPr>
          <w:bCs/>
          <w:szCs w:val="21"/>
        </w:rPr>
        <w:t>）按表6数据采用线性内插法或外延法求得。</w:t>
      </w:r>
    </w:p>
    <w:p>
      <w:pPr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>表6  再现性限</w:t>
      </w:r>
    </w:p>
    <w:tbl>
      <w:tblPr>
        <w:tblStyle w:val="28"/>
        <w:tblW w:w="9400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568"/>
        <w:gridCol w:w="1568"/>
        <w:gridCol w:w="1568"/>
        <w:gridCol w:w="1566"/>
        <w:gridCol w:w="1562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56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="黑体"/>
                <w:i/>
                <w:sz w:val="18"/>
                <w:szCs w:val="18"/>
              </w:rPr>
              <w:t>w</w:t>
            </w:r>
            <w:r>
              <w:rPr>
                <w:rFonts w:eastAsiaTheme="minorEastAsia"/>
                <w:i/>
                <w:sz w:val="18"/>
                <w:szCs w:val="18"/>
                <w:vertAlign w:val="subscript"/>
              </w:rPr>
              <w:t>Bi</w:t>
            </w:r>
            <w:r>
              <w:rPr>
                <w:rFonts w:eastAsiaTheme="minorEastAsia"/>
                <w:sz w:val="18"/>
                <w:szCs w:val="18"/>
              </w:rPr>
              <w:t xml:space="preserve"> /%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5.64 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7.73 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10.32 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13.20 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15.6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bookmarkStart w:id="7" w:name="_GoBack"/>
            <w:bookmarkEnd w:id="7"/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56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i/>
                <w:sz w:val="18"/>
                <w:szCs w:val="18"/>
              </w:rPr>
              <w:t>R</w:t>
            </w:r>
            <w:r>
              <w:rPr>
                <w:rFonts w:eastAsiaTheme="minorEastAsia"/>
                <w:bCs/>
                <w:sz w:val="18"/>
                <w:szCs w:val="18"/>
              </w:rPr>
              <w:t xml:space="preserve"> / %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0.26 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0.25 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0.40 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pStyle w:val="84"/>
              <w:widowControl/>
              <w:numPr>
                <w:ilvl w:val="1"/>
                <w:numId w:val="4"/>
              </w:numPr>
              <w:ind w:firstLineChars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eastAsia="黑体"/>
        </w:rPr>
      </w:pPr>
    </w:p>
    <w:p>
      <w:pPr>
        <w:rPr>
          <w:rFonts w:eastAsia="黑体"/>
        </w:rPr>
      </w:pPr>
      <w:r>
        <w:rPr>
          <w:rFonts w:eastAsia="黑体"/>
        </w:rPr>
        <w:t xml:space="preserve">6 </w:t>
      </w:r>
      <w:r>
        <w:rPr>
          <w:rFonts w:hint="eastAsia" w:eastAsia="黑体"/>
        </w:rPr>
        <w:t xml:space="preserve"> </w:t>
      </w:r>
      <w:r>
        <w:rPr>
          <w:rFonts w:eastAsia="黑体"/>
        </w:rPr>
        <w:t>试验报告</w:t>
      </w:r>
    </w:p>
    <w:p>
      <w:pPr>
        <w:rPr>
          <w:rFonts w:eastAsia="黑体"/>
        </w:rPr>
      </w:pPr>
    </w:p>
    <w:p>
      <w:pPr>
        <w:pStyle w:val="46"/>
        <w:widowControl w:val="0"/>
        <w:autoSpaceDE/>
        <w:autoSpaceDN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试验报告至少应包括以下几个方面的内容：</w:t>
      </w:r>
    </w:p>
    <w:p>
      <w:pPr>
        <w:pStyle w:val="46"/>
        <w:widowControl w:val="0"/>
        <w:autoSpaceDE/>
        <w:autoSpaceDN/>
        <w:ind w:left="420" w:firstLine="0"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eastAsia="宋体" w:cs="Times New Roman"/>
          <w:szCs w:val="21"/>
        </w:rPr>
        <w:t>试样；</w:t>
      </w:r>
    </w:p>
    <w:p>
      <w:pPr>
        <w:pStyle w:val="46"/>
        <w:widowControl w:val="0"/>
        <w:autoSpaceDE/>
        <w:autoSpaceDN/>
        <w:ind w:left="420" w:firstLine="0" w:firstLineChars="0"/>
        <w:rPr>
          <w:rFonts w:ascii="Times New Roman" w:hAnsi="Times New Roman" w:cs="Times New Roman"/>
          <w:strike/>
          <w:color w:val="FF0000"/>
          <w:szCs w:val="21"/>
        </w:rPr>
      </w:pP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eastAsia="宋体" w:cs="Times New Roman"/>
          <w:szCs w:val="21"/>
        </w:rPr>
        <w:t>使用的标准</w:t>
      </w:r>
      <w:r>
        <w:rPr>
          <w:rFonts w:ascii="Times New Roman" w:hAnsi="Times New Roman" w:cs="Times New Roman"/>
          <w:szCs w:val="21"/>
        </w:rPr>
        <w:t>（YS/T XXX.4—202X）；</w:t>
      </w:r>
    </w:p>
    <w:p>
      <w:pPr>
        <w:pStyle w:val="46"/>
        <w:widowControl w:val="0"/>
        <w:autoSpaceDE/>
        <w:autoSpaceDN/>
        <w:ind w:left="420" w:firstLine="0"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eastAsia="宋体" w:cs="Times New Roman"/>
          <w:szCs w:val="21"/>
        </w:rPr>
        <w:t>分析结果及其表示；</w:t>
      </w:r>
    </w:p>
    <w:p>
      <w:pPr>
        <w:pStyle w:val="46"/>
        <w:widowControl w:val="0"/>
        <w:autoSpaceDE/>
        <w:autoSpaceDN/>
        <w:ind w:left="420" w:firstLine="0"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eastAsia="宋体" w:cs="Times New Roman"/>
          <w:szCs w:val="21"/>
        </w:rPr>
        <w:t>与基本分析步骤的差异；</w:t>
      </w:r>
    </w:p>
    <w:p>
      <w:pPr>
        <w:pStyle w:val="46"/>
        <w:widowControl w:val="0"/>
        <w:autoSpaceDE/>
        <w:autoSpaceDN/>
        <w:ind w:left="420" w:firstLine="0"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eastAsia="宋体" w:cs="Times New Roman"/>
          <w:szCs w:val="21"/>
        </w:rPr>
        <w:t>测定中观察到的异常现象；</w:t>
      </w:r>
    </w:p>
    <w:p>
      <w:pPr>
        <w:pStyle w:val="46"/>
        <w:widowControl w:val="0"/>
        <w:autoSpaceDE/>
        <w:autoSpaceDN/>
        <w:ind w:left="420"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eastAsia="宋体" w:cs="Times New Roman"/>
          <w:szCs w:val="21"/>
        </w:rPr>
        <w:t>试验日期。</w:t>
      </w:r>
    </w:p>
    <w:p>
      <w:pPr>
        <w:pStyle w:val="46"/>
        <w:widowControl w:val="0"/>
        <w:autoSpaceDE/>
        <w:autoSpaceDN/>
        <w:ind w:firstLineChars="0"/>
        <w:rPr>
          <w:rFonts w:ascii="Times New Roman" w:hAnsi="Times New Roman" w:eastAsia="黑体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1639570</wp:posOffset>
                </wp:positionH>
                <wp:positionV relativeFrom="paragraph">
                  <wp:posOffset>419735</wp:posOffset>
                </wp:positionV>
                <wp:extent cx="2262505" cy="12065"/>
                <wp:effectExtent l="0" t="0" r="4445" b="6985"/>
                <wp:wrapNone/>
                <wp:docPr id="8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2505" cy="12065"/>
                        </a:xfrm>
                        <a:prstGeom prst="line">
                          <a:avLst/>
                        </a:prstGeom>
                        <a:ln w="9525"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flip:y;margin-left:129.1pt;margin-top:33.05pt;height:0.95pt;width:178.15pt;z-index:251672576;mso-width-relative:page;mso-height-relative:page;" filled="f" stroked="t" coordsize="21600,21600" o:gfxdata="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YjoZdcAAAAJAQAADwAAAAAAAAABACAAAAAiAAAAZHJzL2Rvd25yZXYueG1sUEsBAhQAFAAA&#10;AAgAh07iQIfL5q/wAQAA3wMAAA4AAAAAAAAAAQAgAAAAJgEAAGRycy9lMm9Eb2MueG1sUEsFBgAA&#10;AAAGAAYAWQEAAIg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11" w:type="default"/>
      <w:pgSz w:w="11906" w:h="16838"/>
      <w:pgMar w:top="1440" w:right="1361" w:bottom="1440" w:left="136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FZXB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  <w:rPr>
        <w:rStyle w:val="37"/>
      </w:rPr>
    </w:pPr>
    <w:r>
      <w:fldChar w:fldCharType="begin"/>
    </w:r>
    <w:r>
      <w:rPr>
        <w:rStyle w:val="37"/>
      </w:rPr>
      <w:instrText xml:space="preserve">PAGE  </w:instrText>
    </w:r>
    <w:r>
      <w:fldChar w:fldCharType="separate"/>
    </w:r>
    <w:r>
      <w:rPr>
        <w:rStyle w:val="37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6"/>
      <w:rPr>
        <w:rStyle w:val="37"/>
      </w:rPr>
    </w:pPr>
    <w:r>
      <w:fldChar w:fldCharType="begin"/>
    </w:r>
    <w:r>
      <w:rPr>
        <w:rStyle w:val="37"/>
      </w:rPr>
      <w:instrText xml:space="preserve">PAGE 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left="5760" w:right="360" w:hanging="5760" w:hangingChars="3200"/>
      <w:jc w:val="right"/>
    </w:pPr>
    <w:r>
      <w:fldChar w:fldCharType="begin"/>
    </w:r>
    <w:r>
      <w:rPr>
        <w:rStyle w:val="37"/>
      </w:rPr>
      <w:instrText xml:space="preserve"> PAGE </w:instrText>
    </w:r>
    <w:r>
      <w:fldChar w:fldCharType="separate"/>
    </w:r>
    <w:r>
      <w:rPr>
        <w:rStyle w:val="37"/>
      </w:rPr>
      <w:t>I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right="1080" w:firstLine="360" w:firstLineChars="200"/>
    </w:pPr>
    <w:r>
      <w:fldChar w:fldCharType="begin"/>
    </w:r>
    <w:r>
      <w:rPr>
        <w:rStyle w:val="37"/>
      </w:rPr>
      <w:instrText xml:space="preserve"> PAGE </w:instrText>
    </w:r>
    <w:r>
      <w:fldChar w:fldCharType="separate"/>
    </w:r>
    <w:r>
      <w:rPr>
        <w:rStyle w:val="37"/>
      </w:rPr>
      <w:t>6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0"/>
      <w:wordWrap w:val="0"/>
      <w:rPr>
        <w:rFonts w:eastAsia="黑体"/>
        <w:color w:val="FF0000"/>
        <w:sz w:val="16"/>
        <w:szCs w:val="16"/>
      </w:rPr>
    </w:pPr>
    <w:r>
      <w:rPr>
        <w:rFonts w:eastAsia="黑体"/>
        <w:color w:val="FF0000"/>
        <w:szCs w:val="21"/>
      </w:rPr>
      <w:t>YS/T XXXX.4—202X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0"/>
      <w:wordWrap w:val="0"/>
      <w:ind w:right="840"/>
      <w:jc w:val="both"/>
      <w:rPr>
        <w:rFonts w:ascii="黑体" w:hAnsi="黑体" w:eastAsia="黑体" w:cs="黑体"/>
        <w:sz w:val="28"/>
        <w:szCs w:val="28"/>
      </w:rPr>
    </w:pPr>
    <w:r>
      <w:rPr>
        <w:rFonts w:eastAsia="黑体"/>
        <w:color w:val="FF0000"/>
        <w:szCs w:val="21"/>
      </w:rPr>
      <w:t>YS/T XXXX.4—202X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0"/>
      <w:wordWrap w:val="0"/>
      <w:rPr>
        <w:rFonts w:ascii="黑体" w:eastAsia="黑体"/>
      </w:rPr>
    </w:pPr>
  </w:p>
  <w:p>
    <w:pPr>
      <w:pStyle w:val="7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B5804"/>
    <w:multiLevelType w:val="multilevel"/>
    <w:tmpl w:val="4CCB5804"/>
    <w:lvl w:ilvl="0" w:tentative="0">
      <w:start w:val="0"/>
      <w:numFmt w:val="decimal"/>
      <w:lvlText w:val="%1"/>
      <w:lvlJc w:val="left"/>
      <w:pPr>
        <w:ind w:left="480" w:hanging="480"/>
      </w:pPr>
      <w:rPr>
        <w:rFonts w:hint="default"/>
      </w:rPr>
    </w:lvl>
    <w:lvl w:ilvl="1" w:tentative="0">
      <w:start w:val="41"/>
      <w:numFmt w:val="decimal"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A025719"/>
    <w:multiLevelType w:val="multilevel"/>
    <w:tmpl w:val="5A025719"/>
    <w:lvl w:ilvl="0" w:tentative="0">
      <w:start w:val="1"/>
      <w:numFmt w:val="decimal"/>
      <w:pStyle w:val="118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EA2025"/>
    <w:multiLevelType w:val="multilevel"/>
    <w:tmpl w:val="6CEA2025"/>
    <w:lvl w:ilvl="0" w:tentative="0">
      <w:start w:val="1"/>
      <w:numFmt w:val="none"/>
      <w:pStyle w:val="124"/>
      <w:suff w:val="nothing"/>
      <w:lvlText w:val="%1"/>
      <w:lvlJc w:val="left"/>
      <w:pPr>
        <w:ind w:left="0" w:firstLine="0"/>
      </w:pPr>
      <w:rPr>
        <w:rFonts w:hint="default" w:ascii="Times New Roman" w:hAnsi="Times New Roman" w:cs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abstractNum w:abstractNumId="3">
    <w:nsid w:val="76933334"/>
    <w:multiLevelType w:val="multilevel"/>
    <w:tmpl w:val="76933334"/>
    <w:lvl w:ilvl="0" w:tentative="0">
      <w:start w:val="1"/>
      <w:numFmt w:val="none"/>
      <w:pStyle w:val="110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08"/>
    <w:rsid w:val="00014B6F"/>
    <w:rsid w:val="00027703"/>
    <w:rsid w:val="00040599"/>
    <w:rsid w:val="00051C37"/>
    <w:rsid w:val="00056FF1"/>
    <w:rsid w:val="0006521B"/>
    <w:rsid w:val="000802F5"/>
    <w:rsid w:val="00084D82"/>
    <w:rsid w:val="000929CC"/>
    <w:rsid w:val="00097334"/>
    <w:rsid w:val="000B3E5C"/>
    <w:rsid w:val="000B49A5"/>
    <w:rsid w:val="000C2849"/>
    <w:rsid w:val="000F1E08"/>
    <w:rsid w:val="000F3FB9"/>
    <w:rsid w:val="00106436"/>
    <w:rsid w:val="001201C7"/>
    <w:rsid w:val="00122BAB"/>
    <w:rsid w:val="00123222"/>
    <w:rsid w:val="00126799"/>
    <w:rsid w:val="00127257"/>
    <w:rsid w:val="00132043"/>
    <w:rsid w:val="00141170"/>
    <w:rsid w:val="00156351"/>
    <w:rsid w:val="0016012C"/>
    <w:rsid w:val="00164ABB"/>
    <w:rsid w:val="00165311"/>
    <w:rsid w:val="00170A6D"/>
    <w:rsid w:val="00172234"/>
    <w:rsid w:val="00174FEA"/>
    <w:rsid w:val="001A05FF"/>
    <w:rsid w:val="001A064E"/>
    <w:rsid w:val="001A28AF"/>
    <w:rsid w:val="001B25AC"/>
    <w:rsid w:val="001B3499"/>
    <w:rsid w:val="001B46B1"/>
    <w:rsid w:val="001B4CFC"/>
    <w:rsid w:val="001D739C"/>
    <w:rsid w:val="001D7D5F"/>
    <w:rsid w:val="001E0E90"/>
    <w:rsid w:val="001E3E71"/>
    <w:rsid w:val="001E44FD"/>
    <w:rsid w:val="001E6A14"/>
    <w:rsid w:val="001E703A"/>
    <w:rsid w:val="001F236B"/>
    <w:rsid w:val="002001A1"/>
    <w:rsid w:val="00200E9A"/>
    <w:rsid w:val="00213F16"/>
    <w:rsid w:val="00215AA3"/>
    <w:rsid w:val="00217F9C"/>
    <w:rsid w:val="0022577A"/>
    <w:rsid w:val="002263AD"/>
    <w:rsid w:val="00227021"/>
    <w:rsid w:val="00233467"/>
    <w:rsid w:val="0025503A"/>
    <w:rsid w:val="002609F1"/>
    <w:rsid w:val="00267C2D"/>
    <w:rsid w:val="00277873"/>
    <w:rsid w:val="002810EB"/>
    <w:rsid w:val="00297592"/>
    <w:rsid w:val="002A57F5"/>
    <w:rsid w:val="002B7603"/>
    <w:rsid w:val="002C1F9F"/>
    <w:rsid w:val="002C2D57"/>
    <w:rsid w:val="002D1EC5"/>
    <w:rsid w:val="002D36F7"/>
    <w:rsid w:val="002E135A"/>
    <w:rsid w:val="002E4A5B"/>
    <w:rsid w:val="002F3A62"/>
    <w:rsid w:val="002F62D3"/>
    <w:rsid w:val="00304CAE"/>
    <w:rsid w:val="00307E8B"/>
    <w:rsid w:val="00312C4E"/>
    <w:rsid w:val="003200E0"/>
    <w:rsid w:val="00344D62"/>
    <w:rsid w:val="003569C4"/>
    <w:rsid w:val="00362298"/>
    <w:rsid w:val="00364C0E"/>
    <w:rsid w:val="00373167"/>
    <w:rsid w:val="00385CA1"/>
    <w:rsid w:val="003A01DF"/>
    <w:rsid w:val="003A32EA"/>
    <w:rsid w:val="003C251C"/>
    <w:rsid w:val="003C7A38"/>
    <w:rsid w:val="003E218B"/>
    <w:rsid w:val="003F79BA"/>
    <w:rsid w:val="0040344B"/>
    <w:rsid w:val="004112E1"/>
    <w:rsid w:val="00427E37"/>
    <w:rsid w:val="0043019E"/>
    <w:rsid w:val="0043053E"/>
    <w:rsid w:val="004470A4"/>
    <w:rsid w:val="00461C5F"/>
    <w:rsid w:val="00480028"/>
    <w:rsid w:val="0048547E"/>
    <w:rsid w:val="00487831"/>
    <w:rsid w:val="004976C4"/>
    <w:rsid w:val="004A6D21"/>
    <w:rsid w:val="004B38F6"/>
    <w:rsid w:val="004C3A60"/>
    <w:rsid w:val="00501C48"/>
    <w:rsid w:val="005123F2"/>
    <w:rsid w:val="005207CA"/>
    <w:rsid w:val="00551AE0"/>
    <w:rsid w:val="00553051"/>
    <w:rsid w:val="00561823"/>
    <w:rsid w:val="00571311"/>
    <w:rsid w:val="005858DF"/>
    <w:rsid w:val="005A6101"/>
    <w:rsid w:val="005B06F7"/>
    <w:rsid w:val="005C7552"/>
    <w:rsid w:val="005D437E"/>
    <w:rsid w:val="005E6494"/>
    <w:rsid w:val="005F3CF5"/>
    <w:rsid w:val="005F743C"/>
    <w:rsid w:val="00610C50"/>
    <w:rsid w:val="006135FE"/>
    <w:rsid w:val="0062075D"/>
    <w:rsid w:val="00624059"/>
    <w:rsid w:val="00644685"/>
    <w:rsid w:val="00646FFF"/>
    <w:rsid w:val="00651042"/>
    <w:rsid w:val="00665605"/>
    <w:rsid w:val="00684972"/>
    <w:rsid w:val="00694EF1"/>
    <w:rsid w:val="006A1C23"/>
    <w:rsid w:val="006A2350"/>
    <w:rsid w:val="006C2E5C"/>
    <w:rsid w:val="006C45FD"/>
    <w:rsid w:val="006F0DB3"/>
    <w:rsid w:val="006F6EC4"/>
    <w:rsid w:val="006F747A"/>
    <w:rsid w:val="0070453F"/>
    <w:rsid w:val="00707D19"/>
    <w:rsid w:val="007215E9"/>
    <w:rsid w:val="007239B8"/>
    <w:rsid w:val="0073407F"/>
    <w:rsid w:val="007342CA"/>
    <w:rsid w:val="00741BAF"/>
    <w:rsid w:val="00741EDD"/>
    <w:rsid w:val="00743941"/>
    <w:rsid w:val="00752B56"/>
    <w:rsid w:val="007567C2"/>
    <w:rsid w:val="00765ED4"/>
    <w:rsid w:val="00770B08"/>
    <w:rsid w:val="00770EF2"/>
    <w:rsid w:val="00771282"/>
    <w:rsid w:val="0077538A"/>
    <w:rsid w:val="00783D08"/>
    <w:rsid w:val="00795676"/>
    <w:rsid w:val="00796E8A"/>
    <w:rsid w:val="007B0B9D"/>
    <w:rsid w:val="007B3E56"/>
    <w:rsid w:val="007B52A5"/>
    <w:rsid w:val="007C111C"/>
    <w:rsid w:val="007E1626"/>
    <w:rsid w:val="007E2227"/>
    <w:rsid w:val="007F14BD"/>
    <w:rsid w:val="007F4A69"/>
    <w:rsid w:val="007F631A"/>
    <w:rsid w:val="008032BB"/>
    <w:rsid w:val="00804E6D"/>
    <w:rsid w:val="00813488"/>
    <w:rsid w:val="00822A72"/>
    <w:rsid w:val="0082427D"/>
    <w:rsid w:val="008260E0"/>
    <w:rsid w:val="00832339"/>
    <w:rsid w:val="00837021"/>
    <w:rsid w:val="00860B61"/>
    <w:rsid w:val="00874B46"/>
    <w:rsid w:val="008874B2"/>
    <w:rsid w:val="008B2BBD"/>
    <w:rsid w:val="008B7ACB"/>
    <w:rsid w:val="008C4242"/>
    <w:rsid w:val="008C6723"/>
    <w:rsid w:val="008D266B"/>
    <w:rsid w:val="008D3A74"/>
    <w:rsid w:val="008F610D"/>
    <w:rsid w:val="00905FAC"/>
    <w:rsid w:val="009105DB"/>
    <w:rsid w:val="00926F1B"/>
    <w:rsid w:val="00932656"/>
    <w:rsid w:val="00937EE1"/>
    <w:rsid w:val="00941140"/>
    <w:rsid w:val="009519A7"/>
    <w:rsid w:val="00970ABA"/>
    <w:rsid w:val="00980F03"/>
    <w:rsid w:val="009827B3"/>
    <w:rsid w:val="00984073"/>
    <w:rsid w:val="00986485"/>
    <w:rsid w:val="00986C64"/>
    <w:rsid w:val="00994674"/>
    <w:rsid w:val="009953DC"/>
    <w:rsid w:val="00995E1D"/>
    <w:rsid w:val="009B2A65"/>
    <w:rsid w:val="009B5E5C"/>
    <w:rsid w:val="009B75E3"/>
    <w:rsid w:val="009C2507"/>
    <w:rsid w:val="009C6558"/>
    <w:rsid w:val="009D424F"/>
    <w:rsid w:val="00A02A29"/>
    <w:rsid w:val="00A265B7"/>
    <w:rsid w:val="00A539ED"/>
    <w:rsid w:val="00A72F4D"/>
    <w:rsid w:val="00A7601E"/>
    <w:rsid w:val="00AC26E6"/>
    <w:rsid w:val="00AC32D6"/>
    <w:rsid w:val="00AF1EBF"/>
    <w:rsid w:val="00AF201B"/>
    <w:rsid w:val="00B06E4D"/>
    <w:rsid w:val="00B07450"/>
    <w:rsid w:val="00B128A5"/>
    <w:rsid w:val="00B256B8"/>
    <w:rsid w:val="00B30DE2"/>
    <w:rsid w:val="00B40FDC"/>
    <w:rsid w:val="00B42EDF"/>
    <w:rsid w:val="00B436D6"/>
    <w:rsid w:val="00B57889"/>
    <w:rsid w:val="00B7224B"/>
    <w:rsid w:val="00B80EAF"/>
    <w:rsid w:val="00B90437"/>
    <w:rsid w:val="00B96904"/>
    <w:rsid w:val="00BA0183"/>
    <w:rsid w:val="00BC3D23"/>
    <w:rsid w:val="00BC4F7A"/>
    <w:rsid w:val="00BD008F"/>
    <w:rsid w:val="00BE679B"/>
    <w:rsid w:val="00BE760A"/>
    <w:rsid w:val="00BF02D5"/>
    <w:rsid w:val="00BF096B"/>
    <w:rsid w:val="00C0488A"/>
    <w:rsid w:val="00C10BBD"/>
    <w:rsid w:val="00C120FC"/>
    <w:rsid w:val="00C127D3"/>
    <w:rsid w:val="00C14170"/>
    <w:rsid w:val="00C23898"/>
    <w:rsid w:val="00C31F6C"/>
    <w:rsid w:val="00C40518"/>
    <w:rsid w:val="00C44672"/>
    <w:rsid w:val="00C45EC7"/>
    <w:rsid w:val="00C54A72"/>
    <w:rsid w:val="00C7126D"/>
    <w:rsid w:val="00C77099"/>
    <w:rsid w:val="00C834CB"/>
    <w:rsid w:val="00C91227"/>
    <w:rsid w:val="00C94843"/>
    <w:rsid w:val="00CB2922"/>
    <w:rsid w:val="00CB43C2"/>
    <w:rsid w:val="00CB6D81"/>
    <w:rsid w:val="00CC476C"/>
    <w:rsid w:val="00CE1CD1"/>
    <w:rsid w:val="00CF3F80"/>
    <w:rsid w:val="00CF741C"/>
    <w:rsid w:val="00D11CDC"/>
    <w:rsid w:val="00D403F4"/>
    <w:rsid w:val="00D52A2D"/>
    <w:rsid w:val="00D575F2"/>
    <w:rsid w:val="00D57637"/>
    <w:rsid w:val="00D6439A"/>
    <w:rsid w:val="00D740BF"/>
    <w:rsid w:val="00D82C3E"/>
    <w:rsid w:val="00D95856"/>
    <w:rsid w:val="00DB454C"/>
    <w:rsid w:val="00DB7F1C"/>
    <w:rsid w:val="00DC120B"/>
    <w:rsid w:val="00DC7B26"/>
    <w:rsid w:val="00DC7DFE"/>
    <w:rsid w:val="00DD6D56"/>
    <w:rsid w:val="00DE3335"/>
    <w:rsid w:val="00DF146F"/>
    <w:rsid w:val="00DF17B5"/>
    <w:rsid w:val="00DF39D9"/>
    <w:rsid w:val="00DF6866"/>
    <w:rsid w:val="00E01BEB"/>
    <w:rsid w:val="00E33E07"/>
    <w:rsid w:val="00E66B42"/>
    <w:rsid w:val="00EA32DB"/>
    <w:rsid w:val="00EB24CD"/>
    <w:rsid w:val="00ED35ED"/>
    <w:rsid w:val="00ED7A5C"/>
    <w:rsid w:val="00EE0CFD"/>
    <w:rsid w:val="00F11287"/>
    <w:rsid w:val="00F3324B"/>
    <w:rsid w:val="00F35D03"/>
    <w:rsid w:val="00F573FA"/>
    <w:rsid w:val="00F6363D"/>
    <w:rsid w:val="00F67749"/>
    <w:rsid w:val="00F74567"/>
    <w:rsid w:val="00F772C0"/>
    <w:rsid w:val="00F82EA4"/>
    <w:rsid w:val="00F8465D"/>
    <w:rsid w:val="00F8769F"/>
    <w:rsid w:val="00F87B07"/>
    <w:rsid w:val="00FA102F"/>
    <w:rsid w:val="00FB1F8B"/>
    <w:rsid w:val="00FB445F"/>
    <w:rsid w:val="00FD0C93"/>
    <w:rsid w:val="00FE09D4"/>
    <w:rsid w:val="00FE2FD8"/>
    <w:rsid w:val="046C6EC7"/>
    <w:rsid w:val="06714FB4"/>
    <w:rsid w:val="0AB75C1B"/>
    <w:rsid w:val="0ABD3456"/>
    <w:rsid w:val="0C8807D5"/>
    <w:rsid w:val="0D90545F"/>
    <w:rsid w:val="0EF12043"/>
    <w:rsid w:val="11037CA8"/>
    <w:rsid w:val="11410B8C"/>
    <w:rsid w:val="146B4C65"/>
    <w:rsid w:val="17792FCB"/>
    <w:rsid w:val="17A50836"/>
    <w:rsid w:val="1EAF632C"/>
    <w:rsid w:val="21352BDF"/>
    <w:rsid w:val="238229C7"/>
    <w:rsid w:val="239C2D95"/>
    <w:rsid w:val="2557317B"/>
    <w:rsid w:val="2B901DD1"/>
    <w:rsid w:val="2DAD1E1D"/>
    <w:rsid w:val="313F5491"/>
    <w:rsid w:val="31DC7F2D"/>
    <w:rsid w:val="35B20B41"/>
    <w:rsid w:val="38A1672D"/>
    <w:rsid w:val="3DD70D02"/>
    <w:rsid w:val="3F022445"/>
    <w:rsid w:val="43F77E7F"/>
    <w:rsid w:val="44097B54"/>
    <w:rsid w:val="4423059F"/>
    <w:rsid w:val="477D05B5"/>
    <w:rsid w:val="47E8424D"/>
    <w:rsid w:val="4BCC650A"/>
    <w:rsid w:val="4C9107C7"/>
    <w:rsid w:val="4CA71720"/>
    <w:rsid w:val="4D1D5C6B"/>
    <w:rsid w:val="53CF34AC"/>
    <w:rsid w:val="54E95D2E"/>
    <w:rsid w:val="56850060"/>
    <w:rsid w:val="56F27E53"/>
    <w:rsid w:val="574D65F8"/>
    <w:rsid w:val="58B953D0"/>
    <w:rsid w:val="59011F83"/>
    <w:rsid w:val="5B2D517E"/>
    <w:rsid w:val="5CC62224"/>
    <w:rsid w:val="608B26D1"/>
    <w:rsid w:val="60BE75D9"/>
    <w:rsid w:val="61D72A29"/>
    <w:rsid w:val="63231C27"/>
    <w:rsid w:val="63886D0C"/>
    <w:rsid w:val="659C5746"/>
    <w:rsid w:val="65EB6206"/>
    <w:rsid w:val="661B5BE0"/>
    <w:rsid w:val="669B3685"/>
    <w:rsid w:val="696B5A06"/>
    <w:rsid w:val="69CC19B0"/>
    <w:rsid w:val="6A6D09E4"/>
    <w:rsid w:val="6D3F3591"/>
    <w:rsid w:val="6E0F20C3"/>
    <w:rsid w:val="6EC12225"/>
    <w:rsid w:val="6F891A9D"/>
    <w:rsid w:val="6FCD784A"/>
    <w:rsid w:val="70653C94"/>
    <w:rsid w:val="71B63345"/>
    <w:rsid w:val="722C6D49"/>
    <w:rsid w:val="73243531"/>
    <w:rsid w:val="76BB4B16"/>
    <w:rsid w:val="77AA778D"/>
    <w:rsid w:val="77DE3170"/>
    <w:rsid w:val="7B5E5C5A"/>
    <w:rsid w:val="7C8361B6"/>
    <w:rsid w:val="7C9B0213"/>
    <w:rsid w:val="7D3D5D24"/>
    <w:rsid w:val="7E224D3F"/>
    <w:rsid w:val="7F1146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qFormat="1" w:unhideWhenUsed="0" w:uiPriority="0" w:semiHidden="0" w:name="toc 7"/>
    <w:lsdException w:qFormat="1" w:unhideWhenUsed="0" w:uiPriority="0" w:semiHidden="0" w:name="toc 8"/>
    <w:lsdException w:uiPriority="39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0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0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0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0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0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0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94"/>
    <w:qFormat/>
    <w:uiPriority w:val="0"/>
    <w:pPr>
      <w:keepNext/>
      <w:jc w:val="center"/>
      <w:outlineLvl w:val="0"/>
    </w:pPr>
    <w:rPr>
      <w:b/>
      <w:bCs/>
      <w:sz w:val="32"/>
      <w:szCs w:val="24"/>
    </w:rPr>
  </w:style>
  <w:style w:type="paragraph" w:styleId="3">
    <w:name w:val="heading 2"/>
    <w:basedOn w:val="1"/>
    <w:next w:val="1"/>
    <w:link w:val="44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95"/>
    <w:qFormat/>
    <w:uiPriority w:val="9"/>
    <w:pPr>
      <w:keepNext/>
      <w:keepLines/>
      <w:spacing w:line="416" w:lineRule="auto"/>
      <w:outlineLvl w:val="2"/>
    </w:pPr>
    <w:rPr>
      <w:rFonts w:ascii="Calibri" w:hAnsi="Calibri"/>
      <w:b/>
      <w:bCs/>
      <w:szCs w:val="32"/>
    </w:rPr>
  </w:style>
  <w:style w:type="paragraph" w:styleId="5">
    <w:name w:val="heading 4"/>
    <w:basedOn w:val="1"/>
    <w:next w:val="6"/>
    <w:link w:val="96"/>
    <w:qFormat/>
    <w:uiPriority w:val="0"/>
    <w:pPr>
      <w:keepNext/>
      <w:jc w:val="center"/>
      <w:outlineLvl w:val="3"/>
    </w:pPr>
    <w:rPr>
      <w:sz w:val="44"/>
      <w:szCs w:val="24"/>
    </w:rPr>
  </w:style>
  <w:style w:type="character" w:default="1" w:styleId="36">
    <w:name w:val="Default Paragraph Font"/>
    <w:semiHidden/>
    <w:unhideWhenUsed/>
    <w:uiPriority w:val="1"/>
  </w:style>
  <w:style w:type="table" w:default="1" w:styleId="2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7">
    <w:name w:val="toc 7"/>
    <w:basedOn w:val="1"/>
    <w:next w:val="1"/>
    <w:qFormat/>
    <w:uiPriority w:val="0"/>
    <w:pPr>
      <w:ind w:left="2520" w:leftChars="1200"/>
    </w:pPr>
  </w:style>
  <w:style w:type="paragraph" w:styleId="8">
    <w:name w:val="Document Map"/>
    <w:basedOn w:val="1"/>
    <w:link w:val="65"/>
    <w:qFormat/>
    <w:uiPriority w:val="0"/>
    <w:pPr>
      <w:shd w:val="clear" w:color="auto" w:fill="000080"/>
    </w:pPr>
  </w:style>
  <w:style w:type="paragraph" w:styleId="9">
    <w:name w:val="annotation text"/>
    <w:basedOn w:val="1"/>
    <w:link w:val="85"/>
    <w:qFormat/>
    <w:uiPriority w:val="0"/>
    <w:pPr>
      <w:jc w:val="left"/>
    </w:pPr>
  </w:style>
  <w:style w:type="paragraph" w:styleId="10">
    <w:name w:val="Body Text"/>
    <w:basedOn w:val="1"/>
    <w:link w:val="97"/>
    <w:qFormat/>
    <w:uiPriority w:val="0"/>
    <w:pPr>
      <w:tabs>
        <w:tab w:val="left" w:pos="5040"/>
      </w:tabs>
    </w:pPr>
    <w:rPr>
      <w:rFonts w:ascii="宋体" w:hAnsi="宋体"/>
      <w:sz w:val="24"/>
      <w:szCs w:val="24"/>
    </w:rPr>
  </w:style>
  <w:style w:type="paragraph" w:styleId="11">
    <w:name w:val="Body Text Indent"/>
    <w:basedOn w:val="1"/>
    <w:link w:val="64"/>
    <w:qFormat/>
    <w:uiPriority w:val="0"/>
    <w:pPr>
      <w:ind w:firstLine="480" w:firstLineChars="200"/>
    </w:pPr>
    <w:rPr>
      <w:sz w:val="24"/>
    </w:rPr>
  </w:style>
  <w:style w:type="paragraph" w:styleId="12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13">
    <w:name w:val="Plain Text"/>
    <w:basedOn w:val="1"/>
    <w:link w:val="83"/>
    <w:qFormat/>
    <w:uiPriority w:val="0"/>
    <w:rPr>
      <w:rFonts w:ascii="宋体" w:hAnsi="Courier New" w:cs="Courier New"/>
      <w:szCs w:val="21"/>
    </w:rPr>
  </w:style>
  <w:style w:type="paragraph" w:styleId="14">
    <w:name w:val="toc 8"/>
    <w:basedOn w:val="7"/>
    <w:next w:val="1"/>
    <w:qFormat/>
    <w:uiPriority w:val="0"/>
    <w:pPr>
      <w:widowControl/>
      <w:tabs>
        <w:tab w:val="left" w:pos="9000"/>
      </w:tabs>
      <w:ind w:left="0" w:leftChars="0"/>
    </w:pPr>
    <w:rPr>
      <w:rFonts w:ascii="宋体"/>
      <w:kern w:val="0"/>
    </w:rPr>
  </w:style>
  <w:style w:type="paragraph" w:styleId="15">
    <w:name w:val="Date"/>
    <w:basedOn w:val="1"/>
    <w:next w:val="1"/>
    <w:link w:val="88"/>
    <w:qFormat/>
    <w:uiPriority w:val="0"/>
    <w:pPr>
      <w:ind w:left="100" w:leftChars="2500"/>
    </w:pPr>
  </w:style>
  <w:style w:type="paragraph" w:styleId="16">
    <w:name w:val="Body Text Indent 2"/>
    <w:basedOn w:val="1"/>
    <w:link w:val="98"/>
    <w:qFormat/>
    <w:uiPriority w:val="0"/>
    <w:pPr>
      <w:ind w:firstLine="508" w:firstLineChars="242"/>
    </w:pPr>
    <w:rPr>
      <w:szCs w:val="24"/>
    </w:rPr>
  </w:style>
  <w:style w:type="paragraph" w:styleId="17">
    <w:name w:val="Balloon Text"/>
    <w:basedOn w:val="1"/>
    <w:link w:val="66"/>
    <w:qFormat/>
    <w:uiPriority w:val="0"/>
    <w:rPr>
      <w:sz w:val="18"/>
    </w:rPr>
  </w:style>
  <w:style w:type="paragraph" w:styleId="18">
    <w:name w:val="footer"/>
    <w:basedOn w:val="1"/>
    <w:link w:val="4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unhideWhenUsed/>
    <w:qFormat/>
    <w:uiPriority w:val="39"/>
    <w:rPr>
      <w:rFonts w:ascii="Calibri" w:hAnsi="Calibri"/>
      <w:szCs w:val="22"/>
    </w:rPr>
  </w:style>
  <w:style w:type="paragraph" w:styleId="21">
    <w:name w:val="footnote text"/>
    <w:basedOn w:val="1"/>
    <w:link w:val="63"/>
    <w:qFormat/>
    <w:uiPriority w:val="0"/>
    <w:pPr>
      <w:snapToGrid w:val="0"/>
      <w:jc w:val="left"/>
    </w:pPr>
    <w:rPr>
      <w:sz w:val="18"/>
    </w:rPr>
  </w:style>
  <w:style w:type="paragraph" w:styleId="22">
    <w:name w:val="Body Text Indent 3"/>
    <w:basedOn w:val="1"/>
    <w:link w:val="99"/>
    <w:qFormat/>
    <w:uiPriority w:val="0"/>
    <w:pPr>
      <w:ind w:firstLine="405" w:firstLineChars="193"/>
    </w:pPr>
    <w:rPr>
      <w:szCs w:val="24"/>
    </w:rPr>
  </w:style>
  <w:style w:type="paragraph" w:styleId="23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24">
    <w:name w:val="Body Text 2"/>
    <w:basedOn w:val="1"/>
    <w:link w:val="100"/>
    <w:qFormat/>
    <w:uiPriority w:val="0"/>
    <w:pPr>
      <w:spacing w:line="480" w:lineRule="exact"/>
      <w:jc w:val="left"/>
    </w:pPr>
    <w:rPr>
      <w:spacing w:val="-10"/>
      <w:kern w:val="0"/>
      <w:sz w:val="24"/>
      <w:szCs w:val="24"/>
    </w:rPr>
  </w:style>
  <w:style w:type="paragraph" w:styleId="25">
    <w:name w:val="HTML Preformatted"/>
    <w:basedOn w:val="1"/>
    <w:link w:val="10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annotation subject"/>
    <w:basedOn w:val="9"/>
    <w:next w:val="9"/>
    <w:link w:val="86"/>
    <w:qFormat/>
    <w:uiPriority w:val="0"/>
    <w:rPr>
      <w:b/>
      <w:bCs/>
    </w:rPr>
  </w:style>
  <w:style w:type="paragraph" w:styleId="27">
    <w:name w:val="Body Text First Indent 2"/>
    <w:basedOn w:val="11"/>
    <w:link w:val="102"/>
    <w:qFormat/>
    <w:uiPriority w:val="0"/>
    <w:pPr>
      <w:spacing w:after="120"/>
      <w:ind w:left="420" w:firstLine="210" w:firstLineChars="0"/>
    </w:pPr>
    <w:rPr>
      <w:rFonts w:hint="eastAsia" w:ascii="宋体" w:hAnsi="宋体"/>
      <w:sz w:val="21"/>
    </w:rPr>
  </w:style>
  <w:style w:type="table" w:styleId="29">
    <w:name w:val="Table Grid"/>
    <w:basedOn w:val="28"/>
    <w:unhideWhenUsed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30">
    <w:name w:val="Medium Grid 3 Accent 1"/>
    <w:basedOn w:val="28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7BFDE"/>
      </w:tcPr>
    </w:tblStylePr>
  </w:style>
  <w:style w:type="table" w:styleId="31">
    <w:name w:val="Medium Grid 3 Accent 2"/>
    <w:basedOn w:val="28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DFA7A6"/>
      </w:tcPr>
    </w:tblStylePr>
  </w:style>
  <w:style w:type="table" w:styleId="32">
    <w:name w:val="Medium Grid 3 Accent 3"/>
    <w:basedOn w:val="28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CDDDAC"/>
      </w:tcPr>
    </w:tblStylePr>
  </w:style>
  <w:style w:type="table" w:styleId="33">
    <w:name w:val="Medium Grid 3 Accent 4"/>
    <w:basedOn w:val="28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BFB1D0"/>
      </w:tcPr>
    </w:tblStylePr>
  </w:style>
  <w:style w:type="table" w:styleId="34">
    <w:name w:val="Medium Grid 3 Accent 5"/>
    <w:basedOn w:val="28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5D5E2"/>
      </w:tcPr>
    </w:tblStylePr>
  </w:style>
  <w:style w:type="table" w:styleId="35">
    <w:name w:val="Medium Grid 3 Accent 6"/>
    <w:basedOn w:val="28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FBCAA2"/>
      </w:tcPr>
    </w:tblStylePr>
  </w:style>
  <w:style w:type="character" w:styleId="37">
    <w:name w:val="page number"/>
    <w:basedOn w:val="36"/>
    <w:qFormat/>
    <w:uiPriority w:val="99"/>
  </w:style>
  <w:style w:type="character" w:styleId="38">
    <w:name w:val="FollowedHyperlink"/>
    <w:qFormat/>
    <w:uiPriority w:val="0"/>
    <w:rPr>
      <w:color w:val="800080"/>
      <w:u w:val="single"/>
    </w:rPr>
  </w:style>
  <w:style w:type="character" w:styleId="39">
    <w:name w:val="Hyperlink"/>
    <w:basedOn w:val="36"/>
    <w:qFormat/>
    <w:uiPriority w:val="99"/>
    <w:rPr>
      <w:color w:val="261CDC"/>
      <w:u w:val="single"/>
    </w:rPr>
  </w:style>
  <w:style w:type="character" w:styleId="40">
    <w:name w:val="annotation reference"/>
    <w:basedOn w:val="36"/>
    <w:qFormat/>
    <w:uiPriority w:val="0"/>
    <w:rPr>
      <w:sz w:val="21"/>
      <w:szCs w:val="21"/>
    </w:rPr>
  </w:style>
  <w:style w:type="character" w:styleId="41">
    <w:name w:val="footnote reference"/>
    <w:basedOn w:val="36"/>
    <w:qFormat/>
    <w:uiPriority w:val="0"/>
    <w:rPr>
      <w:vertAlign w:val="superscript"/>
    </w:rPr>
  </w:style>
  <w:style w:type="character" w:customStyle="1" w:styleId="42">
    <w:name w:val="页眉 字符"/>
    <w:basedOn w:val="36"/>
    <w:link w:val="19"/>
    <w:qFormat/>
    <w:uiPriority w:val="99"/>
    <w:rPr>
      <w:sz w:val="18"/>
      <w:szCs w:val="18"/>
    </w:rPr>
  </w:style>
  <w:style w:type="character" w:customStyle="1" w:styleId="43">
    <w:name w:val="页脚 字符"/>
    <w:basedOn w:val="36"/>
    <w:link w:val="18"/>
    <w:qFormat/>
    <w:uiPriority w:val="99"/>
    <w:rPr>
      <w:sz w:val="18"/>
      <w:szCs w:val="18"/>
    </w:rPr>
  </w:style>
  <w:style w:type="character" w:customStyle="1" w:styleId="44">
    <w:name w:val="标题 2 字符"/>
    <w:basedOn w:val="36"/>
    <w:link w:val="3"/>
    <w:qFormat/>
    <w:uiPriority w:val="9"/>
    <w:rPr>
      <w:rFonts w:ascii="Arial" w:hAnsi="Arial" w:eastAsia="黑体" w:cs="Times New Roman"/>
      <w:b/>
      <w:sz w:val="32"/>
      <w:szCs w:val="20"/>
    </w:rPr>
  </w:style>
  <w:style w:type="character" w:customStyle="1" w:styleId="45">
    <w:name w:val="段 Char"/>
    <w:link w:val="46"/>
    <w:qFormat/>
    <w:uiPriority w:val="0"/>
    <w:rPr>
      <w:rFonts w:ascii="宋体"/>
    </w:rPr>
  </w:style>
  <w:style w:type="paragraph" w:customStyle="1" w:styleId="46">
    <w:name w:val="段"/>
    <w:link w:val="45"/>
    <w:qFormat/>
    <w:uiPriority w:val="0"/>
    <w:pPr>
      <w:autoSpaceDE w:val="0"/>
      <w:autoSpaceDN w:val="0"/>
      <w:ind w:firstLine="20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48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49">
    <w:name w:val="前言、引言标题"/>
    <w:next w:val="1"/>
    <w:qFormat/>
    <w:uiPriority w:val="99"/>
    <w:pPr>
      <w:shd w:val="clear" w:color="FFFFFF" w:fill="FFFFFF"/>
      <w:tabs>
        <w:tab w:val="left" w:pos="720"/>
      </w:tabs>
      <w:spacing w:before="640" w:after="560"/>
      <w:ind w:left="720" w:hanging="72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50">
    <w:name w:val="标准书眉_奇数页"/>
    <w:next w:val="1"/>
    <w:qFormat/>
    <w:uiPriority w:val="99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51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spacing w:val="20"/>
      <w:w w:val="148"/>
      <w:sz w:val="52"/>
      <w:lang w:val="en-US" w:eastAsia="zh-CN" w:bidi="ar-SA"/>
    </w:rPr>
  </w:style>
  <w:style w:type="paragraph" w:customStyle="1" w:styleId="52">
    <w:name w:val="文献分类号"/>
    <w:qFormat/>
    <w:uiPriority w:val="0"/>
    <w:pPr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53">
    <w:name w:val="附录三级条标题"/>
    <w:basedOn w:val="54"/>
    <w:next w:val="46"/>
    <w:qFormat/>
    <w:uiPriority w:val="0"/>
    <w:pPr>
      <w:outlineLvl w:val="4"/>
    </w:pPr>
  </w:style>
  <w:style w:type="paragraph" w:customStyle="1" w:styleId="54">
    <w:name w:val="附录二级条标题"/>
    <w:basedOn w:val="55"/>
    <w:next w:val="46"/>
    <w:qFormat/>
    <w:uiPriority w:val="0"/>
    <w:pPr>
      <w:outlineLvl w:val="3"/>
    </w:pPr>
  </w:style>
  <w:style w:type="paragraph" w:customStyle="1" w:styleId="55">
    <w:name w:val="附录一级条标题"/>
    <w:basedOn w:val="1"/>
    <w:next w:val="46"/>
    <w:qFormat/>
    <w:uiPriority w:val="0"/>
    <w:pPr>
      <w:widowControl/>
      <w:wordWrap w:val="0"/>
      <w:overflowPunct w:val="0"/>
      <w:autoSpaceDE w:val="0"/>
      <w:autoSpaceDN w:val="0"/>
      <w:textAlignment w:val="baseline"/>
      <w:outlineLvl w:val="2"/>
    </w:pPr>
    <w:rPr>
      <w:rFonts w:ascii="黑体" w:eastAsia="黑体"/>
      <w:kern w:val="21"/>
    </w:rPr>
  </w:style>
  <w:style w:type="paragraph" w:customStyle="1" w:styleId="56">
    <w:name w:val="附录标识"/>
    <w:basedOn w:val="4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57">
    <w:name w:val="二级条标题"/>
    <w:basedOn w:val="58"/>
    <w:next w:val="46"/>
    <w:qFormat/>
    <w:uiPriority w:val="99"/>
  </w:style>
  <w:style w:type="paragraph" w:customStyle="1" w:styleId="58">
    <w:name w:val="一级条标题"/>
    <w:basedOn w:val="59"/>
    <w:next w:val="46"/>
    <w:qFormat/>
    <w:uiPriority w:val="99"/>
    <w:pPr>
      <w:spacing w:beforeLines="0" w:afterLines="0"/>
      <w:outlineLvl w:val="2"/>
    </w:pPr>
  </w:style>
  <w:style w:type="paragraph" w:customStyle="1" w:styleId="59">
    <w:name w:val="章标题"/>
    <w:next w:val="46"/>
    <w:qFormat/>
    <w:uiPriority w:val="99"/>
    <w:p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0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1">
    <w:name w:val="发布部门"/>
    <w:next w:val="46"/>
    <w:qFormat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62">
    <w:name w:val="标准书脚_奇数页"/>
    <w:qFormat/>
    <w:uiPriority w:val="99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character" w:customStyle="1" w:styleId="63">
    <w:name w:val="脚注文本 字符"/>
    <w:basedOn w:val="36"/>
    <w:link w:val="21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64">
    <w:name w:val="正文文本缩进 字符"/>
    <w:basedOn w:val="36"/>
    <w:link w:val="11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65">
    <w:name w:val="文档结构图 字符"/>
    <w:basedOn w:val="36"/>
    <w:link w:val="8"/>
    <w:qFormat/>
    <w:uiPriority w:val="0"/>
    <w:rPr>
      <w:rFonts w:ascii="Times New Roman" w:hAnsi="Times New Roman" w:eastAsia="宋体" w:cs="Times New Roman"/>
      <w:szCs w:val="20"/>
      <w:shd w:val="clear" w:color="auto" w:fill="000080"/>
    </w:rPr>
  </w:style>
  <w:style w:type="character" w:customStyle="1" w:styleId="66">
    <w:name w:val="批注框文本 字符"/>
    <w:basedOn w:val="36"/>
    <w:link w:val="17"/>
    <w:qFormat/>
    <w:uiPriority w:val="0"/>
    <w:rPr>
      <w:rFonts w:ascii="Times New Roman" w:hAnsi="Times New Roman" w:eastAsia="宋体" w:cs="Times New Roman"/>
      <w:sz w:val="18"/>
      <w:szCs w:val="20"/>
    </w:rPr>
  </w:style>
  <w:style w:type="paragraph" w:customStyle="1" w:styleId="67">
    <w:name w:val="标准书眉_偶数页"/>
    <w:basedOn w:val="50"/>
    <w:next w:val="1"/>
    <w:qFormat/>
    <w:uiPriority w:val="0"/>
    <w:pPr>
      <w:jc w:val="left"/>
    </w:pPr>
  </w:style>
  <w:style w:type="paragraph" w:customStyle="1" w:styleId="68">
    <w:name w:val="三级条标题"/>
    <w:basedOn w:val="1"/>
    <w:next w:val="46"/>
    <w:qFormat/>
    <w:uiPriority w:val="99"/>
    <w:pPr>
      <w:widowControl/>
      <w:outlineLvl w:val="4"/>
    </w:pPr>
    <w:rPr>
      <w:rFonts w:ascii="黑体" w:hAnsi="宋体" w:eastAsia="黑体"/>
      <w:kern w:val="0"/>
    </w:rPr>
  </w:style>
  <w:style w:type="paragraph" w:customStyle="1" w:styleId="69">
    <w:name w:val="四级条标题"/>
    <w:basedOn w:val="68"/>
    <w:next w:val="46"/>
    <w:qFormat/>
    <w:uiPriority w:val="99"/>
    <w:pPr>
      <w:outlineLvl w:val="5"/>
    </w:pPr>
  </w:style>
  <w:style w:type="paragraph" w:customStyle="1" w:styleId="70">
    <w:name w:val="Char Char Char1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71">
    <w:name w:val="附录图标题"/>
    <w:next w:val="46"/>
    <w:qFormat/>
    <w:uiPriority w:val="0"/>
    <w:pPr>
      <w:tabs>
        <w:tab w:val="left" w:pos="360"/>
      </w:tabs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2">
    <w:name w:val="图表脚注"/>
    <w:next w:val="46"/>
    <w:qFormat/>
    <w:uiPriority w:val="0"/>
    <w:pPr>
      <w:ind w:left="2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73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74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5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76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77">
    <w:name w:val="发布日期"/>
    <w:qFormat/>
    <w:uiPriority w:val="0"/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8">
    <w:name w:val="五级条标题"/>
    <w:basedOn w:val="69"/>
    <w:next w:val="46"/>
    <w:qFormat/>
    <w:uiPriority w:val="99"/>
    <w:pPr>
      <w:outlineLvl w:val="6"/>
    </w:pPr>
  </w:style>
  <w:style w:type="paragraph" w:customStyle="1" w:styleId="79">
    <w:name w:val="附录四级条标题"/>
    <w:basedOn w:val="53"/>
    <w:next w:val="46"/>
    <w:qFormat/>
    <w:uiPriority w:val="0"/>
    <w:pPr>
      <w:outlineLvl w:val="5"/>
    </w:pPr>
  </w:style>
  <w:style w:type="paragraph" w:customStyle="1" w:styleId="80">
    <w:name w:val="附录表标题"/>
    <w:next w:val="46"/>
    <w:qFormat/>
    <w:uiPriority w:val="0"/>
    <w:pPr>
      <w:tabs>
        <w:tab w:val="left" w:pos="360"/>
      </w:tabs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1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82">
    <w:name w:val="实施日期"/>
    <w:basedOn w:val="77"/>
    <w:qFormat/>
    <w:uiPriority w:val="0"/>
    <w:pPr>
      <w:jc w:val="right"/>
    </w:pPr>
  </w:style>
  <w:style w:type="character" w:customStyle="1" w:styleId="83">
    <w:name w:val="纯文本 字符"/>
    <w:basedOn w:val="36"/>
    <w:link w:val="13"/>
    <w:qFormat/>
    <w:uiPriority w:val="0"/>
    <w:rPr>
      <w:rFonts w:ascii="宋体" w:hAnsi="Courier New" w:eastAsia="宋体" w:cs="Courier New"/>
      <w:szCs w:val="21"/>
    </w:rPr>
  </w:style>
  <w:style w:type="paragraph" w:styleId="84">
    <w:name w:val="List Paragraph"/>
    <w:basedOn w:val="1"/>
    <w:qFormat/>
    <w:uiPriority w:val="99"/>
    <w:pPr>
      <w:ind w:firstLine="420" w:firstLineChars="200"/>
    </w:pPr>
  </w:style>
  <w:style w:type="character" w:customStyle="1" w:styleId="85">
    <w:name w:val="批注文字 字符"/>
    <w:basedOn w:val="36"/>
    <w:link w:val="9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86">
    <w:name w:val="批注主题 字符"/>
    <w:basedOn w:val="85"/>
    <w:link w:val="26"/>
    <w:qFormat/>
    <w:uiPriority w:val="0"/>
    <w:rPr>
      <w:rFonts w:ascii="Times New Roman" w:hAnsi="Times New Roman" w:eastAsia="宋体" w:cs="Times New Roman"/>
      <w:b/>
      <w:bCs/>
      <w:szCs w:val="20"/>
    </w:rPr>
  </w:style>
  <w:style w:type="character" w:customStyle="1" w:styleId="87">
    <w:name w:val="sh141"/>
    <w:basedOn w:val="36"/>
    <w:qFormat/>
    <w:uiPriority w:val="0"/>
    <w:rPr>
      <w:color w:val="2B2B2B"/>
      <w:sz w:val="18"/>
      <w:szCs w:val="18"/>
    </w:rPr>
  </w:style>
  <w:style w:type="character" w:customStyle="1" w:styleId="88">
    <w:name w:val="日期 字符"/>
    <w:basedOn w:val="36"/>
    <w:link w:val="15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89">
    <w:name w:val="封面标准号2"/>
    <w:basedOn w:val="48"/>
    <w:qFormat/>
    <w:uiPriority w:val="0"/>
    <w:pPr>
      <w:framePr w:w="9138" w:h="1244" w:hRule="exact" w:wrap="around" w:vAnchor="page" w:hAnchor="margin" w:y="2908" w:anchorLock="1"/>
      <w:adjustRightInd w:val="0"/>
      <w:spacing w:before="357" w:line="280" w:lineRule="exact"/>
    </w:pPr>
  </w:style>
  <w:style w:type="paragraph" w:customStyle="1" w:styleId="90">
    <w:name w:val="封面标准代替信息"/>
    <w:basedOn w:val="89"/>
    <w:qFormat/>
    <w:uiPriority w:val="0"/>
    <w:pPr>
      <w:framePr/>
      <w:spacing w:before="57"/>
    </w:pPr>
    <w:rPr>
      <w:rFonts w:ascii="宋体"/>
      <w:sz w:val="21"/>
    </w:rPr>
  </w:style>
  <w:style w:type="character" w:styleId="91">
    <w:name w:val="Placeholder Text"/>
    <w:basedOn w:val="36"/>
    <w:semiHidden/>
    <w:qFormat/>
    <w:uiPriority w:val="99"/>
    <w:rPr>
      <w:color w:val="808080"/>
    </w:rPr>
  </w:style>
  <w:style w:type="paragraph" w:customStyle="1" w:styleId="92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3">
    <w:name w:val="Char Char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94">
    <w:name w:val="标题 1 字符"/>
    <w:basedOn w:val="36"/>
    <w:link w:val="2"/>
    <w:qFormat/>
    <w:uiPriority w:val="0"/>
    <w:rPr>
      <w:b/>
      <w:bCs/>
      <w:kern w:val="2"/>
      <w:sz w:val="32"/>
      <w:szCs w:val="24"/>
    </w:rPr>
  </w:style>
  <w:style w:type="character" w:customStyle="1" w:styleId="95">
    <w:name w:val="标题 3 字符"/>
    <w:basedOn w:val="36"/>
    <w:link w:val="4"/>
    <w:qFormat/>
    <w:uiPriority w:val="9"/>
    <w:rPr>
      <w:rFonts w:ascii="Calibri" w:hAnsi="Calibri"/>
      <w:b/>
      <w:bCs/>
      <w:kern w:val="2"/>
      <w:sz w:val="21"/>
      <w:szCs w:val="32"/>
    </w:rPr>
  </w:style>
  <w:style w:type="character" w:customStyle="1" w:styleId="96">
    <w:name w:val="标题 4 字符"/>
    <w:basedOn w:val="36"/>
    <w:link w:val="5"/>
    <w:uiPriority w:val="0"/>
    <w:rPr>
      <w:kern w:val="2"/>
      <w:sz w:val="44"/>
      <w:szCs w:val="24"/>
    </w:rPr>
  </w:style>
  <w:style w:type="character" w:customStyle="1" w:styleId="97">
    <w:name w:val="正文文本 字符"/>
    <w:basedOn w:val="36"/>
    <w:link w:val="10"/>
    <w:qFormat/>
    <w:uiPriority w:val="0"/>
    <w:rPr>
      <w:rFonts w:ascii="宋体" w:hAnsi="宋体"/>
      <w:kern w:val="2"/>
      <w:sz w:val="24"/>
      <w:szCs w:val="24"/>
    </w:rPr>
  </w:style>
  <w:style w:type="character" w:customStyle="1" w:styleId="98">
    <w:name w:val="正文文本缩进 2 字符"/>
    <w:basedOn w:val="36"/>
    <w:link w:val="16"/>
    <w:qFormat/>
    <w:uiPriority w:val="0"/>
    <w:rPr>
      <w:kern w:val="2"/>
      <w:sz w:val="21"/>
      <w:szCs w:val="24"/>
    </w:rPr>
  </w:style>
  <w:style w:type="character" w:customStyle="1" w:styleId="99">
    <w:name w:val="正文文本缩进 3 字符"/>
    <w:basedOn w:val="36"/>
    <w:link w:val="22"/>
    <w:qFormat/>
    <w:uiPriority w:val="0"/>
    <w:rPr>
      <w:kern w:val="2"/>
      <w:sz w:val="21"/>
      <w:szCs w:val="24"/>
    </w:rPr>
  </w:style>
  <w:style w:type="character" w:customStyle="1" w:styleId="100">
    <w:name w:val="正文文本 2 字符"/>
    <w:basedOn w:val="36"/>
    <w:link w:val="24"/>
    <w:uiPriority w:val="0"/>
    <w:rPr>
      <w:spacing w:val="-10"/>
      <w:sz w:val="24"/>
      <w:szCs w:val="24"/>
    </w:rPr>
  </w:style>
  <w:style w:type="character" w:customStyle="1" w:styleId="101">
    <w:name w:val="HTML 预设格式 字符"/>
    <w:basedOn w:val="36"/>
    <w:link w:val="25"/>
    <w:qFormat/>
    <w:uiPriority w:val="99"/>
    <w:rPr>
      <w:rFonts w:ascii="宋体" w:hAnsi="宋体" w:cs="宋体"/>
      <w:sz w:val="24"/>
      <w:szCs w:val="24"/>
    </w:rPr>
  </w:style>
  <w:style w:type="character" w:customStyle="1" w:styleId="102">
    <w:name w:val="正文首行缩进 2 字符"/>
    <w:basedOn w:val="64"/>
    <w:link w:val="27"/>
    <w:qFormat/>
    <w:uiPriority w:val="0"/>
    <w:rPr>
      <w:rFonts w:ascii="宋体" w:hAnsi="宋体" w:eastAsia="宋体" w:cs="Times New Roman"/>
      <w:kern w:val="2"/>
      <w:sz w:val="21"/>
      <w:szCs w:val="20"/>
    </w:rPr>
  </w:style>
  <w:style w:type="character" w:customStyle="1" w:styleId="103">
    <w:name w:val="Char Char1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04">
    <w:name w:val="Char Char2"/>
    <w:qFormat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105">
    <w:name w:val="Char Char12"/>
    <w:qFormat/>
    <w:uiPriority w:val="0"/>
    <w:rPr>
      <w:rFonts w:hint="default" w:ascii="Arial" w:hAnsi="Arial" w:eastAsia="黑体" w:cs="Arial"/>
      <w:b/>
      <w:kern w:val="2"/>
      <w:sz w:val="32"/>
      <w:szCs w:val="24"/>
      <w:lang w:val="en-US" w:eastAsia="zh-CN" w:bidi="ar-SA"/>
    </w:rPr>
  </w:style>
  <w:style w:type="character" w:customStyle="1" w:styleId="106">
    <w:name w:val="Char Char13"/>
    <w:qFormat/>
    <w:uiPriority w:val="0"/>
    <w:rPr>
      <w:rFonts w:hint="eastAsia" w:ascii="宋体" w:hAnsi="宋体" w:eastAsia="宋体"/>
      <w:b/>
      <w:kern w:val="44"/>
      <w:sz w:val="44"/>
      <w:szCs w:val="24"/>
      <w:lang w:val="en-US" w:eastAsia="zh-CN" w:bidi="ar-SA"/>
    </w:rPr>
  </w:style>
  <w:style w:type="character" w:customStyle="1" w:styleId="107">
    <w:name w:val="Char Char3"/>
    <w:qFormat/>
    <w:locked/>
    <w:uiPriority w:val="0"/>
    <w:rPr>
      <w:rFonts w:ascii="宋体" w:hAnsi="宋体" w:eastAsia="宋体"/>
      <w:spacing w:val="-2"/>
      <w:kern w:val="2"/>
      <w:sz w:val="24"/>
      <w:szCs w:val="24"/>
      <w:lang w:val="en-US" w:eastAsia="zh-CN" w:bidi="ar-SA"/>
    </w:rPr>
  </w:style>
  <w:style w:type="character" w:customStyle="1" w:styleId="108">
    <w:name w:val="Char Char4"/>
    <w:qFormat/>
    <w:locked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109">
    <w:name w:val="列项——（一级） Char"/>
    <w:link w:val="110"/>
    <w:qFormat/>
    <w:locked/>
    <w:uiPriority w:val="0"/>
    <w:rPr>
      <w:rFonts w:ascii="宋体"/>
      <w:sz w:val="21"/>
    </w:rPr>
  </w:style>
  <w:style w:type="paragraph" w:customStyle="1" w:styleId="110">
    <w:name w:val="列项——（一级）"/>
    <w:link w:val="109"/>
    <w:qFormat/>
    <w:uiPriority w:val="0"/>
    <w:pPr>
      <w:widowControl w:val="0"/>
      <w:numPr>
        <w:ilvl w:val="0"/>
        <w:numId w:val="1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11">
    <w:name w:val="Char Char11"/>
    <w:qFormat/>
    <w:locked/>
    <w:uiPriority w:val="0"/>
    <w:rPr>
      <w:rFonts w:eastAsia="宋体"/>
      <w:b/>
      <w:bCs/>
      <w:kern w:val="2"/>
      <w:sz w:val="32"/>
      <w:szCs w:val="24"/>
      <w:lang w:val="en-US" w:eastAsia="zh-CN" w:bidi="ar-SA"/>
    </w:rPr>
  </w:style>
  <w:style w:type="character" w:customStyle="1" w:styleId="112">
    <w:name w:val="Char Char7"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13">
    <w:name w:val="Char Char10"/>
    <w:qFormat/>
    <w:locked/>
    <w:uiPriority w:val="0"/>
    <w:rPr>
      <w:rFonts w:ascii="Cambria" w:hAnsi="Cambria" w:eastAsia="宋体" w:cs="宋体"/>
      <w:b/>
      <w:bCs/>
      <w:kern w:val="2"/>
      <w:sz w:val="21"/>
      <w:szCs w:val="32"/>
      <w:lang w:val="en-US" w:eastAsia="zh-CN" w:bidi="ar-SA"/>
    </w:rPr>
  </w:style>
  <w:style w:type="character" w:customStyle="1" w:styleId="114">
    <w:name w:val="发布"/>
    <w:qFormat/>
    <w:uiPriority w:val="0"/>
    <w:rPr>
      <w:rFonts w:hint="eastAsia" w:ascii="黑体" w:eastAsia="黑体"/>
      <w:spacing w:val="22"/>
      <w:w w:val="100"/>
      <w:position w:val="3"/>
      <w:sz w:val="28"/>
    </w:rPr>
  </w:style>
  <w:style w:type="character" w:customStyle="1" w:styleId="115">
    <w:name w:val="Char Char8"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16">
    <w:name w:val="Char Char9"/>
    <w:qFormat/>
    <w:locked/>
    <w:uiPriority w:val="0"/>
    <w:rPr>
      <w:rFonts w:ascii="Calibri" w:hAnsi="Calibri" w:eastAsia="宋体" w:cs="宋体"/>
      <w:b/>
      <w:bCs/>
      <w:kern w:val="2"/>
      <w:sz w:val="21"/>
      <w:szCs w:val="32"/>
      <w:lang w:val="en-US" w:eastAsia="zh-CN" w:bidi="ar-SA"/>
    </w:rPr>
  </w:style>
  <w:style w:type="paragraph" w:customStyle="1" w:styleId="117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18">
    <w:name w:val="正文表标题"/>
    <w:next w:val="46"/>
    <w:qFormat/>
    <w:uiPriority w:val="0"/>
    <w:pPr>
      <w:numPr>
        <w:ilvl w:val="0"/>
        <w:numId w:val="2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9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0">
    <w:name w:val="TOC 标题1"/>
    <w:basedOn w:val="2"/>
    <w:next w:val="1"/>
    <w:qFormat/>
    <w:uiPriority w:val="39"/>
    <w:pPr>
      <w:keepLines/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21">
    <w:name w:val="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22">
    <w:name w:val="封面标准名称"/>
    <w:qFormat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23">
    <w:name w:val="样式1"/>
    <w:basedOn w:val="1"/>
    <w:qFormat/>
    <w:uiPriority w:val="0"/>
    <w:pPr>
      <w:tabs>
        <w:tab w:val="left" w:pos="525"/>
      </w:tabs>
    </w:pPr>
    <w:rPr>
      <w:rFonts w:ascii="宋体" w:hAnsi="宋体"/>
      <w:szCs w:val="21"/>
    </w:rPr>
  </w:style>
  <w:style w:type="paragraph" w:customStyle="1" w:styleId="124">
    <w:name w:val="目次、标准名称标题"/>
    <w:basedOn w:val="49"/>
    <w:next w:val="1"/>
    <w:qFormat/>
    <w:uiPriority w:val="0"/>
    <w:pPr>
      <w:numPr>
        <w:ilvl w:val="0"/>
        <w:numId w:val="3"/>
      </w:numPr>
      <w:shd w:val="clear" w:color="auto" w:fill="FFFFFF"/>
      <w:tabs>
        <w:tab w:val="clear" w:pos="720"/>
      </w:tabs>
      <w:spacing w:line="460" w:lineRule="exact"/>
    </w:pPr>
  </w:style>
  <w:style w:type="character" w:customStyle="1" w:styleId="125">
    <w:name w:val="HTML 预设格式 Char1"/>
    <w:semiHidden/>
    <w:qFormat/>
    <w:uiPriority w:val="99"/>
    <w:rPr>
      <w:rFonts w:ascii="Courier New" w:hAnsi="Courier New" w:cs="Courier New"/>
      <w:kern w:val="2"/>
    </w:rPr>
  </w:style>
  <w:style w:type="character" w:customStyle="1" w:styleId="126">
    <w:name w:val="font11"/>
    <w:qFormat/>
    <w:uiPriority w:val="0"/>
    <w:rPr>
      <w:rFonts w:hint="default" w:ascii="Times New Roman" w:hAnsi="Times New Roman" w:eastAsia="宋体" w:cs="Times New Roman"/>
      <w:color w:val="000000"/>
      <w:sz w:val="18"/>
      <w:szCs w:val="18"/>
      <w:u w:val="none"/>
    </w:rPr>
  </w:style>
  <w:style w:type="character" w:customStyle="1" w:styleId="127">
    <w:name w:val="批注文字 Char"/>
    <w:qFormat/>
    <w:uiPriority w:val="0"/>
    <w:rPr>
      <w:rFonts w:ascii="Times New Roman" w:hAnsi="Times New Roman"/>
      <w:kern w:val="2"/>
      <w:sz w:val="21"/>
      <w:szCs w:val="21"/>
    </w:rPr>
  </w:style>
  <w:style w:type="character" w:customStyle="1" w:styleId="128">
    <w:name w:val="font61"/>
    <w:basedOn w:val="36"/>
    <w:qFormat/>
    <w:uiPriority w:val="0"/>
    <w:rPr>
      <w:rFonts w:hint="default" w:ascii="Times New Roman" w:hAnsi="Times New Roman" w:eastAsia="宋体" w:cs="Times New Roman"/>
      <w:color w:val="000000"/>
      <w:sz w:val="18"/>
      <w:szCs w:val="18"/>
      <w:u w:val="none"/>
    </w:rPr>
  </w:style>
  <w:style w:type="character" w:customStyle="1" w:styleId="129">
    <w:name w:val="font31"/>
    <w:qFormat/>
    <w:uiPriority w:val="0"/>
    <w:rPr>
      <w:rFonts w:hint="eastAsia" w:ascii="宋体" w:hAnsi="宋体" w:eastAsia="宋体" w:cs="宋体"/>
      <w:i/>
      <w:color w:val="000000"/>
      <w:sz w:val="18"/>
      <w:szCs w:val="18"/>
      <w:u w:val="none"/>
      <w:vertAlign w:val="subscript"/>
    </w:rPr>
  </w:style>
  <w:style w:type="character" w:customStyle="1" w:styleId="130">
    <w:name w:val="font41"/>
    <w:qFormat/>
    <w:uiPriority w:val="0"/>
    <w:rPr>
      <w:rFonts w:hint="default" w:ascii="Times New Roman" w:hAnsi="Times New Roman" w:eastAsia="宋体" w:cs="Times New Roman"/>
      <w:color w:val="000000"/>
      <w:sz w:val="18"/>
      <w:szCs w:val="18"/>
      <w:u w:val="none"/>
    </w:rPr>
  </w:style>
  <w:style w:type="character" w:customStyle="1" w:styleId="131">
    <w:name w:val="font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table" w:customStyle="1" w:styleId="133">
    <w:name w:val="中等深浅网格 31"/>
    <w:basedOn w:val="28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lastRow"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firstCol"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808080"/>
      </w:tcPr>
    </w:tblStylePr>
  </w:style>
  <w:style w:type="paragraph" w:styleId="134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35">
    <w:name w:val="fontstyle01"/>
    <w:basedOn w:val="36"/>
    <w:qFormat/>
    <w:uiPriority w:val="0"/>
    <w:rPr>
      <w:rFonts w:hint="default" w:ascii="FZXBSK--GBK1-0" w:hAnsi="FZXBSK--GBK1-0"/>
      <w:color w:val="000000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4.xml"/><Relationship Id="rId24" Type="http://schemas.openxmlformats.org/officeDocument/2006/relationships/customXml" Target="../customXml/item3.xml"/><Relationship Id="rId23" Type="http://schemas.openxmlformats.org/officeDocument/2006/relationships/customXml" Target="../customXml/item2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5.wmf"/><Relationship Id="rId2" Type="http://schemas.openxmlformats.org/officeDocument/2006/relationships/settings" Target="settings.xml"/><Relationship Id="rId19" Type="http://schemas.openxmlformats.org/officeDocument/2006/relationships/oleObject" Target="embeddings/oleObject3.bin"/><Relationship Id="rId18" Type="http://schemas.openxmlformats.org/officeDocument/2006/relationships/image" Target="media/image4.wmf"/><Relationship Id="rId17" Type="http://schemas.openxmlformats.org/officeDocument/2006/relationships/oleObject" Target="embeddings/oleObject2.bin"/><Relationship Id="rId16" Type="http://schemas.openxmlformats.org/officeDocument/2006/relationships/image" Target="media/image3.wmf"/><Relationship Id="rId15" Type="http://schemas.openxmlformats.org/officeDocument/2006/relationships/oleObject" Target="embeddings/oleObject1.bin"/><Relationship Id="rId14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dataSourceCollection xmlns="http://www.yonyou.com/datasource"/>
</file>

<file path=customXml/item4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85B614-51DB-4F52-A4B4-6C7F71713BC9}">
  <ds:schemaRefs/>
</ds:datastoreItem>
</file>

<file path=customXml/itemProps3.xml><?xml version="1.0" encoding="utf-8"?>
<ds:datastoreItem xmlns:ds="http://schemas.openxmlformats.org/officeDocument/2006/customXml" ds:itemID="{667E373F-A571-4898-9B03-9786C03ACF6B}">
  <ds:schemaRefs/>
</ds:datastoreItem>
</file>

<file path=customXml/itemProps4.xml><?xml version="1.0" encoding="utf-8"?>
<ds:datastoreItem xmlns:ds="http://schemas.openxmlformats.org/officeDocument/2006/customXml" ds:itemID="{5A7DBFB1-FF2E-4772-AD6F-05E9537BBD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1035</Words>
  <Characters>5901</Characters>
  <Lines>49</Lines>
  <Paragraphs>13</Paragraphs>
  <TotalTime>6</TotalTime>
  <ScaleCrop>false</ScaleCrop>
  <LinksUpToDate>false</LinksUpToDate>
  <CharactersWithSpaces>6923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2020-09-12T03:31:00Z</dcterms:created>
  <dc:creator>俞金生</dc:creator>
  <cp:lastModifiedBy>Administrator</cp:lastModifiedBy>
  <cp:lastPrinted>2020-09-10T08:39:00Z</cp:lastPrinted>
  <dcterms:modified xsi:type="dcterms:W3CDTF">2020-09-14T02:40:28Z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