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黑体" w:hAnsi="黑体" w:eastAsia="黑体" w:cs="黑体"/>
          <w:bCs/>
          <w:sz w:val="52"/>
          <w:szCs w:val="52"/>
        </w:rPr>
      </w:pPr>
      <w:r>
        <w:rPr>
          <w:rFonts w:hint="eastAsia" w:ascii="黑体" w:hAnsi="黑体" w:eastAsia="黑体" w:cs="黑体"/>
          <w:bCs/>
          <w:sz w:val="52"/>
          <w:szCs w:val="52"/>
        </w:rPr>
        <w:t>铜冶炼烟尘化学分析方法</w:t>
      </w:r>
    </w:p>
    <w:p>
      <w:pPr>
        <w:jc w:val="center"/>
        <w:rPr>
          <w:rFonts w:ascii="黑体" w:hAnsi="黑体" w:eastAsia="黑体" w:cs="黑体"/>
          <w:bCs/>
          <w:sz w:val="52"/>
          <w:szCs w:val="52"/>
        </w:rPr>
      </w:pPr>
    </w:p>
    <w:p>
      <w:pPr>
        <w:jc w:val="center"/>
        <w:rPr>
          <w:rFonts w:ascii="黑体" w:hAnsi="黑体" w:eastAsia="黑体" w:cs="黑体"/>
          <w:bCs/>
          <w:sz w:val="52"/>
          <w:szCs w:val="52"/>
        </w:rPr>
      </w:pPr>
      <w:r>
        <w:rPr>
          <w:rFonts w:hint="eastAsia" w:ascii="黑体" w:hAnsi="黑体" w:eastAsia="黑体" w:cs="黑体"/>
          <w:bCs/>
          <w:sz w:val="52"/>
          <w:szCs w:val="52"/>
        </w:rPr>
        <w:t>第4部分：铋含量的测定</w:t>
      </w:r>
    </w:p>
    <w:p>
      <w:pPr>
        <w:jc w:val="center"/>
        <w:rPr>
          <w:rFonts w:ascii="黑体" w:hAnsi="黑体" w:eastAsia="黑体" w:cs="黑体"/>
          <w:bCs/>
          <w:sz w:val="52"/>
          <w:szCs w:val="52"/>
        </w:rPr>
      </w:pPr>
    </w:p>
    <w:p>
      <w:pPr>
        <w:jc w:val="center"/>
        <w:rPr>
          <w:rFonts w:ascii="黑体" w:hAnsi="黑体" w:eastAsia="黑体" w:cs="黑体"/>
          <w:bCs/>
          <w:sz w:val="52"/>
          <w:szCs w:val="52"/>
        </w:rPr>
      </w:pPr>
      <w:r>
        <w:rPr>
          <w:rFonts w:hint="eastAsia" w:ascii="黑体" w:hAnsi="黑体" w:eastAsia="黑体" w:cs="黑体"/>
          <w:bCs/>
          <w:sz w:val="52"/>
          <w:szCs w:val="52"/>
        </w:rPr>
        <w:t>火焰原子吸收光谱法</w:t>
      </w:r>
    </w:p>
    <w:p>
      <w:pPr>
        <w:jc w:val="center"/>
        <w:rPr>
          <w:rFonts w:ascii="黑体" w:hAnsi="黑体" w:eastAsia="黑体" w:cs="黑体"/>
          <w:bCs/>
          <w:sz w:val="52"/>
          <w:szCs w:val="52"/>
        </w:rPr>
      </w:pPr>
      <w:r>
        <w:rPr>
          <w:rFonts w:hint="eastAsia" w:ascii="黑体" w:hAnsi="黑体" w:eastAsia="黑体" w:cs="黑体"/>
          <w:bCs/>
          <w:sz w:val="52"/>
          <w:szCs w:val="52"/>
        </w:rPr>
        <w:t>和Na</w:t>
      </w:r>
      <w:r>
        <w:rPr>
          <w:rFonts w:hint="eastAsia" w:ascii="黑体" w:hAnsi="黑体" w:eastAsia="黑体" w:cs="黑体"/>
          <w:bCs/>
          <w:sz w:val="52"/>
          <w:szCs w:val="52"/>
          <w:vertAlign w:val="subscript"/>
        </w:rPr>
        <w:t>2</w:t>
      </w:r>
      <w:r>
        <w:rPr>
          <w:rFonts w:hint="eastAsia" w:ascii="黑体" w:hAnsi="黑体" w:eastAsia="黑体" w:cs="黑体"/>
          <w:bCs/>
          <w:sz w:val="52"/>
          <w:szCs w:val="52"/>
        </w:rPr>
        <w:t>EDTA滴定法</w:t>
      </w:r>
    </w:p>
    <w:p>
      <w:pPr>
        <w:jc w:val="center"/>
        <w:rPr>
          <w:rFonts w:ascii="Times New Roman" w:hAnsi="Times New Roman"/>
          <w:sz w:val="48"/>
          <w:szCs w:val="48"/>
        </w:rPr>
      </w:pPr>
    </w:p>
    <w:p>
      <w:pPr>
        <w:jc w:val="center"/>
        <w:rPr>
          <w:rFonts w:ascii="Times New Roman" w:hAnsi="Times New Roman"/>
        </w:rPr>
      </w:pPr>
    </w:p>
    <w:p>
      <w:pPr>
        <w:jc w:val="center"/>
        <w:rPr>
          <w:rFonts w:ascii="Times New Roman" w:hAnsi="Times New Roman"/>
        </w:rPr>
      </w:pPr>
    </w:p>
    <w:p>
      <w:pPr>
        <w:jc w:val="center"/>
        <w:rPr>
          <w:rFonts w:ascii="黑体" w:hAnsi="黑体" w:eastAsia="黑体"/>
          <w:sz w:val="52"/>
          <w:szCs w:val="52"/>
        </w:rPr>
      </w:pPr>
      <w:r>
        <w:rPr>
          <w:rFonts w:ascii="黑体" w:hAnsi="黑体" w:eastAsia="黑体"/>
          <w:sz w:val="52"/>
          <w:szCs w:val="52"/>
        </w:rPr>
        <w:t>编制说明</w:t>
      </w:r>
    </w:p>
    <w:p>
      <w:pPr>
        <w:jc w:val="center"/>
        <w:rPr>
          <w:rFonts w:ascii="Times New Roman" w:hAnsi="Times New Roman"/>
        </w:rPr>
      </w:pPr>
    </w:p>
    <w:p>
      <w:pPr>
        <w:jc w:val="center"/>
        <w:rPr>
          <w:rFonts w:ascii="Times New Roman" w:hAnsi="Times New Roman"/>
        </w:rPr>
      </w:pPr>
    </w:p>
    <w:p>
      <w:pPr>
        <w:jc w:val="center"/>
        <w:rPr>
          <w:rFonts w:ascii="黑体" w:hAnsi="黑体" w:eastAsia="黑体"/>
          <w:sz w:val="52"/>
          <w:szCs w:val="52"/>
        </w:rPr>
      </w:pPr>
      <w:r>
        <w:rPr>
          <w:rFonts w:hint="eastAsia" w:ascii="黑体" w:hAnsi="黑体" w:eastAsia="黑体"/>
          <w:sz w:val="52"/>
          <w:szCs w:val="52"/>
        </w:rPr>
        <w:t>（送审稿）</w:t>
      </w: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rPr>
          <w:rFonts w:ascii="Times New Roman" w:hAnsi="Times New Roman"/>
        </w:rPr>
      </w:pPr>
    </w:p>
    <w:p>
      <w:pPr>
        <w:jc w:val="center"/>
        <w:rPr>
          <w:rFonts w:ascii="Times New Roman" w:hAnsi="Times New Roman"/>
        </w:rPr>
      </w:pPr>
    </w:p>
    <w:p>
      <w:pPr>
        <w:jc w:val="center"/>
        <w:rPr>
          <w:rFonts w:ascii="Times New Roman" w:hAnsi="Times New Roman"/>
          <w:b/>
          <w:sz w:val="28"/>
          <w:szCs w:val="28"/>
        </w:rPr>
      </w:pPr>
      <w:r>
        <w:rPr>
          <w:rFonts w:hint="eastAsia" w:ascii="Times New Roman" w:hAnsi="Times New Roman"/>
          <w:b/>
          <w:sz w:val="28"/>
          <w:szCs w:val="28"/>
        </w:rPr>
        <w:t>富民薪冶工贸有限公司</w:t>
      </w:r>
    </w:p>
    <w:p>
      <w:pPr>
        <w:jc w:val="center"/>
        <w:rPr>
          <w:rFonts w:ascii="宋体" w:hAnsi="宋体"/>
          <w:b/>
          <w:sz w:val="28"/>
          <w:szCs w:val="28"/>
        </w:rPr>
      </w:pPr>
      <w:r>
        <w:rPr>
          <w:rFonts w:ascii="宋体" w:hAnsi="宋体"/>
          <w:b/>
          <w:sz w:val="28"/>
          <w:szCs w:val="28"/>
        </w:rPr>
        <w:t>20</w:t>
      </w:r>
      <w:r>
        <w:rPr>
          <w:rFonts w:hint="eastAsia" w:ascii="宋体" w:hAnsi="宋体"/>
          <w:b/>
          <w:sz w:val="28"/>
          <w:szCs w:val="28"/>
        </w:rPr>
        <w:t>20</w:t>
      </w:r>
      <w:r>
        <w:rPr>
          <w:rFonts w:ascii="宋体" w:hAnsi="宋体"/>
          <w:b/>
          <w:sz w:val="28"/>
          <w:szCs w:val="28"/>
        </w:rPr>
        <w:t>年</w:t>
      </w:r>
      <w:r>
        <w:rPr>
          <w:rFonts w:hint="eastAsia" w:ascii="宋体" w:hAnsi="宋体"/>
          <w:b/>
          <w:sz w:val="28"/>
          <w:szCs w:val="28"/>
        </w:rPr>
        <w:t>8</w:t>
      </w:r>
      <w:r>
        <w:rPr>
          <w:rFonts w:ascii="宋体" w:hAnsi="宋体"/>
          <w:b/>
          <w:sz w:val="28"/>
          <w:szCs w:val="28"/>
        </w:rPr>
        <w:t>月</w:t>
      </w:r>
    </w:p>
    <w:p>
      <w:pPr>
        <w:rPr>
          <w:rFonts w:ascii="Times New Roman" w:hAnsi="Times New Roman"/>
          <w:b/>
          <w:sz w:val="28"/>
          <w:szCs w:val="28"/>
        </w:rPr>
      </w:pPr>
    </w:p>
    <w:p>
      <w:pPr>
        <w:jc w:val="center"/>
        <w:rPr>
          <w:rFonts w:ascii="黑体" w:hAnsi="黑体" w:eastAsia="黑体"/>
          <w:bCs/>
          <w:sz w:val="32"/>
          <w:szCs w:val="32"/>
        </w:rPr>
      </w:pPr>
      <w:r>
        <w:rPr>
          <w:rFonts w:hint="eastAsia" w:ascii="黑体" w:hAnsi="黑体" w:eastAsia="黑体"/>
          <w:bCs/>
          <w:sz w:val="32"/>
          <w:szCs w:val="32"/>
        </w:rPr>
        <w:t>铜冶炼烟尘</w:t>
      </w:r>
      <w:r>
        <w:rPr>
          <w:rFonts w:ascii="黑体" w:hAnsi="黑体" w:eastAsia="黑体"/>
          <w:bCs/>
          <w:sz w:val="32"/>
          <w:szCs w:val="32"/>
        </w:rPr>
        <w:t>化学分析方法</w:t>
      </w:r>
    </w:p>
    <w:p>
      <w:pPr>
        <w:jc w:val="center"/>
        <w:rPr>
          <w:rFonts w:ascii="黑体" w:hAnsi="黑体" w:eastAsia="黑体"/>
          <w:bCs/>
          <w:sz w:val="32"/>
          <w:szCs w:val="32"/>
        </w:rPr>
      </w:pPr>
      <w:r>
        <w:rPr>
          <w:rFonts w:ascii="黑体" w:hAnsi="黑体" w:eastAsia="黑体"/>
          <w:bCs/>
          <w:sz w:val="32"/>
          <w:szCs w:val="32"/>
        </w:rPr>
        <w:t>第</w:t>
      </w:r>
      <w:r>
        <w:rPr>
          <w:rFonts w:hint="eastAsia" w:ascii="黑体" w:hAnsi="黑体" w:eastAsia="黑体"/>
          <w:bCs/>
          <w:sz w:val="32"/>
          <w:szCs w:val="32"/>
        </w:rPr>
        <w:t>4</w:t>
      </w:r>
      <w:r>
        <w:rPr>
          <w:rFonts w:ascii="黑体" w:hAnsi="黑体" w:eastAsia="黑体"/>
          <w:bCs/>
          <w:sz w:val="32"/>
          <w:szCs w:val="32"/>
        </w:rPr>
        <w:t>部分：</w:t>
      </w:r>
      <w:r>
        <w:rPr>
          <w:rFonts w:hint="eastAsia" w:ascii="黑体" w:hAnsi="黑体" w:eastAsia="黑体"/>
          <w:bCs/>
          <w:sz w:val="32"/>
          <w:szCs w:val="32"/>
        </w:rPr>
        <w:t>铋</w:t>
      </w:r>
      <w:r>
        <w:rPr>
          <w:rFonts w:ascii="黑体" w:hAnsi="黑体" w:eastAsia="黑体"/>
          <w:bCs/>
          <w:sz w:val="32"/>
          <w:szCs w:val="32"/>
        </w:rPr>
        <w:t>含量的测定</w:t>
      </w:r>
      <w:r>
        <w:rPr>
          <w:rFonts w:hint="eastAsia" w:ascii="黑体" w:hAnsi="黑体" w:eastAsia="黑体"/>
          <w:bCs/>
          <w:sz w:val="32"/>
          <w:szCs w:val="32"/>
        </w:rPr>
        <w:t xml:space="preserve"> </w:t>
      </w:r>
    </w:p>
    <w:p>
      <w:pPr>
        <w:jc w:val="center"/>
        <w:rPr>
          <w:rFonts w:ascii="黑体" w:hAnsi="黑体" w:eastAsia="黑体"/>
          <w:bCs/>
          <w:sz w:val="32"/>
          <w:szCs w:val="32"/>
        </w:rPr>
      </w:pPr>
      <w:r>
        <w:rPr>
          <w:rFonts w:ascii="黑体" w:hAnsi="黑体" w:eastAsia="黑体"/>
          <w:bCs/>
          <w:sz w:val="32"/>
          <w:szCs w:val="32"/>
        </w:rPr>
        <w:t>火焰原子吸收光谱法和</w:t>
      </w:r>
      <w:r>
        <w:rPr>
          <w:rFonts w:hint="eastAsia" w:ascii="黑体" w:hAnsi="黑体" w:eastAsia="黑体"/>
          <w:bCs/>
          <w:sz w:val="32"/>
          <w:szCs w:val="32"/>
        </w:rPr>
        <w:t>Na</w:t>
      </w:r>
      <w:r>
        <w:rPr>
          <w:rFonts w:hint="eastAsia" w:ascii="黑体" w:hAnsi="黑体" w:eastAsia="黑体"/>
          <w:bCs/>
          <w:sz w:val="32"/>
          <w:szCs w:val="32"/>
          <w:vertAlign w:val="subscript"/>
        </w:rPr>
        <w:t>2</w:t>
      </w:r>
      <w:r>
        <w:rPr>
          <w:rFonts w:hint="eastAsia" w:ascii="黑体" w:hAnsi="黑体" w:eastAsia="黑体"/>
          <w:bCs/>
          <w:sz w:val="32"/>
          <w:szCs w:val="32"/>
        </w:rPr>
        <w:t>EDTA滴定</w:t>
      </w:r>
      <w:r>
        <w:rPr>
          <w:rFonts w:ascii="黑体" w:hAnsi="黑体" w:eastAsia="黑体"/>
          <w:bCs/>
          <w:sz w:val="32"/>
          <w:szCs w:val="32"/>
        </w:rPr>
        <w:t>法</w:t>
      </w:r>
    </w:p>
    <w:p>
      <w:pPr>
        <w:jc w:val="center"/>
        <w:rPr>
          <w:rFonts w:ascii="Times New Roman" w:hAnsi="Times New Roman"/>
          <w:color w:val="000000"/>
          <w:kern w:val="0"/>
          <w:szCs w:val="21"/>
        </w:rPr>
      </w:pPr>
      <w:r>
        <w:rPr>
          <w:rFonts w:ascii="Times New Roman" w:hAnsi="Times New Roman" w:eastAsia="黑体"/>
          <w:sz w:val="32"/>
          <w:szCs w:val="32"/>
        </w:rPr>
        <w:t>　编制说明（送审稿）</w:t>
      </w:r>
    </w:p>
    <w:p>
      <w:pPr>
        <w:spacing w:line="360" w:lineRule="auto"/>
        <w:rPr>
          <w:rFonts w:ascii="Times New Roman" w:hAnsi="Times New Roman" w:eastAsia="黑体"/>
          <w:szCs w:val="21"/>
          <w:lang w:bidi="he-IL"/>
        </w:rPr>
      </w:pPr>
      <w:r>
        <w:rPr>
          <w:rFonts w:ascii="Times New Roman" w:hAnsi="Times New Roman" w:eastAsia="黑体"/>
          <w:szCs w:val="21"/>
          <w:lang w:bidi="he-IL"/>
        </w:rPr>
        <w:t>1. 任务来源</w:t>
      </w:r>
    </w:p>
    <w:p>
      <w:pPr>
        <w:spacing w:line="360" w:lineRule="auto"/>
        <w:ind w:firstLine="420" w:firstLineChars="200"/>
        <w:rPr>
          <w:rFonts w:ascii="Times New Roman" w:hAnsi="Times New Roman"/>
          <w:szCs w:val="21"/>
        </w:rPr>
      </w:pPr>
      <w:r>
        <w:rPr>
          <w:rFonts w:ascii="Times New Roman" w:hAnsi="Times New Roman"/>
          <w:szCs w:val="21"/>
        </w:rPr>
        <w:t>根据全国有色金属标准化技术委员会《2018年第一批有色金属行业标准项目计划表》文件精神，《铜冶炼烟尘化学分析方法》由全国有色金属标准化技术委员会负责归口。其中，《铜冶炼烟尘化学分析方法 第</w:t>
      </w:r>
      <w:r>
        <w:rPr>
          <w:rFonts w:hint="eastAsia" w:ascii="Times New Roman" w:hAnsi="Times New Roman"/>
          <w:szCs w:val="21"/>
        </w:rPr>
        <w:t>4</w:t>
      </w:r>
      <w:r>
        <w:rPr>
          <w:rFonts w:ascii="Times New Roman" w:hAnsi="Times New Roman"/>
          <w:szCs w:val="21"/>
        </w:rPr>
        <w:t>部分：</w:t>
      </w:r>
      <w:r>
        <w:t>铋含量的测定 火焰原子吸收光谱法和Na</w:t>
      </w:r>
      <w:r>
        <w:rPr>
          <w:vertAlign w:val="subscript"/>
        </w:rPr>
        <w:t>2</w:t>
      </w:r>
      <w:r>
        <w:t>EDTA滴定法</w:t>
      </w:r>
      <w:r>
        <w:rPr>
          <w:rFonts w:ascii="Times New Roman" w:hAnsi="Times New Roman"/>
          <w:szCs w:val="21"/>
        </w:rPr>
        <w:t>》</w:t>
      </w:r>
      <w:r>
        <w:rPr>
          <w:rFonts w:hint="eastAsia" w:ascii="Times New Roman" w:hAnsi="Times New Roman"/>
          <w:szCs w:val="21"/>
        </w:rPr>
        <w:t>中</w:t>
      </w:r>
      <w:r>
        <w:rPr>
          <w:rFonts w:hint="eastAsia" w:ascii="宋体" w:hAnsi="宋体" w:cs="宋体"/>
          <w:szCs w:val="21"/>
        </w:rPr>
        <w:t>方法</w:t>
      </w:r>
      <w:r>
        <w:rPr>
          <w:rFonts w:hint="eastAsia" w:ascii="宋体" w:hAnsi="宋体" w:cs="宋体"/>
        </w:rPr>
        <w:t>1</w:t>
      </w:r>
      <w:r>
        <w:rPr>
          <w:rFonts w:ascii="宋体" w:hAnsi="宋体" w:cs="宋体"/>
        </w:rPr>
        <w:t xml:space="preserve"> </w:t>
      </w:r>
      <w:r>
        <w:t>火焰原子吸收光谱法</w:t>
      </w:r>
      <w:r>
        <w:rPr>
          <w:rFonts w:hint="eastAsia" w:ascii="宋体" w:hAnsi="宋体" w:cs="宋体"/>
          <w:szCs w:val="21"/>
        </w:rPr>
        <w:t>由富</w:t>
      </w:r>
      <w:r>
        <w:rPr>
          <w:szCs w:val="21"/>
        </w:rPr>
        <w:t>富民薪冶工贸有限公司、</w:t>
      </w:r>
      <w:r>
        <w:rPr>
          <w:kern w:val="0"/>
          <w:szCs w:val="21"/>
        </w:rPr>
        <w:t>广东先导稀材股份有限公司</w:t>
      </w:r>
      <w:r>
        <w:rPr>
          <w:szCs w:val="21"/>
        </w:rPr>
        <w:t>、</w:t>
      </w:r>
      <w:r>
        <w:t>云</w:t>
      </w:r>
      <w:r>
        <w:rPr>
          <w:rFonts w:hint="eastAsia"/>
        </w:rPr>
        <w:t>南</w:t>
      </w:r>
      <w:r>
        <w:t>锡</w:t>
      </w:r>
      <w:r>
        <w:rPr>
          <w:rFonts w:hint="eastAsia"/>
        </w:rPr>
        <w:t>业</w:t>
      </w:r>
      <w:r>
        <w:t>股份</w:t>
      </w:r>
      <w:r>
        <w:rPr>
          <w:rFonts w:hint="eastAsia"/>
        </w:rPr>
        <w:t>有限</w:t>
      </w:r>
      <w:r>
        <w:t>公司</w:t>
      </w:r>
      <w:r>
        <w:rPr>
          <w:rFonts w:hint="eastAsia"/>
        </w:rPr>
        <w:t>铜业分公司</w:t>
      </w:r>
      <w:r>
        <w:rPr>
          <w:szCs w:val="21"/>
        </w:rPr>
        <w:t>、</w:t>
      </w:r>
      <w:r>
        <w:rPr>
          <w:kern w:val="0"/>
          <w:szCs w:val="21"/>
        </w:rPr>
        <w:t>河南豫光金铅股份有限公司</w:t>
      </w:r>
      <w:r>
        <w:rPr>
          <w:szCs w:val="21"/>
        </w:rPr>
        <w:t>、</w:t>
      </w:r>
      <w:r>
        <w:rPr>
          <w:kern w:val="0"/>
          <w:szCs w:val="21"/>
        </w:rPr>
        <w:t>江西铜业股份有限公司、五矿铜业（湖南）有限公司、山东恒邦冶炼股份有限公司、</w:t>
      </w:r>
      <w:r>
        <w:rPr>
          <w:rFonts w:hint="eastAsia"/>
          <w:kern w:val="0"/>
          <w:szCs w:val="21"/>
        </w:rPr>
        <w:t>阳谷</w:t>
      </w:r>
      <w:r>
        <w:rPr>
          <w:kern w:val="0"/>
          <w:szCs w:val="21"/>
        </w:rPr>
        <w:t>祥光铜业有限公司、郴州市金贵银业股份有限公司、长沙矿冶研究院有限责任公司</w:t>
      </w:r>
      <w:r>
        <w:rPr>
          <w:rFonts w:ascii="Times New Roman" w:hAnsi="Times New Roman"/>
          <w:kern w:val="1"/>
          <w:szCs w:val="21"/>
        </w:rPr>
        <w:t>共同编制</w:t>
      </w:r>
      <w:r>
        <w:rPr>
          <w:rFonts w:hint="eastAsia" w:ascii="Times New Roman" w:hAnsi="Times New Roman"/>
          <w:kern w:val="1"/>
          <w:szCs w:val="21"/>
        </w:rPr>
        <w:t>；</w:t>
      </w:r>
      <w:r>
        <w:rPr>
          <w:rFonts w:hint="eastAsia" w:ascii="宋体" w:hAnsi="宋体" w:cs="宋体"/>
        </w:rPr>
        <w:t>方法2</w:t>
      </w:r>
      <w:r>
        <w:rPr>
          <w:rFonts w:ascii="宋体" w:hAnsi="宋体" w:cs="宋体"/>
        </w:rPr>
        <w:t xml:space="preserve"> </w:t>
      </w:r>
      <w:r>
        <w:t>Na</w:t>
      </w:r>
      <w:r>
        <w:rPr>
          <w:vertAlign w:val="subscript"/>
        </w:rPr>
        <w:t>2</w:t>
      </w:r>
      <w:r>
        <w:t>EDTA滴定法</w:t>
      </w:r>
      <w:r>
        <w:rPr>
          <w:rFonts w:hint="eastAsia"/>
        </w:rPr>
        <w:t>由</w:t>
      </w:r>
      <w:r>
        <w:t>富民薪冶工贸有限公司</w:t>
      </w:r>
      <w:r>
        <w:rPr>
          <w:rFonts w:ascii="宋体" w:hAnsi="宋体"/>
          <w:szCs w:val="21"/>
        </w:rPr>
        <w:t>、江西铜业股份有限公司、广东先导稀材股份有限公司、紫金矿</w:t>
      </w:r>
      <w:r>
        <w:rPr>
          <w:rFonts w:hint="eastAsia" w:ascii="宋体" w:hAnsi="宋体"/>
          <w:szCs w:val="21"/>
        </w:rPr>
        <w:t>业集团股份</w:t>
      </w:r>
      <w:r>
        <w:rPr>
          <w:rFonts w:ascii="宋体" w:hAnsi="宋体"/>
          <w:szCs w:val="21"/>
        </w:rPr>
        <w:t>有限公司、河南豫光金铅股份有限公司、深圳清华大学研究院、北矿检测技术有限公司、大冶有色</w:t>
      </w:r>
      <w:r>
        <w:rPr>
          <w:rFonts w:hint="eastAsia" w:ascii="宋体" w:hAnsi="宋体"/>
          <w:szCs w:val="21"/>
        </w:rPr>
        <w:t>设计研究院有限公司</w:t>
      </w:r>
      <w:r>
        <w:rPr>
          <w:rFonts w:ascii="宋体" w:hAnsi="宋体"/>
          <w:szCs w:val="21"/>
        </w:rPr>
        <w:t>、铜陵有色金属集团控股有限公司、山东恒邦冶炼股份有限公司、紫金铜业有限公司</w:t>
      </w:r>
      <w:r>
        <w:rPr>
          <w:rFonts w:ascii="Times New Roman" w:hAnsi="Times New Roman"/>
          <w:kern w:val="1"/>
          <w:szCs w:val="21"/>
        </w:rPr>
        <w:t>共同编制</w:t>
      </w:r>
      <w:r>
        <w:rPr>
          <w:rFonts w:hint="eastAsia" w:ascii="Times New Roman" w:hAnsi="Times New Roman"/>
          <w:kern w:val="1"/>
          <w:szCs w:val="21"/>
        </w:rPr>
        <w:t>。</w:t>
      </w:r>
      <w:r>
        <w:rPr>
          <w:rFonts w:ascii="Times New Roman" w:hAnsi="Times New Roman"/>
          <w:szCs w:val="21"/>
        </w:rPr>
        <w:t>项目计划编号为2018-053</w:t>
      </w:r>
      <w:r>
        <w:rPr>
          <w:rFonts w:hint="eastAsia" w:ascii="Times New Roman" w:hAnsi="Times New Roman"/>
          <w:szCs w:val="21"/>
        </w:rPr>
        <w:t>0</w:t>
      </w:r>
      <w:r>
        <w:rPr>
          <w:rFonts w:ascii="Times New Roman" w:hAnsi="Times New Roman"/>
          <w:szCs w:val="21"/>
        </w:rPr>
        <w:t>T-YS，完成时间为2020年。</w:t>
      </w:r>
    </w:p>
    <w:p>
      <w:pPr>
        <w:spacing w:line="360" w:lineRule="auto"/>
        <w:rPr>
          <w:rFonts w:ascii="Times New Roman" w:hAnsi="Times New Roman" w:eastAsia="黑体"/>
          <w:bCs/>
          <w:szCs w:val="21"/>
        </w:rPr>
      </w:pPr>
      <w:r>
        <w:rPr>
          <w:rFonts w:ascii="Times New Roman" w:hAnsi="Times New Roman" w:eastAsia="黑体"/>
          <w:bCs/>
          <w:szCs w:val="21"/>
        </w:rPr>
        <w:t>2. 工作过程</w:t>
      </w:r>
    </w:p>
    <w:p>
      <w:pPr>
        <w:pStyle w:val="72"/>
        <w:spacing w:line="360" w:lineRule="auto"/>
        <w:rPr>
          <w:rFonts w:eastAsia="黑体"/>
          <w:bCs/>
        </w:rPr>
      </w:pPr>
      <w:r>
        <w:rPr>
          <w:rFonts w:eastAsia="黑体"/>
          <w:bCs/>
        </w:rPr>
        <w:t>2.1 进度安排</w:t>
      </w:r>
    </w:p>
    <w:p>
      <w:pPr>
        <w:spacing w:line="360" w:lineRule="auto"/>
        <w:ind w:firstLine="420" w:firstLineChars="200"/>
        <w:rPr>
          <w:rFonts w:ascii="Times New Roman" w:hAnsi="Times New Roman"/>
        </w:rPr>
      </w:pPr>
      <w:r>
        <w:rPr>
          <w:rFonts w:ascii="Times New Roman" w:hAnsi="Times New Roman"/>
        </w:rPr>
        <w:t>2018年7月26－27日，全国有色金属标准化技术委员会在黑龙江省哈尔滨市召开了有色金属标准工作会议，来自郴州市金贵银业股份有限公司、中国检验认证集团广西有限公司、深圳市中金岭南有色金属股份有限公司、湖南柿竹园有色金属有限责任公司、深圳清华大学研究院、长沙矿业研究院有限责任公司、株洲冶炼集团股份有限公司、鲅鱼圈出入境检验检疫局、广东省</w:t>
      </w:r>
      <w:r>
        <w:rPr>
          <w:rFonts w:hint="eastAsia" w:ascii="Times New Roman" w:hAnsi="Times New Roman"/>
        </w:rPr>
        <w:t>科学院</w:t>
      </w:r>
      <w:r>
        <w:rPr>
          <w:rFonts w:ascii="Times New Roman" w:hAnsi="Times New Roman"/>
        </w:rPr>
        <w:t>工业分析检测中心、国标（北京）检验认证有限公司、西北有色金属研究院、云南驰宏锌锗股份有限公司、河南豫光金铅股份有限公司、北矿检测技术有限公司、国家再生有色金属橡胶塑材料质量监督检验中心、东恒邦冶炼股份有限公司、广东先导稀材股份有限公司、南通出入境检验检疫局、</w:t>
      </w:r>
      <w:r>
        <w:rPr>
          <w:rFonts w:ascii="宋体" w:hAnsi="宋体"/>
          <w:szCs w:val="21"/>
        </w:rPr>
        <w:t>紫金矿</w:t>
      </w:r>
      <w:r>
        <w:rPr>
          <w:rFonts w:hint="eastAsia" w:ascii="宋体" w:hAnsi="宋体"/>
          <w:szCs w:val="21"/>
        </w:rPr>
        <w:t>业集团股份</w:t>
      </w:r>
      <w:r>
        <w:rPr>
          <w:rFonts w:ascii="宋体" w:hAnsi="宋体"/>
          <w:szCs w:val="21"/>
        </w:rPr>
        <w:t>有限公司</w:t>
      </w:r>
      <w:r>
        <w:rPr>
          <w:rFonts w:ascii="Times New Roman" w:hAnsi="Times New Roman"/>
        </w:rPr>
        <w:t>、</w:t>
      </w:r>
      <w:r>
        <w:rPr>
          <w:rFonts w:hint="eastAsia" w:ascii="Times New Roman" w:hAnsi="Times New Roman"/>
        </w:rPr>
        <w:t>北方铜业股份有限公司</w:t>
      </w:r>
      <w:r>
        <w:rPr>
          <w:rFonts w:ascii="Times New Roman" w:hAnsi="Times New Roman"/>
        </w:rPr>
        <w:t>、湖南有色金属研究院、湖南省有色地质勘查研究院、五矿铜业（湖南）有限公司、北京当升材料科技股份有限公司、天津出入境检验检疫局化矿金属材料检测中心、富民薪冶工贸有限公司、浙江富冶集团有限责任公司</w:t>
      </w:r>
      <w:r>
        <w:rPr>
          <w:rFonts w:hint="eastAsia" w:ascii="Times New Roman" w:hAnsi="Times New Roman"/>
        </w:rPr>
        <w:t>、</w:t>
      </w:r>
      <w:r>
        <w:rPr>
          <w:rFonts w:ascii="Times New Roman" w:hAnsi="Times New Roman"/>
        </w:rPr>
        <w:t>东邦普循环科技有限公司、浙江华友钴业股份有限公司、山东祥光集团有限公司、清远佳致新材料研究院有限公司、</w:t>
      </w:r>
      <w:r>
        <w:rPr>
          <w:rFonts w:hint="eastAsia" w:ascii="宋体" w:hAnsi="宋体" w:cs="宋体"/>
        </w:rPr>
        <w:t>云南锡业股份有限公司铜业分公司</w:t>
      </w:r>
      <w:r>
        <w:rPr>
          <w:rFonts w:ascii="Times New Roman" w:hAnsi="Times New Roman"/>
        </w:rPr>
        <w:t>、赣州市豪鹏科技有限公司、防城港东途矿产检测有限公司、紫金铜业有限公司、中国有色桂林矿产地质研究院有限公司、金川集团股份有限公司、广西华锡集团股份有限公司、铜陵有色检测研究中心、江西铜业股份有限公司、西北稀有金属材料研究院、</w:t>
      </w:r>
      <w:r>
        <w:rPr>
          <w:rFonts w:hint="eastAsia" w:ascii="宋体" w:hAnsi="宋体" w:cs="宋体"/>
          <w:color w:val="000000"/>
          <w:szCs w:val="21"/>
        </w:rPr>
        <w:t>大冶有色</w:t>
      </w:r>
      <w:r>
        <w:rPr>
          <w:rFonts w:hint="eastAsia" w:ascii="宋体" w:hAnsi="宋体"/>
          <w:szCs w:val="21"/>
        </w:rPr>
        <w:t>设计研究院有限公司</w:t>
      </w:r>
      <w:r>
        <w:rPr>
          <w:rFonts w:ascii="Times New Roman" w:hAnsi="Times New Roman"/>
        </w:rPr>
        <w:t>等42个单位51名代表参加了会议。</w:t>
      </w:r>
    </w:p>
    <w:p>
      <w:pPr>
        <w:pStyle w:val="84"/>
        <w:autoSpaceDE w:val="0"/>
        <w:autoSpaceDN w:val="0"/>
        <w:spacing w:line="360" w:lineRule="auto"/>
        <w:rPr>
          <w:rFonts w:ascii="Times New Roman" w:hAnsi="Times New Roman"/>
          <w:bCs/>
        </w:rPr>
      </w:pPr>
      <w:r>
        <w:rPr>
          <w:rFonts w:ascii="Times New Roman" w:hAnsi="Times New Roman"/>
        </w:rPr>
        <w:t>（1）会上，各方法编制组介绍了《铜冶炼烟尘化学分析方法》</w:t>
      </w:r>
      <w:r>
        <w:rPr>
          <w:rFonts w:ascii="Times New Roman" w:hAnsi="Times New Roman"/>
          <w:bCs/>
        </w:rPr>
        <w:t>前期的调研结果和通过调研确定的《</w:t>
      </w:r>
      <w:r>
        <w:rPr>
          <w:rFonts w:ascii="Times New Roman" w:hAnsi="Times New Roman"/>
        </w:rPr>
        <w:t>铜冶炼烟尘</w:t>
      </w:r>
      <w:r>
        <w:rPr>
          <w:rFonts w:ascii="Times New Roman" w:hAnsi="Times New Roman"/>
          <w:bCs/>
        </w:rPr>
        <w:t>化学分析方法》起草思路。</w:t>
      </w:r>
    </w:p>
    <w:p>
      <w:pPr>
        <w:pStyle w:val="84"/>
        <w:autoSpaceDE w:val="0"/>
        <w:autoSpaceDN w:val="0"/>
        <w:spacing w:line="360" w:lineRule="auto"/>
        <w:rPr>
          <w:rFonts w:ascii="Times New Roman" w:hAnsi="Times New Roman"/>
        </w:rPr>
      </w:pPr>
      <w:r>
        <w:rPr>
          <w:rFonts w:ascii="Times New Roman" w:hAnsi="Times New Roman"/>
          <w:bCs/>
        </w:rPr>
        <w:t>（2）与会专家同意了《</w:t>
      </w:r>
      <w:r>
        <w:rPr>
          <w:rFonts w:ascii="Times New Roman" w:hAnsi="Times New Roman"/>
        </w:rPr>
        <w:t>铜冶炼烟尘</w:t>
      </w:r>
      <w:r>
        <w:rPr>
          <w:rFonts w:ascii="Times New Roman" w:hAnsi="Times New Roman"/>
          <w:bCs/>
        </w:rPr>
        <w:t>化学分析方法》中各元素的检测方法和检测范围。</w:t>
      </w:r>
    </w:p>
    <w:p>
      <w:pPr>
        <w:pStyle w:val="84"/>
        <w:autoSpaceDE w:val="0"/>
        <w:autoSpaceDN w:val="0"/>
        <w:spacing w:line="360" w:lineRule="auto"/>
        <w:rPr>
          <w:rFonts w:ascii="Times New Roman" w:hAnsi="Times New Roman"/>
        </w:rPr>
      </w:pPr>
      <w:r>
        <w:rPr>
          <w:rFonts w:ascii="Times New Roman" w:hAnsi="Times New Roman"/>
        </w:rPr>
        <w:t xml:space="preserve">（3）会议对《铜冶炼烟尘化学分析方法 </w:t>
      </w:r>
      <w:r>
        <w:rPr>
          <w:rFonts w:ascii="Times New Roman" w:hAnsi="Times New Roman"/>
          <w:szCs w:val="21"/>
        </w:rPr>
        <w:t>第</w:t>
      </w:r>
      <w:r>
        <w:rPr>
          <w:rFonts w:hint="eastAsia" w:ascii="Times New Roman" w:hAnsi="Times New Roman"/>
          <w:szCs w:val="21"/>
        </w:rPr>
        <w:t>4</w:t>
      </w:r>
      <w:r>
        <w:rPr>
          <w:rFonts w:ascii="Times New Roman" w:hAnsi="Times New Roman"/>
          <w:szCs w:val="21"/>
        </w:rPr>
        <w:t>部分：</w:t>
      </w:r>
      <w:r>
        <w:t>铋含量的测定 火焰原子吸收光谱法和Na</w:t>
      </w:r>
      <w:r>
        <w:rPr>
          <w:vertAlign w:val="subscript"/>
        </w:rPr>
        <w:t>2</w:t>
      </w:r>
      <w:r>
        <w:t>EDTA滴定法</w:t>
      </w:r>
      <w:r>
        <w:rPr>
          <w:rFonts w:ascii="Times New Roman" w:hAnsi="Times New Roman"/>
        </w:rPr>
        <w:t>》进行了任务落实。</w:t>
      </w:r>
      <w:r>
        <w:rPr>
          <w:rFonts w:hint="eastAsia" w:ascii="宋体" w:hAnsi="宋体" w:cs="宋体"/>
          <w:szCs w:val="21"/>
        </w:rPr>
        <w:t>方法</w:t>
      </w:r>
      <w:r>
        <w:rPr>
          <w:rFonts w:hint="eastAsia" w:ascii="宋体" w:hAnsi="宋体" w:cs="宋体"/>
        </w:rPr>
        <w:t>1</w:t>
      </w:r>
      <w:r>
        <w:rPr>
          <w:rFonts w:ascii="宋体" w:hAnsi="宋体" w:cs="宋体"/>
        </w:rPr>
        <w:t xml:space="preserve"> </w:t>
      </w:r>
      <w:r>
        <w:t>火焰原子吸收光谱法</w:t>
      </w:r>
      <w:r>
        <w:rPr>
          <w:rFonts w:hint="eastAsia" w:ascii="宋体" w:hAnsi="宋体" w:cs="宋体"/>
          <w:szCs w:val="21"/>
        </w:rPr>
        <w:t>由富民薪冶工贸有限公司、</w:t>
      </w:r>
      <w:r>
        <w:rPr>
          <w:rFonts w:hint="eastAsia" w:ascii="宋体" w:hAnsi="宋体" w:cs="宋体"/>
          <w:kern w:val="0"/>
          <w:szCs w:val="21"/>
        </w:rPr>
        <w:t>广东先导稀材股份有限公司</w:t>
      </w:r>
      <w:r>
        <w:rPr>
          <w:rFonts w:hint="eastAsia" w:ascii="宋体" w:hAnsi="宋体" w:cs="宋体"/>
          <w:szCs w:val="21"/>
        </w:rPr>
        <w:t>、</w:t>
      </w:r>
      <w:r>
        <w:rPr>
          <w:rFonts w:hint="eastAsia" w:ascii="宋体" w:hAnsi="宋体" w:cs="宋体"/>
        </w:rPr>
        <w:t>云南锡业股份有限公司铜业分公司</w:t>
      </w:r>
      <w:r>
        <w:rPr>
          <w:rFonts w:hint="eastAsia" w:ascii="宋体" w:hAnsi="宋体" w:cs="宋体"/>
          <w:szCs w:val="21"/>
        </w:rPr>
        <w:t>、</w:t>
      </w:r>
      <w:r>
        <w:rPr>
          <w:rFonts w:hint="eastAsia" w:ascii="宋体" w:hAnsi="宋体" w:cs="宋体"/>
          <w:kern w:val="0"/>
          <w:szCs w:val="21"/>
        </w:rPr>
        <w:t>河南豫光金铅股份有限公司</w:t>
      </w:r>
      <w:r>
        <w:rPr>
          <w:rFonts w:hint="eastAsia" w:ascii="宋体" w:hAnsi="宋体" w:cs="宋体"/>
          <w:szCs w:val="21"/>
        </w:rPr>
        <w:t>、</w:t>
      </w:r>
      <w:r>
        <w:rPr>
          <w:rFonts w:hint="eastAsia" w:ascii="宋体" w:hAnsi="宋体" w:cs="宋体"/>
          <w:kern w:val="0"/>
          <w:szCs w:val="21"/>
        </w:rPr>
        <w:t>江西铜业股份有限公司、五矿铜业（湖南）有限公司、山东恒邦冶炼股份有限公司、阳谷祥光铜业有限公司、郴州市金贵银业股份有限公司、长沙矿冶研究院有限责任公司</w:t>
      </w:r>
      <w:r>
        <w:rPr>
          <w:rFonts w:ascii="Times New Roman" w:hAnsi="Times New Roman"/>
          <w:kern w:val="1"/>
          <w:szCs w:val="21"/>
        </w:rPr>
        <w:t>共同</w:t>
      </w:r>
      <w:r>
        <w:rPr>
          <w:rFonts w:ascii="Times New Roman" w:hAnsi="Times New Roman"/>
          <w:szCs w:val="21"/>
        </w:rPr>
        <w:t>进行起草工作</w:t>
      </w:r>
      <w:r>
        <w:rPr>
          <w:rFonts w:hint="eastAsia" w:ascii="Times New Roman" w:hAnsi="Times New Roman"/>
          <w:kern w:val="1"/>
          <w:szCs w:val="21"/>
        </w:rPr>
        <w:t>；</w:t>
      </w:r>
      <w:r>
        <w:rPr>
          <w:rFonts w:hint="eastAsia" w:ascii="宋体" w:hAnsi="宋体" w:cs="宋体"/>
        </w:rPr>
        <w:t>方法2</w:t>
      </w:r>
      <w:r>
        <w:rPr>
          <w:rFonts w:ascii="宋体" w:hAnsi="宋体" w:cs="宋体"/>
        </w:rPr>
        <w:t xml:space="preserve"> </w:t>
      </w:r>
      <w:r>
        <w:t>Na</w:t>
      </w:r>
      <w:r>
        <w:rPr>
          <w:vertAlign w:val="subscript"/>
        </w:rPr>
        <w:t>2</w:t>
      </w:r>
      <w:r>
        <w:t>EDTA滴定法</w:t>
      </w:r>
      <w:r>
        <w:rPr>
          <w:rFonts w:hint="eastAsia"/>
        </w:rPr>
        <w:t>由</w:t>
      </w:r>
      <w:r>
        <w:rPr>
          <w:rFonts w:hint="eastAsia" w:ascii="宋体" w:hAnsi="宋体" w:cs="宋体"/>
        </w:rPr>
        <w:t>富民薪冶工贸有限公司</w:t>
      </w:r>
      <w:r>
        <w:rPr>
          <w:rFonts w:hint="eastAsia" w:ascii="宋体" w:hAnsi="宋体" w:cs="宋体"/>
          <w:szCs w:val="21"/>
        </w:rPr>
        <w:t>、江西铜业股份有限公司、广东先导稀材股份有限公司、</w:t>
      </w:r>
      <w:r>
        <w:rPr>
          <w:rFonts w:ascii="宋体" w:hAnsi="宋体"/>
          <w:szCs w:val="21"/>
        </w:rPr>
        <w:t>紫金矿</w:t>
      </w:r>
      <w:r>
        <w:rPr>
          <w:rFonts w:hint="eastAsia" w:ascii="宋体" w:hAnsi="宋体"/>
          <w:szCs w:val="21"/>
        </w:rPr>
        <w:t>业集团股份</w:t>
      </w:r>
      <w:r>
        <w:rPr>
          <w:rFonts w:ascii="宋体" w:hAnsi="宋体"/>
          <w:szCs w:val="21"/>
        </w:rPr>
        <w:t>有限公司</w:t>
      </w:r>
      <w:r>
        <w:rPr>
          <w:rFonts w:hint="eastAsia" w:ascii="宋体" w:hAnsi="宋体" w:cs="宋体"/>
          <w:szCs w:val="21"/>
        </w:rPr>
        <w:t>、河南豫光金铅股份有限公司、深圳清华大学研究院、北矿检测技术有限公司、大冶有色</w:t>
      </w:r>
      <w:r>
        <w:rPr>
          <w:rFonts w:hint="eastAsia" w:ascii="宋体" w:hAnsi="宋体"/>
          <w:szCs w:val="21"/>
        </w:rPr>
        <w:t>设计研究院有限公司</w:t>
      </w:r>
      <w:r>
        <w:rPr>
          <w:rFonts w:hint="eastAsia" w:ascii="宋体" w:hAnsi="宋体" w:cs="宋体"/>
          <w:color w:val="000000"/>
          <w:szCs w:val="21"/>
        </w:rPr>
        <w:t>、</w:t>
      </w:r>
      <w:r>
        <w:rPr>
          <w:rFonts w:hint="eastAsia" w:ascii="宋体" w:hAnsi="宋体" w:cs="宋体"/>
          <w:szCs w:val="21"/>
        </w:rPr>
        <w:t>铜陵有色金属集团控股有限公司、山东恒邦冶炼股份有限公司、紫金铜业有限公司</w:t>
      </w:r>
      <w:r>
        <w:rPr>
          <w:rFonts w:ascii="Times New Roman" w:hAnsi="Times New Roman"/>
          <w:kern w:val="1"/>
          <w:szCs w:val="21"/>
        </w:rPr>
        <w:t>共同</w:t>
      </w:r>
      <w:r>
        <w:rPr>
          <w:rFonts w:ascii="Times New Roman" w:hAnsi="Times New Roman"/>
          <w:szCs w:val="21"/>
        </w:rPr>
        <w:t>进行起草工作</w:t>
      </w:r>
      <w:r>
        <w:rPr>
          <w:rFonts w:hint="eastAsia" w:ascii="Times New Roman" w:hAnsi="Times New Roman"/>
          <w:szCs w:val="21"/>
        </w:rPr>
        <w:t>。</w:t>
      </w:r>
    </w:p>
    <w:p>
      <w:pPr>
        <w:pStyle w:val="72"/>
        <w:spacing w:line="360" w:lineRule="auto"/>
        <w:ind w:firstLine="420" w:firstLineChars="200"/>
      </w:pPr>
      <w:r>
        <w:t>（4）2019年6月前主起草单位将样品、试验报告和标准草案发给一验和二验单位，随即开展验证工作。</w:t>
      </w:r>
    </w:p>
    <w:p>
      <w:pPr>
        <w:spacing w:line="360" w:lineRule="auto"/>
        <w:rPr>
          <w:rFonts w:ascii="Times New Roman" w:hAnsi="Times New Roman" w:eastAsia="黑体"/>
        </w:rPr>
      </w:pPr>
      <w:r>
        <w:rPr>
          <w:rFonts w:ascii="Times New Roman" w:hAnsi="Times New Roman" w:eastAsia="黑体"/>
        </w:rPr>
        <w:t>2.2 预审会</w:t>
      </w:r>
    </w:p>
    <w:p>
      <w:pPr>
        <w:pStyle w:val="72"/>
        <w:spacing w:line="360" w:lineRule="auto"/>
        <w:ind w:firstLine="420" w:firstLineChars="200"/>
      </w:pPr>
      <w:r>
        <w:t>2019年11月27日~29日，全国有色金属标准化技术委员会在广东省深圳市召开了《铜冶炼烟尘化学分析方法》第1~9部分行业标</w:t>
      </w:r>
      <w:r>
        <w:rPr>
          <w:rFonts w:hint="eastAsia"/>
          <w:color w:val="000000" w:themeColor="text1"/>
        </w:rPr>
        <w:t>准</w:t>
      </w:r>
      <w:r>
        <w:t>预审会。项目计划编号分别为：2018- 0527T / 0528T / 0529T / 0530T / 0531T / 0532T / 0533T / 0534T / 0535T-YS。</w:t>
      </w:r>
    </w:p>
    <w:p>
      <w:pPr>
        <w:spacing w:line="440" w:lineRule="exact"/>
        <w:ind w:firstLine="420" w:firstLineChars="200"/>
        <w:rPr>
          <w:szCs w:val="21"/>
        </w:rPr>
      </w:pPr>
      <w:r>
        <w:t>铜陵有色金属集团控股有限公司、富民薪冶工贸有限公司、广东省</w:t>
      </w:r>
      <w:r>
        <w:rPr>
          <w:rFonts w:hint="eastAsia" w:ascii="Times New Roman" w:hAnsi="Times New Roman"/>
          <w:color w:val="000000" w:themeColor="text1"/>
        </w:rPr>
        <w:t>科学院</w:t>
      </w:r>
      <w:r>
        <w:t>工业分析检测中心、北矿检测技术有限公司 、金川集团股份有限公司、</w:t>
      </w:r>
      <w:r>
        <w:rPr>
          <w:rFonts w:hint="eastAsia" w:ascii="宋体" w:hAnsi="宋体" w:cs="宋体"/>
        </w:rPr>
        <w:t>云南锡业股份有限公司铜业分公司</w:t>
      </w:r>
      <w:r>
        <w:t>、湖南有色金属研究院、中国有色桂林矿产地质研究院有限公司、鲅鱼圈检验检疫局技术中心、</w:t>
      </w:r>
      <w:r>
        <w:rPr>
          <w:rFonts w:ascii="宋体" w:hAnsi="宋体"/>
          <w:szCs w:val="21"/>
        </w:rPr>
        <w:t>紫金矿</w:t>
      </w:r>
      <w:r>
        <w:rPr>
          <w:rFonts w:hint="eastAsia" w:ascii="宋体" w:hAnsi="宋体"/>
          <w:szCs w:val="21"/>
        </w:rPr>
        <w:t>业集团股份</w:t>
      </w:r>
      <w:r>
        <w:rPr>
          <w:rFonts w:ascii="宋体" w:hAnsi="宋体"/>
          <w:szCs w:val="21"/>
        </w:rPr>
        <w:t>有限公司</w:t>
      </w:r>
      <w:r>
        <w:t>、贵州省分析测试研究院、北方铜业股份有限公司、深圳市中金岭南有色金属股份有限公司、江西铜业股份有限公司、阳谷祥光铜业有限公司、河南豫光金铅股份有限公司、中国检验认证集团广西有限公司、大冶有色设计研究院有限公司等30余名代表出席了会议，并对本标准（预审稿、编制说明）进行了详细分析和充分讨论，肯定了技术方案，并提出了意见和建议。</w:t>
      </w:r>
      <w:r>
        <w:rPr>
          <w:rFonts w:hint="eastAsia"/>
          <w:szCs w:val="21"/>
        </w:rPr>
        <w:t>方法1</w:t>
      </w:r>
      <w:r>
        <w:rPr>
          <w:szCs w:val="21"/>
        </w:rPr>
        <w:t>其主要意见分别如下：（1）统一文本封面左上角编号</w:t>
      </w:r>
      <w:r>
        <w:rPr>
          <w:rFonts w:hint="eastAsia"/>
          <w:szCs w:val="21"/>
        </w:rPr>
        <w:t>；</w:t>
      </w:r>
      <w:r>
        <w:rPr>
          <w:szCs w:val="21"/>
        </w:rPr>
        <w:t>（2）统一原子吸收光谱法的相同部分</w:t>
      </w:r>
      <w:r>
        <w:rPr>
          <w:rFonts w:hint="eastAsia"/>
          <w:szCs w:val="21"/>
        </w:rPr>
        <w:t>；</w:t>
      </w:r>
      <w:r>
        <w:rPr>
          <w:szCs w:val="21"/>
        </w:rPr>
        <w:t>（3）规范化文本和编制说明</w:t>
      </w:r>
      <w:r>
        <w:rPr>
          <w:rFonts w:hint="eastAsia"/>
          <w:szCs w:val="21"/>
        </w:rPr>
        <w:t>；</w:t>
      </w:r>
      <w:r>
        <w:rPr>
          <w:szCs w:val="21"/>
        </w:rPr>
        <w:t>（4）（2.3）根据实验报告，无背景干扰，无需进行氘灯扣背景测定；（5）称样量分段过多，建议进行合并；（6）因使用氢氟酸溶样建议将烧杯改为聚四氟乙烯烧杯。</w:t>
      </w:r>
      <w:r>
        <w:rPr>
          <w:rFonts w:hint="eastAsia"/>
          <w:szCs w:val="21"/>
        </w:rPr>
        <w:t>方法2</w:t>
      </w:r>
      <w:r>
        <w:rPr>
          <w:szCs w:val="21"/>
        </w:rPr>
        <w:t>其主要意见分别如下：</w:t>
      </w:r>
      <w:r>
        <w:rPr>
          <w:color w:val="000000" w:themeColor="text1"/>
          <w:szCs w:val="21"/>
        </w:rPr>
        <w:t>（1）统一文本封面左上角编号</w:t>
      </w:r>
      <w:r>
        <w:rPr>
          <w:rFonts w:hint="eastAsia"/>
          <w:color w:val="000000" w:themeColor="text1"/>
          <w:szCs w:val="21"/>
        </w:rPr>
        <w:t>；</w:t>
      </w:r>
      <w:r>
        <w:rPr>
          <w:color w:val="000000" w:themeColor="text1"/>
          <w:szCs w:val="21"/>
        </w:rPr>
        <w:t>（2）规范化文本和编制说明</w:t>
      </w:r>
      <w:r>
        <w:rPr>
          <w:rFonts w:hint="eastAsia"/>
          <w:color w:val="000000" w:themeColor="text1"/>
          <w:szCs w:val="21"/>
        </w:rPr>
        <w:t>；</w:t>
      </w:r>
      <w:r>
        <w:rPr>
          <w:szCs w:val="21"/>
        </w:rPr>
        <w:t>（3）测定步骤不建议用氢氟酸溶样，改用氟化铵或氟化氢铵进行溶样</w:t>
      </w:r>
      <w:r>
        <w:rPr>
          <w:rFonts w:hint="eastAsia"/>
          <w:szCs w:val="21"/>
        </w:rPr>
        <w:t>；</w:t>
      </w:r>
      <w:r>
        <w:rPr>
          <w:szCs w:val="21"/>
        </w:rPr>
        <w:t>（4）溶样时300mL烧杯改为400mL烧杯</w:t>
      </w:r>
      <w:r>
        <w:rPr>
          <w:rFonts w:hint="eastAsia"/>
          <w:szCs w:val="21"/>
        </w:rPr>
        <w:t>；</w:t>
      </w:r>
      <w:r>
        <w:rPr>
          <w:szCs w:val="21"/>
        </w:rPr>
        <w:t>（5）测定时硝酸和酒石酸配成混合溶液加入</w:t>
      </w:r>
      <w:r>
        <w:rPr>
          <w:rFonts w:hint="eastAsia"/>
          <w:szCs w:val="21"/>
        </w:rPr>
        <w:t>；</w:t>
      </w:r>
      <w:r>
        <w:rPr>
          <w:szCs w:val="21"/>
        </w:rPr>
        <w:t>（6）抗坏血酸用量需与验证单位沟通确认</w:t>
      </w:r>
      <w:r>
        <w:rPr>
          <w:rFonts w:hint="eastAsia"/>
          <w:szCs w:val="21"/>
        </w:rPr>
        <w:t>；</w:t>
      </w:r>
      <w:r>
        <w:rPr>
          <w:szCs w:val="21"/>
        </w:rPr>
        <w:t>（</w:t>
      </w:r>
      <w:r>
        <w:rPr>
          <w:rFonts w:hint="eastAsia"/>
          <w:szCs w:val="21"/>
        </w:rPr>
        <w:t>7</w:t>
      </w:r>
      <w:r>
        <w:rPr>
          <w:szCs w:val="21"/>
        </w:rPr>
        <w:t>）试验报告中增加硝酸用量条件</w:t>
      </w:r>
      <w:r>
        <w:rPr>
          <w:rFonts w:hint="eastAsia"/>
          <w:szCs w:val="21"/>
        </w:rPr>
        <w:t>；</w:t>
      </w:r>
      <w:r>
        <w:rPr>
          <w:szCs w:val="21"/>
        </w:rPr>
        <w:t>（</w:t>
      </w:r>
      <w:r>
        <w:rPr>
          <w:rFonts w:hint="eastAsia"/>
          <w:szCs w:val="21"/>
        </w:rPr>
        <w:t>8</w:t>
      </w:r>
      <w:r>
        <w:rPr>
          <w:szCs w:val="21"/>
        </w:rPr>
        <w:t>）补充高氯酸除硒后铋的回收率试验。</w:t>
      </w:r>
    </w:p>
    <w:p>
      <w:pPr>
        <w:spacing w:line="360" w:lineRule="auto"/>
        <w:ind w:firstLine="420" w:firstLineChars="200"/>
        <w:rPr>
          <w:rFonts w:ascii="Times New Roman" w:hAnsi="Times New Roman"/>
          <w:szCs w:val="21"/>
        </w:rPr>
      </w:pPr>
      <w:r>
        <w:rPr>
          <w:rFonts w:ascii="Times New Roman" w:hAnsi="Times New Roman"/>
          <w:szCs w:val="21"/>
        </w:rPr>
        <w:t>会后，根据会议精神，标准编制小组对征求意见稿和编制说明进行了认真修改、补充、完善，形成了送审稿、意见汇总表及编制说明。</w:t>
      </w:r>
    </w:p>
    <w:p>
      <w:pPr>
        <w:pStyle w:val="72"/>
        <w:spacing w:line="360" w:lineRule="auto"/>
        <w:rPr>
          <w:rFonts w:eastAsia="黑体"/>
        </w:rPr>
      </w:pPr>
      <w:r>
        <w:rPr>
          <w:rFonts w:eastAsia="黑体"/>
        </w:rPr>
        <w:t>2.3 实验部分</w:t>
      </w:r>
    </w:p>
    <w:p>
      <w:pPr>
        <w:pStyle w:val="72"/>
        <w:spacing w:line="360" w:lineRule="auto"/>
        <w:ind w:firstLine="405"/>
        <w:rPr>
          <w:b/>
          <w:bCs/>
        </w:rPr>
      </w:pPr>
      <w:r>
        <w:t>实验部分见附件1：《试验报告》。</w:t>
      </w:r>
    </w:p>
    <w:p>
      <w:pPr>
        <w:pStyle w:val="72"/>
        <w:spacing w:line="360" w:lineRule="auto"/>
        <w:rPr>
          <w:rFonts w:eastAsia="黑体"/>
        </w:rPr>
      </w:pPr>
      <w:r>
        <w:rPr>
          <w:rFonts w:eastAsia="黑体"/>
        </w:rPr>
        <w:t>3．标准编写原则和编写格式</w:t>
      </w:r>
    </w:p>
    <w:p>
      <w:pPr>
        <w:spacing w:line="360" w:lineRule="auto"/>
        <w:ind w:firstLine="420" w:firstLineChars="200"/>
        <w:rPr>
          <w:rFonts w:ascii="Times New Roman" w:hAnsi="Times New Roman"/>
          <w:szCs w:val="21"/>
        </w:rPr>
      </w:pPr>
      <w:r>
        <w:rPr>
          <w:rFonts w:ascii="Times New Roman" w:hAnsi="Times New Roman"/>
          <w:szCs w:val="21"/>
        </w:rPr>
        <w:t>本标准是根据GB/T1.1-2020《标准化工作导则第1部分：标准的结构和编写规则》和GB/T20001.4-2001《标准编写规则第4部分：化学分析方法》的要求进行编写的。编制本标准的目的是以能满足《铜冶炼烟尘化学分析方法 第</w:t>
      </w:r>
      <w:r>
        <w:rPr>
          <w:rFonts w:hint="eastAsia" w:ascii="Times New Roman" w:hAnsi="Times New Roman"/>
          <w:szCs w:val="21"/>
        </w:rPr>
        <w:t>4</w:t>
      </w:r>
      <w:r>
        <w:rPr>
          <w:rFonts w:ascii="Times New Roman" w:hAnsi="Times New Roman"/>
          <w:szCs w:val="21"/>
        </w:rPr>
        <w:t>部分：</w:t>
      </w:r>
      <w:r>
        <w:t>铋含量的测定 火焰原子吸收光谱法和Na</w:t>
      </w:r>
      <w:r>
        <w:rPr>
          <w:vertAlign w:val="subscript"/>
        </w:rPr>
        <w:t>2</w:t>
      </w:r>
      <w:r>
        <w:t>EDTA滴定法</w:t>
      </w:r>
      <w:r>
        <w:rPr>
          <w:rFonts w:ascii="Times New Roman" w:hAnsi="Times New Roman"/>
          <w:szCs w:val="21"/>
        </w:rPr>
        <w:t>》准确快速测定要求为基础。编制本标准的原则是准确、具有一定的先进性和操作简单性。根据国情制订技术规范并力求与国外先进技术接轨。</w:t>
      </w:r>
    </w:p>
    <w:p>
      <w:pPr>
        <w:spacing w:line="360" w:lineRule="auto"/>
        <w:rPr>
          <w:rFonts w:ascii="Times New Roman" w:hAnsi="Times New Roman" w:eastAsia="黑体"/>
        </w:rPr>
      </w:pPr>
      <w:r>
        <w:rPr>
          <w:rFonts w:ascii="Times New Roman" w:hAnsi="Times New Roman" w:eastAsia="黑体"/>
        </w:rPr>
        <w:t>4．标准编写的目的和意义</w:t>
      </w:r>
    </w:p>
    <w:p>
      <w:pPr>
        <w:spacing w:line="440" w:lineRule="exact"/>
        <w:ind w:firstLine="420"/>
        <w:rPr>
          <w:rFonts w:ascii="Times New Roman" w:hAnsi="Times New Roman"/>
          <w:szCs w:val="21"/>
        </w:rPr>
      </w:pPr>
      <w:r>
        <w:rPr>
          <w:rFonts w:ascii="Times New Roman" w:hAnsi="Times New Roman"/>
          <w:szCs w:val="21"/>
        </w:rPr>
        <w:t>在铜冶炼生产中，原料制备和火法冶炼（ISA炉、电炉、转炉、奥炉、底吹炉、侧吹、闪速炉等）作业中，由于燃料的燃烧、气流对物料的携带作用以及高温下金属的挥发和氧化等物理化学作用，原料中部分有价或有害元素混合在杂质中开路并进入烟气中，烟气通过重力收尘、静电收尘、组合收尘、机械力收尘等方式处理得到大量的冶炼烟尘。作为铜冶炼生产过程中产生的主要固体副产物，其特点是尘量大(约占原料量的1%～10%)，元素含量波动范围广, 颗粒较细,以硫酸盐、氧化物、砷酸盐、硫化物为主。</w:t>
      </w:r>
    </w:p>
    <w:p>
      <w:pPr>
        <w:spacing w:line="440" w:lineRule="exact"/>
        <w:ind w:firstLine="420"/>
        <w:rPr>
          <w:rFonts w:ascii="Times New Roman" w:hAnsi="Times New Roman"/>
          <w:szCs w:val="21"/>
        </w:rPr>
      </w:pPr>
      <w:r>
        <w:rPr>
          <w:rFonts w:ascii="Times New Roman" w:hAnsi="Times New Roman"/>
          <w:szCs w:val="21"/>
        </w:rPr>
        <w:t>铜冶炼烟尘中含有大量的铜、铅、锌、银、铟等有价金属，若不处理直接弃置浪费或者处理不恰当，将会造成资源的大量浪费，而且铜烟灰中还含有砷、镉等有害元素，还会造成严重的环境污染；如果直接返回冶炼系统进行处理，会导致炉内反应条件恶化、杂质成分的恶性积累，严重影响生产，同时造成炉料中有害成分增多，有害杂质的积累会直接影响电铜或粗铜的质量。</w:t>
      </w:r>
    </w:p>
    <w:p>
      <w:pPr>
        <w:spacing w:line="440" w:lineRule="exact"/>
        <w:ind w:firstLine="420"/>
        <w:rPr>
          <w:rFonts w:ascii="Times New Roman" w:hAnsi="Times New Roman"/>
          <w:szCs w:val="21"/>
        </w:rPr>
      </w:pPr>
      <w:r>
        <w:rPr>
          <w:rFonts w:ascii="Times New Roman" w:hAnsi="Times New Roman"/>
          <w:szCs w:val="21"/>
        </w:rPr>
        <w:t>目前国内铜冶炼企业烟尘的年产量在20万吨以上，其中仅铜陵有色金属集团控股有限公司就年产2万吨。若不对其进行有效的处理，其产生的环境危害要远大于其带来的经济效益本身；同时，面对如今越来越紧缺的矿产资源，各铜冶炼企业纷纷把烟尘作为新的原料提取其中有价金属。做到既增加经济效益，又保护环境的“双赢”局面。随着环境压力和环保要求的提高，对回收利用单位资质要求越来越严，没有资质的公司也纷纷将其出售，铜冶炼烟尘的贸易也越来越频繁，仅广东一地的交易量一年就上万吨。</w:t>
      </w:r>
    </w:p>
    <w:p>
      <w:pPr>
        <w:spacing w:line="360" w:lineRule="auto"/>
        <w:ind w:firstLine="420" w:firstLineChars="200"/>
        <w:rPr>
          <w:rFonts w:ascii="Times New Roman" w:hAnsi="Times New Roman"/>
          <w:szCs w:val="21"/>
        </w:rPr>
      </w:pPr>
      <w:r>
        <w:rPr>
          <w:rFonts w:ascii="Times New Roman" w:hAnsi="Times New Roman"/>
          <w:szCs w:val="21"/>
        </w:rPr>
        <w:t>从项目申报开始，</w:t>
      </w:r>
      <w:r>
        <w:t>富民薪冶工贸有限公司</w:t>
      </w:r>
      <w:r>
        <w:rPr>
          <w:rFonts w:ascii="Times New Roman" w:hAnsi="Times New Roman"/>
          <w:szCs w:val="21"/>
        </w:rPr>
        <w:t>就组建了《铜冶炼烟尘化学分析方法 第</w:t>
      </w:r>
      <w:r>
        <w:rPr>
          <w:rFonts w:hint="eastAsia" w:ascii="Times New Roman" w:hAnsi="Times New Roman"/>
          <w:szCs w:val="21"/>
        </w:rPr>
        <w:t>4</w:t>
      </w:r>
      <w:r>
        <w:rPr>
          <w:rFonts w:ascii="Times New Roman" w:hAnsi="Times New Roman"/>
          <w:szCs w:val="21"/>
        </w:rPr>
        <w:t>部分：</w:t>
      </w:r>
      <w:r>
        <w:t>铋含量的测定 火焰原子吸收光谱法和Na</w:t>
      </w:r>
      <w:r>
        <w:rPr>
          <w:vertAlign w:val="subscript"/>
        </w:rPr>
        <w:t>2</w:t>
      </w:r>
      <w:r>
        <w:t>EDTA滴定法</w:t>
      </w:r>
      <w:r>
        <w:rPr>
          <w:rFonts w:ascii="Times New Roman" w:hAnsi="Times New Roman"/>
          <w:szCs w:val="21"/>
        </w:rPr>
        <w:t>》标准编制小组，由长期负责标准制修订的、具有丰富工作经验高工担任带头人，带领数名高级工程师、工程师进行项目研究。在立项阶段，项目组就开始广泛进行调研，充分查阅国内外铜冶炼烟尘的相关资料及企业、用户、检测机构的相关要求，征集关于铜冶炼烟尘中</w:t>
      </w:r>
      <w:r>
        <w:rPr>
          <w:rFonts w:hint="eastAsia" w:ascii="Times New Roman" w:hAnsi="Times New Roman"/>
          <w:szCs w:val="21"/>
        </w:rPr>
        <w:t>铋</w:t>
      </w:r>
      <w:r>
        <w:rPr>
          <w:rFonts w:ascii="Times New Roman" w:hAnsi="Times New Roman"/>
          <w:szCs w:val="21"/>
        </w:rPr>
        <w:t>的测定要求、测定范围、测定方法。</w:t>
      </w:r>
    </w:p>
    <w:p>
      <w:pPr>
        <w:spacing w:line="360" w:lineRule="auto"/>
        <w:ind w:firstLine="420" w:firstLineChars="200"/>
        <w:rPr>
          <w:rFonts w:ascii="Times New Roman" w:hAnsi="Times New Roman"/>
          <w:szCs w:val="21"/>
        </w:rPr>
      </w:pPr>
      <w:r>
        <w:rPr>
          <w:rFonts w:ascii="Times New Roman" w:hAnsi="Times New Roman"/>
          <w:szCs w:val="21"/>
        </w:rPr>
        <w:t>调研工作从铜冶炼烟尘的生产企业和用户两个方面进行。标准编制小组征集铜冶炼烟尘中</w:t>
      </w:r>
      <w:r>
        <w:rPr>
          <w:rFonts w:hint="eastAsia" w:ascii="Times New Roman" w:hAnsi="Times New Roman"/>
          <w:szCs w:val="21"/>
        </w:rPr>
        <w:t>铋</w:t>
      </w:r>
      <w:r>
        <w:rPr>
          <w:rFonts w:ascii="Times New Roman" w:hAnsi="Times New Roman"/>
          <w:szCs w:val="21"/>
        </w:rPr>
        <w:t>的测定要求和测定范围，通过调研得知，作为非常重要的有色产品，国内各检测机构每年都会接到大量铜冶炼烟尘中</w:t>
      </w:r>
      <w:r>
        <w:rPr>
          <w:rFonts w:hint="eastAsia" w:ascii="Times New Roman" w:hAnsi="Times New Roman"/>
          <w:szCs w:val="21"/>
        </w:rPr>
        <w:t>铋</w:t>
      </w:r>
      <w:r>
        <w:rPr>
          <w:rFonts w:ascii="Times New Roman" w:hAnsi="Times New Roman"/>
          <w:szCs w:val="21"/>
        </w:rPr>
        <w:t>含量的委托检验。因为没有相应的标准方法，经过调研，发现各冶炼厂家和检测机构大都参照</w:t>
      </w:r>
      <w:r>
        <w:rPr>
          <w:rFonts w:hint="eastAsia" w:ascii="宋体" w:hAnsi="宋体" w:cs="宋体"/>
          <w:szCs w:val="21"/>
        </w:rPr>
        <w:t>YS/T 745.7-2010铜阳极泥化学分析方法 第7部分 铋量的测定 火焰原子吸收光谱法和Na</w:t>
      </w:r>
      <w:r>
        <w:rPr>
          <w:rFonts w:hint="eastAsia" w:ascii="宋体" w:hAnsi="宋体" w:cs="宋体"/>
          <w:szCs w:val="21"/>
          <w:vertAlign w:val="subscript"/>
        </w:rPr>
        <w:t>2</w:t>
      </w:r>
      <w:r>
        <w:rPr>
          <w:rFonts w:hint="eastAsia" w:ascii="宋体" w:hAnsi="宋体" w:cs="宋体"/>
          <w:szCs w:val="21"/>
        </w:rPr>
        <w:t>EDTA滴定法（Bi%=1%～5%，Bi%=5%～20%）、GB/T 3884.9-2012 铜精矿化学分析方法 第9部分：砷和铋量的测定 氢化物发生-原子荧光光谱法、溴酸钾滴定法和二乙基二硫代氨基甲酸银分光光度法（Bi%=0.010%～0.70%）。</w:t>
      </w:r>
      <w:r>
        <w:rPr>
          <w:rFonts w:ascii="Times New Roman" w:hAnsi="Times New Roman"/>
          <w:szCs w:val="21"/>
        </w:rPr>
        <w:t>但是由于共存元素和</w:t>
      </w:r>
      <w:r>
        <w:rPr>
          <w:rFonts w:hint="eastAsia" w:ascii="Times New Roman" w:hAnsi="Times New Roman"/>
          <w:szCs w:val="21"/>
        </w:rPr>
        <w:t>铋</w:t>
      </w:r>
      <w:r>
        <w:rPr>
          <w:rFonts w:ascii="Times New Roman" w:hAnsi="Times New Roman"/>
          <w:szCs w:val="21"/>
        </w:rPr>
        <w:t>的含量存在较大的差异，实验室采用各自的方法进行检测，数据争议在所难免。因此，也有必要建立公认的、准确的检验方法，以规范检验过程，满足市场的需求。</w:t>
      </w:r>
    </w:p>
    <w:p>
      <w:pPr>
        <w:spacing w:line="360" w:lineRule="auto"/>
        <w:ind w:firstLine="420" w:firstLineChars="200"/>
        <w:rPr>
          <w:rFonts w:ascii="Times New Roman" w:hAnsi="Times New Roman"/>
          <w:szCs w:val="21"/>
        </w:rPr>
      </w:pPr>
      <w:r>
        <w:rPr>
          <w:rFonts w:ascii="Times New Roman" w:hAnsi="Times New Roman"/>
          <w:szCs w:val="21"/>
        </w:rPr>
        <w:t>铜冶炼烟尘中</w:t>
      </w:r>
      <w:r>
        <w:rPr>
          <w:rFonts w:hint="eastAsia" w:ascii="Times New Roman" w:hAnsi="Times New Roman"/>
          <w:szCs w:val="21"/>
        </w:rPr>
        <w:t>铋</w:t>
      </w:r>
      <w:r>
        <w:rPr>
          <w:rFonts w:ascii="Times New Roman" w:hAnsi="Times New Roman"/>
          <w:szCs w:val="21"/>
        </w:rPr>
        <w:t>的含量为0.050%</w:t>
      </w:r>
      <w:r>
        <w:rPr>
          <w:rFonts w:ascii="Times New Roman"/>
          <w:spacing w:val="6"/>
        </w:rPr>
        <w:t>～</w:t>
      </w:r>
      <w:r>
        <w:rPr>
          <w:rFonts w:ascii="Times New Roman" w:hAnsi="Times New Roman"/>
          <w:szCs w:val="21"/>
        </w:rPr>
        <w:t>16.00%，通过各项条件试验</w:t>
      </w:r>
      <w:r>
        <w:rPr>
          <w:rFonts w:hint="eastAsia" w:ascii="Times New Roman" w:hAnsi="Times New Roman"/>
          <w:szCs w:val="21"/>
        </w:rPr>
        <w:t>范围在</w:t>
      </w:r>
      <w:r>
        <w:rPr>
          <w:rFonts w:ascii="Times New Roman" w:hAnsi="Times New Roman"/>
          <w:spacing w:val="6"/>
        </w:rPr>
        <w:t>0.</w:t>
      </w:r>
      <w:r>
        <w:rPr>
          <w:rFonts w:hint="eastAsia" w:ascii="Times New Roman" w:hAnsi="Times New Roman"/>
          <w:spacing w:val="6"/>
        </w:rPr>
        <w:t>05</w:t>
      </w:r>
      <w:r>
        <w:rPr>
          <w:rFonts w:ascii="Times New Roman" w:hAnsi="Times New Roman"/>
          <w:spacing w:val="6"/>
        </w:rPr>
        <w:t>0%</w:t>
      </w:r>
      <w:r>
        <w:rPr>
          <w:rFonts w:ascii="Times New Roman"/>
          <w:spacing w:val="6"/>
        </w:rPr>
        <w:t>～</w:t>
      </w:r>
      <w:r>
        <w:rPr>
          <w:rFonts w:ascii="Times New Roman" w:hAnsi="Times New Roman"/>
          <w:spacing w:val="6"/>
        </w:rPr>
        <w:t>5.00%</w:t>
      </w:r>
      <w:r>
        <w:rPr>
          <w:rFonts w:hint="eastAsia"/>
          <w:spacing w:val="6"/>
        </w:rPr>
        <w:t>时</w:t>
      </w:r>
      <w:r>
        <w:rPr>
          <w:rFonts w:ascii="Times New Roman" w:hAnsi="Times New Roman"/>
          <w:szCs w:val="21"/>
        </w:rPr>
        <w:t>采用</w:t>
      </w:r>
      <w:r>
        <w:rPr>
          <w:rFonts w:hint="eastAsia" w:ascii="Times New Roman" w:hAnsi="Times New Roman"/>
          <w:szCs w:val="21"/>
        </w:rPr>
        <w:t>火焰原子吸收法</w:t>
      </w:r>
      <w:r>
        <w:rPr>
          <w:rFonts w:ascii="Times New Roman" w:hAnsi="Times New Roman"/>
          <w:szCs w:val="21"/>
        </w:rPr>
        <w:t>进行测定</w:t>
      </w:r>
      <w:r>
        <w:rPr>
          <w:rFonts w:hint="eastAsia" w:ascii="Times New Roman" w:hAnsi="Times New Roman"/>
          <w:szCs w:val="21"/>
        </w:rPr>
        <w:t>；范围在5</w:t>
      </w:r>
      <w:r>
        <w:rPr>
          <w:rFonts w:ascii="Times New Roman" w:hAnsi="Times New Roman"/>
          <w:szCs w:val="21"/>
        </w:rPr>
        <w:t>.00 %</w:t>
      </w:r>
      <w:r>
        <w:rPr>
          <w:rFonts w:ascii="Times New Roman"/>
          <w:szCs w:val="21"/>
        </w:rPr>
        <w:t>～</w:t>
      </w:r>
      <w:r>
        <w:rPr>
          <w:rFonts w:hint="eastAsia" w:ascii="Times New Roman"/>
          <w:szCs w:val="21"/>
        </w:rPr>
        <w:t>16</w:t>
      </w:r>
      <w:r>
        <w:rPr>
          <w:rFonts w:ascii="Times New Roman" w:hAnsi="Times New Roman"/>
          <w:szCs w:val="21"/>
        </w:rPr>
        <w:t>.00 %</w:t>
      </w:r>
      <w:r>
        <w:rPr>
          <w:rFonts w:hint="eastAsia" w:ascii="Times New Roman" w:hAnsi="Times New Roman"/>
          <w:szCs w:val="21"/>
        </w:rPr>
        <w:t>时采用</w:t>
      </w:r>
      <w:r>
        <w:rPr>
          <w:rFonts w:ascii="Times New Roman" w:hAnsi="Times New Roman"/>
          <w:szCs w:val="21"/>
        </w:rPr>
        <w:t>Na</w:t>
      </w:r>
      <w:r>
        <w:rPr>
          <w:rFonts w:ascii="Times New Roman" w:hAnsi="Times New Roman"/>
          <w:szCs w:val="21"/>
          <w:vertAlign w:val="subscript"/>
        </w:rPr>
        <w:t>2</w:t>
      </w:r>
      <w:r>
        <w:rPr>
          <w:rFonts w:ascii="Times New Roman" w:hAnsi="Times New Roman"/>
          <w:szCs w:val="21"/>
        </w:rPr>
        <w:t>EDTA滴定法</w:t>
      </w:r>
      <w:r>
        <w:rPr>
          <w:rFonts w:hint="eastAsia" w:ascii="Times New Roman" w:hAnsi="Times New Roman"/>
          <w:szCs w:val="21"/>
        </w:rPr>
        <w:t>进行测定</w:t>
      </w:r>
      <w:r>
        <w:rPr>
          <w:rFonts w:ascii="Times New Roman" w:hAnsi="Times New Roman"/>
          <w:szCs w:val="21"/>
        </w:rPr>
        <w:t>。方法简单、快速、干扰少，结果准确。</w:t>
      </w:r>
    </w:p>
    <w:p>
      <w:pPr>
        <w:pStyle w:val="59"/>
        <w:spacing w:line="360" w:lineRule="auto"/>
        <w:ind w:firstLine="0" w:firstLineChars="0"/>
        <w:rPr>
          <w:rFonts w:ascii="Times New Roman" w:eastAsia="黑体" w:cs="Times New Roman"/>
          <w:bCs/>
        </w:rPr>
      </w:pPr>
      <w:r>
        <w:rPr>
          <w:rFonts w:ascii="Times New Roman" w:eastAsia="黑体" w:cs="Times New Roman"/>
          <w:bCs/>
        </w:rPr>
        <w:t>5．国内外有关工作情况</w:t>
      </w:r>
    </w:p>
    <w:p>
      <w:pPr>
        <w:pStyle w:val="59"/>
        <w:spacing w:line="360" w:lineRule="auto"/>
        <w:ind w:firstLine="420"/>
        <w:rPr>
          <w:rFonts w:ascii="Times New Roman" w:cs="Times New Roman"/>
        </w:rPr>
      </w:pPr>
      <w:r>
        <w:rPr>
          <w:rFonts w:ascii="Times New Roman" w:cs="Times New Roman"/>
        </w:rPr>
        <w:t>国内外尚未查询到已经发布的铜冶炼烟尘</w:t>
      </w:r>
      <w:r>
        <w:rPr>
          <w:rFonts w:hint="eastAsia" w:ascii="Times New Roman" w:cs="Times New Roman"/>
        </w:rPr>
        <w:t>中铋</w:t>
      </w:r>
      <w:r>
        <w:rPr>
          <w:rFonts w:ascii="Times New Roman" w:cs="Times New Roman"/>
        </w:rPr>
        <w:t>的分析检测标准。</w:t>
      </w:r>
    </w:p>
    <w:p>
      <w:pPr>
        <w:spacing w:line="360" w:lineRule="auto"/>
        <w:ind w:firstLine="420" w:firstLineChars="200"/>
        <w:rPr>
          <w:rFonts w:ascii="Times New Roman" w:hAnsi="Times New Roman"/>
        </w:rPr>
      </w:pPr>
      <w:r>
        <w:rPr>
          <w:rFonts w:ascii="Times New Roman" w:hAnsi="Times New Roman"/>
          <w:szCs w:val="21"/>
        </w:rPr>
        <w:t>查阅了大量的相关资料，从实验仪器普及程度及成本方面考虑并结合工作实际拟定了采用</w:t>
      </w:r>
      <w:r>
        <w:rPr>
          <w:rFonts w:hint="eastAsia" w:ascii="Times New Roman" w:hAnsi="Times New Roman"/>
          <w:szCs w:val="21"/>
        </w:rPr>
        <w:t>火焰原子吸收光谱法和</w:t>
      </w:r>
      <w:r>
        <w:rPr>
          <w:rFonts w:ascii="Times New Roman" w:hAnsi="Times New Roman"/>
          <w:szCs w:val="21"/>
        </w:rPr>
        <w:t>Na</w:t>
      </w:r>
      <w:r>
        <w:rPr>
          <w:rFonts w:ascii="Times New Roman" w:hAnsi="Times New Roman"/>
          <w:szCs w:val="21"/>
          <w:vertAlign w:val="subscript"/>
        </w:rPr>
        <w:t>2</w:t>
      </w:r>
      <w:r>
        <w:rPr>
          <w:rFonts w:ascii="Times New Roman" w:hAnsi="Times New Roman"/>
          <w:szCs w:val="21"/>
        </w:rPr>
        <w:t>EDTA滴定法进行测定。并通过实际试样和条件试验确定了测定范围、称样量、共存离子的影响等内容，确定了方法的准确度及精密度，最终形成了行业标准。</w:t>
      </w:r>
      <w:r>
        <w:rPr>
          <w:rFonts w:ascii="Times New Roman" w:hAnsi="Times New Roman"/>
        </w:rPr>
        <w:t>本标准具有操作简便、准确度好等优点。</w:t>
      </w:r>
    </w:p>
    <w:p>
      <w:pPr>
        <w:pStyle w:val="72"/>
        <w:adjustRightInd/>
        <w:spacing w:line="360" w:lineRule="auto"/>
        <w:rPr>
          <w:rFonts w:eastAsia="黑体"/>
          <w:bCs/>
          <w:szCs w:val="20"/>
        </w:rPr>
      </w:pPr>
      <w:r>
        <w:rPr>
          <w:rFonts w:eastAsia="黑体"/>
          <w:bCs/>
          <w:szCs w:val="20"/>
        </w:rPr>
        <w:t>6．标准适用范围</w:t>
      </w:r>
    </w:p>
    <w:p>
      <w:pPr>
        <w:pStyle w:val="72"/>
        <w:adjustRightInd/>
        <w:spacing w:line="360" w:lineRule="auto"/>
        <w:ind w:firstLine="420" w:firstLineChars="200"/>
        <w:rPr>
          <w:rFonts w:eastAsia="黑体"/>
          <w:bCs/>
          <w:szCs w:val="20"/>
        </w:rPr>
      </w:pPr>
      <w:r>
        <w:t>本文件适用于铜冶炼烟尘中</w:t>
      </w:r>
      <w:r>
        <w:rPr>
          <w:rFonts w:hint="eastAsia"/>
        </w:rPr>
        <w:t>铋</w:t>
      </w:r>
      <w:r>
        <w:t>含量的测定。测定范围：0.050%</w:t>
      </w:r>
      <w:r>
        <w:rPr>
          <w:spacing w:val="6"/>
        </w:rPr>
        <w:t>～</w:t>
      </w:r>
      <w:r>
        <w:t>16.00%。</w:t>
      </w:r>
    </w:p>
    <w:p>
      <w:pPr>
        <w:pStyle w:val="72"/>
        <w:adjustRightInd/>
        <w:spacing w:line="360" w:lineRule="auto"/>
        <w:rPr>
          <w:rFonts w:eastAsia="黑体"/>
          <w:bCs/>
        </w:rPr>
      </w:pPr>
      <w:r>
        <w:rPr>
          <w:rFonts w:eastAsia="黑体"/>
          <w:bCs/>
        </w:rPr>
        <w:t>7．标准制定的主要内容与依据</w:t>
      </w:r>
    </w:p>
    <w:p>
      <w:pPr>
        <w:pStyle w:val="72"/>
        <w:adjustRightInd/>
        <w:spacing w:line="360" w:lineRule="auto"/>
        <w:ind w:firstLine="420" w:firstLineChars="200"/>
        <w:rPr>
          <w:rFonts w:eastAsiaTheme="minorEastAsia"/>
        </w:rPr>
      </w:pPr>
      <w:r>
        <w:rPr>
          <w:rFonts w:eastAsiaTheme="minorEastAsia"/>
        </w:rPr>
        <w:t>见</w:t>
      </w:r>
      <w:r>
        <w:rPr>
          <w:rFonts w:hint="eastAsia" w:eastAsiaTheme="minorEastAsia"/>
        </w:rPr>
        <w:t>附件1</w:t>
      </w:r>
      <w:r>
        <w:t>《</w:t>
      </w:r>
      <w:r>
        <w:rPr>
          <w:rFonts w:hint="eastAsia"/>
        </w:rPr>
        <w:t>试验报告</w:t>
      </w:r>
      <w:r>
        <w:t>》</w:t>
      </w:r>
    </w:p>
    <w:p>
      <w:pPr>
        <w:pStyle w:val="72"/>
        <w:adjustRightInd/>
        <w:spacing w:line="360" w:lineRule="auto"/>
        <w:rPr>
          <w:rFonts w:eastAsia="黑体"/>
          <w:bCs/>
        </w:rPr>
      </w:pPr>
      <w:r>
        <w:rPr>
          <w:rFonts w:eastAsia="黑体"/>
          <w:bCs/>
        </w:rPr>
        <w:t>8．协同试验</w:t>
      </w:r>
    </w:p>
    <w:p>
      <w:pPr>
        <w:pStyle w:val="72"/>
        <w:adjustRightInd/>
        <w:spacing w:line="360" w:lineRule="auto"/>
        <w:ind w:firstLine="525" w:firstLineChars="250"/>
      </w:pPr>
      <w:r>
        <w:rPr>
          <w:rFonts w:hint="eastAsia" w:ascii="宋体" w:hAnsi="宋体"/>
        </w:rPr>
        <w:t>方法1</w:t>
      </w:r>
      <w:r>
        <w:t>由铜陵有色金属集团控股有限公司和富民薪冶</w:t>
      </w:r>
      <w:r>
        <w:rPr>
          <w:rFonts w:hint="eastAsia"/>
          <w:color w:val="000000" w:themeColor="text1"/>
        </w:rPr>
        <w:t>工贸</w:t>
      </w:r>
      <w:r>
        <w:t>有限公司汇集试样并提供了5个水平的样品</w:t>
      </w:r>
      <w:r>
        <w:rPr>
          <w:rFonts w:hint="eastAsia"/>
        </w:rPr>
        <w:t>，</w:t>
      </w:r>
      <w:r>
        <w:rPr>
          <w:rFonts w:hint="eastAsia" w:ascii="宋体" w:hAnsi="宋体"/>
        </w:rPr>
        <w:t>方法2</w:t>
      </w:r>
      <w:r>
        <w:t>由铜陵有色金属集团控股有限公司和富民薪冶</w:t>
      </w:r>
      <w:r>
        <w:rPr>
          <w:rFonts w:hint="eastAsia"/>
          <w:color w:val="000000" w:themeColor="text1"/>
        </w:rPr>
        <w:t>工贸</w:t>
      </w:r>
      <w:r>
        <w:t>有限公司汇集试样并提供了</w:t>
      </w:r>
      <w:r>
        <w:rPr>
          <w:rFonts w:hint="eastAsia"/>
        </w:rPr>
        <w:t>5</w:t>
      </w:r>
      <w:r>
        <w:t>个水平的样品。</w:t>
      </w:r>
    </w:p>
    <w:p>
      <w:pPr>
        <w:pStyle w:val="72"/>
        <w:adjustRightInd/>
        <w:spacing w:line="360" w:lineRule="auto"/>
        <w:rPr>
          <w:rFonts w:eastAsia="黑体"/>
        </w:rPr>
      </w:pPr>
      <w:r>
        <w:rPr>
          <w:rFonts w:eastAsia="黑体"/>
        </w:rPr>
        <w:t>8.2 精密度试验</w:t>
      </w:r>
    </w:p>
    <w:p>
      <w:pPr>
        <w:spacing w:line="360" w:lineRule="auto"/>
        <w:ind w:firstLine="420" w:firstLineChars="200"/>
        <w:rPr>
          <w:rFonts w:ascii="Times New Roman" w:hAnsi="Times New Roman"/>
        </w:rPr>
      </w:pPr>
      <w:r>
        <w:rPr>
          <w:rFonts w:ascii="Times New Roman" w:hAnsi="Times New Roman"/>
        </w:rPr>
        <w:t xml:space="preserve">在精密度试验方面， </w:t>
      </w:r>
      <w:r>
        <w:rPr>
          <w:rFonts w:hint="eastAsia" w:ascii="Times New Roman" w:hAnsi="Times New Roman"/>
        </w:rPr>
        <w:t>方法1  9</w:t>
      </w:r>
      <w:r>
        <w:rPr>
          <w:rFonts w:ascii="Times New Roman" w:hAnsi="Times New Roman"/>
        </w:rPr>
        <w:t>个验证单位对</w:t>
      </w:r>
      <w:r>
        <w:rPr>
          <w:rFonts w:hint="eastAsia" w:ascii="Times New Roman" w:hAnsi="Times New Roman"/>
        </w:rPr>
        <w:t>5</w:t>
      </w:r>
      <w:r>
        <w:rPr>
          <w:rFonts w:ascii="Times New Roman" w:hAnsi="Times New Roman"/>
        </w:rPr>
        <w:t>个梯度的样品进行了试验，</w:t>
      </w:r>
      <w:r>
        <w:rPr>
          <w:rFonts w:hint="eastAsia" w:ascii="Times New Roman" w:hAnsi="Times New Roman"/>
        </w:rPr>
        <w:t>方法2 ，10</w:t>
      </w:r>
      <w:r>
        <w:rPr>
          <w:rFonts w:ascii="Times New Roman" w:hAnsi="Times New Roman"/>
        </w:rPr>
        <w:t>个验证单位对</w:t>
      </w:r>
      <w:r>
        <w:rPr>
          <w:rFonts w:hint="eastAsia" w:ascii="Times New Roman" w:hAnsi="Times New Roman"/>
        </w:rPr>
        <w:t>5</w:t>
      </w:r>
      <w:r>
        <w:rPr>
          <w:rFonts w:ascii="Times New Roman" w:hAnsi="Times New Roman"/>
        </w:rPr>
        <w:t>个梯度的样品进行了试验，并根据国家标准GB/T 6379.2-2004确定标准测量方法的重复性和再现性的基本方法（ISO 5725-2：1994，IDT）的规定，对收到的全部数据进行了统计分析。原始数据及统计结果见附件2。</w:t>
      </w:r>
    </w:p>
    <w:p>
      <w:pPr>
        <w:pStyle w:val="72"/>
        <w:adjustRightInd/>
        <w:spacing w:line="360" w:lineRule="auto"/>
        <w:rPr>
          <w:rFonts w:eastAsia="黑体"/>
        </w:rPr>
      </w:pPr>
      <w:r>
        <w:rPr>
          <w:rFonts w:eastAsia="黑体"/>
        </w:rPr>
        <w:t>8.3 重复性</w:t>
      </w:r>
    </w:p>
    <w:p>
      <w:pPr>
        <w:pStyle w:val="59"/>
        <w:tabs>
          <w:tab w:val="left" w:pos="360"/>
          <w:tab w:val="left" w:pos="540"/>
        </w:tabs>
        <w:ind w:left="210" w:leftChars="100" w:firstLine="420"/>
        <w:rPr>
          <w:rFonts w:hAnsi="宋体"/>
        </w:rPr>
      </w:pPr>
      <w:r>
        <w:rPr>
          <w:rFonts w:hint="eastAsia" w:hAnsi="宋体"/>
        </w:rPr>
        <w:t>在重复性条件下获得的两次独立测试结果的测定值，在以下给出的平均值范围内，这两个测试结果的绝对差值不超过重复性限</w:t>
      </w:r>
      <w:r>
        <w:rPr>
          <w:rFonts w:ascii="Times New Roman" w:cs="Times New Roman"/>
        </w:rPr>
        <w:t>（</w:t>
      </w:r>
      <w:r>
        <w:rPr>
          <w:rFonts w:ascii="Times New Roman" w:cs="Times New Roman"/>
          <w:i/>
        </w:rPr>
        <w:t>r</w:t>
      </w:r>
      <w:r>
        <w:rPr>
          <w:rFonts w:ascii="Times New Roman" w:cs="Times New Roman"/>
        </w:rPr>
        <w:t>）</w:t>
      </w:r>
      <w:r>
        <w:rPr>
          <w:rFonts w:hint="eastAsia" w:hAnsi="宋体"/>
        </w:rPr>
        <w:t>，超过重复性限</w:t>
      </w:r>
      <w:r>
        <w:rPr>
          <w:rFonts w:ascii="Times New Roman" w:cs="Times New Roman"/>
        </w:rPr>
        <w:t>（</w:t>
      </w:r>
      <w:r>
        <w:rPr>
          <w:rFonts w:ascii="Times New Roman" w:cs="Times New Roman"/>
          <w:i/>
        </w:rPr>
        <w:t>r</w:t>
      </w:r>
      <w:r>
        <w:rPr>
          <w:rFonts w:ascii="Times New Roman" w:cs="Times New Roman"/>
        </w:rPr>
        <w:t>）</w:t>
      </w:r>
      <w:r>
        <w:rPr>
          <w:rFonts w:hint="eastAsia" w:hAnsi="宋体"/>
        </w:rPr>
        <w:t>的情况不超过</w:t>
      </w:r>
      <w:r>
        <w:rPr>
          <w:rFonts w:ascii="Times New Roman" w:cs="Times New Roman"/>
        </w:rPr>
        <w:t>5%</w:t>
      </w:r>
      <w:r>
        <w:rPr>
          <w:rFonts w:hint="eastAsia" w:hAnsi="宋体"/>
        </w:rPr>
        <w:t>。重复性限</w:t>
      </w:r>
      <w:r>
        <w:rPr>
          <w:rFonts w:ascii="Times New Roman" w:cs="Times New Roman"/>
        </w:rPr>
        <w:t>（</w:t>
      </w:r>
      <w:r>
        <w:rPr>
          <w:rFonts w:ascii="Times New Roman" w:cs="Times New Roman"/>
          <w:i/>
        </w:rPr>
        <w:t>r</w:t>
      </w:r>
      <w:r>
        <w:rPr>
          <w:rFonts w:ascii="Times New Roman" w:cs="Times New Roman"/>
        </w:rPr>
        <w:t>）</w:t>
      </w:r>
      <w:r>
        <w:rPr>
          <w:rFonts w:hint="eastAsia" w:hAnsi="宋体"/>
        </w:rPr>
        <w:t>按表1和表</w:t>
      </w:r>
      <w:r>
        <w:rPr>
          <w:rFonts w:ascii="Times New Roman" w:cs="Times New Roman"/>
        </w:rPr>
        <w:t>2</w:t>
      </w:r>
      <w:r>
        <w:rPr>
          <w:rFonts w:hint="eastAsia" w:hAnsi="宋体"/>
        </w:rPr>
        <w:t>数据采用线性内插法或外延法求得：</w:t>
      </w:r>
    </w:p>
    <w:p>
      <w:pPr>
        <w:tabs>
          <w:tab w:val="left" w:pos="100"/>
        </w:tabs>
        <w:spacing w:line="360" w:lineRule="auto"/>
        <w:ind w:firstLine="630" w:firstLineChars="300"/>
        <w:jc w:val="left"/>
        <w:rPr>
          <w:szCs w:val="21"/>
        </w:rPr>
      </w:pPr>
      <w:r>
        <w:rPr>
          <w:rFonts w:hint="eastAsia"/>
          <w:szCs w:val="21"/>
        </w:rPr>
        <w:t>方法1  火焰原子吸收光谱法</w:t>
      </w:r>
    </w:p>
    <w:p>
      <w:pPr>
        <w:jc w:val="center"/>
        <w:rPr>
          <w:rFonts w:ascii="黑体" w:hAnsi="黑体" w:eastAsia="黑体"/>
          <w:szCs w:val="21"/>
        </w:rPr>
      </w:pPr>
      <w:r>
        <w:rPr>
          <w:rFonts w:hint="eastAsia" w:ascii="黑体" w:hAnsi="黑体" w:eastAsia="黑体"/>
          <w:szCs w:val="21"/>
        </w:rPr>
        <w:t>表1</w:t>
      </w:r>
      <w:r>
        <w:rPr>
          <w:rFonts w:ascii="黑体" w:hAnsi="黑体" w:eastAsia="黑体"/>
          <w:szCs w:val="21"/>
        </w:rPr>
        <w:t xml:space="preserve">  </w:t>
      </w:r>
      <w:r>
        <w:rPr>
          <w:rFonts w:hint="eastAsia" w:ascii="黑体" w:hAnsi="黑体" w:eastAsia="黑体"/>
          <w:szCs w:val="21"/>
        </w:rPr>
        <w:t>重复性限</w:t>
      </w:r>
    </w:p>
    <w:tbl>
      <w:tblPr>
        <w:tblStyle w:val="32"/>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324"/>
        <w:gridCol w:w="1324"/>
        <w:gridCol w:w="1324"/>
        <w:gridCol w:w="1323"/>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28" w:type="dxa"/>
            <w:vAlign w:val="center"/>
          </w:tcPr>
          <w:p>
            <w:pPr>
              <w:jc w:val="center"/>
              <w:rPr>
                <w:rFonts w:eastAsiaTheme="minorEastAsia"/>
                <w:bCs/>
                <w:sz w:val="18"/>
                <w:szCs w:val="18"/>
              </w:rPr>
            </w:pPr>
            <w:r>
              <w:rPr>
                <w:rFonts w:eastAsiaTheme="minorEastAsia"/>
                <w:i/>
                <w:sz w:val="18"/>
                <w:szCs w:val="18"/>
              </w:rPr>
              <w:t xml:space="preserve">W </w:t>
            </w:r>
            <w:r>
              <w:rPr>
                <w:rFonts w:eastAsiaTheme="minorEastAsia"/>
                <w:i/>
                <w:sz w:val="18"/>
                <w:szCs w:val="18"/>
                <w:vertAlign w:val="subscript"/>
              </w:rPr>
              <w:t>Bi</w:t>
            </w:r>
            <w:r>
              <w:rPr>
                <w:rFonts w:hint="eastAsia" w:eastAsiaTheme="minorEastAsia"/>
                <w:i/>
                <w:sz w:val="18"/>
                <w:szCs w:val="18"/>
                <w:vertAlign w:val="subscript"/>
              </w:rPr>
              <w:t xml:space="preserve"> </w:t>
            </w:r>
            <w:r>
              <w:rPr>
                <w:rFonts w:eastAsiaTheme="minorEastAsia"/>
                <w:sz w:val="18"/>
                <w:szCs w:val="18"/>
              </w:rPr>
              <w:t>/ %</w:t>
            </w:r>
          </w:p>
        </w:tc>
        <w:tc>
          <w:tcPr>
            <w:tcW w:w="1328" w:type="dxa"/>
            <w:vAlign w:val="center"/>
          </w:tcPr>
          <w:p>
            <w:pPr>
              <w:widowControl/>
              <w:jc w:val="center"/>
              <w:textAlignment w:val="center"/>
              <w:rPr>
                <w:color w:val="000000"/>
                <w:sz w:val="18"/>
                <w:szCs w:val="18"/>
              </w:rPr>
            </w:pPr>
            <w:r>
              <w:rPr>
                <w:color w:val="000000"/>
                <w:kern w:val="0"/>
                <w:sz w:val="18"/>
                <w:szCs w:val="18"/>
              </w:rPr>
              <w:t>0.089</w:t>
            </w:r>
          </w:p>
        </w:tc>
        <w:tc>
          <w:tcPr>
            <w:tcW w:w="1328" w:type="dxa"/>
            <w:vAlign w:val="center"/>
          </w:tcPr>
          <w:p>
            <w:pPr>
              <w:widowControl/>
              <w:jc w:val="center"/>
              <w:textAlignment w:val="center"/>
              <w:rPr>
                <w:color w:val="000000"/>
                <w:sz w:val="18"/>
                <w:szCs w:val="18"/>
              </w:rPr>
            </w:pPr>
            <w:r>
              <w:rPr>
                <w:color w:val="000000"/>
                <w:kern w:val="0"/>
                <w:sz w:val="18"/>
                <w:szCs w:val="18"/>
              </w:rPr>
              <w:t xml:space="preserve">0.95 </w:t>
            </w:r>
          </w:p>
        </w:tc>
        <w:tc>
          <w:tcPr>
            <w:tcW w:w="1328" w:type="dxa"/>
            <w:vAlign w:val="center"/>
          </w:tcPr>
          <w:p>
            <w:pPr>
              <w:widowControl/>
              <w:jc w:val="center"/>
              <w:textAlignment w:val="center"/>
              <w:rPr>
                <w:color w:val="000000"/>
                <w:sz w:val="18"/>
                <w:szCs w:val="18"/>
              </w:rPr>
            </w:pPr>
            <w:r>
              <w:rPr>
                <w:color w:val="000000"/>
                <w:kern w:val="0"/>
                <w:sz w:val="18"/>
                <w:szCs w:val="18"/>
              </w:rPr>
              <w:t>2.0</w:t>
            </w:r>
            <w:r>
              <w:rPr>
                <w:rFonts w:hint="eastAsia"/>
                <w:color w:val="000000"/>
                <w:kern w:val="0"/>
                <w:sz w:val="18"/>
                <w:szCs w:val="18"/>
              </w:rPr>
              <w:t>2</w:t>
            </w:r>
            <w:r>
              <w:rPr>
                <w:color w:val="000000"/>
                <w:kern w:val="0"/>
                <w:sz w:val="18"/>
                <w:szCs w:val="18"/>
              </w:rPr>
              <w:t xml:space="preserve"> </w:t>
            </w:r>
          </w:p>
        </w:tc>
        <w:tc>
          <w:tcPr>
            <w:tcW w:w="1327" w:type="dxa"/>
            <w:vAlign w:val="center"/>
          </w:tcPr>
          <w:p>
            <w:pPr>
              <w:widowControl/>
              <w:jc w:val="center"/>
              <w:textAlignment w:val="center"/>
              <w:rPr>
                <w:color w:val="000000"/>
                <w:sz w:val="18"/>
                <w:szCs w:val="18"/>
              </w:rPr>
            </w:pPr>
            <w:r>
              <w:rPr>
                <w:color w:val="000000"/>
                <w:kern w:val="0"/>
                <w:sz w:val="18"/>
                <w:szCs w:val="18"/>
              </w:rPr>
              <w:t>3.53</w:t>
            </w:r>
          </w:p>
        </w:tc>
        <w:tc>
          <w:tcPr>
            <w:tcW w:w="1323" w:type="dxa"/>
            <w:vAlign w:val="center"/>
          </w:tcPr>
          <w:p>
            <w:pPr>
              <w:widowControl/>
              <w:jc w:val="center"/>
              <w:textAlignment w:val="center"/>
              <w:rPr>
                <w:color w:val="000000"/>
                <w:sz w:val="18"/>
                <w:szCs w:val="18"/>
              </w:rPr>
            </w:pPr>
            <w:r>
              <w:rPr>
                <w:color w:val="000000"/>
                <w:kern w:val="0"/>
                <w:sz w:val="18"/>
                <w:szCs w:val="18"/>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28" w:type="dxa"/>
            <w:vAlign w:val="center"/>
          </w:tcPr>
          <w:p>
            <w:pPr>
              <w:jc w:val="center"/>
              <w:rPr>
                <w:rFonts w:eastAsiaTheme="minorEastAsia"/>
                <w:bCs/>
                <w:sz w:val="18"/>
                <w:szCs w:val="18"/>
              </w:rPr>
            </w:pPr>
            <w:r>
              <w:rPr>
                <w:rFonts w:eastAsiaTheme="minorEastAsia"/>
                <w:bCs/>
                <w:i/>
                <w:sz w:val="18"/>
                <w:szCs w:val="18"/>
              </w:rPr>
              <w:t xml:space="preserve">r </w:t>
            </w:r>
            <w:r>
              <w:rPr>
                <w:rFonts w:eastAsiaTheme="minorEastAsia"/>
                <w:bCs/>
                <w:sz w:val="18"/>
                <w:szCs w:val="18"/>
              </w:rPr>
              <w:t>/ %</w:t>
            </w:r>
          </w:p>
        </w:tc>
        <w:tc>
          <w:tcPr>
            <w:tcW w:w="1328" w:type="dxa"/>
            <w:vAlign w:val="center"/>
          </w:tcPr>
          <w:p>
            <w:pPr>
              <w:widowControl/>
              <w:jc w:val="center"/>
              <w:textAlignment w:val="center"/>
              <w:rPr>
                <w:color w:val="000000"/>
                <w:sz w:val="18"/>
                <w:szCs w:val="18"/>
              </w:rPr>
            </w:pPr>
            <w:r>
              <w:rPr>
                <w:color w:val="000000"/>
                <w:kern w:val="0"/>
                <w:sz w:val="18"/>
                <w:szCs w:val="18"/>
              </w:rPr>
              <w:t>0.004</w:t>
            </w:r>
          </w:p>
        </w:tc>
        <w:tc>
          <w:tcPr>
            <w:tcW w:w="1328" w:type="dxa"/>
            <w:vAlign w:val="center"/>
          </w:tcPr>
          <w:p>
            <w:pPr>
              <w:widowControl/>
              <w:jc w:val="center"/>
              <w:textAlignment w:val="center"/>
              <w:rPr>
                <w:color w:val="000000"/>
                <w:sz w:val="18"/>
                <w:szCs w:val="18"/>
              </w:rPr>
            </w:pPr>
            <w:r>
              <w:rPr>
                <w:color w:val="000000"/>
                <w:kern w:val="0"/>
                <w:sz w:val="18"/>
                <w:szCs w:val="18"/>
              </w:rPr>
              <w:t>0.03</w:t>
            </w:r>
            <w:r>
              <w:rPr>
                <w:rFonts w:hint="eastAsia"/>
                <w:color w:val="000000"/>
                <w:kern w:val="0"/>
                <w:sz w:val="18"/>
                <w:szCs w:val="18"/>
              </w:rPr>
              <w:t>6</w:t>
            </w:r>
          </w:p>
        </w:tc>
        <w:tc>
          <w:tcPr>
            <w:tcW w:w="1328" w:type="dxa"/>
            <w:vAlign w:val="center"/>
          </w:tcPr>
          <w:p>
            <w:pPr>
              <w:widowControl/>
              <w:jc w:val="center"/>
              <w:textAlignment w:val="center"/>
              <w:rPr>
                <w:color w:val="000000"/>
                <w:sz w:val="18"/>
                <w:szCs w:val="18"/>
              </w:rPr>
            </w:pPr>
            <w:r>
              <w:rPr>
                <w:color w:val="000000"/>
                <w:kern w:val="0"/>
                <w:sz w:val="18"/>
                <w:szCs w:val="18"/>
              </w:rPr>
              <w:t>0.05</w:t>
            </w:r>
            <w:r>
              <w:rPr>
                <w:rFonts w:hint="eastAsia"/>
                <w:color w:val="000000"/>
                <w:kern w:val="0"/>
                <w:sz w:val="18"/>
                <w:szCs w:val="18"/>
              </w:rPr>
              <w:t>3</w:t>
            </w:r>
          </w:p>
        </w:tc>
        <w:tc>
          <w:tcPr>
            <w:tcW w:w="1327" w:type="dxa"/>
            <w:vAlign w:val="center"/>
          </w:tcPr>
          <w:p>
            <w:pPr>
              <w:widowControl/>
              <w:jc w:val="center"/>
              <w:textAlignment w:val="center"/>
              <w:rPr>
                <w:color w:val="000000"/>
                <w:sz w:val="18"/>
                <w:szCs w:val="18"/>
              </w:rPr>
            </w:pPr>
            <w:r>
              <w:rPr>
                <w:color w:val="000000"/>
                <w:kern w:val="0"/>
                <w:sz w:val="18"/>
                <w:szCs w:val="18"/>
              </w:rPr>
              <w:t>0.11</w:t>
            </w:r>
          </w:p>
        </w:tc>
        <w:tc>
          <w:tcPr>
            <w:tcW w:w="1323" w:type="dxa"/>
            <w:vAlign w:val="center"/>
          </w:tcPr>
          <w:p>
            <w:pPr>
              <w:widowControl/>
              <w:jc w:val="center"/>
              <w:textAlignment w:val="center"/>
              <w:rPr>
                <w:color w:val="000000"/>
                <w:sz w:val="18"/>
                <w:szCs w:val="18"/>
              </w:rPr>
            </w:pPr>
            <w:r>
              <w:rPr>
                <w:color w:val="000000"/>
                <w:kern w:val="0"/>
                <w:sz w:val="18"/>
                <w:szCs w:val="18"/>
              </w:rPr>
              <w:t>0.13</w:t>
            </w:r>
          </w:p>
        </w:tc>
      </w:tr>
    </w:tbl>
    <w:p>
      <w:pPr>
        <w:spacing w:beforeLines="50" w:line="360" w:lineRule="auto"/>
        <w:rPr>
          <w:rFonts w:ascii="Times New Roman" w:hAnsi="Times New Roman" w:eastAsia="黑体"/>
          <w:color w:val="000000"/>
        </w:rPr>
      </w:pPr>
      <w:r>
        <w:rPr>
          <w:rFonts w:hint="eastAsia" w:ascii="Times New Roman" w:hAnsi="Times New Roman" w:eastAsia="黑体"/>
          <w:color w:val="000000"/>
        </w:rPr>
        <w:t xml:space="preserve">  </w:t>
      </w:r>
      <w:r>
        <w:rPr>
          <w:rFonts w:ascii="Times New Roman" w:hAnsi="Times New Roman" w:eastAsia="黑体"/>
          <w:color w:val="000000"/>
        </w:rPr>
        <w:t xml:space="preserve">   </w:t>
      </w:r>
      <w:r>
        <w:rPr>
          <w:rFonts w:hint="eastAsia" w:eastAsia="黑体"/>
          <w:szCs w:val="21"/>
        </w:rPr>
        <w:t xml:space="preserve">方法2 </w:t>
      </w:r>
      <w:r>
        <w:rPr>
          <w:rFonts w:eastAsia="黑体"/>
          <w:szCs w:val="21"/>
        </w:rPr>
        <w:t xml:space="preserve"> Na</w:t>
      </w:r>
      <w:r>
        <w:rPr>
          <w:rFonts w:eastAsia="黑体"/>
          <w:szCs w:val="21"/>
          <w:vertAlign w:val="subscript"/>
        </w:rPr>
        <w:t>2</w:t>
      </w:r>
      <w:r>
        <w:rPr>
          <w:rFonts w:eastAsia="黑体"/>
          <w:szCs w:val="21"/>
        </w:rPr>
        <w:t>EDTA滴定法</w:t>
      </w:r>
    </w:p>
    <w:p>
      <w:pPr>
        <w:jc w:val="center"/>
        <w:rPr>
          <w:rFonts w:ascii="黑体" w:hAnsi="黑体" w:eastAsia="黑体"/>
          <w:szCs w:val="21"/>
        </w:rPr>
      </w:pPr>
      <w:r>
        <w:rPr>
          <w:rFonts w:ascii="黑体" w:hAnsi="黑体" w:eastAsia="黑体"/>
          <w:szCs w:val="21"/>
        </w:rPr>
        <w:t>表</w:t>
      </w:r>
      <w:r>
        <w:rPr>
          <w:rFonts w:hint="eastAsia" w:ascii="黑体" w:hAnsi="黑体" w:eastAsia="黑体"/>
          <w:szCs w:val="21"/>
        </w:rPr>
        <w:t>2</w:t>
      </w:r>
      <w:r>
        <w:rPr>
          <w:rFonts w:ascii="黑体" w:hAnsi="黑体" w:eastAsia="黑体"/>
          <w:szCs w:val="21"/>
        </w:rPr>
        <w:t xml:space="preserve">  重复性限</w:t>
      </w:r>
    </w:p>
    <w:tbl>
      <w:tblPr>
        <w:tblStyle w:val="32"/>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325"/>
        <w:gridCol w:w="1324"/>
        <w:gridCol w:w="1324"/>
        <w:gridCol w:w="1322"/>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346" w:type="dxa"/>
            <w:vAlign w:val="center"/>
          </w:tcPr>
          <w:p>
            <w:pPr>
              <w:jc w:val="center"/>
              <w:rPr>
                <w:rFonts w:eastAsiaTheme="minorEastAsia"/>
                <w:bCs/>
                <w:sz w:val="18"/>
                <w:szCs w:val="18"/>
              </w:rPr>
            </w:pPr>
            <w:r>
              <w:rPr>
                <w:rFonts w:eastAsia="黑体"/>
                <w:i/>
                <w:sz w:val="18"/>
                <w:szCs w:val="18"/>
              </w:rPr>
              <w:t>w</w:t>
            </w:r>
            <w:r>
              <w:rPr>
                <w:rFonts w:hint="eastAsia" w:eastAsia="黑体"/>
                <w:sz w:val="18"/>
                <w:szCs w:val="18"/>
                <w:vertAlign w:val="subscript"/>
              </w:rPr>
              <w:t>Bi</w:t>
            </w:r>
            <w:r>
              <w:rPr>
                <w:rFonts w:eastAsiaTheme="minorEastAsia"/>
                <w:sz w:val="18"/>
                <w:szCs w:val="18"/>
              </w:rPr>
              <w:t>/ %</w:t>
            </w:r>
          </w:p>
        </w:tc>
        <w:tc>
          <w:tcPr>
            <w:tcW w:w="1346" w:type="dxa"/>
            <w:vAlign w:val="center"/>
          </w:tcPr>
          <w:p>
            <w:pPr>
              <w:widowControl/>
              <w:jc w:val="center"/>
              <w:textAlignment w:val="center"/>
              <w:rPr>
                <w:color w:val="000000"/>
                <w:kern w:val="0"/>
                <w:sz w:val="18"/>
                <w:szCs w:val="18"/>
              </w:rPr>
            </w:pPr>
            <w:r>
              <w:rPr>
                <w:color w:val="000000"/>
                <w:kern w:val="0"/>
                <w:sz w:val="18"/>
                <w:szCs w:val="18"/>
              </w:rPr>
              <w:t xml:space="preserve">5.64 </w:t>
            </w:r>
          </w:p>
        </w:tc>
        <w:tc>
          <w:tcPr>
            <w:tcW w:w="1346" w:type="dxa"/>
            <w:vAlign w:val="center"/>
          </w:tcPr>
          <w:p>
            <w:pPr>
              <w:widowControl/>
              <w:jc w:val="center"/>
              <w:textAlignment w:val="center"/>
              <w:rPr>
                <w:color w:val="000000"/>
                <w:kern w:val="0"/>
                <w:sz w:val="18"/>
                <w:szCs w:val="18"/>
              </w:rPr>
            </w:pPr>
            <w:r>
              <w:rPr>
                <w:color w:val="000000"/>
                <w:kern w:val="0"/>
                <w:sz w:val="18"/>
                <w:szCs w:val="18"/>
              </w:rPr>
              <w:t>7.73</w:t>
            </w:r>
          </w:p>
        </w:tc>
        <w:tc>
          <w:tcPr>
            <w:tcW w:w="1346" w:type="dxa"/>
            <w:vAlign w:val="center"/>
          </w:tcPr>
          <w:p>
            <w:pPr>
              <w:widowControl/>
              <w:jc w:val="center"/>
              <w:textAlignment w:val="center"/>
              <w:rPr>
                <w:color w:val="000000"/>
                <w:kern w:val="0"/>
                <w:sz w:val="18"/>
                <w:szCs w:val="18"/>
              </w:rPr>
            </w:pPr>
            <w:r>
              <w:rPr>
                <w:color w:val="000000"/>
                <w:kern w:val="0"/>
                <w:sz w:val="18"/>
                <w:szCs w:val="18"/>
              </w:rPr>
              <w:t>10.32</w:t>
            </w:r>
          </w:p>
        </w:tc>
        <w:tc>
          <w:tcPr>
            <w:tcW w:w="1344" w:type="dxa"/>
            <w:vAlign w:val="center"/>
          </w:tcPr>
          <w:p>
            <w:pPr>
              <w:widowControl/>
              <w:jc w:val="center"/>
              <w:textAlignment w:val="center"/>
              <w:rPr>
                <w:color w:val="000000"/>
                <w:kern w:val="0"/>
                <w:sz w:val="18"/>
                <w:szCs w:val="18"/>
              </w:rPr>
            </w:pPr>
            <w:r>
              <w:rPr>
                <w:color w:val="000000"/>
                <w:kern w:val="0"/>
                <w:sz w:val="18"/>
                <w:szCs w:val="18"/>
              </w:rPr>
              <w:t>13.20</w:t>
            </w:r>
          </w:p>
        </w:tc>
        <w:tc>
          <w:tcPr>
            <w:tcW w:w="1340" w:type="dxa"/>
            <w:vAlign w:val="center"/>
          </w:tcPr>
          <w:p>
            <w:pPr>
              <w:widowControl/>
              <w:jc w:val="center"/>
              <w:textAlignment w:val="center"/>
              <w:rPr>
                <w:color w:val="000000"/>
                <w:kern w:val="0"/>
                <w:sz w:val="18"/>
                <w:szCs w:val="18"/>
              </w:rPr>
            </w:pPr>
            <w:r>
              <w:rPr>
                <w:color w:val="000000"/>
                <w:kern w:val="0"/>
                <w:sz w:val="18"/>
                <w:szCs w:val="18"/>
              </w:rPr>
              <w:t>15.6</w:t>
            </w:r>
            <w:r>
              <w:rPr>
                <w:rFonts w:hint="eastAsia"/>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46" w:type="dxa"/>
            <w:vAlign w:val="center"/>
          </w:tcPr>
          <w:p>
            <w:pPr>
              <w:jc w:val="center"/>
              <w:rPr>
                <w:rFonts w:eastAsiaTheme="minorEastAsia"/>
                <w:bCs/>
                <w:sz w:val="18"/>
                <w:szCs w:val="18"/>
              </w:rPr>
            </w:pPr>
            <w:r>
              <w:rPr>
                <w:rFonts w:eastAsiaTheme="minorEastAsia"/>
                <w:bCs/>
                <w:i/>
                <w:sz w:val="18"/>
                <w:szCs w:val="18"/>
              </w:rPr>
              <w:t xml:space="preserve">r </w:t>
            </w:r>
            <w:r>
              <w:rPr>
                <w:rFonts w:eastAsiaTheme="minorEastAsia"/>
                <w:bCs/>
                <w:sz w:val="18"/>
                <w:szCs w:val="18"/>
              </w:rPr>
              <w:t>/ %</w:t>
            </w:r>
          </w:p>
        </w:tc>
        <w:tc>
          <w:tcPr>
            <w:tcW w:w="1346" w:type="dxa"/>
            <w:vAlign w:val="center"/>
          </w:tcPr>
          <w:p>
            <w:pPr>
              <w:widowControl/>
              <w:jc w:val="center"/>
              <w:textAlignment w:val="center"/>
              <w:rPr>
                <w:color w:val="000000"/>
                <w:kern w:val="0"/>
                <w:sz w:val="18"/>
                <w:szCs w:val="18"/>
              </w:rPr>
            </w:pPr>
            <w:r>
              <w:rPr>
                <w:color w:val="000000"/>
                <w:kern w:val="0"/>
                <w:sz w:val="18"/>
                <w:szCs w:val="18"/>
              </w:rPr>
              <w:t xml:space="preserve">0.14 </w:t>
            </w:r>
          </w:p>
        </w:tc>
        <w:tc>
          <w:tcPr>
            <w:tcW w:w="1346" w:type="dxa"/>
            <w:vAlign w:val="center"/>
          </w:tcPr>
          <w:p>
            <w:pPr>
              <w:widowControl/>
              <w:jc w:val="center"/>
              <w:textAlignment w:val="center"/>
              <w:rPr>
                <w:color w:val="000000"/>
                <w:kern w:val="0"/>
                <w:sz w:val="18"/>
                <w:szCs w:val="18"/>
              </w:rPr>
            </w:pPr>
            <w:r>
              <w:rPr>
                <w:color w:val="000000"/>
                <w:kern w:val="0"/>
                <w:sz w:val="18"/>
                <w:szCs w:val="18"/>
              </w:rPr>
              <w:t xml:space="preserve">0.17 </w:t>
            </w:r>
          </w:p>
        </w:tc>
        <w:tc>
          <w:tcPr>
            <w:tcW w:w="1346" w:type="dxa"/>
            <w:vAlign w:val="center"/>
          </w:tcPr>
          <w:p>
            <w:pPr>
              <w:widowControl/>
              <w:jc w:val="center"/>
              <w:textAlignment w:val="center"/>
              <w:rPr>
                <w:color w:val="000000"/>
                <w:kern w:val="0"/>
                <w:sz w:val="18"/>
                <w:szCs w:val="18"/>
              </w:rPr>
            </w:pPr>
            <w:r>
              <w:rPr>
                <w:color w:val="000000"/>
                <w:kern w:val="0"/>
                <w:sz w:val="18"/>
                <w:szCs w:val="18"/>
              </w:rPr>
              <w:t xml:space="preserve">0.18 </w:t>
            </w:r>
          </w:p>
        </w:tc>
        <w:tc>
          <w:tcPr>
            <w:tcW w:w="1344" w:type="dxa"/>
            <w:vAlign w:val="center"/>
          </w:tcPr>
          <w:p>
            <w:pPr>
              <w:widowControl/>
              <w:jc w:val="center"/>
              <w:textAlignment w:val="center"/>
              <w:rPr>
                <w:color w:val="000000"/>
                <w:kern w:val="0"/>
                <w:sz w:val="18"/>
                <w:szCs w:val="18"/>
              </w:rPr>
            </w:pPr>
            <w:r>
              <w:rPr>
                <w:color w:val="000000"/>
                <w:kern w:val="0"/>
                <w:sz w:val="18"/>
                <w:szCs w:val="18"/>
              </w:rPr>
              <w:t xml:space="preserve">0.21 </w:t>
            </w:r>
          </w:p>
        </w:tc>
        <w:tc>
          <w:tcPr>
            <w:tcW w:w="1340" w:type="dxa"/>
            <w:vAlign w:val="center"/>
          </w:tcPr>
          <w:p>
            <w:pPr>
              <w:widowControl/>
              <w:jc w:val="center"/>
              <w:textAlignment w:val="center"/>
              <w:rPr>
                <w:color w:val="000000"/>
                <w:kern w:val="0"/>
                <w:sz w:val="18"/>
                <w:szCs w:val="18"/>
              </w:rPr>
            </w:pPr>
            <w:r>
              <w:rPr>
                <w:color w:val="000000"/>
                <w:kern w:val="0"/>
                <w:sz w:val="18"/>
                <w:szCs w:val="18"/>
              </w:rPr>
              <w:t xml:space="preserve">0.23 </w:t>
            </w:r>
          </w:p>
        </w:tc>
      </w:tr>
    </w:tbl>
    <w:p>
      <w:pPr>
        <w:spacing w:beforeLines="50" w:line="360" w:lineRule="auto"/>
        <w:rPr>
          <w:rFonts w:ascii="Times New Roman" w:hAnsi="Times New Roman" w:eastAsia="黑体"/>
          <w:color w:val="000000"/>
        </w:rPr>
      </w:pPr>
      <w:r>
        <w:rPr>
          <w:rFonts w:ascii="Times New Roman" w:hAnsi="Times New Roman" w:eastAsia="黑体"/>
          <w:color w:val="000000"/>
        </w:rPr>
        <w:t>8.4 再现性</w:t>
      </w:r>
    </w:p>
    <w:p>
      <w:pPr>
        <w:pStyle w:val="59"/>
        <w:ind w:left="218" w:leftChars="104" w:firstLine="420"/>
        <w:rPr>
          <w:rFonts w:hAnsi="宋体"/>
        </w:rPr>
      </w:pPr>
      <w:r>
        <w:rPr>
          <w:rFonts w:hint="eastAsia" w:hAnsi="宋体"/>
        </w:rPr>
        <w:t>在再现性条件下获得的两次独立测试结果的测定值，在以下给出的平均值范围内，这两个测试结果的绝对差值不超过再现性限</w:t>
      </w:r>
      <w:r>
        <w:rPr>
          <w:rFonts w:ascii="Times New Roman" w:cs="Times New Roman"/>
        </w:rPr>
        <w:t>（</w:t>
      </w:r>
      <w:r>
        <w:rPr>
          <w:rFonts w:ascii="Times New Roman" w:cs="Times New Roman"/>
          <w:i/>
        </w:rPr>
        <w:t>R</w:t>
      </w:r>
      <w:r>
        <w:rPr>
          <w:rFonts w:ascii="Times New Roman" w:cs="Times New Roman"/>
        </w:rPr>
        <w:t>）</w:t>
      </w:r>
      <w:r>
        <w:rPr>
          <w:rFonts w:hint="eastAsia" w:hAnsi="宋体"/>
        </w:rPr>
        <w:t>，超过再现性限</w:t>
      </w:r>
      <w:r>
        <w:rPr>
          <w:rFonts w:ascii="Times New Roman" w:cs="Times New Roman"/>
        </w:rPr>
        <w:t>（</w:t>
      </w:r>
      <w:r>
        <w:rPr>
          <w:rFonts w:ascii="Times New Roman" w:cs="Times New Roman"/>
          <w:i/>
        </w:rPr>
        <w:t>R</w:t>
      </w:r>
      <w:r>
        <w:rPr>
          <w:rFonts w:ascii="Times New Roman" w:cs="Times New Roman"/>
        </w:rPr>
        <w:t>）</w:t>
      </w:r>
      <w:r>
        <w:rPr>
          <w:rFonts w:hint="eastAsia" w:hAnsi="宋体"/>
        </w:rPr>
        <w:t>的情况不超过</w:t>
      </w:r>
      <w:r>
        <w:rPr>
          <w:rFonts w:ascii="Times New Roman" w:cs="Times New Roman"/>
        </w:rPr>
        <w:t>5%</w:t>
      </w:r>
      <w:r>
        <w:rPr>
          <w:rFonts w:hint="eastAsia" w:hAnsi="宋体"/>
        </w:rPr>
        <w:t>，再现性限</w:t>
      </w:r>
      <w:r>
        <w:rPr>
          <w:rFonts w:ascii="Times New Roman" w:cs="Times New Roman"/>
        </w:rPr>
        <w:t>（</w:t>
      </w:r>
      <w:r>
        <w:rPr>
          <w:rFonts w:ascii="Times New Roman" w:cs="Times New Roman"/>
          <w:i/>
        </w:rPr>
        <w:t>R</w:t>
      </w:r>
      <w:r>
        <w:rPr>
          <w:rFonts w:ascii="Times New Roman" w:cs="Times New Roman"/>
        </w:rPr>
        <w:t>）</w:t>
      </w:r>
      <w:r>
        <w:rPr>
          <w:rFonts w:hint="eastAsia" w:hAnsi="宋体"/>
        </w:rPr>
        <w:t>按表</w:t>
      </w:r>
      <w:r>
        <w:rPr>
          <w:rFonts w:ascii="Times New Roman" w:cs="Times New Roman"/>
        </w:rPr>
        <w:t>3</w:t>
      </w:r>
      <w:r>
        <w:rPr>
          <w:rFonts w:hint="eastAsia" w:ascii="Times New Roman" w:cs="Times New Roman"/>
        </w:rPr>
        <w:t>和表4</w:t>
      </w:r>
      <w:r>
        <w:rPr>
          <w:rFonts w:hint="eastAsia" w:hAnsi="宋体"/>
        </w:rPr>
        <w:t>数据采用线性内插法或外延法求得：</w:t>
      </w:r>
    </w:p>
    <w:p>
      <w:pPr>
        <w:pStyle w:val="59"/>
        <w:ind w:left="218" w:leftChars="104" w:firstLine="420"/>
        <w:rPr>
          <w:rFonts w:ascii="黑体" w:hAnsi="黑体" w:eastAsia="黑体"/>
        </w:rPr>
      </w:pPr>
      <w:r>
        <w:rPr>
          <w:rFonts w:hint="eastAsia"/>
        </w:rPr>
        <w:t>方法1  火焰原子吸收光谱法</w:t>
      </w:r>
    </w:p>
    <w:p>
      <w:pPr>
        <w:jc w:val="center"/>
        <w:rPr>
          <w:rFonts w:ascii="黑体" w:hAnsi="黑体" w:eastAsia="黑体"/>
          <w:szCs w:val="21"/>
        </w:rPr>
      </w:pPr>
      <w:r>
        <w:rPr>
          <w:rFonts w:hint="eastAsia" w:ascii="黑体" w:hAnsi="黑体" w:eastAsia="黑体"/>
          <w:szCs w:val="21"/>
        </w:rPr>
        <w:t>表</w:t>
      </w:r>
      <w:r>
        <w:rPr>
          <w:rFonts w:ascii="黑体" w:hAnsi="黑体" w:eastAsia="黑体"/>
          <w:szCs w:val="21"/>
        </w:rPr>
        <w:t xml:space="preserve">3  </w:t>
      </w:r>
      <w:r>
        <w:rPr>
          <w:rFonts w:hint="eastAsia" w:ascii="黑体" w:hAnsi="黑体" w:eastAsia="黑体"/>
          <w:szCs w:val="21"/>
        </w:rPr>
        <w:t>再现性限</w:t>
      </w:r>
    </w:p>
    <w:tbl>
      <w:tblPr>
        <w:tblStyle w:val="32"/>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324"/>
        <w:gridCol w:w="1324"/>
        <w:gridCol w:w="1324"/>
        <w:gridCol w:w="1322"/>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68" w:type="dxa"/>
          </w:tcPr>
          <w:p>
            <w:pPr>
              <w:jc w:val="center"/>
              <w:rPr>
                <w:rFonts w:eastAsiaTheme="minorEastAsia"/>
                <w:bCs/>
                <w:sz w:val="18"/>
                <w:szCs w:val="18"/>
              </w:rPr>
            </w:pPr>
            <w:r>
              <w:rPr>
                <w:rFonts w:eastAsiaTheme="minorEastAsia"/>
                <w:i/>
                <w:sz w:val="18"/>
                <w:szCs w:val="18"/>
              </w:rPr>
              <w:t xml:space="preserve">W </w:t>
            </w:r>
            <w:r>
              <w:rPr>
                <w:rFonts w:eastAsiaTheme="minorEastAsia"/>
                <w:i/>
                <w:sz w:val="18"/>
                <w:szCs w:val="18"/>
                <w:vertAlign w:val="subscript"/>
              </w:rPr>
              <w:t>Bi</w:t>
            </w:r>
            <w:r>
              <w:rPr>
                <w:rFonts w:eastAsiaTheme="minorEastAsia"/>
                <w:sz w:val="18"/>
                <w:szCs w:val="18"/>
              </w:rPr>
              <w:t xml:space="preserve"> /%</w:t>
            </w:r>
          </w:p>
        </w:tc>
        <w:tc>
          <w:tcPr>
            <w:tcW w:w="1568" w:type="dxa"/>
            <w:vAlign w:val="center"/>
          </w:tcPr>
          <w:p>
            <w:pPr>
              <w:widowControl/>
              <w:jc w:val="center"/>
              <w:textAlignment w:val="center"/>
              <w:rPr>
                <w:color w:val="000000"/>
                <w:sz w:val="18"/>
                <w:szCs w:val="18"/>
              </w:rPr>
            </w:pPr>
            <w:r>
              <w:rPr>
                <w:color w:val="000000"/>
                <w:kern w:val="0"/>
                <w:sz w:val="18"/>
                <w:szCs w:val="18"/>
              </w:rPr>
              <w:t>0.089</w:t>
            </w:r>
          </w:p>
        </w:tc>
        <w:tc>
          <w:tcPr>
            <w:tcW w:w="1568" w:type="dxa"/>
            <w:vAlign w:val="center"/>
          </w:tcPr>
          <w:p>
            <w:pPr>
              <w:widowControl/>
              <w:jc w:val="center"/>
              <w:textAlignment w:val="center"/>
              <w:rPr>
                <w:color w:val="000000"/>
                <w:sz w:val="18"/>
                <w:szCs w:val="18"/>
              </w:rPr>
            </w:pPr>
            <w:r>
              <w:rPr>
                <w:color w:val="000000"/>
                <w:kern w:val="0"/>
                <w:sz w:val="18"/>
                <w:szCs w:val="18"/>
              </w:rPr>
              <w:t>0.952</w:t>
            </w:r>
          </w:p>
        </w:tc>
        <w:tc>
          <w:tcPr>
            <w:tcW w:w="1568" w:type="dxa"/>
            <w:vAlign w:val="center"/>
          </w:tcPr>
          <w:p>
            <w:pPr>
              <w:widowControl/>
              <w:jc w:val="center"/>
              <w:textAlignment w:val="center"/>
              <w:rPr>
                <w:color w:val="000000"/>
                <w:sz w:val="18"/>
                <w:szCs w:val="18"/>
              </w:rPr>
            </w:pPr>
            <w:r>
              <w:rPr>
                <w:color w:val="000000"/>
                <w:kern w:val="0"/>
                <w:sz w:val="18"/>
                <w:szCs w:val="18"/>
              </w:rPr>
              <w:t>2.0</w:t>
            </w:r>
            <w:r>
              <w:rPr>
                <w:rFonts w:hint="eastAsia"/>
                <w:color w:val="000000"/>
                <w:kern w:val="0"/>
                <w:sz w:val="18"/>
                <w:szCs w:val="18"/>
              </w:rPr>
              <w:t>2</w:t>
            </w:r>
            <w:r>
              <w:rPr>
                <w:color w:val="000000"/>
                <w:kern w:val="0"/>
                <w:sz w:val="18"/>
                <w:szCs w:val="18"/>
              </w:rPr>
              <w:t xml:space="preserve"> </w:t>
            </w:r>
          </w:p>
        </w:tc>
        <w:tc>
          <w:tcPr>
            <w:tcW w:w="1566" w:type="dxa"/>
            <w:vAlign w:val="center"/>
          </w:tcPr>
          <w:p>
            <w:pPr>
              <w:widowControl/>
              <w:jc w:val="center"/>
              <w:textAlignment w:val="center"/>
              <w:rPr>
                <w:color w:val="000000"/>
                <w:sz w:val="18"/>
                <w:szCs w:val="18"/>
              </w:rPr>
            </w:pPr>
            <w:r>
              <w:rPr>
                <w:color w:val="000000"/>
                <w:kern w:val="0"/>
                <w:sz w:val="18"/>
                <w:szCs w:val="18"/>
              </w:rPr>
              <w:t>3.53</w:t>
            </w:r>
          </w:p>
        </w:tc>
        <w:tc>
          <w:tcPr>
            <w:tcW w:w="1562" w:type="dxa"/>
            <w:vAlign w:val="center"/>
          </w:tcPr>
          <w:p>
            <w:pPr>
              <w:widowControl/>
              <w:jc w:val="center"/>
              <w:textAlignment w:val="center"/>
              <w:rPr>
                <w:color w:val="000000"/>
                <w:sz w:val="18"/>
                <w:szCs w:val="18"/>
              </w:rPr>
            </w:pPr>
            <w:r>
              <w:rPr>
                <w:color w:val="000000"/>
                <w:kern w:val="0"/>
                <w:sz w:val="18"/>
                <w:szCs w:val="18"/>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568" w:type="dxa"/>
          </w:tcPr>
          <w:p>
            <w:pPr>
              <w:jc w:val="center"/>
              <w:rPr>
                <w:rFonts w:eastAsiaTheme="minorEastAsia"/>
                <w:bCs/>
                <w:sz w:val="18"/>
                <w:szCs w:val="18"/>
              </w:rPr>
            </w:pPr>
            <w:r>
              <w:rPr>
                <w:rFonts w:eastAsiaTheme="minorEastAsia"/>
                <w:bCs/>
                <w:i/>
                <w:sz w:val="18"/>
                <w:szCs w:val="18"/>
              </w:rPr>
              <w:t>R</w:t>
            </w:r>
            <w:r>
              <w:rPr>
                <w:rFonts w:eastAsiaTheme="minorEastAsia"/>
                <w:bCs/>
                <w:sz w:val="18"/>
                <w:szCs w:val="18"/>
              </w:rPr>
              <w:t xml:space="preserve"> / %</w:t>
            </w:r>
          </w:p>
        </w:tc>
        <w:tc>
          <w:tcPr>
            <w:tcW w:w="1568" w:type="dxa"/>
            <w:vAlign w:val="center"/>
          </w:tcPr>
          <w:p>
            <w:pPr>
              <w:widowControl/>
              <w:jc w:val="center"/>
              <w:textAlignment w:val="center"/>
              <w:rPr>
                <w:color w:val="000000"/>
                <w:sz w:val="18"/>
                <w:szCs w:val="18"/>
              </w:rPr>
            </w:pPr>
            <w:r>
              <w:rPr>
                <w:color w:val="000000"/>
                <w:kern w:val="0"/>
                <w:sz w:val="18"/>
                <w:szCs w:val="18"/>
              </w:rPr>
              <w:t>0.0</w:t>
            </w:r>
            <w:r>
              <w:rPr>
                <w:rFonts w:hint="eastAsia"/>
                <w:color w:val="000000"/>
                <w:kern w:val="0"/>
                <w:sz w:val="18"/>
                <w:szCs w:val="18"/>
              </w:rPr>
              <w:t>10</w:t>
            </w:r>
          </w:p>
        </w:tc>
        <w:tc>
          <w:tcPr>
            <w:tcW w:w="1568" w:type="dxa"/>
            <w:vAlign w:val="center"/>
          </w:tcPr>
          <w:p>
            <w:pPr>
              <w:widowControl/>
              <w:jc w:val="center"/>
              <w:textAlignment w:val="center"/>
              <w:rPr>
                <w:color w:val="000000"/>
                <w:sz w:val="18"/>
                <w:szCs w:val="18"/>
              </w:rPr>
            </w:pPr>
            <w:r>
              <w:rPr>
                <w:color w:val="000000"/>
                <w:kern w:val="0"/>
                <w:sz w:val="18"/>
                <w:szCs w:val="18"/>
              </w:rPr>
              <w:t>0.052</w:t>
            </w:r>
          </w:p>
        </w:tc>
        <w:tc>
          <w:tcPr>
            <w:tcW w:w="1568" w:type="dxa"/>
            <w:vAlign w:val="center"/>
          </w:tcPr>
          <w:p>
            <w:pPr>
              <w:widowControl/>
              <w:jc w:val="center"/>
              <w:textAlignment w:val="center"/>
              <w:rPr>
                <w:color w:val="000000"/>
                <w:sz w:val="18"/>
                <w:szCs w:val="18"/>
              </w:rPr>
            </w:pPr>
            <w:r>
              <w:rPr>
                <w:color w:val="000000"/>
                <w:kern w:val="0"/>
                <w:sz w:val="18"/>
                <w:szCs w:val="18"/>
              </w:rPr>
              <w:t>0.08</w:t>
            </w:r>
            <w:r>
              <w:rPr>
                <w:rFonts w:hint="eastAsia"/>
                <w:color w:val="000000"/>
                <w:kern w:val="0"/>
                <w:sz w:val="18"/>
                <w:szCs w:val="18"/>
              </w:rPr>
              <w:t>7</w:t>
            </w:r>
            <w:r>
              <w:rPr>
                <w:color w:val="000000"/>
                <w:kern w:val="0"/>
                <w:sz w:val="18"/>
                <w:szCs w:val="18"/>
              </w:rPr>
              <w:t xml:space="preserve"> </w:t>
            </w:r>
          </w:p>
        </w:tc>
        <w:tc>
          <w:tcPr>
            <w:tcW w:w="1566" w:type="dxa"/>
            <w:vAlign w:val="center"/>
          </w:tcPr>
          <w:p>
            <w:pPr>
              <w:widowControl/>
              <w:jc w:val="center"/>
              <w:textAlignment w:val="center"/>
              <w:rPr>
                <w:color w:val="000000"/>
                <w:sz w:val="18"/>
                <w:szCs w:val="18"/>
              </w:rPr>
            </w:pPr>
            <w:r>
              <w:rPr>
                <w:color w:val="000000"/>
                <w:kern w:val="0"/>
                <w:sz w:val="18"/>
                <w:szCs w:val="18"/>
              </w:rPr>
              <w:t>0.15</w:t>
            </w:r>
          </w:p>
        </w:tc>
        <w:tc>
          <w:tcPr>
            <w:tcW w:w="1562" w:type="dxa"/>
            <w:vAlign w:val="center"/>
          </w:tcPr>
          <w:p>
            <w:pPr>
              <w:widowControl/>
              <w:jc w:val="center"/>
              <w:textAlignment w:val="center"/>
              <w:rPr>
                <w:color w:val="000000"/>
                <w:sz w:val="18"/>
                <w:szCs w:val="18"/>
              </w:rPr>
            </w:pPr>
            <w:r>
              <w:rPr>
                <w:color w:val="000000"/>
                <w:kern w:val="0"/>
                <w:sz w:val="18"/>
                <w:szCs w:val="18"/>
              </w:rPr>
              <w:t>0.1</w:t>
            </w:r>
            <w:r>
              <w:rPr>
                <w:rFonts w:hint="eastAsia"/>
                <w:color w:val="000000"/>
                <w:kern w:val="0"/>
                <w:sz w:val="18"/>
                <w:szCs w:val="18"/>
              </w:rPr>
              <w:t>7</w:t>
            </w:r>
          </w:p>
        </w:tc>
      </w:tr>
    </w:tbl>
    <w:p>
      <w:pPr>
        <w:tabs>
          <w:tab w:val="left" w:pos="100"/>
        </w:tabs>
        <w:spacing w:line="360" w:lineRule="auto"/>
        <w:jc w:val="left"/>
        <w:rPr>
          <w:szCs w:val="21"/>
        </w:rPr>
      </w:pPr>
    </w:p>
    <w:p>
      <w:pPr>
        <w:tabs>
          <w:tab w:val="left" w:pos="100"/>
        </w:tabs>
        <w:spacing w:line="360" w:lineRule="auto"/>
        <w:ind w:firstLine="630" w:firstLineChars="300"/>
        <w:jc w:val="left"/>
        <w:rPr>
          <w:szCs w:val="21"/>
        </w:rPr>
      </w:pPr>
      <w:r>
        <w:rPr>
          <w:rFonts w:hint="eastAsia"/>
          <w:szCs w:val="21"/>
        </w:rPr>
        <w:t>方法2</w:t>
      </w:r>
      <w:r>
        <w:rPr>
          <w:rFonts w:hint="eastAsia" w:eastAsia="黑体"/>
          <w:szCs w:val="21"/>
        </w:rPr>
        <w:t xml:space="preserve"> </w:t>
      </w:r>
      <w:r>
        <w:rPr>
          <w:rFonts w:eastAsia="黑体"/>
          <w:szCs w:val="21"/>
        </w:rPr>
        <w:t xml:space="preserve"> Na</w:t>
      </w:r>
      <w:r>
        <w:rPr>
          <w:rFonts w:eastAsia="黑体"/>
          <w:szCs w:val="21"/>
          <w:vertAlign w:val="subscript"/>
        </w:rPr>
        <w:t>2</w:t>
      </w:r>
      <w:r>
        <w:rPr>
          <w:rFonts w:eastAsia="黑体"/>
          <w:szCs w:val="21"/>
        </w:rPr>
        <w:t>EDTA滴定法</w:t>
      </w:r>
    </w:p>
    <w:p>
      <w:pPr>
        <w:jc w:val="center"/>
        <w:rPr>
          <w:rFonts w:eastAsia="黑体"/>
          <w:szCs w:val="21"/>
        </w:rPr>
      </w:pPr>
      <w:r>
        <w:rPr>
          <w:rFonts w:hint="eastAsia" w:eastAsia="黑体"/>
          <w:szCs w:val="21"/>
        </w:rPr>
        <w:t>表4</w:t>
      </w:r>
      <w:r>
        <w:rPr>
          <w:rFonts w:eastAsia="黑体"/>
          <w:szCs w:val="21"/>
        </w:rPr>
        <w:t xml:space="preserve">  </w:t>
      </w:r>
      <w:r>
        <w:rPr>
          <w:rFonts w:hint="eastAsia" w:eastAsia="黑体"/>
          <w:szCs w:val="21"/>
        </w:rPr>
        <w:t>再现性限</w:t>
      </w:r>
    </w:p>
    <w:tbl>
      <w:tblPr>
        <w:tblStyle w:val="32"/>
        <w:tblW w:w="7938"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1325"/>
        <w:gridCol w:w="1324"/>
        <w:gridCol w:w="1324"/>
        <w:gridCol w:w="1324"/>
        <w:gridCol w:w="1322"/>
        <w:gridCol w:w="1319"/>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335" w:hRule="atLeast"/>
          <w:jc w:val="center"/>
        </w:trPr>
        <w:tc>
          <w:tcPr>
            <w:tcW w:w="1568" w:type="dxa"/>
            <w:tcBorders>
              <w:tl2br w:val="nil"/>
              <w:tr2bl w:val="nil"/>
            </w:tcBorders>
          </w:tcPr>
          <w:p>
            <w:pPr>
              <w:jc w:val="center"/>
              <w:rPr>
                <w:rFonts w:eastAsiaTheme="minorEastAsia"/>
                <w:bCs/>
                <w:sz w:val="18"/>
                <w:szCs w:val="18"/>
              </w:rPr>
            </w:pPr>
            <w:r>
              <w:rPr>
                <w:rFonts w:eastAsia="黑体"/>
                <w:i/>
                <w:sz w:val="18"/>
                <w:szCs w:val="18"/>
              </w:rPr>
              <w:t>w</w:t>
            </w:r>
            <w:r>
              <w:rPr>
                <w:rFonts w:eastAsiaTheme="minorEastAsia"/>
                <w:i/>
                <w:sz w:val="18"/>
                <w:szCs w:val="18"/>
                <w:vertAlign w:val="subscript"/>
              </w:rPr>
              <w:t>Bi</w:t>
            </w:r>
            <w:r>
              <w:rPr>
                <w:rFonts w:eastAsiaTheme="minorEastAsia"/>
                <w:sz w:val="18"/>
                <w:szCs w:val="18"/>
              </w:rPr>
              <w:t xml:space="preserve"> /%</w:t>
            </w:r>
          </w:p>
        </w:tc>
        <w:tc>
          <w:tcPr>
            <w:tcW w:w="1568" w:type="dxa"/>
            <w:tcBorders>
              <w:tl2br w:val="nil"/>
              <w:tr2bl w:val="nil"/>
            </w:tcBorders>
            <w:vAlign w:val="center"/>
          </w:tcPr>
          <w:p>
            <w:pPr>
              <w:widowControl/>
              <w:jc w:val="center"/>
              <w:textAlignment w:val="center"/>
              <w:rPr>
                <w:color w:val="000000"/>
                <w:kern w:val="0"/>
                <w:sz w:val="18"/>
                <w:szCs w:val="18"/>
              </w:rPr>
            </w:pPr>
            <w:r>
              <w:rPr>
                <w:color w:val="000000"/>
                <w:kern w:val="0"/>
                <w:sz w:val="18"/>
                <w:szCs w:val="18"/>
              </w:rPr>
              <w:t xml:space="preserve">5.64 </w:t>
            </w:r>
          </w:p>
        </w:tc>
        <w:tc>
          <w:tcPr>
            <w:tcW w:w="1568" w:type="dxa"/>
            <w:tcBorders>
              <w:tl2br w:val="nil"/>
              <w:tr2bl w:val="nil"/>
            </w:tcBorders>
            <w:vAlign w:val="center"/>
          </w:tcPr>
          <w:p>
            <w:pPr>
              <w:widowControl/>
              <w:jc w:val="center"/>
              <w:textAlignment w:val="center"/>
              <w:rPr>
                <w:color w:val="000000"/>
                <w:kern w:val="0"/>
                <w:sz w:val="18"/>
                <w:szCs w:val="18"/>
              </w:rPr>
            </w:pPr>
            <w:r>
              <w:rPr>
                <w:color w:val="000000"/>
                <w:kern w:val="0"/>
                <w:sz w:val="18"/>
                <w:szCs w:val="18"/>
              </w:rPr>
              <w:t xml:space="preserve">7.73 </w:t>
            </w:r>
          </w:p>
        </w:tc>
        <w:tc>
          <w:tcPr>
            <w:tcW w:w="1568" w:type="dxa"/>
            <w:tcBorders>
              <w:tl2br w:val="nil"/>
              <w:tr2bl w:val="nil"/>
            </w:tcBorders>
            <w:vAlign w:val="center"/>
          </w:tcPr>
          <w:p>
            <w:pPr>
              <w:widowControl/>
              <w:jc w:val="center"/>
              <w:textAlignment w:val="center"/>
              <w:rPr>
                <w:color w:val="000000"/>
                <w:kern w:val="0"/>
                <w:sz w:val="18"/>
                <w:szCs w:val="18"/>
              </w:rPr>
            </w:pPr>
            <w:r>
              <w:rPr>
                <w:color w:val="000000"/>
                <w:kern w:val="0"/>
                <w:sz w:val="18"/>
                <w:szCs w:val="18"/>
              </w:rPr>
              <w:t xml:space="preserve">10.32 </w:t>
            </w:r>
          </w:p>
        </w:tc>
        <w:tc>
          <w:tcPr>
            <w:tcW w:w="1566" w:type="dxa"/>
            <w:tcBorders>
              <w:tl2br w:val="nil"/>
              <w:tr2bl w:val="nil"/>
            </w:tcBorders>
            <w:vAlign w:val="center"/>
          </w:tcPr>
          <w:p>
            <w:pPr>
              <w:widowControl/>
              <w:jc w:val="center"/>
              <w:textAlignment w:val="center"/>
              <w:rPr>
                <w:color w:val="000000"/>
                <w:kern w:val="0"/>
                <w:sz w:val="18"/>
                <w:szCs w:val="18"/>
              </w:rPr>
            </w:pPr>
            <w:r>
              <w:rPr>
                <w:color w:val="000000"/>
                <w:kern w:val="0"/>
                <w:sz w:val="18"/>
                <w:szCs w:val="18"/>
              </w:rPr>
              <w:t>13.20</w:t>
            </w:r>
          </w:p>
        </w:tc>
        <w:tc>
          <w:tcPr>
            <w:tcW w:w="1562" w:type="dxa"/>
            <w:tcBorders>
              <w:tl2br w:val="nil"/>
              <w:tr2bl w:val="nil"/>
            </w:tcBorders>
            <w:vAlign w:val="center"/>
          </w:tcPr>
          <w:p>
            <w:pPr>
              <w:widowControl/>
              <w:jc w:val="center"/>
              <w:textAlignment w:val="center"/>
              <w:rPr>
                <w:color w:val="000000"/>
                <w:kern w:val="0"/>
                <w:sz w:val="18"/>
                <w:szCs w:val="18"/>
              </w:rPr>
            </w:pPr>
            <w:r>
              <w:rPr>
                <w:color w:val="000000"/>
                <w:kern w:val="0"/>
                <w:sz w:val="18"/>
                <w:szCs w:val="18"/>
              </w:rPr>
              <w:t>15.6</w:t>
            </w:r>
            <w:r>
              <w:rPr>
                <w:rFonts w:hint="eastAsia"/>
                <w:color w:val="000000"/>
                <w:kern w:val="0"/>
                <w:sz w:val="18"/>
                <w:szCs w:val="18"/>
              </w:rPr>
              <w:t>4</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171" w:hRule="atLeast"/>
          <w:jc w:val="center"/>
        </w:trPr>
        <w:tc>
          <w:tcPr>
            <w:tcW w:w="1568" w:type="dxa"/>
            <w:tcBorders>
              <w:tl2br w:val="nil"/>
              <w:tr2bl w:val="nil"/>
            </w:tcBorders>
          </w:tcPr>
          <w:p>
            <w:pPr>
              <w:jc w:val="center"/>
              <w:rPr>
                <w:rFonts w:eastAsiaTheme="minorEastAsia"/>
                <w:bCs/>
                <w:sz w:val="18"/>
                <w:szCs w:val="18"/>
              </w:rPr>
            </w:pPr>
            <w:r>
              <w:rPr>
                <w:rFonts w:eastAsiaTheme="minorEastAsia"/>
                <w:bCs/>
                <w:i/>
                <w:sz w:val="18"/>
                <w:szCs w:val="18"/>
              </w:rPr>
              <w:t>R</w:t>
            </w:r>
            <w:r>
              <w:rPr>
                <w:rFonts w:eastAsiaTheme="minorEastAsia"/>
                <w:bCs/>
                <w:sz w:val="18"/>
                <w:szCs w:val="18"/>
              </w:rPr>
              <w:t xml:space="preserve"> / %</w:t>
            </w:r>
          </w:p>
        </w:tc>
        <w:tc>
          <w:tcPr>
            <w:tcW w:w="1568" w:type="dxa"/>
            <w:tcBorders>
              <w:tl2br w:val="nil"/>
              <w:tr2bl w:val="nil"/>
            </w:tcBorders>
            <w:vAlign w:val="center"/>
          </w:tcPr>
          <w:p>
            <w:pPr>
              <w:widowControl/>
              <w:jc w:val="center"/>
              <w:textAlignment w:val="center"/>
              <w:rPr>
                <w:color w:val="000000"/>
                <w:kern w:val="0"/>
                <w:sz w:val="18"/>
                <w:szCs w:val="18"/>
              </w:rPr>
            </w:pPr>
            <w:r>
              <w:rPr>
                <w:color w:val="000000"/>
                <w:kern w:val="0"/>
                <w:sz w:val="18"/>
                <w:szCs w:val="18"/>
              </w:rPr>
              <w:t xml:space="preserve">0.20 </w:t>
            </w:r>
          </w:p>
        </w:tc>
        <w:tc>
          <w:tcPr>
            <w:tcW w:w="1568" w:type="dxa"/>
            <w:tcBorders>
              <w:tl2br w:val="nil"/>
              <w:tr2bl w:val="nil"/>
            </w:tcBorders>
            <w:vAlign w:val="center"/>
          </w:tcPr>
          <w:p>
            <w:pPr>
              <w:widowControl/>
              <w:jc w:val="center"/>
              <w:textAlignment w:val="center"/>
              <w:rPr>
                <w:color w:val="000000"/>
                <w:kern w:val="0"/>
                <w:sz w:val="18"/>
                <w:szCs w:val="18"/>
              </w:rPr>
            </w:pPr>
            <w:r>
              <w:rPr>
                <w:color w:val="000000"/>
                <w:kern w:val="0"/>
                <w:sz w:val="18"/>
                <w:szCs w:val="18"/>
              </w:rPr>
              <w:t xml:space="preserve">0.26 </w:t>
            </w:r>
          </w:p>
        </w:tc>
        <w:tc>
          <w:tcPr>
            <w:tcW w:w="1568" w:type="dxa"/>
            <w:tcBorders>
              <w:tl2br w:val="nil"/>
              <w:tr2bl w:val="nil"/>
            </w:tcBorders>
            <w:vAlign w:val="center"/>
          </w:tcPr>
          <w:p>
            <w:pPr>
              <w:widowControl/>
              <w:jc w:val="center"/>
              <w:textAlignment w:val="center"/>
              <w:rPr>
                <w:color w:val="000000"/>
                <w:kern w:val="0"/>
                <w:sz w:val="18"/>
                <w:szCs w:val="18"/>
              </w:rPr>
            </w:pPr>
            <w:r>
              <w:rPr>
                <w:color w:val="000000"/>
                <w:kern w:val="0"/>
                <w:sz w:val="18"/>
                <w:szCs w:val="18"/>
              </w:rPr>
              <w:t xml:space="preserve">0.25 </w:t>
            </w:r>
          </w:p>
        </w:tc>
        <w:tc>
          <w:tcPr>
            <w:tcW w:w="1566" w:type="dxa"/>
            <w:tcBorders>
              <w:tl2br w:val="nil"/>
              <w:tr2bl w:val="nil"/>
            </w:tcBorders>
            <w:vAlign w:val="center"/>
          </w:tcPr>
          <w:p>
            <w:pPr>
              <w:widowControl/>
              <w:jc w:val="center"/>
              <w:textAlignment w:val="center"/>
              <w:rPr>
                <w:color w:val="000000"/>
                <w:kern w:val="0"/>
                <w:sz w:val="18"/>
                <w:szCs w:val="18"/>
              </w:rPr>
            </w:pPr>
            <w:r>
              <w:rPr>
                <w:color w:val="000000"/>
                <w:kern w:val="0"/>
                <w:sz w:val="18"/>
                <w:szCs w:val="18"/>
              </w:rPr>
              <w:t xml:space="preserve">0.40 </w:t>
            </w:r>
          </w:p>
        </w:tc>
        <w:tc>
          <w:tcPr>
            <w:tcW w:w="1562" w:type="dxa"/>
            <w:tcBorders>
              <w:tl2br w:val="nil"/>
              <w:tr2bl w:val="nil"/>
            </w:tcBorders>
            <w:vAlign w:val="center"/>
          </w:tcPr>
          <w:p>
            <w:pPr>
              <w:pStyle w:val="84"/>
              <w:widowControl/>
              <w:numPr>
                <w:ilvl w:val="1"/>
                <w:numId w:val="5"/>
              </w:numPr>
              <w:ind w:firstLineChars="0"/>
              <w:jc w:val="center"/>
              <w:textAlignment w:val="center"/>
              <w:rPr>
                <w:color w:val="000000"/>
                <w:kern w:val="0"/>
                <w:sz w:val="18"/>
                <w:szCs w:val="18"/>
              </w:rPr>
            </w:pPr>
          </w:p>
        </w:tc>
      </w:tr>
    </w:tbl>
    <w:p>
      <w:pPr>
        <w:pStyle w:val="72"/>
        <w:spacing w:line="360" w:lineRule="auto"/>
        <w:rPr>
          <w:rFonts w:eastAsia="黑体"/>
          <w:b/>
        </w:rPr>
      </w:pPr>
    </w:p>
    <w:p>
      <w:pPr>
        <w:pStyle w:val="72"/>
        <w:spacing w:line="360" w:lineRule="auto"/>
        <w:rPr>
          <w:rFonts w:eastAsia="黑体"/>
          <w:bCs/>
        </w:rPr>
      </w:pPr>
      <w:r>
        <w:rPr>
          <w:rFonts w:eastAsia="黑体"/>
          <w:bCs/>
        </w:rPr>
        <w:t>9．标准征求意见稿意见汇总与处理</w:t>
      </w:r>
    </w:p>
    <w:p>
      <w:pPr>
        <w:pStyle w:val="72"/>
        <w:spacing w:line="360" w:lineRule="auto"/>
        <w:ind w:firstLine="420" w:firstLineChars="200"/>
      </w:pPr>
      <w:r>
        <w:t>在协同试验和标准预审过程中，征求的意见以及对意见的分析处理，详见《意见汇总表》。</w:t>
      </w:r>
    </w:p>
    <w:p>
      <w:pPr>
        <w:pStyle w:val="72"/>
        <w:spacing w:line="360" w:lineRule="auto"/>
        <w:rPr>
          <w:rFonts w:eastAsia="黑体"/>
          <w:bCs/>
        </w:rPr>
      </w:pPr>
      <w:r>
        <w:rPr>
          <w:rFonts w:eastAsia="黑体"/>
          <w:bCs/>
        </w:rPr>
        <w:t>10．标准水平分析</w:t>
      </w:r>
    </w:p>
    <w:p>
      <w:pPr>
        <w:spacing w:line="360" w:lineRule="auto"/>
        <w:ind w:firstLine="420" w:firstLineChars="200"/>
        <w:rPr>
          <w:rFonts w:ascii="Times New Roman" w:hAnsi="Times New Roman"/>
        </w:rPr>
      </w:pPr>
      <w:r>
        <w:rPr>
          <w:rFonts w:ascii="Times New Roman" w:hAnsi="Times New Roman"/>
        </w:rPr>
        <w:t>本标准方法操作简便，分析</w:t>
      </w:r>
      <w:bookmarkStart w:id="35" w:name="_GoBack"/>
      <w:bookmarkEnd w:id="35"/>
      <w:r>
        <w:rPr>
          <w:rFonts w:ascii="Times New Roman" w:hAnsi="Times New Roman"/>
        </w:rPr>
        <w:t>结果准确、可靠，分析设备成本低，便于推广应用，与现有标准及制定中的标准无重复交叉情况。</w:t>
      </w:r>
      <w:r>
        <w:rPr>
          <w:rFonts w:ascii="Times New Roman" w:hAnsi="Times New Roman"/>
          <w:shd w:val="clear" w:color="auto" w:fill="FFFFFF"/>
        </w:rPr>
        <w:t>经检索，目前国际常用的ISO、ASTM、JIS、BS中均没有</w:t>
      </w:r>
      <w:r>
        <w:rPr>
          <w:rFonts w:ascii="Times New Roman" w:hAnsi="Times New Roman"/>
          <w:szCs w:val="21"/>
        </w:rPr>
        <w:t>铜冶炼烟尘</w:t>
      </w:r>
      <w:r>
        <w:rPr>
          <w:rFonts w:ascii="Times New Roman" w:hAnsi="Times New Roman"/>
          <w:shd w:val="clear" w:color="auto" w:fill="FFFFFF"/>
        </w:rPr>
        <w:t>的检测标准。</w:t>
      </w:r>
      <w:r>
        <w:rPr>
          <w:rFonts w:ascii="Times New Roman" w:hAnsi="Times New Roman"/>
          <w:color w:val="000000"/>
        </w:rPr>
        <w:t>本标</w:t>
      </w:r>
      <w:r>
        <w:rPr>
          <w:rFonts w:hint="eastAsia" w:ascii="Times New Roman" w:hAnsi="Times New Roman"/>
        </w:rPr>
        <w:t>准</w:t>
      </w:r>
      <w:r>
        <w:rPr>
          <w:rFonts w:ascii="Times New Roman" w:hAnsi="Times New Roman"/>
          <w:color w:val="000000"/>
        </w:rPr>
        <w:t>能够准满足现有的产品标准要求，能够与其他国家标准、行业标准互为补充、衔接配套。</w:t>
      </w:r>
      <w:r>
        <w:rPr>
          <w:rFonts w:ascii="Times New Roman" w:hAnsi="Times New Roman"/>
        </w:rPr>
        <w:t>填补了国内行业标准的空白，</w:t>
      </w:r>
      <w:r>
        <w:rPr>
          <w:rFonts w:ascii="Times New Roman" w:hAnsi="Times New Roman"/>
          <w:shd w:val="clear" w:color="auto" w:fill="FFFFFF"/>
        </w:rPr>
        <w:t>有一</w:t>
      </w:r>
      <w:r>
        <w:rPr>
          <w:rFonts w:ascii="Times New Roman" w:hAnsi="Times New Roman"/>
        </w:rPr>
        <w:t>定的前瞻性和创新性。</w:t>
      </w:r>
    </w:p>
    <w:p>
      <w:pPr>
        <w:spacing w:line="360" w:lineRule="auto"/>
        <w:rPr>
          <w:rFonts w:ascii="Times New Roman" w:hAnsi="Times New Roman" w:eastAsia="黑体"/>
        </w:rPr>
      </w:pPr>
      <w:r>
        <w:rPr>
          <w:rFonts w:ascii="Times New Roman" w:hAnsi="Times New Roman" w:eastAsia="黑体"/>
        </w:rPr>
        <w:t>11．与有关的现行法律、法规和强制性国家标准的关系</w:t>
      </w:r>
    </w:p>
    <w:p>
      <w:pPr>
        <w:spacing w:line="360" w:lineRule="auto"/>
        <w:ind w:firstLine="420" w:firstLineChars="200"/>
        <w:rPr>
          <w:rFonts w:ascii="Times New Roman" w:hAnsi="Times New Roman"/>
        </w:rPr>
      </w:pPr>
      <w:r>
        <w:rPr>
          <w:rFonts w:ascii="Times New Roman" w:hAnsi="Times New Roman"/>
        </w:rPr>
        <w:t>本标准符合相关现行法律、法规和强制性国家标准，没有冲突。</w:t>
      </w:r>
    </w:p>
    <w:p>
      <w:pPr>
        <w:pStyle w:val="68"/>
        <w:numPr>
          <w:ilvl w:val="0"/>
          <w:numId w:val="0"/>
        </w:numPr>
        <w:spacing w:beforeLines="0" w:afterLines="0" w:line="360" w:lineRule="auto"/>
        <w:outlineLvl w:val="9"/>
        <w:rPr>
          <w:rFonts w:ascii="Times New Roman" w:cs="Times New Roman"/>
          <w:szCs w:val="22"/>
        </w:rPr>
      </w:pPr>
      <w:r>
        <w:rPr>
          <w:rFonts w:ascii="Times New Roman" w:cs="Times New Roman"/>
        </w:rPr>
        <w:t>12．重大分歧意见的处理经过和依据</w:t>
      </w:r>
    </w:p>
    <w:p>
      <w:pPr>
        <w:spacing w:line="360" w:lineRule="auto"/>
        <w:ind w:firstLine="420" w:firstLineChars="200"/>
        <w:rPr>
          <w:rFonts w:ascii="Times New Roman" w:hAnsi="Times New Roman"/>
        </w:rPr>
      </w:pPr>
      <w:r>
        <w:rPr>
          <w:rFonts w:ascii="Times New Roman" w:hAnsi="Times New Roman"/>
        </w:rPr>
        <w:t>无。</w:t>
      </w:r>
    </w:p>
    <w:p>
      <w:pPr>
        <w:pStyle w:val="68"/>
        <w:numPr>
          <w:ilvl w:val="0"/>
          <w:numId w:val="0"/>
        </w:numPr>
        <w:spacing w:beforeLines="0" w:afterLines="0" w:line="360" w:lineRule="auto"/>
        <w:outlineLvl w:val="9"/>
        <w:rPr>
          <w:rFonts w:ascii="Times New Roman" w:cs="Times New Roman"/>
        </w:rPr>
      </w:pPr>
      <w:r>
        <w:rPr>
          <w:rFonts w:ascii="Times New Roman" w:cs="Times New Roman"/>
        </w:rPr>
        <w:t>13．贯彻标准的要求和措施建议</w:t>
      </w:r>
    </w:p>
    <w:p>
      <w:pPr>
        <w:spacing w:line="360" w:lineRule="auto"/>
        <w:ind w:firstLine="420" w:firstLineChars="200"/>
        <w:rPr>
          <w:rFonts w:ascii="Times New Roman" w:hAnsi="Times New Roman"/>
          <w:sz w:val="20"/>
        </w:rPr>
      </w:pPr>
      <w:r>
        <w:rPr>
          <w:rFonts w:ascii="Times New Roman" w:hAnsi="Times New Roman"/>
        </w:rPr>
        <w:t>建议颁布本标准为推荐性行业标准，供相关组织参考采用。</w:t>
      </w:r>
    </w:p>
    <w:p>
      <w:pPr>
        <w:pStyle w:val="68"/>
        <w:numPr>
          <w:ilvl w:val="0"/>
          <w:numId w:val="0"/>
        </w:numPr>
        <w:spacing w:beforeLines="0" w:afterLines="0" w:line="360" w:lineRule="auto"/>
        <w:outlineLvl w:val="9"/>
        <w:rPr>
          <w:rFonts w:ascii="Times New Roman" w:cs="Times New Roman"/>
        </w:rPr>
      </w:pPr>
      <w:r>
        <w:rPr>
          <w:rFonts w:ascii="Times New Roman" w:cs="Times New Roman"/>
        </w:rPr>
        <w:t>14．废止现行有关标准的建议</w:t>
      </w:r>
    </w:p>
    <w:p>
      <w:pPr>
        <w:spacing w:line="360" w:lineRule="auto"/>
        <w:ind w:firstLine="420" w:firstLineChars="200"/>
        <w:rPr>
          <w:rFonts w:ascii="Times New Roman" w:hAnsi="Times New Roman"/>
        </w:rPr>
      </w:pPr>
      <w:r>
        <w:rPr>
          <w:rFonts w:ascii="Times New Roman" w:hAnsi="Times New Roman"/>
        </w:rPr>
        <w:t>无。</w:t>
      </w:r>
    </w:p>
    <w:p>
      <w:pPr>
        <w:pStyle w:val="68"/>
        <w:numPr>
          <w:ilvl w:val="0"/>
          <w:numId w:val="0"/>
        </w:numPr>
        <w:spacing w:beforeLines="0" w:afterLines="0" w:line="360" w:lineRule="auto"/>
        <w:outlineLvl w:val="9"/>
        <w:rPr>
          <w:rFonts w:ascii="Times New Roman" w:cs="Times New Roman"/>
        </w:rPr>
      </w:pPr>
      <w:r>
        <w:rPr>
          <w:rFonts w:ascii="Times New Roman" w:cs="Times New Roman"/>
        </w:rPr>
        <w:t>15．其他应予说明的事项</w:t>
      </w:r>
    </w:p>
    <w:p>
      <w:pPr>
        <w:spacing w:line="360" w:lineRule="auto"/>
        <w:ind w:firstLine="420" w:firstLineChars="200"/>
        <w:rPr>
          <w:rFonts w:ascii="Times New Roman" w:hAnsi="Times New Roman"/>
        </w:rPr>
      </w:pPr>
      <w:r>
        <w:rPr>
          <w:rFonts w:ascii="Times New Roman" w:hAnsi="Times New Roman"/>
        </w:rPr>
        <w:t>本标准遵守下列基础标准：</w:t>
      </w:r>
    </w:p>
    <w:p>
      <w:pPr>
        <w:spacing w:line="360" w:lineRule="auto"/>
        <w:ind w:firstLine="420" w:firstLineChars="200"/>
        <w:rPr>
          <w:rFonts w:ascii="Times New Roman" w:hAnsi="Times New Roman"/>
        </w:rPr>
      </w:pPr>
      <w:r>
        <w:rPr>
          <w:rFonts w:ascii="Times New Roman" w:hAnsi="Times New Roman"/>
        </w:rPr>
        <w:t>GB/T 1.1标准化工作导则第1部分：标准的结构和编写规则</w:t>
      </w:r>
    </w:p>
    <w:p>
      <w:pPr>
        <w:spacing w:line="360" w:lineRule="auto"/>
        <w:ind w:firstLine="420" w:firstLineChars="200"/>
        <w:rPr>
          <w:rFonts w:ascii="Times New Roman" w:hAnsi="Times New Roman"/>
        </w:rPr>
      </w:pPr>
      <w:r>
        <w:rPr>
          <w:rFonts w:ascii="Times New Roman" w:hAnsi="Times New Roman"/>
        </w:rPr>
        <w:t>GB/T 20001标准编写规则第4部分：化学分析方法</w:t>
      </w:r>
    </w:p>
    <w:p>
      <w:pPr>
        <w:spacing w:line="360" w:lineRule="auto"/>
        <w:ind w:firstLine="420" w:firstLineChars="200"/>
        <w:rPr>
          <w:rFonts w:ascii="Times New Roman" w:hAnsi="Times New Roman"/>
        </w:rPr>
      </w:pPr>
      <w:r>
        <w:rPr>
          <w:rFonts w:ascii="Times New Roman" w:hAnsi="Times New Roman"/>
        </w:rPr>
        <w:t>GB/T 17433冶金产品化学分析基础术语</w:t>
      </w:r>
    </w:p>
    <w:p>
      <w:pPr>
        <w:spacing w:line="360" w:lineRule="auto"/>
        <w:ind w:firstLine="420" w:firstLineChars="200"/>
        <w:rPr>
          <w:rFonts w:ascii="Times New Roman" w:hAnsi="Times New Roman"/>
        </w:rPr>
      </w:pPr>
      <w:r>
        <w:rPr>
          <w:rFonts w:ascii="Times New Roman" w:hAnsi="Times New Roman"/>
        </w:rPr>
        <w:t>GB/T 11792测试方法的精密度在重现性或再现性条件下所得测试结果可接受的检查和最终测试结果的确定。</w:t>
      </w:r>
    </w:p>
    <w:p>
      <w:pPr>
        <w:pStyle w:val="72"/>
        <w:spacing w:line="440" w:lineRule="exact"/>
        <w:rPr>
          <w:rFonts w:eastAsiaTheme="minorEastAsia"/>
        </w:rPr>
      </w:pPr>
    </w:p>
    <w:p>
      <w:pPr>
        <w:spacing w:line="480" w:lineRule="exact"/>
        <w:ind w:right="420" w:firstLine="420" w:firstLineChars="200"/>
        <w:jc w:val="right"/>
        <w:rPr>
          <w:rFonts w:ascii="Times New Roman" w:hAnsi="Times New Roman"/>
          <w:szCs w:val="21"/>
        </w:rPr>
      </w:pPr>
      <w:r>
        <w:rPr>
          <w:rFonts w:ascii="Times New Roman" w:hAnsi="Times New Roman" w:eastAsiaTheme="minorEastAsia"/>
        </w:rPr>
        <w:t xml:space="preserve">     </w:t>
      </w:r>
      <w:r>
        <w:rPr>
          <w:rFonts w:ascii="Times New Roman" w:hAnsi="Times New Roman"/>
          <w:szCs w:val="21"/>
        </w:rPr>
        <w:t>《铜冶炼烟尘化学分析方法 第</w:t>
      </w:r>
      <w:r>
        <w:rPr>
          <w:rFonts w:hint="eastAsia" w:ascii="Times New Roman" w:hAnsi="Times New Roman"/>
          <w:szCs w:val="21"/>
        </w:rPr>
        <w:t>1</w:t>
      </w:r>
      <w:r>
        <w:rPr>
          <w:rFonts w:ascii="Times New Roman" w:hAnsi="Times New Roman"/>
          <w:szCs w:val="21"/>
        </w:rPr>
        <w:t>部分：</w:t>
      </w:r>
      <w:r>
        <w:rPr>
          <w:rFonts w:hint="eastAsia" w:ascii="Times New Roman" w:hAnsi="Times New Roman"/>
          <w:szCs w:val="21"/>
        </w:rPr>
        <w:t>铋</w:t>
      </w:r>
      <w:r>
        <w:rPr>
          <w:rFonts w:ascii="Times New Roman" w:hAnsi="Times New Roman"/>
          <w:szCs w:val="21"/>
        </w:rPr>
        <w:t>含量的测定》标准编制组</w:t>
      </w:r>
    </w:p>
    <w:p>
      <w:pPr>
        <w:spacing w:line="480" w:lineRule="exact"/>
        <w:ind w:right="840" w:firstLine="420" w:firstLineChars="200"/>
        <w:jc w:val="right"/>
        <w:rPr>
          <w:rFonts w:ascii="Times New Roman" w:hAnsi="Times New Roman"/>
          <w:szCs w:val="21"/>
        </w:rPr>
      </w:pPr>
      <w:r>
        <w:rPr>
          <w:rFonts w:ascii="Times New Roman" w:hAnsi="Times New Roman"/>
          <w:szCs w:val="21"/>
        </w:rPr>
        <w:t>2020-8</w:t>
      </w:r>
    </w:p>
    <w:p>
      <w:pP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jc w:val="center"/>
        <w:rPr>
          <w:rFonts w:ascii="Times New Roman" w:hAnsi="Times New Roman"/>
          <w:color w:val="000000"/>
          <w:kern w:val="0"/>
          <w:szCs w:val="21"/>
        </w:rPr>
      </w:pPr>
    </w:p>
    <w:p>
      <w:pPr>
        <w:pStyle w:val="72"/>
        <w:spacing w:line="360" w:lineRule="auto"/>
        <w:rPr>
          <w:rFonts w:eastAsia="黑体"/>
          <w:sz w:val="24"/>
          <w:szCs w:val="24"/>
        </w:rPr>
      </w:pPr>
    </w:p>
    <w:p>
      <w:pPr>
        <w:pStyle w:val="72"/>
        <w:spacing w:line="360" w:lineRule="auto"/>
        <w:rPr>
          <w:rFonts w:eastAsia="黑体"/>
          <w:sz w:val="24"/>
          <w:szCs w:val="24"/>
        </w:rPr>
      </w:pPr>
      <w:r>
        <w:rPr>
          <w:rFonts w:eastAsia="黑体"/>
          <w:sz w:val="24"/>
          <w:szCs w:val="24"/>
        </w:rPr>
        <w:t>附件1：试验报告</w:t>
      </w:r>
    </w:p>
    <w:p>
      <w:pPr>
        <w:pStyle w:val="72"/>
        <w:spacing w:line="360" w:lineRule="auto"/>
        <w:rPr>
          <w:rFonts w:eastAsia="黑体"/>
          <w:sz w:val="24"/>
          <w:szCs w:val="24"/>
        </w:rPr>
      </w:pPr>
      <w:r>
        <w:rPr>
          <w:rFonts w:eastAsia="黑体"/>
          <w:sz w:val="24"/>
          <w:szCs w:val="24"/>
        </w:rPr>
        <w:t>附件2：数据处理汇总表</w:t>
      </w:r>
    </w:p>
    <w:p>
      <w:pPr>
        <w:rPr>
          <w:rFonts w:ascii="Times New Roman" w:hAnsi="Times New Roman"/>
          <w:color w:val="000000"/>
          <w:kern w:val="0"/>
          <w:szCs w:val="21"/>
        </w:rPr>
      </w:pPr>
    </w:p>
    <w:p>
      <w:pPr>
        <w:rPr>
          <w:rFonts w:eastAsia="黑体"/>
          <w:sz w:val="24"/>
          <w:szCs w:val="24"/>
        </w:rPr>
      </w:pPr>
      <w:r>
        <w:rPr>
          <w:rFonts w:eastAsia="黑体"/>
          <w:sz w:val="24"/>
          <w:szCs w:val="24"/>
        </w:rPr>
        <w:t>附件1：试验报告</w:t>
      </w:r>
    </w:p>
    <w:p>
      <w:pPr>
        <w:rPr>
          <w:rFonts w:eastAsia="黑体"/>
        </w:rPr>
      </w:pPr>
    </w:p>
    <w:p>
      <w:pPr>
        <w:jc w:val="center"/>
        <w:rPr>
          <w:rFonts w:ascii="黑体" w:hAnsi="黑体" w:eastAsia="黑体"/>
          <w:sz w:val="32"/>
          <w:szCs w:val="32"/>
        </w:rPr>
      </w:pPr>
      <w:r>
        <w:rPr>
          <w:rFonts w:hint="eastAsia" w:ascii="黑体" w:hAnsi="黑体" w:eastAsia="黑体" w:cs="宋体"/>
          <w:sz w:val="32"/>
          <w:szCs w:val="32"/>
        </w:rPr>
        <w:t>铜冶炼烟尘化学分析方法</w:t>
      </w:r>
    </w:p>
    <w:p>
      <w:pPr>
        <w:jc w:val="center"/>
        <w:rPr>
          <w:rFonts w:ascii="黑体" w:hAnsi="黑体" w:eastAsia="黑体"/>
          <w:sz w:val="32"/>
          <w:szCs w:val="32"/>
        </w:rPr>
      </w:pPr>
      <w:r>
        <w:rPr>
          <w:rFonts w:hint="eastAsia" w:ascii="黑体" w:hAnsi="黑体" w:eastAsia="黑体" w:cs="宋体"/>
          <w:sz w:val="32"/>
          <w:szCs w:val="32"/>
        </w:rPr>
        <w:t>第</w:t>
      </w:r>
      <w:r>
        <w:rPr>
          <w:rFonts w:ascii="黑体" w:hAnsi="黑体" w:eastAsia="黑体" w:cs="宋体"/>
          <w:sz w:val="32"/>
          <w:szCs w:val="32"/>
        </w:rPr>
        <w:t>4</w:t>
      </w:r>
      <w:r>
        <w:rPr>
          <w:rFonts w:hint="eastAsia" w:ascii="黑体" w:hAnsi="黑体" w:eastAsia="黑体" w:cs="宋体"/>
          <w:sz w:val="32"/>
          <w:szCs w:val="32"/>
        </w:rPr>
        <w:t>部分：铋含量的测定</w:t>
      </w:r>
    </w:p>
    <w:p>
      <w:pPr>
        <w:jc w:val="center"/>
        <w:rPr>
          <w:rFonts w:ascii="黑体" w:hAnsi="黑体" w:eastAsia="黑体" w:cs="宋体"/>
          <w:sz w:val="32"/>
          <w:szCs w:val="32"/>
        </w:rPr>
      </w:pPr>
      <w:r>
        <w:rPr>
          <w:rFonts w:hint="eastAsia" w:ascii="黑体" w:hAnsi="黑体" w:eastAsia="黑体"/>
          <w:sz w:val="32"/>
          <w:szCs w:val="32"/>
        </w:rPr>
        <w:t>方法</w:t>
      </w:r>
      <w:r>
        <w:rPr>
          <w:rFonts w:ascii="黑体" w:hAnsi="黑体" w:eastAsia="黑体"/>
          <w:sz w:val="32"/>
          <w:szCs w:val="32"/>
        </w:rPr>
        <w:t xml:space="preserve">1 </w:t>
      </w:r>
      <w:r>
        <w:rPr>
          <w:rFonts w:hint="eastAsia" w:ascii="黑体" w:hAnsi="黑体" w:eastAsia="黑体"/>
          <w:sz w:val="32"/>
          <w:szCs w:val="32"/>
        </w:rPr>
        <w:t>火焰</w:t>
      </w:r>
      <w:r>
        <w:rPr>
          <w:rFonts w:hint="eastAsia" w:ascii="黑体" w:hAnsi="黑体" w:eastAsia="黑体" w:cs="宋体"/>
          <w:sz w:val="32"/>
          <w:szCs w:val="32"/>
        </w:rPr>
        <w:t>原子吸收光谱法</w:t>
      </w:r>
    </w:p>
    <w:p>
      <w:pPr>
        <w:jc w:val="left"/>
        <w:rPr>
          <w:rFonts w:ascii="Tahoma" w:hAnsi="宋体" w:eastAsia="微软雅黑" w:cs="微软雅黑"/>
          <w:color w:val="000000"/>
          <w:kern w:val="0"/>
          <w:sz w:val="22"/>
        </w:rPr>
      </w:pPr>
    </w:p>
    <w:p>
      <w:pPr>
        <w:spacing w:beforeLines="50" w:afterLines="50"/>
        <w:rPr>
          <w:rFonts w:ascii="黑体" w:hAnsi="黑体" w:eastAsia="黑体" w:cs="黑体"/>
        </w:rPr>
      </w:pPr>
      <w:r>
        <w:rPr>
          <w:rFonts w:hint="eastAsia" w:ascii="黑体" w:hAnsi="黑体" w:eastAsia="黑体"/>
        </w:rPr>
        <w:t>前言</w:t>
      </w:r>
    </w:p>
    <w:p>
      <w:pPr>
        <w:ind w:firstLine="420" w:firstLineChars="200"/>
      </w:pPr>
      <w:r>
        <w:rPr>
          <w:rFonts w:hint="eastAsia"/>
        </w:rPr>
        <w:t>铜冶炼烟尘是在铜冶炼生产中产生的大量冶炼烟尘。作为铜冶炼生产过程中产生的主要固体副产物，其特点是尘量大</w:t>
      </w:r>
      <w:r>
        <w:t>(</w:t>
      </w:r>
      <w:r>
        <w:rPr>
          <w:rFonts w:hint="eastAsia"/>
        </w:rPr>
        <w:t>约占原料量的（</w:t>
      </w:r>
      <w:r>
        <w:rPr>
          <w:rFonts w:ascii="Times New Roman" w:hAnsi="Times New Roman"/>
          <w:szCs w:val="21"/>
        </w:rPr>
        <w:t>1%～10%</w:t>
      </w:r>
      <w:r>
        <w:t>),</w:t>
      </w:r>
      <w:r>
        <w:rPr>
          <w:rFonts w:hint="eastAsia"/>
        </w:rPr>
        <w:t>元素含量波动范围广</w:t>
      </w:r>
      <w:r>
        <w:t xml:space="preserve">, </w:t>
      </w:r>
      <w:r>
        <w:rPr>
          <w:rFonts w:hint="eastAsia"/>
        </w:rPr>
        <w:t>颗粒较细</w:t>
      </w:r>
      <w:r>
        <w:t>,</w:t>
      </w:r>
      <w:r>
        <w:rPr>
          <w:rFonts w:hint="eastAsia"/>
        </w:rPr>
        <w:t>以硫酸盐、氧化物、砷酸盐、硫化物为主。铜冶炼烟尘中常见元素有铜、铅、锌、铋、砷、铟、镉、金、银等有价或有害元素。如果直接丢弃，会造成环境污染及资源浪费；如果直接返回熔炼系统进行处理，会降低炉处理能力，恶化炉况，同时造成炉料中有害成分增多，有害杂质的积累会直接影响电铜或粗铜的质量。</w:t>
      </w:r>
    </w:p>
    <w:p>
      <w:pPr>
        <w:ind w:firstLine="420" w:firstLineChars="200"/>
        <w:rPr>
          <w:rFonts w:hAnsi="宋体"/>
          <w:b/>
        </w:rPr>
      </w:pPr>
      <w:r>
        <w:rPr>
          <w:rFonts w:hint="eastAsia"/>
        </w:rPr>
        <w:t>在精矿资源紧张的环境下，各铜冶炼企业纷纷把烟尘作为新的原料提取其中有价金属。做到既增加经济效益，又保护环境的“双赢”局面。经过充分调研，铜冶炼烟尘中铋含量的范围为</w:t>
      </w:r>
      <w:r>
        <w:rPr>
          <w:rFonts w:ascii="Times New Roman" w:hAnsi="Times New Roman"/>
        </w:rPr>
        <w:t>0.050 %~16.00%</w:t>
      </w:r>
      <w:r>
        <w:rPr>
          <w:rFonts w:hint="eastAsia"/>
        </w:rPr>
        <w:t>，因此铜冶炼烟尘中铋含量测定分为方法</w:t>
      </w:r>
      <w:r>
        <w:rPr>
          <w:rFonts w:ascii="Times New Roman" w:hAnsi="Times New Roman"/>
        </w:rPr>
        <w:t>1</w:t>
      </w:r>
      <w:r>
        <w:rPr>
          <w:rFonts w:hint="eastAsia"/>
        </w:rPr>
        <w:t>：火焰原子吸收光谱法（铋含量</w:t>
      </w:r>
      <w:r>
        <w:rPr>
          <w:rFonts w:ascii="Times New Roman" w:hAnsi="Times New Roman"/>
        </w:rPr>
        <w:t>0.050 % ~5.00 %</w:t>
      </w:r>
      <w:r>
        <w:rPr>
          <w:rFonts w:hint="eastAsia"/>
        </w:rPr>
        <w:t>）和方法</w:t>
      </w:r>
      <w:r>
        <w:rPr>
          <w:rFonts w:ascii="Times New Roman" w:hAnsi="Times New Roman"/>
        </w:rPr>
        <w:t>2</w:t>
      </w:r>
      <w:r>
        <w:rPr>
          <w:rFonts w:hint="eastAsia"/>
        </w:rPr>
        <w:t>：</w:t>
      </w:r>
      <w:r>
        <w:rPr>
          <w:rFonts w:ascii="Times New Roman" w:hAnsi="Times New Roman"/>
          <w:szCs w:val="21"/>
        </w:rPr>
        <w:t>Na</w:t>
      </w:r>
      <w:r>
        <w:rPr>
          <w:rFonts w:ascii="Times New Roman" w:hAnsi="Times New Roman"/>
          <w:szCs w:val="21"/>
          <w:vertAlign w:val="subscript"/>
        </w:rPr>
        <w:t>2</w:t>
      </w:r>
      <w:r>
        <w:rPr>
          <w:rFonts w:ascii="Times New Roman" w:hAnsi="Times New Roman"/>
          <w:szCs w:val="21"/>
        </w:rPr>
        <w:t>EDTA</w:t>
      </w:r>
      <w:r>
        <w:rPr>
          <w:rFonts w:hint="eastAsia"/>
        </w:rPr>
        <w:t>滴定法（铋含量</w:t>
      </w:r>
      <w:r>
        <w:rPr>
          <w:rFonts w:ascii="Times New Roman" w:hAnsi="Times New Roman"/>
        </w:rPr>
        <w:t>5.00 % ~16.00 %</w:t>
      </w:r>
      <w:r>
        <w:rPr>
          <w:rFonts w:hint="eastAsia"/>
        </w:rPr>
        <w:t>）。本法为火焰原子吸收光谱法。</w:t>
      </w:r>
    </w:p>
    <w:p>
      <w:pPr>
        <w:pStyle w:val="72"/>
        <w:ind w:firstLine="420" w:firstLineChars="200"/>
        <w:rPr>
          <w:rFonts w:hAnsi="宋体"/>
        </w:rPr>
      </w:pPr>
      <w:r>
        <w:rPr>
          <w:rFonts w:hint="eastAsia" w:hAnsi="宋体" w:cs="宋体"/>
        </w:rPr>
        <w:t>根据全国有色金属标准化技术委员会有色标秘</w:t>
      </w:r>
      <w:r>
        <w:t xml:space="preserve">【2018】41 </w:t>
      </w:r>
      <w:r>
        <w:rPr>
          <w:rFonts w:hint="eastAsia" w:hAnsi="宋体" w:cs="宋体"/>
        </w:rPr>
        <w:t>号，工业和信息化部标准计划项目的安排要求，在</w:t>
      </w:r>
      <w:r>
        <w:t>2018</w:t>
      </w:r>
      <w:r>
        <w:rPr>
          <w:rFonts w:hint="eastAsia" w:hAnsi="宋体" w:cs="宋体"/>
        </w:rPr>
        <w:t>年</w:t>
      </w:r>
      <w:r>
        <w:t>7</w:t>
      </w:r>
      <w:r>
        <w:rPr>
          <w:rFonts w:hint="eastAsia" w:hAnsi="宋体" w:cs="宋体"/>
        </w:rPr>
        <w:t>月</w:t>
      </w:r>
      <w:r>
        <w:t>26~27</w:t>
      </w:r>
      <w:r>
        <w:rPr>
          <w:rFonts w:hint="eastAsia" w:hAnsi="宋体" w:cs="宋体"/>
        </w:rPr>
        <w:t>日于黑龙江哈尔滨市召开了有色金属标准工作会，会上确定了《铜烟尘化学分析方法第</w:t>
      </w:r>
      <w:r>
        <w:rPr>
          <w:rFonts w:hAnsi="宋体"/>
        </w:rPr>
        <w:t>4</w:t>
      </w:r>
      <w:r>
        <w:rPr>
          <w:rFonts w:hint="eastAsia" w:hAnsi="宋体" w:cs="宋体"/>
        </w:rPr>
        <w:t>部分：铋含量的测定》，方法</w:t>
      </w:r>
      <w:r>
        <w:rPr>
          <w:rFonts w:hAnsi="宋体" w:cs="宋体"/>
        </w:rPr>
        <w:t>1</w:t>
      </w:r>
      <w:r>
        <w:rPr>
          <w:rFonts w:hint="eastAsia" w:hAnsi="宋体" w:cs="宋体"/>
        </w:rPr>
        <w:t>由富民薪冶工贸有限公司负责起草。测定范围为</w:t>
      </w:r>
      <w:r>
        <w:t>0.050 % ~5.00%</w:t>
      </w:r>
      <w:r>
        <w:rPr>
          <w:rFonts w:hint="eastAsia" w:hAnsi="宋体"/>
        </w:rPr>
        <w:t>。</w:t>
      </w:r>
    </w:p>
    <w:p>
      <w:pPr>
        <w:pStyle w:val="72"/>
        <w:ind w:firstLine="420" w:firstLineChars="200"/>
        <w:rPr>
          <w:rFonts w:hAnsi="宋体"/>
        </w:rPr>
      </w:pPr>
      <w:r>
        <w:rPr>
          <w:rFonts w:hint="eastAsia" w:hAnsi="宋体" w:cs="宋体"/>
        </w:rPr>
        <w:t>本实验方法通过对火焰原子吸收实验条件的优化，选择适合当前铜冶炼烟尘中铋含量</w:t>
      </w:r>
      <w:r>
        <w:t>0.050 % ~5.00 %</w:t>
      </w:r>
      <w:r>
        <w:rPr>
          <w:rFonts w:hAnsi="宋体"/>
        </w:rPr>
        <w:t xml:space="preserve"> </w:t>
      </w:r>
      <w:r>
        <w:rPr>
          <w:rFonts w:hint="eastAsia" w:hAnsi="宋体" w:cs="宋体"/>
        </w:rPr>
        <w:t>的测定方法，使该行业标准具适用性和可操作性，以适应社会发展的需要。</w:t>
      </w:r>
    </w:p>
    <w:p>
      <w:pPr>
        <w:ind w:left="510"/>
        <w:rPr>
          <w:rFonts w:eastAsia="黑体" w:cs="黑体"/>
          <w:b/>
          <w:bCs/>
          <w:sz w:val="24"/>
          <w:szCs w:val="24"/>
        </w:rPr>
      </w:pPr>
    </w:p>
    <w:p>
      <w:pPr>
        <w:spacing w:line="360" w:lineRule="auto"/>
        <w:outlineLvl w:val="0"/>
        <w:rPr>
          <w:rFonts w:ascii="黑体" w:hAnsi="黑体" w:eastAsia="黑体"/>
        </w:rPr>
      </w:pPr>
      <w:r>
        <w:rPr>
          <w:rFonts w:ascii="Times New Roman" w:hAnsi="Times New Roman" w:eastAsia="黑体"/>
        </w:rPr>
        <w:t>1</w:t>
      </w:r>
      <w:r>
        <w:rPr>
          <w:rFonts w:ascii="黑体" w:hAnsi="黑体" w:eastAsia="黑体"/>
        </w:rPr>
        <w:t xml:space="preserve">  </w:t>
      </w:r>
      <w:r>
        <w:rPr>
          <w:rFonts w:hint="eastAsia" w:ascii="黑体" w:hAnsi="黑体" w:eastAsia="黑体"/>
        </w:rPr>
        <w:t>实验部分</w:t>
      </w:r>
    </w:p>
    <w:p>
      <w:pPr>
        <w:spacing w:line="360" w:lineRule="auto"/>
        <w:outlineLvl w:val="0"/>
        <w:rPr>
          <w:rFonts w:ascii="黑体" w:hAnsi="黑体" w:eastAsia="黑体"/>
        </w:rPr>
      </w:pPr>
      <w:r>
        <w:rPr>
          <w:rFonts w:ascii="Times New Roman" w:hAnsi="Times New Roman" w:eastAsia="黑体"/>
        </w:rPr>
        <w:t xml:space="preserve">1.1  </w:t>
      </w:r>
      <w:r>
        <w:rPr>
          <w:rFonts w:hint="eastAsia" w:ascii="黑体" w:hAnsi="黑体" w:eastAsia="黑体"/>
        </w:rPr>
        <w:t>原理</w:t>
      </w:r>
    </w:p>
    <w:p>
      <w:pPr>
        <w:ind w:firstLine="420" w:firstLineChars="200"/>
        <w:rPr>
          <w:rFonts w:ascii="宋体" w:cs="黑体"/>
          <w:bCs/>
        </w:rPr>
      </w:pPr>
      <w:r>
        <w:rPr>
          <w:rFonts w:hint="eastAsia"/>
        </w:rPr>
        <w:t>试料用盐酸、氢氟酸、硝酸、高氯酸溶解，在稀盐酸介质中，于原子吸收光谱仪波长</w:t>
      </w:r>
      <w:r>
        <w:rPr>
          <w:rFonts w:ascii="Times New Roman" w:hAnsi="Times New Roman"/>
        </w:rPr>
        <w:t>223.1 nm</w:t>
      </w:r>
      <w:r>
        <w:rPr>
          <w:rFonts w:hint="eastAsia"/>
        </w:rPr>
        <w:t>处，使用空气</w:t>
      </w:r>
      <w:r>
        <w:t>-</w:t>
      </w:r>
      <w:r>
        <w:rPr>
          <w:rFonts w:hint="eastAsia"/>
        </w:rPr>
        <w:t>乙炔火焰，</w:t>
      </w:r>
      <w:r>
        <w:rPr>
          <w:rFonts w:hint="eastAsia" w:hAnsi="宋体" w:cs="宋体"/>
        </w:rPr>
        <w:t>测定铋的吸光度，通过工作曲线法计算试料中铋的含量。</w:t>
      </w:r>
    </w:p>
    <w:p>
      <w:pPr>
        <w:spacing w:line="360" w:lineRule="auto"/>
        <w:outlineLvl w:val="0"/>
        <w:rPr>
          <w:rFonts w:ascii="黑体" w:hAnsi="黑体" w:eastAsia="黑体"/>
        </w:rPr>
      </w:pPr>
      <w:r>
        <w:rPr>
          <w:rFonts w:ascii="Times New Roman" w:hAnsi="Times New Roman" w:eastAsia="黑体"/>
        </w:rPr>
        <w:t>1.2</w:t>
      </w:r>
      <w:r>
        <w:rPr>
          <w:rFonts w:ascii="黑体" w:hAnsi="黑体" w:eastAsia="黑体"/>
        </w:rPr>
        <w:t xml:space="preserve"> </w:t>
      </w:r>
      <w:r>
        <w:rPr>
          <w:rFonts w:hint="eastAsia" w:ascii="黑体" w:hAnsi="黑体" w:eastAsia="黑体"/>
        </w:rPr>
        <w:t xml:space="preserve"> 试剂</w:t>
      </w:r>
    </w:p>
    <w:p>
      <w:pPr>
        <w:spacing w:line="440" w:lineRule="exact"/>
        <w:ind w:firstLine="420" w:firstLineChars="200"/>
        <w:rPr>
          <w:color w:val="FF0000"/>
          <w:szCs w:val="21"/>
        </w:rPr>
      </w:pPr>
      <w:r>
        <w:rPr>
          <w:szCs w:val="21"/>
        </w:rPr>
        <w:t>除非另有说明，</w:t>
      </w:r>
      <w:r>
        <w:rPr>
          <w:rFonts w:hint="eastAsia"/>
          <w:szCs w:val="21"/>
        </w:rPr>
        <w:t>本文件中所用试剂均</w:t>
      </w:r>
      <w:r>
        <w:rPr>
          <w:szCs w:val="21"/>
        </w:rPr>
        <w:t>为分析纯</w:t>
      </w:r>
      <w:r>
        <w:rPr>
          <w:rFonts w:hint="eastAsia"/>
          <w:szCs w:val="21"/>
        </w:rPr>
        <w:t>及以上纯度</w:t>
      </w:r>
      <w:r>
        <w:rPr>
          <w:szCs w:val="21"/>
        </w:rPr>
        <w:t>的试剂</w:t>
      </w:r>
      <w:r>
        <w:rPr>
          <w:rFonts w:hint="eastAsia"/>
          <w:szCs w:val="21"/>
        </w:rPr>
        <w:t>，所用水符合GB</w:t>
      </w:r>
      <w:r>
        <w:rPr>
          <w:szCs w:val="21"/>
        </w:rPr>
        <w:t>/T 6682</w:t>
      </w:r>
      <w:r>
        <w:rPr>
          <w:rFonts w:hint="eastAsia"/>
          <w:szCs w:val="21"/>
        </w:rPr>
        <w:t>规定的二级及以上</w:t>
      </w:r>
      <w:r>
        <w:rPr>
          <w:szCs w:val="21"/>
        </w:rPr>
        <w:t>纯度的水。</w:t>
      </w:r>
    </w:p>
    <w:p>
      <w:pPr>
        <w:pStyle w:val="72"/>
      </w:pPr>
      <w:r>
        <w:t>1.2.1</w:t>
      </w:r>
      <w:r>
        <w:rPr>
          <w:rFonts w:hint="eastAsia"/>
        </w:rPr>
        <w:t xml:space="preserve">  氯酸钾。</w:t>
      </w:r>
    </w:p>
    <w:p>
      <w:r>
        <w:rPr>
          <w:rFonts w:ascii="Times New Roman" w:hAnsi="Times New Roman"/>
        </w:rPr>
        <w:t>1.2.2</w:t>
      </w:r>
      <w:r>
        <w:rPr>
          <w:rFonts w:hint="eastAsia"/>
        </w:rPr>
        <w:t xml:space="preserve">  </w:t>
      </w:r>
      <w:r>
        <w:rPr>
          <w:rFonts w:hint="eastAsia"/>
          <w:color w:val="000000"/>
        </w:rPr>
        <w:t>酒石酸</w:t>
      </w:r>
      <w:r>
        <w:rPr>
          <w:rFonts w:hint="eastAsia"/>
        </w:rPr>
        <w:t>。</w:t>
      </w:r>
    </w:p>
    <w:p>
      <w:pPr>
        <w:jc w:val="left"/>
      </w:pPr>
      <w:r>
        <w:rPr>
          <w:rFonts w:ascii="Times New Roman" w:hAnsi="Times New Roman"/>
        </w:rPr>
        <w:t>1.2.3</w:t>
      </w:r>
      <w:r>
        <w:rPr>
          <w:rFonts w:hint="eastAsia"/>
        </w:rPr>
        <w:t xml:space="preserve">  氢氟酸（</w:t>
      </w:r>
      <w:r>
        <w:rPr>
          <w:rFonts w:ascii="Times New Roman" w:hAnsi="Times New Roman"/>
        </w:rPr>
        <w:t>ρ=1.15g/mL</w:t>
      </w:r>
      <w:r>
        <w:rPr>
          <w:rFonts w:hint="eastAsia"/>
        </w:rPr>
        <w:t>）。</w:t>
      </w:r>
    </w:p>
    <w:p>
      <w:r>
        <w:rPr>
          <w:rFonts w:ascii="Times New Roman" w:hAnsi="Times New Roman"/>
        </w:rPr>
        <w:t>1.2.4</w:t>
      </w:r>
      <w:r>
        <w:rPr>
          <w:rFonts w:hint="eastAsia"/>
        </w:rPr>
        <w:t xml:space="preserve">  盐酸（</w:t>
      </w:r>
      <w:r>
        <w:rPr>
          <w:rFonts w:ascii="Times New Roman" w:hAnsi="Times New Roman"/>
        </w:rPr>
        <w:t>ρ=1.19g/mL</w:t>
      </w:r>
      <w:r>
        <w:rPr>
          <w:rFonts w:hint="eastAsia"/>
        </w:rPr>
        <w:t>）。</w:t>
      </w:r>
    </w:p>
    <w:p>
      <w:pPr>
        <w:jc w:val="left"/>
      </w:pPr>
      <w:r>
        <w:rPr>
          <w:rFonts w:ascii="Times New Roman" w:hAnsi="Times New Roman"/>
        </w:rPr>
        <w:t>1.2.5</w:t>
      </w:r>
      <w:r>
        <w:t xml:space="preserve"> </w:t>
      </w:r>
      <w:r>
        <w:rPr>
          <w:rFonts w:hint="eastAsia"/>
        </w:rPr>
        <w:t xml:space="preserve"> 硝酸（</w:t>
      </w:r>
      <w:r>
        <w:rPr>
          <w:rFonts w:ascii="Times New Roman" w:hAnsi="Times New Roman"/>
        </w:rPr>
        <w:t>ρ=1.42g/mL</w:t>
      </w:r>
      <w:r>
        <w:rPr>
          <w:rFonts w:hint="eastAsia"/>
        </w:rPr>
        <w:t>）</w:t>
      </w:r>
    </w:p>
    <w:p>
      <w:pPr>
        <w:jc w:val="left"/>
      </w:pPr>
      <w:r>
        <w:rPr>
          <w:rFonts w:ascii="Times New Roman" w:hAnsi="Times New Roman"/>
        </w:rPr>
        <w:t>1.2.6</w:t>
      </w:r>
      <w:r>
        <w:rPr>
          <w:rFonts w:hint="eastAsia"/>
        </w:rPr>
        <w:t xml:space="preserve">  氢溴酸（</w:t>
      </w:r>
      <w:r>
        <w:rPr>
          <w:rFonts w:ascii="Times New Roman" w:hAnsi="Times New Roman"/>
          <w:kern w:val="1"/>
        </w:rPr>
        <w:t>ρ=1.49 g/mL</w:t>
      </w:r>
      <w:r>
        <w:rPr>
          <w:rFonts w:hint="eastAsia"/>
        </w:rPr>
        <w:t>）。</w:t>
      </w:r>
    </w:p>
    <w:p>
      <w:pPr>
        <w:jc w:val="left"/>
      </w:pPr>
      <w:r>
        <w:rPr>
          <w:rFonts w:ascii="Times New Roman" w:hAnsi="Times New Roman"/>
        </w:rPr>
        <w:t xml:space="preserve">1.2.7  </w:t>
      </w:r>
      <w:r>
        <w:rPr>
          <w:rFonts w:hint="eastAsia"/>
        </w:rPr>
        <w:t>高氯酸（</w:t>
      </w:r>
      <w:r>
        <w:rPr>
          <w:rFonts w:ascii="Times New Roman" w:hAnsi="Times New Roman"/>
        </w:rPr>
        <w:t>ρ=1.67g/mL</w:t>
      </w:r>
      <w:r>
        <w:rPr>
          <w:rFonts w:hint="eastAsia"/>
        </w:rPr>
        <w:t>）。</w:t>
      </w:r>
    </w:p>
    <w:p>
      <w:pPr>
        <w:jc w:val="left"/>
      </w:pPr>
      <w:r>
        <w:rPr>
          <w:rFonts w:ascii="Times New Roman" w:hAnsi="Times New Roman"/>
        </w:rPr>
        <w:t>1.2.8</w:t>
      </w:r>
      <w:r>
        <w:t xml:space="preserve"> </w:t>
      </w:r>
      <w:r>
        <w:rPr>
          <w:rFonts w:hint="eastAsia"/>
        </w:rPr>
        <w:t xml:space="preserve"> 硫酸（</w:t>
      </w:r>
      <w:r>
        <w:rPr>
          <w:rFonts w:ascii="Times New Roman" w:hAnsi="Times New Roman"/>
        </w:rPr>
        <w:t>ρ=1.84g/mL</w:t>
      </w:r>
      <w:r>
        <w:rPr>
          <w:rFonts w:hint="eastAsia"/>
        </w:rPr>
        <w:t>）。</w:t>
      </w:r>
    </w:p>
    <w:p>
      <w:r>
        <w:rPr>
          <w:rFonts w:ascii="Times New Roman" w:hAnsi="Times New Roman"/>
        </w:rPr>
        <w:t xml:space="preserve">1.2.9  </w:t>
      </w:r>
      <w:r>
        <w:rPr>
          <w:rFonts w:hint="eastAsia"/>
        </w:rPr>
        <w:t>盐酸（</w:t>
      </w:r>
      <w:r>
        <w:rPr>
          <w:rFonts w:ascii="Times New Roman" w:hAnsi="Times New Roman"/>
        </w:rPr>
        <w:t>2+98</w:t>
      </w:r>
      <w:r>
        <w:rPr>
          <w:rFonts w:hint="eastAsia"/>
        </w:rPr>
        <w:t>）。</w:t>
      </w:r>
    </w:p>
    <w:p>
      <w:r>
        <w:rPr>
          <w:rFonts w:ascii="Times New Roman" w:hAnsi="Times New Roman"/>
        </w:rPr>
        <w:t>1.2.10</w:t>
      </w:r>
      <w:r>
        <w:t xml:space="preserve"> </w:t>
      </w:r>
      <w:r>
        <w:rPr>
          <w:rFonts w:ascii="Times New Roman" w:hAnsi="Times New Roman"/>
        </w:rPr>
        <w:t xml:space="preserve"> </w:t>
      </w:r>
      <w:r>
        <w:rPr>
          <w:rFonts w:hint="eastAsia"/>
        </w:rPr>
        <w:t>硝酸（</w:t>
      </w:r>
      <w:r>
        <w:rPr>
          <w:rFonts w:ascii="Times New Roman" w:hAnsi="Times New Roman"/>
        </w:rPr>
        <w:t>1+1</w:t>
      </w:r>
      <w:r>
        <w:rPr>
          <w:rFonts w:hint="eastAsia"/>
        </w:rPr>
        <w:t>）。</w:t>
      </w:r>
    </w:p>
    <w:p>
      <w:pPr>
        <w:jc w:val="left"/>
      </w:pPr>
      <w:r>
        <w:rPr>
          <w:rFonts w:ascii="Times New Roman" w:hAnsi="Times New Roman"/>
        </w:rPr>
        <w:t xml:space="preserve">1.2.11  </w:t>
      </w:r>
      <w:r>
        <w:rPr>
          <w:rFonts w:hint="eastAsia"/>
        </w:rPr>
        <w:t>王水（</w:t>
      </w:r>
      <w:r>
        <w:rPr>
          <w:rFonts w:ascii="Times New Roman" w:hAnsi="Times New Roman"/>
        </w:rPr>
        <w:t>1+3</w:t>
      </w:r>
      <w:r>
        <w:rPr>
          <w:rFonts w:hint="eastAsia"/>
        </w:rPr>
        <w:t>）。</w:t>
      </w:r>
    </w:p>
    <w:p>
      <w:pPr>
        <w:jc w:val="left"/>
      </w:pPr>
      <w:r>
        <w:rPr>
          <w:rFonts w:ascii="Times New Roman" w:hAnsi="Times New Roman"/>
        </w:rPr>
        <w:t>1.2.12</w:t>
      </w:r>
      <w:r>
        <w:rPr>
          <w:rFonts w:hint="eastAsia"/>
        </w:rPr>
        <w:t xml:space="preserve">  铋标准贮存溶液：称取</w:t>
      </w:r>
      <w:r>
        <w:rPr>
          <w:rFonts w:ascii="Times New Roman" w:hAnsi="Times New Roman"/>
        </w:rPr>
        <w:t>0.5000 g</w:t>
      </w:r>
      <w:r>
        <w:rPr>
          <w:rFonts w:hint="eastAsia"/>
        </w:rPr>
        <w:t>金属铋（</w:t>
      </w:r>
      <w:r>
        <w:rPr>
          <w:rFonts w:ascii="Times New Roman" w:hAnsi="Times New Roman" w:eastAsiaTheme="minorEastAsia"/>
          <w:i/>
        </w:rPr>
        <w:t>w</w:t>
      </w:r>
      <w:r>
        <w:rPr>
          <w:rFonts w:ascii="Times New Roman" w:hAnsi="Times New Roman" w:eastAsiaTheme="minorEastAsia"/>
          <w:iCs/>
          <w:vertAlign w:val="subscript"/>
        </w:rPr>
        <w:t>Bi</w:t>
      </w:r>
      <w:r>
        <w:rPr>
          <w:rFonts w:ascii="Times New Roman" w:hAnsi="Times New Roman" w:eastAsiaTheme="minorEastAsia"/>
        </w:rPr>
        <w:t>≥99.99%</w:t>
      </w:r>
      <w:r>
        <w:rPr>
          <w:rFonts w:hint="eastAsia"/>
        </w:rPr>
        <w:t>）于</w:t>
      </w:r>
      <w:r>
        <w:rPr>
          <w:rFonts w:ascii="Times New Roman" w:hAnsi="Times New Roman"/>
        </w:rPr>
        <w:t>250 mL</w:t>
      </w:r>
      <w:r>
        <w:rPr>
          <w:rFonts w:hint="eastAsia"/>
        </w:rPr>
        <w:t>烧杯中，加入</w:t>
      </w:r>
      <w:r>
        <w:rPr>
          <w:rFonts w:ascii="Times New Roman" w:hAnsi="Times New Roman"/>
        </w:rPr>
        <w:t>20 mL</w:t>
      </w:r>
      <w:r>
        <w:rPr>
          <w:rFonts w:hint="eastAsia"/>
        </w:rPr>
        <w:t>硝酸（</w:t>
      </w:r>
      <w:r>
        <w:t xml:space="preserve"> </w:t>
      </w:r>
      <w:r>
        <w:rPr>
          <w:rFonts w:ascii="Times New Roman" w:hAnsi="Times New Roman"/>
        </w:rPr>
        <w:t>1.2.</w:t>
      </w:r>
      <w:r>
        <w:rPr>
          <w:rFonts w:hint="eastAsia" w:ascii="Times New Roman" w:hAnsi="Times New Roman"/>
        </w:rPr>
        <w:t>10</w:t>
      </w:r>
      <w:r>
        <w:rPr>
          <w:rFonts w:hint="eastAsia"/>
        </w:rPr>
        <w:t>）溶解完全后，移入</w:t>
      </w:r>
      <w:r>
        <w:rPr>
          <w:rFonts w:ascii="Times New Roman" w:hAnsi="Times New Roman"/>
        </w:rPr>
        <w:t>500 mL</w:t>
      </w:r>
      <w:r>
        <w:rPr>
          <w:rFonts w:hint="eastAsia"/>
        </w:rPr>
        <w:t>容量瓶中，加入</w:t>
      </w:r>
      <w:r>
        <w:rPr>
          <w:rFonts w:ascii="Times New Roman" w:hAnsi="Times New Roman"/>
        </w:rPr>
        <w:t>50 mL</w:t>
      </w:r>
      <w:r>
        <w:rPr>
          <w:rFonts w:hint="eastAsia"/>
        </w:rPr>
        <w:t>硝酸（</w:t>
      </w:r>
      <w:r>
        <w:rPr>
          <w:rFonts w:ascii="Times New Roman" w:hAnsi="Times New Roman"/>
        </w:rPr>
        <w:t>1.2.</w:t>
      </w:r>
      <w:r>
        <w:rPr>
          <w:rFonts w:hint="eastAsia" w:ascii="Times New Roman" w:hAnsi="Times New Roman"/>
        </w:rPr>
        <w:t>10</w:t>
      </w:r>
      <w:r>
        <w:rPr>
          <w:rFonts w:hint="eastAsia"/>
        </w:rPr>
        <w:t>），用水稀释至刻度，混匀。此溶液</w:t>
      </w:r>
      <w:r>
        <w:rPr>
          <w:rFonts w:ascii="Times New Roman" w:hAnsi="Times New Roman"/>
        </w:rPr>
        <w:t>1mL</w:t>
      </w:r>
      <w:r>
        <w:rPr>
          <w:rFonts w:hint="eastAsia"/>
        </w:rPr>
        <w:t>含</w:t>
      </w:r>
      <w:r>
        <w:rPr>
          <w:rFonts w:ascii="Times New Roman" w:hAnsi="Times New Roman"/>
        </w:rPr>
        <w:t>1mg</w:t>
      </w:r>
      <w:r>
        <w:rPr>
          <w:rFonts w:hint="eastAsia"/>
        </w:rPr>
        <w:t>铋。</w:t>
      </w:r>
    </w:p>
    <w:p>
      <w:pPr>
        <w:jc w:val="left"/>
      </w:pPr>
      <w:r>
        <w:rPr>
          <w:rFonts w:ascii="Times New Roman" w:hAnsi="Times New Roman"/>
        </w:rPr>
        <w:t>1.2.13</w:t>
      </w:r>
      <w:r>
        <w:rPr>
          <w:rFonts w:hint="eastAsia"/>
        </w:rPr>
        <w:t xml:space="preserve">  铋标准溶液：移取</w:t>
      </w:r>
      <w:r>
        <w:rPr>
          <w:rFonts w:ascii="Times New Roman" w:hAnsi="Times New Roman"/>
        </w:rPr>
        <w:t>20.00 mL</w:t>
      </w:r>
      <w:r>
        <w:rPr>
          <w:rFonts w:hint="eastAsia"/>
        </w:rPr>
        <w:t>铋标准贮存溶液（</w:t>
      </w:r>
      <w:r>
        <w:rPr>
          <w:rFonts w:ascii="Times New Roman" w:hAnsi="Times New Roman"/>
        </w:rPr>
        <w:t>1.2.12</w:t>
      </w:r>
      <w:r>
        <w:rPr>
          <w:rFonts w:hint="eastAsia"/>
        </w:rPr>
        <w:t>）于</w:t>
      </w:r>
      <w:r>
        <w:rPr>
          <w:rFonts w:ascii="Times New Roman" w:hAnsi="Times New Roman"/>
        </w:rPr>
        <w:t>200 mL</w:t>
      </w:r>
      <w:r>
        <w:rPr>
          <w:rFonts w:hint="eastAsia"/>
        </w:rPr>
        <w:t>容量瓶中，加入</w:t>
      </w:r>
      <w:r>
        <w:rPr>
          <w:rFonts w:ascii="Times New Roman" w:hAnsi="Times New Roman"/>
        </w:rPr>
        <w:t>20 mL</w:t>
      </w:r>
      <w:r>
        <w:rPr>
          <w:rFonts w:hint="eastAsia"/>
        </w:rPr>
        <w:t>硝酸（</w:t>
      </w:r>
      <w:r>
        <w:rPr>
          <w:rFonts w:ascii="Times New Roman" w:hAnsi="Times New Roman"/>
        </w:rPr>
        <w:t>1.2.</w:t>
      </w:r>
      <w:r>
        <w:rPr>
          <w:rFonts w:hint="eastAsia" w:ascii="Times New Roman" w:hAnsi="Times New Roman"/>
        </w:rPr>
        <w:t>10</w:t>
      </w:r>
      <w:r>
        <w:rPr>
          <w:rFonts w:hint="eastAsia"/>
        </w:rPr>
        <w:t>），用水稀释至刻度，混匀。此溶液</w:t>
      </w:r>
      <w:r>
        <w:rPr>
          <w:rFonts w:ascii="Times New Roman" w:hAnsi="Times New Roman"/>
        </w:rPr>
        <w:t>1 mL</w:t>
      </w:r>
      <w:r>
        <w:rPr>
          <w:rFonts w:hint="eastAsia"/>
        </w:rPr>
        <w:t>含</w:t>
      </w:r>
      <w:r>
        <w:rPr>
          <w:rFonts w:ascii="Times New Roman" w:hAnsi="Times New Roman"/>
        </w:rPr>
        <w:t>100 μg</w:t>
      </w:r>
      <w:r>
        <w:rPr>
          <w:rFonts w:hint="eastAsia"/>
        </w:rPr>
        <w:t>铋。</w:t>
      </w:r>
    </w:p>
    <w:p>
      <w:pPr>
        <w:spacing w:line="360" w:lineRule="auto"/>
        <w:outlineLvl w:val="0"/>
        <w:rPr>
          <w:rFonts w:ascii="黑体" w:hAnsi="黑体" w:eastAsia="黑体"/>
        </w:rPr>
      </w:pPr>
      <w:r>
        <w:rPr>
          <w:rFonts w:ascii="Times New Roman" w:hAnsi="Times New Roman" w:eastAsia="黑体"/>
        </w:rPr>
        <w:t xml:space="preserve">1.3 </w:t>
      </w:r>
      <w:r>
        <w:rPr>
          <w:rFonts w:hint="eastAsia" w:ascii="黑体" w:hAnsi="黑体" w:eastAsia="黑体"/>
        </w:rPr>
        <w:t xml:space="preserve"> 仪器</w:t>
      </w:r>
    </w:p>
    <w:p>
      <w:pPr>
        <w:pStyle w:val="17"/>
        <w:ind w:firstLine="420" w:firstLineChars="200"/>
        <w:rPr>
          <w:rFonts w:ascii="Times New Roman" w:hAnsi="Times New Roman"/>
        </w:rPr>
      </w:pPr>
      <w:r>
        <w:rPr>
          <w:rFonts w:hint="eastAsia" w:ascii="Times New Roman" w:hAnsi="宋体"/>
        </w:rPr>
        <w:t>原子吸收光谱仪，附铋空心阴极灯。</w:t>
      </w:r>
    </w:p>
    <w:p>
      <w:pPr>
        <w:pStyle w:val="17"/>
        <w:ind w:firstLine="420" w:firstLineChars="200"/>
        <w:rPr>
          <w:rFonts w:ascii="Times New Roman" w:hAnsi="Times New Roman"/>
        </w:rPr>
      </w:pPr>
      <w:r>
        <w:rPr>
          <w:rFonts w:hint="eastAsia" w:ascii="Times New Roman" w:hAnsi="宋体"/>
        </w:rPr>
        <w:t>根据不同型号仪器选择最佳测定条件，在仪器最佳工作条件下，凡能达到下列指标者均可使用：</w:t>
      </w:r>
    </w:p>
    <w:p>
      <w:pPr>
        <w:pStyle w:val="17"/>
        <w:ind w:firstLine="420" w:firstLineChars="200"/>
        <w:rPr>
          <w:rFonts w:ascii="Times New Roman" w:hAnsi="Times New Roman"/>
        </w:rPr>
      </w:pPr>
      <w:r>
        <w:rPr>
          <w:rFonts w:ascii="Times New Roman" w:hAnsi="Times New Roman"/>
        </w:rPr>
        <w:t>——</w:t>
      </w:r>
      <w:r>
        <w:rPr>
          <w:rFonts w:hint="eastAsia" w:ascii="Times New Roman" w:hAnsi="宋体"/>
        </w:rPr>
        <w:t>特征浓度：在与测量溶液的基体相一致的溶液中，铋的特征质量浓度不大于</w:t>
      </w:r>
      <w:r>
        <w:rPr>
          <w:rFonts w:ascii="Times New Roman" w:hAnsi="Times New Roman" w:cs="Times New Roman"/>
        </w:rPr>
        <w:t>0.2µg/mL</w:t>
      </w:r>
      <w:r>
        <w:rPr>
          <w:rFonts w:hint="eastAsia" w:ascii="Times New Roman" w:hAnsi="宋体"/>
        </w:rPr>
        <w:t>。</w:t>
      </w:r>
    </w:p>
    <w:p>
      <w:pPr>
        <w:pStyle w:val="17"/>
        <w:ind w:firstLine="420" w:firstLineChars="200"/>
        <w:rPr>
          <w:rFonts w:ascii="Times New Roman" w:hAnsi="Times New Roman"/>
        </w:rPr>
      </w:pPr>
      <w:r>
        <w:rPr>
          <w:rFonts w:ascii="Times New Roman" w:hAnsi="Times New Roman"/>
        </w:rPr>
        <w:t>——</w:t>
      </w:r>
      <w:r>
        <w:rPr>
          <w:rFonts w:hint="eastAsia" w:ascii="Times New Roman" w:hAnsi="宋体"/>
        </w:rPr>
        <w:t>精密度：用最高浓度标准溶液测量</w:t>
      </w:r>
      <w:r>
        <w:rPr>
          <w:rFonts w:ascii="Times New Roman" w:hAnsi="Times New Roman"/>
        </w:rPr>
        <w:t>10</w:t>
      </w:r>
      <w:r>
        <w:rPr>
          <w:rFonts w:hint="eastAsia" w:ascii="Times New Roman" w:hAnsi="宋体"/>
        </w:rPr>
        <w:t>次，其吸光度的标准偏差应不超过其平均吸光度的</w:t>
      </w:r>
      <w:r>
        <w:rPr>
          <w:rFonts w:ascii="Times New Roman" w:hAnsi="Times New Roman"/>
        </w:rPr>
        <w:t>1.0%</w:t>
      </w:r>
      <w:r>
        <w:rPr>
          <w:rFonts w:hint="eastAsia" w:ascii="Times New Roman" w:hAnsi="宋体"/>
        </w:rPr>
        <w:t>；用最低浓度的标准溶液（不是</w:t>
      </w:r>
      <w:r>
        <w:rPr>
          <w:rFonts w:ascii="Times New Roman" w:hAnsi="Times New Roman"/>
        </w:rPr>
        <w:t>“</w:t>
      </w:r>
      <w:r>
        <w:rPr>
          <w:rFonts w:hint="eastAsia" w:ascii="Times New Roman" w:hAnsi="宋体"/>
        </w:rPr>
        <w:t>零浓度</w:t>
      </w:r>
      <w:r>
        <w:rPr>
          <w:rFonts w:ascii="Times New Roman" w:hAnsi="Times New Roman"/>
        </w:rPr>
        <w:t>”</w:t>
      </w:r>
      <w:r>
        <w:rPr>
          <w:rFonts w:hint="eastAsia" w:ascii="Times New Roman" w:hAnsi="宋体"/>
        </w:rPr>
        <w:t>标准溶液）测量</w:t>
      </w:r>
      <w:r>
        <w:rPr>
          <w:rFonts w:ascii="Times New Roman" w:hAnsi="Times New Roman"/>
        </w:rPr>
        <w:t>10</w:t>
      </w:r>
      <w:r>
        <w:rPr>
          <w:rFonts w:hint="eastAsia" w:ascii="Times New Roman" w:hAnsi="宋体"/>
        </w:rPr>
        <w:t>次吸光度，其标准偏差应不超过最高浓度标准溶液平均吸光度的</w:t>
      </w:r>
      <w:r>
        <w:rPr>
          <w:rFonts w:ascii="Times New Roman" w:hAnsi="Times New Roman"/>
        </w:rPr>
        <w:t>0.5%</w:t>
      </w:r>
      <w:r>
        <w:rPr>
          <w:rFonts w:hint="eastAsia" w:ascii="Times New Roman" w:hAnsi="宋体"/>
        </w:rPr>
        <w:t>。</w:t>
      </w:r>
    </w:p>
    <w:p>
      <w:pPr>
        <w:pStyle w:val="17"/>
        <w:ind w:firstLine="420" w:firstLineChars="200"/>
        <w:rPr>
          <w:rFonts w:ascii="Times New Roman" w:hAnsi="宋体"/>
        </w:rPr>
      </w:pPr>
      <w:r>
        <w:rPr>
          <w:rFonts w:ascii="Times New Roman" w:hAnsi="Times New Roman"/>
        </w:rPr>
        <w:t>——</w:t>
      </w:r>
      <w:r>
        <w:rPr>
          <w:rFonts w:hint="eastAsia" w:ascii="Times New Roman" w:hAnsi="宋体"/>
        </w:rPr>
        <w:t>工作曲线线性：将工作曲线按浓度等分为</w:t>
      </w:r>
      <w:r>
        <w:rPr>
          <w:rFonts w:ascii="Times New Roman" w:hAnsi="Times New Roman"/>
        </w:rPr>
        <w:t>5</w:t>
      </w:r>
      <w:r>
        <w:rPr>
          <w:rFonts w:hint="eastAsia" w:ascii="Times New Roman" w:hAnsi="宋体"/>
        </w:rPr>
        <w:t>段，最高段的吸光度差值与最低段的吸光度差值之比，应不小于</w:t>
      </w:r>
      <w:r>
        <w:rPr>
          <w:rFonts w:ascii="Times New Roman" w:hAnsi="Times New Roman"/>
        </w:rPr>
        <w:t>0.7</w:t>
      </w:r>
      <w:r>
        <w:rPr>
          <w:rFonts w:hint="eastAsia" w:ascii="Times New Roman" w:hAnsi="宋体"/>
        </w:rPr>
        <w:t>。</w:t>
      </w:r>
    </w:p>
    <w:p>
      <w:pPr>
        <w:spacing w:line="360" w:lineRule="auto"/>
        <w:outlineLvl w:val="0"/>
        <w:rPr>
          <w:rFonts w:ascii="黑体" w:hAnsi="黑体" w:eastAsia="黑体"/>
        </w:rPr>
      </w:pPr>
      <w:r>
        <w:rPr>
          <w:rFonts w:ascii="Times New Roman" w:hAnsi="Times New Roman" w:eastAsia="黑体"/>
        </w:rPr>
        <w:t xml:space="preserve">1.4 </w:t>
      </w:r>
      <w:r>
        <w:rPr>
          <w:rFonts w:ascii="黑体" w:hAnsi="黑体" w:eastAsia="黑体"/>
        </w:rPr>
        <w:t xml:space="preserve"> </w:t>
      </w:r>
      <w:r>
        <w:rPr>
          <w:rFonts w:hint="eastAsia" w:ascii="黑体" w:hAnsi="黑体" w:eastAsia="黑体"/>
        </w:rPr>
        <w:t>样品</w:t>
      </w:r>
    </w:p>
    <w:p>
      <w:pPr>
        <w:autoSpaceDE w:val="0"/>
        <w:autoSpaceDN w:val="0"/>
        <w:adjustRightInd w:val="0"/>
        <w:ind w:right="156"/>
        <w:rPr>
          <w:kern w:val="0"/>
        </w:rPr>
      </w:pPr>
      <w:r>
        <w:rPr>
          <w:rFonts w:ascii="Times New Roman" w:hAnsi="Times New Roman"/>
        </w:rPr>
        <w:t>1.4.1</w:t>
      </w:r>
      <w:r>
        <w:rPr>
          <w:rFonts w:hint="eastAsia" w:hAnsi="宋体"/>
        </w:rPr>
        <w:t xml:space="preserve"> </w:t>
      </w:r>
      <w:r>
        <w:rPr>
          <w:rFonts w:hAnsi="宋体"/>
        </w:rPr>
        <w:t xml:space="preserve"> </w:t>
      </w:r>
      <w:r>
        <w:rPr>
          <w:szCs w:val="21"/>
        </w:rPr>
        <w:t>试样粒度应不大于</w:t>
      </w:r>
      <w:r>
        <w:rPr>
          <w:rFonts w:ascii="Times New Roman" w:hAnsi="Times New Roman"/>
          <w:szCs w:val="21"/>
        </w:rPr>
        <w:t>0.125 mm</w:t>
      </w:r>
      <w:r>
        <w:rPr>
          <w:rFonts w:hint="eastAsia"/>
          <w:szCs w:val="21"/>
        </w:rPr>
        <w:t>。</w:t>
      </w:r>
    </w:p>
    <w:p>
      <w:pPr>
        <w:autoSpaceDE w:val="0"/>
        <w:autoSpaceDN w:val="0"/>
        <w:adjustRightInd w:val="0"/>
        <w:ind w:right="156"/>
        <w:rPr>
          <w:kern w:val="0"/>
        </w:rPr>
      </w:pPr>
      <w:r>
        <w:rPr>
          <w:rFonts w:ascii="Times New Roman" w:hAnsi="Times New Roman"/>
          <w:kern w:val="0"/>
        </w:rPr>
        <w:t>1.4.2</w:t>
      </w:r>
      <w:r>
        <w:rPr>
          <w:rFonts w:hint="eastAsia"/>
          <w:kern w:val="0"/>
        </w:rPr>
        <w:t xml:space="preserve">  试样应在</w:t>
      </w:r>
      <w:r>
        <w:rPr>
          <w:rFonts w:ascii="Times New Roman" w:hAnsi="Times New Roman"/>
        </w:rPr>
        <w:t>105 ℃±5 ℃</w:t>
      </w:r>
      <w:r>
        <w:rPr>
          <w:kern w:val="0"/>
        </w:rPr>
        <w:t>烘</w:t>
      </w:r>
      <w:r>
        <w:rPr>
          <w:rFonts w:ascii="Times New Roman" w:hAnsi="Times New Roman"/>
          <w:kern w:val="0"/>
        </w:rPr>
        <w:t>2 h</w:t>
      </w:r>
      <w:r>
        <w:rPr>
          <w:kern w:val="0"/>
        </w:rPr>
        <w:t>后置于干燥器中冷却至室温</w:t>
      </w:r>
      <w:r>
        <w:rPr>
          <w:rFonts w:hint="eastAsia"/>
          <w:kern w:val="0"/>
        </w:rPr>
        <w:t>。</w:t>
      </w:r>
    </w:p>
    <w:p>
      <w:pPr>
        <w:spacing w:line="360" w:lineRule="auto"/>
        <w:outlineLvl w:val="0"/>
        <w:rPr>
          <w:rFonts w:ascii="黑体" w:hAnsi="黑体" w:eastAsia="黑体"/>
        </w:rPr>
      </w:pPr>
      <w:r>
        <w:rPr>
          <w:rFonts w:ascii="Times New Roman" w:hAnsi="Times New Roman" w:eastAsia="黑体"/>
        </w:rPr>
        <w:t xml:space="preserve">1.5  </w:t>
      </w:r>
      <w:r>
        <w:rPr>
          <w:rFonts w:hint="eastAsia" w:ascii="黑体" w:hAnsi="黑体" w:eastAsia="黑体"/>
        </w:rPr>
        <w:t>试验</w:t>
      </w:r>
      <w:r>
        <w:rPr>
          <w:rFonts w:hint="eastAsia" w:ascii="黑体" w:hAnsi="黑体" w:eastAsia="黑体"/>
          <w:color w:val="000000" w:themeColor="text1"/>
        </w:rPr>
        <w:t>步骤</w:t>
      </w:r>
    </w:p>
    <w:p>
      <w:pPr>
        <w:spacing w:line="360" w:lineRule="auto"/>
        <w:rPr>
          <w:rFonts w:ascii="黑体" w:hAnsi="黑体" w:eastAsia="黑体"/>
          <w:bCs/>
        </w:rPr>
      </w:pPr>
      <w:r>
        <w:rPr>
          <w:rFonts w:ascii="Times New Roman" w:hAnsi="Times New Roman" w:eastAsia="黑体"/>
          <w:bCs/>
        </w:rPr>
        <w:t>1.5.1</w:t>
      </w:r>
      <w:r>
        <w:rPr>
          <w:rFonts w:hint="eastAsia" w:ascii="黑体" w:hAnsi="黑体" w:eastAsia="黑体"/>
          <w:bCs/>
        </w:rPr>
        <w:t xml:space="preserve">  </w:t>
      </w:r>
      <w:r>
        <w:rPr>
          <w:rFonts w:hint="eastAsia" w:ascii="黑体" w:hAnsi="黑体" w:eastAsia="黑体" w:cstheme="minorEastAsia"/>
          <w:bCs/>
        </w:rPr>
        <w:t>试料量</w:t>
      </w:r>
    </w:p>
    <w:p>
      <w:pPr>
        <w:spacing w:line="360" w:lineRule="auto"/>
        <w:ind w:left="210"/>
        <w:rPr>
          <w:rFonts w:hAnsi="宋体"/>
        </w:rPr>
      </w:pPr>
      <w:r>
        <w:rPr>
          <w:rFonts w:hint="eastAsia"/>
        </w:rPr>
        <w:t xml:space="preserve">    按表</w:t>
      </w:r>
      <w:r>
        <w:rPr>
          <w:rFonts w:ascii="Times New Roman" w:hAnsi="Times New Roman"/>
        </w:rPr>
        <w:t>1</w:t>
      </w:r>
      <w:r>
        <w:rPr>
          <w:rFonts w:hint="eastAsia"/>
        </w:rPr>
        <w:t>称取样品（</w:t>
      </w:r>
      <w:r>
        <w:rPr>
          <w:rFonts w:ascii="Times New Roman" w:hAnsi="Times New Roman"/>
        </w:rPr>
        <w:t>1.4</w:t>
      </w:r>
      <w:r>
        <w:rPr>
          <w:rFonts w:hint="eastAsia"/>
        </w:rPr>
        <w:t>）</w:t>
      </w:r>
      <w:r>
        <w:rPr>
          <w:rFonts w:hint="eastAsia" w:hAnsi="宋体"/>
        </w:rPr>
        <w:t>，精确至</w:t>
      </w:r>
      <w:r>
        <w:rPr>
          <w:rFonts w:ascii="Times New Roman" w:hAnsi="Times New Roman"/>
        </w:rPr>
        <w:t>0.0001g</w:t>
      </w:r>
      <w:r>
        <w:rPr>
          <w:rFonts w:hint="eastAsia" w:hAnsi="宋体"/>
        </w:rPr>
        <w:t>。</w:t>
      </w:r>
    </w:p>
    <w:p>
      <w:pPr>
        <w:spacing w:line="360" w:lineRule="auto"/>
        <w:jc w:val="center"/>
        <w:rPr>
          <w:bCs/>
          <w:color w:val="000000"/>
          <w:sz w:val="18"/>
          <w:szCs w:val="18"/>
        </w:rPr>
      </w:pPr>
      <w:r>
        <w:rPr>
          <w:rFonts w:hint="eastAsia"/>
          <w:bCs/>
          <w:color w:val="000000"/>
          <w:sz w:val="18"/>
          <w:szCs w:val="18"/>
        </w:rPr>
        <w:t>表</w:t>
      </w:r>
      <w:r>
        <w:rPr>
          <w:rFonts w:ascii="Times New Roman" w:hAnsi="Times New Roman"/>
          <w:bCs/>
          <w:color w:val="000000"/>
          <w:sz w:val="18"/>
          <w:szCs w:val="18"/>
        </w:rPr>
        <w:t>1</w:t>
      </w:r>
      <w:r>
        <w:rPr>
          <w:rFonts w:hint="eastAsia"/>
          <w:bCs/>
          <w:color w:val="000000"/>
          <w:sz w:val="18"/>
          <w:szCs w:val="18"/>
        </w:rPr>
        <w:t>试料量及分取试液体积</w:t>
      </w:r>
    </w:p>
    <w:tbl>
      <w:tblPr>
        <w:tblStyle w:val="32"/>
        <w:tblpPr w:leftFromText="180" w:rightFromText="180" w:vertAnchor="text" w:horzAnchor="page" w:tblpX="1515" w:tblpY="230"/>
        <w:tblOverlap w:val="never"/>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228"/>
        <w:gridCol w:w="1593"/>
        <w:gridCol w:w="1842"/>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844" w:type="dxa"/>
            <w:vAlign w:val="center"/>
          </w:tcPr>
          <w:p>
            <w:pPr>
              <w:spacing w:line="240" w:lineRule="exact"/>
              <w:jc w:val="center"/>
              <w:rPr>
                <w:rFonts w:ascii="宋体" w:hAnsi="宋体" w:cstheme="minorEastAsia"/>
                <w:bCs/>
                <w:sz w:val="18"/>
                <w:szCs w:val="18"/>
              </w:rPr>
            </w:pPr>
            <w:r>
              <w:rPr>
                <w:rFonts w:hint="eastAsia" w:ascii="宋体" w:hAnsi="宋体" w:cstheme="minorEastAsia"/>
                <w:bCs/>
                <w:sz w:val="18"/>
                <w:szCs w:val="18"/>
              </w:rPr>
              <w:t>铋质量分数</w:t>
            </w:r>
          </w:p>
          <w:p>
            <w:pPr>
              <w:spacing w:line="240" w:lineRule="exact"/>
              <w:jc w:val="center"/>
              <w:rPr>
                <w:rFonts w:ascii="Times New Roman" w:hAnsi="Times New Roman" w:eastAsia="黑体"/>
                <w:sz w:val="18"/>
                <w:szCs w:val="18"/>
              </w:rPr>
            </w:pPr>
            <w:r>
              <w:rPr>
                <w:rFonts w:hint="eastAsia" w:ascii="宋体" w:hAnsi="宋体" w:cstheme="minorEastAsia"/>
                <w:bCs/>
                <w:sz w:val="18"/>
                <w:szCs w:val="18"/>
              </w:rPr>
              <w:t xml:space="preserve"> </w:t>
            </w:r>
            <w:r>
              <w:rPr>
                <w:rFonts w:ascii="Times New Roman" w:hAnsi="Times New Roman"/>
                <w:sz w:val="18"/>
                <w:szCs w:val="18"/>
              </w:rPr>
              <w:t>%</w:t>
            </w:r>
          </w:p>
        </w:tc>
        <w:tc>
          <w:tcPr>
            <w:tcW w:w="1228" w:type="dxa"/>
            <w:vAlign w:val="center"/>
          </w:tcPr>
          <w:p>
            <w:pPr>
              <w:spacing w:line="240" w:lineRule="exact"/>
              <w:jc w:val="center"/>
              <w:rPr>
                <w:rFonts w:ascii="黑体" w:hAnsi="黑体" w:eastAsia="黑体"/>
                <w:sz w:val="18"/>
                <w:szCs w:val="18"/>
              </w:rPr>
            </w:pPr>
            <w:r>
              <w:rPr>
                <w:rFonts w:hint="eastAsia" w:ascii="宋体" w:hAnsi="宋体" w:cstheme="minorEastAsia"/>
                <w:sz w:val="18"/>
                <w:szCs w:val="18"/>
              </w:rPr>
              <w:t>试料量</w:t>
            </w:r>
            <w:r>
              <w:rPr>
                <w:rFonts w:ascii="黑体" w:hAnsi="黑体" w:eastAsia="黑体"/>
                <w:sz w:val="18"/>
                <w:szCs w:val="18"/>
              </w:rPr>
              <w:t xml:space="preserve"> </w:t>
            </w:r>
          </w:p>
          <w:p>
            <w:pPr>
              <w:spacing w:line="240" w:lineRule="exact"/>
              <w:jc w:val="center"/>
              <w:rPr>
                <w:rFonts w:ascii="Times New Roman" w:hAnsi="Times New Roman" w:eastAsia="黑体"/>
                <w:sz w:val="18"/>
                <w:szCs w:val="18"/>
              </w:rPr>
            </w:pPr>
            <w:r>
              <w:rPr>
                <w:rFonts w:ascii="Times New Roman" w:hAnsi="Times New Roman"/>
                <w:sz w:val="18"/>
                <w:szCs w:val="18"/>
              </w:rPr>
              <w:t>g</w:t>
            </w:r>
          </w:p>
        </w:tc>
        <w:tc>
          <w:tcPr>
            <w:tcW w:w="1593" w:type="dxa"/>
            <w:vAlign w:val="center"/>
          </w:tcPr>
          <w:p>
            <w:pPr>
              <w:spacing w:line="240" w:lineRule="exact"/>
              <w:jc w:val="center"/>
              <w:rPr>
                <w:rFonts w:ascii="黑体" w:hAnsi="黑体" w:eastAsia="黑体"/>
                <w:bCs/>
                <w:sz w:val="18"/>
                <w:szCs w:val="18"/>
              </w:rPr>
            </w:pPr>
            <w:r>
              <w:rPr>
                <w:rFonts w:hint="eastAsia" w:ascii="宋体" w:hAnsi="宋体" w:cstheme="minorEastAsia"/>
                <w:bCs/>
                <w:sz w:val="18"/>
                <w:szCs w:val="18"/>
              </w:rPr>
              <w:t>试液总体积</w:t>
            </w:r>
            <w:r>
              <w:rPr>
                <w:rFonts w:ascii="黑体" w:hAnsi="黑体" w:eastAsia="黑体"/>
                <w:bCs/>
                <w:sz w:val="18"/>
                <w:szCs w:val="18"/>
              </w:rPr>
              <w:t xml:space="preserve"> </w:t>
            </w:r>
          </w:p>
          <w:p>
            <w:pPr>
              <w:spacing w:line="240" w:lineRule="exact"/>
              <w:jc w:val="center"/>
              <w:rPr>
                <w:rFonts w:ascii="Times New Roman" w:hAnsi="Times New Roman" w:eastAsia="黑体"/>
                <w:bCs/>
                <w:sz w:val="18"/>
                <w:szCs w:val="18"/>
              </w:rPr>
            </w:pPr>
            <w:r>
              <w:rPr>
                <w:rFonts w:ascii="Times New Roman" w:hAnsi="Times New Roman"/>
                <w:sz w:val="18"/>
                <w:szCs w:val="18"/>
              </w:rPr>
              <w:t>mL</w:t>
            </w:r>
          </w:p>
        </w:tc>
        <w:tc>
          <w:tcPr>
            <w:tcW w:w="1842" w:type="dxa"/>
            <w:vAlign w:val="center"/>
          </w:tcPr>
          <w:p>
            <w:pPr>
              <w:spacing w:line="240" w:lineRule="exact"/>
              <w:jc w:val="center"/>
              <w:rPr>
                <w:rFonts w:ascii="黑体" w:hAnsi="黑体" w:eastAsia="黑体"/>
                <w:sz w:val="18"/>
                <w:szCs w:val="18"/>
              </w:rPr>
            </w:pPr>
            <w:r>
              <w:rPr>
                <w:rFonts w:hint="eastAsia" w:ascii="宋体" w:hAnsi="宋体" w:cstheme="minorEastAsia"/>
                <w:sz w:val="18"/>
                <w:szCs w:val="18"/>
              </w:rPr>
              <w:t>分取试液体积</w:t>
            </w:r>
            <w:r>
              <w:rPr>
                <w:rFonts w:ascii="黑体" w:hAnsi="黑体" w:eastAsia="黑体"/>
                <w:sz w:val="18"/>
                <w:szCs w:val="18"/>
              </w:rPr>
              <w:t xml:space="preserve"> </w:t>
            </w:r>
          </w:p>
          <w:p>
            <w:pPr>
              <w:spacing w:line="240" w:lineRule="exact"/>
              <w:jc w:val="center"/>
              <w:rPr>
                <w:rFonts w:ascii="Times New Roman" w:hAnsi="Times New Roman" w:eastAsia="黑体"/>
                <w:bCs/>
                <w:sz w:val="18"/>
                <w:szCs w:val="18"/>
              </w:rPr>
            </w:pPr>
            <w:r>
              <w:rPr>
                <w:rFonts w:ascii="Times New Roman" w:hAnsi="Times New Roman"/>
                <w:sz w:val="18"/>
                <w:szCs w:val="18"/>
              </w:rPr>
              <w:t>mL</w:t>
            </w:r>
          </w:p>
        </w:tc>
        <w:tc>
          <w:tcPr>
            <w:tcW w:w="2710" w:type="dxa"/>
            <w:vAlign w:val="center"/>
          </w:tcPr>
          <w:p>
            <w:pPr>
              <w:spacing w:line="240" w:lineRule="exact"/>
              <w:jc w:val="center"/>
              <w:rPr>
                <w:rFonts w:ascii="宋体" w:hAnsi="宋体" w:cstheme="minorEastAsia"/>
                <w:sz w:val="18"/>
                <w:szCs w:val="18"/>
              </w:rPr>
            </w:pPr>
            <w:r>
              <w:rPr>
                <w:rFonts w:hint="eastAsia" w:ascii="宋体" w:hAnsi="宋体" w:cstheme="minorEastAsia"/>
                <w:sz w:val="18"/>
                <w:szCs w:val="18"/>
              </w:rPr>
              <w:t xml:space="preserve">补加盐酸体积 </w:t>
            </w:r>
          </w:p>
          <w:p>
            <w:pPr>
              <w:spacing w:line="240" w:lineRule="exact"/>
              <w:jc w:val="center"/>
              <w:rPr>
                <w:rFonts w:ascii="Times New Roman" w:hAnsi="Times New Roman"/>
                <w:sz w:val="18"/>
                <w:szCs w:val="18"/>
              </w:rPr>
            </w:pPr>
            <w:r>
              <w:rPr>
                <w:sz w:val="18"/>
                <w:szCs w:val="18"/>
              </w:rPr>
              <w:t xml:space="preserve"> </w:t>
            </w:r>
            <w:r>
              <w:rPr>
                <w:rFonts w:ascii="Times New Roman" w:hAnsi="Times New Roman"/>
                <w:sz w:val="18"/>
                <w:szCs w:val="18"/>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844" w:type="dxa"/>
            <w:vAlign w:val="center"/>
          </w:tcPr>
          <w:p>
            <w:pPr>
              <w:spacing w:line="240" w:lineRule="exact"/>
              <w:ind w:firstLine="540" w:firstLineChars="300"/>
              <w:rPr>
                <w:rFonts w:ascii="Times New Roman" w:hAnsi="Times New Roman"/>
                <w:sz w:val="18"/>
                <w:szCs w:val="18"/>
              </w:rPr>
            </w:pPr>
            <w:r>
              <w:rPr>
                <w:rFonts w:ascii="Times New Roman" w:hAnsi="Times New Roman"/>
                <w:sz w:val="18"/>
                <w:szCs w:val="18"/>
              </w:rPr>
              <w:t>0.050~0.25</w:t>
            </w:r>
          </w:p>
        </w:tc>
        <w:tc>
          <w:tcPr>
            <w:tcW w:w="1228" w:type="dxa"/>
            <w:vAlign w:val="center"/>
          </w:tcPr>
          <w:p>
            <w:pPr>
              <w:spacing w:line="240" w:lineRule="exact"/>
              <w:jc w:val="center"/>
              <w:rPr>
                <w:rFonts w:ascii="Times New Roman" w:hAnsi="Times New Roman"/>
                <w:sz w:val="18"/>
                <w:szCs w:val="18"/>
              </w:rPr>
            </w:pPr>
            <w:r>
              <w:rPr>
                <w:rFonts w:ascii="Times New Roman" w:hAnsi="Times New Roman"/>
                <w:sz w:val="18"/>
                <w:szCs w:val="18"/>
              </w:rPr>
              <w:t>0.40</w:t>
            </w:r>
          </w:p>
        </w:tc>
        <w:tc>
          <w:tcPr>
            <w:tcW w:w="1593" w:type="dxa"/>
            <w:vMerge w:val="restart"/>
            <w:vAlign w:val="center"/>
          </w:tcPr>
          <w:p>
            <w:pPr>
              <w:spacing w:line="240" w:lineRule="exact"/>
              <w:ind w:firstLine="720" w:firstLineChars="400"/>
              <w:rPr>
                <w:rFonts w:ascii="Times New Roman" w:hAnsi="Times New Roman"/>
                <w:bCs/>
                <w:sz w:val="18"/>
                <w:szCs w:val="18"/>
              </w:rPr>
            </w:pPr>
            <w:r>
              <w:rPr>
                <w:rFonts w:ascii="Times New Roman" w:hAnsi="Times New Roman"/>
                <w:bCs/>
                <w:sz w:val="18"/>
                <w:szCs w:val="18"/>
              </w:rPr>
              <w:t>100</w:t>
            </w:r>
          </w:p>
        </w:tc>
        <w:tc>
          <w:tcPr>
            <w:tcW w:w="1842" w:type="dxa"/>
            <w:vAlign w:val="center"/>
          </w:tcPr>
          <w:p>
            <w:pPr>
              <w:spacing w:line="240" w:lineRule="exact"/>
              <w:jc w:val="center"/>
              <w:rPr>
                <w:rFonts w:ascii="Times New Roman" w:hAnsi="Times New Roman"/>
                <w:bCs/>
                <w:sz w:val="18"/>
                <w:szCs w:val="18"/>
              </w:rPr>
            </w:pPr>
            <w:r>
              <w:rPr>
                <w:rFonts w:ascii="Times New Roman" w:hAnsi="Times New Roman"/>
                <w:bCs/>
                <w:sz w:val="18"/>
                <w:szCs w:val="18"/>
              </w:rPr>
              <w:t>–</w:t>
            </w:r>
          </w:p>
        </w:tc>
        <w:tc>
          <w:tcPr>
            <w:tcW w:w="2710" w:type="dxa"/>
            <w:vAlign w:val="center"/>
          </w:tcPr>
          <w:p>
            <w:pPr>
              <w:spacing w:line="240" w:lineRule="exact"/>
              <w:jc w:val="center"/>
              <w:rPr>
                <w:rFonts w:ascii="Times New Roman" w:hAnsi="Times New Roman"/>
                <w:bCs/>
                <w:sz w:val="18"/>
                <w:szCs w:val="18"/>
              </w:rPr>
            </w:pPr>
            <w:r>
              <w:rPr>
                <w:rFonts w:ascii="Times New Roman" w:hAnsi="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844" w:type="dxa"/>
            <w:vAlign w:val="center"/>
          </w:tcPr>
          <w:p>
            <w:pPr>
              <w:spacing w:line="240" w:lineRule="exact"/>
              <w:jc w:val="center"/>
              <w:rPr>
                <w:rFonts w:ascii="Times New Roman" w:hAnsi="Times New Roman"/>
                <w:sz w:val="18"/>
                <w:szCs w:val="18"/>
              </w:rPr>
            </w:pPr>
            <w:r>
              <w:rPr>
                <w:rFonts w:ascii="Times New Roman" w:hAnsi="Times New Roman"/>
                <w:sz w:val="18"/>
                <w:szCs w:val="18"/>
              </w:rPr>
              <w:t xml:space="preserve">  ﹥0.25~2.00</w:t>
            </w:r>
          </w:p>
        </w:tc>
        <w:tc>
          <w:tcPr>
            <w:tcW w:w="1228" w:type="dxa"/>
            <w:vMerge w:val="restart"/>
            <w:vAlign w:val="center"/>
          </w:tcPr>
          <w:p>
            <w:pPr>
              <w:spacing w:line="240" w:lineRule="exact"/>
              <w:jc w:val="center"/>
              <w:rPr>
                <w:rFonts w:ascii="Times New Roman" w:hAnsi="Times New Roman"/>
                <w:sz w:val="18"/>
                <w:szCs w:val="18"/>
              </w:rPr>
            </w:pPr>
            <w:r>
              <w:rPr>
                <w:rFonts w:ascii="Times New Roman" w:hAnsi="Times New Roman"/>
                <w:sz w:val="18"/>
                <w:szCs w:val="18"/>
              </w:rPr>
              <w:t>0.20</w:t>
            </w:r>
          </w:p>
        </w:tc>
        <w:tc>
          <w:tcPr>
            <w:tcW w:w="1593" w:type="dxa"/>
            <w:vMerge w:val="continue"/>
            <w:vAlign w:val="center"/>
          </w:tcPr>
          <w:p>
            <w:pPr>
              <w:spacing w:line="240" w:lineRule="exact"/>
              <w:jc w:val="center"/>
              <w:rPr>
                <w:rFonts w:ascii="Times New Roman" w:hAnsi="Times New Roman"/>
                <w:bCs/>
                <w:sz w:val="18"/>
                <w:szCs w:val="18"/>
              </w:rPr>
            </w:pPr>
          </w:p>
        </w:tc>
        <w:tc>
          <w:tcPr>
            <w:tcW w:w="1842" w:type="dxa"/>
            <w:vAlign w:val="center"/>
          </w:tcPr>
          <w:p>
            <w:pPr>
              <w:spacing w:line="240" w:lineRule="exact"/>
              <w:jc w:val="center"/>
              <w:rPr>
                <w:rFonts w:ascii="Times New Roman" w:hAnsi="Times New Roman"/>
                <w:bCs/>
                <w:sz w:val="18"/>
                <w:szCs w:val="18"/>
              </w:rPr>
            </w:pPr>
            <w:r>
              <w:rPr>
                <w:rFonts w:ascii="Times New Roman" w:hAnsi="Times New Roman"/>
                <w:bCs/>
                <w:sz w:val="18"/>
                <w:szCs w:val="18"/>
              </w:rPr>
              <w:t>20</w:t>
            </w:r>
          </w:p>
        </w:tc>
        <w:tc>
          <w:tcPr>
            <w:tcW w:w="2710" w:type="dxa"/>
            <w:vAlign w:val="center"/>
          </w:tcPr>
          <w:p>
            <w:pPr>
              <w:spacing w:line="240" w:lineRule="exact"/>
              <w:jc w:val="center"/>
              <w:rPr>
                <w:rFonts w:ascii="Times New Roman" w:hAnsi="Times New Roman"/>
                <w:bCs/>
                <w:sz w:val="18"/>
                <w:szCs w:val="18"/>
              </w:rPr>
            </w:pPr>
            <w:r>
              <w:rPr>
                <w:rFonts w:ascii="Times New Roman" w:hAnsi="Times New Roman"/>
                <w:bCs/>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44" w:type="dxa"/>
            <w:vAlign w:val="center"/>
          </w:tcPr>
          <w:p>
            <w:pPr>
              <w:spacing w:line="240" w:lineRule="exact"/>
              <w:jc w:val="center"/>
              <w:rPr>
                <w:rFonts w:ascii="Times New Roman" w:hAnsi="Times New Roman"/>
                <w:sz w:val="18"/>
                <w:szCs w:val="18"/>
              </w:rPr>
            </w:pPr>
            <w:r>
              <w:rPr>
                <w:rFonts w:ascii="Times New Roman" w:hAnsi="Times New Roman"/>
                <w:sz w:val="18"/>
                <w:szCs w:val="18"/>
              </w:rPr>
              <w:t xml:space="preserve">  ﹥2.00~4.00</w:t>
            </w:r>
          </w:p>
        </w:tc>
        <w:tc>
          <w:tcPr>
            <w:tcW w:w="1228" w:type="dxa"/>
            <w:vMerge w:val="continue"/>
            <w:vAlign w:val="center"/>
          </w:tcPr>
          <w:p>
            <w:pPr>
              <w:spacing w:line="240" w:lineRule="exact"/>
              <w:jc w:val="center"/>
              <w:rPr>
                <w:rFonts w:ascii="Times New Roman" w:hAnsi="Times New Roman"/>
                <w:sz w:val="18"/>
                <w:szCs w:val="18"/>
              </w:rPr>
            </w:pPr>
          </w:p>
        </w:tc>
        <w:tc>
          <w:tcPr>
            <w:tcW w:w="1593" w:type="dxa"/>
            <w:vMerge w:val="continue"/>
            <w:vAlign w:val="center"/>
          </w:tcPr>
          <w:p>
            <w:pPr>
              <w:spacing w:line="240" w:lineRule="exact"/>
              <w:jc w:val="center"/>
              <w:rPr>
                <w:rFonts w:ascii="Times New Roman" w:hAnsi="Times New Roman"/>
                <w:bCs/>
                <w:sz w:val="18"/>
                <w:szCs w:val="18"/>
              </w:rPr>
            </w:pPr>
          </w:p>
        </w:tc>
        <w:tc>
          <w:tcPr>
            <w:tcW w:w="1842" w:type="dxa"/>
            <w:vAlign w:val="center"/>
          </w:tcPr>
          <w:p>
            <w:pPr>
              <w:spacing w:line="240" w:lineRule="exact"/>
              <w:jc w:val="center"/>
              <w:rPr>
                <w:rFonts w:ascii="Times New Roman" w:hAnsi="Times New Roman"/>
                <w:bCs/>
                <w:sz w:val="18"/>
                <w:szCs w:val="18"/>
              </w:rPr>
            </w:pPr>
            <w:r>
              <w:rPr>
                <w:rFonts w:ascii="Times New Roman" w:hAnsi="Times New Roman"/>
                <w:bCs/>
                <w:sz w:val="18"/>
                <w:szCs w:val="18"/>
              </w:rPr>
              <w:t>10</w:t>
            </w:r>
          </w:p>
        </w:tc>
        <w:tc>
          <w:tcPr>
            <w:tcW w:w="2710" w:type="dxa"/>
            <w:vAlign w:val="center"/>
          </w:tcPr>
          <w:p>
            <w:pPr>
              <w:spacing w:line="240" w:lineRule="exact"/>
              <w:jc w:val="center"/>
              <w:rPr>
                <w:rFonts w:ascii="Times New Roman" w:hAnsi="Times New Roman"/>
                <w:bCs/>
                <w:sz w:val="18"/>
                <w:szCs w:val="18"/>
              </w:rPr>
            </w:pPr>
            <w:r>
              <w:rPr>
                <w:rFonts w:ascii="Times New Roman" w:hAnsi="Times New Roman"/>
                <w:bCs/>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44" w:type="dxa"/>
            <w:vAlign w:val="center"/>
          </w:tcPr>
          <w:p>
            <w:pPr>
              <w:spacing w:line="240" w:lineRule="exact"/>
              <w:jc w:val="center"/>
              <w:rPr>
                <w:rFonts w:ascii="Times New Roman" w:hAnsi="Times New Roman"/>
                <w:sz w:val="18"/>
                <w:szCs w:val="18"/>
              </w:rPr>
            </w:pPr>
            <w:r>
              <w:rPr>
                <w:rFonts w:ascii="Times New Roman" w:hAnsi="Times New Roman"/>
                <w:sz w:val="18"/>
                <w:szCs w:val="18"/>
              </w:rPr>
              <w:t xml:space="preserve">  ﹥4.00~5.00</w:t>
            </w:r>
          </w:p>
        </w:tc>
        <w:tc>
          <w:tcPr>
            <w:tcW w:w="1228" w:type="dxa"/>
            <w:vMerge w:val="continue"/>
            <w:vAlign w:val="center"/>
          </w:tcPr>
          <w:p>
            <w:pPr>
              <w:spacing w:line="240" w:lineRule="exact"/>
              <w:jc w:val="center"/>
              <w:rPr>
                <w:rFonts w:ascii="Times New Roman" w:hAnsi="Times New Roman"/>
                <w:sz w:val="18"/>
                <w:szCs w:val="18"/>
              </w:rPr>
            </w:pPr>
          </w:p>
        </w:tc>
        <w:tc>
          <w:tcPr>
            <w:tcW w:w="1593" w:type="dxa"/>
            <w:vMerge w:val="continue"/>
            <w:vAlign w:val="center"/>
          </w:tcPr>
          <w:p>
            <w:pPr>
              <w:spacing w:line="240" w:lineRule="exact"/>
              <w:jc w:val="center"/>
              <w:rPr>
                <w:rFonts w:ascii="Times New Roman" w:hAnsi="Times New Roman"/>
                <w:bCs/>
                <w:sz w:val="18"/>
                <w:szCs w:val="18"/>
              </w:rPr>
            </w:pPr>
          </w:p>
        </w:tc>
        <w:tc>
          <w:tcPr>
            <w:tcW w:w="1842" w:type="dxa"/>
            <w:vAlign w:val="center"/>
          </w:tcPr>
          <w:p>
            <w:pPr>
              <w:spacing w:line="240" w:lineRule="exact"/>
              <w:jc w:val="center"/>
              <w:rPr>
                <w:rFonts w:ascii="Times New Roman" w:hAnsi="Times New Roman"/>
                <w:bCs/>
                <w:sz w:val="18"/>
                <w:szCs w:val="18"/>
              </w:rPr>
            </w:pPr>
            <w:r>
              <w:rPr>
                <w:rFonts w:ascii="Times New Roman" w:hAnsi="Times New Roman"/>
                <w:bCs/>
                <w:sz w:val="18"/>
                <w:szCs w:val="18"/>
              </w:rPr>
              <w:t>5</w:t>
            </w:r>
          </w:p>
        </w:tc>
        <w:tc>
          <w:tcPr>
            <w:tcW w:w="2710" w:type="dxa"/>
            <w:vAlign w:val="center"/>
          </w:tcPr>
          <w:p>
            <w:pPr>
              <w:spacing w:line="240" w:lineRule="exact"/>
              <w:jc w:val="center"/>
              <w:rPr>
                <w:rFonts w:ascii="Times New Roman" w:hAnsi="Times New Roman"/>
                <w:bCs/>
                <w:sz w:val="18"/>
                <w:szCs w:val="18"/>
              </w:rPr>
            </w:pPr>
            <w:r>
              <w:rPr>
                <w:rFonts w:ascii="Times New Roman" w:hAnsi="Times New Roman"/>
                <w:bCs/>
                <w:sz w:val="18"/>
                <w:szCs w:val="18"/>
              </w:rPr>
              <w:t>9.5</w:t>
            </w:r>
          </w:p>
        </w:tc>
      </w:tr>
    </w:tbl>
    <w:p>
      <w:pPr>
        <w:rPr>
          <w:bCs/>
          <w:color w:val="000000"/>
          <w:sz w:val="18"/>
          <w:szCs w:val="18"/>
        </w:rPr>
      </w:pPr>
    </w:p>
    <w:p>
      <w:pPr>
        <w:rPr>
          <w:rFonts w:ascii="黑体" w:hAnsi="黑体" w:eastAsia="黑体"/>
          <w:bCs/>
        </w:rPr>
      </w:pPr>
      <w:r>
        <w:rPr>
          <w:rFonts w:ascii="Times New Roman" w:hAnsi="Times New Roman" w:eastAsia="黑体"/>
          <w:bCs/>
        </w:rPr>
        <w:t xml:space="preserve">1.5.2 </w:t>
      </w:r>
      <w:r>
        <w:rPr>
          <w:rFonts w:hint="eastAsia" w:ascii="黑体" w:hAnsi="黑体" w:eastAsia="黑体"/>
          <w:bCs/>
        </w:rPr>
        <w:t xml:space="preserve"> </w:t>
      </w:r>
      <w:r>
        <w:rPr>
          <w:rFonts w:hint="eastAsia" w:ascii="黑体" w:hAnsi="黑体" w:eastAsia="黑体" w:cstheme="minorEastAsia"/>
          <w:bCs/>
        </w:rPr>
        <w:t>平行试验</w:t>
      </w:r>
    </w:p>
    <w:p>
      <w:pPr>
        <w:ind w:left="210"/>
        <w:rPr>
          <w:rFonts w:hAnsi="宋体"/>
        </w:rPr>
      </w:pPr>
      <w:r>
        <w:rPr>
          <w:rFonts w:hint="eastAsia" w:hAnsi="宋体"/>
        </w:rPr>
        <w:t xml:space="preserve">    独立地进行两次测定，取其平均值。</w:t>
      </w:r>
    </w:p>
    <w:p>
      <w:pPr>
        <w:rPr>
          <w:rFonts w:ascii="黑体" w:hAnsi="黑体" w:eastAsia="黑体"/>
        </w:rPr>
      </w:pPr>
      <w:r>
        <w:rPr>
          <w:rFonts w:ascii="Times New Roman" w:hAnsi="Times New Roman" w:eastAsia="黑体"/>
          <w:bCs/>
        </w:rPr>
        <w:t>1.5.3</w:t>
      </w:r>
      <w:r>
        <w:rPr>
          <w:rFonts w:hint="eastAsia" w:ascii="黑体" w:hAnsi="黑体" w:eastAsia="黑体"/>
          <w:bCs/>
        </w:rPr>
        <w:t xml:space="preserve">  </w:t>
      </w:r>
      <w:r>
        <w:rPr>
          <w:rFonts w:hint="eastAsia" w:ascii="黑体" w:hAnsi="黑体" w:eastAsia="黑体" w:cstheme="minorEastAsia"/>
          <w:bCs/>
        </w:rPr>
        <w:t>空白实验</w:t>
      </w:r>
    </w:p>
    <w:p>
      <w:pPr>
        <w:ind w:left="210" w:firstLine="420" w:firstLineChars="200"/>
        <w:rPr>
          <w:rFonts w:hAnsi="宋体"/>
        </w:rPr>
      </w:pPr>
      <w:r>
        <w:rPr>
          <w:rFonts w:hint="eastAsia" w:hAnsi="宋体"/>
        </w:rPr>
        <w:t>随同试料做空白试验。</w:t>
      </w:r>
    </w:p>
    <w:p>
      <w:pPr>
        <w:rPr>
          <w:rFonts w:ascii="黑体" w:hAnsi="黑体" w:eastAsia="黑体" w:cstheme="minorEastAsia"/>
          <w:bCs/>
        </w:rPr>
      </w:pPr>
      <w:r>
        <w:rPr>
          <w:rFonts w:ascii="Times New Roman" w:hAnsi="Times New Roman" w:eastAsia="黑体"/>
          <w:bCs/>
        </w:rPr>
        <w:t>1.5.4</w:t>
      </w:r>
      <w:r>
        <w:rPr>
          <w:rFonts w:hint="eastAsia" w:ascii="黑体" w:hAnsi="黑体" w:eastAsia="黑体"/>
          <w:bCs/>
        </w:rPr>
        <w:t xml:space="preserve">  </w:t>
      </w:r>
      <w:r>
        <w:rPr>
          <w:rFonts w:hint="eastAsia" w:ascii="黑体" w:hAnsi="黑体" w:eastAsia="黑体" w:cstheme="minorEastAsia"/>
          <w:bCs/>
        </w:rPr>
        <w:t>测定</w:t>
      </w:r>
    </w:p>
    <w:p>
      <w:pPr>
        <w:rPr>
          <w:rFonts w:hAnsi="宋体"/>
        </w:rPr>
      </w:pPr>
      <w:r>
        <w:rPr>
          <w:rFonts w:ascii="Times New Roman" w:hAnsi="Times New Roman"/>
        </w:rPr>
        <w:t>1.5.4.1</w:t>
      </w:r>
      <w:r>
        <w:rPr>
          <w:rFonts w:hint="eastAsia" w:hAnsi="宋体"/>
        </w:rPr>
        <w:t xml:space="preserve">  </w:t>
      </w:r>
      <w:r>
        <w:rPr>
          <w:rFonts w:ascii="Times New Roman" w:hAnsi="Times New Roman"/>
        </w:rPr>
        <w:t>将试料（1.5.1）置于250 mL烧杯中，用少许水润湿，加入10 mL盐酸（1.2.4），4~6滴氢氟酸（1.2.3）（根据样品中硅含量加入），低温加热溶解至体积剩约5 mL，取下，稍冷，加入5 mL硝酸（1.2.5），低温溶解至体积剩约2 mL，取下，稍冷。加入5 mL高氯酸（1.2.7），盖上表面皿，继续加热至冒高氯酸浓白烟，若有不溶物，滴加硝酸（1.2.5），至试料溶解完全，打开表面皿继续冒烟至湿盐状，取下，稍冷。加入10 mL盐酸（1.2.4），用水吹洗表面皿及杯壁，加热煮沸使可溶性盐类溶解，取下，冷却至室温，用盐酸（1.2.9）吹洗杯壁并移入100 mL容量瓶中，继续用水稀释至刻度，混匀</w:t>
      </w:r>
      <w:r>
        <w:rPr>
          <w:rFonts w:ascii="宋体" w:hAnsi="宋体"/>
        </w:rPr>
        <w:t>,</w:t>
      </w:r>
      <w:r>
        <w:rPr>
          <w:rFonts w:ascii="Times New Roman" w:hAnsi="Times New Roman"/>
        </w:rPr>
        <w:t xml:space="preserve"> 澄清。</w:t>
      </w:r>
    </w:p>
    <w:p>
      <w:pPr>
        <w:rPr>
          <w:rFonts w:hAnsi="宋体"/>
        </w:rPr>
      </w:pPr>
      <w:r>
        <w:rPr>
          <w:rFonts w:ascii="Times New Roman" w:hAnsi="Times New Roman"/>
        </w:rPr>
        <w:t>1.5.4.2</w:t>
      </w:r>
      <w:r>
        <w:rPr>
          <w:rFonts w:hint="eastAsia" w:hAnsi="宋体"/>
        </w:rPr>
        <w:t xml:space="preserve">  根据表</w:t>
      </w:r>
      <w:r>
        <w:rPr>
          <w:rFonts w:ascii="Times New Roman" w:hAnsi="Times New Roman"/>
        </w:rPr>
        <w:t>1</w:t>
      </w:r>
      <w:r>
        <w:rPr>
          <w:rFonts w:hint="eastAsia" w:hAnsi="宋体"/>
        </w:rPr>
        <w:t>分取试液，置于</w:t>
      </w:r>
      <w:r>
        <w:rPr>
          <w:rFonts w:ascii="Times New Roman" w:hAnsi="Times New Roman"/>
        </w:rPr>
        <w:t>100 mL</w:t>
      </w:r>
      <w:r>
        <w:rPr>
          <w:rFonts w:hint="eastAsia" w:hAnsi="宋体"/>
        </w:rPr>
        <w:t>容量瓶中，</w:t>
      </w:r>
      <w:r>
        <w:rPr>
          <w:rFonts w:hint="eastAsia"/>
        </w:rPr>
        <w:t>并补加相应体积的</w:t>
      </w:r>
      <w:r>
        <w:rPr>
          <w:rFonts w:hint="eastAsia" w:hAnsi="宋体"/>
        </w:rPr>
        <w:t>盐酸（</w:t>
      </w:r>
      <w:r>
        <w:rPr>
          <w:rFonts w:ascii="Times New Roman" w:hAnsi="Times New Roman"/>
        </w:rPr>
        <w:t>1.2.4</w:t>
      </w:r>
      <w:r>
        <w:rPr>
          <w:rFonts w:hint="eastAsia" w:hAnsi="宋体"/>
        </w:rPr>
        <w:t>），用水稀释至刻度，混匀。</w:t>
      </w:r>
    </w:p>
    <w:p>
      <w:pPr>
        <w:rPr>
          <w:rFonts w:hAnsi="宋体"/>
        </w:rPr>
      </w:pPr>
      <w:r>
        <w:rPr>
          <w:rFonts w:ascii="Times New Roman" w:hAnsi="Times New Roman" w:eastAsia="黑体"/>
          <w:bCs/>
        </w:rPr>
        <w:t>1.5.4.3</w:t>
      </w:r>
      <w:r>
        <w:rPr>
          <w:rFonts w:ascii="Times New Roman" w:hAnsi="Times New Roman"/>
        </w:rPr>
        <w:t xml:space="preserve"> </w:t>
      </w:r>
      <w:r>
        <w:rPr>
          <w:rFonts w:hint="eastAsia" w:hAnsi="宋体"/>
        </w:rPr>
        <w:t xml:space="preserve"> 使用空气－乙炔火焰，于原子吸收光谱仪波长</w:t>
      </w:r>
      <w:r>
        <w:rPr>
          <w:rFonts w:ascii="Times New Roman" w:hAnsi="Times New Roman"/>
        </w:rPr>
        <w:t>223.1 nm</w:t>
      </w:r>
      <w:r>
        <w:rPr>
          <w:rFonts w:hint="eastAsia" w:hAnsi="宋体"/>
        </w:rPr>
        <w:t>处。与标准溶液系列同时，以水调零，测量试液中铋的吸光度，减去空白试验溶液的吸光度，从工作曲线上查出相应的铋的质量浓度。</w:t>
      </w:r>
    </w:p>
    <w:p>
      <w:pPr>
        <w:rPr>
          <w:rFonts w:ascii="黑体" w:hAnsi="黑体" w:eastAsia="黑体" w:cstheme="minorEastAsia"/>
          <w:bCs/>
        </w:rPr>
      </w:pPr>
      <w:r>
        <w:rPr>
          <w:rFonts w:ascii="Times New Roman" w:hAnsi="Times New Roman" w:eastAsia="黑体"/>
          <w:bCs/>
        </w:rPr>
        <w:t>1.5.5</w:t>
      </w:r>
      <w:r>
        <w:rPr>
          <w:rFonts w:hint="eastAsia" w:ascii="黑体" w:hAnsi="黑体" w:eastAsia="黑体"/>
          <w:bCs/>
        </w:rPr>
        <w:t xml:space="preserve">  </w:t>
      </w:r>
      <w:r>
        <w:rPr>
          <w:rFonts w:hint="eastAsia" w:ascii="黑体" w:hAnsi="黑体" w:eastAsia="黑体" w:cstheme="minorEastAsia"/>
          <w:bCs/>
        </w:rPr>
        <w:t>工作曲线的绘制</w:t>
      </w:r>
    </w:p>
    <w:p>
      <w:pPr>
        <w:rPr>
          <w:rFonts w:hAnsi="宋体"/>
        </w:rPr>
      </w:pPr>
      <w:r>
        <w:rPr>
          <w:rFonts w:ascii="Times New Roman" w:hAnsi="Times New Roman"/>
        </w:rPr>
        <w:t>1.5.5.1</w:t>
      </w:r>
      <w:r>
        <w:rPr>
          <w:rFonts w:hint="eastAsia" w:hAnsi="宋体"/>
        </w:rPr>
        <w:t xml:space="preserve">  移取</w:t>
      </w:r>
      <w:r>
        <w:rPr>
          <w:rFonts w:ascii="Times New Roman" w:hAnsi="Times New Roman"/>
        </w:rPr>
        <w:t>0 mL、2.00 mL、4.00 mL、6.00 mL、8.00 mL、10.00 mL</w:t>
      </w:r>
      <w:r>
        <w:rPr>
          <w:rFonts w:hint="eastAsia" w:hAnsi="宋体"/>
        </w:rPr>
        <w:t>铋标准溶液（</w:t>
      </w:r>
      <w:r>
        <w:rPr>
          <w:rFonts w:ascii="Times New Roman" w:hAnsi="Times New Roman"/>
        </w:rPr>
        <w:t>1.2.13</w:t>
      </w:r>
      <w:r>
        <w:rPr>
          <w:rFonts w:hint="eastAsia" w:hAnsi="宋体"/>
        </w:rPr>
        <w:t>），于一组</w:t>
      </w:r>
      <w:r>
        <w:rPr>
          <w:rFonts w:ascii="Times New Roman" w:hAnsi="Times New Roman"/>
        </w:rPr>
        <w:t>100 mL</w:t>
      </w:r>
      <w:r>
        <w:rPr>
          <w:rFonts w:hint="eastAsia" w:hAnsi="宋体"/>
        </w:rPr>
        <w:t>容量瓶中，各加入</w:t>
      </w:r>
      <w:r>
        <w:rPr>
          <w:rFonts w:ascii="Times New Roman" w:hAnsi="Times New Roman"/>
        </w:rPr>
        <w:t>10 mL</w:t>
      </w:r>
      <w:r>
        <w:rPr>
          <w:rFonts w:hint="eastAsia" w:hAnsi="宋体"/>
        </w:rPr>
        <w:t>盐酸（</w:t>
      </w:r>
      <w:r>
        <w:rPr>
          <w:rFonts w:ascii="Times New Roman" w:hAnsi="Times New Roman"/>
        </w:rPr>
        <w:t>1.2.4</w:t>
      </w:r>
      <w:r>
        <w:rPr>
          <w:rFonts w:hint="eastAsia" w:hAnsi="宋体"/>
        </w:rPr>
        <w:t>），用水稀释至刻度，混匀。</w:t>
      </w:r>
    </w:p>
    <w:p>
      <w:pPr>
        <w:rPr>
          <w:rFonts w:hAnsi="宋体"/>
        </w:rPr>
      </w:pPr>
      <w:r>
        <w:rPr>
          <w:rFonts w:ascii="Times New Roman" w:hAnsi="Times New Roman"/>
        </w:rPr>
        <w:t>1.5.5.2</w:t>
      </w:r>
      <w:r>
        <w:rPr>
          <w:rFonts w:hint="eastAsia" w:hAnsi="宋体"/>
        </w:rPr>
        <w:t xml:space="preserve">  使用空气－乙炔火焰，于原子吸收光谱仪波长</w:t>
      </w:r>
      <w:r>
        <w:rPr>
          <w:rFonts w:ascii="Times New Roman" w:hAnsi="Times New Roman"/>
        </w:rPr>
        <w:t>223.1 nm</w:t>
      </w:r>
      <w:r>
        <w:rPr>
          <w:rFonts w:hint="eastAsia" w:hAnsi="宋体"/>
        </w:rPr>
        <w:t>处，以水调零，测量系列标准溶液的吸光度，减去系列标准溶液中“零”浓度溶液的吸光度，以铋的浓度为橫坐标，   吸光度为纵坐标绘制工作曲线。</w:t>
      </w:r>
    </w:p>
    <w:p>
      <w:pPr>
        <w:outlineLvl w:val="0"/>
        <w:rPr>
          <w:rFonts w:ascii="黑体" w:hAnsi="黑体" w:eastAsia="黑体"/>
        </w:rPr>
      </w:pPr>
      <w:r>
        <w:rPr>
          <w:rFonts w:ascii="Times New Roman" w:hAnsi="Times New Roman" w:eastAsia="黑体"/>
        </w:rPr>
        <w:t>1.6</w:t>
      </w:r>
      <w:r>
        <w:rPr>
          <w:rFonts w:hint="eastAsia" w:ascii="黑体" w:hAnsi="黑体" w:eastAsia="黑体"/>
        </w:rPr>
        <w:t xml:space="preserve">  试验数据处理</w:t>
      </w:r>
    </w:p>
    <w:p>
      <w:pPr>
        <w:ind w:firstLine="420" w:firstLineChars="200"/>
      </w:pPr>
      <w:r>
        <w:t>铋含量以铋的质量分数</w:t>
      </w:r>
      <w:r>
        <w:rPr>
          <w:rFonts w:ascii="Times New Roman" w:hAnsi="Times New Roman" w:eastAsiaTheme="minorEastAsia"/>
          <w:i/>
          <w:szCs w:val="21"/>
        </w:rPr>
        <w:t>w</w:t>
      </w:r>
      <w:r>
        <w:rPr>
          <w:rFonts w:ascii="Times New Roman" w:hAnsi="Times New Roman" w:eastAsiaTheme="minorEastAsia"/>
          <w:iCs/>
          <w:szCs w:val="21"/>
          <w:vertAlign w:val="subscript"/>
        </w:rPr>
        <w:t>Bi</w:t>
      </w:r>
      <w:r>
        <w:rPr>
          <w:szCs w:val="21"/>
        </w:rPr>
        <w:t>计</w:t>
      </w:r>
      <w:r>
        <w:t>，数值以%表示，按公式(1)计算：</w:t>
      </w:r>
    </w:p>
    <w:p>
      <w:pPr>
        <w:jc w:val="center"/>
        <w:rPr>
          <w:color w:val="000000"/>
          <w:sz w:val="24"/>
        </w:rPr>
      </w:pPr>
      <w:r>
        <w:rPr>
          <w:rFonts w:eastAsiaTheme="minorEastAsia"/>
          <w:i/>
          <w:sz w:val="28"/>
          <w:szCs w:val="28"/>
        </w:rPr>
        <w:t xml:space="preserve">               </w:t>
      </w:r>
      <w:r>
        <w:rPr>
          <w:rFonts w:ascii="Times New Roman" w:hAnsi="Times New Roman" w:eastAsiaTheme="minorEastAsia"/>
          <w:i/>
          <w:szCs w:val="21"/>
        </w:rPr>
        <w:t>w</w:t>
      </w:r>
      <w:r>
        <w:rPr>
          <w:rFonts w:ascii="Times New Roman" w:hAnsi="Times New Roman" w:eastAsiaTheme="minorEastAsia"/>
          <w:iCs/>
          <w:szCs w:val="21"/>
          <w:vertAlign w:val="subscript"/>
        </w:rPr>
        <w:t>Bi</w:t>
      </w:r>
      <w:r>
        <w:rPr>
          <w:rFonts w:ascii="Times New Roman" w:hAnsi="Times New Roman"/>
          <w:color w:val="000000"/>
          <w:szCs w:val="21"/>
        </w:rPr>
        <w:fldChar w:fldCharType="begin"/>
      </w:r>
      <w:r>
        <w:rPr>
          <w:rFonts w:ascii="Times New Roman" w:hAnsi="Times New Roman"/>
          <w:color w:val="000000"/>
          <w:szCs w:val="21"/>
        </w:rPr>
        <w:instrText xml:space="preserve"> QUOTE </w:instrText>
      </w:r>
      <w:r>
        <w:rPr>
          <w:rFonts w:ascii="Times New Roman" w:hAnsi="Times New Roman"/>
          <w:color w:val="000000"/>
          <w:szCs w:val="21"/>
        </w:rPr>
        <w:drawing>
          <wp:inline distT="0" distB="0" distL="114300" distR="114300">
            <wp:extent cx="4133850" cy="806450"/>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4" cstate="print">
                      <a:clrChange>
                        <a:clrFrom>
                          <a:srgbClr val="FFFFFF"/>
                        </a:clrFrom>
                        <a:clrTo>
                          <a:srgbClr val="FFFFFF">
                            <a:alpha val="0"/>
                          </a:srgbClr>
                        </a:clrTo>
                      </a:clrChange>
                    </a:blip>
                    <a:stretch>
                      <a:fillRect/>
                    </a:stretch>
                  </pic:blipFill>
                  <pic:spPr>
                    <a:xfrm>
                      <a:off x="0" y="0"/>
                      <a:ext cx="4133850" cy="806450"/>
                    </a:xfrm>
                    <a:prstGeom prst="rect">
                      <a:avLst/>
                    </a:prstGeom>
                    <a:noFill/>
                    <a:ln>
                      <a:noFill/>
                    </a:ln>
                  </pic:spPr>
                </pic:pic>
              </a:graphicData>
            </a:graphic>
          </wp:inline>
        </w:drawing>
      </w:r>
      <w:r>
        <w:rPr>
          <w:rFonts w:ascii="Times New Roman" w:hAnsi="Times New Roman"/>
          <w:color w:val="000000"/>
          <w:szCs w:val="21"/>
        </w:rPr>
        <w:fldChar w:fldCharType="end"/>
      </w:r>
      <w:r>
        <w:rPr>
          <w:rFonts w:ascii="Times New Roman" w:hAnsi="Times New Roman"/>
          <w:color w:val="000000"/>
          <w:szCs w:val="21"/>
        </w:rPr>
        <w:t xml:space="preserve"> = </w:t>
      </w:r>
      <w:r>
        <w:rPr>
          <w:rFonts w:ascii="Times New Roman" w:hAnsi="Times New Roman"/>
          <w:color w:val="000000"/>
          <w:position w:val="-30"/>
          <w:szCs w:val="21"/>
        </w:rPr>
        <w:object>
          <v:shape id="_x0000_i1025" o:spt="75" type="#_x0000_t75" style="height:36.45pt;width:131.8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color w:val="000000"/>
          <w:szCs w:val="21"/>
        </w:rPr>
        <w:t xml:space="preserve">……………………………… </w:t>
      </w:r>
      <w:r>
        <w:rPr>
          <w:rFonts w:hint="eastAsia" w:ascii="宋体" w:hAnsi="宋体" w:cs="宋体"/>
          <w:szCs w:val="21"/>
        </w:rPr>
        <w:t>⑴</w:t>
      </w:r>
    </w:p>
    <w:p>
      <w:pPr>
        <w:ind w:firstLine="420" w:firstLineChars="200"/>
      </w:pPr>
      <w:r>
        <w:t>式中：</w:t>
      </w:r>
    </w:p>
    <w:p>
      <w:pPr>
        <w:adjustRightInd w:val="0"/>
        <w:snapToGrid w:val="0"/>
        <w:spacing w:before="50" w:after="50"/>
        <w:ind w:firstLine="444" w:firstLineChars="200"/>
        <w:rPr>
          <w:spacing w:val="6"/>
        </w:rPr>
      </w:pPr>
      <w:r>
        <w:rPr>
          <w:rFonts w:ascii="Times New Roman" w:hAnsi="Times New Roman"/>
          <w:i/>
          <w:spacing w:val="6"/>
        </w:rPr>
        <w:t>ρ</w:t>
      </w:r>
      <w:r>
        <w:rPr>
          <w:i/>
          <w:spacing w:val="6"/>
        </w:rPr>
        <w:t xml:space="preserve">  </w:t>
      </w:r>
      <w:r>
        <w:rPr>
          <w:rFonts w:ascii="Times New Roman" w:hAnsi="Times New Roman"/>
        </w:rPr>
        <w:t>——</w:t>
      </w:r>
      <w:r>
        <w:rPr>
          <w:spacing w:val="6"/>
        </w:rPr>
        <w:t>自工作曲线上查得的测定溶液中铋的质量浓度，单位为微克每毫升（</w:t>
      </w:r>
      <w:r>
        <w:rPr>
          <w:rFonts w:ascii="Times New Roman" w:hAnsi="Times New Roman"/>
          <w:spacing w:val="6"/>
        </w:rPr>
        <w:t>µg/mL</w:t>
      </w:r>
      <w:r>
        <w:rPr>
          <w:spacing w:val="6"/>
        </w:rPr>
        <w:t>）；</w:t>
      </w:r>
    </w:p>
    <w:p>
      <w:pPr>
        <w:adjustRightInd w:val="0"/>
        <w:snapToGrid w:val="0"/>
        <w:spacing w:before="50" w:after="50"/>
        <w:ind w:firstLine="444" w:firstLineChars="200"/>
        <w:rPr>
          <w:spacing w:val="6"/>
        </w:rPr>
      </w:pPr>
      <w:r>
        <w:rPr>
          <w:rFonts w:ascii="Times New Roman" w:hAnsi="Times New Roman"/>
          <w:i/>
          <w:spacing w:val="6"/>
        </w:rPr>
        <w:t>ρ</w:t>
      </w:r>
      <w:r>
        <w:rPr>
          <w:rFonts w:ascii="Times New Roman" w:hAnsi="Times New Roman"/>
          <w:spacing w:val="6"/>
          <w:vertAlign w:val="subscript"/>
        </w:rPr>
        <w:t xml:space="preserve">0  </w:t>
      </w:r>
      <w:r>
        <w:rPr>
          <w:rFonts w:ascii="Times New Roman" w:hAnsi="Times New Roman"/>
        </w:rPr>
        <w:t>——</w:t>
      </w:r>
      <w:r>
        <w:rPr>
          <w:spacing w:val="6"/>
        </w:rPr>
        <w:t>自工作曲线上查得的空白溶液中铋的质量浓度，单位为微克每毫升（</w:t>
      </w:r>
      <w:r>
        <w:rPr>
          <w:rFonts w:ascii="Times New Roman" w:hAnsi="Times New Roman"/>
          <w:spacing w:val="6"/>
        </w:rPr>
        <w:t>µg/mL</w:t>
      </w:r>
      <w:r>
        <w:rPr>
          <w:spacing w:val="6"/>
        </w:rPr>
        <w:t>）；</w:t>
      </w:r>
    </w:p>
    <w:p>
      <w:pPr>
        <w:adjustRightInd w:val="0"/>
        <w:snapToGrid w:val="0"/>
        <w:spacing w:before="50" w:after="50"/>
        <w:ind w:firstLine="420" w:firstLineChars="200"/>
      </w:pPr>
      <w:r>
        <w:rPr>
          <w:rFonts w:ascii="Times New Roman" w:hAnsi="Times New Roman"/>
          <w:i/>
        </w:rPr>
        <w:t>V</w:t>
      </w:r>
      <w:r>
        <w:rPr>
          <w:rFonts w:ascii="Times New Roman" w:hAnsi="Times New Roman"/>
          <w:i/>
          <w:vertAlign w:val="subscript"/>
        </w:rPr>
        <w:t xml:space="preserve">    </w:t>
      </w:r>
      <w:r>
        <w:rPr>
          <w:rFonts w:ascii="Times New Roman" w:hAnsi="Times New Roman"/>
        </w:rPr>
        <w:t>——</w:t>
      </w:r>
      <w:r>
        <w:t>试液总体积，单位为毫升（</w:t>
      </w:r>
      <w:r>
        <w:rPr>
          <w:rFonts w:ascii="Times New Roman" w:hAnsi="Times New Roman"/>
        </w:rPr>
        <w:t>mL</w:t>
      </w:r>
      <w:r>
        <w:t>）；</w:t>
      </w:r>
    </w:p>
    <w:p>
      <w:pPr>
        <w:adjustRightInd w:val="0"/>
        <w:snapToGrid w:val="0"/>
        <w:spacing w:before="50" w:after="50"/>
        <w:ind w:firstLine="420" w:firstLineChars="200"/>
      </w:pPr>
      <w:r>
        <w:rPr>
          <w:rFonts w:ascii="Times New Roman" w:hAnsi="Times New Roman"/>
          <w:i/>
        </w:rPr>
        <w:t>V</w:t>
      </w:r>
      <w:r>
        <w:rPr>
          <w:rFonts w:ascii="Times New Roman" w:hAnsi="Times New Roman"/>
          <w:i/>
          <w:vertAlign w:val="subscript"/>
        </w:rPr>
        <w:t>2</w:t>
      </w:r>
      <w:r>
        <w:rPr>
          <w:i/>
          <w:vertAlign w:val="subscript"/>
        </w:rPr>
        <w:t xml:space="preserve">   </w:t>
      </w:r>
      <w:r>
        <w:rPr>
          <w:rFonts w:ascii="Times New Roman" w:hAnsi="Times New Roman"/>
        </w:rPr>
        <w:t>——</w:t>
      </w:r>
      <w:r>
        <w:t>测定试液的体积，单位为毫升（</w:t>
      </w:r>
      <w:r>
        <w:rPr>
          <w:rFonts w:ascii="Times New Roman" w:hAnsi="Times New Roman"/>
        </w:rPr>
        <w:t>mL</w:t>
      </w:r>
      <w:r>
        <w:t>）；</w:t>
      </w:r>
    </w:p>
    <w:p>
      <w:pPr>
        <w:adjustRightInd w:val="0"/>
        <w:snapToGrid w:val="0"/>
        <w:spacing w:before="50" w:after="50"/>
        <w:ind w:firstLine="420" w:firstLineChars="200"/>
      </w:pPr>
      <w:r>
        <w:rPr>
          <w:rFonts w:ascii="Times New Roman" w:hAnsi="Times New Roman"/>
        </w:rPr>
        <w:t>m</w:t>
      </w:r>
      <w:r>
        <w:t xml:space="preserve">  </w:t>
      </w:r>
      <w:r>
        <w:rPr>
          <w:rFonts w:ascii="Times New Roman" w:hAnsi="Times New Roman"/>
        </w:rPr>
        <w:t>——</w:t>
      </w:r>
      <w:r>
        <w:t>试料的质量，单位为克（</w:t>
      </w:r>
      <w:r>
        <w:rPr>
          <w:rFonts w:ascii="Times New Roman" w:hAnsi="Times New Roman"/>
        </w:rPr>
        <w:t>g</w:t>
      </w:r>
      <w:r>
        <w:t>）；</w:t>
      </w:r>
    </w:p>
    <w:p>
      <w:pPr>
        <w:adjustRightInd w:val="0"/>
        <w:snapToGrid w:val="0"/>
        <w:spacing w:before="50" w:after="50"/>
        <w:ind w:firstLine="420" w:firstLineChars="200"/>
      </w:pPr>
      <w:r>
        <w:rPr>
          <w:rFonts w:ascii="Times New Roman" w:hAnsi="Times New Roman"/>
          <w:i/>
        </w:rPr>
        <w:t>V</w:t>
      </w:r>
      <w:r>
        <w:rPr>
          <w:rFonts w:ascii="Times New Roman" w:hAnsi="Times New Roman"/>
          <w:i/>
          <w:vertAlign w:val="subscript"/>
        </w:rPr>
        <w:t>1</w:t>
      </w:r>
      <w:r>
        <w:rPr>
          <w:i/>
        </w:rPr>
        <w:t xml:space="preserve"> </w:t>
      </w:r>
      <w:r>
        <w:rPr>
          <w:i/>
          <w:vertAlign w:val="subscript"/>
        </w:rPr>
        <w:t xml:space="preserve"> </w:t>
      </w:r>
      <w:r>
        <w:rPr>
          <w:rFonts w:ascii="Times New Roman" w:hAnsi="Times New Roman"/>
        </w:rPr>
        <w:t>——</w:t>
      </w:r>
      <w:r>
        <w:t>分取试液的体积，单位为毫升（</w:t>
      </w:r>
      <w:r>
        <w:rPr>
          <w:rFonts w:ascii="Times New Roman" w:hAnsi="Times New Roman"/>
        </w:rPr>
        <w:t>mL</w:t>
      </w:r>
      <w:r>
        <w:t>）；</w:t>
      </w:r>
    </w:p>
    <w:p>
      <w:pPr>
        <w:ind w:firstLine="444" w:firstLineChars="200"/>
        <w:rPr>
          <w:rFonts w:ascii="Times New Roman" w:hAnsi="Times New Roman"/>
          <w:spacing w:val="6"/>
        </w:rPr>
      </w:pPr>
      <w:r>
        <w:rPr>
          <w:rFonts w:ascii="Times New Roman" w:hAnsi="Times New Roman"/>
          <w:spacing w:val="6"/>
        </w:rPr>
        <w:t>当计算结果大于等于0.10%时，</w:t>
      </w:r>
      <w:r>
        <w:rPr>
          <w:rFonts w:hint="eastAsia" w:ascii="Times New Roman" w:hAnsi="Times New Roman"/>
          <w:spacing w:val="6"/>
        </w:rPr>
        <w:t>表示到</w:t>
      </w:r>
      <w:r>
        <w:rPr>
          <w:rFonts w:ascii="Times New Roman" w:hAnsi="Times New Roman"/>
          <w:spacing w:val="6"/>
        </w:rPr>
        <w:t>小数点后两位，当计算结果小于0.10%时，</w:t>
      </w:r>
      <w:r>
        <w:rPr>
          <w:rFonts w:hint="eastAsia" w:ascii="Times New Roman" w:hAnsi="Times New Roman"/>
          <w:spacing w:val="6"/>
        </w:rPr>
        <w:t>表示到</w:t>
      </w:r>
      <w:r>
        <w:rPr>
          <w:rFonts w:ascii="Times New Roman" w:hAnsi="Times New Roman"/>
          <w:spacing w:val="6"/>
        </w:rPr>
        <w:t>小数点后三位。数值修约按照GB/T 8170规定执行。</w:t>
      </w:r>
    </w:p>
    <w:p>
      <w:pPr>
        <w:rPr>
          <w:spacing w:val="6"/>
        </w:rPr>
      </w:pPr>
    </w:p>
    <w:p>
      <w:pPr>
        <w:rPr>
          <w:rFonts w:ascii="黑体" w:hAnsi="黑体" w:eastAsia="黑体"/>
          <w:szCs w:val="21"/>
        </w:rPr>
      </w:pPr>
      <w:r>
        <w:rPr>
          <w:rFonts w:ascii="Times New Roman" w:hAnsi="Times New Roman"/>
          <w:szCs w:val="21"/>
        </w:rPr>
        <w:t>2</w:t>
      </w:r>
      <w:r>
        <w:rPr>
          <w:rFonts w:hint="eastAsia" w:ascii="宋体" w:hAnsi="宋体"/>
          <w:szCs w:val="21"/>
        </w:rPr>
        <w:t xml:space="preserve">  </w:t>
      </w:r>
      <w:r>
        <w:rPr>
          <w:rFonts w:hint="eastAsia" w:ascii="黑体" w:hAnsi="黑体" w:eastAsia="黑体"/>
          <w:szCs w:val="21"/>
        </w:rPr>
        <w:t>结果与讨论</w:t>
      </w:r>
    </w:p>
    <w:p>
      <w:pPr>
        <w:rPr>
          <w:rFonts w:ascii="宋体" w:hAnsi="宋体"/>
          <w:szCs w:val="21"/>
        </w:rPr>
      </w:pPr>
    </w:p>
    <w:p>
      <w:pPr>
        <w:pStyle w:val="59"/>
        <w:ind w:firstLine="0" w:firstLineChars="0"/>
        <w:rPr>
          <w:rFonts w:hAnsi="宋体"/>
          <w:kern w:val="2"/>
        </w:rPr>
      </w:pPr>
      <w:r>
        <w:rPr>
          <w:rFonts w:ascii="Times New Roman" w:cs="Times New Roman"/>
        </w:rPr>
        <w:t>2.1</w:t>
      </w:r>
      <w:r>
        <w:rPr>
          <w:rFonts w:hint="eastAsia" w:hAnsi="宋体"/>
        </w:rPr>
        <w:t xml:space="preserve">  </w:t>
      </w:r>
      <w:r>
        <w:rPr>
          <w:rFonts w:hint="eastAsia" w:ascii="黑体" w:hAnsi="黑体" w:eastAsia="黑体"/>
          <w:kern w:val="2"/>
        </w:rPr>
        <w:t>原子吸收分光光度计工作条件的选择</w:t>
      </w:r>
    </w:p>
    <w:p>
      <w:pPr>
        <w:pStyle w:val="59"/>
        <w:ind w:firstLine="0" w:firstLineChars="0"/>
        <w:rPr>
          <w:rFonts w:hAnsi="宋体"/>
        </w:rPr>
      </w:pPr>
      <w:r>
        <w:rPr>
          <w:rFonts w:ascii="Times New Roman" w:cs="Times New Roman"/>
        </w:rPr>
        <w:t>2.1.1</w:t>
      </w:r>
      <w:r>
        <w:rPr>
          <w:rFonts w:hAnsi="宋体"/>
        </w:rPr>
        <w:t xml:space="preserve"> </w:t>
      </w:r>
      <w:r>
        <w:rPr>
          <w:rFonts w:hint="eastAsia" w:hAnsi="宋体"/>
        </w:rPr>
        <w:t xml:space="preserve"> </w:t>
      </w:r>
      <w:r>
        <w:rPr>
          <w:rFonts w:hint="eastAsia" w:ascii="黑体" w:hAnsi="黑体" w:eastAsia="黑体"/>
        </w:rPr>
        <w:t>火焰原子吸收光谱仪的最佳工作条件如下</w:t>
      </w:r>
      <w:r>
        <w:rPr>
          <w:rFonts w:ascii="黑体" w:hAnsi="黑体" w:eastAsia="黑体"/>
        </w:rPr>
        <w:t>:</w:t>
      </w:r>
    </w:p>
    <w:p>
      <w:pPr>
        <w:pStyle w:val="59"/>
        <w:ind w:firstLine="630" w:firstLineChars="300"/>
        <w:rPr>
          <w:rFonts w:hAnsi="宋体"/>
        </w:rPr>
      </w:pPr>
      <w:r>
        <w:rPr>
          <w:rFonts w:hint="eastAsia" w:hAnsi="宋体"/>
        </w:rPr>
        <w:t>经试验火焰原子吸收光谱仪的最佳工作条件推荐为：选择波长</w:t>
      </w:r>
      <w:r>
        <w:rPr>
          <w:rFonts w:ascii="Times New Roman" w:cs="Times New Roman"/>
        </w:rPr>
        <w:t>223. 1 nm</w:t>
      </w:r>
      <w:r>
        <w:rPr>
          <w:rFonts w:hint="eastAsia" w:hAnsi="宋体"/>
        </w:rPr>
        <w:t>、乙炔流量</w:t>
      </w:r>
      <w:r>
        <w:rPr>
          <w:rFonts w:ascii="Times New Roman" w:cs="Times New Roman"/>
        </w:rPr>
        <w:t>1.2 L/min</w:t>
      </w:r>
      <w:r>
        <w:rPr>
          <w:rFonts w:hint="eastAsia" w:hAnsi="宋体"/>
        </w:rPr>
        <w:t>、燃烧器高度</w:t>
      </w:r>
      <w:r>
        <w:rPr>
          <w:rFonts w:ascii="Times New Roman" w:cs="Times New Roman"/>
        </w:rPr>
        <w:t>7 mm</w:t>
      </w:r>
      <w:r>
        <w:rPr>
          <w:rFonts w:hint="eastAsia" w:hAnsi="宋体"/>
        </w:rPr>
        <w:t>、灯电流</w:t>
      </w:r>
      <w:r>
        <w:rPr>
          <w:rFonts w:ascii="Times New Roman" w:cs="Times New Roman"/>
        </w:rPr>
        <w:t>3 mA</w:t>
      </w:r>
      <w:r>
        <w:rPr>
          <w:rFonts w:hint="eastAsia" w:hAnsi="宋体"/>
        </w:rPr>
        <w:t>、狭缝宽度</w:t>
      </w:r>
      <w:r>
        <w:rPr>
          <w:rFonts w:ascii="Times New Roman" w:cs="Times New Roman"/>
        </w:rPr>
        <w:t>0.2 nm</w:t>
      </w:r>
      <w:r>
        <w:rPr>
          <w:rFonts w:hint="eastAsia" w:hAnsi="宋体"/>
        </w:rPr>
        <w:t>。</w:t>
      </w:r>
    </w:p>
    <w:p>
      <w:pPr>
        <w:pStyle w:val="59"/>
        <w:ind w:firstLine="0" w:firstLineChars="0"/>
        <w:rPr>
          <w:rFonts w:hAnsi="宋体"/>
        </w:rPr>
      </w:pPr>
      <w:r>
        <w:rPr>
          <w:rFonts w:ascii="Times New Roman" w:cs="Times New Roman"/>
        </w:rPr>
        <w:t>2.1.2</w:t>
      </w:r>
      <w:r>
        <w:rPr>
          <w:rFonts w:hAnsi="宋体"/>
        </w:rPr>
        <w:t xml:space="preserve"> </w:t>
      </w:r>
      <w:r>
        <w:rPr>
          <w:rFonts w:hint="eastAsia" w:hAnsi="宋体"/>
        </w:rPr>
        <w:t xml:space="preserve"> </w:t>
      </w:r>
      <w:r>
        <w:rPr>
          <w:rFonts w:hint="eastAsia" w:ascii="黑体" w:hAnsi="黑体" w:eastAsia="黑体"/>
        </w:rPr>
        <w:t>仪器性能考察</w:t>
      </w:r>
    </w:p>
    <w:p>
      <w:pPr>
        <w:ind w:firstLine="630" w:firstLineChars="300"/>
        <w:jc w:val="left"/>
        <w:rPr>
          <w:rFonts w:ascii="宋体" w:hAnsi="宋体"/>
          <w:szCs w:val="21"/>
        </w:rPr>
      </w:pPr>
      <w:r>
        <w:rPr>
          <w:rFonts w:hint="eastAsia" w:ascii="宋体" w:hAnsi="宋体"/>
          <w:szCs w:val="21"/>
        </w:rPr>
        <w:t>原子吸收光谱仪，经调到最佳状态后，应满足下列性能要求，才适合工作。</w:t>
      </w:r>
    </w:p>
    <w:p>
      <w:pPr>
        <w:jc w:val="left"/>
        <w:rPr>
          <w:rFonts w:ascii="宋体" w:hAnsi="宋体"/>
          <w:szCs w:val="21"/>
        </w:rPr>
      </w:pPr>
      <w:r>
        <w:rPr>
          <w:rFonts w:ascii="Times New Roman" w:hAnsi="Times New Roman"/>
          <w:szCs w:val="21"/>
        </w:rPr>
        <w:t xml:space="preserve">2.1.3  </w:t>
      </w:r>
      <w:r>
        <w:rPr>
          <w:rFonts w:hint="eastAsia" w:ascii="黑体" w:hAnsi="黑体" w:eastAsia="黑体"/>
          <w:szCs w:val="21"/>
        </w:rPr>
        <w:t>特征浓度</w:t>
      </w:r>
    </w:p>
    <w:p>
      <w:pPr>
        <w:ind w:firstLine="630" w:firstLineChars="300"/>
        <w:jc w:val="left"/>
        <w:rPr>
          <w:rFonts w:ascii="宋体" w:hAnsi="宋体"/>
          <w:szCs w:val="21"/>
        </w:rPr>
      </w:pPr>
      <w:r>
        <w:rPr>
          <w:rFonts w:ascii="Times New Roman" w:hAnsi="Times New Roman"/>
          <w:szCs w:val="21"/>
        </w:rPr>
        <w:drawing>
          <wp:anchor distT="0" distB="0" distL="85090" distR="85090" simplePos="0" relativeHeight="251659264" behindDoc="0" locked="0" layoutInCell="1" allowOverlap="1">
            <wp:simplePos x="0" y="0"/>
            <wp:positionH relativeFrom="column">
              <wp:posOffset>2883535</wp:posOffset>
            </wp:positionH>
            <wp:positionV relativeFrom="paragraph">
              <wp:posOffset>23495</wp:posOffset>
            </wp:positionV>
            <wp:extent cx="855980" cy="303530"/>
            <wp:effectExtent l="0" t="0" r="1270" b="1270"/>
            <wp:wrapTight wrapText="bothSides">
              <wp:wrapPolygon>
                <wp:start x="5288" y="0"/>
                <wp:lineTo x="0" y="8134"/>
                <wp:lineTo x="0" y="13556"/>
                <wp:lineTo x="10576" y="20335"/>
                <wp:lineTo x="15864" y="20335"/>
                <wp:lineTo x="18267" y="18979"/>
                <wp:lineTo x="21151" y="10845"/>
                <wp:lineTo x="21151" y="0"/>
                <wp:lineTo x="5288" y="0"/>
              </wp:wrapPolygon>
            </wp:wrapTight>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7" cstate="print"/>
                    <a:stretch>
                      <a:fillRect/>
                    </a:stretch>
                  </pic:blipFill>
                  <pic:spPr>
                    <a:xfrm>
                      <a:off x="0" y="0"/>
                      <a:ext cx="855980" cy="303530"/>
                    </a:xfrm>
                    <a:prstGeom prst="rect">
                      <a:avLst/>
                    </a:prstGeom>
                    <a:noFill/>
                    <a:ln>
                      <a:noFill/>
                    </a:ln>
                  </pic:spPr>
                </pic:pic>
              </a:graphicData>
            </a:graphic>
          </wp:anchor>
        </w:drawing>
      </w:r>
      <w:r>
        <w:rPr>
          <w:rFonts w:hint="eastAsia" w:ascii="宋体" w:hAnsi="宋体"/>
          <w:szCs w:val="21"/>
        </w:rPr>
        <w:t>在最佳工作条件下，按照特征浓度公式（式中</w:t>
      </w:r>
      <w:r>
        <w:rPr>
          <w:rFonts w:ascii="宋体" w:hAnsi="宋体"/>
          <w:szCs w:val="21"/>
        </w:rPr>
        <w:t>:ΔC</w:t>
      </w:r>
      <w:r>
        <w:rPr>
          <w:rFonts w:hint="eastAsia" w:ascii="宋体" w:hAnsi="宋体"/>
          <w:szCs w:val="21"/>
        </w:rPr>
        <w:t>为在工作曲</w:t>
      </w:r>
    </w:p>
    <w:p>
      <w:pPr>
        <w:ind w:firstLine="630" w:firstLineChars="300"/>
        <w:jc w:val="left"/>
        <w:rPr>
          <w:rFonts w:ascii="宋体" w:hAnsi="宋体"/>
          <w:szCs w:val="21"/>
        </w:rPr>
      </w:pPr>
    </w:p>
    <w:p>
      <w:pPr>
        <w:jc w:val="left"/>
        <w:rPr>
          <w:rFonts w:ascii="宋体" w:hAnsi="宋体"/>
          <w:szCs w:val="21"/>
        </w:rPr>
      </w:pPr>
      <w:r>
        <w:rPr>
          <w:rFonts w:hint="eastAsia" w:ascii="宋体" w:hAnsi="宋体"/>
          <w:szCs w:val="21"/>
        </w:rPr>
        <w:t>线上吸光度为</w:t>
      </w:r>
      <w:r>
        <w:rPr>
          <w:rFonts w:ascii="Times New Roman" w:hAnsi="Times New Roman"/>
          <w:szCs w:val="21"/>
        </w:rPr>
        <w:t>0.10</w:t>
      </w:r>
      <w:r>
        <w:rPr>
          <w:rFonts w:hint="eastAsia" w:ascii="宋体" w:hAnsi="宋体"/>
          <w:szCs w:val="21"/>
        </w:rPr>
        <w:t>附近所对应的两个标准溶液浓度的差值，</w:t>
      </w:r>
      <w:r>
        <w:rPr>
          <w:rFonts w:ascii="宋体" w:hAnsi="宋体"/>
          <w:szCs w:val="21"/>
        </w:rPr>
        <w:t>ΔA</w:t>
      </w:r>
      <w:r>
        <w:rPr>
          <w:rFonts w:hint="eastAsia" w:ascii="宋体" w:hAnsi="宋体"/>
          <w:szCs w:val="21"/>
        </w:rPr>
        <w:t>为这两个标准溶液所对应的吸光度差值。</w:t>
      </w:r>
      <w:r>
        <w:rPr>
          <w:rFonts w:ascii="宋体" w:hAnsi="宋体"/>
          <w:szCs w:val="21"/>
        </w:rPr>
        <w:t>)</w:t>
      </w:r>
      <w:r>
        <w:rPr>
          <w:rFonts w:hint="eastAsia" w:ascii="宋体" w:hAnsi="宋体"/>
          <w:szCs w:val="21"/>
        </w:rPr>
        <w:t>计算得到铋的特征浓度</w:t>
      </w:r>
      <w:r>
        <w:rPr>
          <w:rFonts w:ascii="宋体" w:hAnsi="宋体"/>
          <w:szCs w:val="21"/>
        </w:rPr>
        <w:t>:</w:t>
      </w:r>
      <w:r>
        <w:rPr>
          <w:rFonts w:ascii="Times New Roman" w:hAnsi="Times New Roman"/>
          <w:szCs w:val="21"/>
        </w:rPr>
        <w:t>C=</w:t>
      </w:r>
      <w:r>
        <w:rPr>
          <w:rFonts w:ascii="Times New Roman" w:hAnsi="Times New Roman"/>
          <w:color w:val="000000" w:themeColor="text1"/>
          <w:szCs w:val="21"/>
        </w:rPr>
        <w:t>0.196 μg/mL/1%,</w:t>
      </w:r>
      <w:r>
        <w:rPr>
          <w:rFonts w:hint="eastAsia" w:ascii="宋体" w:hAnsi="宋体"/>
          <w:szCs w:val="21"/>
        </w:rPr>
        <w:t xml:space="preserve"> （仪器说明书所提供的数值为</w:t>
      </w:r>
      <w:r>
        <w:rPr>
          <w:rFonts w:ascii="Times New Roman" w:hAnsi="Times New Roman"/>
          <w:szCs w:val="21"/>
        </w:rPr>
        <w:t xml:space="preserve">0.20 </w:t>
      </w:r>
      <w:r>
        <w:rPr>
          <w:rFonts w:ascii="Times New Roman" w:hAnsi="Times New Roman"/>
          <w:color w:val="000000" w:themeColor="text1"/>
          <w:szCs w:val="21"/>
        </w:rPr>
        <w:t>μg/mL</w:t>
      </w:r>
      <w:r>
        <w:rPr>
          <w:rFonts w:hint="eastAsia" w:ascii="宋体" w:hAnsi="宋体"/>
          <w:szCs w:val="21"/>
        </w:rPr>
        <w:t>）。 将标准曲线按浓度等分成五段，最高段吸光度的差值与最低段吸光度的差值之比为</w:t>
      </w:r>
      <w:r>
        <w:rPr>
          <w:rFonts w:ascii="Times New Roman" w:hAnsi="Times New Roman"/>
          <w:szCs w:val="21"/>
        </w:rPr>
        <w:t>1.04&gt;0.70</w:t>
      </w:r>
      <w:r>
        <w:rPr>
          <w:rFonts w:hint="eastAsia" w:ascii="宋体" w:hAnsi="宋体"/>
          <w:szCs w:val="21"/>
        </w:rPr>
        <w:t>，即特征浓度和工作曲线线性都满足要求。</w:t>
      </w:r>
    </w:p>
    <w:p>
      <w:pPr>
        <w:jc w:val="left"/>
        <w:rPr>
          <w:rFonts w:ascii="宋体" w:hAnsi="宋体"/>
          <w:szCs w:val="21"/>
        </w:rPr>
      </w:pPr>
      <w:r>
        <w:rPr>
          <w:rFonts w:ascii="Times New Roman" w:hAnsi="Times New Roman"/>
          <w:szCs w:val="21"/>
        </w:rPr>
        <w:t xml:space="preserve">2.1.4 </w:t>
      </w:r>
      <w:r>
        <w:rPr>
          <w:rFonts w:hint="eastAsia" w:ascii="宋体" w:hAnsi="宋体"/>
          <w:szCs w:val="21"/>
        </w:rPr>
        <w:t xml:space="preserve"> </w:t>
      </w:r>
      <w:r>
        <w:rPr>
          <w:rFonts w:hint="eastAsia" w:ascii="黑体" w:hAnsi="黑体" w:eastAsia="黑体"/>
          <w:szCs w:val="21"/>
        </w:rPr>
        <w:t>检出限及测定下限</w:t>
      </w:r>
    </w:p>
    <w:p>
      <w:pPr>
        <w:ind w:firstLine="630" w:firstLineChars="300"/>
        <w:jc w:val="left"/>
        <w:rPr>
          <w:rFonts w:ascii="宋体" w:hAnsi="宋体"/>
          <w:szCs w:val="21"/>
        </w:rPr>
      </w:pPr>
      <w:r>
        <w:rPr>
          <w:rFonts w:hint="eastAsia" w:ascii="宋体" w:hAnsi="宋体"/>
          <w:szCs w:val="21"/>
        </w:rPr>
        <w:t>在给定的仪器工作条件下，用空白溶液和标准溶液绘制工作曲线，并对空白溶液进行</w:t>
      </w:r>
      <w:r>
        <w:rPr>
          <w:rFonts w:ascii="Times New Roman" w:hAnsi="Times New Roman"/>
          <w:szCs w:val="21"/>
        </w:rPr>
        <w:t>11</w:t>
      </w:r>
      <w:r>
        <w:rPr>
          <w:rFonts w:hint="eastAsia" w:ascii="宋体" w:hAnsi="宋体"/>
          <w:szCs w:val="21"/>
        </w:rPr>
        <w:t>次测量，计算出标准偏差为</w:t>
      </w:r>
      <w:r>
        <w:rPr>
          <w:rFonts w:ascii="Times New Roman" w:hAnsi="Times New Roman"/>
          <w:szCs w:val="21"/>
        </w:rPr>
        <w:t>0.0010%</w:t>
      </w:r>
      <w:r>
        <w:rPr>
          <w:rFonts w:hint="eastAsia" w:ascii="宋体" w:hAnsi="宋体"/>
          <w:szCs w:val="21"/>
        </w:rPr>
        <w:t>，方法的检出限按下式计算</w:t>
      </w:r>
      <w:r>
        <w:rPr>
          <w:rFonts w:ascii="Times New Roman" w:hAnsi="Times New Roman"/>
          <w:szCs w:val="21"/>
        </w:rPr>
        <w:t>DL=3×SA/S</w:t>
      </w:r>
      <w:r>
        <w:rPr>
          <w:rFonts w:hint="eastAsia" w:ascii="宋体" w:hAnsi="宋体"/>
          <w:szCs w:val="21"/>
        </w:rPr>
        <w:t>。其中</w:t>
      </w:r>
      <w:r>
        <w:rPr>
          <w:rFonts w:ascii="宋体" w:hAnsi="宋体"/>
          <w:szCs w:val="21"/>
        </w:rPr>
        <w:t>SA</w:t>
      </w:r>
      <w:r>
        <w:rPr>
          <w:rFonts w:hint="eastAsia" w:ascii="宋体" w:hAnsi="宋体"/>
          <w:szCs w:val="21"/>
        </w:rPr>
        <w:t>为空白溶液标准偏差，</w:t>
      </w:r>
      <w:r>
        <w:rPr>
          <w:rFonts w:ascii="Times New Roman" w:hAnsi="Times New Roman"/>
          <w:szCs w:val="21"/>
        </w:rPr>
        <w:t>S</w:t>
      </w:r>
      <w:r>
        <w:rPr>
          <w:rFonts w:hint="eastAsia" w:ascii="宋体" w:hAnsi="宋体"/>
          <w:szCs w:val="21"/>
        </w:rPr>
        <w:t>为工作曲线的斜率。检出限为</w:t>
      </w:r>
      <w:r>
        <w:rPr>
          <w:rFonts w:ascii="Times New Roman" w:hAnsi="Times New Roman"/>
          <w:szCs w:val="21"/>
        </w:rPr>
        <w:t>0.188μg/mL</w:t>
      </w:r>
      <w:r>
        <w:rPr>
          <w:rFonts w:ascii="宋体" w:hAnsi="宋体"/>
          <w:szCs w:val="21"/>
        </w:rPr>
        <w:t>,</w:t>
      </w:r>
      <w:r>
        <w:rPr>
          <w:rFonts w:hint="eastAsia" w:ascii="宋体" w:hAnsi="宋体"/>
          <w:szCs w:val="21"/>
        </w:rPr>
        <w:t>测定下限为</w:t>
      </w:r>
      <w:r>
        <w:rPr>
          <w:rFonts w:ascii="Times New Roman" w:hAnsi="Times New Roman"/>
          <w:szCs w:val="21"/>
        </w:rPr>
        <w:t>0.24μg/mL</w:t>
      </w:r>
      <w:r>
        <w:rPr>
          <w:rFonts w:hint="eastAsia" w:ascii="宋体" w:hAnsi="宋体"/>
          <w:szCs w:val="21"/>
        </w:rPr>
        <w:t>。</w:t>
      </w:r>
    </w:p>
    <w:p>
      <w:pPr>
        <w:jc w:val="left"/>
        <w:rPr>
          <w:rFonts w:ascii="宋体" w:hAnsi="宋体"/>
          <w:szCs w:val="21"/>
        </w:rPr>
      </w:pPr>
      <w:r>
        <w:rPr>
          <w:rFonts w:ascii="Times New Roman" w:hAnsi="Times New Roman"/>
          <w:szCs w:val="21"/>
        </w:rPr>
        <w:t xml:space="preserve">2.1.5 </w:t>
      </w:r>
      <w:r>
        <w:rPr>
          <w:rFonts w:hint="eastAsia" w:ascii="宋体" w:hAnsi="宋体"/>
          <w:szCs w:val="21"/>
        </w:rPr>
        <w:t xml:space="preserve"> </w:t>
      </w:r>
      <w:r>
        <w:rPr>
          <w:rFonts w:hint="eastAsia" w:ascii="黑体" w:hAnsi="黑体" w:eastAsia="黑体"/>
          <w:szCs w:val="21"/>
        </w:rPr>
        <w:t>精密度</w:t>
      </w:r>
    </w:p>
    <w:p>
      <w:pPr>
        <w:ind w:firstLine="630" w:firstLineChars="300"/>
        <w:jc w:val="left"/>
        <w:rPr>
          <w:rFonts w:ascii="宋体" w:hAnsi="宋体"/>
          <w:szCs w:val="21"/>
        </w:rPr>
      </w:pPr>
      <w:r>
        <w:rPr>
          <w:rFonts w:hint="eastAsia" w:ascii="宋体" w:hAnsi="宋体"/>
          <w:szCs w:val="21"/>
        </w:rPr>
        <w:t>用最高标准浓度溶液测量</w:t>
      </w:r>
      <w:r>
        <w:rPr>
          <w:rFonts w:ascii="Times New Roman" w:hAnsi="Times New Roman"/>
          <w:szCs w:val="21"/>
        </w:rPr>
        <w:t>10</w:t>
      </w:r>
      <w:r>
        <w:rPr>
          <w:rFonts w:hint="eastAsia" w:ascii="宋体" w:hAnsi="宋体"/>
          <w:szCs w:val="21"/>
        </w:rPr>
        <w:t>次，其吸光度的标准偏差不超过其平均吸光度的</w:t>
      </w:r>
      <w:r>
        <w:rPr>
          <w:rFonts w:ascii="Times New Roman" w:hAnsi="Times New Roman"/>
          <w:szCs w:val="21"/>
        </w:rPr>
        <w:t>1.0%</w:t>
      </w:r>
      <w:r>
        <w:rPr>
          <w:rFonts w:hint="eastAsia" w:ascii="宋体" w:hAnsi="宋体"/>
          <w:szCs w:val="21"/>
        </w:rPr>
        <w:t>；用最低浓度的标准溶液（不是</w:t>
      </w:r>
      <w:r>
        <w:rPr>
          <w:rFonts w:ascii="宋体" w:hAnsi="宋体"/>
          <w:szCs w:val="21"/>
        </w:rPr>
        <w:t>“</w:t>
      </w:r>
      <w:r>
        <w:rPr>
          <w:rFonts w:hint="eastAsia" w:ascii="宋体" w:hAnsi="宋体"/>
          <w:szCs w:val="21"/>
        </w:rPr>
        <w:t>零浓度</w:t>
      </w:r>
      <w:r>
        <w:rPr>
          <w:rFonts w:ascii="宋体" w:hAnsi="宋体"/>
          <w:szCs w:val="21"/>
        </w:rPr>
        <w:t>”</w:t>
      </w:r>
      <w:r>
        <w:rPr>
          <w:rFonts w:hint="eastAsia" w:ascii="宋体" w:hAnsi="宋体"/>
          <w:szCs w:val="21"/>
        </w:rPr>
        <w:t>标准溶液）测量</w:t>
      </w:r>
      <w:r>
        <w:rPr>
          <w:rFonts w:ascii="Times New Roman" w:hAnsi="Times New Roman"/>
          <w:szCs w:val="21"/>
        </w:rPr>
        <w:t>10</w:t>
      </w:r>
      <w:r>
        <w:rPr>
          <w:rFonts w:hint="eastAsia" w:ascii="宋体" w:hAnsi="宋体"/>
          <w:szCs w:val="21"/>
        </w:rPr>
        <w:t>次吸光度，其标准偏差不超过最高浓度标准溶液平均吸光度的</w:t>
      </w:r>
      <w:r>
        <w:rPr>
          <w:rFonts w:ascii="Times New Roman" w:hAnsi="Times New Roman"/>
          <w:szCs w:val="21"/>
        </w:rPr>
        <w:t>0.5%</w:t>
      </w:r>
      <w:r>
        <w:rPr>
          <w:rFonts w:hint="eastAsia" w:ascii="宋体" w:hAnsi="宋体"/>
          <w:szCs w:val="21"/>
        </w:rPr>
        <w:t>。测定数据见表</w:t>
      </w:r>
      <w:r>
        <w:rPr>
          <w:rFonts w:ascii="Times New Roman" w:hAnsi="Times New Roman"/>
          <w:szCs w:val="21"/>
        </w:rPr>
        <w:t>2</w:t>
      </w:r>
      <w:r>
        <w:rPr>
          <w:rFonts w:hint="eastAsia" w:ascii="宋体" w:hAnsi="宋体"/>
          <w:szCs w:val="21"/>
        </w:rPr>
        <w:t>。</w:t>
      </w:r>
    </w:p>
    <w:p>
      <w:pPr>
        <w:ind w:firstLine="3990" w:firstLineChars="1900"/>
        <w:jc w:val="left"/>
        <w:rPr>
          <w:rFonts w:ascii="宋体" w:hAnsi="宋体"/>
          <w:szCs w:val="21"/>
        </w:rPr>
      </w:pPr>
      <w:r>
        <w:rPr>
          <w:rFonts w:hint="eastAsia" w:ascii="宋体" w:hAnsi="宋体"/>
          <w:szCs w:val="21"/>
        </w:rPr>
        <w:t>表</w:t>
      </w:r>
      <w:r>
        <w:rPr>
          <w:rFonts w:ascii="Times New Roman" w:hAnsi="Times New Roman"/>
          <w:szCs w:val="21"/>
        </w:rPr>
        <w:t>2</w:t>
      </w:r>
      <w:r>
        <w:rPr>
          <w:rFonts w:hint="eastAsia" w:ascii="宋体" w:hAnsi="宋体"/>
          <w:szCs w:val="21"/>
        </w:rPr>
        <w:t>精密度试验</w:t>
      </w:r>
    </w:p>
    <w:tbl>
      <w:tblPr>
        <w:tblStyle w:val="32"/>
        <w:tblW w:w="8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023"/>
        <w:gridCol w:w="834"/>
        <w:gridCol w:w="1001"/>
        <w:gridCol w:w="115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552" w:type="dxa"/>
            <w:vAlign w:val="center"/>
          </w:tcPr>
          <w:p>
            <w:pPr>
              <w:jc w:val="center"/>
              <w:rPr>
                <w:sz w:val="18"/>
                <w:szCs w:val="18"/>
              </w:rPr>
            </w:pPr>
            <w:r>
              <w:rPr>
                <w:rFonts w:hint="eastAsia"/>
                <w:sz w:val="18"/>
                <w:szCs w:val="18"/>
              </w:rPr>
              <w:t>试液名称</w:t>
            </w:r>
          </w:p>
        </w:tc>
        <w:tc>
          <w:tcPr>
            <w:tcW w:w="2023" w:type="dxa"/>
            <w:vAlign w:val="center"/>
          </w:tcPr>
          <w:p>
            <w:pPr>
              <w:jc w:val="center"/>
              <w:rPr>
                <w:sz w:val="18"/>
                <w:szCs w:val="18"/>
              </w:rPr>
            </w:pPr>
            <w:r>
              <w:rPr>
                <w:rFonts w:hint="eastAsia"/>
                <w:sz w:val="18"/>
                <w:szCs w:val="18"/>
              </w:rPr>
              <w:t>吸光度</w:t>
            </w:r>
          </w:p>
        </w:tc>
        <w:tc>
          <w:tcPr>
            <w:tcW w:w="834" w:type="dxa"/>
            <w:vAlign w:val="center"/>
          </w:tcPr>
          <w:p>
            <w:pPr>
              <w:jc w:val="center"/>
              <w:rPr>
                <w:sz w:val="18"/>
                <w:szCs w:val="18"/>
              </w:rPr>
            </w:pPr>
            <w:r>
              <w:rPr>
                <w:rFonts w:hint="eastAsia"/>
                <w:sz w:val="18"/>
                <w:szCs w:val="18"/>
              </w:rPr>
              <w:t>平均值</w:t>
            </w:r>
          </w:p>
        </w:tc>
        <w:tc>
          <w:tcPr>
            <w:tcW w:w="1001" w:type="dxa"/>
            <w:vAlign w:val="center"/>
          </w:tcPr>
          <w:p>
            <w:pPr>
              <w:jc w:val="center"/>
              <w:rPr>
                <w:sz w:val="18"/>
                <w:szCs w:val="18"/>
              </w:rPr>
            </w:pPr>
            <w:r>
              <w:rPr>
                <w:rFonts w:hint="eastAsia"/>
                <w:sz w:val="18"/>
                <w:szCs w:val="18"/>
              </w:rPr>
              <w:t>标准偏差</w:t>
            </w:r>
          </w:p>
        </w:tc>
        <w:tc>
          <w:tcPr>
            <w:tcW w:w="1150" w:type="dxa"/>
            <w:vAlign w:val="center"/>
          </w:tcPr>
          <w:p>
            <w:pPr>
              <w:jc w:val="center"/>
              <w:rPr>
                <w:sz w:val="18"/>
                <w:szCs w:val="18"/>
              </w:rPr>
            </w:pPr>
            <w:r>
              <w:rPr>
                <w:rFonts w:hint="eastAsia"/>
                <w:sz w:val="18"/>
                <w:szCs w:val="18"/>
              </w:rPr>
              <w:t>标准偏差性能要求值</w:t>
            </w:r>
          </w:p>
        </w:tc>
        <w:tc>
          <w:tcPr>
            <w:tcW w:w="780" w:type="dxa"/>
            <w:vAlign w:val="center"/>
          </w:tcPr>
          <w:p>
            <w:pPr>
              <w:jc w:val="center"/>
              <w:rPr>
                <w:sz w:val="18"/>
                <w:szCs w:val="18"/>
              </w:rPr>
            </w:pPr>
            <w:r>
              <w:rPr>
                <w:rFonts w:hint="eastAsia"/>
                <w:sz w:val="18"/>
                <w:szCs w:val="1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552" w:type="dxa"/>
            <w:vAlign w:val="center"/>
          </w:tcPr>
          <w:p>
            <w:pPr>
              <w:jc w:val="center"/>
              <w:rPr>
                <w:sz w:val="18"/>
                <w:szCs w:val="18"/>
              </w:rPr>
            </w:pPr>
            <w:r>
              <w:rPr>
                <w:rFonts w:hint="eastAsia"/>
                <w:sz w:val="18"/>
                <w:szCs w:val="18"/>
              </w:rPr>
              <w:t>最低浓度铋标液</w:t>
            </w:r>
            <w:r>
              <w:rPr>
                <w:rFonts w:ascii="Times New Roman" w:hAnsi="Times New Roman"/>
                <w:sz w:val="18"/>
                <w:szCs w:val="18"/>
              </w:rPr>
              <w:t>2.0µg/mL</w:t>
            </w:r>
          </w:p>
        </w:tc>
        <w:tc>
          <w:tcPr>
            <w:tcW w:w="2023" w:type="dxa"/>
            <w:vAlign w:val="center"/>
          </w:tcPr>
          <w:p>
            <w:pPr>
              <w:jc w:val="center"/>
              <w:rPr>
                <w:rFonts w:ascii="Times New Roman" w:hAnsi="Times New Roman"/>
                <w:sz w:val="18"/>
                <w:szCs w:val="18"/>
              </w:rPr>
            </w:pPr>
            <w:r>
              <w:rPr>
                <w:rFonts w:ascii="Times New Roman" w:hAnsi="Times New Roman"/>
                <w:sz w:val="18"/>
                <w:szCs w:val="18"/>
              </w:rPr>
              <w:t>0.0319  0.0309  0.0315  0.0311  0.0316  0.0312  0.0309  0.0316  0.0311  0.0309</w:t>
            </w:r>
          </w:p>
        </w:tc>
        <w:tc>
          <w:tcPr>
            <w:tcW w:w="834" w:type="dxa"/>
            <w:vAlign w:val="center"/>
          </w:tcPr>
          <w:p>
            <w:pPr>
              <w:jc w:val="center"/>
              <w:rPr>
                <w:rFonts w:ascii="Times New Roman" w:hAnsi="Times New Roman"/>
                <w:sz w:val="18"/>
                <w:szCs w:val="18"/>
              </w:rPr>
            </w:pPr>
            <w:r>
              <w:rPr>
                <w:rFonts w:ascii="Times New Roman" w:hAnsi="Times New Roman"/>
                <w:sz w:val="18"/>
                <w:szCs w:val="18"/>
              </w:rPr>
              <w:t>0.0314</w:t>
            </w:r>
          </w:p>
        </w:tc>
        <w:tc>
          <w:tcPr>
            <w:tcW w:w="1001" w:type="dxa"/>
            <w:vAlign w:val="center"/>
          </w:tcPr>
          <w:p>
            <w:pPr>
              <w:jc w:val="center"/>
              <w:rPr>
                <w:rFonts w:ascii="Times New Roman" w:hAnsi="Times New Roman"/>
                <w:sz w:val="18"/>
                <w:szCs w:val="18"/>
              </w:rPr>
            </w:pPr>
            <w:r>
              <w:rPr>
                <w:rFonts w:ascii="Times New Roman" w:hAnsi="Times New Roman"/>
                <w:sz w:val="18"/>
                <w:szCs w:val="18"/>
              </w:rPr>
              <w:t>0.0003</w:t>
            </w:r>
          </w:p>
        </w:tc>
        <w:tc>
          <w:tcPr>
            <w:tcW w:w="1150" w:type="dxa"/>
            <w:vAlign w:val="center"/>
          </w:tcPr>
          <w:p>
            <w:pPr>
              <w:jc w:val="center"/>
              <w:rPr>
                <w:rFonts w:ascii="Times New Roman" w:hAnsi="Times New Roman"/>
                <w:sz w:val="18"/>
                <w:szCs w:val="18"/>
              </w:rPr>
            </w:pPr>
            <w:r>
              <w:rPr>
                <w:rFonts w:ascii="Times New Roman" w:hAnsi="Times New Roman"/>
                <w:sz w:val="18"/>
                <w:szCs w:val="18"/>
              </w:rPr>
              <w:t>≤0.000806</w:t>
            </w:r>
          </w:p>
        </w:tc>
        <w:tc>
          <w:tcPr>
            <w:tcW w:w="780" w:type="dxa"/>
            <w:vMerge w:val="restart"/>
            <w:vAlign w:val="center"/>
          </w:tcPr>
          <w:p>
            <w:pPr>
              <w:jc w:val="left"/>
              <w:rPr>
                <w:sz w:val="18"/>
                <w:szCs w:val="18"/>
              </w:rPr>
            </w:pPr>
            <w:bookmarkStart w:id="0" w:name="OLE_LINK3"/>
            <w:bookmarkStart w:id="1" w:name="OLE_LINK4"/>
            <w:r>
              <w:rPr>
                <w:rFonts w:hint="eastAsia"/>
                <w:sz w:val="18"/>
                <w:szCs w:val="18"/>
              </w:rPr>
              <w:t>精密度符合</w:t>
            </w:r>
            <w:bookmarkEnd w:id="0"/>
            <w:bookmarkEnd w:id="1"/>
            <w:r>
              <w:rPr>
                <w:rFonts w:hint="eastAsia"/>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552" w:type="dxa"/>
            <w:vAlign w:val="center"/>
          </w:tcPr>
          <w:p>
            <w:pPr>
              <w:jc w:val="center"/>
              <w:rPr>
                <w:sz w:val="18"/>
                <w:szCs w:val="18"/>
              </w:rPr>
            </w:pPr>
            <w:r>
              <w:rPr>
                <w:rFonts w:hint="eastAsia"/>
                <w:sz w:val="18"/>
                <w:szCs w:val="18"/>
              </w:rPr>
              <w:t>最高浓度铋标液</w:t>
            </w:r>
            <w:r>
              <w:rPr>
                <w:rFonts w:ascii="Times New Roman" w:hAnsi="Times New Roman"/>
                <w:sz w:val="18"/>
                <w:szCs w:val="18"/>
              </w:rPr>
              <w:t>10.0µg/mL</w:t>
            </w:r>
          </w:p>
        </w:tc>
        <w:tc>
          <w:tcPr>
            <w:tcW w:w="2023" w:type="dxa"/>
            <w:vAlign w:val="center"/>
          </w:tcPr>
          <w:p>
            <w:pPr>
              <w:jc w:val="center"/>
              <w:rPr>
                <w:rFonts w:ascii="Times New Roman" w:hAnsi="Times New Roman"/>
                <w:sz w:val="18"/>
                <w:szCs w:val="18"/>
              </w:rPr>
            </w:pPr>
            <w:r>
              <w:rPr>
                <w:rFonts w:ascii="Times New Roman" w:hAnsi="Times New Roman"/>
                <w:sz w:val="18"/>
                <w:szCs w:val="18"/>
              </w:rPr>
              <w:t>0.1600  0.1612  0.1612  0.1616  0.1614  0.1616  0.1613  0.1610  0.1617  0.1615</w:t>
            </w:r>
          </w:p>
        </w:tc>
        <w:tc>
          <w:tcPr>
            <w:tcW w:w="834" w:type="dxa"/>
            <w:vAlign w:val="center"/>
          </w:tcPr>
          <w:p>
            <w:pPr>
              <w:jc w:val="center"/>
              <w:rPr>
                <w:rFonts w:ascii="Times New Roman" w:hAnsi="Times New Roman"/>
                <w:sz w:val="18"/>
                <w:szCs w:val="18"/>
              </w:rPr>
            </w:pPr>
            <w:r>
              <w:rPr>
                <w:rFonts w:ascii="Times New Roman" w:hAnsi="Times New Roman"/>
                <w:sz w:val="18"/>
                <w:szCs w:val="18"/>
              </w:rPr>
              <w:t>0.1613</w:t>
            </w:r>
          </w:p>
        </w:tc>
        <w:tc>
          <w:tcPr>
            <w:tcW w:w="1001" w:type="dxa"/>
            <w:vAlign w:val="center"/>
          </w:tcPr>
          <w:p>
            <w:pPr>
              <w:jc w:val="center"/>
              <w:rPr>
                <w:rFonts w:ascii="Times New Roman" w:hAnsi="Times New Roman"/>
                <w:sz w:val="18"/>
                <w:szCs w:val="18"/>
              </w:rPr>
            </w:pPr>
            <w:r>
              <w:rPr>
                <w:rFonts w:ascii="Times New Roman" w:hAnsi="Times New Roman"/>
                <w:sz w:val="18"/>
                <w:szCs w:val="18"/>
              </w:rPr>
              <w:t>0.0005</w:t>
            </w:r>
          </w:p>
        </w:tc>
        <w:tc>
          <w:tcPr>
            <w:tcW w:w="1150" w:type="dxa"/>
            <w:vAlign w:val="center"/>
          </w:tcPr>
          <w:p>
            <w:pPr>
              <w:jc w:val="center"/>
              <w:rPr>
                <w:rFonts w:ascii="Times New Roman" w:hAnsi="Times New Roman"/>
                <w:sz w:val="18"/>
                <w:szCs w:val="18"/>
              </w:rPr>
            </w:pPr>
            <w:r>
              <w:rPr>
                <w:rFonts w:ascii="Times New Roman" w:hAnsi="Times New Roman"/>
                <w:sz w:val="18"/>
                <w:szCs w:val="18"/>
              </w:rPr>
              <w:t>≤0.001613</w:t>
            </w:r>
          </w:p>
        </w:tc>
        <w:tc>
          <w:tcPr>
            <w:tcW w:w="780" w:type="dxa"/>
            <w:vMerge w:val="continue"/>
            <w:vAlign w:val="center"/>
          </w:tcPr>
          <w:p>
            <w:pPr>
              <w:jc w:val="left"/>
              <w:rPr>
                <w:sz w:val="18"/>
                <w:szCs w:val="18"/>
              </w:rPr>
            </w:pPr>
          </w:p>
        </w:tc>
      </w:tr>
    </w:tbl>
    <w:p>
      <w:pPr>
        <w:jc w:val="left"/>
        <w:rPr>
          <w:sz w:val="18"/>
          <w:szCs w:val="18"/>
        </w:rPr>
      </w:pPr>
    </w:p>
    <w:p>
      <w:pPr>
        <w:jc w:val="left"/>
        <w:rPr>
          <w:rFonts w:ascii="黑体" w:hAnsi="黑体" w:eastAsia="黑体"/>
          <w:szCs w:val="21"/>
        </w:rPr>
      </w:pPr>
      <w:r>
        <w:rPr>
          <w:rFonts w:ascii="Times New Roman" w:hAnsi="Times New Roman" w:eastAsia="黑体"/>
        </w:rPr>
        <w:t xml:space="preserve">2.1.6 </w:t>
      </w:r>
      <w:r>
        <w:rPr>
          <w:rFonts w:hint="eastAsia" w:ascii="黑体" w:hAnsi="黑体" w:eastAsia="黑体"/>
        </w:rPr>
        <w:t xml:space="preserve"> </w:t>
      </w:r>
      <w:r>
        <w:rPr>
          <w:rFonts w:hint="eastAsia" w:ascii="黑体" w:hAnsi="黑体" w:eastAsia="黑体"/>
          <w:szCs w:val="21"/>
        </w:rPr>
        <w:t>工作曲线线性考察</w:t>
      </w:r>
    </w:p>
    <w:p>
      <w:pPr>
        <w:ind w:firstLine="630" w:firstLineChars="300"/>
        <w:jc w:val="left"/>
        <w:rPr>
          <w:szCs w:val="21"/>
        </w:rPr>
      </w:pPr>
      <w:r>
        <w:rPr>
          <w:rFonts w:hint="eastAsia"/>
          <w:szCs w:val="21"/>
        </w:rPr>
        <w:t>将工作曲线按浓度等分成</w:t>
      </w:r>
      <w:r>
        <w:rPr>
          <w:rFonts w:ascii="Times New Roman" w:hAnsi="Times New Roman"/>
          <w:szCs w:val="21"/>
        </w:rPr>
        <w:t>5</w:t>
      </w:r>
      <w:r>
        <w:rPr>
          <w:rFonts w:hint="eastAsia"/>
          <w:szCs w:val="21"/>
        </w:rPr>
        <w:t>段，最高段的吸光度差值与最低段的吸光度差值之比不小于</w:t>
      </w:r>
      <w:r>
        <w:rPr>
          <w:rFonts w:ascii="Times New Roman" w:hAnsi="Times New Roman"/>
          <w:szCs w:val="21"/>
        </w:rPr>
        <w:t>0.7</w:t>
      </w:r>
      <w:r>
        <w:rPr>
          <w:rFonts w:hint="eastAsia"/>
          <w:szCs w:val="21"/>
        </w:rPr>
        <w:t>。测定数据见表</w:t>
      </w:r>
      <w:r>
        <w:rPr>
          <w:rFonts w:ascii="Times New Roman" w:hAnsi="Times New Roman"/>
          <w:szCs w:val="21"/>
        </w:rPr>
        <w:t>3</w:t>
      </w:r>
      <w:r>
        <w:rPr>
          <w:rFonts w:hint="eastAsia"/>
          <w:szCs w:val="21"/>
        </w:rPr>
        <w:t>。</w:t>
      </w:r>
    </w:p>
    <w:p>
      <w:pPr>
        <w:ind w:firstLine="3990" w:firstLineChars="1900"/>
        <w:jc w:val="left"/>
        <w:rPr>
          <w:szCs w:val="21"/>
        </w:rPr>
      </w:pPr>
      <w:r>
        <w:rPr>
          <w:rFonts w:hint="eastAsia"/>
          <w:szCs w:val="21"/>
        </w:rPr>
        <w:t>表</w:t>
      </w:r>
      <w:r>
        <w:rPr>
          <w:rFonts w:ascii="Times New Roman" w:hAnsi="Times New Roman"/>
          <w:szCs w:val="21"/>
        </w:rPr>
        <w:t>3</w:t>
      </w:r>
      <w:r>
        <w:rPr>
          <w:rFonts w:hint="eastAsia"/>
          <w:szCs w:val="21"/>
        </w:rPr>
        <w:t>工作曲线</w:t>
      </w:r>
    </w:p>
    <w:tbl>
      <w:tblPr>
        <w:tblStyle w:val="32"/>
        <w:tblW w:w="7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850"/>
        <w:gridCol w:w="787"/>
        <w:gridCol w:w="743"/>
        <w:gridCol w:w="849"/>
        <w:gridCol w:w="970"/>
        <w:gridCol w:w="91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259" w:type="dxa"/>
            <w:vAlign w:val="center"/>
          </w:tcPr>
          <w:p>
            <w:pPr>
              <w:jc w:val="left"/>
              <w:rPr>
                <w:sz w:val="18"/>
                <w:szCs w:val="18"/>
              </w:rPr>
            </w:pPr>
            <w:r>
              <w:rPr>
                <w:rFonts w:hint="eastAsia"/>
                <w:sz w:val="18"/>
                <w:szCs w:val="18"/>
              </w:rPr>
              <w:t>铋标</w:t>
            </w:r>
            <w:r>
              <w:rPr>
                <w:rFonts w:ascii="Times New Roman" w:hAnsi="Times New Roman"/>
                <w:sz w:val="18"/>
                <w:szCs w:val="18"/>
              </w:rPr>
              <w:t>/µg/mL</w:t>
            </w:r>
          </w:p>
        </w:tc>
        <w:tc>
          <w:tcPr>
            <w:tcW w:w="850" w:type="dxa"/>
            <w:vAlign w:val="center"/>
          </w:tcPr>
          <w:p>
            <w:pPr>
              <w:jc w:val="center"/>
              <w:rPr>
                <w:rFonts w:ascii="Times New Roman" w:hAnsi="Times New Roman"/>
                <w:sz w:val="18"/>
                <w:szCs w:val="18"/>
              </w:rPr>
            </w:pPr>
            <w:r>
              <w:rPr>
                <w:rFonts w:ascii="Times New Roman" w:hAnsi="Times New Roman"/>
                <w:sz w:val="18"/>
                <w:szCs w:val="18"/>
              </w:rPr>
              <w:t>0.00</w:t>
            </w:r>
          </w:p>
        </w:tc>
        <w:tc>
          <w:tcPr>
            <w:tcW w:w="787" w:type="dxa"/>
            <w:vAlign w:val="center"/>
          </w:tcPr>
          <w:p>
            <w:pPr>
              <w:jc w:val="center"/>
              <w:rPr>
                <w:rFonts w:ascii="Times New Roman" w:hAnsi="Times New Roman"/>
                <w:sz w:val="18"/>
                <w:szCs w:val="18"/>
              </w:rPr>
            </w:pPr>
            <w:r>
              <w:rPr>
                <w:rFonts w:ascii="Times New Roman" w:hAnsi="Times New Roman"/>
                <w:sz w:val="18"/>
                <w:szCs w:val="18"/>
              </w:rPr>
              <w:t>2.00</w:t>
            </w:r>
          </w:p>
        </w:tc>
        <w:tc>
          <w:tcPr>
            <w:tcW w:w="743" w:type="dxa"/>
            <w:vAlign w:val="center"/>
          </w:tcPr>
          <w:p>
            <w:pPr>
              <w:jc w:val="center"/>
              <w:rPr>
                <w:rFonts w:ascii="Times New Roman" w:hAnsi="Times New Roman"/>
                <w:sz w:val="18"/>
                <w:szCs w:val="18"/>
              </w:rPr>
            </w:pPr>
            <w:r>
              <w:rPr>
                <w:rFonts w:ascii="Times New Roman" w:hAnsi="Times New Roman"/>
                <w:sz w:val="18"/>
                <w:szCs w:val="18"/>
              </w:rPr>
              <w:t>4.00</w:t>
            </w:r>
          </w:p>
        </w:tc>
        <w:tc>
          <w:tcPr>
            <w:tcW w:w="849" w:type="dxa"/>
            <w:vAlign w:val="center"/>
          </w:tcPr>
          <w:p>
            <w:pPr>
              <w:jc w:val="center"/>
              <w:rPr>
                <w:rFonts w:ascii="Times New Roman" w:hAnsi="Times New Roman"/>
                <w:sz w:val="18"/>
                <w:szCs w:val="18"/>
              </w:rPr>
            </w:pPr>
            <w:r>
              <w:rPr>
                <w:rFonts w:ascii="Times New Roman" w:hAnsi="Times New Roman"/>
                <w:sz w:val="18"/>
                <w:szCs w:val="18"/>
              </w:rPr>
              <w:t>6.00</w:t>
            </w:r>
          </w:p>
        </w:tc>
        <w:tc>
          <w:tcPr>
            <w:tcW w:w="970" w:type="dxa"/>
            <w:vAlign w:val="center"/>
          </w:tcPr>
          <w:p>
            <w:pPr>
              <w:jc w:val="center"/>
              <w:rPr>
                <w:rFonts w:ascii="Times New Roman" w:hAnsi="Times New Roman"/>
                <w:sz w:val="18"/>
                <w:szCs w:val="18"/>
              </w:rPr>
            </w:pPr>
            <w:r>
              <w:rPr>
                <w:rFonts w:ascii="Times New Roman" w:hAnsi="Times New Roman"/>
                <w:sz w:val="18"/>
                <w:szCs w:val="18"/>
              </w:rPr>
              <w:t>8.00</w:t>
            </w:r>
          </w:p>
        </w:tc>
        <w:tc>
          <w:tcPr>
            <w:tcW w:w="918" w:type="dxa"/>
            <w:vAlign w:val="center"/>
          </w:tcPr>
          <w:p>
            <w:pPr>
              <w:jc w:val="center"/>
              <w:rPr>
                <w:rFonts w:ascii="Times New Roman" w:hAnsi="Times New Roman"/>
                <w:sz w:val="18"/>
                <w:szCs w:val="18"/>
              </w:rPr>
            </w:pPr>
            <w:r>
              <w:rPr>
                <w:rFonts w:ascii="Times New Roman" w:hAnsi="Times New Roman"/>
                <w:sz w:val="18"/>
                <w:szCs w:val="18"/>
              </w:rPr>
              <w:t>10.00</w:t>
            </w:r>
          </w:p>
        </w:tc>
        <w:tc>
          <w:tcPr>
            <w:tcW w:w="1188" w:type="dxa"/>
            <w:vAlign w:val="center"/>
          </w:tcPr>
          <w:p>
            <w:pPr>
              <w:jc w:val="center"/>
              <w:rPr>
                <w:sz w:val="18"/>
                <w:szCs w:val="18"/>
              </w:rPr>
            </w:pPr>
            <w:r>
              <w:rPr>
                <w:rFonts w:hint="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59" w:type="dxa"/>
            <w:vAlign w:val="center"/>
          </w:tcPr>
          <w:p>
            <w:pPr>
              <w:jc w:val="left"/>
              <w:rPr>
                <w:sz w:val="18"/>
                <w:szCs w:val="18"/>
              </w:rPr>
            </w:pPr>
            <w:r>
              <w:rPr>
                <w:rFonts w:hint="eastAsia"/>
                <w:sz w:val="18"/>
                <w:szCs w:val="18"/>
              </w:rPr>
              <w:t>吸光度</w:t>
            </w:r>
          </w:p>
        </w:tc>
        <w:tc>
          <w:tcPr>
            <w:tcW w:w="850" w:type="dxa"/>
            <w:vAlign w:val="center"/>
          </w:tcPr>
          <w:p>
            <w:pPr>
              <w:jc w:val="center"/>
              <w:rPr>
                <w:rFonts w:ascii="Times New Roman" w:hAnsi="Times New Roman"/>
                <w:sz w:val="18"/>
                <w:szCs w:val="18"/>
              </w:rPr>
            </w:pPr>
            <w:r>
              <w:rPr>
                <w:rFonts w:ascii="Times New Roman" w:hAnsi="Times New Roman"/>
                <w:sz w:val="18"/>
                <w:szCs w:val="18"/>
              </w:rPr>
              <w:t>0.0003</w:t>
            </w:r>
          </w:p>
        </w:tc>
        <w:tc>
          <w:tcPr>
            <w:tcW w:w="787" w:type="dxa"/>
            <w:vAlign w:val="center"/>
          </w:tcPr>
          <w:p>
            <w:pPr>
              <w:jc w:val="center"/>
              <w:rPr>
                <w:rFonts w:ascii="Times New Roman" w:hAnsi="Times New Roman"/>
                <w:sz w:val="18"/>
                <w:szCs w:val="18"/>
              </w:rPr>
            </w:pPr>
            <w:r>
              <w:rPr>
                <w:rFonts w:ascii="Times New Roman" w:hAnsi="Times New Roman"/>
                <w:sz w:val="18"/>
                <w:szCs w:val="18"/>
              </w:rPr>
              <w:t>0.0314</w:t>
            </w:r>
          </w:p>
        </w:tc>
        <w:tc>
          <w:tcPr>
            <w:tcW w:w="743" w:type="dxa"/>
            <w:vAlign w:val="center"/>
          </w:tcPr>
          <w:p>
            <w:pPr>
              <w:jc w:val="center"/>
              <w:rPr>
                <w:rFonts w:ascii="Times New Roman" w:hAnsi="Times New Roman"/>
                <w:sz w:val="18"/>
                <w:szCs w:val="18"/>
              </w:rPr>
            </w:pPr>
            <w:r>
              <w:rPr>
                <w:rFonts w:ascii="Times New Roman" w:hAnsi="Times New Roman"/>
                <w:sz w:val="18"/>
                <w:szCs w:val="18"/>
              </w:rPr>
              <w:t>0.0624</w:t>
            </w:r>
          </w:p>
        </w:tc>
        <w:tc>
          <w:tcPr>
            <w:tcW w:w="849" w:type="dxa"/>
            <w:vAlign w:val="center"/>
          </w:tcPr>
          <w:p>
            <w:pPr>
              <w:jc w:val="center"/>
              <w:rPr>
                <w:rFonts w:ascii="Times New Roman" w:hAnsi="Times New Roman"/>
                <w:sz w:val="18"/>
                <w:szCs w:val="18"/>
              </w:rPr>
            </w:pPr>
            <w:r>
              <w:rPr>
                <w:rFonts w:ascii="Times New Roman" w:hAnsi="Times New Roman"/>
                <w:sz w:val="18"/>
                <w:szCs w:val="18"/>
              </w:rPr>
              <w:t>0.0980</w:t>
            </w:r>
          </w:p>
        </w:tc>
        <w:tc>
          <w:tcPr>
            <w:tcW w:w="970" w:type="dxa"/>
            <w:vAlign w:val="center"/>
          </w:tcPr>
          <w:p>
            <w:pPr>
              <w:jc w:val="center"/>
              <w:rPr>
                <w:rFonts w:ascii="Times New Roman" w:hAnsi="Times New Roman"/>
                <w:sz w:val="18"/>
                <w:szCs w:val="18"/>
              </w:rPr>
            </w:pPr>
            <w:r>
              <w:rPr>
                <w:rFonts w:ascii="Times New Roman" w:hAnsi="Times New Roman"/>
                <w:sz w:val="18"/>
                <w:szCs w:val="18"/>
              </w:rPr>
              <w:t>0.1273</w:t>
            </w:r>
          </w:p>
        </w:tc>
        <w:tc>
          <w:tcPr>
            <w:tcW w:w="918" w:type="dxa"/>
            <w:vAlign w:val="center"/>
          </w:tcPr>
          <w:p>
            <w:pPr>
              <w:jc w:val="center"/>
              <w:rPr>
                <w:rFonts w:ascii="Times New Roman" w:hAnsi="Times New Roman"/>
                <w:sz w:val="18"/>
                <w:szCs w:val="18"/>
              </w:rPr>
            </w:pPr>
            <w:r>
              <w:rPr>
                <w:rFonts w:ascii="Times New Roman" w:hAnsi="Times New Roman"/>
                <w:sz w:val="18"/>
                <w:szCs w:val="18"/>
              </w:rPr>
              <w:t>0.1613</w:t>
            </w:r>
          </w:p>
        </w:tc>
        <w:tc>
          <w:tcPr>
            <w:tcW w:w="1188" w:type="dxa"/>
            <w:vMerge w:val="restart"/>
            <w:vAlign w:val="center"/>
          </w:tcPr>
          <w:p>
            <w:pPr>
              <w:jc w:val="center"/>
              <w:rPr>
                <w:sz w:val="18"/>
                <w:szCs w:val="18"/>
              </w:rPr>
            </w:pPr>
            <w:r>
              <w:rPr>
                <w:rFonts w:hint="eastAsia"/>
                <w:sz w:val="18"/>
                <w:szCs w:val="18"/>
              </w:rPr>
              <w:t>工作曲线符合要求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59" w:type="dxa"/>
            <w:vAlign w:val="center"/>
          </w:tcPr>
          <w:p>
            <w:pPr>
              <w:jc w:val="left"/>
              <w:rPr>
                <w:sz w:val="18"/>
                <w:szCs w:val="18"/>
              </w:rPr>
            </w:pPr>
            <w:r>
              <w:rPr>
                <w:rFonts w:hint="eastAsia"/>
                <w:sz w:val="18"/>
                <w:szCs w:val="18"/>
              </w:rPr>
              <w:t>工作曲线线性</w:t>
            </w:r>
          </w:p>
        </w:tc>
        <w:tc>
          <w:tcPr>
            <w:tcW w:w="5117" w:type="dxa"/>
            <w:gridSpan w:val="6"/>
            <w:vAlign w:val="center"/>
          </w:tcPr>
          <w:p>
            <w:pPr>
              <w:ind w:firstLine="1440" w:firstLineChars="800"/>
              <w:jc w:val="left"/>
              <w:rPr>
                <w:rFonts w:ascii="Times New Roman" w:hAnsi="Times New Roman"/>
                <w:sz w:val="18"/>
                <w:szCs w:val="18"/>
              </w:rPr>
            </w:pPr>
            <w:r>
              <w:rPr>
                <w:rFonts w:ascii="Times New Roman" w:hAnsi="Times New Roman"/>
                <w:sz w:val="18"/>
                <w:szCs w:val="18"/>
              </w:rPr>
              <w:t>0.9996</w:t>
            </w:r>
          </w:p>
        </w:tc>
        <w:tc>
          <w:tcPr>
            <w:tcW w:w="1188" w:type="dxa"/>
            <w:vMerge w:val="continue"/>
            <w:vAlign w:val="center"/>
          </w:tcPr>
          <w:p>
            <w:pPr>
              <w:jc w:val="left"/>
              <w:rPr>
                <w:sz w:val="18"/>
                <w:szCs w:val="18"/>
              </w:rPr>
            </w:pPr>
          </w:p>
        </w:tc>
      </w:tr>
    </w:tbl>
    <w:p>
      <w:pPr>
        <w:ind w:left="420" w:leftChars="200" w:firstLine="360" w:firstLineChars="200"/>
        <w:jc w:val="left"/>
        <w:rPr>
          <w:sz w:val="18"/>
          <w:szCs w:val="18"/>
        </w:rPr>
      </w:pPr>
    </w:p>
    <w:p>
      <w:pPr>
        <w:ind w:firstLine="420" w:firstLineChars="200"/>
        <w:jc w:val="left"/>
        <w:rPr>
          <w:szCs w:val="21"/>
        </w:rPr>
      </w:pPr>
      <w:r>
        <w:rPr>
          <w:rFonts w:hint="eastAsia"/>
          <w:szCs w:val="21"/>
        </w:rPr>
        <w:t>试验表明，标准工作曲线在</w:t>
      </w:r>
      <w:r>
        <w:rPr>
          <w:rFonts w:ascii="Times New Roman" w:hAnsi="Times New Roman"/>
          <w:szCs w:val="21"/>
        </w:rPr>
        <w:t>0 ～10.00 μg/mL</w:t>
      </w:r>
      <w:r>
        <w:rPr>
          <w:rFonts w:hint="eastAsia"/>
          <w:szCs w:val="21"/>
        </w:rPr>
        <w:t>浓度范围内，</w:t>
      </w:r>
      <w:r>
        <w:rPr>
          <w:szCs w:val="21"/>
        </w:rPr>
        <w:t>以最小二乘法计算</w:t>
      </w:r>
      <w:r>
        <w:rPr>
          <w:rFonts w:hint="eastAsia"/>
          <w:szCs w:val="21"/>
        </w:rPr>
        <w:t>铋</w:t>
      </w:r>
      <w:r>
        <w:rPr>
          <w:szCs w:val="21"/>
        </w:rPr>
        <w:t>量与吸光度之间</w:t>
      </w:r>
      <w:r>
        <w:rPr>
          <w:rFonts w:hint="eastAsia"/>
          <w:szCs w:val="21"/>
        </w:rPr>
        <w:t>的线性回归方程</w:t>
      </w:r>
      <w:r>
        <w:rPr>
          <w:rFonts w:ascii="Times New Roman" w:hAnsi="Times New Roman"/>
          <w:szCs w:val="21"/>
        </w:rPr>
        <w:t>y=0.0161x-0.0005</w:t>
      </w:r>
      <w:r>
        <w:rPr>
          <w:szCs w:val="21"/>
        </w:rPr>
        <w:t xml:space="preserve"> </w:t>
      </w:r>
    </w:p>
    <w:p>
      <w:pPr>
        <w:snapToGrid w:val="0"/>
        <w:spacing w:line="360" w:lineRule="auto"/>
        <w:ind w:left="480" w:firstLine="420" w:firstLineChars="200"/>
        <w:rPr>
          <w:szCs w:val="21"/>
        </w:rPr>
      </w:pPr>
      <w:r>
        <w:rPr>
          <w:szCs w:val="21"/>
        </w:rPr>
        <w:t>式中：</w:t>
      </w:r>
      <w:r>
        <w:rPr>
          <w:rFonts w:ascii="Times New Roman" w:hAnsi="Times New Roman"/>
          <w:szCs w:val="21"/>
        </w:rPr>
        <w:t>y</w:t>
      </w:r>
      <w:r>
        <w:rPr>
          <w:szCs w:val="21"/>
        </w:rPr>
        <w:t>—吸光度</w:t>
      </w:r>
    </w:p>
    <w:p>
      <w:pPr>
        <w:snapToGrid w:val="0"/>
        <w:spacing w:line="360" w:lineRule="auto"/>
        <w:ind w:left="420" w:leftChars="200" w:firstLine="1155" w:firstLineChars="550"/>
        <w:rPr>
          <w:szCs w:val="21"/>
        </w:rPr>
      </w:pPr>
      <w:r>
        <w:rPr>
          <w:rFonts w:ascii="Times New Roman" w:hAnsi="Times New Roman"/>
          <w:szCs w:val="21"/>
        </w:rPr>
        <w:t>x</w:t>
      </w:r>
      <w:r>
        <w:rPr>
          <w:szCs w:val="21"/>
        </w:rPr>
        <w:t>—</w:t>
      </w:r>
      <w:r>
        <w:rPr>
          <w:rFonts w:hint="eastAsia"/>
          <w:szCs w:val="21"/>
        </w:rPr>
        <w:t>铋</w:t>
      </w:r>
      <w:r>
        <w:rPr>
          <w:szCs w:val="21"/>
        </w:rPr>
        <w:t>浓度</w:t>
      </w:r>
    </w:p>
    <w:p>
      <w:pPr>
        <w:ind w:left="357" w:leftChars="170" w:firstLine="630" w:firstLineChars="300"/>
        <w:jc w:val="left"/>
        <w:rPr>
          <w:szCs w:val="21"/>
        </w:rPr>
      </w:pPr>
      <w:r>
        <w:rPr>
          <w:rFonts w:hint="eastAsia"/>
          <w:szCs w:val="21"/>
        </w:rPr>
        <w:t>线性相关系数</w:t>
      </w:r>
      <w:r>
        <w:rPr>
          <w:rFonts w:ascii="Times New Roman" w:hAnsi="Times New Roman"/>
          <w:szCs w:val="21"/>
        </w:rPr>
        <w:t>r= 0.9996</w:t>
      </w:r>
      <w:r>
        <w:rPr>
          <w:szCs w:val="21"/>
        </w:rPr>
        <w:t xml:space="preserve"> , </w:t>
      </w:r>
      <w:r>
        <w:rPr>
          <w:rFonts w:hint="eastAsia"/>
          <w:szCs w:val="21"/>
        </w:rPr>
        <w:t>满足分析要求。</w:t>
      </w:r>
    </w:p>
    <w:p>
      <w:pPr>
        <w:ind w:firstLine="270" w:firstLineChars="150"/>
        <w:jc w:val="left"/>
        <w:rPr>
          <w:sz w:val="18"/>
          <w:szCs w:val="18"/>
        </w:rPr>
      </w:pPr>
    </w:p>
    <w:p>
      <w:pPr>
        <w:jc w:val="left"/>
        <w:rPr>
          <w:rFonts w:ascii="黑体" w:hAnsi="黑体" w:eastAsia="黑体"/>
          <w:szCs w:val="21"/>
        </w:rPr>
      </w:pPr>
      <w:r>
        <w:rPr>
          <w:rFonts w:ascii="Times New Roman" w:hAnsi="Times New Roman" w:eastAsia="黑体"/>
          <w:kern w:val="0"/>
          <w:szCs w:val="21"/>
        </w:rPr>
        <w:t>2.2</w:t>
      </w:r>
      <w:r>
        <w:rPr>
          <w:rFonts w:hint="eastAsia" w:ascii="黑体" w:hAnsi="黑体" w:eastAsia="黑体"/>
          <w:kern w:val="0"/>
          <w:szCs w:val="21"/>
        </w:rPr>
        <w:t xml:space="preserve">  </w:t>
      </w:r>
      <w:r>
        <w:rPr>
          <w:rFonts w:hint="eastAsia" w:ascii="黑体" w:hAnsi="黑体" w:eastAsia="黑体"/>
          <w:szCs w:val="21"/>
        </w:rPr>
        <w:t>酸度影响试验</w:t>
      </w:r>
    </w:p>
    <w:p>
      <w:pPr>
        <w:jc w:val="left"/>
        <w:rPr>
          <w:rFonts w:ascii="黑体" w:hAnsi="黑体" w:eastAsia="黑体"/>
          <w:szCs w:val="21"/>
        </w:rPr>
      </w:pPr>
      <w:r>
        <w:rPr>
          <w:rFonts w:ascii="Times New Roman" w:hAnsi="Times New Roman" w:eastAsia="黑体"/>
          <w:szCs w:val="21"/>
        </w:rPr>
        <w:t xml:space="preserve">2.2.1 </w:t>
      </w:r>
      <w:r>
        <w:rPr>
          <w:rFonts w:hint="eastAsia" w:ascii="黑体" w:hAnsi="黑体" w:eastAsia="黑体"/>
          <w:szCs w:val="21"/>
        </w:rPr>
        <w:t xml:space="preserve"> 酸介质的选择试验</w:t>
      </w:r>
    </w:p>
    <w:p>
      <w:pPr>
        <w:jc w:val="left"/>
        <w:rPr>
          <w:rFonts w:ascii="黑体" w:hAnsi="黑体" w:eastAsia="黑体"/>
          <w:szCs w:val="21"/>
        </w:rPr>
      </w:pPr>
      <w:r>
        <w:rPr>
          <w:rFonts w:ascii="Times New Roman" w:hAnsi="Times New Roman" w:eastAsia="黑体"/>
          <w:szCs w:val="21"/>
        </w:rPr>
        <w:t xml:space="preserve">2.2.1.1 </w:t>
      </w:r>
      <w:r>
        <w:rPr>
          <w:rFonts w:hint="eastAsia" w:ascii="黑体" w:hAnsi="黑体" w:eastAsia="黑体"/>
          <w:szCs w:val="21"/>
        </w:rPr>
        <w:t xml:space="preserve"> 盐酸介质</w:t>
      </w:r>
    </w:p>
    <w:p>
      <w:pPr>
        <w:jc w:val="left"/>
        <w:rPr>
          <w:szCs w:val="21"/>
        </w:rPr>
      </w:pPr>
      <w:r>
        <w:rPr>
          <w:rFonts w:ascii="Times New Roman" w:hAnsi="Times New Roman" w:eastAsia="黑体"/>
          <w:szCs w:val="21"/>
        </w:rPr>
        <w:t>2.2.1.1.1</w:t>
      </w:r>
      <w:r>
        <w:rPr>
          <w:rFonts w:ascii="黑体" w:hAnsi="黑体" w:eastAsia="黑体"/>
          <w:szCs w:val="21"/>
        </w:rPr>
        <w:t xml:space="preserve"> </w:t>
      </w:r>
      <w:r>
        <w:rPr>
          <w:rFonts w:hint="eastAsia" w:ascii="黑体" w:hAnsi="黑体" w:eastAsia="黑体"/>
          <w:szCs w:val="21"/>
        </w:rPr>
        <w:t xml:space="preserve"> 盐酸加入量对测定铋标准溶液的影响。</w:t>
      </w:r>
    </w:p>
    <w:p>
      <w:pPr>
        <w:ind w:firstLine="630" w:firstLineChars="300"/>
        <w:jc w:val="left"/>
        <w:rPr>
          <w:szCs w:val="21"/>
        </w:rPr>
      </w:pPr>
      <w:r>
        <w:rPr>
          <w:rFonts w:hint="eastAsia"/>
          <w:szCs w:val="21"/>
        </w:rPr>
        <w:t>分别移取</w:t>
      </w:r>
      <w:r>
        <w:rPr>
          <w:rFonts w:ascii="Times New Roman" w:hAnsi="Times New Roman"/>
          <w:szCs w:val="21"/>
        </w:rPr>
        <w:t>6.00 mL</w:t>
      </w:r>
      <w:r>
        <w:rPr>
          <w:rFonts w:hint="eastAsia"/>
          <w:szCs w:val="21"/>
        </w:rPr>
        <w:t>铋标准溶液（</w:t>
      </w:r>
      <w:r>
        <w:rPr>
          <w:rFonts w:ascii="Times New Roman" w:hAnsi="Times New Roman"/>
          <w:szCs w:val="21"/>
        </w:rPr>
        <w:t>1.2.13</w:t>
      </w:r>
      <w:r>
        <w:rPr>
          <w:rFonts w:hint="eastAsia"/>
          <w:szCs w:val="21"/>
        </w:rPr>
        <w:t>）于一组</w:t>
      </w:r>
      <w:r>
        <w:rPr>
          <w:rFonts w:ascii="Times New Roman" w:hAnsi="Times New Roman"/>
          <w:szCs w:val="21"/>
        </w:rPr>
        <w:t>100 mL</w:t>
      </w:r>
      <w:r>
        <w:rPr>
          <w:rFonts w:hint="eastAsia"/>
          <w:szCs w:val="21"/>
        </w:rPr>
        <w:t>容量瓶，分别加入</w:t>
      </w:r>
      <w:r>
        <w:rPr>
          <w:rFonts w:ascii="Times New Roman" w:hAnsi="Times New Roman"/>
          <w:szCs w:val="21"/>
        </w:rPr>
        <w:t>2.5 mL~20 mL</w:t>
      </w:r>
      <w:r>
        <w:rPr>
          <w:rFonts w:hint="eastAsia"/>
          <w:szCs w:val="21"/>
        </w:rPr>
        <w:t>盐酸（</w:t>
      </w:r>
      <w:r>
        <w:rPr>
          <w:rFonts w:ascii="Times New Roman" w:hAnsi="Times New Roman"/>
          <w:szCs w:val="21"/>
        </w:rPr>
        <w:t xml:space="preserve">1.2.4 </w:t>
      </w:r>
      <w:r>
        <w:rPr>
          <w:rFonts w:hint="eastAsia"/>
          <w:szCs w:val="21"/>
        </w:rPr>
        <w:t>），其他条件不变，考察盐酸酸度对测定铋标准溶液的影响。</w:t>
      </w:r>
    </w:p>
    <w:p>
      <w:pPr>
        <w:ind w:firstLine="3045" w:firstLineChars="1450"/>
        <w:jc w:val="left"/>
        <w:rPr>
          <w:szCs w:val="21"/>
        </w:rPr>
      </w:pPr>
    </w:p>
    <w:p>
      <w:pPr>
        <w:ind w:firstLine="2100" w:firstLineChars="1000"/>
        <w:jc w:val="left"/>
        <w:rPr>
          <w:szCs w:val="21"/>
        </w:rPr>
      </w:pPr>
      <w:r>
        <w:rPr>
          <w:rFonts w:hint="eastAsia"/>
          <w:szCs w:val="21"/>
        </w:rPr>
        <w:t>表</w:t>
      </w:r>
      <w:r>
        <w:rPr>
          <w:rFonts w:ascii="Times New Roman" w:hAnsi="Times New Roman"/>
          <w:szCs w:val="21"/>
        </w:rPr>
        <w:t>4</w:t>
      </w:r>
      <w:r>
        <w:rPr>
          <w:rFonts w:hint="eastAsia"/>
          <w:szCs w:val="21"/>
        </w:rPr>
        <w:t>盐酸加入量对测定铋标准溶液的影响</w:t>
      </w:r>
    </w:p>
    <w:tbl>
      <w:tblPr>
        <w:tblStyle w:val="32"/>
        <w:tblW w:w="6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967"/>
        <w:gridCol w:w="966"/>
        <w:gridCol w:w="966"/>
        <w:gridCol w:w="966"/>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20" w:type="dxa"/>
            <w:tcBorders>
              <w:tl2br w:val="single" w:color="auto" w:sz="4" w:space="0"/>
            </w:tcBorders>
            <w:vAlign w:val="center"/>
          </w:tcPr>
          <w:p>
            <w:pPr>
              <w:jc w:val="center"/>
              <w:rPr>
                <w:sz w:val="18"/>
                <w:szCs w:val="18"/>
              </w:rPr>
            </w:pPr>
            <w:r>
              <w:rPr>
                <w:rFonts w:hint="eastAsia"/>
                <w:sz w:val="18"/>
                <w:szCs w:val="18"/>
              </w:rPr>
              <w:t>盐酸加入量</w:t>
            </w:r>
            <w:r>
              <w:rPr>
                <w:rFonts w:ascii="Times New Roman" w:hAnsi="Times New Roman"/>
                <w:sz w:val="18"/>
                <w:szCs w:val="18"/>
              </w:rPr>
              <w:t>/mL</w:t>
            </w:r>
          </w:p>
          <w:p>
            <w:pPr>
              <w:jc w:val="center"/>
              <w:rPr>
                <w:sz w:val="18"/>
                <w:szCs w:val="18"/>
              </w:rPr>
            </w:pPr>
          </w:p>
        </w:tc>
        <w:tc>
          <w:tcPr>
            <w:tcW w:w="967" w:type="dxa"/>
            <w:vAlign w:val="center"/>
          </w:tcPr>
          <w:p>
            <w:pPr>
              <w:ind w:firstLine="180" w:firstLineChars="100"/>
              <w:jc w:val="center"/>
              <w:rPr>
                <w:rFonts w:ascii="Times New Roman" w:hAnsi="Times New Roman"/>
                <w:sz w:val="18"/>
                <w:szCs w:val="18"/>
              </w:rPr>
            </w:pPr>
            <w:r>
              <w:rPr>
                <w:rFonts w:ascii="Times New Roman" w:hAnsi="Times New Roman"/>
                <w:sz w:val="18"/>
                <w:szCs w:val="18"/>
              </w:rPr>
              <w:t>2.5</w:t>
            </w:r>
          </w:p>
        </w:tc>
        <w:tc>
          <w:tcPr>
            <w:tcW w:w="966" w:type="dxa"/>
            <w:vAlign w:val="center"/>
          </w:tcPr>
          <w:p>
            <w:pPr>
              <w:ind w:firstLine="360" w:firstLineChars="200"/>
              <w:jc w:val="center"/>
              <w:rPr>
                <w:rFonts w:ascii="Times New Roman" w:hAnsi="Times New Roman"/>
                <w:sz w:val="18"/>
                <w:szCs w:val="18"/>
              </w:rPr>
            </w:pPr>
            <w:r>
              <w:rPr>
                <w:rFonts w:ascii="Times New Roman" w:hAnsi="Times New Roman"/>
                <w:sz w:val="18"/>
                <w:szCs w:val="18"/>
              </w:rPr>
              <w:t>5</w:t>
            </w:r>
          </w:p>
        </w:tc>
        <w:tc>
          <w:tcPr>
            <w:tcW w:w="966" w:type="dxa"/>
            <w:vAlign w:val="center"/>
          </w:tcPr>
          <w:p>
            <w:pPr>
              <w:ind w:firstLine="360" w:firstLineChars="200"/>
              <w:jc w:val="center"/>
              <w:rPr>
                <w:rFonts w:ascii="Times New Roman" w:hAnsi="Times New Roman"/>
                <w:sz w:val="18"/>
                <w:szCs w:val="18"/>
              </w:rPr>
            </w:pPr>
            <w:r>
              <w:rPr>
                <w:rFonts w:ascii="Times New Roman" w:hAnsi="Times New Roman"/>
                <w:sz w:val="18"/>
                <w:szCs w:val="18"/>
              </w:rPr>
              <w:t>10</w:t>
            </w:r>
          </w:p>
        </w:tc>
        <w:tc>
          <w:tcPr>
            <w:tcW w:w="966" w:type="dxa"/>
            <w:vAlign w:val="center"/>
          </w:tcPr>
          <w:p>
            <w:pPr>
              <w:ind w:firstLine="180" w:firstLineChars="100"/>
              <w:jc w:val="center"/>
              <w:rPr>
                <w:rFonts w:ascii="Times New Roman" w:hAnsi="Times New Roman"/>
                <w:sz w:val="18"/>
                <w:szCs w:val="18"/>
              </w:rPr>
            </w:pPr>
            <w:r>
              <w:rPr>
                <w:rFonts w:ascii="Times New Roman" w:hAnsi="Times New Roman"/>
                <w:sz w:val="18"/>
                <w:szCs w:val="18"/>
              </w:rPr>
              <w:t>15</w:t>
            </w:r>
          </w:p>
        </w:tc>
        <w:tc>
          <w:tcPr>
            <w:tcW w:w="966" w:type="dxa"/>
            <w:vAlign w:val="center"/>
          </w:tcPr>
          <w:p>
            <w:pPr>
              <w:ind w:firstLine="180" w:firstLineChars="100"/>
              <w:jc w:val="center"/>
              <w:rPr>
                <w:rFonts w:ascii="Times New Roman" w:hAnsi="Times New Roman"/>
                <w:sz w:val="18"/>
                <w:szCs w:val="18"/>
              </w:rPr>
            </w:pPr>
            <w:r>
              <w:rPr>
                <w:rFonts w:ascii="Times New Roman" w:hAnsi="Times New Roman"/>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20" w:type="dxa"/>
            <w:vAlign w:val="center"/>
          </w:tcPr>
          <w:p>
            <w:pPr>
              <w:jc w:val="center"/>
              <w:rPr>
                <w:sz w:val="18"/>
                <w:szCs w:val="18"/>
              </w:rPr>
            </w:pPr>
            <w:r>
              <w:rPr>
                <w:rFonts w:ascii="Times New Roman" w:hAnsi="Times New Roman"/>
                <w:sz w:val="18"/>
                <w:szCs w:val="18"/>
              </w:rPr>
              <w:t>6.00µg Bi</w:t>
            </w:r>
            <w:r>
              <w:rPr>
                <w:rFonts w:hint="eastAsia"/>
                <w:sz w:val="18"/>
                <w:szCs w:val="18"/>
              </w:rPr>
              <w:t>吸光度</w:t>
            </w:r>
          </w:p>
        </w:tc>
        <w:tc>
          <w:tcPr>
            <w:tcW w:w="967" w:type="dxa"/>
            <w:vAlign w:val="center"/>
          </w:tcPr>
          <w:p>
            <w:pPr>
              <w:jc w:val="center"/>
              <w:rPr>
                <w:rFonts w:ascii="Times New Roman" w:hAnsi="Times New Roman"/>
                <w:sz w:val="18"/>
                <w:szCs w:val="18"/>
              </w:rPr>
            </w:pPr>
            <w:r>
              <w:rPr>
                <w:rFonts w:ascii="Times New Roman" w:hAnsi="Times New Roman"/>
                <w:sz w:val="18"/>
                <w:szCs w:val="18"/>
              </w:rPr>
              <w:t>0.1137</w:t>
            </w:r>
          </w:p>
        </w:tc>
        <w:tc>
          <w:tcPr>
            <w:tcW w:w="966" w:type="dxa"/>
            <w:vAlign w:val="center"/>
          </w:tcPr>
          <w:p>
            <w:pPr>
              <w:jc w:val="center"/>
              <w:rPr>
                <w:rFonts w:ascii="Times New Roman" w:hAnsi="Times New Roman"/>
                <w:sz w:val="18"/>
                <w:szCs w:val="18"/>
              </w:rPr>
            </w:pPr>
            <w:r>
              <w:rPr>
                <w:rFonts w:ascii="Times New Roman" w:hAnsi="Times New Roman"/>
                <w:sz w:val="18"/>
                <w:szCs w:val="18"/>
              </w:rPr>
              <w:t>0.1121</w:t>
            </w:r>
          </w:p>
        </w:tc>
        <w:tc>
          <w:tcPr>
            <w:tcW w:w="966" w:type="dxa"/>
            <w:vAlign w:val="center"/>
          </w:tcPr>
          <w:p>
            <w:pPr>
              <w:jc w:val="center"/>
              <w:rPr>
                <w:rFonts w:ascii="Times New Roman" w:hAnsi="Times New Roman"/>
                <w:sz w:val="18"/>
                <w:szCs w:val="18"/>
              </w:rPr>
            </w:pPr>
            <w:r>
              <w:rPr>
                <w:rFonts w:ascii="Times New Roman" w:hAnsi="Times New Roman"/>
                <w:sz w:val="18"/>
                <w:szCs w:val="18"/>
              </w:rPr>
              <w:t>0.1149</w:t>
            </w:r>
          </w:p>
        </w:tc>
        <w:tc>
          <w:tcPr>
            <w:tcW w:w="966" w:type="dxa"/>
            <w:vAlign w:val="center"/>
          </w:tcPr>
          <w:p>
            <w:pPr>
              <w:jc w:val="center"/>
              <w:rPr>
                <w:rFonts w:ascii="Times New Roman" w:hAnsi="Times New Roman"/>
                <w:sz w:val="18"/>
                <w:szCs w:val="18"/>
              </w:rPr>
            </w:pPr>
            <w:r>
              <w:rPr>
                <w:rFonts w:ascii="Times New Roman" w:hAnsi="Times New Roman"/>
                <w:sz w:val="18"/>
                <w:szCs w:val="18"/>
              </w:rPr>
              <w:t>0.1127</w:t>
            </w:r>
          </w:p>
        </w:tc>
        <w:tc>
          <w:tcPr>
            <w:tcW w:w="966" w:type="dxa"/>
            <w:vAlign w:val="center"/>
          </w:tcPr>
          <w:p>
            <w:pPr>
              <w:jc w:val="center"/>
              <w:rPr>
                <w:rFonts w:ascii="Times New Roman" w:hAnsi="Times New Roman"/>
                <w:sz w:val="18"/>
                <w:szCs w:val="18"/>
              </w:rPr>
            </w:pPr>
            <w:r>
              <w:rPr>
                <w:rFonts w:ascii="Times New Roman" w:hAnsi="Times New Roman"/>
                <w:sz w:val="18"/>
                <w:szCs w:val="18"/>
              </w:rPr>
              <w:t>0.1138</w:t>
            </w:r>
          </w:p>
        </w:tc>
      </w:tr>
    </w:tbl>
    <w:p>
      <w:pPr>
        <w:ind w:firstLine="270" w:firstLineChars="150"/>
        <w:jc w:val="left"/>
        <w:rPr>
          <w:sz w:val="18"/>
          <w:szCs w:val="18"/>
        </w:rPr>
      </w:pPr>
    </w:p>
    <w:p>
      <w:pPr>
        <w:ind w:firstLine="630" w:firstLineChars="300"/>
        <w:jc w:val="left"/>
        <w:rPr>
          <w:szCs w:val="21"/>
        </w:rPr>
      </w:pPr>
      <w:r>
        <w:rPr>
          <w:rFonts w:hint="eastAsia"/>
          <w:szCs w:val="21"/>
        </w:rPr>
        <w:t>试验表明，在测定铋标准溶液时，加入</w:t>
      </w:r>
      <w:r>
        <w:rPr>
          <w:rFonts w:ascii="Times New Roman" w:hAnsi="Times New Roman"/>
          <w:szCs w:val="21"/>
        </w:rPr>
        <w:t xml:space="preserve"> 2.5 mL~20 mL</w:t>
      </w:r>
      <w:r>
        <w:rPr>
          <w:rFonts w:hint="eastAsia"/>
          <w:szCs w:val="21"/>
        </w:rPr>
        <w:t>盐酸铋吸光度基本不变。</w:t>
      </w:r>
    </w:p>
    <w:p>
      <w:pPr>
        <w:jc w:val="left"/>
        <w:rPr>
          <w:rFonts w:ascii="黑体" w:hAnsi="黑体" w:eastAsia="黑体"/>
          <w:szCs w:val="21"/>
        </w:rPr>
      </w:pPr>
      <w:r>
        <w:rPr>
          <w:rFonts w:ascii="Times New Roman" w:hAnsi="Times New Roman" w:eastAsia="黑体"/>
          <w:szCs w:val="21"/>
        </w:rPr>
        <w:t>2.2.1.1.2</w:t>
      </w:r>
      <w:r>
        <w:rPr>
          <w:rFonts w:ascii="黑体" w:hAnsi="黑体" w:eastAsia="黑体"/>
          <w:szCs w:val="21"/>
        </w:rPr>
        <w:t xml:space="preserve"> </w:t>
      </w:r>
      <w:r>
        <w:rPr>
          <w:rFonts w:hint="eastAsia" w:ascii="黑体" w:hAnsi="黑体" w:eastAsia="黑体"/>
          <w:szCs w:val="21"/>
        </w:rPr>
        <w:t xml:space="preserve"> 盐酸加入量对测定样品溶液的影响。</w:t>
      </w:r>
    </w:p>
    <w:p>
      <w:pPr>
        <w:ind w:firstLine="3255" w:firstLineChars="1550"/>
        <w:jc w:val="left"/>
        <w:rPr>
          <w:szCs w:val="21"/>
        </w:rPr>
      </w:pPr>
    </w:p>
    <w:p>
      <w:pPr>
        <w:ind w:firstLine="2310" w:firstLineChars="1100"/>
        <w:jc w:val="left"/>
        <w:rPr>
          <w:szCs w:val="21"/>
        </w:rPr>
      </w:pPr>
      <w:r>
        <w:rPr>
          <w:rFonts w:hint="eastAsia"/>
          <w:szCs w:val="21"/>
        </w:rPr>
        <w:t>表</w:t>
      </w:r>
      <w:r>
        <w:rPr>
          <w:rFonts w:ascii="Times New Roman" w:hAnsi="Times New Roman"/>
          <w:szCs w:val="21"/>
        </w:rPr>
        <w:t>5</w:t>
      </w:r>
      <w:r>
        <w:rPr>
          <w:rFonts w:hint="eastAsia"/>
          <w:szCs w:val="21"/>
        </w:rPr>
        <w:t>盐酸加入量对测定样品溶液的影响</w:t>
      </w:r>
    </w:p>
    <w:tbl>
      <w:tblPr>
        <w:tblStyle w:val="32"/>
        <w:tblW w:w="6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967"/>
        <w:gridCol w:w="966"/>
        <w:gridCol w:w="966"/>
        <w:gridCol w:w="966"/>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20" w:type="dxa"/>
            <w:tcBorders>
              <w:tl2br w:val="single" w:color="auto" w:sz="4" w:space="0"/>
            </w:tcBorders>
            <w:vAlign w:val="center"/>
          </w:tcPr>
          <w:p>
            <w:pPr>
              <w:jc w:val="center"/>
              <w:rPr>
                <w:sz w:val="18"/>
                <w:szCs w:val="18"/>
              </w:rPr>
            </w:pPr>
            <w:r>
              <w:rPr>
                <w:rFonts w:hint="eastAsia"/>
                <w:sz w:val="18"/>
                <w:szCs w:val="18"/>
              </w:rPr>
              <w:t>盐酸加入量</w:t>
            </w:r>
            <w:r>
              <w:rPr>
                <w:rFonts w:ascii="Times New Roman" w:hAnsi="Times New Roman"/>
                <w:sz w:val="18"/>
                <w:szCs w:val="18"/>
              </w:rPr>
              <w:t>/mL</w:t>
            </w:r>
          </w:p>
          <w:p>
            <w:pPr>
              <w:jc w:val="center"/>
              <w:rPr>
                <w:sz w:val="18"/>
                <w:szCs w:val="18"/>
              </w:rPr>
            </w:pPr>
          </w:p>
        </w:tc>
        <w:tc>
          <w:tcPr>
            <w:tcW w:w="967" w:type="dxa"/>
            <w:vAlign w:val="center"/>
          </w:tcPr>
          <w:p>
            <w:pPr>
              <w:ind w:firstLine="180" w:firstLineChars="100"/>
              <w:jc w:val="center"/>
              <w:rPr>
                <w:rFonts w:ascii="Times New Roman" w:hAnsi="Times New Roman"/>
                <w:sz w:val="18"/>
                <w:szCs w:val="18"/>
              </w:rPr>
            </w:pPr>
            <w:r>
              <w:rPr>
                <w:rFonts w:ascii="Times New Roman" w:hAnsi="Times New Roman"/>
                <w:sz w:val="18"/>
                <w:szCs w:val="18"/>
              </w:rPr>
              <w:t>2.5</w:t>
            </w:r>
          </w:p>
        </w:tc>
        <w:tc>
          <w:tcPr>
            <w:tcW w:w="966" w:type="dxa"/>
            <w:vAlign w:val="center"/>
          </w:tcPr>
          <w:p>
            <w:pPr>
              <w:ind w:firstLine="360" w:firstLineChars="200"/>
              <w:jc w:val="center"/>
              <w:rPr>
                <w:rFonts w:ascii="Times New Roman" w:hAnsi="Times New Roman"/>
                <w:sz w:val="18"/>
                <w:szCs w:val="18"/>
              </w:rPr>
            </w:pPr>
            <w:r>
              <w:rPr>
                <w:rFonts w:ascii="Times New Roman" w:hAnsi="Times New Roman"/>
                <w:sz w:val="18"/>
                <w:szCs w:val="18"/>
              </w:rPr>
              <w:t>5</w:t>
            </w:r>
          </w:p>
        </w:tc>
        <w:tc>
          <w:tcPr>
            <w:tcW w:w="966" w:type="dxa"/>
            <w:vAlign w:val="center"/>
          </w:tcPr>
          <w:p>
            <w:pPr>
              <w:ind w:firstLine="180" w:firstLineChars="100"/>
              <w:jc w:val="center"/>
              <w:rPr>
                <w:rFonts w:ascii="Times New Roman" w:hAnsi="Times New Roman"/>
                <w:sz w:val="18"/>
                <w:szCs w:val="18"/>
              </w:rPr>
            </w:pPr>
            <w:r>
              <w:rPr>
                <w:rFonts w:ascii="Times New Roman" w:hAnsi="Times New Roman"/>
                <w:sz w:val="18"/>
                <w:szCs w:val="18"/>
              </w:rPr>
              <w:t>10</w:t>
            </w:r>
          </w:p>
        </w:tc>
        <w:tc>
          <w:tcPr>
            <w:tcW w:w="966" w:type="dxa"/>
            <w:vAlign w:val="center"/>
          </w:tcPr>
          <w:p>
            <w:pPr>
              <w:ind w:firstLine="180" w:firstLineChars="100"/>
              <w:jc w:val="center"/>
              <w:rPr>
                <w:rFonts w:ascii="Times New Roman" w:hAnsi="Times New Roman"/>
                <w:sz w:val="18"/>
                <w:szCs w:val="18"/>
              </w:rPr>
            </w:pPr>
            <w:r>
              <w:rPr>
                <w:rFonts w:ascii="Times New Roman" w:hAnsi="Times New Roman"/>
                <w:sz w:val="18"/>
                <w:szCs w:val="18"/>
              </w:rPr>
              <w:t>15</w:t>
            </w:r>
          </w:p>
        </w:tc>
        <w:tc>
          <w:tcPr>
            <w:tcW w:w="966" w:type="dxa"/>
            <w:vAlign w:val="center"/>
          </w:tcPr>
          <w:p>
            <w:pPr>
              <w:ind w:firstLine="180" w:firstLineChars="100"/>
              <w:jc w:val="center"/>
              <w:rPr>
                <w:rFonts w:ascii="Times New Roman" w:hAnsi="Times New Roman"/>
                <w:sz w:val="18"/>
                <w:szCs w:val="18"/>
              </w:rPr>
            </w:pPr>
            <w:r>
              <w:rPr>
                <w:rFonts w:ascii="Times New Roman" w:hAnsi="Times New Roman"/>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20" w:type="dxa"/>
            <w:vAlign w:val="center"/>
          </w:tcPr>
          <w:p>
            <w:pPr>
              <w:jc w:val="center"/>
              <w:rPr>
                <w:sz w:val="18"/>
                <w:szCs w:val="18"/>
              </w:rPr>
            </w:pPr>
            <w:r>
              <w:rPr>
                <w:rFonts w:hint="eastAsia"/>
                <w:sz w:val="18"/>
                <w:szCs w:val="18"/>
              </w:rPr>
              <w:t>样品溶液现象</w:t>
            </w:r>
          </w:p>
        </w:tc>
        <w:tc>
          <w:tcPr>
            <w:tcW w:w="967" w:type="dxa"/>
            <w:vAlign w:val="center"/>
          </w:tcPr>
          <w:p>
            <w:pPr>
              <w:jc w:val="center"/>
              <w:rPr>
                <w:sz w:val="18"/>
                <w:szCs w:val="18"/>
              </w:rPr>
            </w:pPr>
            <w:r>
              <w:rPr>
                <w:rFonts w:hint="eastAsia"/>
                <w:sz w:val="18"/>
                <w:szCs w:val="18"/>
              </w:rPr>
              <w:t>浑浊</w:t>
            </w:r>
          </w:p>
        </w:tc>
        <w:tc>
          <w:tcPr>
            <w:tcW w:w="966" w:type="dxa"/>
            <w:vAlign w:val="center"/>
          </w:tcPr>
          <w:p>
            <w:pPr>
              <w:jc w:val="center"/>
              <w:rPr>
                <w:sz w:val="18"/>
                <w:szCs w:val="18"/>
              </w:rPr>
            </w:pPr>
            <w:r>
              <w:rPr>
                <w:rFonts w:hint="eastAsia"/>
                <w:sz w:val="18"/>
                <w:szCs w:val="18"/>
              </w:rPr>
              <w:t>浑浊</w:t>
            </w:r>
          </w:p>
        </w:tc>
        <w:tc>
          <w:tcPr>
            <w:tcW w:w="966" w:type="dxa"/>
            <w:vAlign w:val="center"/>
          </w:tcPr>
          <w:p>
            <w:pPr>
              <w:jc w:val="center"/>
              <w:rPr>
                <w:sz w:val="18"/>
                <w:szCs w:val="18"/>
              </w:rPr>
            </w:pPr>
            <w:r>
              <w:rPr>
                <w:rFonts w:hint="eastAsia"/>
                <w:sz w:val="18"/>
                <w:szCs w:val="18"/>
              </w:rPr>
              <w:t>清亮</w:t>
            </w:r>
          </w:p>
        </w:tc>
        <w:tc>
          <w:tcPr>
            <w:tcW w:w="966" w:type="dxa"/>
            <w:vAlign w:val="center"/>
          </w:tcPr>
          <w:p>
            <w:pPr>
              <w:jc w:val="center"/>
              <w:rPr>
                <w:sz w:val="18"/>
                <w:szCs w:val="18"/>
              </w:rPr>
            </w:pPr>
            <w:r>
              <w:rPr>
                <w:rFonts w:hint="eastAsia"/>
                <w:sz w:val="18"/>
                <w:szCs w:val="18"/>
              </w:rPr>
              <w:t>清亮</w:t>
            </w:r>
          </w:p>
        </w:tc>
        <w:tc>
          <w:tcPr>
            <w:tcW w:w="966" w:type="dxa"/>
            <w:vAlign w:val="center"/>
          </w:tcPr>
          <w:p>
            <w:pPr>
              <w:jc w:val="center"/>
              <w:rPr>
                <w:sz w:val="18"/>
                <w:szCs w:val="18"/>
              </w:rPr>
            </w:pPr>
            <w:r>
              <w:rPr>
                <w:rFonts w:hint="eastAsia"/>
                <w:sz w:val="18"/>
                <w:szCs w:val="18"/>
              </w:rPr>
              <w:t>清亮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20" w:type="dxa"/>
            <w:vAlign w:val="center"/>
          </w:tcPr>
          <w:p>
            <w:pPr>
              <w:jc w:val="center"/>
              <w:rPr>
                <w:sz w:val="18"/>
                <w:szCs w:val="18"/>
              </w:rPr>
            </w:pPr>
            <w:r>
              <w:rPr>
                <w:rFonts w:hint="eastAsia"/>
                <w:sz w:val="18"/>
                <w:szCs w:val="18"/>
              </w:rPr>
              <w:t>样品分析结果</w:t>
            </w:r>
          </w:p>
        </w:tc>
        <w:tc>
          <w:tcPr>
            <w:tcW w:w="967" w:type="dxa"/>
            <w:vAlign w:val="center"/>
          </w:tcPr>
          <w:p>
            <w:pPr>
              <w:jc w:val="center"/>
              <w:rPr>
                <w:rFonts w:ascii="Times New Roman" w:hAnsi="Times New Roman"/>
                <w:sz w:val="18"/>
                <w:szCs w:val="18"/>
              </w:rPr>
            </w:pPr>
            <w:r>
              <w:rPr>
                <w:rFonts w:ascii="Times New Roman" w:hAnsi="Times New Roman"/>
                <w:sz w:val="18"/>
                <w:szCs w:val="18"/>
              </w:rPr>
              <w:t>1.96</w:t>
            </w:r>
          </w:p>
        </w:tc>
        <w:tc>
          <w:tcPr>
            <w:tcW w:w="966" w:type="dxa"/>
            <w:vAlign w:val="center"/>
          </w:tcPr>
          <w:p>
            <w:pPr>
              <w:jc w:val="center"/>
              <w:rPr>
                <w:rFonts w:ascii="Times New Roman" w:hAnsi="Times New Roman"/>
                <w:sz w:val="18"/>
                <w:szCs w:val="18"/>
              </w:rPr>
            </w:pPr>
            <w:r>
              <w:rPr>
                <w:rFonts w:ascii="Times New Roman" w:hAnsi="Times New Roman"/>
                <w:sz w:val="18"/>
                <w:szCs w:val="18"/>
              </w:rPr>
              <w:t>1.98</w:t>
            </w:r>
          </w:p>
        </w:tc>
        <w:tc>
          <w:tcPr>
            <w:tcW w:w="966" w:type="dxa"/>
            <w:vAlign w:val="center"/>
          </w:tcPr>
          <w:p>
            <w:pPr>
              <w:jc w:val="center"/>
              <w:rPr>
                <w:rFonts w:ascii="Times New Roman" w:hAnsi="Times New Roman"/>
                <w:sz w:val="18"/>
                <w:szCs w:val="18"/>
              </w:rPr>
            </w:pPr>
            <w:r>
              <w:rPr>
                <w:rFonts w:ascii="Times New Roman" w:hAnsi="Times New Roman"/>
                <w:sz w:val="18"/>
                <w:szCs w:val="18"/>
              </w:rPr>
              <w:t>1.96</w:t>
            </w:r>
          </w:p>
        </w:tc>
        <w:tc>
          <w:tcPr>
            <w:tcW w:w="966" w:type="dxa"/>
            <w:vAlign w:val="center"/>
          </w:tcPr>
          <w:p>
            <w:pPr>
              <w:jc w:val="center"/>
              <w:rPr>
                <w:rFonts w:ascii="Times New Roman" w:hAnsi="Times New Roman"/>
                <w:sz w:val="18"/>
                <w:szCs w:val="18"/>
              </w:rPr>
            </w:pPr>
            <w:r>
              <w:rPr>
                <w:rFonts w:ascii="Times New Roman" w:hAnsi="Times New Roman"/>
                <w:sz w:val="18"/>
                <w:szCs w:val="18"/>
              </w:rPr>
              <w:t>1.92</w:t>
            </w:r>
          </w:p>
        </w:tc>
        <w:tc>
          <w:tcPr>
            <w:tcW w:w="966" w:type="dxa"/>
            <w:vAlign w:val="center"/>
          </w:tcPr>
          <w:p>
            <w:pPr>
              <w:jc w:val="center"/>
              <w:rPr>
                <w:rFonts w:ascii="Times New Roman" w:hAnsi="Times New Roman"/>
                <w:sz w:val="18"/>
                <w:szCs w:val="18"/>
              </w:rPr>
            </w:pPr>
            <w:r>
              <w:rPr>
                <w:rFonts w:ascii="Times New Roman" w:hAnsi="Times New Roman"/>
                <w:sz w:val="18"/>
                <w:szCs w:val="18"/>
              </w:rPr>
              <w:t>1.95</w:t>
            </w:r>
          </w:p>
        </w:tc>
      </w:tr>
    </w:tbl>
    <w:p>
      <w:pPr>
        <w:ind w:firstLine="270" w:firstLineChars="150"/>
        <w:jc w:val="left"/>
        <w:rPr>
          <w:sz w:val="18"/>
          <w:szCs w:val="18"/>
        </w:rPr>
      </w:pPr>
    </w:p>
    <w:p>
      <w:pPr>
        <w:ind w:firstLine="525" w:firstLineChars="250"/>
        <w:jc w:val="left"/>
        <w:rPr>
          <w:szCs w:val="21"/>
        </w:rPr>
      </w:pPr>
      <w:r>
        <w:rPr>
          <w:rFonts w:hint="eastAsia"/>
          <w:szCs w:val="21"/>
        </w:rPr>
        <w:t>试验表明，加入</w:t>
      </w:r>
      <w:r>
        <w:rPr>
          <w:rFonts w:ascii="Times New Roman" w:hAnsi="Times New Roman"/>
          <w:szCs w:val="21"/>
        </w:rPr>
        <w:t>2.5 mL~ 5 mL</w:t>
      </w:r>
      <w:r>
        <w:rPr>
          <w:rFonts w:hint="eastAsia"/>
          <w:szCs w:val="21"/>
        </w:rPr>
        <w:t>盐酸（</w:t>
      </w:r>
      <w:r>
        <w:rPr>
          <w:rFonts w:ascii="Times New Roman" w:hAnsi="Times New Roman"/>
          <w:szCs w:val="21"/>
        </w:rPr>
        <w:t xml:space="preserve">1.2.4 </w:t>
      </w:r>
      <w:r>
        <w:rPr>
          <w:rFonts w:hint="eastAsia"/>
          <w:szCs w:val="21"/>
        </w:rPr>
        <w:t>）时，分析结果稳定，但样品溶液浑浊，容易污染原子吸收光谱仪的雾化室，而且毛细管容易堵塞。加入</w:t>
      </w:r>
      <w:r>
        <w:rPr>
          <w:rFonts w:ascii="Times New Roman" w:hAnsi="Times New Roman"/>
          <w:szCs w:val="21"/>
        </w:rPr>
        <w:t>10 mL~20 mL</w:t>
      </w:r>
      <w:r>
        <w:rPr>
          <w:rFonts w:hint="eastAsia"/>
          <w:szCs w:val="21"/>
        </w:rPr>
        <w:t>盐酸</w:t>
      </w:r>
      <w:r>
        <w:rPr>
          <w:rFonts w:ascii="Times New Roman" w:hAnsi="Times New Roman"/>
          <w:szCs w:val="21"/>
        </w:rPr>
        <w:t xml:space="preserve">（1.2.4 </w:t>
      </w:r>
      <w:r>
        <w:rPr>
          <w:rFonts w:hint="eastAsia"/>
          <w:szCs w:val="21"/>
        </w:rPr>
        <w:t>）时样品溶液清亮，铋分析结果稳定。</w:t>
      </w:r>
    </w:p>
    <w:p>
      <w:pPr>
        <w:jc w:val="left"/>
        <w:rPr>
          <w:rFonts w:ascii="黑体" w:hAnsi="黑体" w:eastAsia="黑体"/>
          <w:szCs w:val="21"/>
        </w:rPr>
      </w:pPr>
      <w:r>
        <w:rPr>
          <w:rFonts w:ascii="Times New Roman" w:hAnsi="Times New Roman" w:eastAsia="黑体"/>
          <w:szCs w:val="21"/>
        </w:rPr>
        <w:t xml:space="preserve">2.2.1.2 </w:t>
      </w:r>
      <w:r>
        <w:rPr>
          <w:rFonts w:hint="eastAsia" w:ascii="黑体" w:hAnsi="黑体" w:eastAsia="黑体"/>
          <w:szCs w:val="21"/>
        </w:rPr>
        <w:t xml:space="preserve"> 硝酸介质</w:t>
      </w:r>
    </w:p>
    <w:p>
      <w:pPr>
        <w:jc w:val="left"/>
        <w:rPr>
          <w:rFonts w:ascii="黑体" w:hAnsi="黑体" w:eastAsia="黑体"/>
          <w:szCs w:val="21"/>
        </w:rPr>
      </w:pPr>
      <w:r>
        <w:rPr>
          <w:rFonts w:ascii="Times New Roman" w:hAnsi="Times New Roman" w:eastAsia="黑体"/>
          <w:szCs w:val="21"/>
        </w:rPr>
        <w:t>2.2.1.2.1</w:t>
      </w:r>
      <w:r>
        <w:rPr>
          <w:rFonts w:hint="eastAsia" w:ascii="黑体" w:hAnsi="黑体" w:eastAsia="黑体"/>
          <w:szCs w:val="21"/>
        </w:rPr>
        <w:t xml:space="preserve">  硝酸加入量对测定铋标准溶液的影响</w:t>
      </w:r>
    </w:p>
    <w:p>
      <w:pPr>
        <w:ind w:firstLine="420" w:firstLineChars="200"/>
        <w:jc w:val="left"/>
        <w:rPr>
          <w:szCs w:val="21"/>
        </w:rPr>
      </w:pPr>
      <w:r>
        <w:rPr>
          <w:rFonts w:hint="eastAsia"/>
          <w:szCs w:val="21"/>
        </w:rPr>
        <w:t>分别移取</w:t>
      </w:r>
      <w:r>
        <w:rPr>
          <w:rFonts w:ascii="Times New Roman" w:hAnsi="Times New Roman"/>
          <w:szCs w:val="21"/>
        </w:rPr>
        <w:t>6.00 mL</w:t>
      </w:r>
      <w:r>
        <w:rPr>
          <w:rFonts w:hint="eastAsia"/>
          <w:szCs w:val="21"/>
        </w:rPr>
        <w:t>铋标准溶液（</w:t>
      </w:r>
      <w:r>
        <w:rPr>
          <w:rFonts w:ascii="Times New Roman" w:hAnsi="Times New Roman"/>
          <w:szCs w:val="21"/>
        </w:rPr>
        <w:t>1.2.13</w:t>
      </w:r>
      <w:r>
        <w:rPr>
          <w:rFonts w:hint="eastAsia"/>
          <w:szCs w:val="21"/>
        </w:rPr>
        <w:t>）于一组</w:t>
      </w:r>
      <w:r>
        <w:rPr>
          <w:rFonts w:ascii="Times New Roman" w:hAnsi="Times New Roman"/>
          <w:szCs w:val="21"/>
        </w:rPr>
        <w:t>100 mL</w:t>
      </w:r>
      <w:r>
        <w:rPr>
          <w:rFonts w:hint="eastAsia"/>
          <w:szCs w:val="21"/>
        </w:rPr>
        <w:t>容量瓶，分别加入</w:t>
      </w:r>
      <w:r>
        <w:rPr>
          <w:szCs w:val="21"/>
        </w:rPr>
        <w:t xml:space="preserve"> 2</w:t>
      </w:r>
      <w:r>
        <w:rPr>
          <w:rFonts w:ascii="Times New Roman" w:hAnsi="Times New Roman"/>
          <w:szCs w:val="21"/>
        </w:rPr>
        <w:t>.5 mL~20</w:t>
      </w:r>
      <w:r>
        <w:rPr>
          <w:szCs w:val="21"/>
        </w:rPr>
        <w:t xml:space="preserve"> </w:t>
      </w:r>
      <w:r>
        <w:rPr>
          <w:rFonts w:ascii="Times New Roman" w:hAnsi="Times New Roman"/>
          <w:szCs w:val="21"/>
        </w:rPr>
        <w:t>m</w:t>
      </w:r>
      <w:r>
        <w:rPr>
          <w:szCs w:val="21"/>
        </w:rPr>
        <w:t>L</w:t>
      </w:r>
      <w:r>
        <w:rPr>
          <w:rFonts w:hint="eastAsia"/>
          <w:szCs w:val="21"/>
        </w:rPr>
        <w:t>硝酸（</w:t>
      </w:r>
      <w:r>
        <w:rPr>
          <w:rFonts w:ascii="Times New Roman" w:hAnsi="Times New Roman"/>
          <w:szCs w:val="21"/>
        </w:rPr>
        <w:t>1.2.</w:t>
      </w:r>
      <w:r>
        <w:rPr>
          <w:rFonts w:hint="eastAsia" w:ascii="Times New Roman" w:hAnsi="Times New Roman"/>
          <w:szCs w:val="21"/>
        </w:rPr>
        <w:t>5</w:t>
      </w:r>
      <w:r>
        <w:rPr>
          <w:rFonts w:hint="eastAsia"/>
          <w:szCs w:val="21"/>
        </w:rPr>
        <w:t>），其他条件不变，考察硝酸酸度对测定的影响。</w:t>
      </w:r>
    </w:p>
    <w:p>
      <w:pPr>
        <w:ind w:firstLine="3465" w:firstLineChars="1650"/>
        <w:jc w:val="left"/>
        <w:rPr>
          <w:szCs w:val="21"/>
        </w:rPr>
      </w:pPr>
    </w:p>
    <w:p>
      <w:pPr>
        <w:ind w:firstLine="2520" w:firstLineChars="1200"/>
        <w:jc w:val="left"/>
        <w:rPr>
          <w:szCs w:val="21"/>
        </w:rPr>
      </w:pPr>
      <w:r>
        <w:rPr>
          <w:rFonts w:hint="eastAsia"/>
          <w:szCs w:val="21"/>
        </w:rPr>
        <w:t>表</w:t>
      </w:r>
      <w:r>
        <w:rPr>
          <w:rFonts w:ascii="Times New Roman" w:hAnsi="Times New Roman"/>
          <w:szCs w:val="21"/>
        </w:rPr>
        <w:t>6</w:t>
      </w:r>
      <w:r>
        <w:rPr>
          <w:rFonts w:hint="eastAsia"/>
          <w:szCs w:val="21"/>
        </w:rPr>
        <w:t>硝酸加入量对测定铋标准溶液的影响</w:t>
      </w:r>
    </w:p>
    <w:tbl>
      <w:tblPr>
        <w:tblStyle w:val="32"/>
        <w:tblW w:w="6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967"/>
        <w:gridCol w:w="966"/>
        <w:gridCol w:w="966"/>
        <w:gridCol w:w="966"/>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20" w:type="dxa"/>
            <w:tcBorders>
              <w:tl2br w:val="single" w:color="auto" w:sz="4" w:space="0"/>
            </w:tcBorders>
            <w:vAlign w:val="center"/>
          </w:tcPr>
          <w:p>
            <w:pPr>
              <w:jc w:val="center"/>
              <w:rPr>
                <w:sz w:val="18"/>
                <w:szCs w:val="18"/>
              </w:rPr>
            </w:pPr>
            <w:r>
              <w:rPr>
                <w:rFonts w:hint="eastAsia"/>
                <w:sz w:val="18"/>
                <w:szCs w:val="18"/>
              </w:rPr>
              <w:t>硝酸加入量</w:t>
            </w:r>
            <w:r>
              <w:rPr>
                <w:rFonts w:ascii="Times New Roman" w:hAnsi="Times New Roman"/>
                <w:sz w:val="18"/>
                <w:szCs w:val="18"/>
              </w:rPr>
              <w:t>/mL</w:t>
            </w:r>
          </w:p>
          <w:p>
            <w:pPr>
              <w:jc w:val="center"/>
              <w:rPr>
                <w:sz w:val="18"/>
                <w:szCs w:val="18"/>
              </w:rPr>
            </w:pPr>
          </w:p>
        </w:tc>
        <w:tc>
          <w:tcPr>
            <w:tcW w:w="967" w:type="dxa"/>
            <w:vAlign w:val="center"/>
          </w:tcPr>
          <w:p>
            <w:pPr>
              <w:ind w:firstLine="180" w:firstLineChars="100"/>
              <w:jc w:val="center"/>
              <w:rPr>
                <w:rFonts w:ascii="Times New Roman" w:hAnsi="Times New Roman"/>
                <w:sz w:val="18"/>
                <w:szCs w:val="18"/>
              </w:rPr>
            </w:pPr>
            <w:r>
              <w:rPr>
                <w:rFonts w:ascii="Times New Roman" w:hAnsi="Times New Roman"/>
                <w:sz w:val="18"/>
                <w:szCs w:val="18"/>
              </w:rPr>
              <w:t>2.5</w:t>
            </w:r>
          </w:p>
        </w:tc>
        <w:tc>
          <w:tcPr>
            <w:tcW w:w="966" w:type="dxa"/>
            <w:vAlign w:val="center"/>
          </w:tcPr>
          <w:p>
            <w:pPr>
              <w:ind w:firstLine="360" w:firstLineChars="200"/>
              <w:jc w:val="center"/>
              <w:rPr>
                <w:rFonts w:ascii="Times New Roman" w:hAnsi="Times New Roman"/>
                <w:sz w:val="18"/>
                <w:szCs w:val="18"/>
              </w:rPr>
            </w:pPr>
            <w:r>
              <w:rPr>
                <w:rFonts w:ascii="Times New Roman" w:hAnsi="Times New Roman"/>
                <w:sz w:val="18"/>
                <w:szCs w:val="18"/>
              </w:rPr>
              <w:t>5</w:t>
            </w:r>
          </w:p>
        </w:tc>
        <w:tc>
          <w:tcPr>
            <w:tcW w:w="966" w:type="dxa"/>
            <w:vAlign w:val="center"/>
          </w:tcPr>
          <w:p>
            <w:pPr>
              <w:ind w:firstLine="360" w:firstLineChars="200"/>
              <w:jc w:val="center"/>
              <w:rPr>
                <w:rFonts w:ascii="Times New Roman" w:hAnsi="Times New Roman"/>
                <w:sz w:val="18"/>
                <w:szCs w:val="18"/>
              </w:rPr>
            </w:pPr>
            <w:r>
              <w:rPr>
                <w:rFonts w:ascii="Times New Roman" w:hAnsi="Times New Roman"/>
                <w:sz w:val="18"/>
                <w:szCs w:val="18"/>
              </w:rPr>
              <w:t>10</w:t>
            </w:r>
          </w:p>
        </w:tc>
        <w:tc>
          <w:tcPr>
            <w:tcW w:w="966" w:type="dxa"/>
            <w:vAlign w:val="center"/>
          </w:tcPr>
          <w:p>
            <w:pPr>
              <w:ind w:firstLine="180" w:firstLineChars="100"/>
              <w:jc w:val="center"/>
              <w:rPr>
                <w:rFonts w:ascii="Times New Roman" w:hAnsi="Times New Roman"/>
                <w:sz w:val="18"/>
                <w:szCs w:val="18"/>
              </w:rPr>
            </w:pPr>
            <w:r>
              <w:rPr>
                <w:rFonts w:ascii="Times New Roman" w:hAnsi="Times New Roman"/>
                <w:sz w:val="18"/>
                <w:szCs w:val="18"/>
              </w:rPr>
              <w:t>15</w:t>
            </w:r>
          </w:p>
        </w:tc>
        <w:tc>
          <w:tcPr>
            <w:tcW w:w="966" w:type="dxa"/>
            <w:vAlign w:val="center"/>
          </w:tcPr>
          <w:p>
            <w:pPr>
              <w:ind w:firstLine="180" w:firstLineChars="100"/>
              <w:jc w:val="center"/>
              <w:rPr>
                <w:rFonts w:ascii="Times New Roman" w:hAnsi="Times New Roman"/>
                <w:sz w:val="18"/>
                <w:szCs w:val="18"/>
              </w:rPr>
            </w:pPr>
            <w:r>
              <w:rPr>
                <w:rFonts w:ascii="Times New Roman" w:hAnsi="Times New Roman"/>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20" w:type="dxa"/>
            <w:vAlign w:val="center"/>
          </w:tcPr>
          <w:p>
            <w:pPr>
              <w:jc w:val="center"/>
              <w:rPr>
                <w:sz w:val="18"/>
                <w:szCs w:val="18"/>
              </w:rPr>
            </w:pPr>
            <w:r>
              <w:rPr>
                <w:rFonts w:ascii="Times New Roman" w:hAnsi="Times New Roman"/>
                <w:sz w:val="18"/>
                <w:szCs w:val="18"/>
              </w:rPr>
              <w:t>6.00 µg Bi</w:t>
            </w:r>
            <w:r>
              <w:rPr>
                <w:rFonts w:hint="eastAsia"/>
                <w:sz w:val="18"/>
                <w:szCs w:val="18"/>
              </w:rPr>
              <w:t>吸光度</w:t>
            </w:r>
          </w:p>
        </w:tc>
        <w:tc>
          <w:tcPr>
            <w:tcW w:w="967" w:type="dxa"/>
            <w:vAlign w:val="center"/>
          </w:tcPr>
          <w:p>
            <w:pPr>
              <w:jc w:val="center"/>
              <w:rPr>
                <w:rFonts w:ascii="Times New Roman" w:hAnsi="Times New Roman"/>
                <w:sz w:val="18"/>
                <w:szCs w:val="18"/>
              </w:rPr>
            </w:pPr>
            <w:r>
              <w:rPr>
                <w:rFonts w:ascii="Times New Roman" w:hAnsi="Times New Roman"/>
                <w:sz w:val="18"/>
                <w:szCs w:val="18"/>
              </w:rPr>
              <w:t>0.1159</w:t>
            </w:r>
          </w:p>
        </w:tc>
        <w:tc>
          <w:tcPr>
            <w:tcW w:w="966" w:type="dxa"/>
            <w:vAlign w:val="center"/>
          </w:tcPr>
          <w:p>
            <w:pPr>
              <w:jc w:val="center"/>
              <w:rPr>
                <w:rFonts w:ascii="Times New Roman" w:hAnsi="Times New Roman"/>
                <w:sz w:val="18"/>
                <w:szCs w:val="18"/>
              </w:rPr>
            </w:pPr>
            <w:r>
              <w:rPr>
                <w:rFonts w:ascii="Times New Roman" w:hAnsi="Times New Roman"/>
                <w:sz w:val="18"/>
                <w:szCs w:val="18"/>
              </w:rPr>
              <w:t>0.1185</w:t>
            </w:r>
          </w:p>
        </w:tc>
        <w:tc>
          <w:tcPr>
            <w:tcW w:w="966" w:type="dxa"/>
            <w:vAlign w:val="center"/>
          </w:tcPr>
          <w:p>
            <w:pPr>
              <w:jc w:val="center"/>
              <w:rPr>
                <w:rFonts w:ascii="Times New Roman" w:hAnsi="Times New Roman"/>
                <w:sz w:val="18"/>
                <w:szCs w:val="18"/>
              </w:rPr>
            </w:pPr>
            <w:r>
              <w:rPr>
                <w:rFonts w:ascii="Times New Roman" w:hAnsi="Times New Roman"/>
                <w:sz w:val="18"/>
                <w:szCs w:val="18"/>
              </w:rPr>
              <w:t>0.1187</w:t>
            </w:r>
          </w:p>
        </w:tc>
        <w:tc>
          <w:tcPr>
            <w:tcW w:w="966" w:type="dxa"/>
            <w:vAlign w:val="center"/>
          </w:tcPr>
          <w:p>
            <w:pPr>
              <w:jc w:val="center"/>
              <w:rPr>
                <w:rFonts w:ascii="Times New Roman" w:hAnsi="Times New Roman"/>
                <w:sz w:val="18"/>
                <w:szCs w:val="18"/>
              </w:rPr>
            </w:pPr>
            <w:r>
              <w:rPr>
                <w:rFonts w:ascii="Times New Roman" w:hAnsi="Times New Roman"/>
                <w:sz w:val="18"/>
                <w:szCs w:val="18"/>
              </w:rPr>
              <w:t>0.1200</w:t>
            </w:r>
          </w:p>
        </w:tc>
        <w:tc>
          <w:tcPr>
            <w:tcW w:w="966" w:type="dxa"/>
            <w:vAlign w:val="center"/>
          </w:tcPr>
          <w:p>
            <w:pPr>
              <w:jc w:val="center"/>
              <w:rPr>
                <w:rFonts w:ascii="Times New Roman" w:hAnsi="Times New Roman"/>
                <w:sz w:val="18"/>
                <w:szCs w:val="18"/>
              </w:rPr>
            </w:pPr>
            <w:r>
              <w:rPr>
                <w:rFonts w:ascii="Times New Roman" w:hAnsi="Times New Roman"/>
                <w:sz w:val="18"/>
                <w:szCs w:val="18"/>
              </w:rPr>
              <w:t>0.1201</w:t>
            </w:r>
          </w:p>
        </w:tc>
      </w:tr>
    </w:tbl>
    <w:p>
      <w:pPr>
        <w:ind w:firstLine="270" w:firstLineChars="150"/>
        <w:jc w:val="left"/>
        <w:rPr>
          <w:sz w:val="18"/>
          <w:szCs w:val="18"/>
        </w:rPr>
      </w:pPr>
    </w:p>
    <w:p>
      <w:pPr>
        <w:ind w:firstLine="420" w:firstLineChars="200"/>
        <w:jc w:val="left"/>
        <w:rPr>
          <w:szCs w:val="21"/>
        </w:rPr>
      </w:pPr>
      <w:r>
        <w:rPr>
          <w:rFonts w:hint="eastAsia"/>
          <w:szCs w:val="21"/>
        </w:rPr>
        <w:t>试验表明，加入</w:t>
      </w:r>
      <w:r>
        <w:rPr>
          <w:szCs w:val="21"/>
        </w:rPr>
        <w:t xml:space="preserve"> </w:t>
      </w:r>
      <w:r>
        <w:rPr>
          <w:rFonts w:ascii="Times New Roman" w:hAnsi="Times New Roman"/>
          <w:szCs w:val="21"/>
        </w:rPr>
        <w:t>2.5 mL~20 mL</w:t>
      </w:r>
      <w:r>
        <w:rPr>
          <w:rFonts w:hint="eastAsia"/>
          <w:szCs w:val="21"/>
        </w:rPr>
        <w:t>硝酸（</w:t>
      </w:r>
      <w:r>
        <w:rPr>
          <w:rFonts w:ascii="Times New Roman" w:hAnsi="Times New Roman"/>
          <w:szCs w:val="21"/>
        </w:rPr>
        <w:t>1.2.</w:t>
      </w:r>
      <w:r>
        <w:rPr>
          <w:rFonts w:hint="eastAsia" w:ascii="Times New Roman" w:hAnsi="Times New Roman"/>
          <w:szCs w:val="21"/>
        </w:rPr>
        <w:t>5</w:t>
      </w:r>
      <w:r>
        <w:rPr>
          <w:rFonts w:hint="eastAsia"/>
          <w:szCs w:val="21"/>
        </w:rPr>
        <w:t>）时，铋吸光度不稳定。</w:t>
      </w:r>
      <w:r>
        <w:rPr>
          <w:szCs w:val="21"/>
        </w:rPr>
        <w:t xml:space="preserve"> </w:t>
      </w:r>
    </w:p>
    <w:p>
      <w:pPr>
        <w:jc w:val="left"/>
        <w:rPr>
          <w:rFonts w:ascii="黑体" w:hAnsi="黑体" w:eastAsia="黑体"/>
          <w:szCs w:val="21"/>
        </w:rPr>
      </w:pPr>
      <w:r>
        <w:rPr>
          <w:rFonts w:ascii="Times New Roman" w:hAnsi="Times New Roman" w:eastAsia="黑体"/>
          <w:szCs w:val="21"/>
        </w:rPr>
        <w:t xml:space="preserve">2.2.1.2.2 </w:t>
      </w:r>
      <w:r>
        <w:rPr>
          <w:rFonts w:hint="eastAsia" w:ascii="黑体" w:hAnsi="黑体" w:eastAsia="黑体"/>
          <w:szCs w:val="21"/>
        </w:rPr>
        <w:t xml:space="preserve"> 硝酸加入量对样品溶液测定的影响。</w:t>
      </w:r>
    </w:p>
    <w:p>
      <w:pPr>
        <w:ind w:firstLine="3255" w:firstLineChars="1550"/>
        <w:jc w:val="left"/>
        <w:rPr>
          <w:szCs w:val="21"/>
        </w:rPr>
      </w:pPr>
    </w:p>
    <w:p>
      <w:pPr>
        <w:ind w:firstLine="2100" w:firstLineChars="1000"/>
        <w:jc w:val="left"/>
        <w:rPr>
          <w:szCs w:val="21"/>
        </w:rPr>
      </w:pPr>
      <w:r>
        <w:rPr>
          <w:rFonts w:hint="eastAsia"/>
          <w:szCs w:val="21"/>
        </w:rPr>
        <w:t>表7硝酸加入量对测定样品溶液的影响</w:t>
      </w:r>
    </w:p>
    <w:p>
      <w:pPr>
        <w:ind w:firstLine="2100" w:firstLineChars="1000"/>
        <w:jc w:val="left"/>
        <w:rPr>
          <w:szCs w:val="21"/>
        </w:rPr>
      </w:pPr>
    </w:p>
    <w:tbl>
      <w:tblPr>
        <w:tblStyle w:val="32"/>
        <w:tblW w:w="6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967"/>
        <w:gridCol w:w="966"/>
        <w:gridCol w:w="966"/>
        <w:gridCol w:w="966"/>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20" w:type="dxa"/>
            <w:tcBorders>
              <w:tl2br w:val="single" w:color="auto" w:sz="4" w:space="0"/>
            </w:tcBorders>
            <w:vAlign w:val="center"/>
          </w:tcPr>
          <w:p>
            <w:pPr>
              <w:jc w:val="center"/>
              <w:rPr>
                <w:sz w:val="18"/>
                <w:szCs w:val="18"/>
              </w:rPr>
            </w:pPr>
            <w:r>
              <w:rPr>
                <w:rFonts w:hint="eastAsia"/>
                <w:sz w:val="18"/>
                <w:szCs w:val="18"/>
              </w:rPr>
              <w:t>硝酸加入量</w:t>
            </w:r>
            <w:r>
              <w:rPr>
                <w:sz w:val="18"/>
                <w:szCs w:val="18"/>
              </w:rPr>
              <w:t>/mL</w:t>
            </w:r>
          </w:p>
          <w:p>
            <w:pPr>
              <w:jc w:val="center"/>
              <w:rPr>
                <w:sz w:val="18"/>
                <w:szCs w:val="18"/>
              </w:rPr>
            </w:pPr>
          </w:p>
        </w:tc>
        <w:tc>
          <w:tcPr>
            <w:tcW w:w="967" w:type="dxa"/>
            <w:vAlign w:val="center"/>
          </w:tcPr>
          <w:p>
            <w:pPr>
              <w:ind w:firstLine="180" w:firstLineChars="100"/>
              <w:jc w:val="center"/>
              <w:rPr>
                <w:sz w:val="18"/>
                <w:szCs w:val="18"/>
              </w:rPr>
            </w:pPr>
            <w:r>
              <w:rPr>
                <w:sz w:val="18"/>
                <w:szCs w:val="18"/>
              </w:rPr>
              <w:t>2.5</w:t>
            </w:r>
          </w:p>
        </w:tc>
        <w:tc>
          <w:tcPr>
            <w:tcW w:w="966" w:type="dxa"/>
            <w:vAlign w:val="center"/>
          </w:tcPr>
          <w:p>
            <w:pPr>
              <w:ind w:firstLine="360" w:firstLineChars="200"/>
              <w:jc w:val="center"/>
              <w:rPr>
                <w:sz w:val="18"/>
                <w:szCs w:val="18"/>
              </w:rPr>
            </w:pPr>
            <w:r>
              <w:rPr>
                <w:sz w:val="18"/>
                <w:szCs w:val="18"/>
              </w:rPr>
              <w:t>5</w:t>
            </w:r>
          </w:p>
        </w:tc>
        <w:tc>
          <w:tcPr>
            <w:tcW w:w="966" w:type="dxa"/>
            <w:vAlign w:val="center"/>
          </w:tcPr>
          <w:p>
            <w:pPr>
              <w:ind w:firstLine="180" w:firstLineChars="100"/>
              <w:jc w:val="center"/>
              <w:rPr>
                <w:sz w:val="18"/>
                <w:szCs w:val="18"/>
              </w:rPr>
            </w:pPr>
            <w:r>
              <w:rPr>
                <w:sz w:val="18"/>
                <w:szCs w:val="18"/>
              </w:rPr>
              <w:t>10</w:t>
            </w:r>
          </w:p>
        </w:tc>
        <w:tc>
          <w:tcPr>
            <w:tcW w:w="966" w:type="dxa"/>
            <w:vAlign w:val="center"/>
          </w:tcPr>
          <w:p>
            <w:pPr>
              <w:ind w:firstLine="180" w:firstLineChars="100"/>
              <w:jc w:val="center"/>
              <w:rPr>
                <w:sz w:val="18"/>
                <w:szCs w:val="18"/>
              </w:rPr>
            </w:pPr>
            <w:r>
              <w:rPr>
                <w:sz w:val="18"/>
                <w:szCs w:val="18"/>
              </w:rPr>
              <w:t>15</w:t>
            </w:r>
          </w:p>
        </w:tc>
        <w:tc>
          <w:tcPr>
            <w:tcW w:w="966" w:type="dxa"/>
            <w:vAlign w:val="center"/>
          </w:tcPr>
          <w:p>
            <w:pPr>
              <w:ind w:firstLine="180" w:firstLineChars="100"/>
              <w:jc w:val="center"/>
              <w:rPr>
                <w:sz w:val="18"/>
                <w:szCs w:val="18"/>
              </w:rPr>
            </w:pPr>
            <w:r>
              <w:rPr>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20" w:type="dxa"/>
            <w:vAlign w:val="center"/>
          </w:tcPr>
          <w:p>
            <w:pPr>
              <w:jc w:val="center"/>
              <w:rPr>
                <w:sz w:val="18"/>
                <w:szCs w:val="18"/>
              </w:rPr>
            </w:pPr>
            <w:r>
              <w:rPr>
                <w:rFonts w:hint="eastAsia"/>
                <w:sz w:val="18"/>
                <w:szCs w:val="18"/>
              </w:rPr>
              <w:t>样品溶液现象</w:t>
            </w:r>
          </w:p>
        </w:tc>
        <w:tc>
          <w:tcPr>
            <w:tcW w:w="967" w:type="dxa"/>
            <w:vAlign w:val="center"/>
          </w:tcPr>
          <w:p>
            <w:pPr>
              <w:jc w:val="center"/>
              <w:rPr>
                <w:sz w:val="18"/>
                <w:szCs w:val="18"/>
              </w:rPr>
            </w:pPr>
            <w:r>
              <w:rPr>
                <w:rFonts w:hint="eastAsia"/>
                <w:sz w:val="18"/>
                <w:szCs w:val="18"/>
              </w:rPr>
              <w:t>浑浊</w:t>
            </w:r>
          </w:p>
        </w:tc>
        <w:tc>
          <w:tcPr>
            <w:tcW w:w="966" w:type="dxa"/>
            <w:vAlign w:val="center"/>
          </w:tcPr>
          <w:p>
            <w:pPr>
              <w:jc w:val="center"/>
              <w:rPr>
                <w:sz w:val="18"/>
                <w:szCs w:val="18"/>
              </w:rPr>
            </w:pPr>
            <w:r>
              <w:rPr>
                <w:rFonts w:hint="eastAsia"/>
                <w:sz w:val="18"/>
                <w:szCs w:val="18"/>
              </w:rPr>
              <w:t>浑浊</w:t>
            </w:r>
          </w:p>
        </w:tc>
        <w:tc>
          <w:tcPr>
            <w:tcW w:w="966" w:type="dxa"/>
            <w:vAlign w:val="center"/>
          </w:tcPr>
          <w:p>
            <w:pPr>
              <w:jc w:val="center"/>
              <w:rPr>
                <w:sz w:val="18"/>
                <w:szCs w:val="18"/>
              </w:rPr>
            </w:pPr>
            <w:r>
              <w:rPr>
                <w:rFonts w:hint="eastAsia"/>
                <w:sz w:val="18"/>
                <w:szCs w:val="18"/>
              </w:rPr>
              <w:t>略浑浊</w:t>
            </w:r>
          </w:p>
        </w:tc>
        <w:tc>
          <w:tcPr>
            <w:tcW w:w="966" w:type="dxa"/>
            <w:vAlign w:val="center"/>
          </w:tcPr>
          <w:p>
            <w:pPr>
              <w:jc w:val="center"/>
              <w:rPr>
                <w:sz w:val="18"/>
                <w:szCs w:val="18"/>
              </w:rPr>
            </w:pPr>
            <w:r>
              <w:rPr>
                <w:rFonts w:hint="eastAsia"/>
                <w:sz w:val="18"/>
                <w:szCs w:val="18"/>
              </w:rPr>
              <w:t>略浑浊</w:t>
            </w:r>
          </w:p>
        </w:tc>
        <w:tc>
          <w:tcPr>
            <w:tcW w:w="966" w:type="dxa"/>
            <w:vAlign w:val="center"/>
          </w:tcPr>
          <w:p>
            <w:pPr>
              <w:jc w:val="center"/>
              <w:rPr>
                <w:sz w:val="18"/>
                <w:szCs w:val="18"/>
              </w:rPr>
            </w:pPr>
            <w:r>
              <w:rPr>
                <w:rFonts w:hint="eastAsia"/>
                <w:sz w:val="18"/>
                <w:szCs w:val="18"/>
              </w:rPr>
              <w:t>略浑浊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20" w:type="dxa"/>
            <w:vAlign w:val="center"/>
          </w:tcPr>
          <w:p>
            <w:pPr>
              <w:jc w:val="center"/>
              <w:rPr>
                <w:sz w:val="18"/>
                <w:szCs w:val="18"/>
              </w:rPr>
            </w:pPr>
            <w:r>
              <w:rPr>
                <w:rFonts w:hint="eastAsia"/>
                <w:sz w:val="18"/>
                <w:szCs w:val="18"/>
              </w:rPr>
              <w:t>样品分析结果</w:t>
            </w:r>
          </w:p>
        </w:tc>
        <w:tc>
          <w:tcPr>
            <w:tcW w:w="967" w:type="dxa"/>
            <w:vAlign w:val="center"/>
          </w:tcPr>
          <w:p>
            <w:pPr>
              <w:jc w:val="center"/>
              <w:rPr>
                <w:sz w:val="18"/>
                <w:szCs w:val="18"/>
              </w:rPr>
            </w:pPr>
            <w:r>
              <w:rPr>
                <w:sz w:val="18"/>
                <w:szCs w:val="18"/>
              </w:rPr>
              <w:t>1.68</w:t>
            </w:r>
          </w:p>
        </w:tc>
        <w:tc>
          <w:tcPr>
            <w:tcW w:w="966" w:type="dxa"/>
            <w:vAlign w:val="center"/>
          </w:tcPr>
          <w:p>
            <w:pPr>
              <w:jc w:val="center"/>
              <w:rPr>
                <w:sz w:val="18"/>
                <w:szCs w:val="18"/>
              </w:rPr>
            </w:pPr>
            <w:r>
              <w:rPr>
                <w:sz w:val="18"/>
                <w:szCs w:val="18"/>
              </w:rPr>
              <w:t>1.81</w:t>
            </w:r>
          </w:p>
        </w:tc>
        <w:tc>
          <w:tcPr>
            <w:tcW w:w="966" w:type="dxa"/>
            <w:vAlign w:val="center"/>
          </w:tcPr>
          <w:p>
            <w:pPr>
              <w:jc w:val="center"/>
              <w:rPr>
                <w:sz w:val="18"/>
                <w:szCs w:val="18"/>
              </w:rPr>
            </w:pPr>
            <w:r>
              <w:rPr>
                <w:sz w:val="18"/>
                <w:szCs w:val="18"/>
              </w:rPr>
              <w:t>1.74</w:t>
            </w:r>
          </w:p>
        </w:tc>
        <w:tc>
          <w:tcPr>
            <w:tcW w:w="966" w:type="dxa"/>
            <w:vAlign w:val="center"/>
          </w:tcPr>
          <w:p>
            <w:pPr>
              <w:jc w:val="center"/>
              <w:rPr>
                <w:sz w:val="18"/>
                <w:szCs w:val="18"/>
              </w:rPr>
            </w:pPr>
            <w:r>
              <w:rPr>
                <w:sz w:val="18"/>
                <w:szCs w:val="18"/>
              </w:rPr>
              <w:t>1.97</w:t>
            </w:r>
          </w:p>
        </w:tc>
        <w:tc>
          <w:tcPr>
            <w:tcW w:w="966" w:type="dxa"/>
            <w:vAlign w:val="center"/>
          </w:tcPr>
          <w:p>
            <w:pPr>
              <w:jc w:val="center"/>
              <w:rPr>
                <w:sz w:val="18"/>
                <w:szCs w:val="18"/>
              </w:rPr>
            </w:pPr>
            <w:r>
              <w:rPr>
                <w:sz w:val="18"/>
                <w:szCs w:val="18"/>
              </w:rPr>
              <w:t>1.99</w:t>
            </w:r>
          </w:p>
        </w:tc>
      </w:tr>
    </w:tbl>
    <w:p>
      <w:pPr>
        <w:ind w:firstLine="270" w:firstLineChars="150"/>
        <w:jc w:val="left"/>
        <w:rPr>
          <w:sz w:val="18"/>
          <w:szCs w:val="18"/>
        </w:rPr>
      </w:pPr>
    </w:p>
    <w:p>
      <w:pPr>
        <w:ind w:firstLine="420" w:firstLineChars="200"/>
        <w:jc w:val="left"/>
        <w:rPr>
          <w:szCs w:val="21"/>
        </w:rPr>
      </w:pPr>
      <w:r>
        <w:rPr>
          <w:rFonts w:hint="eastAsia"/>
          <w:szCs w:val="21"/>
        </w:rPr>
        <w:t>试验表明，加入</w:t>
      </w:r>
      <w:r>
        <w:rPr>
          <w:szCs w:val="21"/>
        </w:rPr>
        <w:t xml:space="preserve"> </w:t>
      </w:r>
      <w:r>
        <w:rPr>
          <w:rFonts w:ascii="Times New Roman" w:hAnsi="Times New Roman"/>
          <w:szCs w:val="21"/>
        </w:rPr>
        <w:t>2.5 mL~20 mL</w:t>
      </w:r>
      <w:r>
        <w:rPr>
          <w:rFonts w:hint="eastAsia"/>
          <w:szCs w:val="21"/>
        </w:rPr>
        <w:t>硝酸（</w:t>
      </w:r>
      <w:r>
        <w:rPr>
          <w:rFonts w:ascii="Times New Roman" w:hAnsi="Times New Roman"/>
          <w:szCs w:val="21"/>
        </w:rPr>
        <w:t>1.2.</w:t>
      </w:r>
      <w:r>
        <w:rPr>
          <w:rFonts w:hint="eastAsia" w:ascii="Times New Roman" w:hAnsi="Times New Roman"/>
          <w:szCs w:val="21"/>
        </w:rPr>
        <w:t>5</w:t>
      </w:r>
      <w:r>
        <w:rPr>
          <w:rFonts w:hint="eastAsia"/>
          <w:szCs w:val="21"/>
        </w:rPr>
        <w:t>）时，样品溶液现象为浑浊和略浑浊，样品分析结果不稳定，所以不选择硝酸介质。</w:t>
      </w:r>
    </w:p>
    <w:p>
      <w:pPr>
        <w:jc w:val="left"/>
        <w:rPr>
          <w:rFonts w:ascii="黑体" w:hAnsi="黑体" w:eastAsia="黑体"/>
          <w:szCs w:val="21"/>
        </w:rPr>
      </w:pPr>
      <w:r>
        <w:rPr>
          <w:rFonts w:ascii="Times New Roman" w:hAnsi="Times New Roman" w:eastAsia="黑体"/>
          <w:szCs w:val="21"/>
        </w:rPr>
        <w:t xml:space="preserve">2.2.1.3 </w:t>
      </w:r>
      <w:r>
        <w:rPr>
          <w:rFonts w:hint="eastAsia" w:ascii="黑体" w:hAnsi="黑体" w:eastAsia="黑体"/>
          <w:szCs w:val="21"/>
        </w:rPr>
        <w:t xml:space="preserve"> 王水介质</w:t>
      </w:r>
    </w:p>
    <w:p>
      <w:pPr>
        <w:jc w:val="left"/>
        <w:rPr>
          <w:rFonts w:ascii="黑体" w:hAnsi="黑体" w:eastAsia="黑体"/>
          <w:szCs w:val="21"/>
        </w:rPr>
      </w:pPr>
      <w:r>
        <w:rPr>
          <w:rFonts w:ascii="Times New Roman" w:hAnsi="Times New Roman" w:eastAsia="黑体"/>
          <w:szCs w:val="21"/>
        </w:rPr>
        <w:t>2.2.1.3.1</w:t>
      </w:r>
      <w:r>
        <w:rPr>
          <w:rFonts w:hint="eastAsia" w:ascii="黑体" w:hAnsi="黑体" w:eastAsia="黑体"/>
          <w:szCs w:val="21"/>
        </w:rPr>
        <w:t xml:space="preserve">  王水加入量对铋标准溶液的影响</w:t>
      </w:r>
    </w:p>
    <w:p>
      <w:pPr>
        <w:ind w:firstLine="420" w:firstLineChars="200"/>
        <w:jc w:val="left"/>
        <w:rPr>
          <w:szCs w:val="21"/>
        </w:rPr>
      </w:pPr>
      <w:r>
        <w:rPr>
          <w:rFonts w:hint="eastAsia"/>
          <w:szCs w:val="21"/>
        </w:rPr>
        <w:t>分别移取</w:t>
      </w:r>
      <w:r>
        <w:rPr>
          <w:rFonts w:ascii="Times New Roman" w:hAnsi="Times New Roman"/>
          <w:szCs w:val="21"/>
        </w:rPr>
        <w:t>6.00 mL</w:t>
      </w:r>
      <w:r>
        <w:rPr>
          <w:rFonts w:hint="eastAsia"/>
          <w:szCs w:val="21"/>
        </w:rPr>
        <w:t>铋标准溶液（</w:t>
      </w:r>
      <w:r>
        <w:rPr>
          <w:rFonts w:ascii="Times New Roman" w:hAnsi="Times New Roman"/>
          <w:szCs w:val="21"/>
        </w:rPr>
        <w:t>1.2.13</w:t>
      </w:r>
      <w:r>
        <w:rPr>
          <w:rFonts w:hint="eastAsia"/>
          <w:szCs w:val="21"/>
        </w:rPr>
        <w:t>）于一组</w:t>
      </w:r>
      <w:r>
        <w:rPr>
          <w:rFonts w:ascii="Times New Roman" w:hAnsi="Times New Roman"/>
          <w:szCs w:val="21"/>
        </w:rPr>
        <w:t>100 mL</w:t>
      </w:r>
      <w:r>
        <w:rPr>
          <w:rFonts w:hint="eastAsia"/>
          <w:szCs w:val="21"/>
        </w:rPr>
        <w:t>容量瓶中，分别加入</w:t>
      </w:r>
      <w:r>
        <w:rPr>
          <w:szCs w:val="21"/>
        </w:rPr>
        <w:t xml:space="preserve"> </w:t>
      </w:r>
      <w:r>
        <w:rPr>
          <w:rFonts w:ascii="Times New Roman" w:hAnsi="Times New Roman"/>
          <w:szCs w:val="21"/>
        </w:rPr>
        <w:t>2.5 mL~20</w:t>
      </w:r>
      <w:r>
        <w:rPr>
          <w:szCs w:val="21"/>
        </w:rPr>
        <w:t xml:space="preserve"> </w:t>
      </w:r>
      <w:r>
        <w:rPr>
          <w:rFonts w:ascii="Times New Roman" w:hAnsi="Times New Roman"/>
          <w:szCs w:val="21"/>
        </w:rPr>
        <w:t>mL</w:t>
      </w:r>
      <w:r>
        <w:rPr>
          <w:rFonts w:hint="eastAsia"/>
          <w:szCs w:val="21"/>
        </w:rPr>
        <w:t>王水（</w:t>
      </w:r>
      <w:r>
        <w:rPr>
          <w:rFonts w:ascii="Times New Roman" w:hAnsi="Times New Roman"/>
          <w:szCs w:val="21"/>
        </w:rPr>
        <w:t>1.2.</w:t>
      </w:r>
      <w:r>
        <w:rPr>
          <w:rFonts w:hint="eastAsia" w:ascii="Times New Roman" w:hAnsi="Times New Roman"/>
          <w:szCs w:val="21"/>
        </w:rPr>
        <w:t>11</w:t>
      </w:r>
      <w:r>
        <w:rPr>
          <w:rFonts w:hint="eastAsia"/>
          <w:szCs w:val="21"/>
        </w:rPr>
        <w:t>），其他条件不变，考察王水酸度对测定的影响。</w:t>
      </w:r>
    </w:p>
    <w:p>
      <w:pPr>
        <w:ind w:firstLine="3465" w:firstLineChars="1650"/>
        <w:jc w:val="left"/>
        <w:rPr>
          <w:szCs w:val="21"/>
        </w:rPr>
      </w:pPr>
    </w:p>
    <w:p>
      <w:pPr>
        <w:ind w:firstLine="2100" w:firstLineChars="1000"/>
        <w:jc w:val="left"/>
        <w:rPr>
          <w:szCs w:val="21"/>
        </w:rPr>
      </w:pPr>
      <w:r>
        <w:rPr>
          <w:rFonts w:hint="eastAsia"/>
          <w:szCs w:val="21"/>
        </w:rPr>
        <w:t>表</w:t>
      </w:r>
      <w:r>
        <w:rPr>
          <w:rFonts w:ascii="Times New Roman" w:hAnsi="Times New Roman"/>
          <w:szCs w:val="21"/>
        </w:rPr>
        <w:t>8</w:t>
      </w:r>
      <w:r>
        <w:rPr>
          <w:rFonts w:hint="eastAsia"/>
          <w:szCs w:val="21"/>
        </w:rPr>
        <w:t>王水加入量对测定铋标准溶液的影响</w:t>
      </w:r>
    </w:p>
    <w:tbl>
      <w:tblPr>
        <w:tblStyle w:val="32"/>
        <w:tblW w:w="6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967"/>
        <w:gridCol w:w="966"/>
        <w:gridCol w:w="966"/>
        <w:gridCol w:w="966"/>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20" w:type="dxa"/>
            <w:tcBorders>
              <w:tl2br w:val="single" w:color="auto" w:sz="4" w:space="0"/>
            </w:tcBorders>
            <w:vAlign w:val="center"/>
          </w:tcPr>
          <w:p>
            <w:pPr>
              <w:jc w:val="center"/>
              <w:rPr>
                <w:sz w:val="18"/>
                <w:szCs w:val="18"/>
              </w:rPr>
            </w:pPr>
            <w:r>
              <w:rPr>
                <w:rFonts w:hint="eastAsia"/>
                <w:sz w:val="18"/>
                <w:szCs w:val="18"/>
              </w:rPr>
              <w:t>盐酸加入量</w:t>
            </w:r>
            <w:r>
              <w:rPr>
                <w:sz w:val="18"/>
                <w:szCs w:val="18"/>
              </w:rPr>
              <w:t>/</w:t>
            </w:r>
            <w:r>
              <w:rPr>
                <w:rFonts w:ascii="Times New Roman" w:hAnsi="Times New Roman"/>
                <w:sz w:val="18"/>
                <w:szCs w:val="18"/>
              </w:rPr>
              <w:t>mL</w:t>
            </w:r>
          </w:p>
          <w:p>
            <w:pPr>
              <w:jc w:val="center"/>
              <w:rPr>
                <w:sz w:val="18"/>
                <w:szCs w:val="18"/>
              </w:rPr>
            </w:pPr>
          </w:p>
        </w:tc>
        <w:tc>
          <w:tcPr>
            <w:tcW w:w="967" w:type="dxa"/>
            <w:vAlign w:val="center"/>
          </w:tcPr>
          <w:p>
            <w:pPr>
              <w:ind w:firstLine="180" w:firstLineChars="100"/>
              <w:jc w:val="center"/>
              <w:rPr>
                <w:rFonts w:ascii="Times New Roman" w:hAnsi="Times New Roman"/>
                <w:sz w:val="18"/>
                <w:szCs w:val="18"/>
              </w:rPr>
            </w:pPr>
            <w:r>
              <w:rPr>
                <w:rFonts w:ascii="Times New Roman" w:hAnsi="Times New Roman"/>
                <w:sz w:val="18"/>
                <w:szCs w:val="18"/>
              </w:rPr>
              <w:t>2.5</w:t>
            </w:r>
          </w:p>
        </w:tc>
        <w:tc>
          <w:tcPr>
            <w:tcW w:w="966" w:type="dxa"/>
            <w:vAlign w:val="center"/>
          </w:tcPr>
          <w:p>
            <w:pPr>
              <w:ind w:firstLine="360" w:firstLineChars="200"/>
              <w:jc w:val="center"/>
              <w:rPr>
                <w:rFonts w:ascii="Times New Roman" w:hAnsi="Times New Roman"/>
                <w:sz w:val="18"/>
                <w:szCs w:val="18"/>
              </w:rPr>
            </w:pPr>
            <w:r>
              <w:rPr>
                <w:rFonts w:ascii="Times New Roman" w:hAnsi="Times New Roman"/>
                <w:sz w:val="18"/>
                <w:szCs w:val="18"/>
              </w:rPr>
              <w:t>5</w:t>
            </w:r>
          </w:p>
        </w:tc>
        <w:tc>
          <w:tcPr>
            <w:tcW w:w="966" w:type="dxa"/>
            <w:vAlign w:val="center"/>
          </w:tcPr>
          <w:p>
            <w:pPr>
              <w:ind w:firstLine="360" w:firstLineChars="200"/>
              <w:jc w:val="center"/>
              <w:rPr>
                <w:rFonts w:ascii="Times New Roman" w:hAnsi="Times New Roman"/>
                <w:sz w:val="18"/>
                <w:szCs w:val="18"/>
              </w:rPr>
            </w:pPr>
            <w:r>
              <w:rPr>
                <w:rFonts w:ascii="Times New Roman" w:hAnsi="Times New Roman"/>
                <w:sz w:val="18"/>
                <w:szCs w:val="18"/>
              </w:rPr>
              <w:t>10</w:t>
            </w:r>
          </w:p>
        </w:tc>
        <w:tc>
          <w:tcPr>
            <w:tcW w:w="966" w:type="dxa"/>
            <w:vAlign w:val="center"/>
          </w:tcPr>
          <w:p>
            <w:pPr>
              <w:ind w:firstLine="180" w:firstLineChars="100"/>
              <w:jc w:val="center"/>
              <w:rPr>
                <w:rFonts w:ascii="Times New Roman" w:hAnsi="Times New Roman"/>
                <w:sz w:val="18"/>
                <w:szCs w:val="18"/>
              </w:rPr>
            </w:pPr>
            <w:r>
              <w:rPr>
                <w:rFonts w:ascii="Times New Roman" w:hAnsi="Times New Roman"/>
                <w:sz w:val="18"/>
                <w:szCs w:val="18"/>
              </w:rPr>
              <w:t>15</w:t>
            </w:r>
          </w:p>
        </w:tc>
        <w:tc>
          <w:tcPr>
            <w:tcW w:w="966" w:type="dxa"/>
            <w:vAlign w:val="center"/>
          </w:tcPr>
          <w:p>
            <w:pPr>
              <w:ind w:firstLine="180" w:firstLineChars="100"/>
              <w:jc w:val="center"/>
              <w:rPr>
                <w:rFonts w:ascii="Times New Roman" w:hAnsi="Times New Roman"/>
                <w:sz w:val="18"/>
                <w:szCs w:val="18"/>
              </w:rPr>
            </w:pPr>
            <w:r>
              <w:rPr>
                <w:rFonts w:ascii="Times New Roman" w:hAnsi="Times New Roman"/>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20" w:type="dxa"/>
            <w:vAlign w:val="center"/>
          </w:tcPr>
          <w:p>
            <w:pPr>
              <w:jc w:val="center"/>
              <w:rPr>
                <w:sz w:val="18"/>
                <w:szCs w:val="18"/>
              </w:rPr>
            </w:pPr>
            <w:r>
              <w:rPr>
                <w:rFonts w:ascii="Times New Roman" w:hAnsi="Times New Roman"/>
                <w:sz w:val="18"/>
                <w:szCs w:val="18"/>
              </w:rPr>
              <w:t>6.00µg Bi</w:t>
            </w:r>
            <w:r>
              <w:rPr>
                <w:rFonts w:hint="eastAsia"/>
                <w:sz w:val="18"/>
                <w:szCs w:val="18"/>
              </w:rPr>
              <w:t>吸光度</w:t>
            </w:r>
          </w:p>
        </w:tc>
        <w:tc>
          <w:tcPr>
            <w:tcW w:w="967" w:type="dxa"/>
            <w:vAlign w:val="center"/>
          </w:tcPr>
          <w:p>
            <w:pPr>
              <w:jc w:val="center"/>
              <w:rPr>
                <w:rFonts w:ascii="Times New Roman" w:hAnsi="Times New Roman"/>
                <w:sz w:val="18"/>
                <w:szCs w:val="18"/>
              </w:rPr>
            </w:pPr>
            <w:r>
              <w:rPr>
                <w:rFonts w:ascii="Times New Roman" w:hAnsi="Times New Roman"/>
                <w:sz w:val="18"/>
                <w:szCs w:val="18"/>
              </w:rPr>
              <w:t>0.1153</w:t>
            </w:r>
          </w:p>
        </w:tc>
        <w:tc>
          <w:tcPr>
            <w:tcW w:w="966" w:type="dxa"/>
            <w:vAlign w:val="center"/>
          </w:tcPr>
          <w:p>
            <w:pPr>
              <w:jc w:val="center"/>
              <w:rPr>
                <w:rFonts w:ascii="Times New Roman" w:hAnsi="Times New Roman"/>
                <w:sz w:val="18"/>
                <w:szCs w:val="18"/>
              </w:rPr>
            </w:pPr>
            <w:r>
              <w:rPr>
                <w:rFonts w:ascii="Times New Roman" w:hAnsi="Times New Roman"/>
                <w:sz w:val="18"/>
                <w:szCs w:val="18"/>
              </w:rPr>
              <w:t>0.1161</w:t>
            </w:r>
          </w:p>
        </w:tc>
        <w:tc>
          <w:tcPr>
            <w:tcW w:w="966" w:type="dxa"/>
            <w:vAlign w:val="center"/>
          </w:tcPr>
          <w:p>
            <w:pPr>
              <w:jc w:val="center"/>
              <w:rPr>
                <w:rFonts w:ascii="Times New Roman" w:hAnsi="Times New Roman"/>
                <w:sz w:val="18"/>
                <w:szCs w:val="18"/>
              </w:rPr>
            </w:pPr>
            <w:r>
              <w:rPr>
                <w:rFonts w:ascii="Times New Roman" w:hAnsi="Times New Roman"/>
                <w:sz w:val="18"/>
                <w:szCs w:val="18"/>
              </w:rPr>
              <w:t>0.1154</w:t>
            </w:r>
          </w:p>
        </w:tc>
        <w:tc>
          <w:tcPr>
            <w:tcW w:w="966" w:type="dxa"/>
            <w:vAlign w:val="center"/>
          </w:tcPr>
          <w:p>
            <w:pPr>
              <w:jc w:val="center"/>
              <w:rPr>
                <w:rFonts w:ascii="Times New Roman" w:hAnsi="Times New Roman"/>
                <w:sz w:val="18"/>
                <w:szCs w:val="18"/>
              </w:rPr>
            </w:pPr>
            <w:r>
              <w:rPr>
                <w:rFonts w:ascii="Times New Roman" w:hAnsi="Times New Roman"/>
                <w:sz w:val="18"/>
                <w:szCs w:val="18"/>
              </w:rPr>
              <w:t>0.1164</w:t>
            </w:r>
          </w:p>
        </w:tc>
        <w:tc>
          <w:tcPr>
            <w:tcW w:w="966" w:type="dxa"/>
            <w:vAlign w:val="center"/>
          </w:tcPr>
          <w:p>
            <w:pPr>
              <w:jc w:val="center"/>
              <w:rPr>
                <w:rFonts w:ascii="Times New Roman" w:hAnsi="Times New Roman"/>
                <w:sz w:val="18"/>
                <w:szCs w:val="18"/>
              </w:rPr>
            </w:pPr>
            <w:r>
              <w:rPr>
                <w:rFonts w:ascii="Times New Roman" w:hAnsi="Times New Roman"/>
                <w:sz w:val="18"/>
                <w:szCs w:val="18"/>
              </w:rPr>
              <w:t>0.1159</w:t>
            </w:r>
          </w:p>
        </w:tc>
      </w:tr>
    </w:tbl>
    <w:p>
      <w:pPr>
        <w:ind w:firstLine="270" w:firstLineChars="150"/>
        <w:jc w:val="left"/>
        <w:rPr>
          <w:sz w:val="18"/>
          <w:szCs w:val="18"/>
        </w:rPr>
      </w:pPr>
    </w:p>
    <w:p>
      <w:pPr>
        <w:ind w:firstLine="525" w:firstLineChars="250"/>
        <w:jc w:val="left"/>
        <w:rPr>
          <w:szCs w:val="21"/>
        </w:rPr>
      </w:pPr>
      <w:r>
        <w:rPr>
          <w:rFonts w:hint="eastAsia"/>
          <w:szCs w:val="21"/>
        </w:rPr>
        <w:t>试验表明，加入</w:t>
      </w:r>
      <w:r>
        <w:rPr>
          <w:rFonts w:ascii="Times New Roman" w:hAnsi="Times New Roman"/>
          <w:szCs w:val="21"/>
        </w:rPr>
        <w:t xml:space="preserve"> 2.5 mL~20 mL</w:t>
      </w:r>
      <w:r>
        <w:rPr>
          <w:rFonts w:hint="eastAsia"/>
          <w:szCs w:val="21"/>
        </w:rPr>
        <w:t>王水（</w:t>
      </w:r>
      <w:r>
        <w:rPr>
          <w:rFonts w:ascii="Times New Roman" w:hAnsi="Times New Roman"/>
          <w:szCs w:val="21"/>
        </w:rPr>
        <w:t>1.2.</w:t>
      </w:r>
      <w:r>
        <w:rPr>
          <w:rFonts w:hint="eastAsia" w:ascii="Times New Roman" w:hAnsi="Times New Roman"/>
          <w:szCs w:val="21"/>
        </w:rPr>
        <w:t>11</w:t>
      </w:r>
      <w:r>
        <w:rPr>
          <w:rFonts w:hint="eastAsia"/>
          <w:szCs w:val="21"/>
        </w:rPr>
        <w:t>）时，铋吸光度基本不变。</w:t>
      </w:r>
    </w:p>
    <w:p>
      <w:pPr>
        <w:jc w:val="left"/>
        <w:rPr>
          <w:rFonts w:ascii="黑体" w:hAnsi="黑体" w:eastAsia="黑体"/>
          <w:szCs w:val="21"/>
        </w:rPr>
      </w:pPr>
      <w:r>
        <w:rPr>
          <w:rFonts w:ascii="Times New Roman" w:hAnsi="Times New Roman" w:eastAsia="黑体"/>
          <w:szCs w:val="21"/>
        </w:rPr>
        <w:t>2.2.1.3.2</w:t>
      </w:r>
      <w:r>
        <w:rPr>
          <w:rFonts w:hint="eastAsia" w:ascii="黑体" w:hAnsi="黑体" w:eastAsia="黑体"/>
          <w:szCs w:val="21"/>
        </w:rPr>
        <w:t xml:space="preserve">  王水加入量对样品溶液的影响。</w:t>
      </w:r>
    </w:p>
    <w:p>
      <w:pPr>
        <w:ind w:firstLine="2310" w:firstLineChars="1100"/>
        <w:jc w:val="left"/>
        <w:rPr>
          <w:szCs w:val="21"/>
        </w:rPr>
      </w:pPr>
      <w:r>
        <w:rPr>
          <w:rFonts w:hint="eastAsia"/>
          <w:szCs w:val="21"/>
        </w:rPr>
        <w:t>表</w:t>
      </w:r>
      <w:r>
        <w:rPr>
          <w:rFonts w:ascii="Times New Roman" w:hAnsi="Times New Roman"/>
          <w:szCs w:val="21"/>
        </w:rPr>
        <w:t>9</w:t>
      </w:r>
      <w:r>
        <w:rPr>
          <w:rFonts w:hint="eastAsia"/>
          <w:szCs w:val="21"/>
        </w:rPr>
        <w:t>王水加入量对测定样品溶液的影响</w:t>
      </w:r>
    </w:p>
    <w:tbl>
      <w:tblPr>
        <w:tblStyle w:val="32"/>
        <w:tblW w:w="6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967"/>
        <w:gridCol w:w="966"/>
        <w:gridCol w:w="966"/>
        <w:gridCol w:w="966"/>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20" w:type="dxa"/>
            <w:tcBorders>
              <w:tl2br w:val="single" w:color="auto" w:sz="4" w:space="0"/>
            </w:tcBorders>
            <w:vAlign w:val="center"/>
          </w:tcPr>
          <w:p>
            <w:pPr>
              <w:jc w:val="center"/>
              <w:rPr>
                <w:sz w:val="18"/>
                <w:szCs w:val="18"/>
              </w:rPr>
            </w:pPr>
            <w:r>
              <w:rPr>
                <w:rFonts w:hint="eastAsia"/>
                <w:sz w:val="18"/>
                <w:szCs w:val="18"/>
              </w:rPr>
              <w:t>王水加入量</w:t>
            </w:r>
            <w:r>
              <w:rPr>
                <w:rFonts w:ascii="Times New Roman" w:hAnsi="Times New Roman"/>
                <w:sz w:val="18"/>
                <w:szCs w:val="18"/>
              </w:rPr>
              <w:t>/mL</w:t>
            </w:r>
          </w:p>
          <w:p>
            <w:pPr>
              <w:jc w:val="center"/>
              <w:rPr>
                <w:sz w:val="18"/>
                <w:szCs w:val="18"/>
              </w:rPr>
            </w:pPr>
          </w:p>
        </w:tc>
        <w:tc>
          <w:tcPr>
            <w:tcW w:w="967" w:type="dxa"/>
            <w:vAlign w:val="center"/>
          </w:tcPr>
          <w:p>
            <w:pPr>
              <w:ind w:firstLine="180" w:firstLineChars="100"/>
              <w:jc w:val="center"/>
              <w:rPr>
                <w:rFonts w:ascii="Times New Roman" w:hAnsi="Times New Roman"/>
                <w:sz w:val="18"/>
                <w:szCs w:val="18"/>
              </w:rPr>
            </w:pPr>
            <w:r>
              <w:rPr>
                <w:rFonts w:ascii="Times New Roman" w:hAnsi="Times New Roman"/>
                <w:sz w:val="18"/>
                <w:szCs w:val="18"/>
              </w:rPr>
              <w:t>2.5</w:t>
            </w:r>
          </w:p>
        </w:tc>
        <w:tc>
          <w:tcPr>
            <w:tcW w:w="966" w:type="dxa"/>
            <w:vAlign w:val="center"/>
          </w:tcPr>
          <w:p>
            <w:pPr>
              <w:ind w:firstLine="360" w:firstLineChars="200"/>
              <w:jc w:val="center"/>
              <w:rPr>
                <w:rFonts w:ascii="Times New Roman" w:hAnsi="Times New Roman"/>
                <w:sz w:val="18"/>
                <w:szCs w:val="18"/>
              </w:rPr>
            </w:pPr>
            <w:r>
              <w:rPr>
                <w:rFonts w:ascii="Times New Roman" w:hAnsi="Times New Roman"/>
                <w:sz w:val="18"/>
                <w:szCs w:val="18"/>
              </w:rPr>
              <w:t>5</w:t>
            </w:r>
          </w:p>
        </w:tc>
        <w:tc>
          <w:tcPr>
            <w:tcW w:w="966" w:type="dxa"/>
            <w:vAlign w:val="center"/>
          </w:tcPr>
          <w:p>
            <w:pPr>
              <w:ind w:firstLine="180" w:firstLineChars="100"/>
              <w:jc w:val="center"/>
              <w:rPr>
                <w:rFonts w:ascii="Times New Roman" w:hAnsi="Times New Roman"/>
                <w:sz w:val="18"/>
                <w:szCs w:val="18"/>
              </w:rPr>
            </w:pPr>
            <w:r>
              <w:rPr>
                <w:rFonts w:ascii="Times New Roman" w:hAnsi="Times New Roman"/>
                <w:sz w:val="18"/>
                <w:szCs w:val="18"/>
              </w:rPr>
              <w:t>10</w:t>
            </w:r>
          </w:p>
        </w:tc>
        <w:tc>
          <w:tcPr>
            <w:tcW w:w="966" w:type="dxa"/>
            <w:vAlign w:val="center"/>
          </w:tcPr>
          <w:p>
            <w:pPr>
              <w:ind w:firstLine="180" w:firstLineChars="100"/>
              <w:jc w:val="center"/>
              <w:rPr>
                <w:rFonts w:ascii="Times New Roman" w:hAnsi="Times New Roman"/>
                <w:sz w:val="18"/>
                <w:szCs w:val="18"/>
              </w:rPr>
            </w:pPr>
            <w:r>
              <w:rPr>
                <w:rFonts w:ascii="Times New Roman" w:hAnsi="Times New Roman"/>
                <w:sz w:val="18"/>
                <w:szCs w:val="18"/>
              </w:rPr>
              <w:t>15</w:t>
            </w:r>
          </w:p>
        </w:tc>
        <w:tc>
          <w:tcPr>
            <w:tcW w:w="966" w:type="dxa"/>
            <w:vAlign w:val="center"/>
          </w:tcPr>
          <w:p>
            <w:pPr>
              <w:ind w:firstLine="180" w:firstLineChars="100"/>
              <w:jc w:val="center"/>
              <w:rPr>
                <w:rFonts w:ascii="Times New Roman" w:hAnsi="Times New Roman"/>
                <w:sz w:val="18"/>
                <w:szCs w:val="18"/>
              </w:rPr>
            </w:pPr>
            <w:r>
              <w:rPr>
                <w:rFonts w:ascii="Times New Roman" w:hAnsi="Times New Roman"/>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20" w:type="dxa"/>
            <w:vAlign w:val="center"/>
          </w:tcPr>
          <w:p>
            <w:pPr>
              <w:jc w:val="center"/>
              <w:rPr>
                <w:sz w:val="18"/>
                <w:szCs w:val="18"/>
              </w:rPr>
            </w:pPr>
            <w:r>
              <w:rPr>
                <w:rFonts w:hint="eastAsia"/>
                <w:sz w:val="18"/>
                <w:szCs w:val="18"/>
              </w:rPr>
              <w:t>样品溶液现象</w:t>
            </w:r>
          </w:p>
        </w:tc>
        <w:tc>
          <w:tcPr>
            <w:tcW w:w="967" w:type="dxa"/>
            <w:vAlign w:val="center"/>
          </w:tcPr>
          <w:p>
            <w:pPr>
              <w:jc w:val="center"/>
              <w:rPr>
                <w:sz w:val="18"/>
                <w:szCs w:val="18"/>
              </w:rPr>
            </w:pPr>
            <w:r>
              <w:rPr>
                <w:rFonts w:hint="eastAsia"/>
                <w:sz w:val="18"/>
                <w:szCs w:val="18"/>
              </w:rPr>
              <w:t>浑浊</w:t>
            </w:r>
          </w:p>
        </w:tc>
        <w:tc>
          <w:tcPr>
            <w:tcW w:w="966" w:type="dxa"/>
            <w:vAlign w:val="center"/>
          </w:tcPr>
          <w:p>
            <w:pPr>
              <w:jc w:val="center"/>
              <w:rPr>
                <w:sz w:val="18"/>
                <w:szCs w:val="18"/>
              </w:rPr>
            </w:pPr>
            <w:r>
              <w:rPr>
                <w:rFonts w:hint="eastAsia"/>
                <w:sz w:val="18"/>
                <w:szCs w:val="18"/>
              </w:rPr>
              <w:t>浑浊</w:t>
            </w:r>
          </w:p>
        </w:tc>
        <w:tc>
          <w:tcPr>
            <w:tcW w:w="966" w:type="dxa"/>
            <w:vAlign w:val="center"/>
          </w:tcPr>
          <w:p>
            <w:pPr>
              <w:jc w:val="center"/>
              <w:rPr>
                <w:sz w:val="18"/>
                <w:szCs w:val="18"/>
              </w:rPr>
            </w:pPr>
            <w:r>
              <w:rPr>
                <w:rFonts w:hint="eastAsia"/>
                <w:sz w:val="18"/>
                <w:szCs w:val="18"/>
              </w:rPr>
              <w:t>清亮</w:t>
            </w:r>
          </w:p>
        </w:tc>
        <w:tc>
          <w:tcPr>
            <w:tcW w:w="966" w:type="dxa"/>
            <w:vAlign w:val="center"/>
          </w:tcPr>
          <w:p>
            <w:pPr>
              <w:jc w:val="center"/>
              <w:rPr>
                <w:sz w:val="18"/>
                <w:szCs w:val="18"/>
              </w:rPr>
            </w:pPr>
            <w:r>
              <w:rPr>
                <w:rFonts w:hint="eastAsia"/>
                <w:sz w:val="18"/>
                <w:szCs w:val="18"/>
              </w:rPr>
              <w:t>清亮</w:t>
            </w:r>
          </w:p>
        </w:tc>
        <w:tc>
          <w:tcPr>
            <w:tcW w:w="966" w:type="dxa"/>
            <w:vAlign w:val="center"/>
          </w:tcPr>
          <w:p>
            <w:pPr>
              <w:jc w:val="center"/>
              <w:rPr>
                <w:sz w:val="18"/>
                <w:szCs w:val="18"/>
              </w:rPr>
            </w:pPr>
            <w:r>
              <w:rPr>
                <w:rFonts w:hint="eastAsia"/>
                <w:sz w:val="18"/>
                <w:szCs w:val="18"/>
              </w:rPr>
              <w:t>清亮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20" w:type="dxa"/>
            <w:vAlign w:val="center"/>
          </w:tcPr>
          <w:p>
            <w:pPr>
              <w:jc w:val="center"/>
              <w:rPr>
                <w:sz w:val="18"/>
                <w:szCs w:val="18"/>
              </w:rPr>
            </w:pPr>
            <w:r>
              <w:rPr>
                <w:rFonts w:hint="eastAsia"/>
                <w:sz w:val="18"/>
                <w:szCs w:val="18"/>
              </w:rPr>
              <w:t>样品分析结果</w:t>
            </w:r>
          </w:p>
        </w:tc>
        <w:tc>
          <w:tcPr>
            <w:tcW w:w="967" w:type="dxa"/>
            <w:vAlign w:val="center"/>
          </w:tcPr>
          <w:p>
            <w:pPr>
              <w:jc w:val="center"/>
              <w:rPr>
                <w:rFonts w:ascii="Times New Roman" w:hAnsi="Times New Roman"/>
                <w:sz w:val="18"/>
                <w:szCs w:val="18"/>
              </w:rPr>
            </w:pPr>
            <w:r>
              <w:rPr>
                <w:rFonts w:ascii="Times New Roman" w:hAnsi="Times New Roman"/>
                <w:sz w:val="18"/>
                <w:szCs w:val="18"/>
              </w:rPr>
              <w:t>2.04</w:t>
            </w:r>
          </w:p>
        </w:tc>
        <w:tc>
          <w:tcPr>
            <w:tcW w:w="966" w:type="dxa"/>
            <w:vAlign w:val="center"/>
          </w:tcPr>
          <w:p>
            <w:pPr>
              <w:jc w:val="center"/>
              <w:rPr>
                <w:rFonts w:ascii="Times New Roman" w:hAnsi="Times New Roman"/>
                <w:sz w:val="18"/>
                <w:szCs w:val="18"/>
              </w:rPr>
            </w:pPr>
            <w:r>
              <w:rPr>
                <w:rFonts w:ascii="Times New Roman" w:hAnsi="Times New Roman"/>
                <w:sz w:val="18"/>
                <w:szCs w:val="18"/>
              </w:rPr>
              <w:t>2.02</w:t>
            </w:r>
          </w:p>
        </w:tc>
        <w:tc>
          <w:tcPr>
            <w:tcW w:w="966" w:type="dxa"/>
            <w:vAlign w:val="center"/>
          </w:tcPr>
          <w:p>
            <w:pPr>
              <w:jc w:val="center"/>
              <w:rPr>
                <w:rFonts w:ascii="Times New Roman" w:hAnsi="Times New Roman"/>
                <w:sz w:val="18"/>
                <w:szCs w:val="18"/>
              </w:rPr>
            </w:pPr>
            <w:r>
              <w:rPr>
                <w:rFonts w:ascii="Times New Roman" w:hAnsi="Times New Roman"/>
                <w:sz w:val="18"/>
                <w:szCs w:val="18"/>
              </w:rPr>
              <w:t>2.08</w:t>
            </w:r>
          </w:p>
        </w:tc>
        <w:tc>
          <w:tcPr>
            <w:tcW w:w="966" w:type="dxa"/>
            <w:vAlign w:val="center"/>
          </w:tcPr>
          <w:p>
            <w:pPr>
              <w:jc w:val="center"/>
              <w:rPr>
                <w:rFonts w:ascii="Times New Roman" w:hAnsi="Times New Roman"/>
                <w:sz w:val="18"/>
                <w:szCs w:val="18"/>
              </w:rPr>
            </w:pPr>
            <w:r>
              <w:rPr>
                <w:rFonts w:ascii="Times New Roman" w:hAnsi="Times New Roman"/>
                <w:sz w:val="18"/>
                <w:szCs w:val="18"/>
              </w:rPr>
              <w:t>2.05</w:t>
            </w:r>
          </w:p>
        </w:tc>
        <w:tc>
          <w:tcPr>
            <w:tcW w:w="966" w:type="dxa"/>
            <w:vAlign w:val="center"/>
          </w:tcPr>
          <w:p>
            <w:pPr>
              <w:jc w:val="center"/>
              <w:rPr>
                <w:rFonts w:ascii="Times New Roman" w:hAnsi="Times New Roman"/>
                <w:sz w:val="18"/>
                <w:szCs w:val="18"/>
              </w:rPr>
            </w:pPr>
            <w:r>
              <w:rPr>
                <w:rFonts w:ascii="Times New Roman" w:hAnsi="Times New Roman"/>
                <w:sz w:val="18"/>
                <w:szCs w:val="18"/>
              </w:rPr>
              <w:t>2.08</w:t>
            </w:r>
          </w:p>
        </w:tc>
      </w:tr>
    </w:tbl>
    <w:p>
      <w:pPr>
        <w:ind w:firstLine="270" w:firstLineChars="150"/>
        <w:jc w:val="left"/>
        <w:rPr>
          <w:sz w:val="18"/>
          <w:szCs w:val="18"/>
        </w:rPr>
      </w:pPr>
    </w:p>
    <w:p>
      <w:pPr>
        <w:ind w:firstLine="525" w:firstLineChars="250"/>
        <w:jc w:val="left"/>
        <w:rPr>
          <w:szCs w:val="21"/>
        </w:rPr>
      </w:pPr>
      <w:r>
        <w:rPr>
          <w:rFonts w:hint="eastAsia"/>
          <w:szCs w:val="21"/>
        </w:rPr>
        <w:t>试验表明，加入</w:t>
      </w:r>
      <w:r>
        <w:rPr>
          <w:rFonts w:ascii="Times New Roman" w:hAnsi="Times New Roman"/>
          <w:szCs w:val="21"/>
        </w:rPr>
        <w:t>2.5 mL~ 5 mL</w:t>
      </w:r>
      <w:r>
        <w:rPr>
          <w:rFonts w:hint="eastAsia"/>
          <w:szCs w:val="21"/>
        </w:rPr>
        <w:t>王水（</w:t>
      </w:r>
      <w:r>
        <w:rPr>
          <w:rFonts w:ascii="Times New Roman" w:hAnsi="Times New Roman"/>
          <w:szCs w:val="21"/>
        </w:rPr>
        <w:t>1.2.</w:t>
      </w:r>
      <w:r>
        <w:rPr>
          <w:rFonts w:hint="eastAsia" w:ascii="Times New Roman" w:hAnsi="Times New Roman"/>
          <w:szCs w:val="21"/>
        </w:rPr>
        <w:t>11</w:t>
      </w:r>
      <w:r>
        <w:rPr>
          <w:rFonts w:hint="eastAsia"/>
          <w:szCs w:val="21"/>
        </w:rPr>
        <w:t>）时，测定结果稳定，但样品溶液浑浊，加入</w:t>
      </w:r>
      <w:r>
        <w:rPr>
          <w:szCs w:val="21"/>
        </w:rPr>
        <w:t xml:space="preserve"> </w:t>
      </w:r>
      <w:r>
        <w:rPr>
          <w:rFonts w:ascii="Times New Roman" w:hAnsi="Times New Roman"/>
          <w:szCs w:val="21"/>
        </w:rPr>
        <w:t>10 mL~20 mL</w:t>
      </w:r>
      <w:r>
        <w:rPr>
          <w:rFonts w:hint="eastAsia"/>
          <w:szCs w:val="21"/>
        </w:rPr>
        <w:t>王水（</w:t>
      </w:r>
      <w:r>
        <w:rPr>
          <w:rFonts w:ascii="Times New Roman" w:hAnsi="Times New Roman"/>
          <w:szCs w:val="21"/>
        </w:rPr>
        <w:t>1.2.</w:t>
      </w:r>
      <w:r>
        <w:rPr>
          <w:rFonts w:hint="eastAsia" w:ascii="Times New Roman" w:hAnsi="Times New Roman"/>
          <w:szCs w:val="21"/>
        </w:rPr>
        <w:t>11</w:t>
      </w:r>
      <w:r>
        <w:rPr>
          <w:rFonts w:hint="eastAsia"/>
          <w:szCs w:val="21"/>
        </w:rPr>
        <w:t>）时样品溶液清亮，铋分析结果稳定。</w:t>
      </w:r>
    </w:p>
    <w:p>
      <w:pPr>
        <w:jc w:val="left"/>
        <w:rPr>
          <w:rFonts w:ascii="黑体" w:hAnsi="黑体" w:eastAsia="黑体"/>
          <w:szCs w:val="21"/>
        </w:rPr>
      </w:pPr>
      <w:r>
        <w:rPr>
          <w:rFonts w:ascii="Times New Roman" w:hAnsi="Times New Roman" w:eastAsia="黑体"/>
          <w:szCs w:val="21"/>
        </w:rPr>
        <w:t xml:space="preserve">2.2.1.4 </w:t>
      </w:r>
      <w:r>
        <w:rPr>
          <w:rFonts w:hint="eastAsia" w:ascii="黑体" w:hAnsi="黑体" w:eastAsia="黑体"/>
          <w:szCs w:val="21"/>
        </w:rPr>
        <w:t xml:space="preserve"> 硫酸介质</w:t>
      </w:r>
    </w:p>
    <w:p>
      <w:pPr>
        <w:ind w:firstLine="420" w:firstLineChars="200"/>
        <w:jc w:val="left"/>
        <w:rPr>
          <w:szCs w:val="21"/>
        </w:rPr>
      </w:pPr>
      <w:r>
        <w:rPr>
          <w:rFonts w:hint="eastAsia"/>
          <w:szCs w:val="21"/>
        </w:rPr>
        <w:t>试验了硫酸加入量对铋标准溶液的影响。</w:t>
      </w:r>
    </w:p>
    <w:p>
      <w:pPr>
        <w:ind w:firstLine="420" w:firstLineChars="200"/>
        <w:jc w:val="left"/>
        <w:rPr>
          <w:szCs w:val="21"/>
        </w:rPr>
      </w:pPr>
      <w:r>
        <w:rPr>
          <w:rFonts w:hint="eastAsia"/>
          <w:szCs w:val="21"/>
        </w:rPr>
        <w:t>分别移取</w:t>
      </w:r>
      <w:r>
        <w:rPr>
          <w:rFonts w:ascii="Times New Roman" w:hAnsi="Times New Roman"/>
          <w:szCs w:val="21"/>
        </w:rPr>
        <w:t>0 mL、5.00 mL、10.00 mL</w:t>
      </w:r>
      <w:r>
        <w:rPr>
          <w:rFonts w:hint="eastAsia"/>
          <w:szCs w:val="21"/>
        </w:rPr>
        <w:t>铋标准溶液（</w:t>
      </w:r>
      <w:r>
        <w:rPr>
          <w:rFonts w:ascii="Times New Roman" w:hAnsi="Times New Roman"/>
          <w:szCs w:val="21"/>
        </w:rPr>
        <w:t xml:space="preserve">1.2.13 </w:t>
      </w:r>
      <w:r>
        <w:rPr>
          <w:rFonts w:hint="eastAsia"/>
          <w:szCs w:val="21"/>
        </w:rPr>
        <w:t>）于三组</w:t>
      </w:r>
      <w:r>
        <w:rPr>
          <w:rFonts w:ascii="Times New Roman" w:hAnsi="Times New Roman"/>
          <w:szCs w:val="21"/>
        </w:rPr>
        <w:t>100 mL</w:t>
      </w:r>
      <w:r>
        <w:rPr>
          <w:rFonts w:hint="eastAsia"/>
          <w:szCs w:val="21"/>
        </w:rPr>
        <w:t>容量瓶中，分别加入硫酸（</w:t>
      </w:r>
      <w:r>
        <w:rPr>
          <w:rFonts w:ascii="Times New Roman" w:hAnsi="Times New Roman"/>
          <w:szCs w:val="21"/>
        </w:rPr>
        <w:t>1.2.</w:t>
      </w:r>
      <w:r>
        <w:rPr>
          <w:rFonts w:hint="eastAsia" w:ascii="Times New Roman" w:hAnsi="Times New Roman"/>
          <w:szCs w:val="21"/>
        </w:rPr>
        <w:t>8</w:t>
      </w:r>
      <w:r>
        <w:rPr>
          <w:rFonts w:hint="eastAsia"/>
          <w:szCs w:val="21"/>
        </w:rPr>
        <w:t>）</w:t>
      </w:r>
      <w:r>
        <w:rPr>
          <w:rFonts w:ascii="Times New Roman" w:hAnsi="Times New Roman"/>
          <w:szCs w:val="21"/>
        </w:rPr>
        <w:t>0 mL~10 mL</w:t>
      </w:r>
      <w:r>
        <w:rPr>
          <w:rFonts w:hint="eastAsia"/>
          <w:szCs w:val="21"/>
        </w:rPr>
        <w:t>，按试验方法（</w:t>
      </w:r>
      <w:r>
        <w:rPr>
          <w:rFonts w:ascii="Times New Roman" w:hAnsi="Times New Roman"/>
          <w:szCs w:val="21"/>
        </w:rPr>
        <w:t>1.5.4.3</w:t>
      </w:r>
      <w:r>
        <w:rPr>
          <w:rFonts w:hint="eastAsia"/>
          <w:szCs w:val="21"/>
        </w:rPr>
        <w:t>）考察硫酸酸度对测定的影响。</w:t>
      </w:r>
    </w:p>
    <w:p>
      <w:pPr>
        <w:ind w:firstLine="3465" w:firstLineChars="1650"/>
        <w:jc w:val="left"/>
        <w:rPr>
          <w:szCs w:val="21"/>
        </w:rPr>
      </w:pPr>
    </w:p>
    <w:p>
      <w:pPr>
        <w:ind w:firstLine="1680" w:firstLineChars="800"/>
        <w:jc w:val="left"/>
        <w:rPr>
          <w:szCs w:val="21"/>
        </w:rPr>
      </w:pPr>
      <w:r>
        <w:rPr>
          <w:rFonts w:hint="eastAsia"/>
          <w:szCs w:val="21"/>
        </w:rPr>
        <w:t>表</w:t>
      </w:r>
      <w:r>
        <w:rPr>
          <w:rFonts w:ascii="Times New Roman" w:hAnsi="Times New Roman"/>
          <w:szCs w:val="21"/>
        </w:rPr>
        <w:t>10</w:t>
      </w:r>
      <w:r>
        <w:rPr>
          <w:rFonts w:hint="eastAsia"/>
          <w:szCs w:val="21"/>
        </w:rPr>
        <w:t>硫酸加入量对测定铋标准溶液吸光度影响试验</w:t>
      </w:r>
    </w:p>
    <w:tbl>
      <w:tblPr>
        <w:tblStyle w:val="32"/>
        <w:tblW w:w="7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967"/>
        <w:gridCol w:w="966"/>
        <w:gridCol w:w="966"/>
        <w:gridCol w:w="966"/>
        <w:gridCol w:w="966"/>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20" w:type="dxa"/>
            <w:tcBorders>
              <w:tl2br w:val="single" w:color="auto" w:sz="4" w:space="0"/>
            </w:tcBorders>
            <w:vAlign w:val="center"/>
          </w:tcPr>
          <w:p>
            <w:pPr>
              <w:jc w:val="center"/>
              <w:rPr>
                <w:sz w:val="18"/>
                <w:szCs w:val="18"/>
              </w:rPr>
            </w:pPr>
            <w:r>
              <w:rPr>
                <w:rFonts w:hint="eastAsia"/>
                <w:sz w:val="18"/>
                <w:szCs w:val="18"/>
              </w:rPr>
              <w:t>硫酸加入量</w:t>
            </w:r>
            <w:r>
              <w:rPr>
                <w:rFonts w:ascii="Times New Roman" w:hAnsi="Times New Roman"/>
                <w:sz w:val="18"/>
                <w:szCs w:val="18"/>
              </w:rPr>
              <w:t>/mL</w:t>
            </w:r>
          </w:p>
          <w:p>
            <w:pPr>
              <w:jc w:val="center"/>
              <w:rPr>
                <w:sz w:val="18"/>
                <w:szCs w:val="18"/>
              </w:rPr>
            </w:pPr>
          </w:p>
        </w:tc>
        <w:tc>
          <w:tcPr>
            <w:tcW w:w="967" w:type="dxa"/>
            <w:vAlign w:val="center"/>
          </w:tcPr>
          <w:p>
            <w:pPr>
              <w:ind w:firstLine="180" w:firstLineChars="100"/>
              <w:jc w:val="center"/>
              <w:rPr>
                <w:rFonts w:ascii="Times New Roman" w:hAnsi="Times New Roman"/>
                <w:sz w:val="18"/>
                <w:szCs w:val="18"/>
              </w:rPr>
            </w:pPr>
            <w:r>
              <w:rPr>
                <w:rFonts w:ascii="Times New Roman" w:hAnsi="Times New Roman"/>
                <w:sz w:val="18"/>
                <w:szCs w:val="18"/>
              </w:rPr>
              <w:t>0</w:t>
            </w:r>
          </w:p>
        </w:tc>
        <w:tc>
          <w:tcPr>
            <w:tcW w:w="966" w:type="dxa"/>
            <w:vAlign w:val="center"/>
          </w:tcPr>
          <w:p>
            <w:pPr>
              <w:ind w:firstLine="360" w:firstLineChars="200"/>
              <w:jc w:val="center"/>
              <w:rPr>
                <w:rFonts w:ascii="Times New Roman" w:hAnsi="Times New Roman"/>
                <w:sz w:val="18"/>
                <w:szCs w:val="18"/>
              </w:rPr>
            </w:pPr>
            <w:r>
              <w:rPr>
                <w:rFonts w:ascii="Times New Roman" w:hAnsi="Times New Roman"/>
                <w:sz w:val="18"/>
                <w:szCs w:val="18"/>
              </w:rPr>
              <w:t>0.5</w:t>
            </w:r>
          </w:p>
        </w:tc>
        <w:tc>
          <w:tcPr>
            <w:tcW w:w="966" w:type="dxa"/>
            <w:vAlign w:val="center"/>
          </w:tcPr>
          <w:p>
            <w:pPr>
              <w:ind w:firstLine="360" w:firstLineChars="200"/>
              <w:jc w:val="center"/>
              <w:rPr>
                <w:rFonts w:ascii="Times New Roman" w:hAnsi="Times New Roman"/>
                <w:sz w:val="18"/>
                <w:szCs w:val="18"/>
              </w:rPr>
            </w:pPr>
            <w:r>
              <w:rPr>
                <w:rFonts w:ascii="Times New Roman" w:hAnsi="Times New Roman"/>
                <w:sz w:val="18"/>
                <w:szCs w:val="18"/>
              </w:rPr>
              <w:t>1</w:t>
            </w:r>
          </w:p>
        </w:tc>
        <w:tc>
          <w:tcPr>
            <w:tcW w:w="966" w:type="dxa"/>
            <w:vAlign w:val="center"/>
          </w:tcPr>
          <w:p>
            <w:pPr>
              <w:ind w:firstLine="180" w:firstLineChars="100"/>
              <w:jc w:val="center"/>
              <w:rPr>
                <w:rFonts w:ascii="Times New Roman" w:hAnsi="Times New Roman"/>
                <w:sz w:val="18"/>
                <w:szCs w:val="18"/>
              </w:rPr>
            </w:pPr>
            <w:r>
              <w:rPr>
                <w:rFonts w:ascii="Times New Roman" w:hAnsi="Times New Roman"/>
                <w:sz w:val="18"/>
                <w:szCs w:val="18"/>
              </w:rPr>
              <w:t>2</w:t>
            </w:r>
          </w:p>
        </w:tc>
        <w:tc>
          <w:tcPr>
            <w:tcW w:w="966" w:type="dxa"/>
            <w:vAlign w:val="center"/>
          </w:tcPr>
          <w:p>
            <w:pPr>
              <w:jc w:val="center"/>
              <w:rPr>
                <w:rFonts w:ascii="Times New Roman" w:hAnsi="Times New Roman"/>
                <w:sz w:val="18"/>
                <w:szCs w:val="18"/>
              </w:rPr>
            </w:pPr>
            <w:r>
              <w:rPr>
                <w:rFonts w:ascii="Times New Roman" w:hAnsi="Times New Roman"/>
                <w:sz w:val="18"/>
                <w:szCs w:val="18"/>
              </w:rPr>
              <w:t>5</w:t>
            </w:r>
          </w:p>
        </w:tc>
        <w:tc>
          <w:tcPr>
            <w:tcW w:w="966" w:type="dxa"/>
            <w:vAlign w:val="center"/>
          </w:tcPr>
          <w:p>
            <w:pPr>
              <w:ind w:firstLine="180" w:firstLineChars="100"/>
              <w:jc w:val="center"/>
              <w:rPr>
                <w:rFonts w:ascii="Times New Roman" w:hAnsi="Times New Roman"/>
                <w:sz w:val="18"/>
                <w:szCs w:val="18"/>
              </w:rPr>
            </w:pPr>
            <w:r>
              <w:rPr>
                <w:rFonts w:ascii="Times New Roman" w:hAnsi="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20" w:type="dxa"/>
            <w:vAlign w:val="center"/>
          </w:tcPr>
          <w:p>
            <w:pPr>
              <w:jc w:val="center"/>
              <w:rPr>
                <w:sz w:val="18"/>
                <w:szCs w:val="18"/>
              </w:rPr>
            </w:pPr>
            <w:r>
              <w:rPr>
                <w:rFonts w:hint="eastAsia"/>
                <w:sz w:val="18"/>
                <w:szCs w:val="18"/>
              </w:rPr>
              <w:t>加</w:t>
            </w:r>
            <w:r>
              <w:rPr>
                <w:rFonts w:ascii="Times New Roman" w:hAnsi="Times New Roman"/>
                <w:sz w:val="18"/>
                <w:szCs w:val="18"/>
              </w:rPr>
              <w:t>Bi</w:t>
            </w:r>
            <w:r>
              <w:rPr>
                <w:rFonts w:hint="eastAsia"/>
                <w:sz w:val="18"/>
                <w:szCs w:val="18"/>
              </w:rPr>
              <w:t>标准</w:t>
            </w:r>
            <w:r>
              <w:rPr>
                <w:rFonts w:ascii="Times New Roman" w:hAnsi="Times New Roman"/>
                <w:sz w:val="18"/>
                <w:szCs w:val="18"/>
              </w:rPr>
              <w:t>0µg</w:t>
            </w:r>
          </w:p>
          <w:p>
            <w:pPr>
              <w:jc w:val="center"/>
              <w:rPr>
                <w:sz w:val="18"/>
                <w:szCs w:val="18"/>
              </w:rPr>
            </w:pPr>
            <w:r>
              <w:rPr>
                <w:rFonts w:hint="eastAsia"/>
                <w:sz w:val="18"/>
                <w:szCs w:val="18"/>
              </w:rPr>
              <w:t>不加盐酸</w:t>
            </w:r>
          </w:p>
        </w:tc>
        <w:tc>
          <w:tcPr>
            <w:tcW w:w="967" w:type="dxa"/>
            <w:vAlign w:val="center"/>
          </w:tcPr>
          <w:p>
            <w:pPr>
              <w:jc w:val="center"/>
              <w:rPr>
                <w:rFonts w:ascii="Times New Roman" w:hAnsi="Times New Roman"/>
                <w:sz w:val="18"/>
                <w:szCs w:val="18"/>
              </w:rPr>
            </w:pPr>
            <w:r>
              <w:rPr>
                <w:rFonts w:ascii="Times New Roman" w:hAnsi="Times New Roman"/>
                <w:sz w:val="18"/>
                <w:szCs w:val="18"/>
              </w:rPr>
              <w:t>0</w:t>
            </w:r>
          </w:p>
        </w:tc>
        <w:tc>
          <w:tcPr>
            <w:tcW w:w="966" w:type="dxa"/>
            <w:vAlign w:val="center"/>
          </w:tcPr>
          <w:p>
            <w:pPr>
              <w:jc w:val="center"/>
              <w:rPr>
                <w:rFonts w:ascii="Times New Roman" w:hAnsi="Times New Roman"/>
                <w:sz w:val="18"/>
                <w:szCs w:val="18"/>
              </w:rPr>
            </w:pPr>
            <w:r>
              <w:rPr>
                <w:rFonts w:ascii="Times New Roman" w:hAnsi="Times New Roman"/>
                <w:sz w:val="18"/>
                <w:szCs w:val="18"/>
              </w:rPr>
              <w:t>0.0027</w:t>
            </w:r>
          </w:p>
        </w:tc>
        <w:tc>
          <w:tcPr>
            <w:tcW w:w="966" w:type="dxa"/>
            <w:vAlign w:val="center"/>
          </w:tcPr>
          <w:p>
            <w:pPr>
              <w:jc w:val="center"/>
              <w:rPr>
                <w:rFonts w:ascii="Times New Roman" w:hAnsi="Times New Roman"/>
                <w:sz w:val="18"/>
                <w:szCs w:val="18"/>
              </w:rPr>
            </w:pPr>
            <w:r>
              <w:rPr>
                <w:rFonts w:ascii="Times New Roman" w:hAnsi="Times New Roman"/>
                <w:sz w:val="18"/>
                <w:szCs w:val="18"/>
              </w:rPr>
              <w:t>0.0062</w:t>
            </w:r>
          </w:p>
        </w:tc>
        <w:tc>
          <w:tcPr>
            <w:tcW w:w="966" w:type="dxa"/>
            <w:vAlign w:val="center"/>
          </w:tcPr>
          <w:p>
            <w:pPr>
              <w:jc w:val="center"/>
              <w:rPr>
                <w:rFonts w:ascii="Times New Roman" w:hAnsi="Times New Roman"/>
                <w:sz w:val="18"/>
                <w:szCs w:val="18"/>
              </w:rPr>
            </w:pPr>
            <w:r>
              <w:rPr>
                <w:rFonts w:ascii="Times New Roman" w:hAnsi="Times New Roman"/>
                <w:sz w:val="18"/>
                <w:szCs w:val="18"/>
              </w:rPr>
              <w:t>0.0103</w:t>
            </w:r>
          </w:p>
        </w:tc>
        <w:tc>
          <w:tcPr>
            <w:tcW w:w="966" w:type="dxa"/>
            <w:vAlign w:val="center"/>
          </w:tcPr>
          <w:p>
            <w:pPr>
              <w:jc w:val="center"/>
              <w:rPr>
                <w:rFonts w:ascii="Times New Roman" w:hAnsi="Times New Roman"/>
                <w:sz w:val="18"/>
                <w:szCs w:val="18"/>
              </w:rPr>
            </w:pPr>
            <w:r>
              <w:rPr>
                <w:rFonts w:ascii="Times New Roman" w:hAnsi="Times New Roman"/>
                <w:sz w:val="18"/>
                <w:szCs w:val="18"/>
              </w:rPr>
              <w:t>0.0222</w:t>
            </w:r>
          </w:p>
        </w:tc>
        <w:tc>
          <w:tcPr>
            <w:tcW w:w="966" w:type="dxa"/>
            <w:vAlign w:val="center"/>
          </w:tcPr>
          <w:p>
            <w:pPr>
              <w:jc w:val="center"/>
              <w:rPr>
                <w:rFonts w:ascii="Times New Roman" w:hAnsi="Times New Roman"/>
                <w:sz w:val="18"/>
                <w:szCs w:val="18"/>
              </w:rPr>
            </w:pPr>
            <w:r>
              <w:rPr>
                <w:rFonts w:ascii="Times New Roman" w:hAnsi="Times New Roman"/>
                <w:sz w:val="18"/>
                <w:szCs w:val="18"/>
              </w:rPr>
              <w:t>0.0401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20" w:type="dxa"/>
            <w:vAlign w:val="center"/>
          </w:tcPr>
          <w:p>
            <w:pPr>
              <w:jc w:val="center"/>
              <w:rPr>
                <w:sz w:val="18"/>
                <w:szCs w:val="18"/>
              </w:rPr>
            </w:pPr>
            <w:r>
              <w:rPr>
                <w:rFonts w:hint="eastAsia"/>
                <w:sz w:val="18"/>
                <w:szCs w:val="18"/>
              </w:rPr>
              <w:t>加</w:t>
            </w:r>
            <w:r>
              <w:rPr>
                <w:rFonts w:ascii="Times New Roman" w:hAnsi="Times New Roman"/>
                <w:sz w:val="18"/>
                <w:szCs w:val="18"/>
              </w:rPr>
              <w:t>Bi</w:t>
            </w:r>
            <w:r>
              <w:rPr>
                <w:rFonts w:hint="eastAsia"/>
                <w:sz w:val="18"/>
                <w:szCs w:val="18"/>
              </w:rPr>
              <w:t>标准</w:t>
            </w:r>
            <w:r>
              <w:rPr>
                <w:rFonts w:ascii="Times New Roman" w:hAnsi="Times New Roman"/>
                <w:sz w:val="18"/>
                <w:szCs w:val="18"/>
              </w:rPr>
              <w:t>5µg</w:t>
            </w:r>
          </w:p>
          <w:p>
            <w:pPr>
              <w:jc w:val="center"/>
              <w:rPr>
                <w:sz w:val="18"/>
                <w:szCs w:val="18"/>
              </w:rPr>
            </w:pPr>
            <w:r>
              <w:rPr>
                <w:rFonts w:hint="eastAsia"/>
                <w:sz w:val="18"/>
                <w:szCs w:val="18"/>
              </w:rPr>
              <w:t>不加盐酸</w:t>
            </w:r>
          </w:p>
        </w:tc>
        <w:tc>
          <w:tcPr>
            <w:tcW w:w="967" w:type="dxa"/>
            <w:vAlign w:val="center"/>
          </w:tcPr>
          <w:p>
            <w:pPr>
              <w:jc w:val="center"/>
              <w:rPr>
                <w:rFonts w:ascii="Times New Roman" w:hAnsi="Times New Roman"/>
                <w:sz w:val="18"/>
                <w:szCs w:val="18"/>
              </w:rPr>
            </w:pPr>
            <w:r>
              <w:rPr>
                <w:rFonts w:ascii="Times New Roman" w:hAnsi="Times New Roman"/>
                <w:sz w:val="18"/>
                <w:szCs w:val="18"/>
              </w:rPr>
              <w:t>0.0914</w:t>
            </w:r>
          </w:p>
        </w:tc>
        <w:tc>
          <w:tcPr>
            <w:tcW w:w="966" w:type="dxa"/>
            <w:vAlign w:val="center"/>
          </w:tcPr>
          <w:p>
            <w:pPr>
              <w:jc w:val="center"/>
              <w:rPr>
                <w:rFonts w:ascii="Times New Roman" w:hAnsi="Times New Roman"/>
                <w:sz w:val="18"/>
                <w:szCs w:val="18"/>
              </w:rPr>
            </w:pPr>
            <w:r>
              <w:rPr>
                <w:rFonts w:ascii="Times New Roman" w:hAnsi="Times New Roman"/>
                <w:sz w:val="18"/>
                <w:szCs w:val="18"/>
              </w:rPr>
              <w:t>0.1050</w:t>
            </w:r>
          </w:p>
        </w:tc>
        <w:tc>
          <w:tcPr>
            <w:tcW w:w="966" w:type="dxa"/>
            <w:vAlign w:val="center"/>
          </w:tcPr>
          <w:p>
            <w:pPr>
              <w:jc w:val="center"/>
              <w:rPr>
                <w:rFonts w:ascii="Times New Roman" w:hAnsi="Times New Roman"/>
                <w:sz w:val="18"/>
                <w:szCs w:val="18"/>
              </w:rPr>
            </w:pPr>
            <w:r>
              <w:rPr>
                <w:rFonts w:ascii="Times New Roman" w:hAnsi="Times New Roman"/>
                <w:sz w:val="18"/>
                <w:szCs w:val="18"/>
              </w:rPr>
              <w:t>0.1052</w:t>
            </w:r>
          </w:p>
        </w:tc>
        <w:tc>
          <w:tcPr>
            <w:tcW w:w="966" w:type="dxa"/>
            <w:vAlign w:val="center"/>
          </w:tcPr>
          <w:p>
            <w:pPr>
              <w:jc w:val="center"/>
              <w:rPr>
                <w:rFonts w:ascii="Times New Roman" w:hAnsi="Times New Roman"/>
                <w:sz w:val="18"/>
                <w:szCs w:val="18"/>
              </w:rPr>
            </w:pPr>
            <w:r>
              <w:rPr>
                <w:rFonts w:ascii="Times New Roman" w:hAnsi="Times New Roman"/>
                <w:sz w:val="18"/>
                <w:szCs w:val="18"/>
              </w:rPr>
              <w:t>0.1091</w:t>
            </w:r>
          </w:p>
        </w:tc>
        <w:tc>
          <w:tcPr>
            <w:tcW w:w="966" w:type="dxa"/>
            <w:vAlign w:val="center"/>
          </w:tcPr>
          <w:p>
            <w:pPr>
              <w:jc w:val="center"/>
              <w:rPr>
                <w:rFonts w:ascii="Times New Roman" w:hAnsi="Times New Roman"/>
                <w:sz w:val="18"/>
                <w:szCs w:val="18"/>
              </w:rPr>
            </w:pPr>
            <w:r>
              <w:rPr>
                <w:rFonts w:ascii="Times New Roman" w:hAnsi="Times New Roman"/>
                <w:sz w:val="18"/>
                <w:szCs w:val="18"/>
              </w:rPr>
              <w:t>0.1163</w:t>
            </w:r>
          </w:p>
        </w:tc>
        <w:tc>
          <w:tcPr>
            <w:tcW w:w="966" w:type="dxa"/>
            <w:vAlign w:val="center"/>
          </w:tcPr>
          <w:p>
            <w:pPr>
              <w:jc w:val="center"/>
              <w:rPr>
                <w:rFonts w:ascii="Times New Roman" w:hAnsi="Times New Roman"/>
                <w:sz w:val="18"/>
                <w:szCs w:val="18"/>
              </w:rPr>
            </w:pPr>
            <w:r>
              <w:rPr>
                <w:rFonts w:ascii="Times New Roman" w:hAnsi="Times New Roman"/>
                <w:sz w:val="18"/>
                <w:szCs w:val="18"/>
              </w:rPr>
              <w:t>0.1241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20" w:type="dxa"/>
            <w:vAlign w:val="center"/>
          </w:tcPr>
          <w:p>
            <w:pPr>
              <w:jc w:val="center"/>
              <w:rPr>
                <w:sz w:val="18"/>
                <w:szCs w:val="18"/>
              </w:rPr>
            </w:pPr>
            <w:r>
              <w:rPr>
                <w:rFonts w:hint="eastAsia"/>
                <w:sz w:val="18"/>
                <w:szCs w:val="18"/>
              </w:rPr>
              <w:t>加</w:t>
            </w:r>
            <w:r>
              <w:rPr>
                <w:rFonts w:ascii="Times New Roman" w:hAnsi="Times New Roman"/>
                <w:sz w:val="18"/>
                <w:szCs w:val="18"/>
              </w:rPr>
              <w:t>B</w:t>
            </w:r>
            <w:r>
              <w:rPr>
                <w:sz w:val="18"/>
                <w:szCs w:val="18"/>
              </w:rPr>
              <w:t>i</w:t>
            </w:r>
            <w:r>
              <w:rPr>
                <w:rFonts w:hint="eastAsia"/>
                <w:sz w:val="18"/>
                <w:szCs w:val="18"/>
              </w:rPr>
              <w:t>标准</w:t>
            </w:r>
            <w:r>
              <w:rPr>
                <w:rFonts w:ascii="Times New Roman" w:hAnsi="Times New Roman"/>
                <w:sz w:val="18"/>
                <w:szCs w:val="18"/>
              </w:rPr>
              <w:t>10µg</w:t>
            </w:r>
            <w:r>
              <w:rPr>
                <w:sz w:val="18"/>
                <w:szCs w:val="18"/>
              </w:rPr>
              <w:t xml:space="preserve">  </w:t>
            </w:r>
            <w:r>
              <w:rPr>
                <w:rFonts w:hint="eastAsia"/>
                <w:sz w:val="18"/>
                <w:szCs w:val="18"/>
              </w:rPr>
              <w:t>不加盐酸</w:t>
            </w:r>
          </w:p>
        </w:tc>
        <w:tc>
          <w:tcPr>
            <w:tcW w:w="967" w:type="dxa"/>
            <w:vAlign w:val="center"/>
          </w:tcPr>
          <w:p>
            <w:pPr>
              <w:jc w:val="center"/>
              <w:rPr>
                <w:rFonts w:ascii="Times New Roman" w:hAnsi="Times New Roman"/>
                <w:sz w:val="18"/>
                <w:szCs w:val="18"/>
              </w:rPr>
            </w:pPr>
            <w:r>
              <w:rPr>
                <w:rFonts w:ascii="Times New Roman" w:hAnsi="Times New Roman"/>
                <w:sz w:val="18"/>
                <w:szCs w:val="18"/>
              </w:rPr>
              <w:t>0.1923</w:t>
            </w:r>
          </w:p>
        </w:tc>
        <w:tc>
          <w:tcPr>
            <w:tcW w:w="966" w:type="dxa"/>
            <w:vAlign w:val="center"/>
          </w:tcPr>
          <w:p>
            <w:pPr>
              <w:jc w:val="center"/>
              <w:rPr>
                <w:rFonts w:ascii="Times New Roman" w:hAnsi="Times New Roman"/>
                <w:sz w:val="18"/>
                <w:szCs w:val="18"/>
              </w:rPr>
            </w:pPr>
            <w:r>
              <w:rPr>
                <w:rFonts w:ascii="Times New Roman" w:hAnsi="Times New Roman"/>
                <w:sz w:val="18"/>
                <w:szCs w:val="18"/>
              </w:rPr>
              <w:t>0.1936</w:t>
            </w:r>
          </w:p>
        </w:tc>
        <w:tc>
          <w:tcPr>
            <w:tcW w:w="966" w:type="dxa"/>
            <w:vAlign w:val="center"/>
          </w:tcPr>
          <w:p>
            <w:pPr>
              <w:jc w:val="center"/>
              <w:rPr>
                <w:rFonts w:ascii="Times New Roman" w:hAnsi="Times New Roman"/>
                <w:sz w:val="18"/>
                <w:szCs w:val="18"/>
              </w:rPr>
            </w:pPr>
            <w:r>
              <w:rPr>
                <w:rFonts w:ascii="Times New Roman" w:hAnsi="Times New Roman"/>
                <w:sz w:val="18"/>
                <w:szCs w:val="18"/>
              </w:rPr>
              <w:t>0.2011</w:t>
            </w:r>
          </w:p>
        </w:tc>
        <w:tc>
          <w:tcPr>
            <w:tcW w:w="966" w:type="dxa"/>
            <w:vAlign w:val="center"/>
          </w:tcPr>
          <w:p>
            <w:pPr>
              <w:jc w:val="center"/>
              <w:rPr>
                <w:rFonts w:ascii="Times New Roman" w:hAnsi="Times New Roman"/>
                <w:sz w:val="18"/>
                <w:szCs w:val="18"/>
              </w:rPr>
            </w:pPr>
            <w:r>
              <w:rPr>
                <w:rFonts w:ascii="Times New Roman" w:hAnsi="Times New Roman"/>
                <w:sz w:val="18"/>
                <w:szCs w:val="18"/>
              </w:rPr>
              <w:t>0.2025</w:t>
            </w:r>
          </w:p>
        </w:tc>
        <w:tc>
          <w:tcPr>
            <w:tcW w:w="966" w:type="dxa"/>
            <w:vAlign w:val="center"/>
          </w:tcPr>
          <w:p>
            <w:pPr>
              <w:jc w:val="center"/>
              <w:rPr>
                <w:rFonts w:ascii="Times New Roman" w:hAnsi="Times New Roman"/>
                <w:sz w:val="18"/>
                <w:szCs w:val="18"/>
              </w:rPr>
            </w:pPr>
            <w:r>
              <w:rPr>
                <w:rFonts w:ascii="Times New Roman" w:hAnsi="Times New Roman"/>
                <w:sz w:val="18"/>
                <w:szCs w:val="18"/>
              </w:rPr>
              <w:t>0.2073</w:t>
            </w:r>
          </w:p>
        </w:tc>
        <w:tc>
          <w:tcPr>
            <w:tcW w:w="966" w:type="dxa"/>
            <w:vAlign w:val="center"/>
          </w:tcPr>
          <w:p>
            <w:pPr>
              <w:jc w:val="center"/>
              <w:rPr>
                <w:rFonts w:ascii="Times New Roman" w:hAnsi="Times New Roman"/>
                <w:sz w:val="18"/>
                <w:szCs w:val="18"/>
              </w:rPr>
            </w:pPr>
            <w:r>
              <w:rPr>
                <w:rFonts w:ascii="Times New Roman" w:hAnsi="Times New Roman"/>
                <w:sz w:val="18"/>
                <w:szCs w:val="18"/>
              </w:rPr>
              <w:t>0.2140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20" w:type="dxa"/>
            <w:vAlign w:val="center"/>
          </w:tcPr>
          <w:p>
            <w:pPr>
              <w:jc w:val="center"/>
              <w:rPr>
                <w:sz w:val="18"/>
                <w:szCs w:val="18"/>
              </w:rPr>
            </w:pPr>
            <w:r>
              <w:rPr>
                <w:rFonts w:hint="eastAsia"/>
                <w:sz w:val="18"/>
                <w:szCs w:val="18"/>
              </w:rPr>
              <w:t>加</w:t>
            </w:r>
            <w:r>
              <w:rPr>
                <w:rFonts w:ascii="Times New Roman" w:hAnsi="Times New Roman"/>
                <w:sz w:val="18"/>
                <w:szCs w:val="18"/>
              </w:rPr>
              <w:t>Bi</w:t>
            </w:r>
            <w:r>
              <w:rPr>
                <w:rFonts w:hint="eastAsia"/>
                <w:sz w:val="18"/>
                <w:szCs w:val="18"/>
              </w:rPr>
              <w:t>标准</w:t>
            </w:r>
            <w:r>
              <w:rPr>
                <w:rFonts w:ascii="Times New Roman" w:hAnsi="Times New Roman"/>
                <w:sz w:val="18"/>
                <w:szCs w:val="18"/>
              </w:rPr>
              <w:t>0µg</w:t>
            </w:r>
            <w:r>
              <w:rPr>
                <w:sz w:val="18"/>
                <w:szCs w:val="18"/>
              </w:rPr>
              <w:t xml:space="preserve">    </w:t>
            </w:r>
            <w:r>
              <w:rPr>
                <w:rFonts w:hint="eastAsia"/>
                <w:sz w:val="18"/>
                <w:szCs w:val="18"/>
              </w:rPr>
              <w:t>加</w:t>
            </w:r>
            <w:r>
              <w:rPr>
                <w:rFonts w:ascii="Times New Roman" w:hAnsi="Times New Roman"/>
                <w:sz w:val="18"/>
                <w:szCs w:val="18"/>
              </w:rPr>
              <w:t>5 mL</w:t>
            </w:r>
            <w:r>
              <w:rPr>
                <w:rFonts w:hint="eastAsia"/>
                <w:sz w:val="18"/>
                <w:szCs w:val="18"/>
              </w:rPr>
              <w:t>盐酸</w:t>
            </w:r>
          </w:p>
        </w:tc>
        <w:tc>
          <w:tcPr>
            <w:tcW w:w="967" w:type="dxa"/>
            <w:vAlign w:val="center"/>
          </w:tcPr>
          <w:p>
            <w:pPr>
              <w:jc w:val="center"/>
              <w:rPr>
                <w:rFonts w:ascii="Times New Roman" w:hAnsi="Times New Roman"/>
                <w:sz w:val="18"/>
                <w:szCs w:val="18"/>
              </w:rPr>
            </w:pPr>
            <w:r>
              <w:rPr>
                <w:rFonts w:ascii="Times New Roman" w:hAnsi="Times New Roman"/>
                <w:sz w:val="18"/>
                <w:szCs w:val="18"/>
              </w:rPr>
              <w:t>0</w:t>
            </w:r>
          </w:p>
        </w:tc>
        <w:tc>
          <w:tcPr>
            <w:tcW w:w="966" w:type="dxa"/>
            <w:vAlign w:val="center"/>
          </w:tcPr>
          <w:p>
            <w:pPr>
              <w:jc w:val="center"/>
              <w:rPr>
                <w:rFonts w:ascii="Times New Roman" w:hAnsi="Times New Roman"/>
                <w:sz w:val="18"/>
                <w:szCs w:val="18"/>
              </w:rPr>
            </w:pPr>
            <w:r>
              <w:rPr>
                <w:rFonts w:ascii="Times New Roman" w:hAnsi="Times New Roman"/>
                <w:sz w:val="18"/>
                <w:szCs w:val="18"/>
              </w:rPr>
              <w:t>0.0021</w:t>
            </w:r>
          </w:p>
        </w:tc>
        <w:tc>
          <w:tcPr>
            <w:tcW w:w="966" w:type="dxa"/>
            <w:vAlign w:val="center"/>
          </w:tcPr>
          <w:p>
            <w:pPr>
              <w:jc w:val="center"/>
              <w:rPr>
                <w:rFonts w:ascii="Times New Roman" w:hAnsi="Times New Roman"/>
                <w:sz w:val="18"/>
                <w:szCs w:val="18"/>
              </w:rPr>
            </w:pPr>
            <w:r>
              <w:rPr>
                <w:rFonts w:ascii="Times New Roman" w:hAnsi="Times New Roman"/>
                <w:sz w:val="18"/>
                <w:szCs w:val="18"/>
              </w:rPr>
              <w:t>0.0050</w:t>
            </w:r>
          </w:p>
        </w:tc>
        <w:tc>
          <w:tcPr>
            <w:tcW w:w="966" w:type="dxa"/>
            <w:vAlign w:val="center"/>
          </w:tcPr>
          <w:p>
            <w:pPr>
              <w:jc w:val="center"/>
              <w:rPr>
                <w:rFonts w:ascii="Times New Roman" w:hAnsi="Times New Roman"/>
                <w:sz w:val="18"/>
                <w:szCs w:val="18"/>
              </w:rPr>
            </w:pPr>
            <w:r>
              <w:rPr>
                <w:rFonts w:ascii="Times New Roman" w:hAnsi="Times New Roman"/>
                <w:sz w:val="18"/>
                <w:szCs w:val="18"/>
              </w:rPr>
              <w:t>0.0102</w:t>
            </w:r>
          </w:p>
        </w:tc>
        <w:tc>
          <w:tcPr>
            <w:tcW w:w="966" w:type="dxa"/>
            <w:vAlign w:val="center"/>
          </w:tcPr>
          <w:p>
            <w:pPr>
              <w:jc w:val="center"/>
              <w:rPr>
                <w:rFonts w:ascii="Times New Roman" w:hAnsi="Times New Roman"/>
                <w:sz w:val="18"/>
                <w:szCs w:val="18"/>
              </w:rPr>
            </w:pPr>
            <w:r>
              <w:rPr>
                <w:rFonts w:ascii="Times New Roman" w:hAnsi="Times New Roman"/>
                <w:sz w:val="18"/>
                <w:szCs w:val="18"/>
              </w:rPr>
              <w:t>0.0363</w:t>
            </w:r>
          </w:p>
        </w:tc>
        <w:tc>
          <w:tcPr>
            <w:tcW w:w="966" w:type="dxa"/>
            <w:vAlign w:val="center"/>
          </w:tcPr>
          <w:p>
            <w:pPr>
              <w:jc w:val="center"/>
              <w:rPr>
                <w:rFonts w:ascii="Times New Roman" w:hAnsi="Times New Roman"/>
                <w:sz w:val="18"/>
                <w:szCs w:val="18"/>
              </w:rPr>
            </w:pPr>
            <w:r>
              <w:rPr>
                <w:rFonts w:ascii="Times New Roman" w:hAnsi="Times New Roman"/>
                <w:sz w:val="18"/>
                <w:szCs w:val="18"/>
              </w:rPr>
              <w:t>0.0403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20" w:type="dxa"/>
            <w:vAlign w:val="center"/>
          </w:tcPr>
          <w:p>
            <w:pPr>
              <w:jc w:val="center"/>
              <w:rPr>
                <w:sz w:val="18"/>
                <w:szCs w:val="18"/>
              </w:rPr>
            </w:pPr>
            <w:r>
              <w:rPr>
                <w:rFonts w:hint="eastAsia"/>
                <w:sz w:val="18"/>
                <w:szCs w:val="18"/>
              </w:rPr>
              <w:t>加</w:t>
            </w:r>
            <w:r>
              <w:rPr>
                <w:rFonts w:ascii="Times New Roman" w:hAnsi="Times New Roman"/>
                <w:sz w:val="18"/>
                <w:szCs w:val="18"/>
              </w:rPr>
              <w:t>Bi</w:t>
            </w:r>
            <w:r>
              <w:rPr>
                <w:rFonts w:hint="eastAsia"/>
                <w:sz w:val="18"/>
                <w:szCs w:val="18"/>
              </w:rPr>
              <w:t>标准</w:t>
            </w:r>
            <w:r>
              <w:rPr>
                <w:rFonts w:ascii="Times New Roman" w:hAnsi="Times New Roman"/>
                <w:sz w:val="18"/>
                <w:szCs w:val="18"/>
              </w:rPr>
              <w:t xml:space="preserve">5µg </w:t>
            </w:r>
            <w:r>
              <w:rPr>
                <w:sz w:val="18"/>
                <w:szCs w:val="18"/>
              </w:rPr>
              <w:t xml:space="preserve">  </w:t>
            </w:r>
            <w:r>
              <w:rPr>
                <w:rFonts w:hint="eastAsia"/>
                <w:sz w:val="18"/>
                <w:szCs w:val="18"/>
              </w:rPr>
              <w:t>加</w:t>
            </w:r>
            <w:r>
              <w:rPr>
                <w:rFonts w:ascii="Times New Roman" w:hAnsi="Times New Roman"/>
                <w:sz w:val="18"/>
                <w:szCs w:val="18"/>
              </w:rPr>
              <w:t>5 mL</w:t>
            </w:r>
            <w:r>
              <w:rPr>
                <w:rFonts w:hint="eastAsia"/>
                <w:sz w:val="18"/>
                <w:szCs w:val="18"/>
              </w:rPr>
              <w:t>盐酸</w:t>
            </w:r>
          </w:p>
        </w:tc>
        <w:tc>
          <w:tcPr>
            <w:tcW w:w="967" w:type="dxa"/>
            <w:vAlign w:val="center"/>
          </w:tcPr>
          <w:p>
            <w:pPr>
              <w:jc w:val="center"/>
              <w:rPr>
                <w:rFonts w:ascii="Times New Roman" w:hAnsi="Times New Roman"/>
                <w:sz w:val="18"/>
                <w:szCs w:val="18"/>
              </w:rPr>
            </w:pPr>
            <w:r>
              <w:rPr>
                <w:rFonts w:ascii="Times New Roman" w:hAnsi="Times New Roman"/>
                <w:sz w:val="18"/>
                <w:szCs w:val="18"/>
              </w:rPr>
              <w:t>0.1014</w:t>
            </w:r>
          </w:p>
        </w:tc>
        <w:tc>
          <w:tcPr>
            <w:tcW w:w="966" w:type="dxa"/>
            <w:vAlign w:val="center"/>
          </w:tcPr>
          <w:p>
            <w:pPr>
              <w:jc w:val="center"/>
              <w:rPr>
                <w:rFonts w:ascii="Times New Roman" w:hAnsi="Times New Roman"/>
                <w:sz w:val="18"/>
                <w:szCs w:val="18"/>
              </w:rPr>
            </w:pPr>
            <w:r>
              <w:rPr>
                <w:rFonts w:ascii="Times New Roman" w:hAnsi="Times New Roman"/>
                <w:sz w:val="18"/>
                <w:szCs w:val="18"/>
              </w:rPr>
              <w:t>0.1027</w:t>
            </w:r>
          </w:p>
        </w:tc>
        <w:tc>
          <w:tcPr>
            <w:tcW w:w="966" w:type="dxa"/>
            <w:vAlign w:val="center"/>
          </w:tcPr>
          <w:p>
            <w:pPr>
              <w:jc w:val="center"/>
              <w:rPr>
                <w:rFonts w:ascii="Times New Roman" w:hAnsi="Times New Roman"/>
                <w:sz w:val="18"/>
                <w:szCs w:val="18"/>
              </w:rPr>
            </w:pPr>
            <w:r>
              <w:rPr>
                <w:rFonts w:ascii="Times New Roman" w:hAnsi="Times New Roman"/>
                <w:sz w:val="18"/>
                <w:szCs w:val="18"/>
              </w:rPr>
              <w:t>0.1058</w:t>
            </w:r>
          </w:p>
        </w:tc>
        <w:tc>
          <w:tcPr>
            <w:tcW w:w="966" w:type="dxa"/>
            <w:vAlign w:val="center"/>
          </w:tcPr>
          <w:p>
            <w:pPr>
              <w:jc w:val="center"/>
              <w:rPr>
                <w:rFonts w:ascii="Times New Roman" w:hAnsi="Times New Roman"/>
                <w:sz w:val="18"/>
                <w:szCs w:val="18"/>
              </w:rPr>
            </w:pPr>
            <w:r>
              <w:rPr>
                <w:rFonts w:ascii="Times New Roman" w:hAnsi="Times New Roman"/>
                <w:sz w:val="18"/>
                <w:szCs w:val="18"/>
              </w:rPr>
              <w:t>0.1094</w:t>
            </w:r>
          </w:p>
        </w:tc>
        <w:tc>
          <w:tcPr>
            <w:tcW w:w="966" w:type="dxa"/>
            <w:vAlign w:val="center"/>
          </w:tcPr>
          <w:p>
            <w:pPr>
              <w:jc w:val="center"/>
              <w:rPr>
                <w:rFonts w:ascii="Times New Roman" w:hAnsi="Times New Roman"/>
                <w:sz w:val="18"/>
                <w:szCs w:val="18"/>
              </w:rPr>
            </w:pPr>
            <w:r>
              <w:rPr>
                <w:rFonts w:ascii="Times New Roman" w:hAnsi="Times New Roman"/>
                <w:sz w:val="18"/>
                <w:szCs w:val="18"/>
              </w:rPr>
              <w:t>0.1165</w:t>
            </w:r>
          </w:p>
        </w:tc>
        <w:tc>
          <w:tcPr>
            <w:tcW w:w="966" w:type="dxa"/>
            <w:vAlign w:val="center"/>
          </w:tcPr>
          <w:p>
            <w:pPr>
              <w:jc w:val="center"/>
              <w:rPr>
                <w:rFonts w:ascii="Times New Roman" w:hAnsi="Times New Roman"/>
                <w:sz w:val="18"/>
                <w:szCs w:val="18"/>
              </w:rPr>
            </w:pPr>
            <w:r>
              <w:rPr>
                <w:rFonts w:ascii="Times New Roman" w:hAnsi="Times New Roman"/>
                <w:sz w:val="18"/>
                <w:szCs w:val="18"/>
              </w:rPr>
              <w:t>0.1244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20" w:type="dxa"/>
            <w:vAlign w:val="center"/>
          </w:tcPr>
          <w:p>
            <w:pPr>
              <w:jc w:val="center"/>
              <w:rPr>
                <w:sz w:val="18"/>
                <w:szCs w:val="18"/>
              </w:rPr>
            </w:pPr>
            <w:r>
              <w:rPr>
                <w:rFonts w:hint="eastAsia"/>
                <w:sz w:val="18"/>
                <w:szCs w:val="18"/>
              </w:rPr>
              <w:t>加</w:t>
            </w:r>
            <w:r>
              <w:rPr>
                <w:rFonts w:ascii="Times New Roman" w:hAnsi="Times New Roman"/>
                <w:sz w:val="18"/>
                <w:szCs w:val="18"/>
              </w:rPr>
              <w:t>Bi</w:t>
            </w:r>
            <w:r>
              <w:rPr>
                <w:rFonts w:hint="eastAsia"/>
                <w:sz w:val="18"/>
                <w:szCs w:val="18"/>
              </w:rPr>
              <w:t>标准</w:t>
            </w:r>
            <w:r>
              <w:rPr>
                <w:rFonts w:ascii="Times New Roman" w:hAnsi="Times New Roman"/>
                <w:sz w:val="18"/>
                <w:szCs w:val="18"/>
              </w:rPr>
              <w:t xml:space="preserve">10µg </w:t>
            </w:r>
            <w:r>
              <w:rPr>
                <w:sz w:val="18"/>
                <w:szCs w:val="18"/>
              </w:rPr>
              <w:t xml:space="preserve">  </w:t>
            </w:r>
            <w:r>
              <w:rPr>
                <w:rFonts w:hint="eastAsia"/>
                <w:sz w:val="18"/>
                <w:szCs w:val="18"/>
              </w:rPr>
              <w:t>加</w:t>
            </w:r>
            <w:r>
              <w:rPr>
                <w:rFonts w:ascii="Times New Roman" w:hAnsi="Times New Roman"/>
                <w:sz w:val="18"/>
                <w:szCs w:val="18"/>
              </w:rPr>
              <w:t>5 mL</w:t>
            </w:r>
            <w:r>
              <w:rPr>
                <w:rFonts w:hint="eastAsia"/>
                <w:sz w:val="18"/>
                <w:szCs w:val="18"/>
              </w:rPr>
              <w:t>盐酸</w:t>
            </w:r>
          </w:p>
        </w:tc>
        <w:tc>
          <w:tcPr>
            <w:tcW w:w="967" w:type="dxa"/>
            <w:vAlign w:val="center"/>
          </w:tcPr>
          <w:p>
            <w:pPr>
              <w:jc w:val="center"/>
              <w:rPr>
                <w:rFonts w:ascii="Times New Roman" w:hAnsi="Times New Roman"/>
                <w:sz w:val="18"/>
                <w:szCs w:val="18"/>
              </w:rPr>
            </w:pPr>
            <w:r>
              <w:rPr>
                <w:rFonts w:ascii="Times New Roman" w:hAnsi="Times New Roman"/>
                <w:sz w:val="18"/>
                <w:szCs w:val="18"/>
              </w:rPr>
              <w:t>0.2014</w:t>
            </w:r>
          </w:p>
        </w:tc>
        <w:tc>
          <w:tcPr>
            <w:tcW w:w="966" w:type="dxa"/>
            <w:vAlign w:val="center"/>
          </w:tcPr>
          <w:p>
            <w:pPr>
              <w:jc w:val="center"/>
              <w:rPr>
                <w:rFonts w:ascii="Times New Roman" w:hAnsi="Times New Roman"/>
                <w:sz w:val="18"/>
                <w:szCs w:val="18"/>
              </w:rPr>
            </w:pPr>
            <w:r>
              <w:rPr>
                <w:rFonts w:ascii="Times New Roman" w:hAnsi="Times New Roman"/>
                <w:sz w:val="18"/>
                <w:szCs w:val="18"/>
              </w:rPr>
              <w:t>0.2014</w:t>
            </w:r>
          </w:p>
        </w:tc>
        <w:tc>
          <w:tcPr>
            <w:tcW w:w="966" w:type="dxa"/>
            <w:vAlign w:val="center"/>
          </w:tcPr>
          <w:p>
            <w:pPr>
              <w:jc w:val="center"/>
              <w:rPr>
                <w:rFonts w:ascii="Times New Roman" w:hAnsi="Times New Roman"/>
                <w:sz w:val="18"/>
                <w:szCs w:val="18"/>
              </w:rPr>
            </w:pPr>
            <w:r>
              <w:rPr>
                <w:rFonts w:ascii="Times New Roman" w:hAnsi="Times New Roman"/>
                <w:sz w:val="18"/>
                <w:szCs w:val="18"/>
              </w:rPr>
              <w:t>0.2045</w:t>
            </w:r>
          </w:p>
        </w:tc>
        <w:tc>
          <w:tcPr>
            <w:tcW w:w="966" w:type="dxa"/>
            <w:vAlign w:val="center"/>
          </w:tcPr>
          <w:p>
            <w:pPr>
              <w:jc w:val="center"/>
              <w:rPr>
                <w:rFonts w:ascii="Times New Roman" w:hAnsi="Times New Roman"/>
                <w:sz w:val="18"/>
                <w:szCs w:val="18"/>
              </w:rPr>
            </w:pPr>
            <w:r>
              <w:rPr>
                <w:rFonts w:ascii="Times New Roman" w:hAnsi="Times New Roman"/>
                <w:sz w:val="18"/>
                <w:szCs w:val="18"/>
              </w:rPr>
              <w:t>0.2063</w:t>
            </w:r>
          </w:p>
        </w:tc>
        <w:tc>
          <w:tcPr>
            <w:tcW w:w="966" w:type="dxa"/>
            <w:vAlign w:val="center"/>
          </w:tcPr>
          <w:p>
            <w:pPr>
              <w:jc w:val="center"/>
              <w:rPr>
                <w:rFonts w:ascii="Times New Roman" w:hAnsi="Times New Roman"/>
                <w:sz w:val="18"/>
                <w:szCs w:val="18"/>
              </w:rPr>
            </w:pPr>
            <w:r>
              <w:rPr>
                <w:rFonts w:ascii="Times New Roman" w:hAnsi="Times New Roman"/>
                <w:sz w:val="18"/>
                <w:szCs w:val="18"/>
              </w:rPr>
              <w:t>0.2077</w:t>
            </w:r>
          </w:p>
        </w:tc>
        <w:tc>
          <w:tcPr>
            <w:tcW w:w="966" w:type="dxa"/>
            <w:vAlign w:val="center"/>
          </w:tcPr>
          <w:p>
            <w:pPr>
              <w:jc w:val="center"/>
              <w:rPr>
                <w:rFonts w:ascii="Times New Roman" w:hAnsi="Times New Roman"/>
                <w:sz w:val="18"/>
                <w:szCs w:val="18"/>
              </w:rPr>
            </w:pPr>
            <w:r>
              <w:rPr>
                <w:rFonts w:ascii="Times New Roman" w:hAnsi="Times New Roman"/>
                <w:sz w:val="18"/>
                <w:szCs w:val="18"/>
              </w:rPr>
              <w:t>0.2141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20" w:type="dxa"/>
            <w:vAlign w:val="center"/>
          </w:tcPr>
          <w:p>
            <w:pPr>
              <w:jc w:val="center"/>
              <w:rPr>
                <w:sz w:val="18"/>
                <w:szCs w:val="18"/>
              </w:rPr>
            </w:pPr>
            <w:r>
              <w:rPr>
                <w:rFonts w:hint="eastAsia"/>
                <w:sz w:val="18"/>
                <w:szCs w:val="18"/>
              </w:rPr>
              <w:t>加</w:t>
            </w:r>
            <w:r>
              <w:rPr>
                <w:rFonts w:ascii="Times New Roman" w:hAnsi="Times New Roman"/>
                <w:sz w:val="18"/>
                <w:szCs w:val="18"/>
              </w:rPr>
              <w:t>Bi</w:t>
            </w:r>
            <w:r>
              <w:rPr>
                <w:rFonts w:hint="eastAsia"/>
                <w:sz w:val="18"/>
                <w:szCs w:val="18"/>
              </w:rPr>
              <w:t>标准</w:t>
            </w:r>
            <w:r>
              <w:rPr>
                <w:rFonts w:ascii="Times New Roman" w:hAnsi="Times New Roman"/>
                <w:sz w:val="18"/>
                <w:szCs w:val="18"/>
              </w:rPr>
              <w:t xml:space="preserve">0µg </w:t>
            </w:r>
            <w:r>
              <w:rPr>
                <w:rFonts w:hint="eastAsia"/>
                <w:sz w:val="18"/>
                <w:szCs w:val="18"/>
              </w:rPr>
              <w:t>加</w:t>
            </w:r>
            <w:r>
              <w:rPr>
                <w:sz w:val="18"/>
                <w:szCs w:val="18"/>
              </w:rPr>
              <w:t>1</w:t>
            </w:r>
            <w:r>
              <w:rPr>
                <w:rFonts w:ascii="Times New Roman" w:hAnsi="Times New Roman"/>
                <w:sz w:val="18"/>
                <w:szCs w:val="18"/>
              </w:rPr>
              <w:t>0 mL</w:t>
            </w:r>
            <w:r>
              <w:rPr>
                <w:rFonts w:hint="eastAsia"/>
                <w:sz w:val="18"/>
                <w:szCs w:val="18"/>
              </w:rPr>
              <w:t>盐酸</w:t>
            </w:r>
          </w:p>
        </w:tc>
        <w:tc>
          <w:tcPr>
            <w:tcW w:w="967" w:type="dxa"/>
            <w:vAlign w:val="center"/>
          </w:tcPr>
          <w:p>
            <w:pPr>
              <w:jc w:val="center"/>
              <w:rPr>
                <w:rFonts w:ascii="Times New Roman" w:hAnsi="Times New Roman"/>
                <w:sz w:val="18"/>
                <w:szCs w:val="18"/>
              </w:rPr>
            </w:pPr>
            <w:r>
              <w:rPr>
                <w:rFonts w:ascii="Times New Roman" w:hAnsi="Times New Roman"/>
                <w:sz w:val="18"/>
                <w:szCs w:val="18"/>
              </w:rPr>
              <w:t>0</w:t>
            </w:r>
          </w:p>
        </w:tc>
        <w:tc>
          <w:tcPr>
            <w:tcW w:w="966" w:type="dxa"/>
            <w:vAlign w:val="center"/>
          </w:tcPr>
          <w:p>
            <w:pPr>
              <w:jc w:val="center"/>
              <w:rPr>
                <w:rFonts w:ascii="Times New Roman" w:hAnsi="Times New Roman"/>
                <w:sz w:val="18"/>
                <w:szCs w:val="18"/>
              </w:rPr>
            </w:pPr>
            <w:r>
              <w:rPr>
                <w:rFonts w:ascii="Times New Roman" w:hAnsi="Times New Roman"/>
                <w:sz w:val="18"/>
                <w:szCs w:val="18"/>
              </w:rPr>
              <w:t>0.0030</w:t>
            </w:r>
          </w:p>
        </w:tc>
        <w:tc>
          <w:tcPr>
            <w:tcW w:w="966" w:type="dxa"/>
            <w:vAlign w:val="center"/>
          </w:tcPr>
          <w:p>
            <w:pPr>
              <w:jc w:val="center"/>
              <w:rPr>
                <w:rFonts w:ascii="Times New Roman" w:hAnsi="Times New Roman"/>
                <w:sz w:val="18"/>
                <w:szCs w:val="18"/>
              </w:rPr>
            </w:pPr>
            <w:r>
              <w:rPr>
                <w:rFonts w:ascii="Times New Roman" w:hAnsi="Times New Roman"/>
                <w:sz w:val="18"/>
                <w:szCs w:val="18"/>
              </w:rPr>
              <w:t>0.0060</w:t>
            </w:r>
          </w:p>
        </w:tc>
        <w:tc>
          <w:tcPr>
            <w:tcW w:w="966" w:type="dxa"/>
            <w:vAlign w:val="center"/>
          </w:tcPr>
          <w:p>
            <w:pPr>
              <w:jc w:val="center"/>
              <w:rPr>
                <w:rFonts w:ascii="Times New Roman" w:hAnsi="Times New Roman"/>
                <w:sz w:val="18"/>
                <w:szCs w:val="18"/>
              </w:rPr>
            </w:pPr>
            <w:r>
              <w:rPr>
                <w:rFonts w:ascii="Times New Roman" w:hAnsi="Times New Roman"/>
                <w:sz w:val="18"/>
                <w:szCs w:val="18"/>
              </w:rPr>
              <w:t>0.0116</w:t>
            </w:r>
          </w:p>
        </w:tc>
        <w:tc>
          <w:tcPr>
            <w:tcW w:w="966" w:type="dxa"/>
            <w:vAlign w:val="center"/>
          </w:tcPr>
          <w:p>
            <w:pPr>
              <w:jc w:val="center"/>
              <w:rPr>
                <w:rFonts w:ascii="Times New Roman" w:hAnsi="Times New Roman"/>
                <w:sz w:val="18"/>
                <w:szCs w:val="18"/>
              </w:rPr>
            </w:pPr>
            <w:r>
              <w:rPr>
                <w:rFonts w:ascii="Times New Roman" w:hAnsi="Times New Roman"/>
                <w:sz w:val="18"/>
                <w:szCs w:val="18"/>
              </w:rPr>
              <w:t>0.0259</w:t>
            </w:r>
          </w:p>
        </w:tc>
        <w:tc>
          <w:tcPr>
            <w:tcW w:w="966" w:type="dxa"/>
            <w:vAlign w:val="center"/>
          </w:tcPr>
          <w:p>
            <w:pPr>
              <w:jc w:val="center"/>
              <w:rPr>
                <w:rFonts w:ascii="Times New Roman" w:hAnsi="Times New Roman"/>
                <w:sz w:val="18"/>
                <w:szCs w:val="18"/>
              </w:rPr>
            </w:pPr>
            <w:r>
              <w:rPr>
                <w:rFonts w:ascii="Times New Roman" w:hAnsi="Times New Roman"/>
                <w:sz w:val="18"/>
                <w:szCs w:val="18"/>
              </w:rPr>
              <w:t>0.0449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20" w:type="dxa"/>
            <w:vAlign w:val="center"/>
          </w:tcPr>
          <w:p>
            <w:pPr>
              <w:jc w:val="center"/>
              <w:rPr>
                <w:sz w:val="18"/>
                <w:szCs w:val="18"/>
              </w:rPr>
            </w:pPr>
            <w:r>
              <w:rPr>
                <w:rFonts w:hint="eastAsia"/>
                <w:sz w:val="18"/>
                <w:szCs w:val="18"/>
              </w:rPr>
              <w:t>加</w:t>
            </w:r>
            <w:r>
              <w:rPr>
                <w:rFonts w:ascii="Times New Roman" w:hAnsi="Times New Roman"/>
                <w:sz w:val="18"/>
                <w:szCs w:val="18"/>
              </w:rPr>
              <w:t>Bi</w:t>
            </w:r>
            <w:r>
              <w:rPr>
                <w:rFonts w:hint="eastAsia"/>
                <w:sz w:val="18"/>
                <w:szCs w:val="18"/>
              </w:rPr>
              <w:t>标准</w:t>
            </w:r>
            <w:r>
              <w:rPr>
                <w:rFonts w:ascii="Times New Roman" w:hAnsi="Times New Roman"/>
                <w:sz w:val="18"/>
                <w:szCs w:val="18"/>
              </w:rPr>
              <w:t xml:space="preserve">5µg </w:t>
            </w:r>
            <w:r>
              <w:rPr>
                <w:sz w:val="18"/>
                <w:szCs w:val="18"/>
              </w:rPr>
              <w:t xml:space="preserve"> </w:t>
            </w:r>
            <w:r>
              <w:rPr>
                <w:rFonts w:hint="eastAsia"/>
                <w:sz w:val="18"/>
                <w:szCs w:val="18"/>
              </w:rPr>
              <w:t>加</w:t>
            </w:r>
            <w:r>
              <w:rPr>
                <w:rFonts w:ascii="Times New Roman" w:hAnsi="Times New Roman"/>
                <w:sz w:val="18"/>
                <w:szCs w:val="18"/>
              </w:rPr>
              <w:t>10 mL</w:t>
            </w:r>
            <w:r>
              <w:rPr>
                <w:rFonts w:hint="eastAsia"/>
                <w:sz w:val="18"/>
                <w:szCs w:val="18"/>
              </w:rPr>
              <w:t>盐酸</w:t>
            </w:r>
          </w:p>
        </w:tc>
        <w:tc>
          <w:tcPr>
            <w:tcW w:w="967" w:type="dxa"/>
            <w:vAlign w:val="center"/>
          </w:tcPr>
          <w:p>
            <w:pPr>
              <w:jc w:val="center"/>
              <w:rPr>
                <w:rFonts w:ascii="Times New Roman" w:hAnsi="Times New Roman"/>
                <w:sz w:val="18"/>
                <w:szCs w:val="18"/>
              </w:rPr>
            </w:pPr>
            <w:r>
              <w:rPr>
                <w:rFonts w:ascii="Times New Roman" w:hAnsi="Times New Roman"/>
                <w:sz w:val="18"/>
                <w:szCs w:val="18"/>
              </w:rPr>
              <w:t>0.1033</w:t>
            </w:r>
          </w:p>
        </w:tc>
        <w:tc>
          <w:tcPr>
            <w:tcW w:w="966" w:type="dxa"/>
            <w:vAlign w:val="center"/>
          </w:tcPr>
          <w:p>
            <w:pPr>
              <w:jc w:val="center"/>
              <w:rPr>
                <w:rFonts w:ascii="Times New Roman" w:hAnsi="Times New Roman"/>
                <w:sz w:val="18"/>
                <w:szCs w:val="18"/>
              </w:rPr>
            </w:pPr>
            <w:r>
              <w:rPr>
                <w:rFonts w:ascii="Times New Roman" w:hAnsi="Times New Roman"/>
                <w:sz w:val="18"/>
                <w:szCs w:val="18"/>
              </w:rPr>
              <w:t>0.1054</w:t>
            </w:r>
          </w:p>
        </w:tc>
        <w:tc>
          <w:tcPr>
            <w:tcW w:w="966" w:type="dxa"/>
            <w:vAlign w:val="center"/>
          </w:tcPr>
          <w:p>
            <w:pPr>
              <w:jc w:val="center"/>
              <w:rPr>
                <w:rFonts w:ascii="Times New Roman" w:hAnsi="Times New Roman"/>
                <w:sz w:val="18"/>
                <w:szCs w:val="18"/>
              </w:rPr>
            </w:pPr>
            <w:r>
              <w:rPr>
                <w:rFonts w:ascii="Times New Roman" w:hAnsi="Times New Roman"/>
                <w:sz w:val="18"/>
                <w:szCs w:val="18"/>
              </w:rPr>
              <w:t>0.1066</w:t>
            </w:r>
          </w:p>
        </w:tc>
        <w:tc>
          <w:tcPr>
            <w:tcW w:w="966" w:type="dxa"/>
            <w:vAlign w:val="center"/>
          </w:tcPr>
          <w:p>
            <w:pPr>
              <w:jc w:val="center"/>
              <w:rPr>
                <w:rFonts w:ascii="Times New Roman" w:hAnsi="Times New Roman"/>
                <w:sz w:val="18"/>
                <w:szCs w:val="18"/>
              </w:rPr>
            </w:pPr>
            <w:r>
              <w:rPr>
                <w:rFonts w:ascii="Times New Roman" w:hAnsi="Times New Roman"/>
                <w:sz w:val="18"/>
                <w:szCs w:val="18"/>
              </w:rPr>
              <w:t>0.1100</w:t>
            </w:r>
          </w:p>
        </w:tc>
        <w:tc>
          <w:tcPr>
            <w:tcW w:w="966" w:type="dxa"/>
            <w:vAlign w:val="center"/>
          </w:tcPr>
          <w:p>
            <w:pPr>
              <w:jc w:val="center"/>
              <w:rPr>
                <w:rFonts w:ascii="Times New Roman" w:hAnsi="Times New Roman"/>
                <w:sz w:val="18"/>
                <w:szCs w:val="18"/>
              </w:rPr>
            </w:pPr>
            <w:r>
              <w:rPr>
                <w:rFonts w:ascii="Times New Roman" w:hAnsi="Times New Roman"/>
                <w:sz w:val="18"/>
                <w:szCs w:val="18"/>
              </w:rPr>
              <w:t>0.1170</w:t>
            </w:r>
          </w:p>
        </w:tc>
        <w:tc>
          <w:tcPr>
            <w:tcW w:w="966" w:type="dxa"/>
            <w:vAlign w:val="center"/>
          </w:tcPr>
          <w:p>
            <w:pPr>
              <w:jc w:val="center"/>
              <w:rPr>
                <w:rFonts w:ascii="Times New Roman" w:hAnsi="Times New Roman"/>
                <w:sz w:val="18"/>
                <w:szCs w:val="18"/>
              </w:rPr>
            </w:pPr>
            <w:r>
              <w:rPr>
                <w:rFonts w:ascii="Times New Roman" w:hAnsi="Times New Roman"/>
                <w:sz w:val="18"/>
                <w:szCs w:val="18"/>
              </w:rPr>
              <w:t>0.1250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820" w:type="dxa"/>
            <w:vAlign w:val="center"/>
          </w:tcPr>
          <w:p>
            <w:pPr>
              <w:jc w:val="center"/>
              <w:rPr>
                <w:sz w:val="18"/>
                <w:szCs w:val="18"/>
              </w:rPr>
            </w:pPr>
            <w:r>
              <w:rPr>
                <w:rFonts w:hint="eastAsia"/>
                <w:sz w:val="18"/>
                <w:szCs w:val="18"/>
              </w:rPr>
              <w:t>加</w:t>
            </w:r>
            <w:r>
              <w:rPr>
                <w:rFonts w:ascii="Times New Roman" w:hAnsi="Times New Roman"/>
                <w:sz w:val="18"/>
                <w:szCs w:val="18"/>
              </w:rPr>
              <w:t>Bi</w:t>
            </w:r>
            <w:r>
              <w:rPr>
                <w:rFonts w:hint="eastAsia"/>
                <w:sz w:val="18"/>
                <w:szCs w:val="18"/>
              </w:rPr>
              <w:t>标准</w:t>
            </w:r>
            <w:r>
              <w:rPr>
                <w:rFonts w:ascii="Times New Roman" w:hAnsi="Times New Roman"/>
                <w:sz w:val="18"/>
                <w:szCs w:val="18"/>
              </w:rPr>
              <w:t xml:space="preserve">10µg </w:t>
            </w:r>
            <w:r>
              <w:rPr>
                <w:sz w:val="18"/>
                <w:szCs w:val="18"/>
              </w:rPr>
              <w:t xml:space="preserve">  </w:t>
            </w:r>
            <w:r>
              <w:rPr>
                <w:rFonts w:hint="eastAsia"/>
                <w:sz w:val="18"/>
                <w:szCs w:val="18"/>
              </w:rPr>
              <w:t>加</w:t>
            </w:r>
            <w:r>
              <w:rPr>
                <w:rFonts w:ascii="Times New Roman" w:hAnsi="Times New Roman"/>
                <w:sz w:val="18"/>
                <w:szCs w:val="18"/>
              </w:rPr>
              <w:t>10 mL</w:t>
            </w:r>
            <w:r>
              <w:rPr>
                <w:rFonts w:hint="eastAsia"/>
                <w:sz w:val="18"/>
                <w:szCs w:val="18"/>
              </w:rPr>
              <w:t>盐酸</w:t>
            </w:r>
          </w:p>
        </w:tc>
        <w:tc>
          <w:tcPr>
            <w:tcW w:w="967" w:type="dxa"/>
            <w:vAlign w:val="center"/>
          </w:tcPr>
          <w:p>
            <w:pPr>
              <w:jc w:val="center"/>
              <w:rPr>
                <w:rFonts w:ascii="Times New Roman" w:hAnsi="Times New Roman"/>
                <w:sz w:val="18"/>
                <w:szCs w:val="18"/>
              </w:rPr>
            </w:pPr>
            <w:r>
              <w:rPr>
                <w:rFonts w:ascii="Times New Roman" w:hAnsi="Times New Roman"/>
                <w:sz w:val="18"/>
                <w:szCs w:val="18"/>
              </w:rPr>
              <w:t>0.2011</w:t>
            </w:r>
          </w:p>
        </w:tc>
        <w:tc>
          <w:tcPr>
            <w:tcW w:w="966" w:type="dxa"/>
            <w:vAlign w:val="center"/>
          </w:tcPr>
          <w:p>
            <w:pPr>
              <w:jc w:val="center"/>
              <w:rPr>
                <w:rFonts w:ascii="Times New Roman" w:hAnsi="Times New Roman"/>
                <w:sz w:val="18"/>
                <w:szCs w:val="18"/>
              </w:rPr>
            </w:pPr>
            <w:r>
              <w:rPr>
                <w:rFonts w:ascii="Times New Roman" w:hAnsi="Times New Roman"/>
                <w:sz w:val="18"/>
                <w:szCs w:val="18"/>
              </w:rPr>
              <w:t>0.2039</w:t>
            </w:r>
          </w:p>
        </w:tc>
        <w:tc>
          <w:tcPr>
            <w:tcW w:w="966" w:type="dxa"/>
            <w:vAlign w:val="center"/>
          </w:tcPr>
          <w:p>
            <w:pPr>
              <w:jc w:val="center"/>
              <w:rPr>
                <w:rFonts w:ascii="Times New Roman" w:hAnsi="Times New Roman"/>
                <w:sz w:val="18"/>
                <w:szCs w:val="18"/>
              </w:rPr>
            </w:pPr>
            <w:r>
              <w:rPr>
                <w:rFonts w:ascii="Times New Roman" w:hAnsi="Times New Roman"/>
                <w:sz w:val="18"/>
                <w:szCs w:val="18"/>
              </w:rPr>
              <w:t>0.2056</w:t>
            </w:r>
          </w:p>
        </w:tc>
        <w:tc>
          <w:tcPr>
            <w:tcW w:w="966" w:type="dxa"/>
            <w:vAlign w:val="center"/>
          </w:tcPr>
          <w:p>
            <w:pPr>
              <w:jc w:val="center"/>
              <w:rPr>
                <w:rFonts w:ascii="Times New Roman" w:hAnsi="Times New Roman"/>
                <w:sz w:val="18"/>
                <w:szCs w:val="18"/>
              </w:rPr>
            </w:pPr>
            <w:r>
              <w:rPr>
                <w:rFonts w:ascii="Times New Roman" w:hAnsi="Times New Roman"/>
                <w:sz w:val="18"/>
                <w:szCs w:val="18"/>
              </w:rPr>
              <w:t>0.2064</w:t>
            </w:r>
          </w:p>
        </w:tc>
        <w:tc>
          <w:tcPr>
            <w:tcW w:w="966" w:type="dxa"/>
            <w:vAlign w:val="center"/>
          </w:tcPr>
          <w:p>
            <w:pPr>
              <w:jc w:val="center"/>
              <w:rPr>
                <w:rFonts w:ascii="Times New Roman" w:hAnsi="Times New Roman"/>
                <w:sz w:val="18"/>
                <w:szCs w:val="18"/>
              </w:rPr>
            </w:pPr>
            <w:r>
              <w:rPr>
                <w:rFonts w:ascii="Times New Roman" w:hAnsi="Times New Roman"/>
                <w:sz w:val="18"/>
                <w:szCs w:val="18"/>
              </w:rPr>
              <w:t>0.2078</w:t>
            </w:r>
          </w:p>
        </w:tc>
        <w:tc>
          <w:tcPr>
            <w:tcW w:w="966" w:type="dxa"/>
            <w:vAlign w:val="center"/>
          </w:tcPr>
          <w:p>
            <w:pPr>
              <w:jc w:val="center"/>
              <w:rPr>
                <w:rFonts w:ascii="Times New Roman" w:hAnsi="Times New Roman"/>
                <w:sz w:val="18"/>
                <w:szCs w:val="18"/>
              </w:rPr>
            </w:pPr>
            <w:r>
              <w:rPr>
                <w:rFonts w:ascii="Times New Roman" w:hAnsi="Times New Roman"/>
                <w:sz w:val="18"/>
                <w:szCs w:val="18"/>
              </w:rPr>
              <w:t>0.2091</w:t>
            </w:r>
          </w:p>
        </w:tc>
      </w:tr>
    </w:tbl>
    <w:p>
      <w:pPr>
        <w:ind w:firstLine="270" w:firstLineChars="150"/>
        <w:jc w:val="left"/>
        <w:rPr>
          <w:sz w:val="18"/>
          <w:szCs w:val="18"/>
        </w:rPr>
      </w:pPr>
    </w:p>
    <w:p>
      <w:pPr>
        <w:ind w:firstLine="420" w:firstLineChars="200"/>
        <w:jc w:val="left"/>
        <w:rPr>
          <w:szCs w:val="21"/>
        </w:rPr>
      </w:pPr>
      <w:r>
        <w:rPr>
          <w:rFonts w:hint="eastAsia"/>
          <w:szCs w:val="21"/>
        </w:rPr>
        <w:t>试验表明，随着硫酸量的增加，空白值增加，铋吸光度增加。在硫酸（</w:t>
      </w:r>
      <w:r>
        <w:rPr>
          <w:rFonts w:ascii="Times New Roman" w:hAnsi="Times New Roman"/>
          <w:szCs w:val="21"/>
        </w:rPr>
        <w:t>1.2.</w:t>
      </w:r>
      <w:r>
        <w:rPr>
          <w:rFonts w:hint="eastAsia" w:ascii="Times New Roman" w:hAnsi="Times New Roman"/>
          <w:szCs w:val="21"/>
        </w:rPr>
        <w:t>8</w:t>
      </w:r>
      <w:r>
        <w:rPr>
          <w:rFonts w:hint="eastAsia"/>
          <w:szCs w:val="21"/>
        </w:rPr>
        <w:t>）</w:t>
      </w:r>
      <w:r>
        <w:rPr>
          <w:rFonts w:ascii="Times New Roman" w:hAnsi="Times New Roman"/>
          <w:szCs w:val="21"/>
        </w:rPr>
        <w:t>0 mL~10 mL</w:t>
      </w:r>
      <w:r>
        <w:rPr>
          <w:rFonts w:hint="eastAsia"/>
          <w:szCs w:val="21"/>
        </w:rPr>
        <w:t>中，加入</w:t>
      </w:r>
      <w:r>
        <w:rPr>
          <w:rFonts w:ascii="Times New Roman" w:hAnsi="Times New Roman"/>
          <w:szCs w:val="21"/>
        </w:rPr>
        <w:t>0 mL~10 mL</w:t>
      </w:r>
      <w:r>
        <w:rPr>
          <w:rFonts w:hint="eastAsia"/>
          <w:szCs w:val="21"/>
        </w:rPr>
        <w:t>盐酸，铋吸光度随着硫酸量的增加仍然增加。所以测定介质中应避免硫酸存在。</w:t>
      </w:r>
    </w:p>
    <w:p>
      <w:pPr>
        <w:ind w:firstLine="420" w:firstLineChars="200"/>
        <w:jc w:val="left"/>
        <w:rPr>
          <w:szCs w:val="21"/>
        </w:rPr>
      </w:pPr>
      <w:r>
        <w:rPr>
          <w:rFonts w:hint="eastAsia"/>
          <w:szCs w:val="21"/>
        </w:rPr>
        <w:t xml:space="preserve">通过上面四种酸及酸度影响试验，加入 </w:t>
      </w:r>
      <w:r>
        <w:rPr>
          <w:rFonts w:ascii="Times New Roman" w:hAnsi="Times New Roman"/>
          <w:szCs w:val="21"/>
        </w:rPr>
        <w:t>2.5 mL ~ 20 mL</w:t>
      </w:r>
      <w:r>
        <w:rPr>
          <w:rFonts w:hint="eastAsia"/>
          <w:szCs w:val="21"/>
        </w:rPr>
        <w:t>盐酸（</w:t>
      </w:r>
      <w:r>
        <w:rPr>
          <w:rFonts w:ascii="Times New Roman" w:hAnsi="Times New Roman"/>
          <w:szCs w:val="21"/>
        </w:rPr>
        <w:t>1.2.4</w:t>
      </w:r>
      <w:r>
        <w:rPr>
          <w:rFonts w:hint="eastAsia"/>
          <w:szCs w:val="21"/>
        </w:rPr>
        <w:t>）时铋吸光度基本不变。本方法选择</w:t>
      </w:r>
      <w:r>
        <w:rPr>
          <w:rFonts w:ascii="Times New Roman" w:hAnsi="Times New Roman"/>
          <w:szCs w:val="21"/>
        </w:rPr>
        <w:t>10 %</w:t>
      </w:r>
      <w:r>
        <w:rPr>
          <w:rFonts w:hint="eastAsia"/>
          <w:szCs w:val="21"/>
        </w:rPr>
        <w:t>盐酸（</w:t>
      </w:r>
      <w:r>
        <w:rPr>
          <w:rFonts w:ascii="Times New Roman" w:hAnsi="Times New Roman"/>
          <w:szCs w:val="21"/>
        </w:rPr>
        <w:t>1.2.4</w:t>
      </w:r>
      <w:r>
        <w:rPr>
          <w:rFonts w:hint="eastAsia"/>
          <w:szCs w:val="21"/>
        </w:rPr>
        <w:t>）介质。</w:t>
      </w:r>
    </w:p>
    <w:p>
      <w:pPr>
        <w:jc w:val="left"/>
        <w:rPr>
          <w:rFonts w:ascii="黑体" w:hAnsi="黑体" w:eastAsia="黑体"/>
          <w:szCs w:val="21"/>
        </w:rPr>
      </w:pPr>
      <w:r>
        <w:rPr>
          <w:rFonts w:ascii="Times New Roman" w:hAnsi="Times New Roman" w:eastAsia="黑体"/>
          <w:kern w:val="0"/>
          <w:szCs w:val="21"/>
        </w:rPr>
        <w:t xml:space="preserve">2.3 </w:t>
      </w:r>
      <w:r>
        <w:rPr>
          <w:rFonts w:hint="eastAsia" w:ascii="黑体" w:hAnsi="黑体" w:eastAsia="黑体" w:cs="黑体"/>
          <w:kern w:val="0"/>
          <w:szCs w:val="21"/>
        </w:rPr>
        <w:t xml:space="preserve"> 样品溶解方法的选择</w:t>
      </w:r>
    </w:p>
    <w:p>
      <w:pPr>
        <w:ind w:firstLine="420" w:firstLineChars="200"/>
        <w:rPr>
          <w:rFonts w:ascii="宋体" w:cs="宋体"/>
          <w:szCs w:val="21"/>
        </w:rPr>
      </w:pPr>
      <w:r>
        <w:rPr>
          <w:rFonts w:hint="eastAsia" w:ascii="宋体" w:hAnsi="宋体"/>
          <w:szCs w:val="21"/>
        </w:rPr>
        <w:t>通过</w:t>
      </w:r>
      <w:r>
        <w:rPr>
          <w:rFonts w:hint="eastAsia"/>
          <w:bCs/>
          <w:szCs w:val="21"/>
        </w:rPr>
        <w:t>XRD</w:t>
      </w:r>
      <w:r>
        <w:rPr>
          <w:rFonts w:hint="eastAsia" w:ascii="宋体" w:hAnsi="宋体"/>
          <w:szCs w:val="21"/>
        </w:rPr>
        <w:t>检测，铜冶炼烟尘的主要成分有</w:t>
      </w:r>
      <w:r>
        <w:rPr>
          <w:rFonts w:ascii="Times New Roman" w:hAnsi="Times New Roman"/>
          <w:bCs/>
          <w:color w:val="000000" w:themeColor="text1"/>
          <w:szCs w:val="21"/>
        </w:rPr>
        <w:t>PbSO</w:t>
      </w:r>
      <w:r>
        <w:rPr>
          <w:rFonts w:ascii="Times New Roman" w:hAnsi="Times New Roman"/>
          <w:bCs/>
          <w:color w:val="000000" w:themeColor="text1"/>
          <w:szCs w:val="21"/>
          <w:vertAlign w:val="subscript"/>
        </w:rPr>
        <w:t>4</w:t>
      </w:r>
      <w:r>
        <w:rPr>
          <w:rFonts w:ascii="Times New Roman" w:hAnsi="Times New Roman"/>
          <w:bCs/>
          <w:color w:val="000000" w:themeColor="text1"/>
          <w:szCs w:val="21"/>
        </w:rPr>
        <w:t>，CuSO</w:t>
      </w:r>
      <w:r>
        <w:rPr>
          <w:rFonts w:ascii="Times New Roman" w:hAnsi="Times New Roman"/>
          <w:bCs/>
          <w:color w:val="000000" w:themeColor="text1"/>
          <w:szCs w:val="21"/>
          <w:vertAlign w:val="subscript"/>
        </w:rPr>
        <w:t>4</w:t>
      </w:r>
      <w:r>
        <w:rPr>
          <w:rFonts w:ascii="Times New Roman" w:hAnsi="Times New Roman"/>
          <w:bCs/>
          <w:color w:val="000000" w:themeColor="text1"/>
          <w:szCs w:val="21"/>
        </w:rPr>
        <w:t>.H</w:t>
      </w:r>
      <w:r>
        <w:rPr>
          <w:rFonts w:ascii="Times New Roman" w:hAnsi="Times New Roman"/>
          <w:bCs/>
          <w:color w:val="000000" w:themeColor="text1"/>
          <w:szCs w:val="21"/>
          <w:vertAlign w:val="subscript"/>
        </w:rPr>
        <w:t>2</w:t>
      </w:r>
      <w:r>
        <w:rPr>
          <w:rFonts w:ascii="Times New Roman" w:hAnsi="Times New Roman"/>
          <w:bCs/>
          <w:color w:val="000000" w:themeColor="text1"/>
          <w:szCs w:val="21"/>
        </w:rPr>
        <w:t>O，ZnSO</w:t>
      </w:r>
      <w:r>
        <w:rPr>
          <w:rFonts w:ascii="Times New Roman" w:hAnsi="Times New Roman"/>
          <w:bCs/>
          <w:color w:val="000000" w:themeColor="text1"/>
          <w:szCs w:val="21"/>
          <w:vertAlign w:val="subscript"/>
        </w:rPr>
        <w:t>4</w:t>
      </w:r>
      <w:r>
        <w:rPr>
          <w:rFonts w:ascii="Times New Roman" w:hAnsi="Times New Roman"/>
          <w:bCs/>
          <w:color w:val="000000" w:themeColor="text1"/>
          <w:szCs w:val="21"/>
        </w:rPr>
        <w:t>.H</w:t>
      </w:r>
      <w:r>
        <w:rPr>
          <w:rFonts w:ascii="Times New Roman" w:hAnsi="Times New Roman"/>
          <w:bCs/>
          <w:color w:val="000000" w:themeColor="text1"/>
          <w:szCs w:val="21"/>
          <w:vertAlign w:val="subscript"/>
        </w:rPr>
        <w:t>2</w:t>
      </w:r>
      <w:r>
        <w:rPr>
          <w:rFonts w:ascii="Times New Roman" w:hAnsi="Times New Roman"/>
          <w:bCs/>
          <w:color w:val="000000" w:themeColor="text1"/>
          <w:szCs w:val="21"/>
        </w:rPr>
        <w:t>O</w:t>
      </w:r>
      <w:r>
        <w:rPr>
          <w:rFonts w:hint="eastAsia" w:ascii="Times New Roman" w:hAnsi="Times New Roman"/>
          <w:bCs/>
          <w:color w:val="000000" w:themeColor="text1"/>
          <w:szCs w:val="21"/>
        </w:rPr>
        <w:t>，</w:t>
      </w:r>
      <w:r>
        <w:rPr>
          <w:rFonts w:ascii="Times New Roman" w:hAnsi="Times New Roman"/>
          <w:bCs/>
          <w:color w:val="000000" w:themeColor="text1"/>
          <w:szCs w:val="21"/>
        </w:rPr>
        <w:t>Bi</w:t>
      </w:r>
      <w:r>
        <w:rPr>
          <w:rFonts w:ascii="Times New Roman" w:hAnsi="Times New Roman"/>
          <w:bCs/>
          <w:color w:val="000000" w:themeColor="text1"/>
          <w:szCs w:val="21"/>
          <w:vertAlign w:val="subscript"/>
        </w:rPr>
        <w:t>2</w:t>
      </w:r>
      <w:r>
        <w:rPr>
          <w:rFonts w:ascii="Times New Roman" w:hAnsi="Times New Roman"/>
          <w:bCs/>
          <w:color w:val="000000" w:themeColor="text1"/>
          <w:szCs w:val="21"/>
        </w:rPr>
        <w:t>O</w:t>
      </w:r>
      <w:r>
        <w:rPr>
          <w:rFonts w:ascii="Times New Roman" w:hAnsi="Times New Roman"/>
          <w:bCs/>
          <w:color w:val="000000" w:themeColor="text1"/>
          <w:szCs w:val="21"/>
          <w:vertAlign w:val="subscript"/>
        </w:rPr>
        <w:t>3</w:t>
      </w:r>
      <w:r>
        <w:rPr>
          <w:rFonts w:ascii="Times New Roman" w:hAnsi="Times New Roman"/>
          <w:bCs/>
          <w:color w:val="000000" w:themeColor="text1"/>
          <w:szCs w:val="21"/>
        </w:rPr>
        <w:t>，As</w:t>
      </w:r>
      <w:r>
        <w:rPr>
          <w:rFonts w:ascii="Times New Roman" w:hAnsi="Times New Roman"/>
          <w:bCs/>
          <w:color w:val="000000" w:themeColor="text1"/>
          <w:szCs w:val="21"/>
          <w:vertAlign w:val="subscript"/>
        </w:rPr>
        <w:t>2</w:t>
      </w:r>
      <w:r>
        <w:rPr>
          <w:rFonts w:ascii="Times New Roman" w:hAnsi="Times New Roman"/>
          <w:bCs/>
          <w:color w:val="000000" w:themeColor="text1"/>
          <w:szCs w:val="21"/>
        </w:rPr>
        <w:t>O</w:t>
      </w:r>
      <w:r>
        <w:rPr>
          <w:rFonts w:ascii="Times New Roman" w:hAnsi="Times New Roman"/>
          <w:bCs/>
          <w:color w:val="000000" w:themeColor="text1"/>
          <w:szCs w:val="21"/>
          <w:vertAlign w:val="subscript"/>
        </w:rPr>
        <w:t>3</w:t>
      </w:r>
      <w:r>
        <w:rPr>
          <w:rFonts w:ascii="Times New Roman" w:hAnsi="Times New Roman"/>
          <w:color w:val="000000" w:themeColor="text1"/>
          <w:szCs w:val="21"/>
        </w:rPr>
        <w:t>和S</w:t>
      </w:r>
      <w:r>
        <w:rPr>
          <w:rFonts w:ascii="Times New Roman" w:hAnsi="Times New Roman"/>
          <w:bCs/>
          <w:color w:val="000000" w:themeColor="text1"/>
          <w:szCs w:val="21"/>
        </w:rPr>
        <w:t>b、Fe、Sn、Si、Al</w:t>
      </w:r>
      <w:r>
        <w:rPr>
          <w:rFonts w:hint="eastAsia" w:ascii="宋体" w:hAnsi="宋体"/>
          <w:color w:val="000000" w:themeColor="text1"/>
          <w:szCs w:val="21"/>
        </w:rPr>
        <w:t>的化合物等，通过与牵头单位沟通，</w:t>
      </w:r>
      <w:r>
        <w:rPr>
          <w:rFonts w:hint="eastAsia" w:hAnsi="宋体"/>
          <w:color w:val="000000" w:themeColor="text1"/>
          <w:szCs w:val="21"/>
        </w:rPr>
        <w:t>各元素含量上限为</w:t>
      </w:r>
      <w:r>
        <w:rPr>
          <w:bCs/>
          <w:color w:val="000000" w:themeColor="text1"/>
          <w:szCs w:val="21"/>
        </w:rPr>
        <w:t>C</w:t>
      </w:r>
      <w:r>
        <w:rPr>
          <w:rFonts w:ascii="Times New Roman" w:hAnsi="Times New Roman"/>
          <w:bCs/>
          <w:color w:val="000000" w:themeColor="text1"/>
          <w:szCs w:val="21"/>
        </w:rPr>
        <w:t>u</w:t>
      </w:r>
      <w:r>
        <w:rPr>
          <w:rFonts w:ascii="Times New Roman" w:hAnsi="Times New Roman"/>
          <w:color w:val="000000" w:themeColor="text1"/>
          <w:szCs w:val="21"/>
        </w:rPr>
        <w:t xml:space="preserve"> 65 %，</w:t>
      </w:r>
      <w:r>
        <w:rPr>
          <w:rFonts w:ascii="Times New Roman" w:hAnsi="Times New Roman"/>
          <w:bCs/>
          <w:color w:val="000000" w:themeColor="text1"/>
          <w:szCs w:val="21"/>
        </w:rPr>
        <w:t xml:space="preserve"> Pb</w:t>
      </w:r>
      <w:r>
        <w:rPr>
          <w:rFonts w:ascii="Times New Roman" w:hAnsi="Times New Roman"/>
          <w:color w:val="000000" w:themeColor="text1"/>
          <w:szCs w:val="21"/>
        </w:rPr>
        <w:t xml:space="preserve"> 50 %，</w:t>
      </w:r>
      <w:r>
        <w:rPr>
          <w:rFonts w:ascii="Times New Roman" w:hAnsi="Times New Roman"/>
          <w:bCs/>
          <w:color w:val="000000" w:themeColor="text1"/>
          <w:szCs w:val="21"/>
        </w:rPr>
        <w:t>Bi</w:t>
      </w:r>
      <w:r>
        <w:rPr>
          <w:rFonts w:ascii="Times New Roman" w:hAnsi="Times New Roman"/>
          <w:color w:val="000000" w:themeColor="text1"/>
          <w:szCs w:val="21"/>
        </w:rPr>
        <w:t xml:space="preserve"> 16 %，As 30 %，</w:t>
      </w:r>
      <w:r>
        <w:rPr>
          <w:rFonts w:ascii="Times New Roman" w:hAnsi="Times New Roman"/>
          <w:bCs/>
          <w:color w:val="000000" w:themeColor="text1"/>
          <w:szCs w:val="21"/>
        </w:rPr>
        <w:t>Au</w:t>
      </w:r>
      <w:r>
        <w:rPr>
          <w:rFonts w:ascii="Times New Roman" w:hAnsi="Times New Roman"/>
          <w:color w:val="000000" w:themeColor="text1"/>
          <w:szCs w:val="21"/>
        </w:rPr>
        <w:t xml:space="preserve"> 50 g/t，</w:t>
      </w:r>
      <w:r>
        <w:rPr>
          <w:rFonts w:ascii="Times New Roman" w:hAnsi="Times New Roman"/>
          <w:bCs/>
          <w:color w:val="000000" w:themeColor="text1"/>
          <w:szCs w:val="21"/>
        </w:rPr>
        <w:t>Ag</w:t>
      </w:r>
      <w:r>
        <w:rPr>
          <w:rFonts w:ascii="Times New Roman" w:hAnsi="Times New Roman"/>
          <w:color w:val="000000" w:themeColor="text1"/>
          <w:szCs w:val="21"/>
        </w:rPr>
        <w:t xml:space="preserve"> 1500 g/t，</w:t>
      </w:r>
      <w:r>
        <w:rPr>
          <w:rFonts w:ascii="Times New Roman" w:hAnsi="Times New Roman"/>
          <w:bCs/>
          <w:color w:val="000000" w:themeColor="text1"/>
          <w:szCs w:val="21"/>
        </w:rPr>
        <w:t>Sb</w:t>
      </w:r>
      <w:r>
        <w:rPr>
          <w:rFonts w:ascii="Times New Roman" w:hAnsi="Times New Roman"/>
          <w:color w:val="000000" w:themeColor="text1"/>
          <w:szCs w:val="21"/>
        </w:rPr>
        <w:t xml:space="preserve"> 7%，</w:t>
      </w:r>
      <w:r>
        <w:rPr>
          <w:rFonts w:ascii="Times New Roman" w:hAnsi="Times New Roman"/>
          <w:bCs/>
          <w:color w:val="000000" w:themeColor="text1"/>
          <w:szCs w:val="21"/>
        </w:rPr>
        <w:t>Sn</w:t>
      </w:r>
      <w:r>
        <w:rPr>
          <w:rFonts w:ascii="Times New Roman" w:hAnsi="Times New Roman"/>
          <w:color w:val="000000" w:themeColor="text1"/>
          <w:szCs w:val="21"/>
        </w:rPr>
        <w:t xml:space="preserve"> 3 %，</w:t>
      </w:r>
      <w:r>
        <w:rPr>
          <w:rFonts w:ascii="Times New Roman" w:hAnsi="Times New Roman"/>
          <w:bCs/>
          <w:color w:val="000000" w:themeColor="text1"/>
          <w:szCs w:val="21"/>
        </w:rPr>
        <w:t>Cd</w:t>
      </w:r>
      <w:r>
        <w:rPr>
          <w:rFonts w:ascii="Times New Roman" w:hAnsi="Times New Roman"/>
          <w:color w:val="000000" w:themeColor="text1"/>
          <w:szCs w:val="21"/>
        </w:rPr>
        <w:t xml:space="preserve"> 16%，</w:t>
      </w:r>
      <w:r>
        <w:rPr>
          <w:rFonts w:ascii="Times New Roman" w:hAnsi="Times New Roman"/>
          <w:bCs/>
          <w:color w:val="000000" w:themeColor="text1"/>
          <w:szCs w:val="21"/>
        </w:rPr>
        <w:t>Fe 22</w:t>
      </w:r>
      <w:r>
        <w:rPr>
          <w:rFonts w:ascii="Times New Roman" w:hAnsi="Times New Roman"/>
          <w:color w:val="000000" w:themeColor="text1"/>
          <w:szCs w:val="21"/>
        </w:rPr>
        <w:t>%，</w:t>
      </w:r>
      <w:r>
        <w:rPr>
          <w:rFonts w:ascii="Times New Roman" w:hAnsi="Times New Roman"/>
          <w:bCs/>
          <w:color w:val="000000" w:themeColor="text1"/>
          <w:szCs w:val="21"/>
        </w:rPr>
        <w:t xml:space="preserve"> Al</w:t>
      </w:r>
      <w:r>
        <w:rPr>
          <w:rFonts w:ascii="Times New Roman" w:hAnsi="Times New Roman"/>
          <w:bCs/>
          <w:color w:val="000000" w:themeColor="text1"/>
          <w:szCs w:val="21"/>
          <w:vertAlign w:val="subscript"/>
        </w:rPr>
        <w:t>2</w:t>
      </w:r>
      <w:r>
        <w:rPr>
          <w:rFonts w:ascii="Times New Roman" w:hAnsi="Times New Roman"/>
          <w:bCs/>
          <w:color w:val="000000" w:themeColor="text1"/>
          <w:szCs w:val="21"/>
        </w:rPr>
        <w:t>O</w:t>
      </w:r>
      <w:r>
        <w:rPr>
          <w:rFonts w:ascii="Times New Roman" w:hAnsi="Times New Roman"/>
          <w:bCs/>
          <w:color w:val="000000" w:themeColor="text1"/>
          <w:szCs w:val="21"/>
          <w:vertAlign w:val="subscript"/>
        </w:rPr>
        <w:t>3</w:t>
      </w:r>
      <w:r>
        <w:rPr>
          <w:rFonts w:ascii="Times New Roman" w:hAnsi="Times New Roman"/>
          <w:bCs/>
          <w:color w:val="000000" w:themeColor="text1"/>
          <w:szCs w:val="21"/>
        </w:rPr>
        <w:t xml:space="preserve">3 </w:t>
      </w:r>
      <w:r>
        <w:rPr>
          <w:rFonts w:ascii="Times New Roman" w:hAnsi="Times New Roman"/>
          <w:color w:val="000000" w:themeColor="text1"/>
          <w:szCs w:val="21"/>
        </w:rPr>
        <w:t>%</w:t>
      </w:r>
      <w:r>
        <w:rPr>
          <w:rFonts w:ascii="Times New Roman" w:hAnsi="Times New Roman"/>
          <w:bCs/>
          <w:color w:val="000000" w:themeColor="text1"/>
          <w:szCs w:val="21"/>
        </w:rPr>
        <w:t>，Ca</w:t>
      </w:r>
      <w:r>
        <w:rPr>
          <w:rFonts w:ascii="Times New Roman" w:hAnsi="Times New Roman"/>
          <w:color w:val="000000" w:themeColor="text1"/>
          <w:szCs w:val="21"/>
        </w:rPr>
        <w:t xml:space="preserve"> 1.5%，</w:t>
      </w:r>
      <w:r>
        <w:rPr>
          <w:rFonts w:ascii="Times New Roman" w:hAnsi="Times New Roman"/>
          <w:bCs/>
          <w:color w:val="000000" w:themeColor="text1"/>
          <w:szCs w:val="21"/>
        </w:rPr>
        <w:t>Mg1</w:t>
      </w:r>
      <w:r>
        <w:rPr>
          <w:rFonts w:ascii="Times New Roman" w:hAnsi="Times New Roman"/>
          <w:color w:val="000000" w:themeColor="text1"/>
          <w:szCs w:val="21"/>
        </w:rPr>
        <w:t xml:space="preserve"> %</w:t>
      </w:r>
      <w:r>
        <w:rPr>
          <w:rFonts w:ascii="Times New Roman" w:hAnsi="Times New Roman"/>
          <w:bCs/>
          <w:color w:val="000000" w:themeColor="text1"/>
          <w:szCs w:val="21"/>
        </w:rPr>
        <w:t>，Se</w:t>
      </w:r>
      <w:r>
        <w:rPr>
          <w:rFonts w:ascii="Times New Roman" w:hAnsi="Times New Roman"/>
          <w:color w:val="000000" w:themeColor="text1"/>
          <w:szCs w:val="21"/>
        </w:rPr>
        <w:t xml:space="preserve"> 1%，</w:t>
      </w:r>
      <w:r>
        <w:rPr>
          <w:rFonts w:ascii="Times New Roman" w:hAnsi="Times New Roman"/>
          <w:bCs/>
          <w:color w:val="000000" w:themeColor="text1"/>
          <w:szCs w:val="21"/>
        </w:rPr>
        <w:t>Te</w:t>
      </w:r>
      <w:r>
        <w:rPr>
          <w:rFonts w:ascii="Times New Roman" w:hAnsi="Times New Roman"/>
          <w:color w:val="000000" w:themeColor="text1"/>
          <w:szCs w:val="21"/>
        </w:rPr>
        <w:t xml:space="preserve"> 0.1%</w:t>
      </w:r>
      <w:r>
        <w:rPr>
          <w:rFonts w:hint="eastAsia"/>
          <w:color w:val="000000" w:themeColor="text1"/>
          <w:szCs w:val="21"/>
        </w:rPr>
        <w:t>。针对样</w:t>
      </w:r>
      <w:r>
        <w:rPr>
          <w:rFonts w:hint="eastAsia"/>
          <w:szCs w:val="21"/>
        </w:rPr>
        <w:t>品中各杂质元素含量，我们对样品采用了以下试验方案：</w:t>
      </w:r>
    </w:p>
    <w:p>
      <w:pPr>
        <w:jc w:val="left"/>
        <w:rPr>
          <w:rFonts w:ascii="宋体"/>
          <w:szCs w:val="21"/>
        </w:rPr>
      </w:pPr>
    </w:p>
    <w:p>
      <w:pPr>
        <w:jc w:val="left"/>
        <w:rPr>
          <w:rFonts w:ascii="宋体"/>
          <w:szCs w:val="21"/>
        </w:rPr>
      </w:pPr>
      <w:r>
        <w:rPr>
          <w:rFonts w:hint="eastAsia" w:ascii="宋体" w:hAnsi="宋体"/>
          <w:szCs w:val="21"/>
        </w:rPr>
        <w:t>方案</w:t>
      </w:r>
      <w:r>
        <w:rPr>
          <w:rFonts w:ascii="Times New Roman" w:hAnsi="Times New Roman"/>
          <w:szCs w:val="21"/>
        </w:rPr>
        <w:t>1</w:t>
      </w:r>
      <w:r>
        <w:rPr>
          <w:rFonts w:hint="eastAsia" w:ascii="宋体" w:hAnsi="宋体"/>
          <w:szCs w:val="21"/>
        </w:rPr>
        <w:t>：</w:t>
      </w:r>
      <w:r>
        <w:rPr>
          <w:rFonts w:hint="eastAsia" w:ascii="宋体" w:hAnsi="宋体" w:cs="宋体"/>
          <w:szCs w:val="21"/>
        </w:rPr>
        <w:t>①</w:t>
      </w:r>
      <w:r>
        <w:rPr>
          <w:rFonts w:ascii="Times New Roman" w:hAnsi="Times New Roman"/>
          <w:szCs w:val="21"/>
        </w:rPr>
        <w:t>10 mL</w:t>
      </w:r>
      <w:r>
        <w:rPr>
          <w:rFonts w:hint="eastAsia" w:ascii="宋体" w:hAnsi="宋体"/>
          <w:szCs w:val="21"/>
        </w:rPr>
        <w:t>硝酸</w:t>
      </w:r>
      <w:r>
        <w:rPr>
          <w:rFonts w:ascii="Times New Roman" w:hAnsi="Times New Roman"/>
          <w:szCs w:val="21"/>
        </w:rPr>
        <w:t>+0</w:t>
      </w:r>
      <w:r>
        <w:rPr>
          <w:rFonts w:ascii="宋体" w:hAnsi="宋体"/>
          <w:szCs w:val="21"/>
        </w:rPr>
        <w:t>.5 g</w:t>
      </w:r>
      <w:r>
        <w:rPr>
          <w:rFonts w:ascii="Times New Roman" w:hAnsi="Times New Roman"/>
          <w:szCs w:val="21"/>
        </w:rPr>
        <w:t>~</w:t>
      </w:r>
      <w:r>
        <w:rPr>
          <w:rFonts w:ascii="宋体" w:hAnsi="宋体"/>
          <w:szCs w:val="21"/>
        </w:rPr>
        <w:t>1.0 g</w:t>
      </w:r>
      <w:r>
        <w:rPr>
          <w:rFonts w:hint="eastAsia" w:ascii="宋体" w:hAnsi="宋体"/>
          <w:szCs w:val="21"/>
        </w:rPr>
        <w:t>氯酸钾</w:t>
      </w:r>
      <w:r>
        <w:rPr>
          <w:rFonts w:hint="eastAsia" w:ascii="宋体" w:hAnsi="宋体" w:cs="宋体"/>
          <w:szCs w:val="21"/>
        </w:rPr>
        <w:t>②</w:t>
      </w:r>
      <w:r>
        <w:rPr>
          <w:rFonts w:ascii="宋体" w:hAnsi="宋体" w:cs="宋体"/>
          <w:szCs w:val="21"/>
        </w:rPr>
        <w:t>+</w:t>
      </w:r>
      <w:r>
        <w:rPr>
          <w:rFonts w:ascii="Times New Roman" w:hAnsi="Times New Roman"/>
          <w:szCs w:val="21"/>
        </w:rPr>
        <w:t>10 ml</w:t>
      </w:r>
      <w:r>
        <w:rPr>
          <w:rFonts w:hint="eastAsia" w:ascii="宋体" w:hAnsi="宋体" w:cs="宋体"/>
          <w:szCs w:val="21"/>
        </w:rPr>
        <w:t>盐酸③</w:t>
      </w:r>
      <w:r>
        <w:rPr>
          <w:rFonts w:ascii="Times New Roman" w:hAnsi="Times New Roman"/>
          <w:szCs w:val="21"/>
        </w:rPr>
        <w:t>+6 ml</w:t>
      </w:r>
      <w:r>
        <w:rPr>
          <w:rFonts w:hint="eastAsia" w:ascii="宋体" w:hAnsi="宋体" w:cs="宋体"/>
          <w:szCs w:val="21"/>
        </w:rPr>
        <w:t>盐酸④</w:t>
      </w:r>
      <w:r>
        <w:rPr>
          <w:rFonts w:ascii="Times New Roman" w:hAnsi="Times New Roman"/>
          <w:szCs w:val="21"/>
        </w:rPr>
        <w:t>+10 ml</w:t>
      </w:r>
      <w:r>
        <w:rPr>
          <w:rFonts w:hint="eastAsia" w:ascii="宋体" w:hAnsi="宋体" w:cs="宋体"/>
          <w:szCs w:val="21"/>
        </w:rPr>
        <w:t>盐酸</w:t>
      </w:r>
    </w:p>
    <w:p>
      <w:pPr>
        <w:jc w:val="left"/>
        <w:rPr>
          <w:rFonts w:ascii="宋体"/>
          <w:szCs w:val="21"/>
        </w:rPr>
      </w:pPr>
      <w:r>
        <w:rPr>
          <w:rFonts w:hint="eastAsia" w:ascii="宋体" w:hAnsi="宋体"/>
          <w:szCs w:val="21"/>
        </w:rPr>
        <w:t>方案</w:t>
      </w:r>
      <w:r>
        <w:rPr>
          <w:rFonts w:ascii="Times New Roman" w:hAnsi="Times New Roman"/>
          <w:szCs w:val="21"/>
        </w:rPr>
        <w:t>2</w:t>
      </w:r>
      <w:r>
        <w:rPr>
          <w:rFonts w:hint="eastAsia" w:ascii="宋体" w:hAnsi="宋体"/>
          <w:szCs w:val="21"/>
        </w:rPr>
        <w:t>：</w:t>
      </w:r>
      <w:r>
        <w:rPr>
          <w:rFonts w:hint="eastAsia" w:ascii="宋体" w:hAnsi="宋体" w:cs="宋体"/>
          <w:szCs w:val="21"/>
        </w:rPr>
        <w:t>①</w:t>
      </w:r>
      <w:r>
        <w:rPr>
          <w:rFonts w:ascii="Times New Roman" w:hAnsi="Times New Roman"/>
          <w:szCs w:val="21"/>
        </w:rPr>
        <w:t>10 mL</w:t>
      </w:r>
      <w:r>
        <w:rPr>
          <w:rFonts w:hint="eastAsia" w:ascii="宋体" w:hAnsi="宋体"/>
          <w:szCs w:val="21"/>
        </w:rPr>
        <w:t>硝酸</w:t>
      </w:r>
      <w:r>
        <w:rPr>
          <w:rFonts w:ascii="Times New Roman" w:hAnsi="Times New Roman"/>
          <w:szCs w:val="21"/>
        </w:rPr>
        <w:t>+0.5 g~1.0 g</w:t>
      </w:r>
      <w:r>
        <w:rPr>
          <w:rFonts w:hint="eastAsia" w:ascii="宋体" w:hAnsi="宋体"/>
          <w:szCs w:val="21"/>
        </w:rPr>
        <w:t>氯酸钾</w:t>
      </w:r>
      <w:r>
        <w:rPr>
          <w:rFonts w:hint="eastAsia" w:ascii="宋体" w:hAnsi="宋体" w:cs="宋体"/>
          <w:szCs w:val="21"/>
        </w:rPr>
        <w:t>②</w:t>
      </w:r>
      <w:r>
        <w:rPr>
          <w:rFonts w:ascii="Times New Roman" w:hAnsi="Times New Roman"/>
          <w:szCs w:val="21"/>
        </w:rPr>
        <w:t>+10 ml</w:t>
      </w:r>
      <w:r>
        <w:rPr>
          <w:rFonts w:hint="eastAsia" w:ascii="宋体" w:hAnsi="宋体" w:cs="宋体"/>
          <w:szCs w:val="21"/>
        </w:rPr>
        <w:t>盐酸③</w:t>
      </w:r>
      <w:r>
        <w:rPr>
          <w:rFonts w:ascii="Times New Roman" w:hAnsi="Times New Roman"/>
          <w:szCs w:val="21"/>
        </w:rPr>
        <w:t>+6 ml</w:t>
      </w:r>
      <w:r>
        <w:rPr>
          <w:rFonts w:hint="eastAsia" w:ascii="宋体" w:hAnsi="宋体" w:cs="宋体"/>
          <w:szCs w:val="21"/>
        </w:rPr>
        <w:t>盐酸④</w:t>
      </w:r>
      <w:r>
        <w:rPr>
          <w:rFonts w:ascii="Times New Roman" w:hAnsi="Times New Roman"/>
          <w:szCs w:val="21"/>
        </w:rPr>
        <w:t>+10 ml</w:t>
      </w:r>
      <w:r>
        <w:rPr>
          <w:rFonts w:hint="eastAsia" w:ascii="宋体" w:hAnsi="宋体" w:cs="宋体"/>
          <w:szCs w:val="21"/>
        </w:rPr>
        <w:t>盐酸</w:t>
      </w:r>
      <w:r>
        <w:rPr>
          <w:rFonts w:ascii="Times New Roman" w:hAnsi="Times New Roman"/>
          <w:szCs w:val="21"/>
        </w:rPr>
        <w:t>+0.5g</w:t>
      </w:r>
      <w:r>
        <w:rPr>
          <w:rFonts w:hint="eastAsia" w:ascii="宋体" w:hAnsi="宋体" w:cs="宋体"/>
          <w:szCs w:val="21"/>
        </w:rPr>
        <w:t>酒石酸</w:t>
      </w:r>
    </w:p>
    <w:p>
      <w:pPr>
        <w:jc w:val="left"/>
        <w:rPr>
          <w:rFonts w:ascii="宋体"/>
          <w:szCs w:val="21"/>
        </w:rPr>
      </w:pPr>
      <w:r>
        <w:rPr>
          <w:rFonts w:hint="eastAsia" w:ascii="宋体" w:hAnsi="宋体"/>
          <w:szCs w:val="21"/>
        </w:rPr>
        <w:t>方案</w:t>
      </w:r>
      <w:r>
        <w:rPr>
          <w:rFonts w:ascii="Times New Roman" w:hAnsi="Times New Roman"/>
          <w:szCs w:val="21"/>
        </w:rPr>
        <w:t>3</w:t>
      </w:r>
      <w:r>
        <w:rPr>
          <w:rFonts w:hint="eastAsia" w:ascii="宋体" w:hAnsi="宋体"/>
          <w:szCs w:val="21"/>
        </w:rPr>
        <w:t>：</w:t>
      </w:r>
      <w:r>
        <w:rPr>
          <w:rFonts w:hint="eastAsia" w:ascii="宋体" w:hAnsi="宋体" w:cs="宋体"/>
          <w:szCs w:val="21"/>
        </w:rPr>
        <w:t>①</w:t>
      </w:r>
      <w:r>
        <w:rPr>
          <w:rFonts w:ascii="Times New Roman" w:hAnsi="Times New Roman"/>
          <w:szCs w:val="21"/>
        </w:rPr>
        <w:t>10 mL</w:t>
      </w:r>
      <w:r>
        <w:rPr>
          <w:rFonts w:hint="eastAsia" w:ascii="宋体" w:hAnsi="宋体"/>
          <w:szCs w:val="21"/>
        </w:rPr>
        <w:t>盐酸</w:t>
      </w:r>
      <w:r>
        <w:rPr>
          <w:rFonts w:ascii="宋体" w:hAnsi="宋体"/>
          <w:szCs w:val="21"/>
        </w:rPr>
        <w:t>+</w:t>
      </w:r>
      <w:r>
        <w:rPr>
          <w:rFonts w:ascii="Times New Roman" w:hAnsi="Times New Roman"/>
          <w:szCs w:val="21"/>
        </w:rPr>
        <w:t>4</w:t>
      </w:r>
      <w:r>
        <w:rPr>
          <w:rFonts w:hint="eastAsia" w:ascii="宋体" w:hAnsi="宋体"/>
          <w:szCs w:val="21"/>
        </w:rPr>
        <w:t>滴氢氟酸</w:t>
      </w:r>
      <w:r>
        <w:rPr>
          <w:rFonts w:hint="eastAsia" w:ascii="宋体" w:hAnsi="宋体" w:cs="宋体"/>
          <w:szCs w:val="21"/>
        </w:rPr>
        <w:t>②</w:t>
      </w:r>
      <w:r>
        <w:rPr>
          <w:rFonts w:ascii="Times New Roman" w:hAnsi="Times New Roman"/>
          <w:szCs w:val="21"/>
        </w:rPr>
        <w:t>+5 mL</w:t>
      </w:r>
      <w:r>
        <w:rPr>
          <w:rFonts w:hint="eastAsia" w:ascii="宋体" w:hAnsi="宋体"/>
          <w:szCs w:val="21"/>
        </w:rPr>
        <w:t>硝酸</w:t>
      </w:r>
      <w:r>
        <w:rPr>
          <w:rFonts w:hint="eastAsia" w:ascii="宋体" w:hAnsi="宋体" w:cs="Calibri"/>
          <w:szCs w:val="21"/>
        </w:rPr>
        <w:t>③</w:t>
      </w:r>
      <w:r>
        <w:rPr>
          <w:rFonts w:ascii="Times New Roman" w:hAnsi="Times New Roman"/>
          <w:szCs w:val="21"/>
        </w:rPr>
        <w:t>+2 mL</w:t>
      </w:r>
      <w:r>
        <w:rPr>
          <w:rFonts w:hint="eastAsia" w:ascii="宋体" w:hAnsi="宋体"/>
          <w:szCs w:val="21"/>
        </w:rPr>
        <w:t>高氯酸</w:t>
      </w:r>
      <w:r>
        <w:rPr>
          <w:rFonts w:ascii="Times New Roman" w:hAnsi="Times New Roman"/>
          <w:szCs w:val="21"/>
        </w:rPr>
        <w:t>+2 mL</w:t>
      </w:r>
      <w:r>
        <w:rPr>
          <w:rFonts w:hint="eastAsia" w:ascii="宋体" w:hAnsi="宋体"/>
          <w:szCs w:val="21"/>
        </w:rPr>
        <w:t>硫酸</w:t>
      </w:r>
      <w:r>
        <w:rPr>
          <w:rFonts w:hint="eastAsia" w:ascii="宋体" w:hAnsi="宋体" w:cs="宋体"/>
          <w:szCs w:val="21"/>
        </w:rPr>
        <w:t>④</w:t>
      </w:r>
      <w:r>
        <w:rPr>
          <w:rFonts w:ascii="Times New Roman" w:hAnsi="Times New Roman"/>
          <w:szCs w:val="21"/>
        </w:rPr>
        <w:t>+2 mL</w:t>
      </w:r>
      <w:r>
        <w:rPr>
          <w:rFonts w:hint="eastAsia" w:ascii="宋体" w:hAnsi="宋体" w:cs="宋体"/>
          <w:szCs w:val="21"/>
        </w:rPr>
        <w:t>盐酸</w:t>
      </w:r>
      <w:r>
        <w:rPr>
          <w:rFonts w:ascii="Times New Roman" w:hAnsi="Times New Roman"/>
          <w:szCs w:val="21"/>
        </w:rPr>
        <w:t>+2</w:t>
      </w:r>
      <w:r>
        <w:rPr>
          <w:rFonts w:ascii="宋体" w:hAnsi="宋体" w:cs="宋体"/>
          <w:szCs w:val="21"/>
        </w:rPr>
        <w:t xml:space="preserve"> </w:t>
      </w:r>
      <w:r>
        <w:rPr>
          <w:rFonts w:ascii="Times New Roman" w:hAnsi="Times New Roman"/>
          <w:szCs w:val="21"/>
        </w:rPr>
        <w:t>mL</w:t>
      </w:r>
      <w:r>
        <w:rPr>
          <w:rFonts w:hint="eastAsia" w:ascii="宋体" w:hAnsi="宋体" w:cs="宋体"/>
          <w:szCs w:val="21"/>
        </w:rPr>
        <w:t>氢溴酸⑤</w:t>
      </w:r>
      <w:r>
        <w:rPr>
          <w:rFonts w:ascii="Times New Roman" w:hAnsi="Times New Roman"/>
          <w:szCs w:val="21"/>
        </w:rPr>
        <w:t>+10 mL</w:t>
      </w:r>
      <w:r>
        <w:rPr>
          <w:rFonts w:hint="eastAsia" w:ascii="宋体" w:hAnsi="宋体" w:cs="宋体"/>
          <w:szCs w:val="21"/>
        </w:rPr>
        <w:t>盐酸</w:t>
      </w:r>
    </w:p>
    <w:p>
      <w:pPr>
        <w:jc w:val="left"/>
        <w:rPr>
          <w:rFonts w:ascii="宋体"/>
          <w:szCs w:val="21"/>
        </w:rPr>
      </w:pPr>
      <w:r>
        <w:rPr>
          <w:rFonts w:hint="eastAsia" w:ascii="宋体" w:hAnsi="宋体"/>
          <w:szCs w:val="21"/>
        </w:rPr>
        <w:t>方案</w:t>
      </w:r>
      <w:r>
        <w:rPr>
          <w:rFonts w:ascii="Times New Roman" w:hAnsi="Times New Roman"/>
          <w:szCs w:val="21"/>
        </w:rPr>
        <w:t>4</w:t>
      </w:r>
      <w:r>
        <w:rPr>
          <w:rFonts w:hint="eastAsia" w:ascii="宋体" w:hAnsi="宋体"/>
          <w:szCs w:val="21"/>
        </w:rPr>
        <w:t>：</w:t>
      </w:r>
      <w:r>
        <w:rPr>
          <w:rFonts w:hint="eastAsia" w:ascii="宋体" w:hAnsi="宋体" w:cs="宋体"/>
          <w:szCs w:val="21"/>
        </w:rPr>
        <w:t>①</w:t>
      </w:r>
      <w:r>
        <w:rPr>
          <w:rFonts w:ascii="Times New Roman" w:hAnsi="Times New Roman"/>
          <w:szCs w:val="21"/>
        </w:rPr>
        <w:t>10 mL</w:t>
      </w:r>
      <w:r>
        <w:rPr>
          <w:rFonts w:hint="eastAsia" w:ascii="宋体" w:hAnsi="宋体"/>
          <w:szCs w:val="21"/>
        </w:rPr>
        <w:t>盐酸</w:t>
      </w:r>
      <w:r>
        <w:rPr>
          <w:rFonts w:ascii="Times New Roman" w:hAnsi="Times New Roman"/>
          <w:szCs w:val="21"/>
        </w:rPr>
        <w:t>+4</w:t>
      </w:r>
      <w:r>
        <w:rPr>
          <w:rFonts w:hint="eastAsia" w:ascii="宋体" w:hAnsi="宋体"/>
          <w:szCs w:val="21"/>
        </w:rPr>
        <w:t>滴氢氟酸</w:t>
      </w:r>
      <w:r>
        <w:rPr>
          <w:rFonts w:hint="eastAsia" w:ascii="宋体" w:hAnsi="宋体" w:cs="宋体"/>
          <w:szCs w:val="21"/>
        </w:rPr>
        <w:t>②</w:t>
      </w:r>
      <w:r>
        <w:rPr>
          <w:rFonts w:ascii="Times New Roman" w:hAnsi="Times New Roman"/>
          <w:szCs w:val="21"/>
        </w:rPr>
        <w:t>+5 mL</w:t>
      </w:r>
      <w:r>
        <w:rPr>
          <w:rFonts w:hint="eastAsia" w:ascii="宋体" w:hAnsi="宋体"/>
          <w:szCs w:val="21"/>
        </w:rPr>
        <w:t>硝酸</w:t>
      </w:r>
      <w:r>
        <w:rPr>
          <w:rFonts w:hint="eastAsia" w:ascii="宋体" w:hAnsi="宋体" w:cs="宋体"/>
          <w:szCs w:val="21"/>
        </w:rPr>
        <w:t>③</w:t>
      </w:r>
      <w:r>
        <w:rPr>
          <w:rFonts w:ascii="Times New Roman" w:hAnsi="Times New Roman"/>
          <w:szCs w:val="21"/>
        </w:rPr>
        <w:t>+</w:t>
      </w:r>
      <w:r>
        <w:rPr>
          <w:rFonts w:ascii="宋体" w:hAnsi="宋体"/>
          <w:szCs w:val="21"/>
        </w:rPr>
        <w:t>5 mL</w:t>
      </w:r>
      <w:r>
        <w:rPr>
          <w:rFonts w:hint="eastAsia" w:ascii="宋体" w:hAnsi="宋体"/>
          <w:szCs w:val="21"/>
        </w:rPr>
        <w:t>高氯酸</w:t>
      </w:r>
      <w:r>
        <w:rPr>
          <w:rFonts w:ascii="Times New Roman" w:hAnsi="Times New Roman"/>
          <w:szCs w:val="21"/>
        </w:rPr>
        <w:t>+2 mL</w:t>
      </w:r>
      <w:r>
        <w:rPr>
          <w:rFonts w:hint="eastAsia" w:ascii="宋体" w:hAnsi="宋体"/>
          <w:szCs w:val="21"/>
        </w:rPr>
        <w:t>硫酸</w:t>
      </w:r>
      <w:r>
        <w:rPr>
          <w:rFonts w:hint="eastAsia" w:ascii="宋体" w:hAnsi="宋体" w:cs="宋体"/>
          <w:szCs w:val="21"/>
        </w:rPr>
        <w:t>④</w:t>
      </w:r>
      <w:r>
        <w:rPr>
          <w:rFonts w:ascii="Times New Roman" w:hAnsi="Times New Roman"/>
          <w:szCs w:val="21"/>
        </w:rPr>
        <w:t>+2 mL</w:t>
      </w:r>
      <w:r>
        <w:rPr>
          <w:rFonts w:hint="eastAsia" w:ascii="宋体" w:hAnsi="宋体" w:cs="宋体"/>
          <w:szCs w:val="21"/>
        </w:rPr>
        <w:t>盐酸</w:t>
      </w:r>
      <w:r>
        <w:rPr>
          <w:rFonts w:ascii="Times New Roman" w:hAnsi="Times New Roman"/>
          <w:szCs w:val="21"/>
        </w:rPr>
        <w:t>+2</w:t>
      </w:r>
      <w:r>
        <w:rPr>
          <w:rFonts w:ascii="宋体" w:hAnsi="宋体" w:cs="宋体"/>
          <w:szCs w:val="21"/>
        </w:rPr>
        <w:t xml:space="preserve"> </w:t>
      </w:r>
      <w:r>
        <w:rPr>
          <w:rFonts w:ascii="Times New Roman" w:hAnsi="Times New Roman"/>
          <w:szCs w:val="21"/>
        </w:rPr>
        <w:t>mL</w:t>
      </w:r>
      <w:r>
        <w:rPr>
          <w:rFonts w:hint="eastAsia" w:ascii="宋体" w:hAnsi="宋体" w:cs="宋体"/>
          <w:szCs w:val="21"/>
        </w:rPr>
        <w:t>氢溴酸⑤</w:t>
      </w:r>
      <w:r>
        <w:rPr>
          <w:rFonts w:ascii="Times New Roman" w:hAnsi="Times New Roman"/>
          <w:szCs w:val="21"/>
        </w:rPr>
        <w:t>+10 mL</w:t>
      </w:r>
      <w:r>
        <w:rPr>
          <w:rFonts w:hint="eastAsia" w:ascii="宋体" w:hAnsi="宋体" w:cs="宋体"/>
          <w:szCs w:val="21"/>
        </w:rPr>
        <w:t>盐酸</w:t>
      </w:r>
    </w:p>
    <w:p>
      <w:pPr>
        <w:jc w:val="left"/>
        <w:rPr>
          <w:rFonts w:ascii="宋体" w:cs="宋体"/>
          <w:szCs w:val="21"/>
        </w:rPr>
      </w:pPr>
      <w:r>
        <w:rPr>
          <w:rFonts w:hint="eastAsia" w:ascii="宋体" w:hAnsi="宋体"/>
          <w:szCs w:val="21"/>
        </w:rPr>
        <w:t>方案</w:t>
      </w:r>
      <w:r>
        <w:rPr>
          <w:rFonts w:ascii="Times New Roman" w:hAnsi="Times New Roman"/>
          <w:szCs w:val="21"/>
        </w:rPr>
        <w:t>5</w:t>
      </w:r>
      <w:r>
        <w:rPr>
          <w:rFonts w:hint="eastAsia" w:ascii="宋体" w:hAnsi="宋体"/>
          <w:szCs w:val="21"/>
        </w:rPr>
        <w:t>：</w:t>
      </w:r>
      <w:r>
        <w:rPr>
          <w:rFonts w:hint="eastAsia" w:ascii="宋体" w:hAnsi="宋体" w:cs="宋体"/>
          <w:szCs w:val="21"/>
        </w:rPr>
        <w:t>①</w:t>
      </w:r>
      <w:r>
        <w:rPr>
          <w:rFonts w:ascii="Times New Roman" w:hAnsi="Times New Roman"/>
          <w:szCs w:val="21"/>
        </w:rPr>
        <w:t>10 mL</w:t>
      </w:r>
      <w:r>
        <w:rPr>
          <w:rFonts w:hint="eastAsia" w:ascii="宋体" w:hAnsi="宋体"/>
          <w:szCs w:val="21"/>
        </w:rPr>
        <w:t>盐酸</w:t>
      </w:r>
      <w:r>
        <w:rPr>
          <w:rFonts w:ascii="Times New Roman" w:hAnsi="Times New Roman"/>
          <w:szCs w:val="21"/>
        </w:rPr>
        <w:t>+4</w:t>
      </w:r>
      <w:r>
        <w:rPr>
          <w:rFonts w:hint="eastAsia" w:ascii="宋体" w:hAnsi="宋体"/>
          <w:szCs w:val="21"/>
        </w:rPr>
        <w:t>滴氢氟酸</w:t>
      </w:r>
      <w:r>
        <w:rPr>
          <w:rFonts w:hint="eastAsia" w:ascii="宋体" w:hAnsi="宋体" w:cs="宋体"/>
          <w:szCs w:val="21"/>
        </w:rPr>
        <w:t>②</w:t>
      </w:r>
      <w:r>
        <w:rPr>
          <w:rFonts w:ascii="Times New Roman" w:hAnsi="Times New Roman"/>
          <w:szCs w:val="21"/>
        </w:rPr>
        <w:t>+5 mL</w:t>
      </w:r>
      <w:r>
        <w:rPr>
          <w:rFonts w:hint="eastAsia" w:ascii="宋体" w:hAnsi="宋体"/>
          <w:szCs w:val="21"/>
        </w:rPr>
        <w:t>硝酸</w:t>
      </w:r>
      <w:r>
        <w:rPr>
          <w:rFonts w:hint="eastAsia" w:ascii="宋体" w:hAnsi="宋体" w:cs="宋体"/>
          <w:szCs w:val="21"/>
        </w:rPr>
        <w:t>③</w:t>
      </w:r>
      <w:r>
        <w:rPr>
          <w:rFonts w:ascii="Times New Roman" w:hAnsi="Times New Roman"/>
          <w:szCs w:val="21"/>
        </w:rPr>
        <w:t>+5 mL</w:t>
      </w:r>
      <w:r>
        <w:rPr>
          <w:rFonts w:hint="eastAsia" w:ascii="宋体" w:hAnsi="宋体"/>
          <w:szCs w:val="21"/>
        </w:rPr>
        <w:t>高氯酸</w:t>
      </w:r>
      <w:r>
        <w:rPr>
          <w:rFonts w:hint="eastAsia" w:ascii="宋体" w:hAnsi="宋体" w:cs="宋体"/>
          <w:szCs w:val="21"/>
        </w:rPr>
        <w:t>④</w:t>
      </w:r>
      <w:r>
        <w:rPr>
          <w:rFonts w:ascii="Times New Roman" w:hAnsi="Times New Roman"/>
          <w:szCs w:val="21"/>
        </w:rPr>
        <w:t>+2 m</w:t>
      </w:r>
      <w:r>
        <w:rPr>
          <w:rFonts w:ascii="宋体" w:hAnsi="宋体" w:cs="宋体"/>
          <w:szCs w:val="21"/>
        </w:rPr>
        <w:t>L</w:t>
      </w:r>
      <w:r>
        <w:rPr>
          <w:rFonts w:hint="eastAsia" w:ascii="宋体" w:hAnsi="宋体" w:cs="宋体"/>
          <w:szCs w:val="21"/>
        </w:rPr>
        <w:t>盐酸</w:t>
      </w:r>
      <w:r>
        <w:rPr>
          <w:rFonts w:ascii="Times New Roman" w:hAnsi="Times New Roman"/>
          <w:szCs w:val="21"/>
        </w:rPr>
        <w:t>+2 mL</w:t>
      </w:r>
      <w:r>
        <w:rPr>
          <w:rFonts w:hint="eastAsia" w:ascii="宋体" w:hAnsi="宋体" w:cs="宋体"/>
          <w:szCs w:val="21"/>
        </w:rPr>
        <w:t>氢溴酸⑤</w:t>
      </w:r>
      <w:r>
        <w:rPr>
          <w:rFonts w:ascii="Times New Roman" w:hAnsi="Times New Roman"/>
          <w:szCs w:val="21"/>
        </w:rPr>
        <w:t>+10 mL</w:t>
      </w:r>
      <w:r>
        <w:rPr>
          <w:rFonts w:hint="eastAsia" w:ascii="宋体" w:hAnsi="宋体" w:cs="宋体"/>
          <w:szCs w:val="21"/>
        </w:rPr>
        <w:t>盐酸</w:t>
      </w:r>
    </w:p>
    <w:p>
      <w:pPr>
        <w:ind w:left="840" w:hanging="840" w:hangingChars="400"/>
        <w:jc w:val="left"/>
        <w:rPr>
          <w:rFonts w:ascii="宋体"/>
          <w:szCs w:val="21"/>
        </w:rPr>
      </w:pPr>
      <w:r>
        <w:rPr>
          <w:rFonts w:hint="eastAsia" w:ascii="宋体" w:hAnsi="宋体"/>
          <w:szCs w:val="21"/>
        </w:rPr>
        <w:t>方案</w:t>
      </w:r>
      <w:r>
        <w:rPr>
          <w:rFonts w:ascii="Times New Roman" w:hAnsi="Times New Roman"/>
          <w:szCs w:val="21"/>
        </w:rPr>
        <w:t>6</w:t>
      </w:r>
      <w:r>
        <w:rPr>
          <w:rFonts w:hint="eastAsia" w:ascii="宋体" w:hAnsi="宋体"/>
          <w:szCs w:val="21"/>
        </w:rPr>
        <w:t>：</w:t>
      </w:r>
      <w:r>
        <w:rPr>
          <w:rFonts w:hint="eastAsia" w:ascii="宋体" w:hAnsi="宋体" w:cs="宋体"/>
          <w:szCs w:val="21"/>
        </w:rPr>
        <w:t>①</w:t>
      </w:r>
      <w:r>
        <w:rPr>
          <w:rFonts w:ascii="Times New Roman" w:hAnsi="Times New Roman"/>
          <w:szCs w:val="21"/>
        </w:rPr>
        <w:t>10 mL</w:t>
      </w:r>
      <w:r>
        <w:rPr>
          <w:rFonts w:hint="eastAsia" w:ascii="宋体" w:hAnsi="宋体"/>
          <w:szCs w:val="21"/>
        </w:rPr>
        <w:t>盐酸</w:t>
      </w:r>
      <w:r>
        <w:rPr>
          <w:rFonts w:ascii="Times New Roman" w:hAnsi="Times New Roman"/>
          <w:szCs w:val="21"/>
        </w:rPr>
        <w:t>+4</w:t>
      </w:r>
      <w:r>
        <w:rPr>
          <w:rFonts w:hint="eastAsia" w:ascii="宋体" w:hAnsi="宋体"/>
          <w:szCs w:val="21"/>
        </w:rPr>
        <w:t>滴氢氟酸</w:t>
      </w:r>
      <w:r>
        <w:rPr>
          <w:rFonts w:hint="eastAsia" w:ascii="宋体" w:hAnsi="宋体" w:cs="宋体"/>
          <w:szCs w:val="21"/>
        </w:rPr>
        <w:t>②</w:t>
      </w:r>
      <w:r>
        <w:rPr>
          <w:rFonts w:ascii="Times New Roman" w:hAnsi="Times New Roman"/>
          <w:szCs w:val="21"/>
        </w:rPr>
        <w:t>+5 mL</w:t>
      </w:r>
      <w:r>
        <w:rPr>
          <w:rFonts w:hint="eastAsia" w:ascii="宋体" w:hAnsi="宋体"/>
          <w:szCs w:val="21"/>
        </w:rPr>
        <w:t>硝酸</w:t>
      </w:r>
      <w:r>
        <w:rPr>
          <w:rFonts w:hint="eastAsia" w:ascii="宋体" w:hAnsi="宋体" w:cs="宋体"/>
          <w:szCs w:val="21"/>
        </w:rPr>
        <w:t>③</w:t>
      </w:r>
      <w:r>
        <w:rPr>
          <w:rFonts w:ascii="Times New Roman" w:hAnsi="Times New Roman"/>
          <w:szCs w:val="21"/>
        </w:rPr>
        <w:t>+5 mL</w:t>
      </w:r>
      <w:r>
        <w:rPr>
          <w:rFonts w:hint="eastAsia" w:ascii="宋体" w:hAnsi="宋体"/>
          <w:szCs w:val="21"/>
        </w:rPr>
        <w:t>高氯酸</w:t>
      </w:r>
      <w:r>
        <w:rPr>
          <w:rFonts w:hint="eastAsia" w:ascii="宋体" w:hAnsi="宋体" w:cs="宋体"/>
          <w:szCs w:val="21"/>
        </w:rPr>
        <w:t>④</w:t>
      </w:r>
      <w:r>
        <w:rPr>
          <w:rFonts w:ascii="Times New Roman" w:hAnsi="Times New Roman"/>
          <w:szCs w:val="21"/>
        </w:rPr>
        <w:t>+</w:t>
      </w:r>
      <w:r>
        <w:rPr>
          <w:rFonts w:hint="eastAsia" w:ascii="宋体" w:hAnsi="宋体" w:cs="宋体"/>
          <w:szCs w:val="21"/>
        </w:rPr>
        <w:t>数滴硝酸⑤</w:t>
      </w:r>
      <w:r>
        <w:rPr>
          <w:rFonts w:ascii="Times New Roman" w:hAnsi="Times New Roman"/>
          <w:szCs w:val="21"/>
        </w:rPr>
        <w:t>+10 mL</w:t>
      </w:r>
      <w:r>
        <w:rPr>
          <w:rFonts w:hint="eastAsia" w:ascii="宋体" w:hAnsi="宋体" w:cs="宋体"/>
          <w:szCs w:val="21"/>
        </w:rPr>
        <w:t>盐酸</w:t>
      </w:r>
    </w:p>
    <w:p>
      <w:pPr>
        <w:jc w:val="left"/>
        <w:rPr>
          <w:rFonts w:ascii="宋体"/>
          <w:szCs w:val="21"/>
        </w:rPr>
      </w:pPr>
      <w:r>
        <w:rPr>
          <w:rFonts w:hint="eastAsia" w:ascii="宋体" w:hAnsi="宋体"/>
          <w:szCs w:val="21"/>
        </w:rPr>
        <w:t>方案</w:t>
      </w:r>
      <w:r>
        <w:rPr>
          <w:rFonts w:ascii="Times New Roman" w:hAnsi="Times New Roman"/>
          <w:szCs w:val="21"/>
        </w:rPr>
        <w:t>7</w:t>
      </w:r>
      <w:r>
        <w:rPr>
          <w:rFonts w:hint="eastAsia" w:ascii="宋体" w:hAnsi="宋体"/>
          <w:szCs w:val="21"/>
        </w:rPr>
        <w:t>：</w:t>
      </w:r>
      <w:r>
        <w:rPr>
          <w:rFonts w:hint="eastAsia" w:ascii="宋体" w:hAnsi="宋体" w:cs="宋体"/>
          <w:szCs w:val="21"/>
        </w:rPr>
        <w:t>①</w:t>
      </w:r>
      <w:r>
        <w:rPr>
          <w:rFonts w:ascii="Times New Roman" w:hAnsi="Times New Roman"/>
          <w:szCs w:val="21"/>
        </w:rPr>
        <w:t>10 mL</w:t>
      </w:r>
      <w:r>
        <w:rPr>
          <w:rFonts w:hint="eastAsia" w:ascii="宋体" w:hAnsi="宋体"/>
          <w:szCs w:val="21"/>
        </w:rPr>
        <w:t>盐酸</w:t>
      </w:r>
      <w:r>
        <w:rPr>
          <w:rFonts w:ascii="Times New Roman" w:hAnsi="Times New Roman"/>
          <w:szCs w:val="21"/>
        </w:rPr>
        <w:t>+4</w:t>
      </w:r>
      <w:r>
        <w:rPr>
          <w:rFonts w:hint="eastAsia" w:ascii="宋体" w:hAnsi="宋体"/>
          <w:szCs w:val="21"/>
        </w:rPr>
        <w:t>滴氢氟酸</w:t>
      </w:r>
      <w:r>
        <w:rPr>
          <w:rFonts w:ascii="Times New Roman" w:hAnsi="Times New Roman"/>
          <w:szCs w:val="21"/>
        </w:rPr>
        <w:t>+5 mL</w:t>
      </w:r>
      <w:r>
        <w:rPr>
          <w:rFonts w:hint="eastAsia" w:ascii="宋体" w:hAnsi="宋体"/>
          <w:szCs w:val="21"/>
        </w:rPr>
        <w:t>硝酸</w:t>
      </w:r>
      <w:r>
        <w:rPr>
          <w:rFonts w:hint="eastAsia" w:ascii="宋体" w:hAnsi="宋体" w:cs="宋体"/>
          <w:szCs w:val="21"/>
        </w:rPr>
        <w:t>②</w:t>
      </w:r>
      <w:r>
        <w:rPr>
          <w:rFonts w:ascii="Times New Roman" w:hAnsi="Times New Roman"/>
          <w:szCs w:val="21"/>
        </w:rPr>
        <w:t>+5 mL</w:t>
      </w:r>
      <w:r>
        <w:rPr>
          <w:rFonts w:hint="eastAsia" w:ascii="宋体" w:hAnsi="宋体"/>
          <w:szCs w:val="21"/>
        </w:rPr>
        <w:t>高氯酸</w:t>
      </w:r>
      <w:r>
        <w:rPr>
          <w:rFonts w:hint="eastAsia" w:ascii="宋体" w:hAnsi="宋体" w:cs="宋体"/>
          <w:szCs w:val="21"/>
        </w:rPr>
        <w:t>③</w:t>
      </w:r>
      <w:r>
        <w:rPr>
          <w:rFonts w:ascii="Times New Roman" w:hAnsi="Times New Roman"/>
          <w:szCs w:val="21"/>
        </w:rPr>
        <w:t>+10 mL</w:t>
      </w:r>
      <w:r>
        <w:rPr>
          <w:rFonts w:hint="eastAsia" w:ascii="宋体" w:hAnsi="宋体" w:cs="宋体"/>
          <w:szCs w:val="21"/>
        </w:rPr>
        <w:t>盐酸</w:t>
      </w:r>
    </w:p>
    <w:p>
      <w:pPr>
        <w:jc w:val="left"/>
        <w:rPr>
          <w:rFonts w:ascii="宋体" w:cs="宋体"/>
          <w:szCs w:val="21"/>
        </w:rPr>
      </w:pPr>
      <w:r>
        <w:rPr>
          <w:rFonts w:hint="eastAsia" w:ascii="宋体" w:hAnsi="宋体"/>
          <w:szCs w:val="21"/>
        </w:rPr>
        <w:t>方案</w:t>
      </w:r>
      <w:r>
        <w:rPr>
          <w:rFonts w:ascii="Times New Roman" w:hAnsi="Times New Roman"/>
          <w:szCs w:val="21"/>
        </w:rPr>
        <w:t>8</w:t>
      </w:r>
      <w:r>
        <w:rPr>
          <w:rFonts w:hint="eastAsia" w:ascii="宋体" w:hAnsi="宋体"/>
          <w:szCs w:val="21"/>
        </w:rPr>
        <w:t>：</w:t>
      </w:r>
      <w:r>
        <w:rPr>
          <w:rFonts w:hint="eastAsia" w:ascii="宋体" w:hAnsi="宋体" w:cs="宋体"/>
          <w:szCs w:val="21"/>
        </w:rPr>
        <w:t>①</w:t>
      </w:r>
      <w:r>
        <w:rPr>
          <w:rFonts w:ascii="Times New Roman" w:hAnsi="Times New Roman"/>
          <w:szCs w:val="21"/>
        </w:rPr>
        <w:t>10 mL</w:t>
      </w:r>
      <w:r>
        <w:rPr>
          <w:rFonts w:hint="eastAsia" w:ascii="宋体" w:hAnsi="宋体"/>
          <w:szCs w:val="21"/>
        </w:rPr>
        <w:t>盐酸</w:t>
      </w:r>
      <w:r>
        <w:rPr>
          <w:rFonts w:ascii="Times New Roman" w:hAnsi="Times New Roman"/>
          <w:szCs w:val="21"/>
        </w:rPr>
        <w:t>+4</w:t>
      </w:r>
      <w:r>
        <w:rPr>
          <w:rFonts w:hint="eastAsia" w:ascii="宋体" w:hAnsi="宋体"/>
          <w:szCs w:val="21"/>
        </w:rPr>
        <w:t>滴氢氟酸</w:t>
      </w:r>
      <w:r>
        <w:rPr>
          <w:rFonts w:hint="eastAsia" w:ascii="宋体" w:hAnsi="宋体" w:cs="宋体"/>
          <w:szCs w:val="21"/>
        </w:rPr>
        <w:t>②</w:t>
      </w:r>
      <w:r>
        <w:rPr>
          <w:rFonts w:ascii="Times New Roman" w:hAnsi="Times New Roman"/>
          <w:szCs w:val="21"/>
        </w:rPr>
        <w:t>+5 mL</w:t>
      </w:r>
      <w:r>
        <w:rPr>
          <w:rFonts w:hint="eastAsia" w:ascii="宋体" w:hAnsi="宋体"/>
          <w:szCs w:val="21"/>
        </w:rPr>
        <w:t>硝酸</w:t>
      </w:r>
      <w:r>
        <w:rPr>
          <w:rFonts w:hint="eastAsia" w:ascii="宋体" w:hAnsi="宋体" w:cs="宋体"/>
          <w:szCs w:val="21"/>
        </w:rPr>
        <w:t>③</w:t>
      </w:r>
      <w:r>
        <w:rPr>
          <w:rFonts w:ascii="Times New Roman" w:hAnsi="Times New Roman"/>
          <w:szCs w:val="21"/>
        </w:rPr>
        <w:t>+5 mL</w:t>
      </w:r>
      <w:r>
        <w:rPr>
          <w:rFonts w:hint="eastAsia" w:ascii="宋体" w:hAnsi="宋体"/>
          <w:szCs w:val="21"/>
        </w:rPr>
        <w:t>高氯酸</w:t>
      </w:r>
      <w:r>
        <w:rPr>
          <w:rFonts w:hint="eastAsia" w:ascii="宋体" w:hAnsi="宋体" w:cs="宋体"/>
          <w:szCs w:val="21"/>
        </w:rPr>
        <w:t>④</w:t>
      </w:r>
      <w:r>
        <w:rPr>
          <w:rFonts w:ascii="Times New Roman" w:hAnsi="Times New Roman"/>
          <w:szCs w:val="21"/>
        </w:rPr>
        <w:t>+10 mL</w:t>
      </w:r>
      <w:r>
        <w:rPr>
          <w:rFonts w:hint="eastAsia" w:ascii="宋体" w:hAnsi="宋体" w:cs="宋体"/>
          <w:szCs w:val="21"/>
        </w:rPr>
        <w:t>王水</w:t>
      </w:r>
    </w:p>
    <w:p>
      <w:pPr>
        <w:jc w:val="left"/>
        <w:rPr>
          <w:rFonts w:ascii="宋体"/>
          <w:szCs w:val="21"/>
        </w:rPr>
      </w:pPr>
      <w:r>
        <w:rPr>
          <w:rFonts w:hint="eastAsia" w:ascii="宋体" w:hAnsi="宋体"/>
          <w:szCs w:val="21"/>
        </w:rPr>
        <w:t>方案</w:t>
      </w:r>
      <w:r>
        <w:rPr>
          <w:rFonts w:ascii="Times New Roman" w:hAnsi="Times New Roman"/>
          <w:szCs w:val="21"/>
        </w:rPr>
        <w:t>9</w:t>
      </w:r>
      <w:r>
        <w:rPr>
          <w:rFonts w:hint="eastAsia" w:ascii="宋体" w:hAnsi="宋体"/>
          <w:szCs w:val="21"/>
        </w:rPr>
        <w:t>：</w:t>
      </w:r>
      <w:r>
        <w:rPr>
          <w:rFonts w:hint="eastAsia" w:ascii="宋体" w:hAnsi="宋体" w:cs="宋体"/>
          <w:szCs w:val="21"/>
        </w:rPr>
        <w:t>①</w:t>
      </w:r>
      <w:r>
        <w:rPr>
          <w:rFonts w:ascii="Times New Roman" w:hAnsi="Times New Roman"/>
          <w:szCs w:val="21"/>
        </w:rPr>
        <w:t>10 mL</w:t>
      </w:r>
      <w:r>
        <w:rPr>
          <w:rFonts w:hint="eastAsia" w:ascii="宋体" w:hAnsi="宋体"/>
          <w:szCs w:val="21"/>
        </w:rPr>
        <w:t>盐酸</w:t>
      </w:r>
      <w:r>
        <w:rPr>
          <w:rFonts w:ascii="Times New Roman" w:hAnsi="Times New Roman"/>
          <w:szCs w:val="21"/>
        </w:rPr>
        <w:t>+4</w:t>
      </w:r>
      <w:r>
        <w:rPr>
          <w:rFonts w:hint="eastAsia" w:ascii="宋体" w:hAnsi="宋体"/>
          <w:szCs w:val="21"/>
        </w:rPr>
        <w:t>滴氢氟酸</w:t>
      </w:r>
      <w:r>
        <w:rPr>
          <w:rFonts w:hint="eastAsia" w:ascii="宋体" w:hAnsi="宋体" w:cs="宋体"/>
          <w:szCs w:val="21"/>
        </w:rPr>
        <w:t>②</w:t>
      </w:r>
      <w:r>
        <w:rPr>
          <w:rFonts w:ascii="Times New Roman" w:hAnsi="Times New Roman"/>
          <w:szCs w:val="21"/>
        </w:rPr>
        <w:t>+5 m</w:t>
      </w:r>
      <w:r>
        <w:rPr>
          <w:rFonts w:ascii="宋体" w:hAnsi="宋体"/>
          <w:szCs w:val="21"/>
        </w:rPr>
        <w:t>L</w:t>
      </w:r>
      <w:r>
        <w:rPr>
          <w:rFonts w:hint="eastAsia" w:ascii="宋体" w:hAnsi="宋体"/>
          <w:szCs w:val="21"/>
        </w:rPr>
        <w:t>硝酸</w:t>
      </w:r>
      <w:r>
        <w:rPr>
          <w:rFonts w:hint="eastAsia" w:ascii="宋体" w:hAnsi="宋体" w:cs="宋体"/>
          <w:szCs w:val="21"/>
        </w:rPr>
        <w:t>③</w:t>
      </w:r>
      <w:r>
        <w:rPr>
          <w:rFonts w:ascii="Times New Roman" w:hAnsi="Times New Roman"/>
          <w:szCs w:val="21"/>
        </w:rPr>
        <w:t>+5 mL</w:t>
      </w:r>
      <w:r>
        <w:rPr>
          <w:rFonts w:hint="eastAsia" w:ascii="宋体" w:hAnsi="宋体"/>
          <w:szCs w:val="21"/>
        </w:rPr>
        <w:t>高氯酸</w:t>
      </w:r>
      <w:r>
        <w:rPr>
          <w:rFonts w:hint="eastAsia" w:ascii="宋体" w:hAnsi="宋体" w:cs="宋体"/>
          <w:szCs w:val="21"/>
        </w:rPr>
        <w:t>④</w:t>
      </w:r>
      <w:r>
        <w:rPr>
          <w:rFonts w:ascii="Times New Roman" w:hAnsi="Times New Roman"/>
          <w:szCs w:val="21"/>
        </w:rPr>
        <w:t>+2 mL</w:t>
      </w:r>
      <w:r>
        <w:rPr>
          <w:rFonts w:hint="eastAsia" w:ascii="宋体" w:hAnsi="宋体" w:cs="宋体"/>
          <w:szCs w:val="21"/>
        </w:rPr>
        <w:t>盐酸</w:t>
      </w:r>
      <w:r>
        <w:rPr>
          <w:rFonts w:ascii="Times New Roman" w:hAnsi="Times New Roman"/>
          <w:szCs w:val="21"/>
        </w:rPr>
        <w:t>+2 mL</w:t>
      </w:r>
      <w:r>
        <w:rPr>
          <w:rFonts w:hint="eastAsia" w:ascii="宋体" w:hAnsi="宋体" w:cs="宋体"/>
          <w:szCs w:val="21"/>
        </w:rPr>
        <w:t>氢溴酸⑤</w:t>
      </w:r>
      <w:r>
        <w:rPr>
          <w:rFonts w:ascii="Times New Roman" w:hAnsi="Times New Roman"/>
          <w:szCs w:val="21"/>
        </w:rPr>
        <w:t>+10 mL</w:t>
      </w:r>
      <w:r>
        <w:rPr>
          <w:rFonts w:hint="eastAsia" w:ascii="宋体" w:hAnsi="宋体" w:cs="宋体"/>
          <w:szCs w:val="21"/>
        </w:rPr>
        <w:t>王水</w:t>
      </w:r>
    </w:p>
    <w:p>
      <w:pPr>
        <w:jc w:val="left"/>
        <w:rPr>
          <w:rFonts w:ascii="宋体"/>
          <w:szCs w:val="21"/>
        </w:rPr>
      </w:pPr>
    </w:p>
    <w:p>
      <w:pPr>
        <w:ind w:firstLine="1890" w:firstLineChars="900"/>
        <w:jc w:val="left"/>
        <w:rPr>
          <w:rFonts w:ascii="宋体"/>
          <w:szCs w:val="21"/>
        </w:rPr>
      </w:pPr>
      <w:r>
        <w:rPr>
          <w:rFonts w:hint="eastAsia" w:ascii="宋体" w:hAnsi="宋体"/>
          <w:szCs w:val="21"/>
        </w:rPr>
        <w:t>表</w:t>
      </w:r>
      <w:r>
        <w:rPr>
          <w:rFonts w:ascii="Times New Roman" w:hAnsi="Times New Roman"/>
          <w:szCs w:val="21"/>
        </w:rPr>
        <w:t>11</w:t>
      </w:r>
      <w:r>
        <w:rPr>
          <w:rFonts w:hint="eastAsia" w:ascii="宋体" w:hAnsi="宋体"/>
          <w:szCs w:val="21"/>
        </w:rPr>
        <w:t>不同处理方式后</w:t>
      </w:r>
      <w:r>
        <w:rPr>
          <w:rFonts w:ascii="Times New Roman" w:hAnsi="Times New Roman"/>
          <w:szCs w:val="21"/>
        </w:rPr>
        <w:t>Bi</w:t>
      </w:r>
      <w:r>
        <w:rPr>
          <w:rFonts w:hint="eastAsia" w:ascii="宋体" w:hAnsi="宋体"/>
          <w:szCs w:val="21"/>
        </w:rPr>
        <w:t>元素含量</w:t>
      </w:r>
      <w:r>
        <w:rPr>
          <w:rFonts w:ascii="Times New Roman" w:hAnsi="Times New Roman"/>
          <w:szCs w:val="21"/>
        </w:rPr>
        <w:t>%</w:t>
      </w:r>
      <w:r>
        <w:rPr>
          <w:rFonts w:hint="eastAsia" w:ascii="宋体" w:hAnsi="宋体"/>
          <w:szCs w:val="21"/>
        </w:rPr>
        <w:t>，现象及试验情况</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517"/>
        <w:gridCol w:w="576"/>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vAlign w:val="center"/>
          </w:tcPr>
          <w:p>
            <w:pPr>
              <w:jc w:val="left"/>
              <w:rPr>
                <w:rFonts w:ascii="宋体"/>
                <w:sz w:val="18"/>
                <w:szCs w:val="18"/>
              </w:rPr>
            </w:pPr>
            <w:r>
              <w:rPr>
                <w:rFonts w:hint="eastAsia" w:ascii="宋体" w:hAnsi="宋体"/>
                <w:sz w:val="18"/>
                <w:szCs w:val="18"/>
              </w:rPr>
              <w:t>方案</w:t>
            </w:r>
          </w:p>
        </w:tc>
        <w:tc>
          <w:tcPr>
            <w:tcW w:w="517" w:type="dxa"/>
            <w:vAlign w:val="center"/>
          </w:tcPr>
          <w:p>
            <w:pPr>
              <w:jc w:val="left"/>
              <w:rPr>
                <w:rFonts w:ascii="宋体"/>
                <w:sz w:val="18"/>
                <w:szCs w:val="18"/>
              </w:rPr>
            </w:pPr>
            <w:r>
              <w:rPr>
                <w:rFonts w:hint="eastAsia" w:ascii="宋体" w:hAnsi="宋体"/>
                <w:sz w:val="18"/>
                <w:szCs w:val="18"/>
              </w:rPr>
              <w:t>编号</w:t>
            </w:r>
          </w:p>
        </w:tc>
        <w:tc>
          <w:tcPr>
            <w:tcW w:w="576" w:type="dxa"/>
            <w:vAlign w:val="center"/>
          </w:tcPr>
          <w:p>
            <w:pPr>
              <w:jc w:val="left"/>
              <w:rPr>
                <w:rFonts w:ascii="Times New Roman" w:hAnsi="Times New Roman"/>
                <w:sz w:val="18"/>
                <w:szCs w:val="18"/>
              </w:rPr>
            </w:pPr>
            <w:r>
              <w:rPr>
                <w:rFonts w:ascii="Times New Roman" w:hAnsi="Times New Roman"/>
                <w:sz w:val="18"/>
                <w:szCs w:val="18"/>
              </w:rPr>
              <w:t>Bi</w:t>
            </w:r>
          </w:p>
        </w:tc>
        <w:tc>
          <w:tcPr>
            <w:tcW w:w="6913" w:type="dxa"/>
            <w:vAlign w:val="center"/>
          </w:tcPr>
          <w:p>
            <w:pPr>
              <w:jc w:val="center"/>
              <w:rPr>
                <w:rFonts w:ascii="宋体"/>
                <w:sz w:val="18"/>
                <w:szCs w:val="18"/>
              </w:rPr>
            </w:pPr>
            <w:r>
              <w:rPr>
                <w:rFonts w:hint="eastAsia" w:ascii="宋体" w:hAnsi="宋体"/>
                <w:sz w:val="18"/>
                <w:szCs w:val="18"/>
              </w:rPr>
              <w:t>现象及试验情况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6" w:type="dxa"/>
            <w:vMerge w:val="restart"/>
            <w:vAlign w:val="center"/>
          </w:tcPr>
          <w:p>
            <w:pPr>
              <w:jc w:val="left"/>
              <w:rPr>
                <w:rFonts w:ascii="Times New Roman" w:hAnsi="Times New Roman"/>
                <w:sz w:val="18"/>
                <w:szCs w:val="18"/>
              </w:rPr>
            </w:pPr>
            <w:r>
              <w:rPr>
                <w:rFonts w:ascii="Times New Roman" w:hAnsi="Times New Roman"/>
                <w:sz w:val="18"/>
                <w:szCs w:val="18"/>
              </w:rPr>
              <w:t>1</w:t>
            </w:r>
          </w:p>
        </w:tc>
        <w:tc>
          <w:tcPr>
            <w:tcW w:w="517" w:type="dxa"/>
            <w:vAlign w:val="center"/>
          </w:tcPr>
          <w:p>
            <w:pPr>
              <w:jc w:val="left"/>
              <w:rPr>
                <w:rFonts w:ascii="Times New Roman" w:hAnsi="Times New Roman"/>
                <w:sz w:val="18"/>
                <w:szCs w:val="18"/>
              </w:rPr>
            </w:pPr>
            <w:r>
              <w:rPr>
                <w:rFonts w:ascii="Times New Roman" w:hAnsi="Times New Roman"/>
                <w:sz w:val="18"/>
                <w:szCs w:val="18"/>
              </w:rPr>
              <w:t>1#</w:t>
            </w:r>
          </w:p>
        </w:tc>
        <w:tc>
          <w:tcPr>
            <w:tcW w:w="576" w:type="dxa"/>
            <w:vAlign w:val="center"/>
          </w:tcPr>
          <w:p>
            <w:pPr>
              <w:jc w:val="left"/>
              <w:rPr>
                <w:rFonts w:ascii="Times New Roman" w:hAnsi="Times New Roman"/>
                <w:sz w:val="18"/>
                <w:szCs w:val="18"/>
              </w:rPr>
            </w:pPr>
            <w:r>
              <w:rPr>
                <w:rFonts w:ascii="Times New Roman" w:hAnsi="Times New Roman"/>
                <w:sz w:val="18"/>
                <w:szCs w:val="18"/>
              </w:rPr>
              <w:t>0.08</w:t>
            </w:r>
          </w:p>
        </w:tc>
        <w:tc>
          <w:tcPr>
            <w:tcW w:w="6913" w:type="dxa"/>
            <w:vMerge w:val="restart"/>
            <w:vAlign w:val="center"/>
          </w:tcPr>
          <w:p>
            <w:pPr>
              <w:jc w:val="left"/>
              <w:rPr>
                <w:rFonts w:ascii="宋体"/>
                <w:sz w:val="18"/>
                <w:szCs w:val="18"/>
              </w:rPr>
            </w:pPr>
            <w:r>
              <w:rPr>
                <w:rFonts w:hint="eastAsia" w:ascii="宋体" w:hAnsi="宋体"/>
                <w:sz w:val="18"/>
                <w:szCs w:val="18"/>
              </w:rPr>
              <w:t>溶液浑浊，有沉淀产生，测定体系中引入大量钾盐对仪器燃烧头伤害大，钾盐使测定值不稳定（舍弃）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6" w:type="dxa"/>
            <w:vMerge w:val="continue"/>
            <w:vAlign w:val="center"/>
          </w:tcPr>
          <w:p>
            <w:pPr>
              <w:jc w:val="left"/>
              <w:rPr>
                <w:rFonts w:ascii="Times New Roman" w:hAnsi="Times New Roman"/>
              </w:rPr>
            </w:pPr>
          </w:p>
        </w:tc>
        <w:tc>
          <w:tcPr>
            <w:tcW w:w="517" w:type="dxa"/>
            <w:vAlign w:val="center"/>
          </w:tcPr>
          <w:p>
            <w:pPr>
              <w:jc w:val="left"/>
              <w:rPr>
                <w:rFonts w:ascii="Times New Roman" w:hAnsi="Times New Roman"/>
                <w:sz w:val="18"/>
                <w:szCs w:val="18"/>
              </w:rPr>
            </w:pPr>
            <w:r>
              <w:rPr>
                <w:rFonts w:ascii="Times New Roman" w:hAnsi="Times New Roman"/>
                <w:sz w:val="18"/>
                <w:szCs w:val="18"/>
              </w:rPr>
              <w:t>3#</w:t>
            </w:r>
          </w:p>
        </w:tc>
        <w:tc>
          <w:tcPr>
            <w:tcW w:w="576" w:type="dxa"/>
            <w:vAlign w:val="center"/>
          </w:tcPr>
          <w:p>
            <w:pPr>
              <w:jc w:val="left"/>
              <w:rPr>
                <w:rFonts w:ascii="Times New Roman" w:hAnsi="Times New Roman"/>
                <w:sz w:val="18"/>
                <w:szCs w:val="18"/>
              </w:rPr>
            </w:pPr>
            <w:r>
              <w:rPr>
                <w:rFonts w:ascii="Times New Roman" w:hAnsi="Times New Roman"/>
                <w:sz w:val="18"/>
                <w:szCs w:val="18"/>
              </w:rPr>
              <w:t>1.89</w:t>
            </w:r>
          </w:p>
        </w:tc>
        <w:tc>
          <w:tcPr>
            <w:tcW w:w="6913" w:type="dxa"/>
            <w:vMerge w:val="continue"/>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6" w:type="dxa"/>
            <w:vMerge w:val="continue"/>
            <w:vAlign w:val="center"/>
          </w:tcPr>
          <w:p>
            <w:pPr>
              <w:jc w:val="left"/>
              <w:rPr>
                <w:rFonts w:ascii="Times New Roman" w:hAnsi="Times New Roman"/>
                <w:sz w:val="18"/>
                <w:szCs w:val="18"/>
              </w:rPr>
            </w:pPr>
          </w:p>
        </w:tc>
        <w:tc>
          <w:tcPr>
            <w:tcW w:w="517" w:type="dxa"/>
            <w:vAlign w:val="center"/>
          </w:tcPr>
          <w:p>
            <w:pPr>
              <w:jc w:val="left"/>
              <w:rPr>
                <w:rFonts w:ascii="Times New Roman" w:hAnsi="Times New Roman"/>
                <w:sz w:val="18"/>
                <w:szCs w:val="18"/>
              </w:rPr>
            </w:pPr>
            <w:r>
              <w:rPr>
                <w:rFonts w:ascii="Times New Roman" w:hAnsi="Times New Roman"/>
                <w:sz w:val="18"/>
                <w:szCs w:val="18"/>
              </w:rPr>
              <w:t>4#</w:t>
            </w:r>
          </w:p>
        </w:tc>
        <w:tc>
          <w:tcPr>
            <w:tcW w:w="576" w:type="dxa"/>
            <w:vAlign w:val="center"/>
          </w:tcPr>
          <w:p>
            <w:pPr>
              <w:jc w:val="left"/>
              <w:rPr>
                <w:rFonts w:ascii="Times New Roman" w:hAnsi="Times New Roman"/>
                <w:sz w:val="18"/>
                <w:szCs w:val="18"/>
              </w:rPr>
            </w:pPr>
            <w:r>
              <w:rPr>
                <w:rFonts w:ascii="Times New Roman" w:hAnsi="Times New Roman"/>
                <w:sz w:val="18"/>
                <w:szCs w:val="18"/>
              </w:rPr>
              <w:t>3.48</w:t>
            </w:r>
          </w:p>
        </w:tc>
        <w:tc>
          <w:tcPr>
            <w:tcW w:w="6913" w:type="dxa"/>
            <w:vMerge w:val="continue"/>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vAlign w:val="center"/>
          </w:tcPr>
          <w:p>
            <w:pPr>
              <w:jc w:val="left"/>
              <w:rPr>
                <w:rFonts w:ascii="Times New Roman" w:hAnsi="Times New Roman"/>
                <w:sz w:val="18"/>
                <w:szCs w:val="18"/>
              </w:rPr>
            </w:pPr>
            <w:r>
              <w:rPr>
                <w:rFonts w:ascii="Times New Roman" w:hAnsi="Times New Roman"/>
                <w:sz w:val="18"/>
                <w:szCs w:val="18"/>
              </w:rPr>
              <w:t>2</w:t>
            </w:r>
          </w:p>
        </w:tc>
        <w:tc>
          <w:tcPr>
            <w:tcW w:w="517" w:type="dxa"/>
            <w:vAlign w:val="center"/>
          </w:tcPr>
          <w:p>
            <w:pPr>
              <w:jc w:val="left"/>
              <w:rPr>
                <w:rFonts w:ascii="Times New Roman" w:hAnsi="Times New Roman"/>
                <w:sz w:val="18"/>
                <w:szCs w:val="18"/>
              </w:rPr>
            </w:pPr>
            <w:r>
              <w:rPr>
                <w:rFonts w:ascii="Times New Roman" w:hAnsi="Times New Roman"/>
                <w:sz w:val="18"/>
                <w:szCs w:val="18"/>
              </w:rPr>
              <w:t>3#</w:t>
            </w:r>
          </w:p>
        </w:tc>
        <w:tc>
          <w:tcPr>
            <w:tcW w:w="576" w:type="dxa"/>
            <w:vAlign w:val="center"/>
          </w:tcPr>
          <w:p>
            <w:pPr>
              <w:jc w:val="left"/>
              <w:rPr>
                <w:rFonts w:ascii="Times New Roman" w:hAnsi="Times New Roman"/>
                <w:sz w:val="18"/>
                <w:szCs w:val="18"/>
              </w:rPr>
            </w:pPr>
            <w:r>
              <w:rPr>
                <w:rFonts w:ascii="Times New Roman" w:hAnsi="Times New Roman"/>
                <w:sz w:val="18"/>
                <w:szCs w:val="18"/>
              </w:rPr>
              <w:t>1.90</w:t>
            </w:r>
          </w:p>
        </w:tc>
        <w:tc>
          <w:tcPr>
            <w:tcW w:w="6913" w:type="dxa"/>
            <w:vAlign w:val="center"/>
          </w:tcPr>
          <w:p>
            <w:pPr>
              <w:spacing w:line="240" w:lineRule="exact"/>
              <w:jc w:val="left"/>
              <w:rPr>
                <w:rFonts w:ascii="宋体"/>
                <w:sz w:val="18"/>
                <w:szCs w:val="18"/>
              </w:rPr>
            </w:pPr>
            <w:r>
              <w:rPr>
                <w:rFonts w:hint="eastAsia" w:ascii="宋体" w:hAnsi="宋体"/>
                <w:sz w:val="18"/>
                <w:szCs w:val="18"/>
              </w:rPr>
              <w:t>加过酒石酸后，溶液仍然浑浊（舍弃）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16" w:type="dxa"/>
            <w:vAlign w:val="center"/>
          </w:tcPr>
          <w:p>
            <w:pPr>
              <w:jc w:val="left"/>
              <w:rPr>
                <w:rFonts w:ascii="Times New Roman" w:hAnsi="Times New Roman"/>
                <w:sz w:val="18"/>
                <w:szCs w:val="18"/>
              </w:rPr>
            </w:pPr>
            <w:r>
              <w:rPr>
                <w:rFonts w:ascii="Times New Roman" w:hAnsi="Times New Roman"/>
                <w:sz w:val="18"/>
                <w:szCs w:val="18"/>
              </w:rPr>
              <w:t>3</w:t>
            </w:r>
          </w:p>
        </w:tc>
        <w:tc>
          <w:tcPr>
            <w:tcW w:w="517" w:type="dxa"/>
            <w:vAlign w:val="center"/>
          </w:tcPr>
          <w:p>
            <w:pPr>
              <w:jc w:val="left"/>
              <w:rPr>
                <w:rFonts w:ascii="Times New Roman" w:hAnsi="Times New Roman"/>
                <w:sz w:val="18"/>
                <w:szCs w:val="18"/>
              </w:rPr>
            </w:pPr>
            <w:r>
              <w:rPr>
                <w:rFonts w:ascii="Times New Roman" w:hAnsi="Times New Roman"/>
                <w:sz w:val="18"/>
                <w:szCs w:val="18"/>
              </w:rPr>
              <w:t>3#</w:t>
            </w:r>
          </w:p>
        </w:tc>
        <w:tc>
          <w:tcPr>
            <w:tcW w:w="576" w:type="dxa"/>
            <w:vAlign w:val="center"/>
          </w:tcPr>
          <w:p>
            <w:pPr>
              <w:jc w:val="left"/>
              <w:rPr>
                <w:rFonts w:ascii="Times New Roman" w:hAnsi="Times New Roman"/>
                <w:sz w:val="18"/>
                <w:szCs w:val="18"/>
              </w:rPr>
            </w:pPr>
            <w:r>
              <w:rPr>
                <w:rFonts w:ascii="Times New Roman" w:hAnsi="Times New Roman"/>
                <w:sz w:val="18"/>
                <w:szCs w:val="18"/>
              </w:rPr>
              <w:t>1.79</w:t>
            </w:r>
          </w:p>
        </w:tc>
        <w:tc>
          <w:tcPr>
            <w:tcW w:w="6913" w:type="dxa"/>
            <w:vAlign w:val="center"/>
          </w:tcPr>
          <w:p>
            <w:pPr>
              <w:jc w:val="left"/>
              <w:rPr>
                <w:rFonts w:ascii="宋体"/>
                <w:sz w:val="18"/>
                <w:szCs w:val="18"/>
              </w:rPr>
            </w:pPr>
            <w:r>
              <w:rPr>
                <w:rFonts w:hint="eastAsia" w:ascii="宋体" w:hAnsi="宋体"/>
                <w:sz w:val="18"/>
                <w:szCs w:val="18"/>
              </w:rPr>
              <w:t>当称样量为</w:t>
            </w:r>
            <w:r>
              <w:rPr>
                <w:rFonts w:ascii="Times New Roman" w:hAnsi="Times New Roman"/>
                <w:sz w:val="18"/>
                <w:szCs w:val="18"/>
              </w:rPr>
              <w:t>0.5000 g</w:t>
            </w:r>
            <w:r>
              <w:rPr>
                <w:rFonts w:hint="eastAsia" w:ascii="宋体" w:hAnsi="宋体"/>
                <w:sz w:val="18"/>
                <w:szCs w:val="18"/>
              </w:rPr>
              <w:t>时，加</w:t>
            </w:r>
            <w:r>
              <w:rPr>
                <w:rFonts w:ascii="Times New Roman" w:hAnsi="Times New Roman"/>
                <w:sz w:val="18"/>
                <w:szCs w:val="18"/>
              </w:rPr>
              <w:t>2 mL</w:t>
            </w:r>
            <w:r>
              <w:rPr>
                <w:rFonts w:hint="eastAsia" w:ascii="宋体" w:hAnsi="宋体"/>
                <w:sz w:val="18"/>
                <w:szCs w:val="18"/>
              </w:rPr>
              <w:t>高氯酸</w:t>
            </w:r>
            <w:r>
              <w:rPr>
                <w:rFonts w:ascii="Times New Roman" w:hAnsi="Times New Roman"/>
                <w:sz w:val="18"/>
                <w:szCs w:val="18"/>
              </w:rPr>
              <w:t>+2 mL</w:t>
            </w:r>
            <w:r>
              <w:rPr>
                <w:rFonts w:hint="eastAsia" w:ascii="宋体" w:hAnsi="宋体"/>
                <w:sz w:val="18"/>
                <w:szCs w:val="18"/>
              </w:rPr>
              <w:t>硫酸发烟时黑渣多，难溶解（舍弃）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16" w:type="dxa"/>
            <w:vMerge w:val="restart"/>
            <w:vAlign w:val="center"/>
          </w:tcPr>
          <w:p>
            <w:pPr>
              <w:jc w:val="left"/>
              <w:rPr>
                <w:rFonts w:ascii="Times New Roman" w:hAnsi="Times New Roman"/>
                <w:sz w:val="18"/>
                <w:szCs w:val="18"/>
              </w:rPr>
            </w:pPr>
            <w:r>
              <w:rPr>
                <w:rFonts w:ascii="Times New Roman" w:hAnsi="Times New Roman"/>
                <w:sz w:val="18"/>
                <w:szCs w:val="18"/>
              </w:rPr>
              <w:t>4</w:t>
            </w:r>
          </w:p>
        </w:tc>
        <w:tc>
          <w:tcPr>
            <w:tcW w:w="517" w:type="dxa"/>
            <w:vAlign w:val="center"/>
          </w:tcPr>
          <w:p>
            <w:pPr>
              <w:jc w:val="left"/>
              <w:rPr>
                <w:rFonts w:ascii="Times New Roman" w:hAnsi="Times New Roman"/>
                <w:sz w:val="18"/>
                <w:szCs w:val="18"/>
              </w:rPr>
            </w:pPr>
            <w:r>
              <w:rPr>
                <w:rFonts w:ascii="Times New Roman" w:hAnsi="Times New Roman"/>
                <w:sz w:val="18"/>
                <w:szCs w:val="18"/>
              </w:rPr>
              <w:t>2#</w:t>
            </w:r>
          </w:p>
        </w:tc>
        <w:tc>
          <w:tcPr>
            <w:tcW w:w="576" w:type="dxa"/>
            <w:vAlign w:val="center"/>
          </w:tcPr>
          <w:p>
            <w:pPr>
              <w:jc w:val="left"/>
              <w:rPr>
                <w:rFonts w:ascii="Times New Roman" w:hAnsi="Times New Roman"/>
                <w:sz w:val="18"/>
                <w:szCs w:val="18"/>
              </w:rPr>
            </w:pPr>
            <w:r>
              <w:rPr>
                <w:rFonts w:ascii="Times New Roman" w:hAnsi="Times New Roman"/>
                <w:sz w:val="18"/>
                <w:szCs w:val="18"/>
              </w:rPr>
              <w:t>0.98</w:t>
            </w:r>
          </w:p>
        </w:tc>
        <w:tc>
          <w:tcPr>
            <w:tcW w:w="6913" w:type="dxa"/>
            <w:vMerge w:val="restart"/>
            <w:vAlign w:val="center"/>
          </w:tcPr>
          <w:p>
            <w:pPr>
              <w:jc w:val="left"/>
              <w:rPr>
                <w:rFonts w:ascii="宋体"/>
                <w:sz w:val="18"/>
                <w:szCs w:val="18"/>
              </w:rPr>
            </w:pPr>
            <w:r>
              <w:rPr>
                <w:rFonts w:hint="eastAsia" w:ascii="宋体" w:hAnsi="宋体"/>
                <w:sz w:val="18"/>
                <w:szCs w:val="18"/>
              </w:rPr>
              <w:t>加</w:t>
            </w:r>
            <w:r>
              <w:rPr>
                <w:rFonts w:ascii="Times New Roman" w:hAnsi="Times New Roman"/>
                <w:sz w:val="18"/>
                <w:szCs w:val="18"/>
              </w:rPr>
              <w:t>5 mL</w:t>
            </w:r>
            <w:r>
              <w:rPr>
                <w:rFonts w:hint="eastAsia" w:ascii="宋体" w:hAnsi="宋体"/>
                <w:sz w:val="18"/>
                <w:szCs w:val="18"/>
              </w:rPr>
              <w:t>高氯酸</w:t>
            </w:r>
            <w:r>
              <w:rPr>
                <w:rFonts w:ascii="Times New Roman" w:hAnsi="Times New Roman"/>
                <w:sz w:val="18"/>
                <w:szCs w:val="18"/>
              </w:rPr>
              <w:t>+2 mL</w:t>
            </w:r>
            <w:r>
              <w:rPr>
                <w:rFonts w:hint="eastAsia" w:ascii="宋体" w:hAnsi="宋体"/>
                <w:sz w:val="18"/>
                <w:szCs w:val="18"/>
              </w:rPr>
              <w:t>硫酸发烟数分钟后溶液清亮，最后硫酸剩余量小于</w:t>
            </w:r>
            <w:r>
              <w:rPr>
                <w:rFonts w:ascii="Times New Roman" w:hAnsi="Times New Roman"/>
                <w:sz w:val="18"/>
                <w:szCs w:val="18"/>
              </w:rPr>
              <w:t>0.5 mL</w:t>
            </w:r>
            <w:r>
              <w:rPr>
                <w:rFonts w:hint="eastAsia" w:ascii="宋体" w:hAnsi="宋体"/>
                <w:sz w:val="18"/>
                <w:szCs w:val="18"/>
              </w:rPr>
              <w:t>,加盐酸煮沸后溶液清亮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16" w:type="dxa"/>
            <w:vMerge w:val="continue"/>
            <w:vAlign w:val="center"/>
          </w:tcPr>
          <w:p>
            <w:pPr>
              <w:jc w:val="left"/>
              <w:rPr>
                <w:rFonts w:ascii="Times New Roman" w:hAnsi="Times New Roman"/>
              </w:rPr>
            </w:pPr>
          </w:p>
        </w:tc>
        <w:tc>
          <w:tcPr>
            <w:tcW w:w="517" w:type="dxa"/>
            <w:vAlign w:val="center"/>
          </w:tcPr>
          <w:p>
            <w:pPr>
              <w:jc w:val="left"/>
              <w:rPr>
                <w:rFonts w:ascii="Times New Roman" w:hAnsi="Times New Roman"/>
                <w:sz w:val="18"/>
                <w:szCs w:val="18"/>
              </w:rPr>
            </w:pPr>
            <w:r>
              <w:rPr>
                <w:rFonts w:ascii="Times New Roman" w:hAnsi="Times New Roman"/>
                <w:sz w:val="18"/>
                <w:szCs w:val="18"/>
              </w:rPr>
              <w:t>3#</w:t>
            </w:r>
          </w:p>
        </w:tc>
        <w:tc>
          <w:tcPr>
            <w:tcW w:w="576" w:type="dxa"/>
            <w:vAlign w:val="center"/>
          </w:tcPr>
          <w:p>
            <w:pPr>
              <w:jc w:val="left"/>
              <w:rPr>
                <w:rFonts w:ascii="Times New Roman" w:hAnsi="Times New Roman"/>
                <w:sz w:val="18"/>
                <w:szCs w:val="18"/>
              </w:rPr>
            </w:pPr>
            <w:r>
              <w:rPr>
                <w:rFonts w:ascii="Times New Roman" w:hAnsi="Times New Roman"/>
                <w:sz w:val="18"/>
                <w:szCs w:val="18"/>
              </w:rPr>
              <w:t>2.23</w:t>
            </w:r>
          </w:p>
        </w:tc>
        <w:tc>
          <w:tcPr>
            <w:tcW w:w="6913" w:type="dxa"/>
            <w:vMerge w:val="continue"/>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16" w:type="dxa"/>
            <w:vMerge w:val="continue"/>
            <w:vAlign w:val="center"/>
          </w:tcPr>
          <w:p>
            <w:pPr>
              <w:jc w:val="left"/>
              <w:rPr>
                <w:rFonts w:ascii="Times New Roman" w:hAnsi="Times New Roman"/>
                <w:sz w:val="18"/>
                <w:szCs w:val="18"/>
              </w:rPr>
            </w:pPr>
          </w:p>
        </w:tc>
        <w:tc>
          <w:tcPr>
            <w:tcW w:w="517" w:type="dxa"/>
            <w:vAlign w:val="center"/>
          </w:tcPr>
          <w:p>
            <w:pPr>
              <w:jc w:val="left"/>
              <w:rPr>
                <w:rFonts w:ascii="Times New Roman" w:hAnsi="Times New Roman"/>
                <w:sz w:val="18"/>
                <w:szCs w:val="18"/>
              </w:rPr>
            </w:pPr>
            <w:r>
              <w:rPr>
                <w:rFonts w:ascii="Times New Roman" w:hAnsi="Times New Roman"/>
                <w:sz w:val="18"/>
                <w:szCs w:val="18"/>
              </w:rPr>
              <w:t>4#</w:t>
            </w:r>
          </w:p>
        </w:tc>
        <w:tc>
          <w:tcPr>
            <w:tcW w:w="576" w:type="dxa"/>
            <w:vAlign w:val="center"/>
          </w:tcPr>
          <w:p>
            <w:pPr>
              <w:jc w:val="left"/>
              <w:rPr>
                <w:rFonts w:ascii="Times New Roman" w:hAnsi="Times New Roman"/>
                <w:sz w:val="18"/>
                <w:szCs w:val="18"/>
              </w:rPr>
            </w:pPr>
            <w:r>
              <w:rPr>
                <w:rFonts w:ascii="Times New Roman" w:hAnsi="Times New Roman"/>
                <w:sz w:val="18"/>
                <w:szCs w:val="18"/>
              </w:rPr>
              <w:t>3.57</w:t>
            </w:r>
          </w:p>
        </w:tc>
        <w:tc>
          <w:tcPr>
            <w:tcW w:w="6913" w:type="dxa"/>
            <w:vMerge w:val="continue"/>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16" w:type="dxa"/>
            <w:vMerge w:val="restart"/>
            <w:vAlign w:val="center"/>
          </w:tcPr>
          <w:p>
            <w:pPr>
              <w:jc w:val="left"/>
              <w:rPr>
                <w:rFonts w:ascii="Times New Roman" w:hAnsi="Times New Roman"/>
                <w:sz w:val="18"/>
                <w:szCs w:val="18"/>
              </w:rPr>
            </w:pPr>
            <w:r>
              <w:rPr>
                <w:rFonts w:ascii="Times New Roman" w:hAnsi="Times New Roman"/>
                <w:sz w:val="18"/>
                <w:szCs w:val="18"/>
              </w:rPr>
              <w:t>5</w:t>
            </w:r>
          </w:p>
        </w:tc>
        <w:tc>
          <w:tcPr>
            <w:tcW w:w="517" w:type="dxa"/>
            <w:vAlign w:val="center"/>
          </w:tcPr>
          <w:p>
            <w:pPr>
              <w:jc w:val="left"/>
              <w:rPr>
                <w:rFonts w:ascii="Times New Roman" w:hAnsi="Times New Roman"/>
                <w:sz w:val="18"/>
                <w:szCs w:val="18"/>
              </w:rPr>
            </w:pPr>
            <w:r>
              <w:rPr>
                <w:rFonts w:ascii="Times New Roman" w:hAnsi="Times New Roman"/>
                <w:sz w:val="18"/>
                <w:szCs w:val="18"/>
              </w:rPr>
              <w:t>1#</w:t>
            </w:r>
          </w:p>
        </w:tc>
        <w:tc>
          <w:tcPr>
            <w:tcW w:w="576" w:type="dxa"/>
            <w:vAlign w:val="center"/>
          </w:tcPr>
          <w:p>
            <w:pPr>
              <w:jc w:val="left"/>
              <w:rPr>
                <w:rFonts w:ascii="Times New Roman" w:hAnsi="Times New Roman"/>
                <w:sz w:val="18"/>
                <w:szCs w:val="18"/>
              </w:rPr>
            </w:pPr>
            <w:r>
              <w:rPr>
                <w:rFonts w:ascii="Times New Roman" w:hAnsi="Times New Roman"/>
                <w:sz w:val="18"/>
                <w:szCs w:val="18"/>
              </w:rPr>
              <w:t>0.09</w:t>
            </w:r>
          </w:p>
        </w:tc>
        <w:tc>
          <w:tcPr>
            <w:tcW w:w="6913" w:type="dxa"/>
            <w:vMerge w:val="restart"/>
            <w:vAlign w:val="center"/>
          </w:tcPr>
          <w:p>
            <w:pPr>
              <w:spacing w:line="240" w:lineRule="exact"/>
              <w:jc w:val="left"/>
              <w:rPr>
                <w:rFonts w:ascii="宋体"/>
                <w:sz w:val="18"/>
                <w:szCs w:val="18"/>
              </w:rPr>
            </w:pPr>
            <w:r>
              <w:rPr>
                <w:rFonts w:hint="eastAsia" w:ascii="宋体" w:hAnsi="宋体"/>
                <w:sz w:val="18"/>
                <w:szCs w:val="18"/>
              </w:rPr>
              <w:t>只加</w:t>
            </w:r>
            <w:r>
              <w:rPr>
                <w:rFonts w:ascii="Times New Roman" w:hAnsi="Times New Roman"/>
                <w:sz w:val="18"/>
                <w:szCs w:val="18"/>
              </w:rPr>
              <w:t>5 mL</w:t>
            </w:r>
            <w:r>
              <w:rPr>
                <w:rFonts w:hint="eastAsia" w:ascii="宋体" w:hAnsi="宋体"/>
                <w:sz w:val="18"/>
                <w:szCs w:val="18"/>
              </w:rPr>
              <w:t>高氯酸发烟，加盖表面皿发烟数分钟后，溶液清亮，</w:t>
            </w:r>
            <w:r>
              <w:rPr>
                <w:rFonts w:ascii="Times New Roman" w:hAnsi="Times New Roman"/>
                <w:sz w:val="18"/>
                <w:szCs w:val="18"/>
              </w:rPr>
              <w:t>+2 m</w:t>
            </w:r>
            <w:r>
              <w:rPr>
                <w:rFonts w:ascii="宋体" w:hAnsi="宋体" w:cs="宋体"/>
                <w:sz w:val="18"/>
                <w:szCs w:val="18"/>
              </w:rPr>
              <w:t>L</w:t>
            </w:r>
            <w:r>
              <w:rPr>
                <w:rFonts w:hint="eastAsia" w:ascii="宋体" w:hAnsi="宋体" w:cs="宋体"/>
                <w:sz w:val="18"/>
                <w:szCs w:val="18"/>
              </w:rPr>
              <w:t>盐酸</w:t>
            </w:r>
            <w:r>
              <w:rPr>
                <w:rFonts w:ascii="Times New Roman" w:hAnsi="Times New Roman"/>
                <w:sz w:val="18"/>
                <w:szCs w:val="18"/>
              </w:rPr>
              <w:t>+2 mL</w:t>
            </w:r>
            <w:r>
              <w:rPr>
                <w:rFonts w:hint="eastAsia" w:ascii="宋体" w:hAnsi="宋体" w:cs="宋体"/>
                <w:sz w:val="18"/>
                <w:szCs w:val="18"/>
              </w:rPr>
              <w:t>氢溴酸排砷、锑、锡时</w:t>
            </w:r>
            <w:r>
              <w:rPr>
                <w:rFonts w:ascii="Times New Roman" w:hAnsi="Times New Roman"/>
                <w:sz w:val="18"/>
                <w:szCs w:val="18"/>
              </w:rPr>
              <w:t>1#</w:t>
            </w:r>
            <w:r>
              <w:rPr>
                <w:rFonts w:hint="eastAsia" w:ascii="宋体" w:hAnsi="宋体" w:cs="宋体"/>
                <w:sz w:val="18"/>
                <w:szCs w:val="18"/>
              </w:rPr>
              <w:t>样品溶液易飞溅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16" w:type="dxa"/>
            <w:vMerge w:val="continue"/>
            <w:vAlign w:val="center"/>
          </w:tcPr>
          <w:p>
            <w:pPr>
              <w:jc w:val="left"/>
              <w:rPr>
                <w:rFonts w:ascii="Times New Roman" w:hAnsi="Times New Roman"/>
              </w:rPr>
            </w:pPr>
          </w:p>
        </w:tc>
        <w:tc>
          <w:tcPr>
            <w:tcW w:w="517" w:type="dxa"/>
            <w:vAlign w:val="center"/>
          </w:tcPr>
          <w:p>
            <w:pPr>
              <w:jc w:val="left"/>
              <w:rPr>
                <w:rFonts w:ascii="Times New Roman" w:hAnsi="Times New Roman"/>
                <w:sz w:val="18"/>
                <w:szCs w:val="18"/>
              </w:rPr>
            </w:pPr>
            <w:r>
              <w:rPr>
                <w:rFonts w:ascii="Times New Roman" w:hAnsi="Times New Roman"/>
                <w:sz w:val="18"/>
                <w:szCs w:val="18"/>
              </w:rPr>
              <w:t>2#</w:t>
            </w:r>
          </w:p>
        </w:tc>
        <w:tc>
          <w:tcPr>
            <w:tcW w:w="576" w:type="dxa"/>
            <w:vAlign w:val="center"/>
          </w:tcPr>
          <w:p>
            <w:pPr>
              <w:jc w:val="left"/>
              <w:rPr>
                <w:rFonts w:ascii="Times New Roman" w:hAnsi="Times New Roman"/>
                <w:sz w:val="18"/>
                <w:szCs w:val="18"/>
              </w:rPr>
            </w:pPr>
            <w:r>
              <w:rPr>
                <w:rFonts w:ascii="Times New Roman" w:hAnsi="Times New Roman"/>
                <w:sz w:val="18"/>
                <w:szCs w:val="18"/>
              </w:rPr>
              <w:t>0.96</w:t>
            </w:r>
          </w:p>
        </w:tc>
        <w:tc>
          <w:tcPr>
            <w:tcW w:w="6913" w:type="dxa"/>
            <w:vMerge w:val="continue"/>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16" w:type="dxa"/>
            <w:vMerge w:val="continue"/>
            <w:vAlign w:val="center"/>
          </w:tcPr>
          <w:p>
            <w:pPr>
              <w:jc w:val="left"/>
              <w:rPr>
                <w:rFonts w:ascii="Times New Roman" w:hAnsi="Times New Roman"/>
                <w:sz w:val="18"/>
                <w:szCs w:val="18"/>
              </w:rPr>
            </w:pPr>
          </w:p>
        </w:tc>
        <w:tc>
          <w:tcPr>
            <w:tcW w:w="517" w:type="dxa"/>
            <w:vAlign w:val="center"/>
          </w:tcPr>
          <w:p>
            <w:pPr>
              <w:jc w:val="left"/>
              <w:rPr>
                <w:rFonts w:ascii="Times New Roman" w:hAnsi="Times New Roman"/>
                <w:sz w:val="18"/>
                <w:szCs w:val="18"/>
              </w:rPr>
            </w:pPr>
            <w:r>
              <w:rPr>
                <w:rFonts w:ascii="Times New Roman" w:hAnsi="Times New Roman"/>
                <w:sz w:val="18"/>
                <w:szCs w:val="18"/>
              </w:rPr>
              <w:t>3#</w:t>
            </w:r>
          </w:p>
        </w:tc>
        <w:tc>
          <w:tcPr>
            <w:tcW w:w="576" w:type="dxa"/>
            <w:vAlign w:val="center"/>
          </w:tcPr>
          <w:p>
            <w:pPr>
              <w:jc w:val="left"/>
              <w:rPr>
                <w:rFonts w:ascii="Times New Roman" w:hAnsi="Times New Roman"/>
                <w:sz w:val="18"/>
                <w:szCs w:val="18"/>
              </w:rPr>
            </w:pPr>
            <w:r>
              <w:rPr>
                <w:rFonts w:ascii="Times New Roman" w:hAnsi="Times New Roman"/>
                <w:sz w:val="18"/>
                <w:szCs w:val="18"/>
              </w:rPr>
              <w:t>2.07</w:t>
            </w:r>
          </w:p>
        </w:tc>
        <w:tc>
          <w:tcPr>
            <w:tcW w:w="6913" w:type="dxa"/>
            <w:vMerge w:val="continue"/>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16" w:type="dxa"/>
            <w:vMerge w:val="continue"/>
            <w:vAlign w:val="center"/>
          </w:tcPr>
          <w:p>
            <w:pPr>
              <w:jc w:val="left"/>
              <w:rPr>
                <w:rFonts w:ascii="Times New Roman" w:hAnsi="Times New Roman"/>
                <w:sz w:val="18"/>
                <w:szCs w:val="18"/>
              </w:rPr>
            </w:pPr>
          </w:p>
        </w:tc>
        <w:tc>
          <w:tcPr>
            <w:tcW w:w="517" w:type="dxa"/>
            <w:vAlign w:val="center"/>
          </w:tcPr>
          <w:p>
            <w:pPr>
              <w:jc w:val="left"/>
              <w:rPr>
                <w:rFonts w:ascii="Times New Roman" w:hAnsi="Times New Roman"/>
                <w:sz w:val="18"/>
                <w:szCs w:val="18"/>
              </w:rPr>
            </w:pPr>
            <w:r>
              <w:rPr>
                <w:rFonts w:ascii="Times New Roman" w:hAnsi="Times New Roman"/>
                <w:sz w:val="18"/>
                <w:szCs w:val="18"/>
              </w:rPr>
              <w:t>5#</w:t>
            </w:r>
          </w:p>
        </w:tc>
        <w:tc>
          <w:tcPr>
            <w:tcW w:w="576" w:type="dxa"/>
            <w:vAlign w:val="center"/>
          </w:tcPr>
          <w:p>
            <w:pPr>
              <w:jc w:val="left"/>
              <w:rPr>
                <w:rFonts w:ascii="Times New Roman" w:hAnsi="Times New Roman"/>
                <w:sz w:val="18"/>
                <w:szCs w:val="18"/>
              </w:rPr>
            </w:pPr>
            <w:r>
              <w:rPr>
                <w:rFonts w:ascii="Times New Roman" w:hAnsi="Times New Roman"/>
                <w:sz w:val="18"/>
                <w:szCs w:val="18"/>
              </w:rPr>
              <w:t>4.61</w:t>
            </w:r>
          </w:p>
        </w:tc>
        <w:tc>
          <w:tcPr>
            <w:tcW w:w="6913" w:type="dxa"/>
            <w:vMerge w:val="continue"/>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16" w:type="dxa"/>
            <w:vMerge w:val="restart"/>
            <w:vAlign w:val="center"/>
          </w:tcPr>
          <w:p>
            <w:pPr>
              <w:jc w:val="left"/>
              <w:rPr>
                <w:rFonts w:ascii="Times New Roman" w:hAnsi="Times New Roman"/>
                <w:sz w:val="18"/>
                <w:szCs w:val="18"/>
              </w:rPr>
            </w:pPr>
            <w:r>
              <w:rPr>
                <w:rFonts w:ascii="Times New Roman" w:hAnsi="Times New Roman"/>
                <w:sz w:val="18"/>
                <w:szCs w:val="18"/>
              </w:rPr>
              <w:t>6</w:t>
            </w:r>
          </w:p>
        </w:tc>
        <w:tc>
          <w:tcPr>
            <w:tcW w:w="517" w:type="dxa"/>
            <w:vAlign w:val="center"/>
          </w:tcPr>
          <w:p>
            <w:pPr>
              <w:jc w:val="left"/>
              <w:rPr>
                <w:rFonts w:ascii="Times New Roman" w:hAnsi="Times New Roman"/>
                <w:sz w:val="18"/>
                <w:szCs w:val="18"/>
              </w:rPr>
            </w:pPr>
            <w:r>
              <w:rPr>
                <w:rFonts w:ascii="Times New Roman" w:hAnsi="Times New Roman"/>
                <w:sz w:val="18"/>
                <w:szCs w:val="18"/>
              </w:rPr>
              <w:t>1#</w:t>
            </w:r>
          </w:p>
        </w:tc>
        <w:tc>
          <w:tcPr>
            <w:tcW w:w="576" w:type="dxa"/>
            <w:vAlign w:val="center"/>
          </w:tcPr>
          <w:p>
            <w:pPr>
              <w:jc w:val="left"/>
              <w:rPr>
                <w:rFonts w:ascii="Times New Roman" w:hAnsi="Times New Roman"/>
                <w:sz w:val="18"/>
                <w:szCs w:val="18"/>
              </w:rPr>
            </w:pPr>
            <w:r>
              <w:rPr>
                <w:rFonts w:ascii="Times New Roman" w:hAnsi="Times New Roman"/>
                <w:sz w:val="18"/>
                <w:szCs w:val="18"/>
              </w:rPr>
              <w:t>0.09</w:t>
            </w:r>
          </w:p>
        </w:tc>
        <w:tc>
          <w:tcPr>
            <w:tcW w:w="6913" w:type="dxa"/>
            <w:vMerge w:val="restart"/>
            <w:vAlign w:val="center"/>
          </w:tcPr>
          <w:p>
            <w:pPr>
              <w:jc w:val="left"/>
              <w:rPr>
                <w:rFonts w:ascii="宋体"/>
                <w:sz w:val="18"/>
                <w:szCs w:val="18"/>
              </w:rPr>
            </w:pPr>
            <w:r>
              <w:rPr>
                <w:rFonts w:hint="eastAsia" w:ascii="宋体" w:hAnsi="宋体"/>
                <w:sz w:val="18"/>
                <w:szCs w:val="18"/>
              </w:rPr>
              <w:t>只加</w:t>
            </w:r>
            <w:r>
              <w:rPr>
                <w:rFonts w:ascii="Times New Roman" w:hAnsi="Times New Roman"/>
                <w:sz w:val="18"/>
                <w:szCs w:val="18"/>
              </w:rPr>
              <w:t>5 mL</w:t>
            </w:r>
            <w:r>
              <w:rPr>
                <w:rFonts w:hint="eastAsia" w:ascii="宋体" w:hAnsi="宋体"/>
                <w:sz w:val="18"/>
                <w:szCs w:val="18"/>
              </w:rPr>
              <w:t>高氯酸，加盖表面皿溶解数分钟，补加数滴硝酸后，溶液清亮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16" w:type="dxa"/>
            <w:vMerge w:val="continue"/>
            <w:vAlign w:val="center"/>
          </w:tcPr>
          <w:p>
            <w:pPr>
              <w:jc w:val="left"/>
              <w:rPr>
                <w:rFonts w:ascii="Times New Roman" w:hAnsi="Times New Roman"/>
              </w:rPr>
            </w:pPr>
          </w:p>
        </w:tc>
        <w:tc>
          <w:tcPr>
            <w:tcW w:w="517" w:type="dxa"/>
            <w:vAlign w:val="center"/>
          </w:tcPr>
          <w:p>
            <w:pPr>
              <w:jc w:val="left"/>
              <w:rPr>
                <w:rFonts w:ascii="Times New Roman" w:hAnsi="Times New Roman"/>
                <w:sz w:val="18"/>
                <w:szCs w:val="18"/>
              </w:rPr>
            </w:pPr>
            <w:r>
              <w:rPr>
                <w:rFonts w:ascii="Times New Roman" w:hAnsi="Times New Roman"/>
                <w:sz w:val="18"/>
                <w:szCs w:val="18"/>
              </w:rPr>
              <w:t>2#</w:t>
            </w:r>
          </w:p>
        </w:tc>
        <w:tc>
          <w:tcPr>
            <w:tcW w:w="576" w:type="dxa"/>
            <w:vAlign w:val="center"/>
          </w:tcPr>
          <w:p>
            <w:pPr>
              <w:jc w:val="left"/>
              <w:rPr>
                <w:rFonts w:ascii="Times New Roman" w:hAnsi="Times New Roman"/>
                <w:sz w:val="18"/>
                <w:szCs w:val="18"/>
              </w:rPr>
            </w:pPr>
            <w:r>
              <w:rPr>
                <w:rFonts w:ascii="Times New Roman" w:hAnsi="Times New Roman"/>
                <w:sz w:val="18"/>
                <w:szCs w:val="18"/>
              </w:rPr>
              <w:t>0.96</w:t>
            </w:r>
          </w:p>
        </w:tc>
        <w:tc>
          <w:tcPr>
            <w:tcW w:w="6913" w:type="dxa"/>
            <w:vMerge w:val="continue"/>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16" w:type="dxa"/>
            <w:vMerge w:val="continue"/>
            <w:vAlign w:val="center"/>
          </w:tcPr>
          <w:p>
            <w:pPr>
              <w:jc w:val="left"/>
              <w:rPr>
                <w:rFonts w:ascii="Times New Roman" w:hAnsi="Times New Roman"/>
                <w:sz w:val="18"/>
                <w:szCs w:val="18"/>
              </w:rPr>
            </w:pPr>
          </w:p>
        </w:tc>
        <w:tc>
          <w:tcPr>
            <w:tcW w:w="517" w:type="dxa"/>
            <w:vAlign w:val="center"/>
          </w:tcPr>
          <w:p>
            <w:pPr>
              <w:jc w:val="left"/>
              <w:rPr>
                <w:rFonts w:ascii="Times New Roman" w:hAnsi="Times New Roman"/>
                <w:sz w:val="18"/>
                <w:szCs w:val="18"/>
              </w:rPr>
            </w:pPr>
            <w:r>
              <w:rPr>
                <w:rFonts w:ascii="Times New Roman" w:hAnsi="Times New Roman"/>
                <w:sz w:val="18"/>
                <w:szCs w:val="18"/>
              </w:rPr>
              <w:t>3#</w:t>
            </w:r>
          </w:p>
        </w:tc>
        <w:tc>
          <w:tcPr>
            <w:tcW w:w="576" w:type="dxa"/>
            <w:vAlign w:val="center"/>
          </w:tcPr>
          <w:p>
            <w:pPr>
              <w:jc w:val="left"/>
              <w:rPr>
                <w:rFonts w:ascii="Times New Roman" w:hAnsi="Times New Roman"/>
                <w:sz w:val="18"/>
                <w:szCs w:val="18"/>
              </w:rPr>
            </w:pPr>
            <w:r>
              <w:rPr>
                <w:rFonts w:ascii="Times New Roman" w:hAnsi="Times New Roman"/>
                <w:sz w:val="18"/>
                <w:szCs w:val="18"/>
              </w:rPr>
              <w:t>2.00</w:t>
            </w:r>
          </w:p>
        </w:tc>
        <w:tc>
          <w:tcPr>
            <w:tcW w:w="6913" w:type="dxa"/>
            <w:vMerge w:val="continue"/>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16" w:type="dxa"/>
            <w:vMerge w:val="continue"/>
            <w:vAlign w:val="center"/>
          </w:tcPr>
          <w:p>
            <w:pPr>
              <w:jc w:val="left"/>
              <w:rPr>
                <w:rFonts w:ascii="Times New Roman" w:hAnsi="Times New Roman"/>
                <w:sz w:val="18"/>
                <w:szCs w:val="18"/>
              </w:rPr>
            </w:pPr>
          </w:p>
        </w:tc>
        <w:tc>
          <w:tcPr>
            <w:tcW w:w="517" w:type="dxa"/>
            <w:vAlign w:val="center"/>
          </w:tcPr>
          <w:p>
            <w:pPr>
              <w:jc w:val="left"/>
              <w:rPr>
                <w:rFonts w:ascii="Times New Roman" w:hAnsi="Times New Roman"/>
                <w:sz w:val="18"/>
                <w:szCs w:val="18"/>
              </w:rPr>
            </w:pPr>
            <w:r>
              <w:rPr>
                <w:rFonts w:ascii="Times New Roman" w:hAnsi="Times New Roman"/>
                <w:sz w:val="18"/>
                <w:szCs w:val="18"/>
              </w:rPr>
              <w:t>4#</w:t>
            </w:r>
          </w:p>
        </w:tc>
        <w:tc>
          <w:tcPr>
            <w:tcW w:w="576" w:type="dxa"/>
            <w:vAlign w:val="center"/>
          </w:tcPr>
          <w:p>
            <w:pPr>
              <w:jc w:val="left"/>
              <w:rPr>
                <w:rFonts w:ascii="Times New Roman" w:hAnsi="Times New Roman"/>
                <w:sz w:val="18"/>
                <w:szCs w:val="18"/>
              </w:rPr>
            </w:pPr>
            <w:r>
              <w:rPr>
                <w:rFonts w:ascii="Times New Roman" w:hAnsi="Times New Roman"/>
                <w:sz w:val="18"/>
                <w:szCs w:val="18"/>
              </w:rPr>
              <w:t>3.48</w:t>
            </w:r>
          </w:p>
        </w:tc>
        <w:tc>
          <w:tcPr>
            <w:tcW w:w="6913" w:type="dxa"/>
            <w:vMerge w:val="continue"/>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16" w:type="dxa"/>
            <w:vMerge w:val="continue"/>
            <w:vAlign w:val="center"/>
          </w:tcPr>
          <w:p>
            <w:pPr>
              <w:jc w:val="left"/>
              <w:rPr>
                <w:rFonts w:ascii="Times New Roman" w:hAnsi="Times New Roman"/>
                <w:sz w:val="18"/>
                <w:szCs w:val="18"/>
              </w:rPr>
            </w:pPr>
          </w:p>
        </w:tc>
        <w:tc>
          <w:tcPr>
            <w:tcW w:w="517" w:type="dxa"/>
            <w:vAlign w:val="center"/>
          </w:tcPr>
          <w:p>
            <w:pPr>
              <w:jc w:val="left"/>
              <w:rPr>
                <w:rFonts w:ascii="Times New Roman" w:hAnsi="Times New Roman"/>
                <w:sz w:val="18"/>
                <w:szCs w:val="18"/>
              </w:rPr>
            </w:pPr>
            <w:r>
              <w:rPr>
                <w:rFonts w:ascii="Times New Roman" w:hAnsi="Times New Roman"/>
                <w:sz w:val="18"/>
                <w:szCs w:val="18"/>
              </w:rPr>
              <w:t>5#</w:t>
            </w:r>
          </w:p>
        </w:tc>
        <w:tc>
          <w:tcPr>
            <w:tcW w:w="576" w:type="dxa"/>
            <w:vAlign w:val="center"/>
          </w:tcPr>
          <w:p>
            <w:pPr>
              <w:jc w:val="left"/>
              <w:rPr>
                <w:rFonts w:ascii="Times New Roman" w:hAnsi="Times New Roman"/>
                <w:sz w:val="18"/>
                <w:szCs w:val="18"/>
              </w:rPr>
            </w:pPr>
            <w:r>
              <w:rPr>
                <w:rFonts w:ascii="Times New Roman" w:hAnsi="Times New Roman"/>
                <w:sz w:val="18"/>
                <w:szCs w:val="18"/>
              </w:rPr>
              <w:t>4.77</w:t>
            </w:r>
          </w:p>
        </w:tc>
        <w:tc>
          <w:tcPr>
            <w:tcW w:w="6913" w:type="dxa"/>
            <w:vMerge w:val="continue"/>
            <w:vAlign w:val="center"/>
          </w:tcPr>
          <w:p>
            <w:pPr>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vAlign w:val="center"/>
          </w:tcPr>
          <w:p>
            <w:pPr>
              <w:jc w:val="left"/>
              <w:rPr>
                <w:rFonts w:ascii="Times New Roman" w:hAnsi="Times New Roman"/>
                <w:sz w:val="18"/>
                <w:szCs w:val="18"/>
              </w:rPr>
            </w:pPr>
            <w:r>
              <w:rPr>
                <w:rFonts w:ascii="Times New Roman" w:hAnsi="Times New Roman"/>
                <w:sz w:val="18"/>
                <w:szCs w:val="18"/>
              </w:rPr>
              <w:t>7</w:t>
            </w:r>
          </w:p>
        </w:tc>
        <w:tc>
          <w:tcPr>
            <w:tcW w:w="517" w:type="dxa"/>
            <w:vAlign w:val="center"/>
          </w:tcPr>
          <w:p>
            <w:pPr>
              <w:jc w:val="left"/>
              <w:rPr>
                <w:rFonts w:ascii="Times New Roman" w:hAnsi="Times New Roman"/>
                <w:sz w:val="18"/>
                <w:szCs w:val="18"/>
              </w:rPr>
            </w:pPr>
            <w:r>
              <w:rPr>
                <w:rFonts w:ascii="Times New Roman" w:hAnsi="Times New Roman"/>
                <w:sz w:val="18"/>
                <w:szCs w:val="18"/>
              </w:rPr>
              <w:t>3#</w:t>
            </w:r>
          </w:p>
        </w:tc>
        <w:tc>
          <w:tcPr>
            <w:tcW w:w="576" w:type="dxa"/>
            <w:vAlign w:val="center"/>
          </w:tcPr>
          <w:p>
            <w:pPr>
              <w:jc w:val="left"/>
              <w:rPr>
                <w:rFonts w:ascii="Times New Roman" w:hAnsi="Times New Roman"/>
                <w:sz w:val="18"/>
                <w:szCs w:val="18"/>
              </w:rPr>
            </w:pPr>
            <w:r>
              <w:rPr>
                <w:rFonts w:ascii="Times New Roman" w:hAnsi="Times New Roman"/>
                <w:sz w:val="18"/>
                <w:szCs w:val="18"/>
              </w:rPr>
              <w:t>1.96</w:t>
            </w:r>
          </w:p>
        </w:tc>
        <w:tc>
          <w:tcPr>
            <w:tcW w:w="6913" w:type="dxa"/>
            <w:vAlign w:val="center"/>
          </w:tcPr>
          <w:p>
            <w:pPr>
              <w:jc w:val="left"/>
              <w:rPr>
                <w:rFonts w:ascii="宋体"/>
                <w:sz w:val="18"/>
                <w:szCs w:val="18"/>
              </w:rPr>
            </w:pPr>
            <w:r>
              <w:rPr>
                <w:rFonts w:hint="eastAsia" w:ascii="宋体" w:hAnsi="宋体"/>
                <w:sz w:val="18"/>
                <w:szCs w:val="18"/>
              </w:rPr>
              <w:t>盐酸、氢氟酸、硝酸一起加，烧杯壁上有黑色漂浮物(舍弃）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vAlign w:val="center"/>
          </w:tcPr>
          <w:p>
            <w:pPr>
              <w:jc w:val="left"/>
              <w:rPr>
                <w:rFonts w:ascii="Times New Roman" w:hAnsi="Times New Roman"/>
                <w:sz w:val="18"/>
                <w:szCs w:val="18"/>
              </w:rPr>
            </w:pPr>
            <w:r>
              <w:rPr>
                <w:rFonts w:ascii="Times New Roman" w:hAnsi="Times New Roman"/>
                <w:sz w:val="18"/>
                <w:szCs w:val="18"/>
              </w:rPr>
              <w:t>8</w:t>
            </w:r>
          </w:p>
        </w:tc>
        <w:tc>
          <w:tcPr>
            <w:tcW w:w="517" w:type="dxa"/>
            <w:vAlign w:val="center"/>
          </w:tcPr>
          <w:p>
            <w:pPr>
              <w:jc w:val="left"/>
              <w:rPr>
                <w:rFonts w:ascii="Times New Roman" w:hAnsi="Times New Roman"/>
                <w:sz w:val="18"/>
                <w:szCs w:val="18"/>
              </w:rPr>
            </w:pPr>
            <w:r>
              <w:rPr>
                <w:rFonts w:ascii="Times New Roman" w:hAnsi="Times New Roman"/>
                <w:sz w:val="18"/>
                <w:szCs w:val="18"/>
              </w:rPr>
              <w:t>3#</w:t>
            </w:r>
          </w:p>
        </w:tc>
        <w:tc>
          <w:tcPr>
            <w:tcW w:w="576" w:type="dxa"/>
            <w:vAlign w:val="center"/>
          </w:tcPr>
          <w:p>
            <w:pPr>
              <w:jc w:val="left"/>
              <w:rPr>
                <w:rFonts w:ascii="Times New Roman" w:hAnsi="Times New Roman"/>
                <w:sz w:val="18"/>
                <w:szCs w:val="18"/>
              </w:rPr>
            </w:pPr>
            <w:r>
              <w:rPr>
                <w:rFonts w:ascii="Times New Roman" w:hAnsi="Times New Roman"/>
                <w:sz w:val="18"/>
                <w:szCs w:val="18"/>
              </w:rPr>
              <w:t>2.07</w:t>
            </w:r>
          </w:p>
        </w:tc>
        <w:tc>
          <w:tcPr>
            <w:tcW w:w="6913" w:type="dxa"/>
            <w:vAlign w:val="center"/>
          </w:tcPr>
          <w:p>
            <w:pPr>
              <w:jc w:val="left"/>
              <w:rPr>
                <w:rFonts w:ascii="宋体"/>
                <w:sz w:val="18"/>
                <w:szCs w:val="18"/>
              </w:rPr>
            </w:pPr>
            <w:r>
              <w:rPr>
                <w:rFonts w:hint="eastAsia" w:ascii="宋体" w:hAnsi="宋体"/>
                <w:sz w:val="18"/>
                <w:szCs w:val="18"/>
              </w:rPr>
              <w:t>最后加王水煮沸时，溶液清亮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 w:type="dxa"/>
            <w:vAlign w:val="center"/>
          </w:tcPr>
          <w:p>
            <w:pPr>
              <w:jc w:val="left"/>
              <w:rPr>
                <w:rFonts w:ascii="Times New Roman" w:hAnsi="Times New Roman"/>
                <w:sz w:val="18"/>
                <w:szCs w:val="18"/>
              </w:rPr>
            </w:pPr>
            <w:r>
              <w:rPr>
                <w:rFonts w:ascii="Times New Roman" w:hAnsi="Times New Roman"/>
                <w:sz w:val="18"/>
                <w:szCs w:val="18"/>
              </w:rPr>
              <w:t>9</w:t>
            </w:r>
          </w:p>
        </w:tc>
        <w:tc>
          <w:tcPr>
            <w:tcW w:w="517" w:type="dxa"/>
            <w:vAlign w:val="center"/>
          </w:tcPr>
          <w:p>
            <w:pPr>
              <w:jc w:val="left"/>
              <w:rPr>
                <w:rFonts w:ascii="Times New Roman" w:hAnsi="Times New Roman"/>
                <w:sz w:val="18"/>
                <w:szCs w:val="18"/>
              </w:rPr>
            </w:pPr>
            <w:r>
              <w:rPr>
                <w:rFonts w:ascii="Times New Roman" w:hAnsi="Times New Roman"/>
                <w:sz w:val="18"/>
                <w:szCs w:val="18"/>
              </w:rPr>
              <w:t>3#</w:t>
            </w:r>
          </w:p>
        </w:tc>
        <w:tc>
          <w:tcPr>
            <w:tcW w:w="576" w:type="dxa"/>
            <w:vAlign w:val="center"/>
          </w:tcPr>
          <w:p>
            <w:pPr>
              <w:jc w:val="left"/>
              <w:rPr>
                <w:rFonts w:ascii="Times New Roman" w:hAnsi="Times New Roman"/>
                <w:sz w:val="18"/>
                <w:szCs w:val="18"/>
              </w:rPr>
            </w:pPr>
            <w:r>
              <w:rPr>
                <w:rFonts w:ascii="Times New Roman" w:hAnsi="Times New Roman"/>
                <w:sz w:val="18"/>
                <w:szCs w:val="18"/>
              </w:rPr>
              <w:t>2.02</w:t>
            </w:r>
          </w:p>
        </w:tc>
        <w:tc>
          <w:tcPr>
            <w:tcW w:w="6913" w:type="dxa"/>
            <w:vAlign w:val="center"/>
          </w:tcPr>
          <w:p>
            <w:pPr>
              <w:jc w:val="left"/>
              <w:rPr>
                <w:rFonts w:ascii="宋体"/>
                <w:sz w:val="18"/>
                <w:szCs w:val="18"/>
              </w:rPr>
            </w:pPr>
            <w:r>
              <w:rPr>
                <w:rFonts w:hint="eastAsia" w:ascii="宋体" w:hAnsi="宋体"/>
                <w:sz w:val="18"/>
                <w:szCs w:val="18"/>
              </w:rPr>
              <w:t>溶液清亮</w:t>
            </w:r>
          </w:p>
        </w:tc>
      </w:tr>
    </w:tbl>
    <w:p>
      <w:pPr>
        <w:ind w:firstLine="360" w:firstLineChars="200"/>
        <w:jc w:val="left"/>
        <w:rPr>
          <w:rFonts w:ascii="宋体"/>
          <w:sz w:val="18"/>
          <w:szCs w:val="18"/>
        </w:rPr>
      </w:pPr>
    </w:p>
    <w:p>
      <w:pPr>
        <w:ind w:firstLine="420" w:firstLineChars="200"/>
        <w:jc w:val="left"/>
        <w:rPr>
          <w:rFonts w:ascii="宋体"/>
          <w:szCs w:val="21"/>
        </w:rPr>
      </w:pPr>
      <w:r>
        <w:rPr>
          <w:rFonts w:hint="eastAsia" w:ascii="宋体" w:hAnsi="宋体"/>
          <w:szCs w:val="21"/>
        </w:rPr>
        <w:t>从表</w:t>
      </w:r>
      <w:r>
        <w:rPr>
          <w:rFonts w:ascii="Times New Roman" w:hAnsi="Times New Roman"/>
          <w:szCs w:val="21"/>
        </w:rPr>
        <w:t>11</w:t>
      </w:r>
      <w:r>
        <w:rPr>
          <w:rFonts w:hint="eastAsia" w:ascii="宋体" w:hAnsi="宋体"/>
          <w:szCs w:val="21"/>
        </w:rPr>
        <w:t>可以看出，方案</w:t>
      </w:r>
      <w:r>
        <w:rPr>
          <w:rFonts w:ascii="Times New Roman" w:hAnsi="Times New Roman"/>
          <w:szCs w:val="21"/>
        </w:rPr>
        <w:t>1、2</w:t>
      </w:r>
      <w:r>
        <w:rPr>
          <w:rFonts w:hint="eastAsia" w:ascii="宋体" w:hAnsi="宋体"/>
          <w:szCs w:val="21"/>
        </w:rPr>
        <w:t>用硝酸－氯酸钾溶样时，测定体系中引入大量钾盐对仪器燃烧头伤害大，钾盐使测定值不稳定，所以都舍弃；方案</w:t>
      </w:r>
      <w:r>
        <w:rPr>
          <w:rFonts w:ascii="Times New Roman" w:hAnsi="Times New Roman"/>
          <w:szCs w:val="21"/>
        </w:rPr>
        <w:t>3、4</w:t>
      </w:r>
      <w:r>
        <w:rPr>
          <w:rFonts w:hint="eastAsia" w:ascii="宋体" w:hAnsi="宋体"/>
          <w:szCs w:val="21"/>
        </w:rPr>
        <w:t>发烟时都加高氯酸和硫酸，高氯酸量为</w:t>
      </w:r>
      <w:r>
        <w:rPr>
          <w:rFonts w:ascii="Times New Roman" w:hAnsi="Times New Roman"/>
          <w:szCs w:val="21"/>
        </w:rPr>
        <w:t>2 mL</w:t>
      </w:r>
      <w:r>
        <w:rPr>
          <w:rFonts w:hint="eastAsia" w:ascii="宋体" w:hAnsi="宋体"/>
          <w:szCs w:val="21"/>
        </w:rPr>
        <w:t>时，溶样效果不太好，所以舍弃方案</w:t>
      </w:r>
      <w:r>
        <w:rPr>
          <w:rFonts w:ascii="Times New Roman" w:hAnsi="Times New Roman"/>
          <w:szCs w:val="21"/>
        </w:rPr>
        <w:t>3</w:t>
      </w:r>
      <w:r>
        <w:rPr>
          <w:rFonts w:hint="eastAsia" w:ascii="宋体" w:hAnsi="宋体"/>
          <w:szCs w:val="21"/>
        </w:rPr>
        <w:t>；方案</w:t>
      </w:r>
      <w:r>
        <w:rPr>
          <w:rFonts w:ascii="Times New Roman" w:hAnsi="Times New Roman"/>
          <w:szCs w:val="21"/>
        </w:rPr>
        <w:t>4、5</w:t>
      </w:r>
      <w:r>
        <w:rPr>
          <w:rFonts w:hint="eastAsia" w:ascii="宋体" w:hAnsi="宋体"/>
          <w:szCs w:val="21"/>
        </w:rPr>
        <w:t>发烟时的区别是加高氯酸及硫酸和只加高氯酸，两种方案结果区别不大，因硫酸剩余量对铋分析结果影响大，所以舍弃方案</w:t>
      </w:r>
      <w:r>
        <w:rPr>
          <w:rFonts w:ascii="Times New Roman" w:hAnsi="Times New Roman"/>
          <w:szCs w:val="21"/>
        </w:rPr>
        <w:t>4</w:t>
      </w:r>
      <w:r>
        <w:rPr>
          <w:rFonts w:ascii="宋体" w:hAnsi="宋体"/>
          <w:szCs w:val="21"/>
        </w:rPr>
        <w:t xml:space="preserve">; </w:t>
      </w:r>
      <w:r>
        <w:rPr>
          <w:rFonts w:hint="eastAsia" w:ascii="宋体" w:hAnsi="宋体"/>
          <w:szCs w:val="21"/>
        </w:rPr>
        <w:t>方案</w:t>
      </w:r>
      <w:r>
        <w:rPr>
          <w:rFonts w:ascii="Times New Roman" w:hAnsi="Times New Roman"/>
          <w:szCs w:val="21"/>
        </w:rPr>
        <w:t>7</w:t>
      </w:r>
      <w:r>
        <w:rPr>
          <w:rFonts w:ascii="宋体" w:hAnsi="宋体"/>
          <w:szCs w:val="21"/>
        </w:rPr>
        <w:t>,</w:t>
      </w:r>
      <w:r>
        <w:rPr>
          <w:rFonts w:hint="eastAsia" w:ascii="宋体" w:hAnsi="宋体"/>
          <w:szCs w:val="21"/>
        </w:rPr>
        <w:t>当三酸一起加时，有爬壁现象，所以舍弃此方案；方案</w:t>
      </w:r>
      <w:r>
        <w:rPr>
          <w:rFonts w:ascii="宋体" w:hAnsi="宋体"/>
          <w:szCs w:val="21"/>
        </w:rPr>
        <w:t>5</w:t>
      </w:r>
      <w:r>
        <w:rPr>
          <w:rFonts w:hint="eastAsia" w:ascii="宋体" w:hAnsi="宋体"/>
          <w:szCs w:val="21"/>
        </w:rPr>
        <w:t>、</w:t>
      </w:r>
      <w:r>
        <w:rPr>
          <w:rFonts w:ascii="Times New Roman" w:hAnsi="Times New Roman"/>
          <w:szCs w:val="21"/>
        </w:rPr>
        <w:t>6、8、9</w:t>
      </w:r>
      <w:r>
        <w:rPr>
          <w:rFonts w:hint="eastAsia" w:ascii="宋体" w:hAnsi="宋体"/>
          <w:szCs w:val="21"/>
        </w:rPr>
        <w:t>为只加高氯酸发烟，加或不加盐酸</w:t>
      </w:r>
      <w:r>
        <w:rPr>
          <w:rFonts w:ascii="宋体"/>
          <w:szCs w:val="21"/>
        </w:rPr>
        <w:t>-</w:t>
      </w:r>
      <w:r>
        <w:rPr>
          <w:rFonts w:hint="eastAsia" w:ascii="宋体" w:hAnsi="宋体"/>
          <w:szCs w:val="21"/>
        </w:rPr>
        <w:t>氢溴酸排砷、锑、锡，最后是盐酸体系或王水体系，经过试验验证，结果都可行，结合我们做的杂质干扰试验，以及在铜含量高的样品中加盐酸</w:t>
      </w:r>
      <w:r>
        <w:rPr>
          <w:rFonts w:ascii="宋体"/>
          <w:szCs w:val="21"/>
        </w:rPr>
        <w:t>-</w:t>
      </w:r>
      <w:r>
        <w:rPr>
          <w:rFonts w:hint="eastAsia" w:ascii="宋体" w:hAnsi="宋体"/>
          <w:szCs w:val="21"/>
        </w:rPr>
        <w:t>氢溴酸时，会有硫酸铜沉淀产生，易飞溅，所以选择不排砷、锑、锡。因王水配制起来较麻烦，且有硝酸存在，会生成氮氧化物，会对人体健康造成伤害和污染环境，所以综合考虑，舍弃方案</w:t>
      </w:r>
      <w:r>
        <w:rPr>
          <w:rFonts w:ascii="Times New Roman" w:hAnsi="Times New Roman"/>
          <w:szCs w:val="21"/>
        </w:rPr>
        <w:t>5、8、9</w:t>
      </w:r>
      <w:r>
        <w:rPr>
          <w:rFonts w:hint="eastAsia" w:ascii="宋体" w:hAnsi="宋体"/>
          <w:szCs w:val="21"/>
        </w:rPr>
        <w:t>，选用方案</w:t>
      </w:r>
      <w:r>
        <w:rPr>
          <w:rFonts w:ascii="Times New Roman" w:hAnsi="Times New Roman"/>
          <w:szCs w:val="21"/>
        </w:rPr>
        <w:t>6</w:t>
      </w:r>
      <w:r>
        <w:rPr>
          <w:rFonts w:hint="eastAsia" w:ascii="宋体" w:hAnsi="宋体"/>
          <w:szCs w:val="21"/>
        </w:rPr>
        <w:t>：</w:t>
      </w:r>
      <w:r>
        <w:rPr>
          <w:rFonts w:hint="eastAsia" w:ascii="宋体" w:hAnsi="宋体" w:cs="宋体"/>
          <w:szCs w:val="21"/>
        </w:rPr>
        <w:t>①</w:t>
      </w:r>
      <w:r>
        <w:rPr>
          <w:rFonts w:ascii="Times New Roman" w:hAnsi="Times New Roman"/>
          <w:szCs w:val="21"/>
        </w:rPr>
        <w:t>10 mL</w:t>
      </w:r>
      <w:r>
        <w:rPr>
          <w:rFonts w:hint="eastAsia" w:ascii="宋体" w:hAnsi="宋体"/>
          <w:szCs w:val="21"/>
        </w:rPr>
        <w:t>盐酸</w:t>
      </w:r>
      <w:r>
        <w:rPr>
          <w:rFonts w:ascii="Times New Roman" w:hAnsi="Times New Roman"/>
          <w:szCs w:val="21"/>
        </w:rPr>
        <w:t>+4</w:t>
      </w:r>
      <w:r>
        <w:rPr>
          <w:rFonts w:hint="eastAsia" w:ascii="宋体" w:hAnsi="宋体"/>
          <w:szCs w:val="21"/>
        </w:rPr>
        <w:t>滴氢氟酸</w:t>
      </w:r>
      <w:r>
        <w:rPr>
          <w:rFonts w:hint="eastAsia" w:ascii="宋体" w:hAnsi="宋体" w:cs="宋体"/>
          <w:szCs w:val="21"/>
        </w:rPr>
        <w:t>②</w:t>
      </w:r>
      <w:r>
        <w:rPr>
          <w:rFonts w:ascii="Times New Roman" w:hAnsi="Times New Roman"/>
          <w:szCs w:val="21"/>
        </w:rPr>
        <w:t>+5 mL</w:t>
      </w:r>
      <w:r>
        <w:rPr>
          <w:rFonts w:hint="eastAsia" w:ascii="宋体" w:hAnsi="宋体"/>
          <w:szCs w:val="21"/>
        </w:rPr>
        <w:t>硝酸</w:t>
      </w:r>
      <w:r>
        <w:rPr>
          <w:rFonts w:hint="eastAsia" w:ascii="宋体" w:hAnsi="宋体" w:cs="宋体"/>
          <w:szCs w:val="21"/>
        </w:rPr>
        <w:t>③</w:t>
      </w:r>
      <w:r>
        <w:rPr>
          <w:rFonts w:ascii="Times New Roman" w:hAnsi="Times New Roman"/>
          <w:szCs w:val="21"/>
        </w:rPr>
        <w:t>+5 mL</w:t>
      </w:r>
      <w:r>
        <w:rPr>
          <w:rFonts w:hint="eastAsia" w:ascii="宋体" w:hAnsi="宋体"/>
          <w:szCs w:val="21"/>
        </w:rPr>
        <w:t>高氯酸</w:t>
      </w:r>
      <w:r>
        <w:rPr>
          <w:rFonts w:hint="eastAsia" w:ascii="宋体" w:hAnsi="宋体" w:cs="宋体"/>
          <w:szCs w:val="21"/>
        </w:rPr>
        <w:t>④</w:t>
      </w:r>
      <w:r>
        <w:rPr>
          <w:rFonts w:ascii="Times New Roman" w:hAnsi="Times New Roman"/>
          <w:szCs w:val="21"/>
        </w:rPr>
        <w:t>+</w:t>
      </w:r>
      <w:r>
        <w:rPr>
          <w:rFonts w:hint="eastAsia" w:ascii="宋体" w:hAnsi="宋体" w:cs="宋体"/>
          <w:szCs w:val="21"/>
        </w:rPr>
        <w:t>数滴硝酸⑤</w:t>
      </w:r>
      <w:r>
        <w:rPr>
          <w:rFonts w:ascii="Times New Roman" w:hAnsi="Times New Roman"/>
          <w:szCs w:val="21"/>
        </w:rPr>
        <w:t>+10 mL盐酸</w:t>
      </w:r>
      <w:r>
        <w:rPr>
          <w:rFonts w:hint="eastAsia" w:ascii="宋体" w:hAnsi="宋体" w:cs="宋体"/>
          <w:szCs w:val="21"/>
        </w:rPr>
        <w:t>。</w:t>
      </w:r>
    </w:p>
    <w:p>
      <w:pPr>
        <w:jc w:val="left"/>
        <w:rPr>
          <w:rFonts w:ascii="宋体"/>
          <w:szCs w:val="21"/>
        </w:rPr>
      </w:pPr>
    </w:p>
    <w:p>
      <w:pPr>
        <w:jc w:val="left"/>
        <w:rPr>
          <w:rFonts w:ascii="黑体" w:hAnsi="黑体" w:eastAsia="黑体"/>
          <w:szCs w:val="21"/>
        </w:rPr>
      </w:pPr>
      <w:r>
        <w:rPr>
          <w:rFonts w:ascii="Times New Roman" w:hAnsi="Times New Roman" w:eastAsia="黑体"/>
          <w:kern w:val="0"/>
          <w:szCs w:val="21"/>
        </w:rPr>
        <w:t xml:space="preserve">2.4  </w:t>
      </w:r>
      <w:r>
        <w:rPr>
          <w:rFonts w:hint="eastAsia" w:ascii="黑体" w:hAnsi="黑体" w:eastAsia="黑体" w:cs="黑体"/>
          <w:kern w:val="0"/>
          <w:szCs w:val="21"/>
        </w:rPr>
        <w:t>共存元素的干扰试验</w:t>
      </w:r>
    </w:p>
    <w:p>
      <w:pPr>
        <w:ind w:firstLine="420" w:firstLineChars="200"/>
        <w:jc w:val="left"/>
        <w:rPr>
          <w:color w:val="000000" w:themeColor="text1"/>
          <w:szCs w:val="21"/>
        </w:rPr>
      </w:pPr>
      <w:r>
        <w:rPr>
          <w:rFonts w:hint="eastAsia"/>
          <w:szCs w:val="21"/>
        </w:rPr>
        <w:t>铜冶炼烟尘中主要存在元素有</w:t>
      </w:r>
      <w:r>
        <w:rPr>
          <w:rFonts w:ascii="Times New Roman" w:hAnsi="Times New Roman"/>
          <w:szCs w:val="21"/>
        </w:rPr>
        <w:t>Cu、Pb、Zn、As、Fe、Bi、SiO</w:t>
      </w:r>
      <w:r>
        <w:rPr>
          <w:rFonts w:ascii="Times New Roman" w:hAnsi="Times New Roman"/>
          <w:szCs w:val="21"/>
          <w:vertAlign w:val="subscript"/>
        </w:rPr>
        <w:t>2</w:t>
      </w:r>
      <w:r>
        <w:rPr>
          <w:rFonts w:ascii="Times New Roman" w:hAnsi="Times New Roman"/>
          <w:szCs w:val="21"/>
        </w:rPr>
        <w:t>、Al</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3</w:t>
      </w:r>
      <w:r>
        <w:rPr>
          <w:rFonts w:ascii="Times New Roman" w:hAnsi="Times New Roman"/>
          <w:szCs w:val="21"/>
        </w:rPr>
        <w:t>、Sb、Sn、Cd、Ag、In、Ca、Mg及 Se、Te、Au</w:t>
      </w:r>
      <w:r>
        <w:rPr>
          <w:rFonts w:hint="eastAsia"/>
          <w:szCs w:val="21"/>
        </w:rPr>
        <w:t>等元素。</w:t>
      </w:r>
      <w:r>
        <w:rPr>
          <w:rFonts w:hint="eastAsia" w:hAnsi="宋体"/>
          <w:szCs w:val="21"/>
        </w:rPr>
        <w:t>各元素含量上限为</w:t>
      </w:r>
      <w:r>
        <w:rPr>
          <w:rFonts w:ascii="Times New Roman" w:hAnsi="Times New Roman"/>
          <w:bCs/>
          <w:color w:val="000000" w:themeColor="text1"/>
          <w:szCs w:val="21"/>
        </w:rPr>
        <w:t>Cu</w:t>
      </w:r>
      <w:r>
        <w:rPr>
          <w:rFonts w:ascii="Times New Roman" w:hAnsi="Times New Roman"/>
          <w:color w:val="000000" w:themeColor="text1"/>
          <w:szCs w:val="21"/>
        </w:rPr>
        <w:t xml:space="preserve"> 65 % </w:t>
      </w:r>
      <w:r>
        <w:rPr>
          <w:rFonts w:ascii="宋体" w:hAnsi="宋体"/>
          <w:color w:val="000000" w:themeColor="text1"/>
          <w:szCs w:val="21"/>
        </w:rPr>
        <w:t>,</w:t>
      </w:r>
      <w:r>
        <w:rPr>
          <w:rFonts w:ascii="宋体" w:hAnsi="宋体"/>
          <w:bCs/>
          <w:color w:val="000000" w:themeColor="text1"/>
          <w:szCs w:val="21"/>
        </w:rPr>
        <w:t xml:space="preserve"> </w:t>
      </w:r>
      <w:r>
        <w:rPr>
          <w:rFonts w:ascii="Times New Roman" w:hAnsi="Times New Roman"/>
          <w:bCs/>
          <w:color w:val="000000" w:themeColor="text1"/>
          <w:szCs w:val="21"/>
        </w:rPr>
        <w:t>Pb</w:t>
      </w:r>
      <w:r>
        <w:rPr>
          <w:rFonts w:ascii="Times New Roman" w:hAnsi="Times New Roman"/>
          <w:color w:val="000000" w:themeColor="text1"/>
          <w:szCs w:val="21"/>
        </w:rPr>
        <w:t xml:space="preserve"> 50 % </w:t>
      </w:r>
      <w:r>
        <w:rPr>
          <w:rFonts w:ascii="宋体" w:hAnsi="宋体"/>
          <w:color w:val="000000" w:themeColor="text1"/>
          <w:szCs w:val="21"/>
        </w:rPr>
        <w:t>,</w:t>
      </w:r>
      <w:r>
        <w:rPr>
          <w:rFonts w:ascii="Times New Roman" w:hAnsi="Times New Roman"/>
          <w:bCs/>
          <w:color w:val="000000" w:themeColor="text1"/>
          <w:szCs w:val="21"/>
        </w:rPr>
        <w:t xml:space="preserve"> Bi</w:t>
      </w:r>
      <w:r>
        <w:rPr>
          <w:rFonts w:ascii="Times New Roman" w:hAnsi="Times New Roman"/>
          <w:color w:val="000000" w:themeColor="text1"/>
          <w:szCs w:val="21"/>
        </w:rPr>
        <w:t xml:space="preserve"> 16 %</w:t>
      </w:r>
      <w:r>
        <w:rPr>
          <w:rFonts w:ascii="宋体" w:hAnsi="宋体"/>
          <w:color w:val="000000" w:themeColor="text1"/>
          <w:szCs w:val="21"/>
        </w:rPr>
        <w:t>，</w:t>
      </w:r>
      <w:r>
        <w:rPr>
          <w:rFonts w:ascii="Times New Roman" w:hAnsi="Times New Roman"/>
          <w:color w:val="000000" w:themeColor="text1"/>
          <w:szCs w:val="21"/>
        </w:rPr>
        <w:t>As 30%</w:t>
      </w:r>
      <w:r>
        <w:rPr>
          <w:rFonts w:ascii="宋体" w:hAnsi="宋体"/>
          <w:color w:val="000000" w:themeColor="text1"/>
          <w:szCs w:val="21"/>
        </w:rPr>
        <w:t>，</w:t>
      </w:r>
      <w:r>
        <w:rPr>
          <w:rFonts w:ascii="Times New Roman" w:hAnsi="Times New Roman"/>
          <w:bCs/>
          <w:color w:val="000000" w:themeColor="text1"/>
          <w:szCs w:val="21"/>
        </w:rPr>
        <w:t>Au</w:t>
      </w:r>
      <w:r>
        <w:rPr>
          <w:rFonts w:ascii="Times New Roman" w:hAnsi="Times New Roman"/>
          <w:color w:val="000000" w:themeColor="text1"/>
          <w:szCs w:val="21"/>
        </w:rPr>
        <w:t xml:space="preserve"> 50 g/t </w:t>
      </w:r>
      <w:r>
        <w:rPr>
          <w:rFonts w:ascii="宋体" w:hAnsi="宋体"/>
          <w:color w:val="000000" w:themeColor="text1"/>
          <w:szCs w:val="21"/>
        </w:rPr>
        <w:t>,</w:t>
      </w:r>
      <w:r>
        <w:rPr>
          <w:rFonts w:ascii="Times New Roman" w:hAnsi="Times New Roman"/>
          <w:bCs/>
          <w:color w:val="000000" w:themeColor="text1"/>
          <w:szCs w:val="21"/>
        </w:rPr>
        <w:t>Ag</w:t>
      </w:r>
      <w:r>
        <w:rPr>
          <w:rFonts w:ascii="Times New Roman" w:hAnsi="Times New Roman"/>
          <w:color w:val="000000" w:themeColor="text1"/>
          <w:szCs w:val="21"/>
        </w:rPr>
        <w:t xml:space="preserve"> 1500 g/t </w:t>
      </w:r>
      <w:r>
        <w:rPr>
          <w:rFonts w:ascii="宋体" w:hAnsi="宋体"/>
          <w:color w:val="000000" w:themeColor="text1"/>
          <w:szCs w:val="21"/>
        </w:rPr>
        <w:t>,</w:t>
      </w:r>
      <w:r>
        <w:rPr>
          <w:rFonts w:ascii="Times New Roman" w:hAnsi="Times New Roman"/>
          <w:bCs/>
          <w:color w:val="000000" w:themeColor="text1"/>
          <w:szCs w:val="21"/>
        </w:rPr>
        <w:t xml:space="preserve"> Sb</w:t>
      </w:r>
      <w:r>
        <w:rPr>
          <w:rFonts w:ascii="Times New Roman" w:hAnsi="Times New Roman"/>
          <w:color w:val="000000" w:themeColor="text1"/>
          <w:szCs w:val="21"/>
        </w:rPr>
        <w:t xml:space="preserve"> 7%</w:t>
      </w:r>
      <w:r>
        <w:rPr>
          <w:rFonts w:ascii="宋体" w:hAnsi="宋体"/>
          <w:color w:val="000000" w:themeColor="text1"/>
          <w:szCs w:val="21"/>
        </w:rPr>
        <w:t>，</w:t>
      </w:r>
      <w:r>
        <w:rPr>
          <w:rFonts w:ascii="Times New Roman" w:hAnsi="Times New Roman"/>
          <w:bCs/>
          <w:color w:val="000000" w:themeColor="text1"/>
          <w:szCs w:val="21"/>
        </w:rPr>
        <w:t>Sn</w:t>
      </w:r>
      <w:r>
        <w:rPr>
          <w:rFonts w:ascii="Times New Roman" w:hAnsi="Times New Roman"/>
          <w:color w:val="000000" w:themeColor="text1"/>
          <w:szCs w:val="21"/>
        </w:rPr>
        <w:t xml:space="preserve"> 3 %</w:t>
      </w:r>
      <w:r>
        <w:rPr>
          <w:rFonts w:ascii="宋体" w:hAnsi="宋体"/>
          <w:color w:val="000000" w:themeColor="text1"/>
          <w:szCs w:val="21"/>
        </w:rPr>
        <w:t>，</w:t>
      </w:r>
      <w:bookmarkStart w:id="2" w:name="OLE_LINK20"/>
      <w:bookmarkStart w:id="3" w:name="OLE_LINK21"/>
      <w:r>
        <w:rPr>
          <w:rFonts w:ascii="Times New Roman" w:hAnsi="Times New Roman"/>
          <w:bCs/>
          <w:color w:val="000000" w:themeColor="text1"/>
          <w:szCs w:val="21"/>
        </w:rPr>
        <w:t>Cd</w:t>
      </w:r>
      <w:bookmarkEnd w:id="2"/>
      <w:bookmarkEnd w:id="3"/>
      <w:r>
        <w:rPr>
          <w:rFonts w:ascii="Times New Roman" w:hAnsi="Times New Roman"/>
          <w:bCs/>
          <w:color w:val="000000" w:themeColor="text1"/>
          <w:szCs w:val="21"/>
        </w:rPr>
        <w:t xml:space="preserve"> </w:t>
      </w:r>
      <w:r>
        <w:rPr>
          <w:rFonts w:ascii="Times New Roman" w:hAnsi="Times New Roman"/>
          <w:color w:val="000000" w:themeColor="text1"/>
          <w:szCs w:val="21"/>
        </w:rPr>
        <w:t>16%</w:t>
      </w:r>
      <w:r>
        <w:rPr>
          <w:rFonts w:ascii="宋体" w:hAnsi="宋体"/>
          <w:color w:val="000000" w:themeColor="text1"/>
          <w:szCs w:val="21"/>
        </w:rPr>
        <w:t>，</w:t>
      </w:r>
      <w:r>
        <w:rPr>
          <w:rFonts w:ascii="Times New Roman" w:hAnsi="Times New Roman"/>
          <w:bCs/>
          <w:color w:val="000000" w:themeColor="text1"/>
          <w:szCs w:val="21"/>
        </w:rPr>
        <w:t>Fe 22</w:t>
      </w:r>
      <w:r>
        <w:rPr>
          <w:rFonts w:ascii="Times New Roman" w:hAnsi="Times New Roman"/>
          <w:color w:val="000000" w:themeColor="text1"/>
          <w:szCs w:val="21"/>
        </w:rPr>
        <w:t>%</w:t>
      </w:r>
      <w:r>
        <w:rPr>
          <w:rFonts w:ascii="宋体" w:hAnsi="宋体"/>
          <w:color w:val="000000" w:themeColor="text1"/>
          <w:szCs w:val="21"/>
        </w:rPr>
        <w:t>，</w:t>
      </w:r>
      <w:r>
        <w:rPr>
          <w:rFonts w:ascii="Times New Roman" w:hAnsi="Times New Roman"/>
          <w:bCs/>
          <w:color w:val="000000" w:themeColor="text1"/>
          <w:szCs w:val="21"/>
        </w:rPr>
        <w:t>Al</w:t>
      </w:r>
      <w:r>
        <w:rPr>
          <w:rFonts w:ascii="Times New Roman" w:hAnsi="Times New Roman"/>
          <w:bCs/>
          <w:color w:val="000000" w:themeColor="text1"/>
          <w:szCs w:val="21"/>
          <w:vertAlign w:val="subscript"/>
        </w:rPr>
        <w:t>2</w:t>
      </w:r>
      <w:r>
        <w:rPr>
          <w:rFonts w:ascii="Times New Roman" w:hAnsi="Times New Roman"/>
          <w:bCs/>
          <w:color w:val="000000" w:themeColor="text1"/>
          <w:szCs w:val="21"/>
        </w:rPr>
        <w:t>O</w:t>
      </w:r>
      <w:r>
        <w:rPr>
          <w:rFonts w:ascii="Times New Roman" w:hAnsi="Times New Roman"/>
          <w:bCs/>
          <w:color w:val="000000" w:themeColor="text1"/>
          <w:szCs w:val="21"/>
          <w:vertAlign w:val="subscript"/>
        </w:rPr>
        <w:t xml:space="preserve">3 </w:t>
      </w:r>
      <w:r>
        <w:rPr>
          <w:rFonts w:ascii="Times New Roman" w:hAnsi="Times New Roman"/>
          <w:bCs/>
          <w:color w:val="000000" w:themeColor="text1"/>
          <w:szCs w:val="21"/>
        </w:rPr>
        <w:t xml:space="preserve">3 </w:t>
      </w:r>
      <w:r>
        <w:rPr>
          <w:rFonts w:ascii="Times New Roman" w:hAnsi="Times New Roman"/>
          <w:color w:val="000000" w:themeColor="text1"/>
          <w:szCs w:val="21"/>
        </w:rPr>
        <w:t xml:space="preserve">% </w:t>
      </w:r>
      <w:r>
        <w:rPr>
          <w:rFonts w:ascii="宋体" w:hAnsi="宋体"/>
          <w:color w:val="000000" w:themeColor="text1"/>
          <w:szCs w:val="21"/>
        </w:rPr>
        <w:t>,</w:t>
      </w:r>
      <w:r>
        <w:rPr>
          <w:rFonts w:ascii="Times New Roman" w:hAnsi="Times New Roman"/>
          <w:bCs/>
          <w:color w:val="000000" w:themeColor="text1"/>
          <w:szCs w:val="21"/>
        </w:rPr>
        <w:t xml:space="preserve"> Ca</w:t>
      </w:r>
      <w:r>
        <w:rPr>
          <w:rFonts w:ascii="Times New Roman" w:hAnsi="Times New Roman"/>
          <w:color w:val="000000" w:themeColor="text1"/>
          <w:szCs w:val="21"/>
        </w:rPr>
        <w:t xml:space="preserve"> 1.5%</w:t>
      </w:r>
      <w:r>
        <w:rPr>
          <w:rFonts w:ascii="宋体" w:hAnsi="宋体"/>
          <w:color w:val="000000" w:themeColor="text1"/>
          <w:szCs w:val="21"/>
        </w:rPr>
        <w:t>，</w:t>
      </w:r>
      <w:r>
        <w:rPr>
          <w:rFonts w:ascii="Times New Roman" w:hAnsi="Times New Roman"/>
          <w:bCs/>
          <w:color w:val="000000" w:themeColor="text1"/>
          <w:szCs w:val="21"/>
        </w:rPr>
        <w:t>Mg 1</w:t>
      </w:r>
      <w:r>
        <w:rPr>
          <w:rFonts w:ascii="Times New Roman" w:hAnsi="Times New Roman"/>
          <w:color w:val="000000" w:themeColor="text1"/>
          <w:szCs w:val="21"/>
        </w:rPr>
        <w:t xml:space="preserve"> %</w:t>
      </w:r>
      <w:r>
        <w:rPr>
          <w:rFonts w:ascii="宋体" w:hAnsi="宋体"/>
          <w:bCs/>
          <w:color w:val="000000" w:themeColor="text1"/>
          <w:szCs w:val="21"/>
        </w:rPr>
        <w:t>，</w:t>
      </w:r>
      <w:r>
        <w:rPr>
          <w:rFonts w:ascii="Times New Roman" w:hAnsi="Times New Roman"/>
          <w:bCs/>
          <w:color w:val="000000" w:themeColor="text1"/>
          <w:szCs w:val="21"/>
        </w:rPr>
        <w:t>Se</w:t>
      </w:r>
      <w:r>
        <w:rPr>
          <w:rFonts w:ascii="Times New Roman" w:hAnsi="Times New Roman"/>
          <w:color w:val="000000" w:themeColor="text1"/>
          <w:szCs w:val="21"/>
        </w:rPr>
        <w:t xml:space="preserve"> 1%</w:t>
      </w:r>
      <w:r>
        <w:rPr>
          <w:rFonts w:ascii="宋体" w:hAnsi="宋体"/>
          <w:color w:val="000000" w:themeColor="text1"/>
          <w:szCs w:val="21"/>
        </w:rPr>
        <w:t>，</w:t>
      </w:r>
      <w:r>
        <w:rPr>
          <w:rFonts w:ascii="Times New Roman" w:hAnsi="Times New Roman"/>
          <w:bCs/>
          <w:color w:val="000000" w:themeColor="text1"/>
          <w:szCs w:val="21"/>
        </w:rPr>
        <w:t>Te</w:t>
      </w:r>
      <w:r>
        <w:rPr>
          <w:rFonts w:ascii="Times New Roman" w:hAnsi="Times New Roman"/>
          <w:color w:val="000000" w:themeColor="text1"/>
          <w:szCs w:val="21"/>
        </w:rPr>
        <w:t xml:space="preserve"> 0.1%</w:t>
      </w:r>
      <w:r>
        <w:rPr>
          <w:rFonts w:hint="eastAsia" w:ascii="宋体" w:hAnsi="宋体"/>
          <w:color w:val="000000" w:themeColor="text1"/>
          <w:szCs w:val="21"/>
        </w:rPr>
        <w:t>。</w:t>
      </w:r>
    </w:p>
    <w:p>
      <w:pPr>
        <w:ind w:firstLine="105" w:firstLineChars="50"/>
        <w:rPr>
          <w:rFonts w:hAnsi="宋体"/>
          <w:color w:val="FF0000"/>
          <w:szCs w:val="21"/>
        </w:rPr>
      </w:pPr>
      <w:r>
        <w:rPr>
          <w:rFonts w:ascii="Times New Roman" w:hAnsi="Times New Roman"/>
          <w:color w:val="000000" w:themeColor="text1"/>
          <w:szCs w:val="21"/>
        </w:rPr>
        <w:t xml:space="preserve">2.4.1 </w:t>
      </w:r>
      <w:r>
        <w:rPr>
          <w:rFonts w:hint="eastAsia"/>
          <w:color w:val="000000" w:themeColor="text1"/>
          <w:szCs w:val="21"/>
        </w:rPr>
        <w:t xml:space="preserve"> </w:t>
      </w:r>
      <w:r>
        <w:rPr>
          <w:rFonts w:hint="eastAsia" w:hAnsi="宋体"/>
          <w:color w:val="000000" w:themeColor="text1"/>
          <w:szCs w:val="21"/>
        </w:rPr>
        <w:t>按试验步骤</w:t>
      </w:r>
      <w:r>
        <w:rPr>
          <w:rFonts w:ascii="Times New Roman" w:hAnsi="Times New Roman"/>
          <w:bCs/>
          <w:color w:val="000000" w:themeColor="text1"/>
          <w:szCs w:val="21"/>
        </w:rPr>
        <w:t>（1.5）</w:t>
      </w:r>
      <w:r>
        <w:rPr>
          <w:rFonts w:hint="eastAsia" w:hAnsi="宋体"/>
          <w:szCs w:val="21"/>
        </w:rPr>
        <w:t>对各元素加铋标准</w:t>
      </w:r>
      <w:r>
        <w:rPr>
          <w:rFonts w:ascii="Times New Roman" w:hAnsi="Times New Roman"/>
          <w:szCs w:val="21"/>
        </w:rPr>
        <w:t>（1.2.13）</w:t>
      </w:r>
      <w:r>
        <w:rPr>
          <w:rFonts w:hint="eastAsia" w:hAnsi="宋体"/>
          <w:szCs w:val="21"/>
        </w:rPr>
        <w:t>进行杂质干扰试验，根据拟定铜冶炼烟尘中各元素的干扰上限，</w:t>
      </w:r>
      <w:r>
        <w:rPr>
          <w:rFonts w:hAnsi="宋体"/>
          <w:szCs w:val="21"/>
        </w:rPr>
        <w:t>按本方法最小稀释倍数</w:t>
      </w:r>
      <w:r>
        <w:rPr>
          <w:rFonts w:hint="eastAsia" w:hAnsi="宋体"/>
          <w:szCs w:val="21"/>
        </w:rPr>
        <w:t>（</w:t>
      </w:r>
      <w:r>
        <w:rPr>
          <w:rFonts w:hint="eastAsia"/>
          <w:szCs w:val="21"/>
        </w:rPr>
        <w:t>称样</w:t>
      </w:r>
      <w:r>
        <w:rPr>
          <w:rFonts w:ascii="Times New Roman" w:hAnsi="Times New Roman"/>
          <w:szCs w:val="21"/>
        </w:rPr>
        <w:t>0.5 000 g</w:t>
      </w:r>
      <w:r>
        <w:rPr>
          <w:rFonts w:hint="eastAsia"/>
          <w:szCs w:val="21"/>
        </w:rPr>
        <w:t xml:space="preserve"> ,稀释至</w:t>
      </w:r>
      <w:r>
        <w:rPr>
          <w:rFonts w:ascii="Times New Roman" w:hAnsi="Times New Roman"/>
          <w:szCs w:val="21"/>
        </w:rPr>
        <w:t>100 mL</w:t>
      </w:r>
      <w:r>
        <w:rPr>
          <w:rFonts w:hint="eastAsia"/>
          <w:szCs w:val="21"/>
        </w:rPr>
        <w:t>容量瓶）加入，测定结果见表</w:t>
      </w:r>
      <w:r>
        <w:rPr>
          <w:rFonts w:ascii="Times New Roman" w:hAnsi="Times New Roman"/>
          <w:szCs w:val="21"/>
        </w:rPr>
        <w:t>12</w:t>
      </w:r>
      <w:r>
        <w:rPr>
          <w:rFonts w:hint="eastAsia"/>
          <w:szCs w:val="21"/>
        </w:rPr>
        <w:t>，</w:t>
      </w:r>
      <w:r>
        <w:rPr>
          <w:rFonts w:hint="eastAsia" w:hAnsi="宋体"/>
          <w:szCs w:val="21"/>
        </w:rPr>
        <w:t>表</w:t>
      </w:r>
      <w:r>
        <w:rPr>
          <w:rFonts w:ascii="Times New Roman" w:hAnsi="Times New Roman"/>
          <w:szCs w:val="21"/>
        </w:rPr>
        <w:t>12</w:t>
      </w:r>
      <w:r>
        <w:rPr>
          <w:rFonts w:hint="eastAsia" w:hAnsi="宋体"/>
          <w:szCs w:val="21"/>
        </w:rPr>
        <w:t>结果表明</w:t>
      </w:r>
      <w:r>
        <w:rPr>
          <w:rFonts w:ascii="Times New Roman" w:hAnsi="Times New Roman"/>
          <w:szCs w:val="21"/>
        </w:rPr>
        <w:t>100m</w:t>
      </w:r>
      <w:r>
        <w:rPr>
          <w:rFonts w:hint="eastAsia" w:hAnsi="宋体"/>
          <w:szCs w:val="21"/>
        </w:rPr>
        <w:t>L测定溶液中存在以下含量范围内的各共存元素对铋的测定结果无影响。</w:t>
      </w:r>
    </w:p>
    <w:p>
      <w:pPr>
        <w:ind w:firstLine="2520" w:firstLineChars="1200"/>
        <w:jc w:val="left"/>
        <w:rPr>
          <w:szCs w:val="21"/>
        </w:rPr>
      </w:pPr>
      <w:r>
        <w:rPr>
          <w:rFonts w:hint="eastAsia"/>
          <w:szCs w:val="21"/>
        </w:rPr>
        <w:t>表</w:t>
      </w:r>
      <w:r>
        <w:rPr>
          <w:rFonts w:ascii="Times New Roman" w:hAnsi="Times New Roman"/>
          <w:szCs w:val="21"/>
        </w:rPr>
        <w:t>12</w:t>
      </w:r>
      <w:r>
        <w:rPr>
          <w:rFonts w:hint="eastAsia"/>
          <w:szCs w:val="21"/>
        </w:rPr>
        <w:t>共存元素对铋测定的影响</w:t>
      </w:r>
    </w:p>
    <w:tbl>
      <w:tblPr>
        <w:tblStyle w:val="32"/>
        <w:tblW w:w="642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574"/>
        <w:gridCol w:w="1575"/>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jc w:val="center"/>
              <w:rPr>
                <w:sz w:val="18"/>
                <w:szCs w:val="18"/>
              </w:rPr>
            </w:pPr>
            <w:r>
              <w:rPr>
                <w:rFonts w:hint="eastAsia"/>
                <w:sz w:val="18"/>
                <w:szCs w:val="18"/>
              </w:rPr>
              <w:t>共存元素</w:t>
            </w:r>
          </w:p>
        </w:tc>
        <w:tc>
          <w:tcPr>
            <w:tcW w:w="1574" w:type="dxa"/>
            <w:vAlign w:val="center"/>
          </w:tcPr>
          <w:p>
            <w:pPr>
              <w:jc w:val="center"/>
              <w:rPr>
                <w:sz w:val="18"/>
                <w:szCs w:val="18"/>
              </w:rPr>
            </w:pPr>
            <w:r>
              <w:rPr>
                <w:rFonts w:hint="eastAsia"/>
                <w:sz w:val="18"/>
                <w:szCs w:val="18"/>
              </w:rPr>
              <w:t>共存元素加入量</w:t>
            </w:r>
            <w:r>
              <w:rPr>
                <w:rFonts w:ascii="Times New Roman" w:hAnsi="Times New Roman"/>
                <w:sz w:val="18"/>
                <w:szCs w:val="18"/>
              </w:rPr>
              <w:t>（mg/100mL）</w:t>
            </w:r>
          </w:p>
        </w:tc>
        <w:tc>
          <w:tcPr>
            <w:tcW w:w="1575" w:type="dxa"/>
            <w:vAlign w:val="center"/>
          </w:tcPr>
          <w:p>
            <w:pPr>
              <w:jc w:val="center"/>
              <w:rPr>
                <w:sz w:val="18"/>
                <w:szCs w:val="18"/>
              </w:rPr>
            </w:pPr>
            <w:r>
              <w:rPr>
                <w:rFonts w:ascii="Times New Roman" w:hAnsi="Times New Roman"/>
                <w:sz w:val="18"/>
                <w:szCs w:val="18"/>
              </w:rPr>
              <w:t>2.00</w:t>
            </w:r>
            <w:r>
              <w:rPr>
                <w:rFonts w:ascii="Times New Roman" w:hAnsi="Times New Roman"/>
                <w:sz w:val="18"/>
                <w:szCs w:val="18"/>
              </w:rPr>
              <w:sym w:font="Symbol" w:char="F06D"/>
            </w:r>
            <w:r>
              <w:rPr>
                <w:rFonts w:ascii="Times New Roman" w:hAnsi="Times New Roman"/>
                <w:sz w:val="18"/>
                <w:szCs w:val="18"/>
              </w:rPr>
              <w:t>g/mL</w:t>
            </w:r>
            <w:r>
              <w:rPr>
                <w:rFonts w:hint="eastAsia"/>
                <w:sz w:val="18"/>
                <w:szCs w:val="18"/>
              </w:rPr>
              <w:t>铋吸光度</w:t>
            </w:r>
          </w:p>
        </w:tc>
        <w:tc>
          <w:tcPr>
            <w:tcW w:w="1694" w:type="dxa"/>
            <w:vAlign w:val="center"/>
          </w:tcPr>
          <w:p>
            <w:pPr>
              <w:jc w:val="center"/>
              <w:rPr>
                <w:sz w:val="18"/>
                <w:szCs w:val="18"/>
              </w:rPr>
            </w:pPr>
            <w:r>
              <w:rPr>
                <w:rFonts w:ascii="Times New Roman" w:hAnsi="Times New Roman"/>
                <w:sz w:val="18"/>
                <w:szCs w:val="18"/>
              </w:rPr>
              <w:t>10.00</w:t>
            </w:r>
            <w:r>
              <w:rPr>
                <w:rFonts w:ascii="Times New Roman" w:hAnsi="Times New Roman"/>
                <w:sz w:val="18"/>
                <w:szCs w:val="18"/>
              </w:rPr>
              <w:sym w:font="Symbol" w:char="F06D"/>
            </w:r>
            <w:r>
              <w:rPr>
                <w:rFonts w:ascii="Times New Roman" w:hAnsi="Times New Roman"/>
                <w:sz w:val="18"/>
                <w:szCs w:val="18"/>
              </w:rPr>
              <w:t>g/mL</w:t>
            </w:r>
            <w:r>
              <w:rPr>
                <w:rFonts w:hint="eastAsia"/>
                <w:sz w:val="18"/>
                <w:szCs w:val="18"/>
              </w:rPr>
              <w:t>铋吸光度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jc w:val="center"/>
              <w:rPr>
                <w:rFonts w:ascii="Times New Roman" w:hAnsi="Times New Roman"/>
                <w:sz w:val="18"/>
                <w:szCs w:val="18"/>
              </w:rPr>
            </w:pPr>
            <w:r>
              <w:rPr>
                <w:rFonts w:ascii="Times New Roman" w:hAnsi="Times New Roman"/>
                <w:sz w:val="18"/>
                <w:szCs w:val="18"/>
              </w:rPr>
              <w:t>0</w:t>
            </w:r>
          </w:p>
        </w:tc>
        <w:tc>
          <w:tcPr>
            <w:tcW w:w="1574" w:type="dxa"/>
            <w:vAlign w:val="center"/>
          </w:tcPr>
          <w:p>
            <w:pPr>
              <w:jc w:val="center"/>
              <w:rPr>
                <w:rFonts w:ascii="Times New Roman" w:hAnsi="Times New Roman"/>
                <w:sz w:val="18"/>
                <w:szCs w:val="18"/>
              </w:rPr>
            </w:pPr>
            <w:r>
              <w:rPr>
                <w:rFonts w:ascii="Times New Roman" w:hAnsi="Times New Roman"/>
                <w:sz w:val="18"/>
                <w:szCs w:val="18"/>
              </w:rPr>
              <w:t>0</w:t>
            </w:r>
          </w:p>
        </w:tc>
        <w:tc>
          <w:tcPr>
            <w:tcW w:w="1575" w:type="dxa"/>
            <w:vAlign w:val="center"/>
          </w:tcPr>
          <w:p>
            <w:pPr>
              <w:jc w:val="center"/>
              <w:rPr>
                <w:rFonts w:ascii="Times New Roman" w:hAnsi="Times New Roman"/>
                <w:sz w:val="18"/>
                <w:szCs w:val="18"/>
              </w:rPr>
            </w:pPr>
            <w:r>
              <w:rPr>
                <w:rFonts w:ascii="Times New Roman" w:hAnsi="Times New Roman"/>
                <w:sz w:val="18"/>
                <w:szCs w:val="18"/>
              </w:rPr>
              <w:t>0.034</w:t>
            </w:r>
          </w:p>
        </w:tc>
        <w:tc>
          <w:tcPr>
            <w:tcW w:w="1694" w:type="dxa"/>
            <w:vAlign w:val="center"/>
          </w:tcPr>
          <w:p>
            <w:pPr>
              <w:jc w:val="center"/>
              <w:rPr>
                <w:rFonts w:ascii="Times New Roman" w:hAnsi="Times New Roman"/>
                <w:sz w:val="18"/>
                <w:szCs w:val="18"/>
              </w:rPr>
            </w:pPr>
            <w:r>
              <w:rPr>
                <w:rFonts w:ascii="Times New Roman" w:hAnsi="Times New Roman"/>
                <w:sz w:val="18"/>
                <w:szCs w:val="18"/>
              </w:rPr>
              <w:t>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jc w:val="center"/>
              <w:rPr>
                <w:sz w:val="18"/>
                <w:szCs w:val="18"/>
              </w:rPr>
            </w:pPr>
            <w:r>
              <w:rPr>
                <w:rFonts w:hint="eastAsia"/>
                <w:sz w:val="18"/>
                <w:szCs w:val="18"/>
              </w:rPr>
              <w:t>砷</w:t>
            </w:r>
          </w:p>
        </w:tc>
        <w:tc>
          <w:tcPr>
            <w:tcW w:w="1574" w:type="dxa"/>
            <w:vAlign w:val="center"/>
          </w:tcPr>
          <w:p>
            <w:pPr>
              <w:jc w:val="center"/>
              <w:rPr>
                <w:rFonts w:ascii="Times New Roman" w:hAnsi="Times New Roman"/>
                <w:sz w:val="18"/>
                <w:szCs w:val="18"/>
              </w:rPr>
            </w:pPr>
            <w:r>
              <w:rPr>
                <w:rFonts w:ascii="Times New Roman" w:hAnsi="Times New Roman"/>
                <w:sz w:val="18"/>
                <w:szCs w:val="18"/>
              </w:rPr>
              <w:t>150</w:t>
            </w:r>
          </w:p>
        </w:tc>
        <w:tc>
          <w:tcPr>
            <w:tcW w:w="1575" w:type="dxa"/>
            <w:vAlign w:val="center"/>
          </w:tcPr>
          <w:p>
            <w:pPr>
              <w:jc w:val="center"/>
              <w:rPr>
                <w:rFonts w:ascii="Times New Roman" w:hAnsi="Times New Roman"/>
                <w:sz w:val="18"/>
                <w:szCs w:val="18"/>
              </w:rPr>
            </w:pPr>
            <w:r>
              <w:rPr>
                <w:rFonts w:ascii="Times New Roman" w:hAnsi="Times New Roman"/>
                <w:sz w:val="18"/>
                <w:szCs w:val="18"/>
              </w:rPr>
              <w:t>0.035</w:t>
            </w:r>
          </w:p>
        </w:tc>
        <w:tc>
          <w:tcPr>
            <w:tcW w:w="1694" w:type="dxa"/>
            <w:vAlign w:val="center"/>
          </w:tcPr>
          <w:p>
            <w:pPr>
              <w:jc w:val="center"/>
              <w:rPr>
                <w:rFonts w:ascii="Times New Roman" w:hAnsi="Times New Roman"/>
                <w:sz w:val="18"/>
                <w:szCs w:val="18"/>
              </w:rPr>
            </w:pPr>
            <w:r>
              <w:rPr>
                <w:rFonts w:ascii="Times New Roman" w:hAnsi="Times New Roman"/>
                <w:sz w:val="18"/>
                <w:szCs w:val="18"/>
              </w:rPr>
              <w:t>0.169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jc w:val="center"/>
              <w:rPr>
                <w:sz w:val="18"/>
                <w:szCs w:val="18"/>
              </w:rPr>
            </w:pPr>
            <w:r>
              <w:rPr>
                <w:rFonts w:hint="eastAsia"/>
                <w:sz w:val="18"/>
                <w:szCs w:val="18"/>
              </w:rPr>
              <w:t>锡</w:t>
            </w:r>
          </w:p>
        </w:tc>
        <w:tc>
          <w:tcPr>
            <w:tcW w:w="1574" w:type="dxa"/>
            <w:vAlign w:val="center"/>
          </w:tcPr>
          <w:p>
            <w:pPr>
              <w:jc w:val="center"/>
              <w:rPr>
                <w:rFonts w:ascii="Times New Roman" w:hAnsi="Times New Roman"/>
                <w:sz w:val="18"/>
                <w:szCs w:val="18"/>
              </w:rPr>
            </w:pPr>
            <w:r>
              <w:rPr>
                <w:rFonts w:ascii="Times New Roman" w:hAnsi="Times New Roman"/>
                <w:sz w:val="18"/>
                <w:szCs w:val="18"/>
              </w:rPr>
              <w:t>20</w:t>
            </w:r>
          </w:p>
        </w:tc>
        <w:tc>
          <w:tcPr>
            <w:tcW w:w="1575" w:type="dxa"/>
            <w:vAlign w:val="center"/>
          </w:tcPr>
          <w:p>
            <w:pPr>
              <w:jc w:val="center"/>
              <w:rPr>
                <w:rFonts w:ascii="Times New Roman" w:hAnsi="Times New Roman"/>
                <w:sz w:val="18"/>
                <w:szCs w:val="18"/>
              </w:rPr>
            </w:pPr>
            <w:r>
              <w:rPr>
                <w:rFonts w:ascii="Times New Roman" w:hAnsi="Times New Roman"/>
                <w:sz w:val="18"/>
                <w:szCs w:val="18"/>
              </w:rPr>
              <w:t>0.035</w:t>
            </w:r>
          </w:p>
        </w:tc>
        <w:tc>
          <w:tcPr>
            <w:tcW w:w="1694" w:type="dxa"/>
            <w:vAlign w:val="center"/>
          </w:tcPr>
          <w:p>
            <w:pPr>
              <w:jc w:val="center"/>
              <w:rPr>
                <w:rFonts w:ascii="Times New Roman" w:hAnsi="Times New Roman"/>
                <w:sz w:val="18"/>
                <w:szCs w:val="18"/>
              </w:rPr>
            </w:pPr>
            <w:r>
              <w:rPr>
                <w:rFonts w:ascii="Times New Roman" w:hAnsi="Times New Roman"/>
                <w:sz w:val="18"/>
                <w:szCs w:val="18"/>
              </w:rPr>
              <w:t>0.166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jc w:val="center"/>
              <w:rPr>
                <w:sz w:val="18"/>
                <w:szCs w:val="18"/>
              </w:rPr>
            </w:pPr>
            <w:r>
              <w:rPr>
                <w:rFonts w:hint="eastAsia"/>
                <w:sz w:val="18"/>
                <w:szCs w:val="18"/>
              </w:rPr>
              <w:t>锑</w:t>
            </w:r>
          </w:p>
        </w:tc>
        <w:tc>
          <w:tcPr>
            <w:tcW w:w="1574" w:type="dxa"/>
            <w:vAlign w:val="center"/>
          </w:tcPr>
          <w:p>
            <w:pPr>
              <w:jc w:val="center"/>
              <w:rPr>
                <w:rFonts w:ascii="Times New Roman" w:hAnsi="Times New Roman"/>
                <w:sz w:val="18"/>
                <w:szCs w:val="18"/>
              </w:rPr>
            </w:pPr>
            <w:r>
              <w:rPr>
                <w:rFonts w:ascii="Times New Roman" w:hAnsi="Times New Roman"/>
                <w:sz w:val="18"/>
                <w:szCs w:val="18"/>
              </w:rPr>
              <w:t>40</w:t>
            </w:r>
          </w:p>
        </w:tc>
        <w:tc>
          <w:tcPr>
            <w:tcW w:w="1575" w:type="dxa"/>
            <w:vAlign w:val="center"/>
          </w:tcPr>
          <w:p>
            <w:pPr>
              <w:jc w:val="center"/>
              <w:rPr>
                <w:rFonts w:ascii="Times New Roman" w:hAnsi="Times New Roman"/>
                <w:sz w:val="18"/>
                <w:szCs w:val="18"/>
              </w:rPr>
            </w:pPr>
            <w:r>
              <w:rPr>
                <w:rFonts w:ascii="Times New Roman" w:hAnsi="Times New Roman"/>
                <w:sz w:val="18"/>
                <w:szCs w:val="18"/>
              </w:rPr>
              <w:t>0.036</w:t>
            </w:r>
          </w:p>
        </w:tc>
        <w:tc>
          <w:tcPr>
            <w:tcW w:w="1694" w:type="dxa"/>
            <w:vAlign w:val="center"/>
          </w:tcPr>
          <w:p>
            <w:pPr>
              <w:jc w:val="center"/>
              <w:rPr>
                <w:rFonts w:ascii="Times New Roman" w:hAnsi="Times New Roman"/>
                <w:sz w:val="18"/>
                <w:szCs w:val="18"/>
              </w:rPr>
            </w:pPr>
            <w:r>
              <w:rPr>
                <w:rFonts w:ascii="Times New Roman" w:hAnsi="Times New Roman"/>
                <w:sz w:val="18"/>
                <w:szCs w:val="18"/>
              </w:rPr>
              <w:t>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jc w:val="center"/>
              <w:rPr>
                <w:sz w:val="18"/>
                <w:szCs w:val="18"/>
              </w:rPr>
            </w:pPr>
            <w:r>
              <w:rPr>
                <w:rFonts w:hint="eastAsia"/>
                <w:sz w:val="18"/>
                <w:szCs w:val="18"/>
              </w:rPr>
              <w:t>锌</w:t>
            </w:r>
          </w:p>
        </w:tc>
        <w:tc>
          <w:tcPr>
            <w:tcW w:w="1574" w:type="dxa"/>
            <w:vAlign w:val="center"/>
          </w:tcPr>
          <w:p>
            <w:pPr>
              <w:jc w:val="center"/>
              <w:rPr>
                <w:rFonts w:ascii="Times New Roman" w:hAnsi="Times New Roman"/>
                <w:sz w:val="18"/>
                <w:szCs w:val="18"/>
              </w:rPr>
            </w:pPr>
            <w:r>
              <w:rPr>
                <w:rFonts w:ascii="Times New Roman" w:hAnsi="Times New Roman"/>
                <w:sz w:val="18"/>
                <w:szCs w:val="18"/>
              </w:rPr>
              <w:t>125</w:t>
            </w:r>
          </w:p>
        </w:tc>
        <w:tc>
          <w:tcPr>
            <w:tcW w:w="1575" w:type="dxa"/>
            <w:vAlign w:val="center"/>
          </w:tcPr>
          <w:p>
            <w:pPr>
              <w:jc w:val="center"/>
              <w:rPr>
                <w:rFonts w:ascii="Times New Roman" w:hAnsi="Times New Roman"/>
                <w:sz w:val="18"/>
                <w:szCs w:val="18"/>
              </w:rPr>
            </w:pPr>
            <w:r>
              <w:rPr>
                <w:rFonts w:ascii="Times New Roman" w:hAnsi="Times New Roman"/>
                <w:sz w:val="18"/>
                <w:szCs w:val="18"/>
              </w:rPr>
              <w:t>0.034</w:t>
            </w:r>
          </w:p>
        </w:tc>
        <w:tc>
          <w:tcPr>
            <w:tcW w:w="1694" w:type="dxa"/>
            <w:vAlign w:val="center"/>
          </w:tcPr>
          <w:p>
            <w:pPr>
              <w:jc w:val="center"/>
              <w:rPr>
                <w:rFonts w:ascii="Times New Roman" w:hAnsi="Times New Roman"/>
                <w:sz w:val="18"/>
                <w:szCs w:val="18"/>
              </w:rPr>
            </w:pPr>
            <w:r>
              <w:rPr>
                <w:rFonts w:ascii="Times New Roman" w:hAnsi="Times New Roman"/>
                <w:sz w:val="18"/>
                <w:szCs w:val="18"/>
              </w:rPr>
              <w:t>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jc w:val="center"/>
              <w:rPr>
                <w:sz w:val="18"/>
                <w:szCs w:val="18"/>
              </w:rPr>
            </w:pPr>
            <w:r>
              <w:rPr>
                <w:rFonts w:hint="eastAsia"/>
                <w:sz w:val="18"/>
                <w:szCs w:val="18"/>
              </w:rPr>
              <w:t>铁</w:t>
            </w:r>
          </w:p>
        </w:tc>
        <w:tc>
          <w:tcPr>
            <w:tcW w:w="1574" w:type="dxa"/>
            <w:vAlign w:val="center"/>
          </w:tcPr>
          <w:p>
            <w:pPr>
              <w:jc w:val="center"/>
              <w:rPr>
                <w:rFonts w:ascii="Times New Roman" w:hAnsi="Times New Roman"/>
                <w:sz w:val="18"/>
                <w:szCs w:val="18"/>
              </w:rPr>
            </w:pPr>
            <w:r>
              <w:rPr>
                <w:rFonts w:ascii="Times New Roman" w:hAnsi="Times New Roman"/>
                <w:sz w:val="18"/>
                <w:szCs w:val="18"/>
              </w:rPr>
              <w:t>110</w:t>
            </w:r>
          </w:p>
        </w:tc>
        <w:tc>
          <w:tcPr>
            <w:tcW w:w="1575" w:type="dxa"/>
            <w:vAlign w:val="center"/>
          </w:tcPr>
          <w:p>
            <w:pPr>
              <w:jc w:val="center"/>
              <w:rPr>
                <w:rFonts w:ascii="Times New Roman" w:hAnsi="Times New Roman"/>
                <w:sz w:val="18"/>
                <w:szCs w:val="18"/>
              </w:rPr>
            </w:pPr>
            <w:r>
              <w:rPr>
                <w:rFonts w:ascii="Times New Roman" w:hAnsi="Times New Roman"/>
                <w:sz w:val="18"/>
                <w:szCs w:val="18"/>
              </w:rPr>
              <w:t>0.036</w:t>
            </w:r>
          </w:p>
        </w:tc>
        <w:tc>
          <w:tcPr>
            <w:tcW w:w="1694" w:type="dxa"/>
            <w:vAlign w:val="center"/>
          </w:tcPr>
          <w:p>
            <w:pPr>
              <w:jc w:val="center"/>
              <w:rPr>
                <w:rFonts w:ascii="Times New Roman" w:hAnsi="Times New Roman"/>
                <w:sz w:val="18"/>
                <w:szCs w:val="18"/>
              </w:rPr>
            </w:pPr>
            <w:r>
              <w:rPr>
                <w:rFonts w:ascii="Times New Roman" w:hAnsi="Times New Roman"/>
                <w:sz w:val="18"/>
                <w:szCs w:val="18"/>
              </w:rPr>
              <w:t>0.172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jc w:val="center"/>
              <w:rPr>
                <w:sz w:val="18"/>
                <w:szCs w:val="18"/>
              </w:rPr>
            </w:pPr>
            <w:r>
              <w:rPr>
                <w:rFonts w:hint="eastAsia"/>
                <w:sz w:val="18"/>
                <w:szCs w:val="18"/>
              </w:rPr>
              <w:t>铜</w:t>
            </w:r>
          </w:p>
        </w:tc>
        <w:tc>
          <w:tcPr>
            <w:tcW w:w="1574" w:type="dxa"/>
            <w:vAlign w:val="center"/>
          </w:tcPr>
          <w:p>
            <w:pPr>
              <w:jc w:val="center"/>
              <w:rPr>
                <w:rFonts w:ascii="Times New Roman" w:hAnsi="Times New Roman"/>
                <w:sz w:val="18"/>
                <w:szCs w:val="18"/>
              </w:rPr>
            </w:pPr>
            <w:r>
              <w:rPr>
                <w:rFonts w:ascii="Times New Roman" w:hAnsi="Times New Roman"/>
                <w:sz w:val="18"/>
                <w:szCs w:val="18"/>
              </w:rPr>
              <w:t>120</w:t>
            </w:r>
          </w:p>
        </w:tc>
        <w:tc>
          <w:tcPr>
            <w:tcW w:w="1575" w:type="dxa"/>
            <w:vAlign w:val="center"/>
          </w:tcPr>
          <w:p>
            <w:pPr>
              <w:jc w:val="center"/>
              <w:rPr>
                <w:rFonts w:ascii="Times New Roman" w:hAnsi="Times New Roman"/>
                <w:sz w:val="18"/>
                <w:szCs w:val="18"/>
              </w:rPr>
            </w:pPr>
            <w:r>
              <w:rPr>
                <w:rFonts w:ascii="Times New Roman" w:hAnsi="Times New Roman"/>
                <w:sz w:val="18"/>
                <w:szCs w:val="18"/>
              </w:rPr>
              <w:t>0.034</w:t>
            </w:r>
          </w:p>
        </w:tc>
        <w:tc>
          <w:tcPr>
            <w:tcW w:w="1694" w:type="dxa"/>
            <w:vAlign w:val="center"/>
          </w:tcPr>
          <w:p>
            <w:pPr>
              <w:jc w:val="center"/>
              <w:rPr>
                <w:rFonts w:ascii="Times New Roman" w:hAnsi="Times New Roman"/>
                <w:sz w:val="18"/>
                <w:szCs w:val="18"/>
              </w:rPr>
            </w:pPr>
            <w:r>
              <w:rPr>
                <w:rFonts w:ascii="Times New Roman" w:hAnsi="Times New Roman"/>
                <w:sz w:val="18"/>
                <w:szCs w:val="18"/>
              </w:rPr>
              <w:t>0.169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jc w:val="center"/>
              <w:rPr>
                <w:sz w:val="18"/>
                <w:szCs w:val="18"/>
              </w:rPr>
            </w:pPr>
            <w:r>
              <w:rPr>
                <w:rFonts w:hint="eastAsia"/>
                <w:sz w:val="18"/>
                <w:szCs w:val="18"/>
              </w:rPr>
              <w:t>碲</w:t>
            </w:r>
          </w:p>
        </w:tc>
        <w:tc>
          <w:tcPr>
            <w:tcW w:w="1574" w:type="dxa"/>
            <w:vAlign w:val="center"/>
          </w:tcPr>
          <w:p>
            <w:pPr>
              <w:jc w:val="center"/>
              <w:rPr>
                <w:rFonts w:ascii="Times New Roman" w:hAnsi="Times New Roman"/>
                <w:sz w:val="18"/>
                <w:szCs w:val="18"/>
              </w:rPr>
            </w:pPr>
            <w:r>
              <w:rPr>
                <w:rFonts w:ascii="Times New Roman" w:hAnsi="Times New Roman"/>
                <w:sz w:val="18"/>
                <w:szCs w:val="18"/>
              </w:rPr>
              <w:t>0.60</w:t>
            </w:r>
          </w:p>
        </w:tc>
        <w:tc>
          <w:tcPr>
            <w:tcW w:w="1575" w:type="dxa"/>
            <w:vAlign w:val="center"/>
          </w:tcPr>
          <w:p>
            <w:pPr>
              <w:jc w:val="center"/>
              <w:rPr>
                <w:rFonts w:ascii="Times New Roman" w:hAnsi="Times New Roman"/>
                <w:sz w:val="18"/>
                <w:szCs w:val="18"/>
              </w:rPr>
            </w:pPr>
            <w:r>
              <w:rPr>
                <w:rFonts w:ascii="Times New Roman" w:hAnsi="Times New Roman"/>
                <w:sz w:val="18"/>
                <w:szCs w:val="18"/>
              </w:rPr>
              <w:t>0.034</w:t>
            </w:r>
          </w:p>
        </w:tc>
        <w:tc>
          <w:tcPr>
            <w:tcW w:w="1694" w:type="dxa"/>
            <w:vAlign w:val="center"/>
          </w:tcPr>
          <w:p>
            <w:pPr>
              <w:jc w:val="center"/>
              <w:rPr>
                <w:rFonts w:ascii="Times New Roman" w:hAnsi="Times New Roman"/>
                <w:sz w:val="18"/>
                <w:szCs w:val="18"/>
              </w:rPr>
            </w:pPr>
            <w:r>
              <w:rPr>
                <w:rFonts w:ascii="Times New Roman" w:hAnsi="Times New Roman"/>
                <w:sz w:val="18"/>
                <w:szCs w:val="18"/>
              </w:rPr>
              <w:t>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jc w:val="center"/>
              <w:rPr>
                <w:sz w:val="18"/>
                <w:szCs w:val="18"/>
              </w:rPr>
            </w:pPr>
            <w:r>
              <w:rPr>
                <w:rFonts w:hint="eastAsia"/>
                <w:sz w:val="18"/>
                <w:szCs w:val="18"/>
              </w:rPr>
              <w:t>钙</w:t>
            </w:r>
          </w:p>
        </w:tc>
        <w:tc>
          <w:tcPr>
            <w:tcW w:w="1574" w:type="dxa"/>
            <w:vAlign w:val="center"/>
          </w:tcPr>
          <w:p>
            <w:pPr>
              <w:jc w:val="center"/>
              <w:rPr>
                <w:rFonts w:ascii="Times New Roman" w:hAnsi="Times New Roman"/>
                <w:sz w:val="18"/>
                <w:szCs w:val="18"/>
              </w:rPr>
            </w:pPr>
            <w:r>
              <w:rPr>
                <w:rFonts w:ascii="Times New Roman" w:hAnsi="Times New Roman"/>
                <w:sz w:val="18"/>
                <w:szCs w:val="18"/>
              </w:rPr>
              <w:t>7.50</w:t>
            </w:r>
          </w:p>
        </w:tc>
        <w:tc>
          <w:tcPr>
            <w:tcW w:w="1575" w:type="dxa"/>
            <w:vAlign w:val="center"/>
          </w:tcPr>
          <w:p>
            <w:pPr>
              <w:jc w:val="center"/>
              <w:rPr>
                <w:rFonts w:ascii="Times New Roman" w:hAnsi="Times New Roman"/>
                <w:sz w:val="18"/>
                <w:szCs w:val="18"/>
              </w:rPr>
            </w:pPr>
            <w:r>
              <w:rPr>
                <w:rFonts w:ascii="Times New Roman" w:hAnsi="Times New Roman"/>
                <w:sz w:val="18"/>
                <w:szCs w:val="18"/>
              </w:rPr>
              <w:t>0.035</w:t>
            </w:r>
          </w:p>
        </w:tc>
        <w:tc>
          <w:tcPr>
            <w:tcW w:w="1694" w:type="dxa"/>
            <w:vAlign w:val="center"/>
          </w:tcPr>
          <w:p>
            <w:pPr>
              <w:jc w:val="center"/>
              <w:rPr>
                <w:rFonts w:ascii="Times New Roman" w:hAnsi="Times New Roman"/>
                <w:sz w:val="18"/>
                <w:szCs w:val="18"/>
              </w:rPr>
            </w:pPr>
            <w:r>
              <w:rPr>
                <w:rFonts w:ascii="Times New Roman" w:hAnsi="Times New Roman"/>
                <w:sz w:val="18"/>
                <w:szCs w:val="18"/>
              </w:rPr>
              <w:t>0.172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jc w:val="center"/>
              <w:rPr>
                <w:sz w:val="18"/>
                <w:szCs w:val="18"/>
              </w:rPr>
            </w:pPr>
            <w:r>
              <w:rPr>
                <w:rFonts w:hint="eastAsia"/>
                <w:sz w:val="18"/>
                <w:szCs w:val="18"/>
              </w:rPr>
              <w:t>镁</w:t>
            </w:r>
          </w:p>
        </w:tc>
        <w:tc>
          <w:tcPr>
            <w:tcW w:w="1574" w:type="dxa"/>
            <w:vAlign w:val="center"/>
          </w:tcPr>
          <w:p>
            <w:pPr>
              <w:jc w:val="center"/>
              <w:rPr>
                <w:rFonts w:ascii="Times New Roman" w:hAnsi="Times New Roman"/>
                <w:sz w:val="18"/>
                <w:szCs w:val="18"/>
              </w:rPr>
            </w:pPr>
            <w:r>
              <w:rPr>
                <w:rFonts w:ascii="Times New Roman" w:hAnsi="Times New Roman"/>
                <w:sz w:val="18"/>
                <w:szCs w:val="18"/>
              </w:rPr>
              <w:t>5</w:t>
            </w:r>
          </w:p>
        </w:tc>
        <w:tc>
          <w:tcPr>
            <w:tcW w:w="1575" w:type="dxa"/>
            <w:vAlign w:val="center"/>
          </w:tcPr>
          <w:p>
            <w:pPr>
              <w:jc w:val="center"/>
              <w:rPr>
                <w:rFonts w:ascii="Times New Roman" w:hAnsi="Times New Roman"/>
                <w:sz w:val="18"/>
                <w:szCs w:val="18"/>
              </w:rPr>
            </w:pPr>
            <w:r>
              <w:rPr>
                <w:rFonts w:ascii="Times New Roman" w:hAnsi="Times New Roman"/>
                <w:sz w:val="18"/>
                <w:szCs w:val="18"/>
              </w:rPr>
              <w:t>0.035</w:t>
            </w:r>
          </w:p>
        </w:tc>
        <w:tc>
          <w:tcPr>
            <w:tcW w:w="1694" w:type="dxa"/>
            <w:vAlign w:val="center"/>
          </w:tcPr>
          <w:p>
            <w:pPr>
              <w:jc w:val="center"/>
              <w:rPr>
                <w:rFonts w:ascii="Times New Roman" w:hAnsi="Times New Roman"/>
                <w:sz w:val="18"/>
                <w:szCs w:val="18"/>
              </w:rPr>
            </w:pPr>
            <w:r>
              <w:rPr>
                <w:rFonts w:ascii="Times New Roman" w:hAnsi="Times New Roman"/>
                <w:sz w:val="18"/>
                <w:szCs w:val="18"/>
              </w:rPr>
              <w:t>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jc w:val="center"/>
              <w:rPr>
                <w:sz w:val="18"/>
                <w:szCs w:val="18"/>
              </w:rPr>
            </w:pPr>
            <w:r>
              <w:rPr>
                <w:rFonts w:hint="eastAsia"/>
                <w:sz w:val="18"/>
                <w:szCs w:val="18"/>
              </w:rPr>
              <w:t>铟</w:t>
            </w:r>
          </w:p>
        </w:tc>
        <w:tc>
          <w:tcPr>
            <w:tcW w:w="1574" w:type="dxa"/>
            <w:vAlign w:val="center"/>
          </w:tcPr>
          <w:p>
            <w:pPr>
              <w:jc w:val="center"/>
              <w:rPr>
                <w:rFonts w:ascii="Times New Roman" w:hAnsi="Times New Roman"/>
                <w:sz w:val="18"/>
                <w:szCs w:val="18"/>
              </w:rPr>
            </w:pPr>
            <w:r>
              <w:rPr>
                <w:rFonts w:ascii="Times New Roman" w:hAnsi="Times New Roman"/>
                <w:sz w:val="18"/>
                <w:szCs w:val="18"/>
              </w:rPr>
              <w:t>0.77</w:t>
            </w:r>
          </w:p>
        </w:tc>
        <w:tc>
          <w:tcPr>
            <w:tcW w:w="1575" w:type="dxa"/>
            <w:vAlign w:val="center"/>
          </w:tcPr>
          <w:p>
            <w:pPr>
              <w:jc w:val="center"/>
              <w:rPr>
                <w:rFonts w:ascii="Times New Roman" w:hAnsi="Times New Roman"/>
                <w:sz w:val="18"/>
                <w:szCs w:val="18"/>
              </w:rPr>
            </w:pPr>
            <w:r>
              <w:rPr>
                <w:rFonts w:ascii="Times New Roman" w:hAnsi="Times New Roman"/>
                <w:sz w:val="18"/>
                <w:szCs w:val="18"/>
              </w:rPr>
              <w:t>0.033</w:t>
            </w:r>
          </w:p>
        </w:tc>
        <w:tc>
          <w:tcPr>
            <w:tcW w:w="1694" w:type="dxa"/>
            <w:vAlign w:val="center"/>
          </w:tcPr>
          <w:p>
            <w:pPr>
              <w:jc w:val="center"/>
              <w:rPr>
                <w:rFonts w:ascii="Times New Roman" w:hAnsi="Times New Roman"/>
                <w:sz w:val="18"/>
                <w:szCs w:val="18"/>
              </w:rPr>
            </w:pPr>
            <w:r>
              <w:rPr>
                <w:rFonts w:ascii="Times New Roman" w:hAnsi="Times New Roman"/>
                <w:sz w:val="18"/>
                <w:szCs w:val="18"/>
              </w:rPr>
              <w:t>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jc w:val="center"/>
              <w:rPr>
                <w:sz w:val="18"/>
                <w:szCs w:val="18"/>
              </w:rPr>
            </w:pPr>
            <w:r>
              <w:rPr>
                <w:rFonts w:hint="eastAsia"/>
                <w:sz w:val="18"/>
                <w:szCs w:val="18"/>
              </w:rPr>
              <w:t>铝</w:t>
            </w:r>
          </w:p>
        </w:tc>
        <w:tc>
          <w:tcPr>
            <w:tcW w:w="1574" w:type="dxa"/>
            <w:vAlign w:val="center"/>
          </w:tcPr>
          <w:p>
            <w:pPr>
              <w:jc w:val="center"/>
              <w:rPr>
                <w:rFonts w:ascii="Times New Roman" w:hAnsi="Times New Roman"/>
                <w:sz w:val="18"/>
                <w:szCs w:val="18"/>
              </w:rPr>
            </w:pPr>
            <w:r>
              <w:rPr>
                <w:rFonts w:ascii="Times New Roman" w:hAnsi="Times New Roman"/>
                <w:sz w:val="18"/>
                <w:szCs w:val="18"/>
              </w:rPr>
              <w:t>8</w:t>
            </w:r>
          </w:p>
        </w:tc>
        <w:tc>
          <w:tcPr>
            <w:tcW w:w="1575" w:type="dxa"/>
            <w:vAlign w:val="center"/>
          </w:tcPr>
          <w:p>
            <w:pPr>
              <w:jc w:val="center"/>
              <w:rPr>
                <w:rFonts w:ascii="Times New Roman" w:hAnsi="Times New Roman"/>
                <w:sz w:val="18"/>
                <w:szCs w:val="18"/>
              </w:rPr>
            </w:pPr>
            <w:r>
              <w:rPr>
                <w:rFonts w:ascii="Times New Roman" w:hAnsi="Times New Roman"/>
                <w:sz w:val="18"/>
                <w:szCs w:val="18"/>
              </w:rPr>
              <w:t>0.035</w:t>
            </w:r>
          </w:p>
        </w:tc>
        <w:tc>
          <w:tcPr>
            <w:tcW w:w="1694" w:type="dxa"/>
            <w:vAlign w:val="center"/>
          </w:tcPr>
          <w:p>
            <w:pPr>
              <w:jc w:val="center"/>
              <w:rPr>
                <w:rFonts w:ascii="Times New Roman" w:hAnsi="Times New Roman"/>
                <w:sz w:val="18"/>
                <w:szCs w:val="18"/>
              </w:rPr>
            </w:pPr>
            <w:r>
              <w:rPr>
                <w:rFonts w:ascii="Times New Roman" w:hAnsi="Times New Roman"/>
                <w:sz w:val="18"/>
                <w:szCs w:val="18"/>
              </w:rPr>
              <w:t>0.166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jc w:val="center"/>
              <w:rPr>
                <w:sz w:val="18"/>
                <w:szCs w:val="18"/>
              </w:rPr>
            </w:pPr>
            <w:r>
              <w:rPr>
                <w:rFonts w:hint="eastAsia"/>
                <w:sz w:val="18"/>
                <w:szCs w:val="18"/>
              </w:rPr>
              <w:t>二氧化硅</w:t>
            </w:r>
          </w:p>
        </w:tc>
        <w:tc>
          <w:tcPr>
            <w:tcW w:w="1574" w:type="dxa"/>
            <w:vAlign w:val="center"/>
          </w:tcPr>
          <w:p>
            <w:pPr>
              <w:jc w:val="center"/>
              <w:rPr>
                <w:rFonts w:ascii="Times New Roman" w:hAnsi="Times New Roman"/>
                <w:sz w:val="18"/>
                <w:szCs w:val="18"/>
              </w:rPr>
            </w:pPr>
            <w:r>
              <w:rPr>
                <w:rFonts w:ascii="Times New Roman" w:hAnsi="Times New Roman"/>
                <w:sz w:val="18"/>
                <w:szCs w:val="18"/>
              </w:rPr>
              <w:t>108</w:t>
            </w:r>
          </w:p>
        </w:tc>
        <w:tc>
          <w:tcPr>
            <w:tcW w:w="1575" w:type="dxa"/>
            <w:vAlign w:val="center"/>
          </w:tcPr>
          <w:p>
            <w:pPr>
              <w:jc w:val="center"/>
              <w:rPr>
                <w:rFonts w:ascii="Times New Roman" w:hAnsi="Times New Roman"/>
                <w:sz w:val="18"/>
                <w:szCs w:val="18"/>
              </w:rPr>
            </w:pPr>
            <w:r>
              <w:rPr>
                <w:rFonts w:ascii="Times New Roman" w:hAnsi="Times New Roman"/>
                <w:sz w:val="18"/>
                <w:szCs w:val="18"/>
              </w:rPr>
              <w:t>0.035</w:t>
            </w:r>
          </w:p>
        </w:tc>
        <w:tc>
          <w:tcPr>
            <w:tcW w:w="1694" w:type="dxa"/>
            <w:vAlign w:val="center"/>
          </w:tcPr>
          <w:p>
            <w:pPr>
              <w:jc w:val="center"/>
              <w:rPr>
                <w:rFonts w:ascii="Times New Roman" w:hAnsi="Times New Roman"/>
                <w:sz w:val="18"/>
                <w:szCs w:val="18"/>
              </w:rPr>
            </w:pPr>
            <w:r>
              <w:rPr>
                <w:rFonts w:ascii="Times New Roman" w:hAnsi="Times New Roman"/>
                <w:sz w:val="18"/>
                <w:szCs w:val="18"/>
              </w:rPr>
              <w:t>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jc w:val="center"/>
              <w:rPr>
                <w:sz w:val="18"/>
                <w:szCs w:val="18"/>
              </w:rPr>
            </w:pPr>
            <w:r>
              <w:rPr>
                <w:rFonts w:hint="eastAsia"/>
                <w:sz w:val="18"/>
                <w:szCs w:val="18"/>
              </w:rPr>
              <w:t>镉</w:t>
            </w:r>
          </w:p>
        </w:tc>
        <w:tc>
          <w:tcPr>
            <w:tcW w:w="1574" w:type="dxa"/>
            <w:vAlign w:val="center"/>
          </w:tcPr>
          <w:p>
            <w:pPr>
              <w:jc w:val="center"/>
              <w:rPr>
                <w:rFonts w:ascii="Times New Roman" w:hAnsi="Times New Roman"/>
                <w:sz w:val="18"/>
                <w:szCs w:val="18"/>
              </w:rPr>
            </w:pPr>
            <w:r>
              <w:rPr>
                <w:rFonts w:ascii="Times New Roman" w:hAnsi="Times New Roman"/>
                <w:sz w:val="18"/>
                <w:szCs w:val="18"/>
              </w:rPr>
              <w:t>80</w:t>
            </w:r>
          </w:p>
        </w:tc>
        <w:tc>
          <w:tcPr>
            <w:tcW w:w="1575" w:type="dxa"/>
            <w:vAlign w:val="center"/>
          </w:tcPr>
          <w:p>
            <w:pPr>
              <w:jc w:val="center"/>
              <w:rPr>
                <w:rFonts w:ascii="Times New Roman" w:hAnsi="Times New Roman"/>
                <w:sz w:val="18"/>
                <w:szCs w:val="18"/>
              </w:rPr>
            </w:pPr>
            <w:r>
              <w:rPr>
                <w:rFonts w:ascii="Times New Roman" w:hAnsi="Times New Roman"/>
                <w:sz w:val="18"/>
                <w:szCs w:val="18"/>
              </w:rPr>
              <w:t>0.034</w:t>
            </w:r>
          </w:p>
        </w:tc>
        <w:tc>
          <w:tcPr>
            <w:tcW w:w="1694" w:type="dxa"/>
            <w:vAlign w:val="center"/>
          </w:tcPr>
          <w:p>
            <w:pPr>
              <w:jc w:val="center"/>
              <w:rPr>
                <w:rFonts w:ascii="Times New Roman" w:hAnsi="Times New Roman"/>
                <w:sz w:val="18"/>
                <w:szCs w:val="18"/>
              </w:rPr>
            </w:pPr>
            <w:r>
              <w:rPr>
                <w:rFonts w:ascii="Times New Roman" w:hAnsi="Times New Roman"/>
                <w:sz w:val="18"/>
                <w:szCs w:val="18"/>
              </w:rPr>
              <w:t>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jc w:val="center"/>
              <w:rPr>
                <w:sz w:val="18"/>
                <w:szCs w:val="18"/>
              </w:rPr>
            </w:pPr>
            <w:r>
              <w:rPr>
                <w:rFonts w:hint="eastAsia"/>
                <w:sz w:val="18"/>
                <w:szCs w:val="18"/>
              </w:rPr>
              <w:t>铅</w:t>
            </w:r>
          </w:p>
        </w:tc>
        <w:tc>
          <w:tcPr>
            <w:tcW w:w="1574" w:type="dxa"/>
            <w:vAlign w:val="center"/>
          </w:tcPr>
          <w:p>
            <w:pPr>
              <w:jc w:val="center"/>
              <w:rPr>
                <w:rFonts w:ascii="Times New Roman" w:hAnsi="Times New Roman"/>
                <w:sz w:val="18"/>
                <w:szCs w:val="18"/>
              </w:rPr>
            </w:pPr>
            <w:r>
              <w:rPr>
                <w:rFonts w:ascii="Times New Roman" w:hAnsi="Times New Roman"/>
                <w:sz w:val="18"/>
                <w:szCs w:val="18"/>
              </w:rPr>
              <w:t>250</w:t>
            </w:r>
          </w:p>
        </w:tc>
        <w:tc>
          <w:tcPr>
            <w:tcW w:w="1575" w:type="dxa"/>
            <w:vAlign w:val="center"/>
          </w:tcPr>
          <w:p>
            <w:pPr>
              <w:jc w:val="center"/>
              <w:rPr>
                <w:rFonts w:ascii="Times New Roman" w:hAnsi="Times New Roman"/>
                <w:sz w:val="18"/>
                <w:szCs w:val="18"/>
              </w:rPr>
            </w:pPr>
            <w:r>
              <w:rPr>
                <w:rFonts w:ascii="Times New Roman" w:hAnsi="Times New Roman"/>
                <w:sz w:val="18"/>
                <w:szCs w:val="18"/>
              </w:rPr>
              <w:t>0.034</w:t>
            </w:r>
          </w:p>
        </w:tc>
        <w:tc>
          <w:tcPr>
            <w:tcW w:w="1694" w:type="dxa"/>
            <w:vAlign w:val="center"/>
          </w:tcPr>
          <w:p>
            <w:pPr>
              <w:jc w:val="center"/>
              <w:rPr>
                <w:rFonts w:ascii="Times New Roman" w:hAnsi="Times New Roman"/>
                <w:sz w:val="18"/>
                <w:szCs w:val="18"/>
              </w:rPr>
            </w:pPr>
            <w:r>
              <w:rPr>
                <w:rFonts w:ascii="Times New Roman" w:hAnsi="Times New Roman"/>
                <w:sz w:val="18"/>
                <w:szCs w:val="18"/>
              </w:rPr>
              <w:t>0.164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jc w:val="center"/>
              <w:rPr>
                <w:sz w:val="18"/>
                <w:szCs w:val="18"/>
              </w:rPr>
            </w:pPr>
            <w:r>
              <w:rPr>
                <w:rFonts w:hint="eastAsia"/>
                <w:sz w:val="18"/>
                <w:szCs w:val="18"/>
              </w:rPr>
              <w:t>硒</w:t>
            </w:r>
          </w:p>
        </w:tc>
        <w:tc>
          <w:tcPr>
            <w:tcW w:w="1574" w:type="dxa"/>
            <w:vAlign w:val="center"/>
          </w:tcPr>
          <w:p>
            <w:pPr>
              <w:jc w:val="center"/>
              <w:rPr>
                <w:rFonts w:ascii="Times New Roman" w:hAnsi="Times New Roman"/>
                <w:sz w:val="18"/>
                <w:szCs w:val="18"/>
              </w:rPr>
            </w:pPr>
            <w:r>
              <w:rPr>
                <w:rFonts w:ascii="Times New Roman" w:hAnsi="Times New Roman"/>
                <w:sz w:val="18"/>
                <w:szCs w:val="18"/>
              </w:rPr>
              <w:t>5</w:t>
            </w:r>
          </w:p>
        </w:tc>
        <w:tc>
          <w:tcPr>
            <w:tcW w:w="1575" w:type="dxa"/>
            <w:vAlign w:val="center"/>
          </w:tcPr>
          <w:p>
            <w:pPr>
              <w:jc w:val="center"/>
              <w:rPr>
                <w:rFonts w:ascii="Times New Roman" w:hAnsi="Times New Roman"/>
                <w:sz w:val="18"/>
                <w:szCs w:val="18"/>
              </w:rPr>
            </w:pPr>
            <w:r>
              <w:rPr>
                <w:rFonts w:ascii="Times New Roman" w:hAnsi="Times New Roman"/>
                <w:sz w:val="18"/>
                <w:szCs w:val="18"/>
              </w:rPr>
              <w:t>0.034</w:t>
            </w:r>
          </w:p>
        </w:tc>
        <w:tc>
          <w:tcPr>
            <w:tcW w:w="1694" w:type="dxa"/>
            <w:vAlign w:val="center"/>
          </w:tcPr>
          <w:p>
            <w:pPr>
              <w:jc w:val="center"/>
              <w:rPr>
                <w:rFonts w:ascii="Times New Roman" w:hAnsi="Times New Roman"/>
                <w:sz w:val="18"/>
                <w:szCs w:val="18"/>
              </w:rPr>
            </w:pPr>
            <w:r>
              <w:rPr>
                <w:rFonts w:ascii="Times New Roman" w:hAnsi="Times New Roman"/>
                <w:sz w:val="18"/>
                <w:szCs w:val="18"/>
              </w:rPr>
              <w:t>0.169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jc w:val="center"/>
              <w:rPr>
                <w:sz w:val="18"/>
                <w:szCs w:val="18"/>
              </w:rPr>
            </w:pPr>
            <w:r>
              <w:rPr>
                <w:rFonts w:hint="eastAsia"/>
                <w:sz w:val="18"/>
                <w:szCs w:val="18"/>
              </w:rPr>
              <w:t>金</w:t>
            </w:r>
          </w:p>
        </w:tc>
        <w:tc>
          <w:tcPr>
            <w:tcW w:w="1574" w:type="dxa"/>
            <w:vAlign w:val="center"/>
          </w:tcPr>
          <w:p>
            <w:pPr>
              <w:jc w:val="center"/>
              <w:rPr>
                <w:rFonts w:ascii="Times New Roman" w:hAnsi="Times New Roman"/>
                <w:sz w:val="18"/>
                <w:szCs w:val="18"/>
              </w:rPr>
            </w:pPr>
            <w:r>
              <w:rPr>
                <w:rFonts w:ascii="Times New Roman" w:hAnsi="Times New Roman"/>
                <w:sz w:val="18"/>
                <w:szCs w:val="18"/>
              </w:rPr>
              <w:t>0.05</w:t>
            </w:r>
          </w:p>
        </w:tc>
        <w:tc>
          <w:tcPr>
            <w:tcW w:w="1575" w:type="dxa"/>
            <w:vAlign w:val="center"/>
          </w:tcPr>
          <w:p>
            <w:pPr>
              <w:jc w:val="center"/>
              <w:rPr>
                <w:rFonts w:ascii="Times New Roman" w:hAnsi="Times New Roman"/>
                <w:sz w:val="18"/>
                <w:szCs w:val="18"/>
              </w:rPr>
            </w:pPr>
            <w:r>
              <w:rPr>
                <w:rFonts w:ascii="Times New Roman" w:hAnsi="Times New Roman"/>
                <w:sz w:val="18"/>
                <w:szCs w:val="18"/>
              </w:rPr>
              <w:t>0.034</w:t>
            </w:r>
          </w:p>
        </w:tc>
        <w:tc>
          <w:tcPr>
            <w:tcW w:w="1694" w:type="dxa"/>
            <w:vAlign w:val="center"/>
          </w:tcPr>
          <w:p>
            <w:pPr>
              <w:jc w:val="center"/>
              <w:rPr>
                <w:rFonts w:ascii="Times New Roman" w:hAnsi="Times New Roman"/>
                <w:sz w:val="18"/>
                <w:szCs w:val="18"/>
              </w:rPr>
            </w:pPr>
            <w:r>
              <w:rPr>
                <w:rFonts w:ascii="Times New Roman" w:hAnsi="Times New Roman"/>
                <w:sz w:val="18"/>
                <w:szCs w:val="18"/>
              </w:rPr>
              <w:t>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7" w:type="dxa"/>
            <w:vAlign w:val="center"/>
          </w:tcPr>
          <w:p>
            <w:pPr>
              <w:jc w:val="center"/>
              <w:rPr>
                <w:sz w:val="18"/>
                <w:szCs w:val="18"/>
              </w:rPr>
            </w:pPr>
            <w:r>
              <w:rPr>
                <w:rFonts w:hint="eastAsia"/>
                <w:sz w:val="18"/>
                <w:szCs w:val="18"/>
              </w:rPr>
              <w:t>银</w:t>
            </w:r>
          </w:p>
        </w:tc>
        <w:tc>
          <w:tcPr>
            <w:tcW w:w="1574" w:type="dxa"/>
            <w:vAlign w:val="center"/>
          </w:tcPr>
          <w:p>
            <w:pPr>
              <w:jc w:val="center"/>
              <w:rPr>
                <w:rFonts w:ascii="Times New Roman" w:hAnsi="Times New Roman"/>
                <w:sz w:val="18"/>
                <w:szCs w:val="18"/>
              </w:rPr>
            </w:pPr>
            <w:r>
              <w:rPr>
                <w:rFonts w:ascii="Times New Roman" w:hAnsi="Times New Roman"/>
                <w:sz w:val="18"/>
                <w:szCs w:val="18"/>
              </w:rPr>
              <w:t>1</w:t>
            </w:r>
          </w:p>
        </w:tc>
        <w:tc>
          <w:tcPr>
            <w:tcW w:w="1575" w:type="dxa"/>
            <w:vAlign w:val="center"/>
          </w:tcPr>
          <w:p>
            <w:pPr>
              <w:jc w:val="center"/>
              <w:rPr>
                <w:rFonts w:ascii="Times New Roman" w:hAnsi="Times New Roman"/>
                <w:sz w:val="18"/>
                <w:szCs w:val="18"/>
              </w:rPr>
            </w:pPr>
            <w:r>
              <w:rPr>
                <w:rFonts w:ascii="Times New Roman" w:hAnsi="Times New Roman"/>
                <w:sz w:val="18"/>
                <w:szCs w:val="18"/>
              </w:rPr>
              <w:t>0.035</w:t>
            </w:r>
          </w:p>
        </w:tc>
        <w:tc>
          <w:tcPr>
            <w:tcW w:w="1694" w:type="dxa"/>
            <w:vAlign w:val="center"/>
          </w:tcPr>
          <w:p>
            <w:pPr>
              <w:jc w:val="center"/>
              <w:rPr>
                <w:rFonts w:ascii="Times New Roman" w:hAnsi="Times New Roman"/>
                <w:sz w:val="18"/>
                <w:szCs w:val="18"/>
              </w:rPr>
            </w:pPr>
            <w:r>
              <w:rPr>
                <w:rFonts w:ascii="Times New Roman" w:hAnsi="Times New Roman"/>
                <w:sz w:val="18"/>
                <w:szCs w:val="18"/>
              </w:rPr>
              <w:t>0.164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1" w:type="dxa"/>
            <w:gridSpan w:val="2"/>
            <w:vAlign w:val="center"/>
          </w:tcPr>
          <w:p>
            <w:pPr>
              <w:ind w:firstLine="360" w:firstLineChars="200"/>
              <w:jc w:val="center"/>
              <w:rPr>
                <w:sz w:val="18"/>
                <w:szCs w:val="18"/>
              </w:rPr>
            </w:pPr>
            <w:r>
              <w:rPr>
                <w:rFonts w:hint="eastAsia"/>
                <w:sz w:val="18"/>
                <w:szCs w:val="18"/>
              </w:rPr>
              <w:t>上述元素混合加入</w:t>
            </w:r>
          </w:p>
        </w:tc>
        <w:tc>
          <w:tcPr>
            <w:tcW w:w="1575" w:type="dxa"/>
            <w:vAlign w:val="center"/>
          </w:tcPr>
          <w:p>
            <w:pPr>
              <w:jc w:val="center"/>
              <w:rPr>
                <w:rFonts w:ascii="Times New Roman" w:hAnsi="Times New Roman"/>
                <w:sz w:val="18"/>
                <w:szCs w:val="18"/>
              </w:rPr>
            </w:pPr>
            <w:r>
              <w:rPr>
                <w:rFonts w:ascii="Times New Roman" w:hAnsi="Times New Roman"/>
                <w:sz w:val="18"/>
                <w:szCs w:val="18"/>
              </w:rPr>
              <w:t>0.035</w:t>
            </w:r>
          </w:p>
        </w:tc>
        <w:tc>
          <w:tcPr>
            <w:tcW w:w="1694" w:type="dxa"/>
            <w:vAlign w:val="center"/>
          </w:tcPr>
          <w:p>
            <w:pPr>
              <w:jc w:val="center"/>
              <w:rPr>
                <w:rFonts w:ascii="Times New Roman" w:hAnsi="Times New Roman"/>
                <w:sz w:val="18"/>
                <w:szCs w:val="18"/>
              </w:rPr>
            </w:pPr>
            <w:r>
              <w:rPr>
                <w:rFonts w:ascii="Times New Roman" w:hAnsi="Times New Roman"/>
                <w:sz w:val="18"/>
                <w:szCs w:val="18"/>
              </w:rPr>
              <w:t>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1" w:type="dxa"/>
            <w:gridSpan w:val="2"/>
            <w:vAlign w:val="center"/>
          </w:tcPr>
          <w:p>
            <w:pPr>
              <w:jc w:val="center"/>
              <w:rPr>
                <w:sz w:val="18"/>
                <w:szCs w:val="18"/>
              </w:rPr>
            </w:pPr>
            <w:r>
              <w:rPr>
                <w:rFonts w:hint="eastAsia"/>
                <w:sz w:val="18"/>
                <w:szCs w:val="18"/>
              </w:rPr>
              <w:t>混合加入</w:t>
            </w:r>
            <w:r>
              <w:rPr>
                <w:rFonts w:ascii="Times New Roman" w:hAnsi="Times New Roman"/>
                <w:sz w:val="18"/>
                <w:szCs w:val="18"/>
              </w:rPr>
              <w:t>300 mg</w:t>
            </w:r>
            <w:r>
              <w:rPr>
                <w:rFonts w:hint="eastAsia"/>
                <w:sz w:val="18"/>
                <w:szCs w:val="18"/>
              </w:rPr>
              <w:t>砷、</w:t>
            </w:r>
            <w:r>
              <w:rPr>
                <w:rFonts w:ascii="Times New Roman" w:hAnsi="Times New Roman"/>
                <w:sz w:val="18"/>
                <w:szCs w:val="18"/>
              </w:rPr>
              <w:t>40 mg</w:t>
            </w:r>
            <w:r>
              <w:rPr>
                <w:rFonts w:hint="eastAsia"/>
                <w:sz w:val="18"/>
                <w:szCs w:val="18"/>
              </w:rPr>
              <w:t>锡、</w:t>
            </w:r>
            <w:r>
              <w:rPr>
                <w:rFonts w:ascii="Times New Roman" w:hAnsi="Times New Roman"/>
                <w:sz w:val="18"/>
                <w:szCs w:val="18"/>
              </w:rPr>
              <w:t>80 mg</w:t>
            </w:r>
            <w:r>
              <w:rPr>
                <w:rFonts w:hint="eastAsia"/>
                <w:sz w:val="18"/>
                <w:szCs w:val="18"/>
              </w:rPr>
              <w:t>锑。</w:t>
            </w:r>
          </w:p>
        </w:tc>
        <w:tc>
          <w:tcPr>
            <w:tcW w:w="1575" w:type="dxa"/>
            <w:vAlign w:val="center"/>
          </w:tcPr>
          <w:p>
            <w:pPr>
              <w:jc w:val="center"/>
              <w:rPr>
                <w:rFonts w:ascii="Times New Roman" w:hAnsi="Times New Roman"/>
                <w:sz w:val="18"/>
                <w:szCs w:val="18"/>
              </w:rPr>
            </w:pPr>
            <w:r>
              <w:rPr>
                <w:rFonts w:ascii="Times New Roman" w:hAnsi="Times New Roman"/>
                <w:sz w:val="18"/>
                <w:szCs w:val="18"/>
              </w:rPr>
              <w:t>0.036</w:t>
            </w:r>
          </w:p>
        </w:tc>
        <w:tc>
          <w:tcPr>
            <w:tcW w:w="1694" w:type="dxa"/>
            <w:vAlign w:val="center"/>
          </w:tcPr>
          <w:p>
            <w:pPr>
              <w:jc w:val="center"/>
              <w:rPr>
                <w:rFonts w:ascii="Times New Roman" w:hAnsi="Times New Roman"/>
                <w:sz w:val="18"/>
                <w:szCs w:val="18"/>
              </w:rPr>
            </w:pPr>
            <w:r>
              <w:rPr>
                <w:rFonts w:ascii="Times New Roman" w:hAnsi="Times New Roman"/>
                <w:sz w:val="18"/>
                <w:szCs w:val="18"/>
              </w:rPr>
              <w:t>0.171</w:t>
            </w:r>
          </w:p>
        </w:tc>
      </w:tr>
    </w:tbl>
    <w:p>
      <w:pPr>
        <w:jc w:val="left"/>
        <w:rPr>
          <w:rFonts w:ascii="宋体"/>
          <w:sz w:val="18"/>
          <w:szCs w:val="18"/>
        </w:rPr>
      </w:pPr>
    </w:p>
    <w:p>
      <w:pPr>
        <w:jc w:val="left"/>
        <w:rPr>
          <w:szCs w:val="21"/>
        </w:rPr>
      </w:pPr>
      <w:r>
        <w:rPr>
          <w:rFonts w:ascii="Times New Roman" w:hAnsi="Times New Roman"/>
          <w:szCs w:val="21"/>
        </w:rPr>
        <w:t>2.4.2</w:t>
      </w:r>
      <w:r>
        <w:rPr>
          <w:rFonts w:hint="eastAsia" w:ascii="宋体"/>
          <w:szCs w:val="21"/>
        </w:rPr>
        <w:t xml:space="preserve">  </w:t>
      </w:r>
      <w:r>
        <w:rPr>
          <w:rFonts w:hint="eastAsia" w:ascii="宋体" w:hAnsi="宋体"/>
          <w:bCs/>
          <w:szCs w:val="21"/>
        </w:rPr>
        <w:t>在</w:t>
      </w:r>
      <w:r>
        <w:rPr>
          <w:rFonts w:ascii="Times New Roman" w:hAnsi="Times New Roman"/>
          <w:bCs/>
          <w:szCs w:val="21"/>
        </w:rPr>
        <w:t>3#</w:t>
      </w:r>
      <w:r>
        <w:rPr>
          <w:rFonts w:hint="eastAsia" w:ascii="宋体" w:hAnsi="宋体"/>
          <w:bCs/>
          <w:szCs w:val="21"/>
        </w:rPr>
        <w:t xml:space="preserve"> 样品中</w:t>
      </w:r>
      <w:r>
        <w:rPr>
          <w:rFonts w:hint="eastAsia"/>
          <w:szCs w:val="21"/>
        </w:rPr>
        <w:t>加入铜冶炼烟尘中各共存元素的最大量，按试验</w:t>
      </w:r>
      <w:r>
        <w:rPr>
          <w:rFonts w:hint="eastAsia"/>
          <w:color w:val="000000" w:themeColor="text1"/>
          <w:szCs w:val="21"/>
        </w:rPr>
        <w:t>步骤</w:t>
      </w:r>
      <w:r>
        <w:rPr>
          <w:rFonts w:ascii="Times New Roman" w:hAnsi="Times New Roman"/>
          <w:color w:val="000000" w:themeColor="text1"/>
          <w:szCs w:val="21"/>
        </w:rPr>
        <w:t>（1.</w:t>
      </w:r>
      <w:r>
        <w:rPr>
          <w:rFonts w:ascii="Times New Roman" w:hAnsi="Times New Roman"/>
          <w:szCs w:val="21"/>
        </w:rPr>
        <w:t>5</w:t>
      </w:r>
      <w:r>
        <w:rPr>
          <w:rFonts w:hint="eastAsia"/>
          <w:szCs w:val="21"/>
        </w:rPr>
        <w:t>）操作，在仪器最佳工作条件下进行测定，测定结果见表</w:t>
      </w:r>
      <w:r>
        <w:rPr>
          <w:rFonts w:ascii="Times New Roman" w:hAnsi="Times New Roman"/>
          <w:szCs w:val="21"/>
        </w:rPr>
        <w:t>13</w:t>
      </w:r>
      <w:r>
        <w:rPr>
          <w:rFonts w:hint="eastAsia"/>
          <w:szCs w:val="21"/>
        </w:rPr>
        <w:t>。</w:t>
      </w:r>
      <w:r>
        <w:rPr>
          <w:rFonts w:hint="eastAsia"/>
          <w:kern w:val="0"/>
          <w:szCs w:val="21"/>
        </w:rPr>
        <w:t>表</w:t>
      </w:r>
      <w:r>
        <w:rPr>
          <w:rFonts w:ascii="Times New Roman" w:hAnsi="Times New Roman"/>
          <w:kern w:val="0"/>
          <w:szCs w:val="21"/>
        </w:rPr>
        <w:t>13</w:t>
      </w:r>
      <w:r>
        <w:rPr>
          <w:rFonts w:hint="eastAsia"/>
          <w:kern w:val="0"/>
          <w:szCs w:val="21"/>
        </w:rPr>
        <w:t>结果表明，铜冶炼烟尘样中，杂质元素不超过表中量时，采用火焰原子吸收光谱法测定铋量，其共存元素对测定结果基本无影响。</w:t>
      </w:r>
    </w:p>
    <w:p>
      <w:pPr>
        <w:spacing w:line="360" w:lineRule="auto"/>
        <w:jc w:val="center"/>
        <w:outlineLvl w:val="0"/>
        <w:rPr>
          <w:szCs w:val="21"/>
        </w:rPr>
      </w:pPr>
      <w:r>
        <w:rPr>
          <w:rFonts w:hint="eastAsia"/>
          <w:szCs w:val="21"/>
        </w:rPr>
        <w:t>表</w:t>
      </w:r>
      <w:r>
        <w:rPr>
          <w:rFonts w:ascii="Times New Roman" w:hAnsi="Times New Roman"/>
          <w:szCs w:val="21"/>
        </w:rPr>
        <w:t>13</w:t>
      </w:r>
      <w:r>
        <w:rPr>
          <w:rFonts w:hint="eastAsia"/>
          <w:szCs w:val="21"/>
        </w:rPr>
        <w:t>共存元素的影响</w:t>
      </w:r>
    </w:p>
    <w:tbl>
      <w:tblPr>
        <w:tblStyle w:val="32"/>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010"/>
        <w:gridCol w:w="5417"/>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vAlign w:val="center"/>
          </w:tcPr>
          <w:p>
            <w:pPr>
              <w:spacing w:line="360" w:lineRule="auto"/>
              <w:jc w:val="center"/>
              <w:rPr>
                <w:sz w:val="18"/>
                <w:szCs w:val="18"/>
              </w:rPr>
            </w:pPr>
            <w:r>
              <w:rPr>
                <w:rFonts w:hint="eastAsia"/>
                <w:sz w:val="18"/>
                <w:szCs w:val="18"/>
              </w:rPr>
              <w:t>样品编号</w:t>
            </w:r>
          </w:p>
        </w:tc>
        <w:tc>
          <w:tcPr>
            <w:tcW w:w="1010" w:type="dxa"/>
            <w:vAlign w:val="center"/>
          </w:tcPr>
          <w:p>
            <w:pPr>
              <w:spacing w:line="360" w:lineRule="auto"/>
              <w:jc w:val="center"/>
              <w:rPr>
                <w:sz w:val="18"/>
                <w:szCs w:val="18"/>
              </w:rPr>
            </w:pPr>
            <w:r>
              <w:rPr>
                <w:rFonts w:ascii="Times New Roman" w:hAnsi="Times New Roman"/>
                <w:sz w:val="18"/>
                <w:szCs w:val="18"/>
              </w:rPr>
              <w:t>Bi</w:t>
            </w:r>
            <w:r>
              <w:rPr>
                <w:rFonts w:hint="eastAsia"/>
                <w:sz w:val="18"/>
                <w:szCs w:val="18"/>
              </w:rPr>
              <w:t>量</w:t>
            </w:r>
            <w:r>
              <w:rPr>
                <w:rFonts w:ascii="Times New Roman" w:hAnsi="Times New Roman"/>
                <w:sz w:val="18"/>
                <w:szCs w:val="18"/>
              </w:rPr>
              <w:t>（%）</w:t>
            </w:r>
          </w:p>
        </w:tc>
        <w:tc>
          <w:tcPr>
            <w:tcW w:w="5417" w:type="dxa"/>
            <w:vAlign w:val="center"/>
          </w:tcPr>
          <w:p>
            <w:pPr>
              <w:spacing w:line="360" w:lineRule="auto"/>
              <w:jc w:val="center"/>
              <w:rPr>
                <w:sz w:val="18"/>
                <w:szCs w:val="18"/>
              </w:rPr>
            </w:pPr>
            <w:r>
              <w:rPr>
                <w:rFonts w:hint="eastAsia"/>
                <w:sz w:val="18"/>
                <w:szCs w:val="18"/>
              </w:rPr>
              <w:t>共存元素加入量（</w:t>
            </w:r>
            <w:r>
              <w:rPr>
                <w:rFonts w:ascii="Times New Roman" w:hAnsi="Times New Roman"/>
                <w:sz w:val="18"/>
                <w:szCs w:val="18"/>
              </w:rPr>
              <w:t>mg）</w:t>
            </w:r>
          </w:p>
        </w:tc>
        <w:tc>
          <w:tcPr>
            <w:tcW w:w="1267" w:type="dxa"/>
            <w:vAlign w:val="center"/>
          </w:tcPr>
          <w:p>
            <w:pPr>
              <w:jc w:val="center"/>
              <w:rPr>
                <w:sz w:val="18"/>
                <w:szCs w:val="18"/>
              </w:rPr>
            </w:pPr>
          </w:p>
          <w:p>
            <w:pPr>
              <w:jc w:val="center"/>
              <w:rPr>
                <w:sz w:val="18"/>
                <w:szCs w:val="18"/>
              </w:rPr>
            </w:pPr>
            <w:r>
              <w:rPr>
                <w:rFonts w:hint="eastAsia"/>
                <w:sz w:val="18"/>
                <w:szCs w:val="18"/>
              </w:rPr>
              <w:t>测得Bi量</w:t>
            </w: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vAlign w:val="center"/>
          </w:tcPr>
          <w:p>
            <w:pPr>
              <w:spacing w:line="360" w:lineRule="auto"/>
              <w:jc w:val="center"/>
              <w:rPr>
                <w:rFonts w:ascii="Times New Roman" w:hAnsi="Times New Roman"/>
                <w:sz w:val="18"/>
                <w:szCs w:val="18"/>
              </w:rPr>
            </w:pPr>
            <w:r>
              <w:rPr>
                <w:rFonts w:ascii="Times New Roman" w:hAnsi="Times New Roman"/>
                <w:sz w:val="18"/>
                <w:szCs w:val="18"/>
              </w:rPr>
              <w:t>3#</w:t>
            </w:r>
          </w:p>
        </w:tc>
        <w:tc>
          <w:tcPr>
            <w:tcW w:w="1010" w:type="dxa"/>
            <w:vAlign w:val="center"/>
          </w:tcPr>
          <w:p>
            <w:pPr>
              <w:spacing w:line="360" w:lineRule="auto"/>
              <w:jc w:val="center"/>
              <w:rPr>
                <w:rFonts w:ascii="Times New Roman" w:hAnsi="Times New Roman"/>
                <w:sz w:val="18"/>
                <w:szCs w:val="18"/>
              </w:rPr>
            </w:pPr>
            <w:r>
              <w:rPr>
                <w:rFonts w:ascii="Times New Roman" w:hAnsi="Times New Roman"/>
                <w:sz w:val="18"/>
                <w:szCs w:val="18"/>
              </w:rPr>
              <w:t>2.00</w:t>
            </w:r>
          </w:p>
        </w:tc>
        <w:tc>
          <w:tcPr>
            <w:tcW w:w="5417" w:type="dxa"/>
            <w:vAlign w:val="center"/>
          </w:tcPr>
          <w:p>
            <w:pPr>
              <w:spacing w:line="360" w:lineRule="auto"/>
              <w:rPr>
                <w:rFonts w:ascii="Times New Roman" w:hAnsi="Times New Roman"/>
                <w:sz w:val="18"/>
                <w:szCs w:val="18"/>
              </w:rPr>
            </w:pPr>
            <w:r>
              <w:rPr>
                <w:rFonts w:ascii="Times New Roman" w:hAnsi="Times New Roman"/>
                <w:sz w:val="18"/>
                <w:szCs w:val="18"/>
              </w:rPr>
              <w:t xml:space="preserve">Sb 40 mg  As 150 mg  Sn 20 mg  Cu 120 mg  </w:t>
            </w:r>
            <w:r>
              <w:rPr>
                <w:rFonts w:ascii="Times New Roman" w:hAnsi="Times New Roman"/>
                <w:sz w:val="18"/>
                <w:szCs w:val="18"/>
                <w:lang w:val="de-DE"/>
              </w:rPr>
              <w:t xml:space="preserve">Zn </w:t>
            </w:r>
            <w:r>
              <w:rPr>
                <w:rFonts w:ascii="Times New Roman" w:hAnsi="Times New Roman"/>
                <w:sz w:val="18"/>
                <w:szCs w:val="18"/>
              </w:rPr>
              <w:t xml:space="preserve">125 </w:t>
            </w:r>
            <w:r>
              <w:rPr>
                <w:rFonts w:ascii="Times New Roman" w:hAnsi="Times New Roman"/>
                <w:sz w:val="18"/>
                <w:szCs w:val="18"/>
                <w:lang w:val="de-DE"/>
              </w:rPr>
              <w:t xml:space="preserve">mg Fe </w:t>
            </w:r>
            <w:r>
              <w:rPr>
                <w:rFonts w:ascii="Times New Roman" w:hAnsi="Times New Roman"/>
                <w:sz w:val="18"/>
                <w:szCs w:val="18"/>
              </w:rPr>
              <w:t xml:space="preserve">110 </w:t>
            </w:r>
            <w:r>
              <w:rPr>
                <w:rFonts w:ascii="Times New Roman" w:hAnsi="Times New Roman"/>
                <w:sz w:val="18"/>
                <w:szCs w:val="18"/>
                <w:lang w:val="de-DE"/>
              </w:rPr>
              <w:t xml:space="preserve">mgTe </w:t>
            </w:r>
            <w:r>
              <w:rPr>
                <w:rFonts w:ascii="Times New Roman" w:hAnsi="Times New Roman"/>
                <w:sz w:val="18"/>
                <w:szCs w:val="18"/>
              </w:rPr>
              <w:t xml:space="preserve">0.60 </w:t>
            </w:r>
            <w:r>
              <w:rPr>
                <w:rFonts w:ascii="Times New Roman" w:hAnsi="Times New Roman"/>
                <w:sz w:val="18"/>
                <w:szCs w:val="18"/>
                <w:lang w:val="de-DE"/>
              </w:rPr>
              <w:t>mg</w:t>
            </w:r>
            <w:r>
              <w:rPr>
                <w:rFonts w:ascii="Times New Roman" w:hAnsi="Times New Roman"/>
                <w:sz w:val="18"/>
                <w:szCs w:val="18"/>
              </w:rPr>
              <w:t xml:space="preserve">  Ca 7.5 mg  Mg 5 mg   In 0.77 mg  Al 8 mg   </w:t>
            </w:r>
            <w:r>
              <w:rPr>
                <w:rFonts w:ascii="Times New Roman" w:hAnsi="Times New Roman"/>
                <w:sz w:val="18"/>
                <w:szCs w:val="18"/>
                <w:lang w:val="de-DE"/>
              </w:rPr>
              <w:t>SiO</w:t>
            </w:r>
            <w:r>
              <w:rPr>
                <w:rFonts w:ascii="Times New Roman" w:hAnsi="Times New Roman"/>
                <w:sz w:val="18"/>
                <w:szCs w:val="18"/>
                <w:vertAlign w:val="subscript"/>
                <w:lang w:val="de-DE"/>
              </w:rPr>
              <w:t>2</w:t>
            </w:r>
            <w:r>
              <w:rPr>
                <w:rFonts w:ascii="Times New Roman" w:hAnsi="Times New Roman"/>
                <w:sz w:val="18"/>
                <w:szCs w:val="18"/>
              </w:rPr>
              <w:t xml:space="preserve"> 108 </w:t>
            </w:r>
            <w:r>
              <w:rPr>
                <w:rFonts w:ascii="Times New Roman" w:hAnsi="Times New Roman"/>
                <w:sz w:val="18"/>
                <w:szCs w:val="18"/>
                <w:lang w:val="de-DE"/>
              </w:rPr>
              <w:t>mg</w:t>
            </w:r>
            <w:r>
              <w:rPr>
                <w:rFonts w:ascii="Times New Roman" w:hAnsi="Times New Roman"/>
                <w:sz w:val="18"/>
                <w:szCs w:val="18"/>
              </w:rPr>
              <w:t xml:space="preserve">  Cd 80 mg  Pb 250mgSe 5 mgAu 0.05 mg </w:t>
            </w:r>
            <w:r>
              <w:rPr>
                <w:rFonts w:ascii="Times New Roman" w:hAnsi="Times New Roman"/>
                <w:sz w:val="18"/>
                <w:szCs w:val="18"/>
                <w:lang w:val="de-DE"/>
              </w:rPr>
              <w:t xml:space="preserve"> Ag </w:t>
            </w:r>
            <w:r>
              <w:rPr>
                <w:rFonts w:ascii="Times New Roman" w:hAnsi="Times New Roman"/>
                <w:sz w:val="18"/>
                <w:szCs w:val="18"/>
              </w:rPr>
              <w:t xml:space="preserve">1  </w:t>
            </w:r>
            <w:r>
              <w:rPr>
                <w:rFonts w:ascii="Times New Roman" w:hAnsi="Times New Roman"/>
                <w:sz w:val="18"/>
                <w:szCs w:val="18"/>
                <w:lang w:val="de-DE"/>
              </w:rPr>
              <w:t>mg</w:t>
            </w:r>
          </w:p>
        </w:tc>
        <w:tc>
          <w:tcPr>
            <w:tcW w:w="1267" w:type="dxa"/>
            <w:vAlign w:val="center"/>
          </w:tcPr>
          <w:p>
            <w:pPr>
              <w:spacing w:line="360" w:lineRule="auto"/>
              <w:jc w:val="center"/>
              <w:rPr>
                <w:rFonts w:ascii="Times New Roman" w:hAnsi="Times New Roman"/>
                <w:sz w:val="18"/>
                <w:szCs w:val="18"/>
              </w:rPr>
            </w:pPr>
            <w:r>
              <w:rPr>
                <w:rFonts w:ascii="Times New Roman" w:hAnsi="Times New Roman"/>
                <w:sz w:val="18"/>
                <w:szCs w:val="18"/>
              </w:rPr>
              <w:t>1.97</w:t>
            </w:r>
          </w:p>
        </w:tc>
      </w:tr>
    </w:tbl>
    <w:p>
      <w:pPr>
        <w:jc w:val="left"/>
        <w:rPr>
          <w:rFonts w:ascii="宋体"/>
          <w:b/>
          <w:sz w:val="24"/>
          <w:szCs w:val="24"/>
        </w:rPr>
      </w:pPr>
    </w:p>
    <w:p>
      <w:pPr>
        <w:jc w:val="left"/>
        <w:rPr>
          <w:rFonts w:ascii="黑体" w:hAnsi="黑体" w:eastAsia="黑体"/>
          <w:szCs w:val="21"/>
        </w:rPr>
      </w:pPr>
      <w:r>
        <w:rPr>
          <w:rFonts w:ascii="Times New Roman" w:hAnsi="Times New Roman" w:eastAsia="黑体"/>
          <w:szCs w:val="21"/>
        </w:rPr>
        <w:t>3</w:t>
      </w:r>
      <w:r>
        <w:rPr>
          <w:rFonts w:ascii="黑体" w:hAnsi="黑体" w:eastAsia="黑体"/>
          <w:szCs w:val="21"/>
        </w:rPr>
        <w:t xml:space="preserve"> </w:t>
      </w:r>
      <w:r>
        <w:rPr>
          <w:rFonts w:hint="eastAsia" w:ascii="黑体" w:hAnsi="黑体" w:eastAsia="黑体"/>
          <w:szCs w:val="21"/>
        </w:rPr>
        <w:t xml:space="preserve">  样品分析</w:t>
      </w:r>
    </w:p>
    <w:p>
      <w:pPr>
        <w:jc w:val="left"/>
        <w:rPr>
          <w:rFonts w:ascii="黑体" w:hAnsi="黑体" w:eastAsia="黑体"/>
          <w:szCs w:val="21"/>
        </w:rPr>
      </w:pPr>
    </w:p>
    <w:p>
      <w:pPr>
        <w:spacing w:line="360" w:lineRule="auto"/>
        <w:ind w:firstLine="630" w:firstLineChars="300"/>
        <w:rPr>
          <w:szCs w:val="21"/>
        </w:rPr>
      </w:pPr>
      <w:r>
        <w:rPr>
          <w:rFonts w:hint="eastAsia"/>
          <w:color w:val="000000" w:themeColor="text1"/>
          <w:szCs w:val="21"/>
        </w:rPr>
        <w:t>按试验步骤</w:t>
      </w:r>
      <w:r>
        <w:rPr>
          <w:rFonts w:ascii="Times New Roman" w:hAnsi="Times New Roman"/>
          <w:color w:val="000000" w:themeColor="text1"/>
          <w:szCs w:val="21"/>
        </w:rPr>
        <w:t>（1.5）</w:t>
      </w:r>
      <w:r>
        <w:rPr>
          <w:rFonts w:hint="eastAsia"/>
          <w:color w:val="000000" w:themeColor="text1"/>
          <w:szCs w:val="21"/>
        </w:rPr>
        <w:t>进行操作</w:t>
      </w:r>
      <w:r>
        <w:rPr>
          <w:rFonts w:hint="eastAsia"/>
          <w:szCs w:val="21"/>
        </w:rPr>
        <w:t>。</w:t>
      </w:r>
    </w:p>
    <w:p>
      <w:pPr>
        <w:ind w:firstLine="632" w:firstLineChars="300"/>
        <w:jc w:val="left"/>
        <w:rPr>
          <w:rFonts w:ascii="黑体" w:eastAsia="黑体" w:cs="黑体"/>
          <w:b/>
          <w:bCs/>
          <w:szCs w:val="21"/>
        </w:rPr>
      </w:pPr>
    </w:p>
    <w:p>
      <w:pPr>
        <w:jc w:val="left"/>
        <w:rPr>
          <w:rFonts w:ascii="黑体" w:hAnsi="黑体" w:eastAsia="黑体"/>
          <w:szCs w:val="21"/>
        </w:rPr>
      </w:pPr>
      <w:r>
        <w:rPr>
          <w:rFonts w:ascii="Times New Roman" w:hAnsi="Times New Roman" w:eastAsia="黑体"/>
          <w:szCs w:val="21"/>
        </w:rPr>
        <w:t xml:space="preserve">4 </w:t>
      </w:r>
      <w:r>
        <w:rPr>
          <w:rFonts w:hint="eastAsia" w:ascii="黑体" w:hAnsi="黑体" w:eastAsia="黑体"/>
          <w:szCs w:val="21"/>
        </w:rPr>
        <w:t xml:space="preserve">  精密度试验</w:t>
      </w:r>
    </w:p>
    <w:p>
      <w:pPr>
        <w:jc w:val="left"/>
        <w:rPr>
          <w:rFonts w:ascii="黑体" w:hAnsi="黑体" w:eastAsia="黑体"/>
          <w:szCs w:val="21"/>
        </w:rPr>
      </w:pPr>
    </w:p>
    <w:p>
      <w:pPr>
        <w:ind w:left="178" w:leftChars="85" w:firstLine="420" w:firstLineChars="200"/>
        <w:rPr>
          <w:rFonts w:hAnsi="宋体" w:cs="宋体"/>
          <w:szCs w:val="21"/>
        </w:rPr>
      </w:pPr>
      <w:r>
        <w:rPr>
          <w:rFonts w:hint="eastAsia" w:hAnsi="宋体" w:cs="宋体"/>
          <w:szCs w:val="21"/>
        </w:rPr>
        <w:t>按照试验步骤</w:t>
      </w:r>
      <w:r>
        <w:rPr>
          <w:rFonts w:ascii="Times New Roman" w:hAnsi="Times New Roman"/>
          <w:color w:val="000000" w:themeColor="text1"/>
          <w:szCs w:val="21"/>
        </w:rPr>
        <w:t>（</w:t>
      </w:r>
      <w:r>
        <w:rPr>
          <w:rFonts w:hint="eastAsia" w:ascii="Times New Roman" w:hAnsi="Times New Roman"/>
          <w:color w:val="000000" w:themeColor="text1"/>
          <w:szCs w:val="21"/>
        </w:rPr>
        <w:t>1.5</w:t>
      </w:r>
      <w:r>
        <w:rPr>
          <w:rFonts w:ascii="Times New Roman" w:hAnsi="Times New Roman"/>
          <w:color w:val="000000" w:themeColor="text1"/>
          <w:szCs w:val="21"/>
        </w:rPr>
        <w:t>）</w:t>
      </w:r>
      <w:r>
        <w:rPr>
          <w:rFonts w:hint="eastAsia" w:hAnsi="宋体" w:cs="宋体"/>
          <w:color w:val="000000" w:themeColor="text1"/>
          <w:szCs w:val="21"/>
        </w:rPr>
        <w:t>对提供的</w:t>
      </w:r>
      <w:r>
        <w:rPr>
          <w:rFonts w:ascii="Times New Roman" w:hAnsi="Times New Roman"/>
          <w:color w:val="000000" w:themeColor="text1"/>
          <w:szCs w:val="21"/>
        </w:rPr>
        <w:t>5</w:t>
      </w:r>
      <w:r>
        <w:rPr>
          <w:rFonts w:hint="eastAsia" w:hAnsi="宋体" w:cs="宋体"/>
          <w:color w:val="000000" w:themeColor="text1"/>
          <w:szCs w:val="21"/>
        </w:rPr>
        <w:t>个铜冶炼烟尘样品分别进行了</w:t>
      </w:r>
      <w:r>
        <w:rPr>
          <w:rFonts w:ascii="Times New Roman" w:hAnsi="Times New Roman"/>
          <w:color w:val="000000" w:themeColor="text1"/>
          <w:szCs w:val="21"/>
        </w:rPr>
        <w:t>11</w:t>
      </w:r>
      <w:r>
        <w:rPr>
          <w:rFonts w:hint="eastAsia" w:hAnsi="宋体" w:cs="宋体"/>
          <w:color w:val="000000" w:themeColor="text1"/>
          <w:szCs w:val="21"/>
        </w:rPr>
        <w:t>次测定，测定结果按</w:t>
      </w:r>
      <w:r>
        <w:rPr>
          <w:rFonts w:ascii="Times New Roman" w:hAnsi="Times New Roman"/>
          <w:color w:val="000000" w:themeColor="text1"/>
          <w:szCs w:val="21"/>
        </w:rPr>
        <w:t>（</w:t>
      </w:r>
      <w:r>
        <w:rPr>
          <w:rFonts w:hint="eastAsia" w:ascii="Times New Roman" w:hAnsi="Times New Roman"/>
          <w:color w:val="000000" w:themeColor="text1"/>
          <w:szCs w:val="21"/>
        </w:rPr>
        <w:t>1.6</w:t>
      </w:r>
      <w:r>
        <w:rPr>
          <w:rFonts w:ascii="Times New Roman" w:hAnsi="Times New Roman"/>
          <w:color w:val="000000" w:themeColor="text1"/>
          <w:szCs w:val="21"/>
        </w:rPr>
        <w:t>）</w:t>
      </w:r>
      <w:r>
        <w:rPr>
          <w:rFonts w:hint="eastAsia" w:hAnsi="宋体" w:cs="宋体"/>
          <w:color w:val="000000" w:themeColor="text1"/>
          <w:szCs w:val="21"/>
        </w:rPr>
        <w:t>进行处理，</w:t>
      </w:r>
      <w:r>
        <w:rPr>
          <w:rFonts w:hint="eastAsia" w:hAnsi="宋体" w:cs="宋体"/>
          <w:szCs w:val="21"/>
        </w:rPr>
        <w:t>结果见表</w:t>
      </w:r>
      <w:r>
        <w:rPr>
          <w:rFonts w:ascii="Times New Roman" w:hAnsi="Times New Roman"/>
          <w:szCs w:val="21"/>
        </w:rPr>
        <w:t>14</w:t>
      </w:r>
      <w:r>
        <w:rPr>
          <w:rFonts w:hint="eastAsia" w:hAnsi="宋体" w:cs="宋体"/>
          <w:szCs w:val="21"/>
        </w:rPr>
        <w:t>，由表</w:t>
      </w:r>
      <w:r>
        <w:rPr>
          <w:rFonts w:ascii="Times New Roman" w:hAnsi="Times New Roman"/>
          <w:szCs w:val="21"/>
        </w:rPr>
        <w:t>14</w:t>
      </w:r>
      <w:r>
        <w:rPr>
          <w:rFonts w:hint="eastAsia" w:hAnsi="宋体" w:cs="宋体"/>
          <w:szCs w:val="21"/>
        </w:rPr>
        <w:t>得出</w:t>
      </w:r>
      <w:r>
        <w:rPr>
          <w:rFonts w:ascii="Times New Roman" w:hAnsi="Times New Roman"/>
          <w:szCs w:val="21"/>
        </w:rPr>
        <w:t>5</w:t>
      </w:r>
      <w:r>
        <w:rPr>
          <w:rFonts w:hint="eastAsia" w:hAnsi="宋体" w:cs="宋体"/>
          <w:szCs w:val="21"/>
        </w:rPr>
        <w:t>个样品的测定结果相对标准偏差</w:t>
      </w:r>
      <w:r>
        <w:rPr>
          <w:rFonts w:ascii="Times New Roman" w:hAnsi="Times New Roman"/>
          <w:szCs w:val="21"/>
        </w:rPr>
        <w:t>（RSD，n=11）</w:t>
      </w:r>
      <w:r>
        <w:rPr>
          <w:rFonts w:hint="eastAsia" w:hAnsi="宋体" w:cs="宋体"/>
          <w:szCs w:val="21"/>
        </w:rPr>
        <w:t>在</w:t>
      </w:r>
      <w:r>
        <w:rPr>
          <w:rFonts w:ascii="Times New Roman" w:hAnsi="Times New Roman"/>
          <w:szCs w:val="21"/>
        </w:rPr>
        <w:t>0.78 %~1.44 %</w:t>
      </w:r>
      <w:r>
        <w:rPr>
          <w:rFonts w:hint="eastAsia" w:hAnsi="宋体" w:cs="宋体"/>
          <w:szCs w:val="21"/>
        </w:rPr>
        <w:t>之间。</w:t>
      </w:r>
      <w:r>
        <w:rPr>
          <w:rFonts w:hAnsi="宋体" w:cs="宋体"/>
          <w:szCs w:val="21"/>
        </w:rPr>
        <w:t xml:space="preserve"> </w:t>
      </w:r>
    </w:p>
    <w:p>
      <w:pPr>
        <w:spacing w:line="360" w:lineRule="auto"/>
        <w:jc w:val="center"/>
        <w:rPr>
          <w:szCs w:val="21"/>
        </w:rPr>
      </w:pPr>
      <w:r>
        <w:rPr>
          <w:rFonts w:hint="eastAsia" w:hAnsi="宋体" w:cs="宋体"/>
          <w:szCs w:val="21"/>
        </w:rPr>
        <w:t>表</w:t>
      </w:r>
      <w:r>
        <w:rPr>
          <w:rFonts w:ascii="Times New Roman" w:hAnsi="Times New Roman"/>
          <w:szCs w:val="21"/>
        </w:rPr>
        <w:t>14</w:t>
      </w:r>
      <w:r>
        <w:rPr>
          <w:rFonts w:hint="eastAsia" w:hAnsi="宋体" w:cs="宋体"/>
          <w:szCs w:val="21"/>
        </w:rPr>
        <w:t>精密度试验</w:t>
      </w:r>
      <w:r>
        <w:rPr>
          <w:rFonts w:ascii="Times New Roman" w:hAnsi="Times New Roman"/>
          <w:szCs w:val="21"/>
        </w:rPr>
        <w:t xml:space="preserve"> (n=11)</w:t>
      </w:r>
    </w:p>
    <w:tbl>
      <w:tblPr>
        <w:tblStyle w:val="32"/>
        <w:tblW w:w="813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78"/>
        <w:gridCol w:w="1266"/>
        <w:gridCol w:w="1266"/>
        <w:gridCol w:w="1266"/>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spacing w:line="360" w:lineRule="auto"/>
              <w:jc w:val="center"/>
              <w:rPr>
                <w:sz w:val="18"/>
                <w:szCs w:val="18"/>
              </w:rPr>
            </w:pPr>
            <w:r>
              <w:rPr>
                <w:rFonts w:hint="eastAsia"/>
                <w:sz w:val="18"/>
                <w:szCs w:val="18"/>
              </w:rPr>
              <w:t>样品名称</w:t>
            </w:r>
          </w:p>
        </w:tc>
        <w:tc>
          <w:tcPr>
            <w:tcW w:w="1478" w:type="dxa"/>
          </w:tcPr>
          <w:p>
            <w:pPr>
              <w:spacing w:line="360" w:lineRule="auto"/>
              <w:jc w:val="center"/>
              <w:rPr>
                <w:rFonts w:ascii="Times New Roman" w:hAnsi="Times New Roman"/>
                <w:sz w:val="18"/>
                <w:szCs w:val="18"/>
              </w:rPr>
            </w:pPr>
            <w:r>
              <w:rPr>
                <w:rFonts w:ascii="Times New Roman" w:hAnsi="Times New Roman"/>
                <w:sz w:val="18"/>
                <w:szCs w:val="18"/>
              </w:rPr>
              <w:t>Bi1#</w:t>
            </w:r>
          </w:p>
          <w:p>
            <w:pPr>
              <w:spacing w:line="360" w:lineRule="auto"/>
              <w:jc w:val="center"/>
              <w:rPr>
                <w:rFonts w:ascii="Times New Roman" w:hAnsi="Times New Roman"/>
                <w:sz w:val="18"/>
                <w:szCs w:val="18"/>
              </w:rPr>
            </w:pPr>
            <w:r>
              <w:rPr>
                <w:rFonts w:ascii="Times New Roman" w:hAnsi="Times New Roman"/>
                <w:sz w:val="18"/>
                <w:szCs w:val="18"/>
              </w:rPr>
              <w:t>（0.050-0.10）</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Bi2#</w:t>
            </w:r>
          </w:p>
          <w:p>
            <w:pPr>
              <w:spacing w:line="360" w:lineRule="auto"/>
              <w:jc w:val="center"/>
              <w:rPr>
                <w:rFonts w:ascii="Times New Roman" w:hAnsi="Times New Roman"/>
                <w:sz w:val="18"/>
                <w:szCs w:val="18"/>
              </w:rPr>
            </w:pPr>
            <w:r>
              <w:rPr>
                <w:rFonts w:ascii="Times New Roman" w:hAnsi="Times New Roman"/>
                <w:sz w:val="18"/>
                <w:szCs w:val="18"/>
              </w:rPr>
              <w:t>（0.80-1.00）</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Bi3#</w:t>
            </w:r>
          </w:p>
          <w:p>
            <w:pPr>
              <w:spacing w:line="360" w:lineRule="auto"/>
              <w:jc w:val="center"/>
              <w:rPr>
                <w:rFonts w:ascii="Times New Roman" w:hAnsi="Times New Roman"/>
                <w:sz w:val="18"/>
                <w:szCs w:val="18"/>
              </w:rPr>
            </w:pPr>
            <w:r>
              <w:rPr>
                <w:rFonts w:ascii="Times New Roman" w:hAnsi="Times New Roman"/>
                <w:sz w:val="18"/>
                <w:szCs w:val="18"/>
              </w:rPr>
              <w:t>（1.80-2.10）</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Bi4#</w:t>
            </w:r>
          </w:p>
          <w:p>
            <w:pPr>
              <w:spacing w:line="360" w:lineRule="auto"/>
              <w:jc w:val="center"/>
              <w:rPr>
                <w:rFonts w:ascii="Times New Roman" w:hAnsi="Times New Roman"/>
                <w:sz w:val="18"/>
                <w:szCs w:val="18"/>
              </w:rPr>
            </w:pPr>
            <w:r>
              <w:rPr>
                <w:rFonts w:ascii="Times New Roman" w:hAnsi="Times New Roman"/>
                <w:sz w:val="18"/>
                <w:szCs w:val="18"/>
              </w:rPr>
              <w:t>（3.30-3.80）</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Bi5#</w:t>
            </w:r>
          </w:p>
          <w:p>
            <w:pPr>
              <w:spacing w:line="360" w:lineRule="auto"/>
              <w:jc w:val="center"/>
              <w:rPr>
                <w:rFonts w:ascii="Times New Roman" w:hAnsi="Times New Roman"/>
                <w:sz w:val="18"/>
                <w:szCs w:val="18"/>
              </w:rPr>
            </w:pPr>
            <w:r>
              <w:rPr>
                <w:rFonts w:ascii="Times New Roman" w:hAnsi="Times New Roman"/>
                <w:sz w:val="18"/>
                <w:szCs w:val="18"/>
              </w:rPr>
              <w:t>（4.40-5.00）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88" w:type="dxa"/>
          </w:tcPr>
          <w:p>
            <w:pPr>
              <w:spacing w:line="360" w:lineRule="auto"/>
              <w:jc w:val="center"/>
              <w:rPr>
                <w:rFonts w:ascii="Times New Roman" w:hAnsi="Times New Roman"/>
                <w:sz w:val="18"/>
                <w:szCs w:val="18"/>
              </w:rPr>
            </w:pPr>
            <w:r>
              <w:rPr>
                <w:rFonts w:ascii="Times New Roman" w:hAnsi="Times New Roman"/>
                <w:sz w:val="18"/>
                <w:szCs w:val="18"/>
              </w:rPr>
              <w:t>1</w:t>
            </w:r>
          </w:p>
        </w:tc>
        <w:tc>
          <w:tcPr>
            <w:tcW w:w="1478" w:type="dxa"/>
          </w:tcPr>
          <w:p>
            <w:pPr>
              <w:spacing w:line="360" w:lineRule="auto"/>
              <w:jc w:val="center"/>
              <w:rPr>
                <w:rFonts w:ascii="Times New Roman" w:hAnsi="Times New Roman"/>
                <w:sz w:val="18"/>
                <w:szCs w:val="18"/>
              </w:rPr>
            </w:pPr>
            <w:r>
              <w:rPr>
                <w:rFonts w:ascii="Times New Roman" w:hAnsi="Times New Roman"/>
                <w:sz w:val="18"/>
                <w:szCs w:val="18"/>
              </w:rPr>
              <w:t>0.091</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0.95</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1.97</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3.46</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88" w:type="dxa"/>
          </w:tcPr>
          <w:p>
            <w:pPr>
              <w:spacing w:line="360" w:lineRule="auto"/>
              <w:jc w:val="center"/>
              <w:rPr>
                <w:rFonts w:ascii="Times New Roman" w:hAnsi="Times New Roman"/>
                <w:sz w:val="18"/>
                <w:szCs w:val="18"/>
              </w:rPr>
            </w:pPr>
            <w:r>
              <w:rPr>
                <w:rFonts w:ascii="Times New Roman" w:hAnsi="Times New Roman"/>
                <w:sz w:val="18"/>
                <w:szCs w:val="18"/>
              </w:rPr>
              <w:t>2</w:t>
            </w:r>
          </w:p>
        </w:tc>
        <w:tc>
          <w:tcPr>
            <w:tcW w:w="1478" w:type="dxa"/>
          </w:tcPr>
          <w:p>
            <w:pPr>
              <w:spacing w:line="360" w:lineRule="auto"/>
              <w:jc w:val="center"/>
              <w:rPr>
                <w:rFonts w:ascii="Times New Roman" w:hAnsi="Times New Roman"/>
                <w:sz w:val="18"/>
                <w:szCs w:val="18"/>
              </w:rPr>
            </w:pPr>
            <w:r>
              <w:rPr>
                <w:rFonts w:ascii="Times New Roman" w:hAnsi="Times New Roman"/>
                <w:sz w:val="18"/>
                <w:szCs w:val="18"/>
              </w:rPr>
              <w:t>0.090</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0.96</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1.98</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3.46</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88" w:type="dxa"/>
          </w:tcPr>
          <w:p>
            <w:pPr>
              <w:spacing w:line="360" w:lineRule="auto"/>
              <w:jc w:val="center"/>
              <w:rPr>
                <w:rFonts w:ascii="Times New Roman" w:hAnsi="Times New Roman"/>
                <w:sz w:val="18"/>
                <w:szCs w:val="18"/>
              </w:rPr>
            </w:pPr>
            <w:r>
              <w:rPr>
                <w:rFonts w:ascii="Times New Roman" w:hAnsi="Times New Roman"/>
                <w:sz w:val="18"/>
                <w:szCs w:val="18"/>
              </w:rPr>
              <w:t>3</w:t>
            </w:r>
          </w:p>
        </w:tc>
        <w:tc>
          <w:tcPr>
            <w:tcW w:w="1478" w:type="dxa"/>
          </w:tcPr>
          <w:p>
            <w:pPr>
              <w:spacing w:line="360" w:lineRule="auto"/>
              <w:jc w:val="center"/>
              <w:rPr>
                <w:rFonts w:ascii="Times New Roman" w:hAnsi="Times New Roman"/>
                <w:sz w:val="18"/>
                <w:szCs w:val="18"/>
              </w:rPr>
            </w:pPr>
            <w:r>
              <w:rPr>
                <w:rFonts w:ascii="Times New Roman" w:hAnsi="Times New Roman"/>
                <w:sz w:val="18"/>
                <w:szCs w:val="18"/>
              </w:rPr>
              <w:t>0.092</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0.97</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1.99</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3.51</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88" w:type="dxa"/>
          </w:tcPr>
          <w:p>
            <w:pPr>
              <w:spacing w:line="360" w:lineRule="auto"/>
              <w:jc w:val="center"/>
              <w:rPr>
                <w:rFonts w:ascii="Times New Roman" w:hAnsi="Times New Roman"/>
                <w:sz w:val="18"/>
                <w:szCs w:val="18"/>
              </w:rPr>
            </w:pPr>
            <w:r>
              <w:rPr>
                <w:rFonts w:ascii="Times New Roman" w:hAnsi="Times New Roman"/>
                <w:sz w:val="18"/>
                <w:szCs w:val="18"/>
              </w:rPr>
              <w:t>4</w:t>
            </w:r>
          </w:p>
        </w:tc>
        <w:tc>
          <w:tcPr>
            <w:tcW w:w="1478" w:type="dxa"/>
          </w:tcPr>
          <w:p>
            <w:pPr>
              <w:spacing w:line="360" w:lineRule="auto"/>
              <w:jc w:val="center"/>
              <w:rPr>
                <w:rFonts w:ascii="Times New Roman" w:hAnsi="Times New Roman"/>
                <w:sz w:val="18"/>
                <w:szCs w:val="18"/>
              </w:rPr>
            </w:pPr>
            <w:r>
              <w:rPr>
                <w:rFonts w:ascii="Times New Roman" w:hAnsi="Times New Roman"/>
                <w:sz w:val="18"/>
                <w:szCs w:val="18"/>
              </w:rPr>
              <w:t>0.092</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0.95</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2.01</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3.43</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88" w:type="dxa"/>
          </w:tcPr>
          <w:p>
            <w:pPr>
              <w:spacing w:line="360" w:lineRule="auto"/>
              <w:jc w:val="center"/>
              <w:rPr>
                <w:rFonts w:ascii="Times New Roman" w:hAnsi="Times New Roman"/>
                <w:sz w:val="18"/>
                <w:szCs w:val="18"/>
              </w:rPr>
            </w:pPr>
            <w:r>
              <w:rPr>
                <w:rFonts w:ascii="Times New Roman" w:hAnsi="Times New Roman"/>
                <w:sz w:val="18"/>
                <w:szCs w:val="18"/>
              </w:rPr>
              <w:t>5</w:t>
            </w:r>
          </w:p>
        </w:tc>
        <w:tc>
          <w:tcPr>
            <w:tcW w:w="1478" w:type="dxa"/>
          </w:tcPr>
          <w:p>
            <w:pPr>
              <w:spacing w:line="360" w:lineRule="auto"/>
              <w:jc w:val="center"/>
              <w:rPr>
                <w:rFonts w:ascii="Times New Roman" w:hAnsi="Times New Roman"/>
                <w:sz w:val="18"/>
                <w:szCs w:val="18"/>
              </w:rPr>
            </w:pPr>
            <w:r>
              <w:rPr>
                <w:rFonts w:ascii="Times New Roman" w:hAnsi="Times New Roman"/>
                <w:sz w:val="18"/>
                <w:szCs w:val="18"/>
              </w:rPr>
              <w:t>0.093</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0.96</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2.04</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3.49</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88" w:type="dxa"/>
          </w:tcPr>
          <w:p>
            <w:pPr>
              <w:spacing w:line="360" w:lineRule="auto"/>
              <w:jc w:val="center"/>
              <w:rPr>
                <w:rFonts w:ascii="Times New Roman" w:hAnsi="Times New Roman"/>
                <w:sz w:val="18"/>
                <w:szCs w:val="18"/>
              </w:rPr>
            </w:pPr>
            <w:r>
              <w:rPr>
                <w:rFonts w:ascii="Times New Roman" w:hAnsi="Times New Roman"/>
                <w:sz w:val="18"/>
                <w:szCs w:val="18"/>
              </w:rPr>
              <w:t>6</w:t>
            </w:r>
          </w:p>
        </w:tc>
        <w:tc>
          <w:tcPr>
            <w:tcW w:w="1478" w:type="dxa"/>
          </w:tcPr>
          <w:p>
            <w:pPr>
              <w:spacing w:line="360" w:lineRule="auto"/>
              <w:jc w:val="center"/>
              <w:rPr>
                <w:rFonts w:ascii="Times New Roman" w:hAnsi="Times New Roman"/>
                <w:sz w:val="18"/>
                <w:szCs w:val="18"/>
              </w:rPr>
            </w:pPr>
            <w:r>
              <w:rPr>
                <w:rFonts w:ascii="Times New Roman" w:hAnsi="Times New Roman"/>
                <w:sz w:val="18"/>
                <w:szCs w:val="18"/>
              </w:rPr>
              <w:t>0.090</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0.95</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2.02</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3.44</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88" w:type="dxa"/>
          </w:tcPr>
          <w:p>
            <w:pPr>
              <w:spacing w:line="360" w:lineRule="auto"/>
              <w:jc w:val="center"/>
              <w:rPr>
                <w:rFonts w:ascii="Times New Roman" w:hAnsi="Times New Roman"/>
                <w:sz w:val="18"/>
                <w:szCs w:val="18"/>
              </w:rPr>
            </w:pPr>
            <w:r>
              <w:rPr>
                <w:rFonts w:ascii="Times New Roman" w:hAnsi="Times New Roman"/>
                <w:sz w:val="18"/>
                <w:szCs w:val="18"/>
              </w:rPr>
              <w:t>7</w:t>
            </w:r>
          </w:p>
        </w:tc>
        <w:tc>
          <w:tcPr>
            <w:tcW w:w="1478" w:type="dxa"/>
          </w:tcPr>
          <w:p>
            <w:pPr>
              <w:spacing w:line="360" w:lineRule="auto"/>
              <w:jc w:val="center"/>
              <w:rPr>
                <w:rFonts w:ascii="Times New Roman" w:hAnsi="Times New Roman"/>
                <w:sz w:val="18"/>
                <w:szCs w:val="18"/>
              </w:rPr>
            </w:pPr>
            <w:r>
              <w:rPr>
                <w:rFonts w:ascii="Times New Roman" w:hAnsi="Times New Roman"/>
                <w:sz w:val="18"/>
                <w:szCs w:val="18"/>
              </w:rPr>
              <w:t>0.089</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0.95</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1.98</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3.50</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88" w:type="dxa"/>
          </w:tcPr>
          <w:p>
            <w:pPr>
              <w:spacing w:line="360" w:lineRule="auto"/>
              <w:jc w:val="center"/>
              <w:rPr>
                <w:rFonts w:ascii="Times New Roman" w:hAnsi="Times New Roman"/>
                <w:sz w:val="18"/>
                <w:szCs w:val="18"/>
              </w:rPr>
            </w:pPr>
            <w:r>
              <w:rPr>
                <w:rFonts w:ascii="Times New Roman" w:hAnsi="Times New Roman"/>
                <w:sz w:val="18"/>
                <w:szCs w:val="18"/>
              </w:rPr>
              <w:t>8</w:t>
            </w:r>
          </w:p>
        </w:tc>
        <w:tc>
          <w:tcPr>
            <w:tcW w:w="1478" w:type="dxa"/>
          </w:tcPr>
          <w:p>
            <w:pPr>
              <w:spacing w:line="360" w:lineRule="auto"/>
              <w:jc w:val="center"/>
              <w:rPr>
                <w:rFonts w:ascii="Times New Roman" w:hAnsi="Times New Roman"/>
                <w:sz w:val="18"/>
                <w:szCs w:val="18"/>
              </w:rPr>
            </w:pPr>
            <w:r>
              <w:rPr>
                <w:rFonts w:ascii="Times New Roman" w:hAnsi="Times New Roman"/>
                <w:sz w:val="18"/>
                <w:szCs w:val="18"/>
              </w:rPr>
              <w:t>0.089</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0.95</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2.00</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3.50</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88" w:type="dxa"/>
          </w:tcPr>
          <w:p>
            <w:pPr>
              <w:spacing w:line="360" w:lineRule="auto"/>
              <w:jc w:val="center"/>
              <w:rPr>
                <w:rFonts w:ascii="Times New Roman" w:hAnsi="Times New Roman"/>
                <w:sz w:val="18"/>
                <w:szCs w:val="18"/>
              </w:rPr>
            </w:pPr>
            <w:r>
              <w:rPr>
                <w:rFonts w:ascii="Times New Roman" w:hAnsi="Times New Roman"/>
                <w:sz w:val="18"/>
                <w:szCs w:val="18"/>
              </w:rPr>
              <w:t>9</w:t>
            </w:r>
          </w:p>
        </w:tc>
        <w:tc>
          <w:tcPr>
            <w:tcW w:w="1478" w:type="dxa"/>
          </w:tcPr>
          <w:p>
            <w:pPr>
              <w:spacing w:line="360" w:lineRule="auto"/>
              <w:jc w:val="center"/>
              <w:rPr>
                <w:rFonts w:ascii="Times New Roman" w:hAnsi="Times New Roman"/>
                <w:sz w:val="18"/>
                <w:szCs w:val="18"/>
              </w:rPr>
            </w:pPr>
            <w:r>
              <w:rPr>
                <w:rFonts w:ascii="Times New Roman" w:hAnsi="Times New Roman"/>
                <w:sz w:val="18"/>
                <w:szCs w:val="18"/>
              </w:rPr>
              <w:t>0.092</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0.96</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1.99</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3.46</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88" w:type="dxa"/>
          </w:tcPr>
          <w:p>
            <w:pPr>
              <w:spacing w:line="360" w:lineRule="auto"/>
              <w:jc w:val="center"/>
              <w:rPr>
                <w:rFonts w:ascii="Times New Roman" w:hAnsi="Times New Roman"/>
                <w:sz w:val="18"/>
                <w:szCs w:val="18"/>
              </w:rPr>
            </w:pPr>
            <w:r>
              <w:rPr>
                <w:rFonts w:ascii="Times New Roman" w:hAnsi="Times New Roman"/>
                <w:sz w:val="18"/>
                <w:szCs w:val="18"/>
              </w:rPr>
              <w:t>10</w:t>
            </w:r>
          </w:p>
        </w:tc>
        <w:tc>
          <w:tcPr>
            <w:tcW w:w="1478" w:type="dxa"/>
          </w:tcPr>
          <w:p>
            <w:pPr>
              <w:spacing w:line="360" w:lineRule="auto"/>
              <w:jc w:val="center"/>
              <w:rPr>
                <w:rFonts w:ascii="Times New Roman" w:hAnsi="Times New Roman"/>
                <w:sz w:val="18"/>
                <w:szCs w:val="18"/>
              </w:rPr>
            </w:pPr>
            <w:r>
              <w:rPr>
                <w:rFonts w:ascii="Times New Roman" w:hAnsi="Times New Roman"/>
                <w:sz w:val="18"/>
                <w:szCs w:val="18"/>
              </w:rPr>
              <w:t>0.090</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0.96</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1.98</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3.50</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88" w:type="dxa"/>
          </w:tcPr>
          <w:p>
            <w:pPr>
              <w:spacing w:line="360" w:lineRule="auto"/>
              <w:jc w:val="center"/>
              <w:rPr>
                <w:rFonts w:ascii="Times New Roman" w:hAnsi="Times New Roman"/>
                <w:sz w:val="18"/>
                <w:szCs w:val="18"/>
              </w:rPr>
            </w:pPr>
            <w:r>
              <w:rPr>
                <w:rFonts w:ascii="Times New Roman" w:hAnsi="Times New Roman"/>
                <w:sz w:val="18"/>
                <w:szCs w:val="18"/>
              </w:rPr>
              <w:t>11</w:t>
            </w:r>
          </w:p>
        </w:tc>
        <w:tc>
          <w:tcPr>
            <w:tcW w:w="1478" w:type="dxa"/>
          </w:tcPr>
          <w:p>
            <w:pPr>
              <w:spacing w:line="360" w:lineRule="auto"/>
              <w:jc w:val="center"/>
              <w:rPr>
                <w:rFonts w:ascii="Times New Roman" w:hAnsi="Times New Roman"/>
                <w:sz w:val="18"/>
                <w:szCs w:val="18"/>
              </w:rPr>
            </w:pPr>
            <w:r>
              <w:rPr>
                <w:rFonts w:ascii="Times New Roman" w:hAnsi="Times New Roman"/>
                <w:sz w:val="18"/>
                <w:szCs w:val="18"/>
              </w:rPr>
              <w:t>0.090</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0.97</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1.99</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3.48</w:t>
            </w:r>
          </w:p>
        </w:tc>
        <w:tc>
          <w:tcPr>
            <w:tcW w:w="1266" w:type="dxa"/>
          </w:tcPr>
          <w:p>
            <w:pPr>
              <w:spacing w:line="360" w:lineRule="auto"/>
              <w:jc w:val="center"/>
              <w:rPr>
                <w:rFonts w:ascii="Times New Roman" w:hAnsi="Times New Roman"/>
                <w:sz w:val="18"/>
                <w:szCs w:val="18"/>
              </w:rPr>
            </w:pPr>
            <w:r>
              <w:rPr>
                <w:rFonts w:ascii="Times New Roman" w:hAnsi="Times New Roman"/>
                <w:sz w:val="18"/>
                <w:szCs w:val="18"/>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88" w:type="dxa"/>
            <w:vAlign w:val="center"/>
          </w:tcPr>
          <w:p>
            <w:pPr>
              <w:spacing w:line="360" w:lineRule="auto"/>
              <w:jc w:val="center"/>
              <w:rPr>
                <w:sz w:val="18"/>
                <w:szCs w:val="18"/>
              </w:rPr>
            </w:pPr>
            <w:r>
              <w:rPr>
                <w:rFonts w:hint="eastAsia"/>
                <w:sz w:val="18"/>
                <w:szCs w:val="18"/>
              </w:rPr>
              <w:t>平均值</w:t>
            </w:r>
            <w:r>
              <w:rPr>
                <w:rFonts w:ascii="Times New Roman" w:hAnsi="Times New Roman"/>
                <w:sz w:val="18"/>
                <w:szCs w:val="18"/>
              </w:rPr>
              <w:t>（%）</w:t>
            </w:r>
          </w:p>
        </w:tc>
        <w:tc>
          <w:tcPr>
            <w:tcW w:w="1478" w:type="dxa"/>
            <w:vAlign w:val="center"/>
          </w:tcPr>
          <w:p>
            <w:pPr>
              <w:jc w:val="center"/>
              <w:rPr>
                <w:rFonts w:ascii="Times New Roman" w:hAnsi="Times New Roman"/>
                <w:sz w:val="18"/>
                <w:szCs w:val="18"/>
              </w:rPr>
            </w:pPr>
            <w:r>
              <w:rPr>
                <w:rFonts w:ascii="Times New Roman" w:hAnsi="Times New Roman"/>
                <w:sz w:val="18"/>
                <w:szCs w:val="18"/>
              </w:rPr>
              <w:t>0.0907</w:t>
            </w:r>
          </w:p>
        </w:tc>
        <w:tc>
          <w:tcPr>
            <w:tcW w:w="1266" w:type="dxa"/>
            <w:vAlign w:val="center"/>
          </w:tcPr>
          <w:p>
            <w:pPr>
              <w:jc w:val="center"/>
              <w:rPr>
                <w:rFonts w:ascii="Times New Roman" w:hAnsi="Times New Roman"/>
                <w:sz w:val="18"/>
                <w:szCs w:val="18"/>
              </w:rPr>
            </w:pPr>
            <w:r>
              <w:rPr>
                <w:rFonts w:ascii="Times New Roman" w:hAnsi="Times New Roman"/>
                <w:sz w:val="18"/>
                <w:szCs w:val="18"/>
              </w:rPr>
              <w:t>0.957</w:t>
            </w:r>
          </w:p>
        </w:tc>
        <w:tc>
          <w:tcPr>
            <w:tcW w:w="1266" w:type="dxa"/>
            <w:vAlign w:val="center"/>
          </w:tcPr>
          <w:p>
            <w:pPr>
              <w:jc w:val="center"/>
              <w:rPr>
                <w:rFonts w:ascii="Times New Roman" w:hAnsi="Times New Roman"/>
                <w:sz w:val="18"/>
                <w:szCs w:val="18"/>
              </w:rPr>
            </w:pPr>
            <w:r>
              <w:rPr>
                <w:rFonts w:ascii="Times New Roman" w:hAnsi="Times New Roman"/>
                <w:sz w:val="18"/>
                <w:szCs w:val="18"/>
              </w:rPr>
              <w:t>1.995</w:t>
            </w:r>
          </w:p>
        </w:tc>
        <w:tc>
          <w:tcPr>
            <w:tcW w:w="1266" w:type="dxa"/>
            <w:vAlign w:val="center"/>
          </w:tcPr>
          <w:p>
            <w:pPr>
              <w:spacing w:line="360" w:lineRule="auto"/>
              <w:jc w:val="center"/>
              <w:rPr>
                <w:rFonts w:ascii="Times New Roman" w:hAnsi="Times New Roman"/>
                <w:sz w:val="18"/>
                <w:szCs w:val="18"/>
              </w:rPr>
            </w:pPr>
            <w:r>
              <w:rPr>
                <w:rFonts w:ascii="Times New Roman" w:hAnsi="Times New Roman"/>
                <w:sz w:val="18"/>
                <w:szCs w:val="18"/>
              </w:rPr>
              <w:t>3.475</w:t>
            </w:r>
          </w:p>
        </w:tc>
        <w:tc>
          <w:tcPr>
            <w:tcW w:w="1266" w:type="dxa"/>
            <w:vAlign w:val="center"/>
          </w:tcPr>
          <w:p>
            <w:pPr>
              <w:spacing w:line="360" w:lineRule="auto"/>
              <w:jc w:val="center"/>
              <w:rPr>
                <w:rFonts w:ascii="Times New Roman" w:hAnsi="Times New Roman"/>
                <w:sz w:val="18"/>
                <w:szCs w:val="18"/>
              </w:rPr>
            </w:pPr>
            <w:r>
              <w:rPr>
                <w:rFonts w:ascii="Times New Roman" w:hAnsi="Times New Roman"/>
                <w:sz w:val="18"/>
                <w:szCs w:val="18"/>
              </w:rPr>
              <w:t>4.770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88" w:type="dxa"/>
            <w:vAlign w:val="center"/>
          </w:tcPr>
          <w:p>
            <w:pPr>
              <w:spacing w:line="360" w:lineRule="auto"/>
              <w:jc w:val="center"/>
              <w:rPr>
                <w:sz w:val="18"/>
                <w:szCs w:val="18"/>
              </w:rPr>
            </w:pPr>
            <w:r>
              <w:rPr>
                <w:rFonts w:hint="eastAsia"/>
                <w:sz w:val="18"/>
                <w:szCs w:val="18"/>
              </w:rPr>
              <w:t>标准偏差</w:t>
            </w:r>
            <w:r>
              <w:rPr>
                <w:rFonts w:ascii="Times New Roman" w:hAnsi="Times New Roman"/>
                <w:sz w:val="18"/>
                <w:szCs w:val="18"/>
              </w:rPr>
              <w:t>（%）</w:t>
            </w:r>
          </w:p>
        </w:tc>
        <w:tc>
          <w:tcPr>
            <w:tcW w:w="1478" w:type="dxa"/>
            <w:vAlign w:val="center"/>
          </w:tcPr>
          <w:p>
            <w:pPr>
              <w:jc w:val="center"/>
              <w:rPr>
                <w:rFonts w:ascii="Times New Roman" w:hAnsi="Times New Roman"/>
                <w:sz w:val="18"/>
                <w:szCs w:val="18"/>
              </w:rPr>
            </w:pPr>
            <w:r>
              <w:rPr>
                <w:rFonts w:ascii="Times New Roman" w:hAnsi="Times New Roman"/>
                <w:sz w:val="18"/>
                <w:szCs w:val="18"/>
              </w:rPr>
              <w:t>0.0013</w:t>
            </w:r>
          </w:p>
        </w:tc>
        <w:tc>
          <w:tcPr>
            <w:tcW w:w="1266" w:type="dxa"/>
            <w:vAlign w:val="center"/>
          </w:tcPr>
          <w:p>
            <w:pPr>
              <w:jc w:val="center"/>
              <w:rPr>
                <w:rFonts w:ascii="Times New Roman" w:hAnsi="Times New Roman"/>
                <w:sz w:val="18"/>
                <w:szCs w:val="18"/>
              </w:rPr>
            </w:pPr>
            <w:r>
              <w:rPr>
                <w:rFonts w:ascii="Times New Roman" w:hAnsi="Times New Roman"/>
                <w:sz w:val="18"/>
                <w:szCs w:val="18"/>
              </w:rPr>
              <w:t>0.0079</w:t>
            </w:r>
          </w:p>
        </w:tc>
        <w:tc>
          <w:tcPr>
            <w:tcW w:w="1266" w:type="dxa"/>
            <w:vAlign w:val="center"/>
          </w:tcPr>
          <w:p>
            <w:pPr>
              <w:jc w:val="center"/>
              <w:rPr>
                <w:rFonts w:ascii="Times New Roman" w:hAnsi="Times New Roman"/>
                <w:sz w:val="18"/>
                <w:szCs w:val="18"/>
              </w:rPr>
            </w:pPr>
            <w:r>
              <w:rPr>
                <w:rFonts w:ascii="Times New Roman" w:hAnsi="Times New Roman"/>
                <w:sz w:val="18"/>
                <w:szCs w:val="18"/>
              </w:rPr>
              <w:t>0.0207</w:t>
            </w:r>
          </w:p>
        </w:tc>
        <w:tc>
          <w:tcPr>
            <w:tcW w:w="1266" w:type="dxa"/>
            <w:vAlign w:val="center"/>
          </w:tcPr>
          <w:p>
            <w:pPr>
              <w:spacing w:line="360" w:lineRule="auto"/>
              <w:jc w:val="center"/>
              <w:rPr>
                <w:rFonts w:ascii="Times New Roman" w:hAnsi="Times New Roman"/>
                <w:sz w:val="18"/>
                <w:szCs w:val="18"/>
              </w:rPr>
            </w:pPr>
            <w:r>
              <w:rPr>
                <w:rFonts w:ascii="Times New Roman" w:hAnsi="Times New Roman"/>
                <w:sz w:val="18"/>
                <w:szCs w:val="18"/>
              </w:rPr>
              <w:t>0.0270</w:t>
            </w:r>
          </w:p>
        </w:tc>
        <w:tc>
          <w:tcPr>
            <w:tcW w:w="1266" w:type="dxa"/>
            <w:vAlign w:val="center"/>
          </w:tcPr>
          <w:p>
            <w:pPr>
              <w:spacing w:line="360" w:lineRule="auto"/>
              <w:jc w:val="center"/>
              <w:rPr>
                <w:rFonts w:ascii="Times New Roman" w:hAnsi="Times New Roman"/>
                <w:sz w:val="18"/>
                <w:szCs w:val="18"/>
              </w:rPr>
            </w:pPr>
            <w:r>
              <w:rPr>
                <w:rFonts w:ascii="Times New Roman" w:hAnsi="Times New Roman"/>
                <w:sz w:val="18"/>
                <w:szCs w:val="18"/>
              </w:rPr>
              <w:t>0.0571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88" w:type="dxa"/>
            <w:vAlign w:val="center"/>
          </w:tcPr>
          <w:p>
            <w:pPr>
              <w:spacing w:line="360" w:lineRule="auto"/>
              <w:jc w:val="center"/>
              <w:rPr>
                <w:sz w:val="18"/>
                <w:szCs w:val="18"/>
              </w:rPr>
            </w:pPr>
            <w:r>
              <w:rPr>
                <w:rFonts w:hint="eastAsia"/>
                <w:sz w:val="18"/>
                <w:szCs w:val="18"/>
              </w:rPr>
              <w:t>相对标准偏差</w:t>
            </w:r>
            <w:r>
              <w:rPr>
                <w:rFonts w:ascii="Times New Roman" w:hAnsi="Times New Roman"/>
                <w:sz w:val="18"/>
                <w:szCs w:val="18"/>
              </w:rPr>
              <w:t>（%）</w:t>
            </w:r>
          </w:p>
        </w:tc>
        <w:tc>
          <w:tcPr>
            <w:tcW w:w="1478" w:type="dxa"/>
            <w:vAlign w:val="center"/>
          </w:tcPr>
          <w:p>
            <w:pPr>
              <w:spacing w:line="360" w:lineRule="auto"/>
              <w:jc w:val="center"/>
              <w:rPr>
                <w:rFonts w:ascii="Times New Roman" w:hAnsi="Times New Roman"/>
                <w:sz w:val="18"/>
                <w:szCs w:val="18"/>
              </w:rPr>
            </w:pPr>
            <w:r>
              <w:rPr>
                <w:rFonts w:ascii="Times New Roman" w:hAnsi="Times New Roman"/>
                <w:sz w:val="18"/>
                <w:szCs w:val="18"/>
              </w:rPr>
              <w:t>1.486</w:t>
            </w:r>
          </w:p>
        </w:tc>
        <w:tc>
          <w:tcPr>
            <w:tcW w:w="1266" w:type="dxa"/>
            <w:vAlign w:val="center"/>
          </w:tcPr>
          <w:p>
            <w:pPr>
              <w:spacing w:line="360" w:lineRule="auto"/>
              <w:jc w:val="center"/>
              <w:rPr>
                <w:rFonts w:ascii="Times New Roman" w:hAnsi="Times New Roman"/>
                <w:sz w:val="18"/>
                <w:szCs w:val="18"/>
              </w:rPr>
            </w:pPr>
            <w:r>
              <w:rPr>
                <w:rFonts w:ascii="Times New Roman" w:hAnsi="Times New Roman"/>
                <w:sz w:val="18"/>
                <w:szCs w:val="18"/>
              </w:rPr>
              <w:t>0.821</w:t>
            </w:r>
          </w:p>
        </w:tc>
        <w:tc>
          <w:tcPr>
            <w:tcW w:w="1266" w:type="dxa"/>
            <w:vAlign w:val="center"/>
          </w:tcPr>
          <w:p>
            <w:pPr>
              <w:spacing w:line="360" w:lineRule="auto"/>
              <w:jc w:val="center"/>
              <w:rPr>
                <w:rFonts w:ascii="Times New Roman" w:hAnsi="Times New Roman"/>
                <w:sz w:val="18"/>
                <w:szCs w:val="18"/>
              </w:rPr>
            </w:pPr>
            <w:r>
              <w:rPr>
                <w:rFonts w:ascii="Times New Roman" w:hAnsi="Times New Roman"/>
                <w:sz w:val="18"/>
                <w:szCs w:val="18"/>
              </w:rPr>
              <w:t>1.036</w:t>
            </w:r>
          </w:p>
        </w:tc>
        <w:tc>
          <w:tcPr>
            <w:tcW w:w="1266" w:type="dxa"/>
            <w:vAlign w:val="center"/>
          </w:tcPr>
          <w:p>
            <w:pPr>
              <w:spacing w:line="360" w:lineRule="auto"/>
              <w:jc w:val="center"/>
              <w:rPr>
                <w:rFonts w:ascii="Times New Roman" w:hAnsi="Times New Roman"/>
                <w:sz w:val="18"/>
                <w:szCs w:val="18"/>
              </w:rPr>
            </w:pPr>
            <w:r>
              <w:rPr>
                <w:rFonts w:ascii="Times New Roman" w:hAnsi="Times New Roman"/>
                <w:sz w:val="18"/>
                <w:szCs w:val="18"/>
              </w:rPr>
              <w:t>0.776</w:t>
            </w:r>
          </w:p>
        </w:tc>
        <w:tc>
          <w:tcPr>
            <w:tcW w:w="1266" w:type="dxa"/>
            <w:vAlign w:val="center"/>
          </w:tcPr>
          <w:p>
            <w:pPr>
              <w:spacing w:line="360" w:lineRule="auto"/>
              <w:jc w:val="center"/>
              <w:rPr>
                <w:rFonts w:ascii="Times New Roman" w:hAnsi="Times New Roman"/>
                <w:sz w:val="18"/>
                <w:szCs w:val="18"/>
              </w:rPr>
            </w:pPr>
            <w:r>
              <w:rPr>
                <w:rFonts w:ascii="Times New Roman" w:hAnsi="Times New Roman"/>
                <w:sz w:val="18"/>
                <w:szCs w:val="18"/>
              </w:rPr>
              <w:t>1.197</w:t>
            </w:r>
          </w:p>
        </w:tc>
      </w:tr>
    </w:tbl>
    <w:p>
      <w:pPr>
        <w:jc w:val="left"/>
        <w:rPr>
          <w:rFonts w:ascii="Times New Roman" w:hAnsi="Times New Roman" w:eastAsia="黑体"/>
          <w:szCs w:val="21"/>
        </w:rPr>
      </w:pPr>
    </w:p>
    <w:p>
      <w:pPr>
        <w:jc w:val="left"/>
        <w:rPr>
          <w:rFonts w:ascii="黑体" w:hAnsi="黑体" w:eastAsia="黑体"/>
          <w:szCs w:val="21"/>
        </w:rPr>
      </w:pPr>
      <w:r>
        <w:rPr>
          <w:rFonts w:ascii="Times New Roman" w:hAnsi="Times New Roman" w:eastAsia="黑体"/>
          <w:szCs w:val="21"/>
        </w:rPr>
        <w:t>5</w:t>
      </w:r>
      <w:r>
        <w:rPr>
          <w:rFonts w:hint="eastAsia" w:ascii="黑体" w:hAnsi="黑体" w:eastAsia="黑体"/>
          <w:szCs w:val="21"/>
        </w:rPr>
        <w:t xml:space="preserve">  样品加标回收试验</w:t>
      </w:r>
    </w:p>
    <w:p>
      <w:pPr>
        <w:spacing w:beforeLines="50" w:afterLines="50"/>
        <w:ind w:firstLine="420" w:firstLineChars="200"/>
        <w:rPr>
          <w:rFonts w:hAnsi="宋体"/>
          <w:szCs w:val="21"/>
        </w:rPr>
      </w:pPr>
      <w:r>
        <w:rPr>
          <w:rFonts w:hint="eastAsia" w:hAnsi="宋体" w:cs="宋体"/>
          <w:szCs w:val="21"/>
        </w:rPr>
        <w:t>按照试验</w:t>
      </w:r>
      <w:r>
        <w:rPr>
          <w:rFonts w:hint="eastAsia" w:hAnsi="宋体"/>
          <w:szCs w:val="21"/>
        </w:rPr>
        <w:t>步骤</w:t>
      </w:r>
      <w:r>
        <w:rPr>
          <w:rFonts w:ascii="Times New Roman" w:hAnsi="Times New Roman"/>
          <w:color w:val="000000" w:themeColor="text1"/>
          <w:szCs w:val="21"/>
        </w:rPr>
        <w:t>（</w:t>
      </w:r>
      <w:r>
        <w:rPr>
          <w:rFonts w:hint="eastAsia" w:ascii="Times New Roman" w:hAnsi="Times New Roman"/>
          <w:color w:val="000000" w:themeColor="text1"/>
          <w:szCs w:val="21"/>
        </w:rPr>
        <w:t>1.5</w:t>
      </w:r>
      <w:r>
        <w:rPr>
          <w:rFonts w:ascii="Times New Roman" w:hAnsi="Times New Roman"/>
          <w:color w:val="000000" w:themeColor="text1"/>
          <w:szCs w:val="21"/>
        </w:rPr>
        <w:t>）</w:t>
      </w:r>
      <w:r>
        <w:rPr>
          <w:rFonts w:hint="eastAsia" w:hAnsi="宋体" w:cs="宋体"/>
          <w:szCs w:val="21"/>
        </w:rPr>
        <w:t>对试验的两个铜冶炼烟尘样品进行了加标回收试验，测定结果见表</w:t>
      </w:r>
      <w:r>
        <w:rPr>
          <w:rFonts w:ascii="Times New Roman" w:hAnsi="Times New Roman"/>
          <w:szCs w:val="21"/>
        </w:rPr>
        <w:t>15</w:t>
      </w:r>
      <w:r>
        <w:rPr>
          <w:rFonts w:hint="eastAsia" w:hAnsi="宋体" w:cs="宋体"/>
          <w:szCs w:val="21"/>
        </w:rPr>
        <w:t>。由表</w:t>
      </w:r>
      <w:r>
        <w:rPr>
          <w:rFonts w:ascii="Times New Roman" w:hAnsi="Times New Roman"/>
          <w:szCs w:val="21"/>
        </w:rPr>
        <w:t>15</w:t>
      </w:r>
      <w:r>
        <w:rPr>
          <w:rFonts w:hint="eastAsia" w:hAnsi="宋体" w:cs="宋体"/>
          <w:szCs w:val="21"/>
        </w:rPr>
        <w:t>可知样品加标回收情况良好，</w:t>
      </w:r>
      <w:r>
        <w:rPr>
          <w:rFonts w:hint="eastAsia" w:cs="宋体"/>
          <w:szCs w:val="21"/>
        </w:rPr>
        <w:t>回收率</w:t>
      </w:r>
      <w:r>
        <w:rPr>
          <w:rFonts w:hint="eastAsia"/>
          <w:szCs w:val="21"/>
        </w:rPr>
        <w:t>为</w:t>
      </w:r>
      <w:r>
        <w:rPr>
          <w:rFonts w:ascii="Times New Roman" w:hAnsi="Times New Roman"/>
          <w:szCs w:val="21"/>
        </w:rPr>
        <w:t>98.95%~101.87%</w:t>
      </w:r>
      <w:r>
        <w:rPr>
          <w:rFonts w:hint="eastAsia"/>
          <w:szCs w:val="21"/>
        </w:rPr>
        <w:t>，</w:t>
      </w:r>
      <w:r>
        <w:rPr>
          <w:rFonts w:hint="eastAsia" w:hAnsi="宋体" w:cs="宋体"/>
          <w:szCs w:val="21"/>
        </w:rPr>
        <w:t>符合分析要求。</w:t>
      </w:r>
    </w:p>
    <w:p>
      <w:pPr>
        <w:spacing w:beforeLines="50" w:afterLines="50" w:line="360" w:lineRule="auto"/>
        <w:jc w:val="center"/>
        <w:rPr>
          <w:rFonts w:hAnsi="宋体"/>
          <w:szCs w:val="21"/>
        </w:rPr>
      </w:pPr>
      <w:r>
        <w:rPr>
          <w:rFonts w:hint="eastAsia" w:hAnsi="宋体" w:cs="宋体"/>
          <w:szCs w:val="21"/>
        </w:rPr>
        <w:t>表</w:t>
      </w:r>
      <w:r>
        <w:rPr>
          <w:rFonts w:ascii="Times New Roman" w:hAnsi="Times New Roman"/>
          <w:szCs w:val="21"/>
        </w:rPr>
        <w:t>15</w:t>
      </w:r>
      <w:r>
        <w:rPr>
          <w:rFonts w:hint="eastAsia"/>
          <w:szCs w:val="21"/>
        </w:rPr>
        <w:t>样品加标</w:t>
      </w:r>
      <w:r>
        <w:rPr>
          <w:rFonts w:hint="eastAsia" w:hAnsi="宋体" w:cs="宋体"/>
          <w:szCs w:val="21"/>
        </w:rPr>
        <w:t>回收试验</w:t>
      </w:r>
    </w:p>
    <w:tbl>
      <w:tblPr>
        <w:tblStyle w:val="3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376"/>
        <w:gridCol w:w="1376"/>
        <w:gridCol w:w="1376"/>
        <w:gridCol w:w="1557"/>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81" w:type="dxa"/>
          </w:tcPr>
          <w:p>
            <w:pPr>
              <w:ind w:firstLine="180" w:firstLineChars="100"/>
              <w:rPr>
                <w:rFonts w:cs="宋体"/>
                <w:sz w:val="18"/>
                <w:szCs w:val="18"/>
              </w:rPr>
            </w:pPr>
            <w:r>
              <w:rPr>
                <w:rFonts w:hint="eastAsia" w:cs="宋体"/>
                <w:sz w:val="18"/>
                <w:szCs w:val="18"/>
              </w:rPr>
              <w:t>样品编号</w:t>
            </w:r>
          </w:p>
        </w:tc>
        <w:tc>
          <w:tcPr>
            <w:tcW w:w="1376" w:type="dxa"/>
          </w:tcPr>
          <w:p>
            <w:pPr>
              <w:jc w:val="center"/>
              <w:rPr>
                <w:sz w:val="18"/>
                <w:szCs w:val="18"/>
              </w:rPr>
            </w:pPr>
            <w:r>
              <w:rPr>
                <w:rFonts w:hint="eastAsia" w:cs="宋体"/>
                <w:sz w:val="18"/>
                <w:szCs w:val="18"/>
              </w:rPr>
              <w:t>称样量</w:t>
            </w:r>
            <w:r>
              <w:rPr>
                <w:rFonts w:ascii="Times New Roman" w:hAnsi="Times New Roman"/>
                <w:sz w:val="18"/>
                <w:szCs w:val="18"/>
              </w:rPr>
              <w:t>/g</w:t>
            </w:r>
          </w:p>
        </w:tc>
        <w:tc>
          <w:tcPr>
            <w:tcW w:w="1376" w:type="dxa"/>
            <w:vAlign w:val="center"/>
          </w:tcPr>
          <w:p>
            <w:pPr>
              <w:jc w:val="center"/>
              <w:rPr>
                <w:sz w:val="18"/>
                <w:szCs w:val="18"/>
              </w:rPr>
            </w:pPr>
            <w:r>
              <w:rPr>
                <w:rFonts w:hint="eastAsia" w:cs="宋体"/>
                <w:sz w:val="18"/>
                <w:szCs w:val="18"/>
              </w:rPr>
              <w:t>样品含铋量</w:t>
            </w:r>
            <w:r>
              <w:rPr>
                <w:rFonts w:ascii="Times New Roman" w:hAnsi="Times New Roman"/>
                <w:sz w:val="18"/>
                <w:szCs w:val="18"/>
              </w:rPr>
              <w:t>/mg</w:t>
            </w:r>
          </w:p>
        </w:tc>
        <w:tc>
          <w:tcPr>
            <w:tcW w:w="1376" w:type="dxa"/>
          </w:tcPr>
          <w:p>
            <w:pPr>
              <w:jc w:val="center"/>
              <w:rPr>
                <w:sz w:val="18"/>
                <w:szCs w:val="18"/>
              </w:rPr>
            </w:pPr>
            <w:r>
              <w:rPr>
                <w:rFonts w:hint="eastAsia" w:cs="宋体"/>
                <w:sz w:val="18"/>
                <w:szCs w:val="18"/>
              </w:rPr>
              <w:t>加入铋量</w:t>
            </w:r>
            <w:r>
              <w:rPr>
                <w:rFonts w:ascii="Times New Roman" w:hAnsi="Times New Roman"/>
                <w:sz w:val="18"/>
                <w:szCs w:val="18"/>
              </w:rPr>
              <w:t>/mg</w:t>
            </w:r>
          </w:p>
        </w:tc>
        <w:tc>
          <w:tcPr>
            <w:tcW w:w="1557" w:type="dxa"/>
            <w:vAlign w:val="center"/>
          </w:tcPr>
          <w:p>
            <w:pPr>
              <w:jc w:val="center"/>
              <w:rPr>
                <w:rFonts w:hAnsi="宋体"/>
                <w:sz w:val="18"/>
                <w:szCs w:val="18"/>
              </w:rPr>
            </w:pPr>
            <w:r>
              <w:rPr>
                <w:rFonts w:hint="eastAsia" w:cs="宋体"/>
                <w:sz w:val="18"/>
                <w:szCs w:val="18"/>
              </w:rPr>
              <w:t>测得铋量</w:t>
            </w:r>
            <w:r>
              <w:rPr>
                <w:rFonts w:ascii="Times New Roman" w:hAnsi="Times New Roman"/>
                <w:sz w:val="18"/>
                <w:szCs w:val="18"/>
              </w:rPr>
              <w:t>/mg</w:t>
            </w:r>
          </w:p>
        </w:tc>
        <w:tc>
          <w:tcPr>
            <w:tcW w:w="1553" w:type="dxa"/>
            <w:vAlign w:val="center"/>
          </w:tcPr>
          <w:p>
            <w:pPr>
              <w:jc w:val="center"/>
              <w:rPr>
                <w:rFonts w:cs="宋体"/>
                <w:sz w:val="18"/>
                <w:szCs w:val="18"/>
              </w:rPr>
            </w:pPr>
            <w:r>
              <w:rPr>
                <w:rFonts w:hint="eastAsia" w:cs="宋体"/>
                <w:sz w:val="18"/>
                <w:szCs w:val="18"/>
              </w:rPr>
              <w:t>回收率</w:t>
            </w: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81" w:type="dxa"/>
            <w:vMerge w:val="restart"/>
          </w:tcPr>
          <w:p>
            <w:pPr>
              <w:ind w:firstLine="450" w:firstLineChars="250"/>
              <w:rPr>
                <w:rFonts w:ascii="Times New Roman" w:hAnsi="Times New Roman"/>
                <w:sz w:val="18"/>
                <w:szCs w:val="18"/>
              </w:rPr>
            </w:pPr>
          </w:p>
          <w:p>
            <w:pPr>
              <w:ind w:firstLine="450" w:firstLineChars="250"/>
              <w:rPr>
                <w:rFonts w:ascii="Times New Roman" w:hAnsi="Times New Roman"/>
                <w:sz w:val="18"/>
                <w:szCs w:val="18"/>
              </w:rPr>
            </w:pPr>
            <w:r>
              <w:rPr>
                <w:rFonts w:ascii="Times New Roman" w:hAnsi="Times New Roman"/>
                <w:sz w:val="18"/>
                <w:szCs w:val="18"/>
              </w:rPr>
              <w:t>Bi1#</w:t>
            </w:r>
          </w:p>
        </w:tc>
        <w:tc>
          <w:tcPr>
            <w:tcW w:w="1376" w:type="dxa"/>
          </w:tcPr>
          <w:p>
            <w:pPr>
              <w:ind w:firstLine="450" w:firstLineChars="250"/>
              <w:rPr>
                <w:rFonts w:ascii="Times New Roman" w:hAnsi="Times New Roman"/>
                <w:sz w:val="18"/>
                <w:szCs w:val="18"/>
              </w:rPr>
            </w:pPr>
            <w:r>
              <w:rPr>
                <w:rFonts w:ascii="Times New Roman" w:hAnsi="Times New Roman"/>
                <w:sz w:val="18"/>
                <w:szCs w:val="18"/>
              </w:rPr>
              <w:t>0.5011</w:t>
            </w:r>
          </w:p>
        </w:tc>
        <w:tc>
          <w:tcPr>
            <w:tcW w:w="1376" w:type="dxa"/>
            <w:vAlign w:val="center"/>
          </w:tcPr>
          <w:p>
            <w:pPr>
              <w:ind w:firstLine="360" w:firstLineChars="200"/>
              <w:rPr>
                <w:rFonts w:ascii="Times New Roman" w:hAnsi="Times New Roman"/>
                <w:sz w:val="18"/>
                <w:szCs w:val="18"/>
              </w:rPr>
            </w:pPr>
            <w:r>
              <w:rPr>
                <w:rFonts w:ascii="Times New Roman" w:hAnsi="Times New Roman"/>
                <w:sz w:val="18"/>
                <w:szCs w:val="18"/>
              </w:rPr>
              <w:t>0.4510</w:t>
            </w:r>
          </w:p>
        </w:tc>
        <w:tc>
          <w:tcPr>
            <w:tcW w:w="1376" w:type="dxa"/>
          </w:tcPr>
          <w:p>
            <w:pPr>
              <w:jc w:val="center"/>
              <w:rPr>
                <w:rFonts w:ascii="Times New Roman" w:hAnsi="Times New Roman"/>
                <w:sz w:val="18"/>
                <w:szCs w:val="18"/>
              </w:rPr>
            </w:pPr>
            <w:r>
              <w:rPr>
                <w:rFonts w:ascii="Times New Roman" w:hAnsi="Times New Roman"/>
                <w:sz w:val="18"/>
                <w:szCs w:val="18"/>
              </w:rPr>
              <w:t>0.2000</w:t>
            </w:r>
          </w:p>
        </w:tc>
        <w:tc>
          <w:tcPr>
            <w:tcW w:w="1557" w:type="dxa"/>
            <w:vAlign w:val="center"/>
          </w:tcPr>
          <w:p>
            <w:pPr>
              <w:jc w:val="center"/>
              <w:rPr>
                <w:rFonts w:ascii="Times New Roman" w:hAnsi="Times New Roman"/>
                <w:sz w:val="18"/>
                <w:szCs w:val="18"/>
              </w:rPr>
            </w:pPr>
            <w:r>
              <w:rPr>
                <w:rFonts w:ascii="Times New Roman" w:hAnsi="Times New Roman"/>
                <w:sz w:val="18"/>
                <w:szCs w:val="18"/>
              </w:rPr>
              <w:t>0.6492</w:t>
            </w:r>
          </w:p>
        </w:tc>
        <w:tc>
          <w:tcPr>
            <w:tcW w:w="1553" w:type="dxa"/>
            <w:vAlign w:val="center"/>
          </w:tcPr>
          <w:p>
            <w:pPr>
              <w:jc w:val="center"/>
              <w:rPr>
                <w:rFonts w:ascii="Times New Roman" w:hAnsi="Times New Roman"/>
                <w:sz w:val="18"/>
                <w:szCs w:val="18"/>
              </w:rPr>
            </w:pPr>
            <w:r>
              <w:rPr>
                <w:rFonts w:ascii="Times New Roman" w:hAnsi="Times New Roman"/>
                <w:sz w:val="18"/>
                <w:szCs w:val="18"/>
              </w:rPr>
              <w:t>99.10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81" w:type="dxa"/>
            <w:vMerge w:val="continue"/>
          </w:tcPr>
          <w:p>
            <w:pPr>
              <w:ind w:firstLine="450" w:firstLineChars="250"/>
              <w:rPr>
                <w:rFonts w:ascii="Times New Roman" w:hAnsi="Times New Roman"/>
                <w:sz w:val="18"/>
                <w:szCs w:val="18"/>
              </w:rPr>
            </w:pPr>
          </w:p>
        </w:tc>
        <w:tc>
          <w:tcPr>
            <w:tcW w:w="1376" w:type="dxa"/>
          </w:tcPr>
          <w:p>
            <w:pPr>
              <w:ind w:firstLine="450" w:firstLineChars="250"/>
              <w:rPr>
                <w:rFonts w:ascii="Times New Roman" w:hAnsi="Times New Roman"/>
                <w:sz w:val="18"/>
                <w:szCs w:val="18"/>
              </w:rPr>
            </w:pPr>
            <w:r>
              <w:rPr>
                <w:rFonts w:ascii="Times New Roman" w:hAnsi="Times New Roman"/>
                <w:sz w:val="18"/>
                <w:szCs w:val="18"/>
              </w:rPr>
              <w:t>0.2006</w:t>
            </w:r>
          </w:p>
        </w:tc>
        <w:tc>
          <w:tcPr>
            <w:tcW w:w="1376" w:type="dxa"/>
            <w:vAlign w:val="center"/>
          </w:tcPr>
          <w:p>
            <w:pPr>
              <w:ind w:firstLine="360" w:firstLineChars="200"/>
              <w:rPr>
                <w:rFonts w:ascii="Times New Roman" w:hAnsi="Times New Roman"/>
                <w:sz w:val="18"/>
                <w:szCs w:val="18"/>
              </w:rPr>
            </w:pPr>
            <w:r>
              <w:rPr>
                <w:rFonts w:ascii="Times New Roman" w:hAnsi="Times New Roman"/>
                <w:sz w:val="18"/>
                <w:szCs w:val="18"/>
              </w:rPr>
              <w:t>0.1805</w:t>
            </w:r>
          </w:p>
        </w:tc>
        <w:tc>
          <w:tcPr>
            <w:tcW w:w="1376" w:type="dxa"/>
          </w:tcPr>
          <w:p>
            <w:pPr>
              <w:jc w:val="center"/>
              <w:rPr>
                <w:rFonts w:ascii="Times New Roman" w:hAnsi="Times New Roman"/>
                <w:sz w:val="18"/>
                <w:szCs w:val="18"/>
              </w:rPr>
            </w:pPr>
            <w:r>
              <w:rPr>
                <w:rFonts w:ascii="Times New Roman" w:hAnsi="Times New Roman"/>
                <w:sz w:val="18"/>
                <w:szCs w:val="18"/>
              </w:rPr>
              <w:t>0.4000</w:t>
            </w:r>
          </w:p>
        </w:tc>
        <w:tc>
          <w:tcPr>
            <w:tcW w:w="1557" w:type="dxa"/>
            <w:vAlign w:val="center"/>
          </w:tcPr>
          <w:p>
            <w:pPr>
              <w:jc w:val="center"/>
              <w:rPr>
                <w:rFonts w:ascii="Times New Roman" w:hAnsi="Times New Roman"/>
                <w:sz w:val="18"/>
                <w:szCs w:val="18"/>
              </w:rPr>
            </w:pPr>
            <w:r>
              <w:rPr>
                <w:rFonts w:ascii="Times New Roman" w:hAnsi="Times New Roman"/>
                <w:sz w:val="18"/>
                <w:szCs w:val="18"/>
              </w:rPr>
              <w:t>0.5763</w:t>
            </w:r>
          </w:p>
        </w:tc>
        <w:tc>
          <w:tcPr>
            <w:tcW w:w="1553" w:type="dxa"/>
            <w:vAlign w:val="center"/>
          </w:tcPr>
          <w:p>
            <w:pPr>
              <w:jc w:val="center"/>
              <w:rPr>
                <w:rFonts w:ascii="Times New Roman" w:hAnsi="Times New Roman"/>
                <w:sz w:val="18"/>
                <w:szCs w:val="18"/>
              </w:rPr>
            </w:pPr>
            <w:r>
              <w:rPr>
                <w:rFonts w:ascii="Times New Roman" w:hAnsi="Times New Roman"/>
                <w:sz w:val="18"/>
                <w:szCs w:val="18"/>
              </w:rPr>
              <w:t>98.95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81" w:type="dxa"/>
            <w:vMerge w:val="continue"/>
          </w:tcPr>
          <w:p>
            <w:pPr>
              <w:ind w:firstLine="450" w:firstLineChars="250"/>
              <w:rPr>
                <w:rFonts w:ascii="Times New Roman" w:hAnsi="Times New Roman"/>
                <w:sz w:val="18"/>
                <w:szCs w:val="18"/>
              </w:rPr>
            </w:pPr>
          </w:p>
        </w:tc>
        <w:tc>
          <w:tcPr>
            <w:tcW w:w="1376" w:type="dxa"/>
          </w:tcPr>
          <w:p>
            <w:pPr>
              <w:ind w:firstLine="450" w:firstLineChars="250"/>
              <w:rPr>
                <w:rFonts w:ascii="Times New Roman" w:hAnsi="Times New Roman"/>
                <w:sz w:val="18"/>
                <w:szCs w:val="18"/>
              </w:rPr>
            </w:pPr>
            <w:r>
              <w:rPr>
                <w:rFonts w:ascii="Times New Roman" w:hAnsi="Times New Roman"/>
                <w:sz w:val="18"/>
                <w:szCs w:val="18"/>
              </w:rPr>
              <w:t>0.2007</w:t>
            </w:r>
          </w:p>
        </w:tc>
        <w:tc>
          <w:tcPr>
            <w:tcW w:w="1376" w:type="dxa"/>
            <w:vAlign w:val="center"/>
          </w:tcPr>
          <w:p>
            <w:pPr>
              <w:ind w:firstLine="360" w:firstLineChars="200"/>
              <w:rPr>
                <w:rFonts w:ascii="Times New Roman" w:hAnsi="Times New Roman"/>
                <w:sz w:val="18"/>
                <w:szCs w:val="18"/>
              </w:rPr>
            </w:pPr>
            <w:r>
              <w:rPr>
                <w:rFonts w:ascii="Times New Roman" w:hAnsi="Times New Roman"/>
                <w:sz w:val="18"/>
                <w:szCs w:val="18"/>
              </w:rPr>
              <w:t>0.1806</w:t>
            </w:r>
          </w:p>
        </w:tc>
        <w:tc>
          <w:tcPr>
            <w:tcW w:w="1376" w:type="dxa"/>
            <w:vAlign w:val="center"/>
          </w:tcPr>
          <w:p>
            <w:pPr>
              <w:jc w:val="center"/>
              <w:rPr>
                <w:rFonts w:ascii="Times New Roman" w:hAnsi="Times New Roman"/>
                <w:sz w:val="18"/>
                <w:szCs w:val="18"/>
              </w:rPr>
            </w:pPr>
            <w:r>
              <w:rPr>
                <w:rFonts w:ascii="Times New Roman" w:hAnsi="Times New Roman"/>
                <w:sz w:val="18"/>
                <w:szCs w:val="18"/>
              </w:rPr>
              <w:t>0.6000</w:t>
            </w:r>
          </w:p>
        </w:tc>
        <w:tc>
          <w:tcPr>
            <w:tcW w:w="1557" w:type="dxa"/>
            <w:vAlign w:val="center"/>
          </w:tcPr>
          <w:p>
            <w:pPr>
              <w:jc w:val="center"/>
              <w:rPr>
                <w:rFonts w:ascii="Times New Roman" w:hAnsi="Times New Roman"/>
                <w:sz w:val="18"/>
                <w:szCs w:val="18"/>
              </w:rPr>
            </w:pPr>
            <w:r>
              <w:rPr>
                <w:rFonts w:ascii="Times New Roman" w:hAnsi="Times New Roman"/>
                <w:sz w:val="18"/>
                <w:szCs w:val="18"/>
              </w:rPr>
              <w:t>0.7819</w:t>
            </w:r>
          </w:p>
        </w:tc>
        <w:tc>
          <w:tcPr>
            <w:tcW w:w="1553" w:type="dxa"/>
            <w:vAlign w:val="center"/>
          </w:tcPr>
          <w:p>
            <w:pPr>
              <w:jc w:val="center"/>
              <w:rPr>
                <w:rFonts w:ascii="Times New Roman" w:hAnsi="Times New Roman"/>
                <w:sz w:val="18"/>
                <w:szCs w:val="18"/>
              </w:rPr>
            </w:pPr>
            <w:r>
              <w:rPr>
                <w:rFonts w:ascii="Times New Roman" w:hAnsi="Times New Roman"/>
                <w:sz w:val="18"/>
                <w:szCs w:val="18"/>
              </w:rPr>
              <w:t>100.22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81" w:type="dxa"/>
            <w:vMerge w:val="restart"/>
          </w:tcPr>
          <w:p>
            <w:pPr>
              <w:ind w:firstLine="450" w:firstLineChars="250"/>
              <w:rPr>
                <w:rFonts w:ascii="Times New Roman" w:hAnsi="Times New Roman"/>
                <w:sz w:val="18"/>
                <w:szCs w:val="18"/>
              </w:rPr>
            </w:pPr>
          </w:p>
          <w:p>
            <w:pPr>
              <w:ind w:firstLine="450" w:firstLineChars="250"/>
              <w:rPr>
                <w:rFonts w:ascii="Times New Roman" w:hAnsi="Times New Roman"/>
                <w:sz w:val="18"/>
                <w:szCs w:val="18"/>
              </w:rPr>
            </w:pPr>
            <w:r>
              <w:rPr>
                <w:rFonts w:ascii="Times New Roman" w:hAnsi="Times New Roman"/>
                <w:sz w:val="18"/>
                <w:szCs w:val="18"/>
              </w:rPr>
              <w:t>Bi5#</w:t>
            </w:r>
          </w:p>
        </w:tc>
        <w:tc>
          <w:tcPr>
            <w:tcW w:w="1376" w:type="dxa"/>
          </w:tcPr>
          <w:p>
            <w:pPr>
              <w:ind w:firstLine="450" w:firstLineChars="250"/>
              <w:rPr>
                <w:rFonts w:ascii="Times New Roman" w:hAnsi="Times New Roman"/>
                <w:sz w:val="18"/>
                <w:szCs w:val="18"/>
              </w:rPr>
            </w:pPr>
            <w:r>
              <w:rPr>
                <w:rFonts w:ascii="Times New Roman" w:hAnsi="Times New Roman"/>
                <w:sz w:val="18"/>
                <w:szCs w:val="18"/>
              </w:rPr>
              <w:t>0.1005</w:t>
            </w:r>
          </w:p>
        </w:tc>
        <w:tc>
          <w:tcPr>
            <w:tcW w:w="1376" w:type="dxa"/>
            <w:vAlign w:val="center"/>
          </w:tcPr>
          <w:p>
            <w:pPr>
              <w:ind w:firstLine="360" w:firstLineChars="200"/>
              <w:rPr>
                <w:rFonts w:ascii="Times New Roman" w:hAnsi="Times New Roman"/>
                <w:sz w:val="18"/>
                <w:szCs w:val="18"/>
              </w:rPr>
            </w:pPr>
            <w:r>
              <w:rPr>
                <w:rFonts w:ascii="Times New Roman" w:hAnsi="Times New Roman"/>
                <w:sz w:val="18"/>
                <w:szCs w:val="18"/>
              </w:rPr>
              <w:t>4.7938</w:t>
            </w:r>
          </w:p>
        </w:tc>
        <w:tc>
          <w:tcPr>
            <w:tcW w:w="1376" w:type="dxa"/>
          </w:tcPr>
          <w:p>
            <w:pPr>
              <w:jc w:val="center"/>
              <w:rPr>
                <w:rFonts w:ascii="Times New Roman" w:hAnsi="Times New Roman"/>
                <w:sz w:val="18"/>
                <w:szCs w:val="18"/>
              </w:rPr>
            </w:pPr>
            <w:r>
              <w:rPr>
                <w:rFonts w:ascii="Times New Roman" w:hAnsi="Times New Roman"/>
                <w:sz w:val="18"/>
                <w:szCs w:val="18"/>
              </w:rPr>
              <w:t>4.0000</w:t>
            </w:r>
          </w:p>
        </w:tc>
        <w:tc>
          <w:tcPr>
            <w:tcW w:w="1557" w:type="dxa"/>
            <w:vAlign w:val="center"/>
          </w:tcPr>
          <w:p>
            <w:pPr>
              <w:jc w:val="center"/>
              <w:rPr>
                <w:rFonts w:ascii="Times New Roman" w:hAnsi="Times New Roman"/>
                <w:sz w:val="18"/>
                <w:szCs w:val="18"/>
              </w:rPr>
            </w:pPr>
            <w:r>
              <w:rPr>
                <w:rFonts w:ascii="Times New Roman" w:hAnsi="Times New Roman"/>
                <w:sz w:val="18"/>
                <w:szCs w:val="18"/>
              </w:rPr>
              <w:t>8.8000</w:t>
            </w:r>
          </w:p>
        </w:tc>
        <w:tc>
          <w:tcPr>
            <w:tcW w:w="1553" w:type="dxa"/>
            <w:vAlign w:val="center"/>
          </w:tcPr>
          <w:p>
            <w:pPr>
              <w:jc w:val="center"/>
              <w:rPr>
                <w:rFonts w:ascii="Times New Roman" w:hAnsi="Times New Roman"/>
                <w:sz w:val="18"/>
                <w:szCs w:val="18"/>
              </w:rPr>
            </w:pPr>
            <w:r>
              <w:rPr>
                <w:rFonts w:ascii="Times New Roman" w:hAnsi="Times New Roman"/>
                <w:sz w:val="18"/>
                <w:szCs w:val="18"/>
              </w:rPr>
              <w:t>100.155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81" w:type="dxa"/>
            <w:vMerge w:val="continue"/>
          </w:tcPr>
          <w:p>
            <w:pPr>
              <w:ind w:firstLine="450" w:firstLineChars="250"/>
              <w:rPr>
                <w:rFonts w:ascii="Times New Roman" w:hAnsi="Times New Roman"/>
                <w:sz w:val="18"/>
                <w:szCs w:val="18"/>
              </w:rPr>
            </w:pPr>
          </w:p>
        </w:tc>
        <w:tc>
          <w:tcPr>
            <w:tcW w:w="1376" w:type="dxa"/>
          </w:tcPr>
          <w:p>
            <w:pPr>
              <w:ind w:firstLine="450" w:firstLineChars="250"/>
              <w:rPr>
                <w:rFonts w:ascii="Times New Roman" w:hAnsi="Times New Roman"/>
                <w:sz w:val="18"/>
                <w:szCs w:val="18"/>
              </w:rPr>
            </w:pPr>
            <w:r>
              <w:rPr>
                <w:rFonts w:ascii="Times New Roman" w:hAnsi="Times New Roman"/>
                <w:sz w:val="18"/>
                <w:szCs w:val="18"/>
              </w:rPr>
              <w:t>0.1005</w:t>
            </w:r>
          </w:p>
        </w:tc>
        <w:tc>
          <w:tcPr>
            <w:tcW w:w="1376" w:type="dxa"/>
            <w:vAlign w:val="center"/>
          </w:tcPr>
          <w:p>
            <w:pPr>
              <w:ind w:firstLine="360" w:firstLineChars="200"/>
              <w:rPr>
                <w:rFonts w:ascii="Times New Roman" w:hAnsi="Times New Roman"/>
                <w:sz w:val="18"/>
                <w:szCs w:val="18"/>
              </w:rPr>
            </w:pPr>
            <w:r>
              <w:rPr>
                <w:rFonts w:ascii="Times New Roman" w:hAnsi="Times New Roman"/>
                <w:sz w:val="18"/>
                <w:szCs w:val="18"/>
              </w:rPr>
              <w:t>4.7938</w:t>
            </w:r>
          </w:p>
        </w:tc>
        <w:tc>
          <w:tcPr>
            <w:tcW w:w="1376" w:type="dxa"/>
          </w:tcPr>
          <w:p>
            <w:pPr>
              <w:jc w:val="center"/>
              <w:rPr>
                <w:rFonts w:ascii="Times New Roman" w:hAnsi="Times New Roman"/>
                <w:sz w:val="18"/>
                <w:szCs w:val="18"/>
              </w:rPr>
            </w:pPr>
            <w:r>
              <w:rPr>
                <w:rFonts w:ascii="Times New Roman" w:hAnsi="Times New Roman"/>
                <w:sz w:val="18"/>
                <w:szCs w:val="18"/>
              </w:rPr>
              <w:t>8.0000</w:t>
            </w:r>
          </w:p>
        </w:tc>
        <w:tc>
          <w:tcPr>
            <w:tcW w:w="1557" w:type="dxa"/>
            <w:vAlign w:val="center"/>
          </w:tcPr>
          <w:p>
            <w:pPr>
              <w:jc w:val="center"/>
              <w:rPr>
                <w:rFonts w:ascii="Times New Roman" w:hAnsi="Times New Roman"/>
                <w:sz w:val="18"/>
                <w:szCs w:val="18"/>
              </w:rPr>
            </w:pPr>
            <w:r>
              <w:rPr>
                <w:rFonts w:ascii="Times New Roman" w:hAnsi="Times New Roman"/>
                <w:sz w:val="18"/>
                <w:szCs w:val="18"/>
              </w:rPr>
              <w:t>12.9432</w:t>
            </w:r>
          </w:p>
        </w:tc>
        <w:tc>
          <w:tcPr>
            <w:tcW w:w="1553" w:type="dxa"/>
            <w:vAlign w:val="center"/>
          </w:tcPr>
          <w:p>
            <w:pPr>
              <w:jc w:val="center"/>
              <w:rPr>
                <w:rFonts w:ascii="Times New Roman" w:hAnsi="Times New Roman"/>
                <w:sz w:val="18"/>
                <w:szCs w:val="18"/>
              </w:rPr>
            </w:pPr>
            <w:r>
              <w:rPr>
                <w:rFonts w:ascii="Times New Roman" w:hAnsi="Times New Roman"/>
                <w:sz w:val="18"/>
                <w:szCs w:val="18"/>
              </w:rPr>
              <w:t>101.87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81" w:type="dxa"/>
            <w:vMerge w:val="continue"/>
          </w:tcPr>
          <w:p>
            <w:pPr>
              <w:ind w:firstLine="450" w:firstLineChars="250"/>
              <w:rPr>
                <w:rFonts w:ascii="Times New Roman" w:hAnsi="Times New Roman"/>
                <w:sz w:val="18"/>
                <w:szCs w:val="18"/>
              </w:rPr>
            </w:pPr>
          </w:p>
        </w:tc>
        <w:tc>
          <w:tcPr>
            <w:tcW w:w="1376" w:type="dxa"/>
          </w:tcPr>
          <w:p>
            <w:pPr>
              <w:ind w:firstLine="450" w:firstLineChars="250"/>
              <w:rPr>
                <w:rFonts w:ascii="Times New Roman" w:hAnsi="Times New Roman"/>
                <w:sz w:val="18"/>
                <w:szCs w:val="18"/>
              </w:rPr>
            </w:pPr>
            <w:r>
              <w:rPr>
                <w:rFonts w:ascii="Times New Roman" w:hAnsi="Times New Roman"/>
                <w:sz w:val="18"/>
                <w:szCs w:val="18"/>
              </w:rPr>
              <w:t>0.1004</w:t>
            </w:r>
          </w:p>
        </w:tc>
        <w:tc>
          <w:tcPr>
            <w:tcW w:w="1376" w:type="dxa"/>
            <w:vAlign w:val="center"/>
          </w:tcPr>
          <w:p>
            <w:pPr>
              <w:ind w:firstLine="360" w:firstLineChars="200"/>
              <w:rPr>
                <w:rFonts w:ascii="Times New Roman" w:hAnsi="Times New Roman"/>
                <w:sz w:val="18"/>
                <w:szCs w:val="18"/>
              </w:rPr>
            </w:pPr>
            <w:r>
              <w:rPr>
                <w:rFonts w:ascii="Times New Roman" w:hAnsi="Times New Roman"/>
                <w:sz w:val="18"/>
                <w:szCs w:val="18"/>
              </w:rPr>
              <w:t>4.7891</w:t>
            </w:r>
          </w:p>
        </w:tc>
        <w:tc>
          <w:tcPr>
            <w:tcW w:w="1376" w:type="dxa"/>
          </w:tcPr>
          <w:p>
            <w:pPr>
              <w:jc w:val="center"/>
              <w:rPr>
                <w:rFonts w:ascii="Times New Roman" w:hAnsi="Times New Roman"/>
                <w:sz w:val="18"/>
                <w:szCs w:val="18"/>
              </w:rPr>
            </w:pPr>
            <w:r>
              <w:rPr>
                <w:rFonts w:ascii="Times New Roman" w:hAnsi="Times New Roman"/>
                <w:sz w:val="18"/>
                <w:szCs w:val="18"/>
              </w:rPr>
              <w:t>10.0000</w:t>
            </w:r>
          </w:p>
        </w:tc>
        <w:tc>
          <w:tcPr>
            <w:tcW w:w="1557" w:type="dxa"/>
            <w:vAlign w:val="center"/>
          </w:tcPr>
          <w:p>
            <w:pPr>
              <w:jc w:val="center"/>
              <w:rPr>
                <w:rFonts w:ascii="Times New Roman" w:hAnsi="Times New Roman"/>
                <w:sz w:val="18"/>
                <w:szCs w:val="18"/>
              </w:rPr>
            </w:pPr>
            <w:r>
              <w:rPr>
                <w:rFonts w:ascii="Times New Roman" w:hAnsi="Times New Roman"/>
                <w:sz w:val="18"/>
                <w:szCs w:val="18"/>
              </w:rPr>
              <w:t>14.7849</w:t>
            </w:r>
          </w:p>
        </w:tc>
        <w:tc>
          <w:tcPr>
            <w:tcW w:w="1553" w:type="dxa"/>
            <w:vAlign w:val="center"/>
          </w:tcPr>
          <w:p>
            <w:pPr>
              <w:jc w:val="center"/>
              <w:rPr>
                <w:rFonts w:ascii="Times New Roman" w:hAnsi="Times New Roman"/>
                <w:sz w:val="18"/>
                <w:szCs w:val="18"/>
              </w:rPr>
            </w:pPr>
            <w:r>
              <w:rPr>
                <w:rFonts w:ascii="Times New Roman" w:hAnsi="Times New Roman"/>
                <w:sz w:val="18"/>
                <w:szCs w:val="18"/>
              </w:rPr>
              <w:t>99.96</w:t>
            </w:r>
          </w:p>
        </w:tc>
      </w:tr>
    </w:tbl>
    <w:p>
      <w:pPr>
        <w:spacing w:beforeLines="50" w:afterLines="50" w:line="360" w:lineRule="auto"/>
        <w:rPr>
          <w:rFonts w:ascii="黑体" w:hAnsi="黑体" w:eastAsia="黑体"/>
          <w:bCs/>
          <w:szCs w:val="21"/>
        </w:rPr>
      </w:pPr>
      <w:r>
        <w:rPr>
          <w:rFonts w:ascii="Times New Roman" w:hAnsi="Times New Roman" w:eastAsia="黑体"/>
          <w:bCs/>
          <w:szCs w:val="21"/>
        </w:rPr>
        <w:t>6</w:t>
      </w:r>
      <w:r>
        <w:rPr>
          <w:rFonts w:hint="eastAsia" w:ascii="黑体" w:hAnsi="黑体" w:eastAsia="黑体"/>
          <w:bCs/>
          <w:szCs w:val="21"/>
        </w:rPr>
        <w:t xml:space="preserve">  </w:t>
      </w:r>
      <w:r>
        <w:rPr>
          <w:rFonts w:hint="eastAsia" w:ascii="黑体" w:hAnsi="黑体" w:eastAsia="黑体" w:cs="黑体"/>
          <w:bCs/>
          <w:szCs w:val="21"/>
        </w:rPr>
        <w:t>结语</w:t>
      </w:r>
    </w:p>
    <w:p>
      <w:pPr>
        <w:ind w:firstLine="420" w:firstLineChars="200"/>
        <w:rPr>
          <w:rFonts w:ascii="宋体" w:hAnsi="宋体"/>
          <w:szCs w:val="21"/>
        </w:rPr>
      </w:pPr>
      <w:r>
        <w:rPr>
          <w:rFonts w:hint="eastAsia" w:ascii="宋体" w:hAnsi="宋体"/>
          <w:szCs w:val="21"/>
        </w:rPr>
        <w:t>经过系列研究试验，制定了铜冶炼烟尘中铋含量</w:t>
      </w:r>
      <w:r>
        <w:rPr>
          <w:rFonts w:ascii="Times New Roman" w:hAnsi="Times New Roman"/>
          <w:szCs w:val="21"/>
        </w:rPr>
        <w:t>0.050 % ~5.00 % 的火焰原子吸收光谱法。方法标准偏差为0.0013 %~ 0.057 %，相对标准偏差为0.78 % ~1.44 %，样品加标回收率为98.95%~101.87%。共存元素40 mg Sb，150 mg As，20 mg Sn，120 mg Cu，125 mg Zn，110 mg Fe，0.60 mg Te，7.5 mg Ca，5 mg Mg，0.77 mg In，8 mg Al，108 mg SiO</w:t>
      </w:r>
      <w:r>
        <w:rPr>
          <w:rFonts w:ascii="Times New Roman" w:hAnsi="Times New Roman"/>
          <w:szCs w:val="21"/>
          <w:vertAlign w:val="subscript"/>
        </w:rPr>
        <w:t>2</w:t>
      </w:r>
      <w:r>
        <w:rPr>
          <w:rFonts w:ascii="Times New Roman" w:hAnsi="Times New Roman"/>
          <w:szCs w:val="21"/>
        </w:rPr>
        <w:t>，80 mg Cd，250 mg Pb，5 mg Se，0.05 mg Au，1 mg Ag</w:t>
      </w:r>
      <w:r>
        <w:rPr>
          <w:rFonts w:hint="eastAsia" w:ascii="宋体" w:hAnsi="宋体"/>
          <w:szCs w:val="21"/>
        </w:rPr>
        <w:t>对铋测定无影响。本方法具有灵敏度高、结果准确、操作简便等特点，适合铜冶炼烟尘中铋含量</w:t>
      </w:r>
      <w:r>
        <w:rPr>
          <w:rFonts w:ascii="Times New Roman" w:hAnsi="Times New Roman"/>
          <w:szCs w:val="21"/>
        </w:rPr>
        <w:t xml:space="preserve">0.050 % ~ 5.00 % </w:t>
      </w:r>
      <w:r>
        <w:rPr>
          <w:rFonts w:hint="eastAsia" w:ascii="宋体" w:hAnsi="宋体"/>
          <w:szCs w:val="21"/>
        </w:rPr>
        <w:t>的测定，</w:t>
      </w:r>
      <w:r>
        <w:rPr>
          <w:rFonts w:ascii="Times New Roman" w:hAnsi="Times New Roman"/>
          <w:spacing w:val="6"/>
        </w:rPr>
        <w:t>可作为行业标准进行推广</w:t>
      </w:r>
      <w:r>
        <w:rPr>
          <w:rFonts w:hint="eastAsia" w:ascii="Times New Roman" w:hAnsi="Times New Roman"/>
          <w:spacing w:val="6"/>
        </w:rPr>
        <w:t>。</w:t>
      </w:r>
    </w:p>
    <w:p>
      <w:pPr>
        <w:jc w:val="center"/>
        <w:rPr>
          <w:rFonts w:ascii="Times New Roman" w:hAnsi="Times New Roman" w:eastAsia="黑体"/>
          <w:bCs/>
          <w:szCs w:val="21"/>
        </w:rPr>
      </w:pPr>
    </w:p>
    <w:p>
      <w:pPr>
        <w:jc w:val="center"/>
        <w:rPr>
          <w:rFonts w:ascii="Times New Roman" w:hAnsi="Times New Roman" w:eastAsia="黑体"/>
          <w:bCs/>
          <w:szCs w:val="21"/>
        </w:rPr>
      </w:pPr>
    </w:p>
    <w:p>
      <w:pPr>
        <w:jc w:val="center"/>
        <w:rPr>
          <w:rFonts w:ascii="黑体" w:hAnsi="黑体" w:eastAsia="黑体"/>
          <w:sz w:val="32"/>
          <w:szCs w:val="32"/>
        </w:rPr>
      </w:pPr>
      <w:r>
        <w:rPr>
          <w:rFonts w:ascii="Times New Roman" w:hAnsi="Times New Roman" w:eastAsia="黑体"/>
          <w:bCs/>
          <w:szCs w:val="21"/>
        </w:rPr>
        <w:t xml:space="preserve">  </w:t>
      </w:r>
      <w:r>
        <w:rPr>
          <w:rFonts w:ascii="黑体" w:hAnsi="黑体" w:eastAsia="黑体"/>
          <w:sz w:val="32"/>
          <w:szCs w:val="32"/>
        </w:rPr>
        <w:t xml:space="preserve">铋含量的测定 </w:t>
      </w:r>
      <w:r>
        <w:rPr>
          <w:rFonts w:hint="eastAsia" w:ascii="黑体" w:hAnsi="黑体" w:eastAsia="黑体"/>
          <w:sz w:val="32"/>
          <w:szCs w:val="32"/>
        </w:rPr>
        <w:t>原子吸收光谱</w:t>
      </w:r>
      <w:r>
        <w:rPr>
          <w:rFonts w:ascii="黑体" w:hAnsi="黑体" w:eastAsia="黑体"/>
          <w:sz w:val="32"/>
          <w:szCs w:val="32"/>
        </w:rPr>
        <w:t>法 - 补充试验</w:t>
      </w:r>
    </w:p>
    <w:p>
      <w:pPr>
        <w:spacing w:beforeLines="50" w:afterLines="50" w:line="360" w:lineRule="auto"/>
        <w:rPr>
          <w:rFonts w:ascii="Times New Roman" w:hAnsi="Times New Roman" w:eastAsia="黑体"/>
          <w:bCs/>
          <w:szCs w:val="21"/>
        </w:rPr>
      </w:pPr>
    </w:p>
    <w:p>
      <w:pPr>
        <w:ind w:firstLine="420" w:firstLineChars="200"/>
        <w:rPr>
          <w:szCs w:val="21"/>
        </w:rPr>
      </w:pPr>
      <w:r>
        <w:rPr>
          <w:szCs w:val="21"/>
        </w:rPr>
        <w:t>根据2019年11月27-29日，全国有色金属标准化技术委员会在广东省深圳市召开的有色金属标准工作会议，会议对《铜冶炼烟尘化学分析方法》第1</w:t>
      </w:r>
      <w:r>
        <w:rPr>
          <w:sz w:val="18"/>
          <w:szCs w:val="18"/>
        </w:rPr>
        <w:t>～</w:t>
      </w:r>
      <w:r>
        <w:rPr>
          <w:szCs w:val="21"/>
        </w:rPr>
        <w:t>9部分进行了预审，预审会专家针对《铜冶炼烟尘化学分析方法》第1</w:t>
      </w:r>
      <w:r>
        <w:rPr>
          <w:sz w:val="18"/>
          <w:szCs w:val="18"/>
        </w:rPr>
        <w:t>～</w:t>
      </w:r>
      <w:r>
        <w:rPr>
          <w:szCs w:val="21"/>
        </w:rPr>
        <w:t>9部分提出了修改意见。针对第4部分铋含量的测定 火焰原子吸收光谱法提出</w:t>
      </w:r>
      <w:r>
        <w:rPr>
          <w:rFonts w:hint="eastAsia"/>
          <w:szCs w:val="21"/>
        </w:rPr>
        <w:t>：</w:t>
      </w:r>
      <w:r>
        <w:rPr>
          <w:szCs w:val="21"/>
        </w:rPr>
        <w:t>因使用氢氟酸溶样，建议将烧杯改为聚四氟乙烯烧杯。</w:t>
      </w:r>
      <w:r>
        <w:rPr>
          <w:rFonts w:hint="eastAsia"/>
          <w:szCs w:val="21"/>
        </w:rPr>
        <w:t>经统一，我们</w:t>
      </w:r>
      <w:r>
        <w:rPr>
          <w:szCs w:val="21"/>
        </w:rPr>
        <w:t>将氢氟酸改为用氟化铵或氟化氢铵进行溶样，其它步骤不变，进行了补充试验，具体试验情况见表1</w:t>
      </w:r>
      <w:r>
        <w:rPr>
          <w:rFonts w:hint="eastAsia"/>
          <w:szCs w:val="21"/>
        </w:rPr>
        <w:t>6，最终我们选择将氢氟酸替换为加2</w:t>
      </w:r>
      <w:r>
        <w:rPr>
          <w:szCs w:val="21"/>
        </w:rPr>
        <w:t xml:space="preserve"> mL</w:t>
      </w:r>
      <w:r>
        <w:rPr>
          <w:rFonts w:hint="eastAsia"/>
          <w:szCs w:val="21"/>
        </w:rPr>
        <w:t>饱和氟化氢铵溶液。</w:t>
      </w:r>
    </w:p>
    <w:p>
      <w:pPr>
        <w:ind w:firstLine="420" w:firstLineChars="200"/>
        <w:jc w:val="center"/>
        <w:rPr>
          <w:szCs w:val="21"/>
        </w:rPr>
      </w:pPr>
    </w:p>
    <w:p>
      <w:pPr>
        <w:ind w:firstLine="420" w:firstLineChars="200"/>
        <w:jc w:val="center"/>
        <w:rPr>
          <w:szCs w:val="21"/>
        </w:rPr>
      </w:pPr>
      <w:r>
        <w:rPr>
          <w:szCs w:val="21"/>
        </w:rPr>
        <w:t>表1</w:t>
      </w:r>
      <w:r>
        <w:rPr>
          <w:rFonts w:hint="eastAsia"/>
          <w:szCs w:val="21"/>
        </w:rPr>
        <w:t>6</w:t>
      </w:r>
      <w:r>
        <w:rPr>
          <w:szCs w:val="21"/>
        </w:rPr>
        <w:t xml:space="preserve"> 溶样方法的选择（n=2）</w:t>
      </w:r>
    </w:p>
    <w:tbl>
      <w:tblPr>
        <w:tblStyle w:val="32"/>
        <w:tblpPr w:leftFromText="180" w:rightFromText="180" w:vertAnchor="text" w:horzAnchor="page" w:tblpX="1875" w:tblpY="296"/>
        <w:tblOverlap w:val="never"/>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2278"/>
        <w:gridCol w:w="1376"/>
        <w:gridCol w:w="1344"/>
        <w:gridCol w:w="1344"/>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41" w:type="pct"/>
            <w:shd w:val="clear" w:color="auto" w:fill="auto"/>
          </w:tcPr>
          <w:p>
            <w:pPr>
              <w:jc w:val="center"/>
              <w:rPr>
                <w:sz w:val="18"/>
                <w:szCs w:val="18"/>
              </w:rPr>
            </w:pPr>
            <w:r>
              <w:rPr>
                <w:sz w:val="18"/>
                <w:szCs w:val="18"/>
              </w:rPr>
              <w:t>样品编号</w:t>
            </w:r>
          </w:p>
        </w:tc>
        <w:tc>
          <w:tcPr>
            <w:tcW w:w="1344" w:type="pct"/>
            <w:shd w:val="clear" w:color="auto" w:fill="auto"/>
          </w:tcPr>
          <w:p>
            <w:pPr>
              <w:jc w:val="center"/>
              <w:rPr>
                <w:sz w:val="18"/>
                <w:szCs w:val="18"/>
              </w:rPr>
            </w:pPr>
          </w:p>
          <w:p>
            <w:pPr>
              <w:ind w:firstLine="720" w:firstLineChars="400"/>
              <w:rPr>
                <w:sz w:val="18"/>
                <w:szCs w:val="18"/>
              </w:rPr>
            </w:pPr>
            <w:r>
              <w:rPr>
                <w:sz w:val="18"/>
                <w:szCs w:val="18"/>
              </w:rPr>
              <w:t>溶样方法</w:t>
            </w:r>
          </w:p>
        </w:tc>
        <w:tc>
          <w:tcPr>
            <w:tcW w:w="812" w:type="pct"/>
            <w:shd w:val="clear" w:color="auto" w:fill="auto"/>
          </w:tcPr>
          <w:p>
            <w:pPr>
              <w:jc w:val="center"/>
              <w:rPr>
                <w:sz w:val="18"/>
                <w:szCs w:val="18"/>
              </w:rPr>
            </w:pPr>
          </w:p>
          <w:p>
            <w:pPr>
              <w:jc w:val="center"/>
              <w:rPr>
                <w:sz w:val="18"/>
                <w:szCs w:val="18"/>
              </w:rPr>
            </w:pPr>
            <w:r>
              <w:rPr>
                <w:sz w:val="18"/>
                <w:szCs w:val="18"/>
              </w:rPr>
              <w:t>测定结果/%</w:t>
            </w:r>
          </w:p>
        </w:tc>
        <w:tc>
          <w:tcPr>
            <w:tcW w:w="793" w:type="pct"/>
            <w:shd w:val="clear" w:color="auto" w:fill="auto"/>
          </w:tcPr>
          <w:p>
            <w:pPr>
              <w:jc w:val="center"/>
              <w:rPr>
                <w:sz w:val="18"/>
                <w:szCs w:val="18"/>
              </w:rPr>
            </w:pPr>
          </w:p>
          <w:p>
            <w:pPr>
              <w:jc w:val="center"/>
              <w:rPr>
                <w:sz w:val="18"/>
                <w:szCs w:val="18"/>
              </w:rPr>
            </w:pPr>
            <w:r>
              <w:rPr>
                <w:sz w:val="18"/>
                <w:szCs w:val="18"/>
              </w:rPr>
              <w:t>现象</w:t>
            </w:r>
          </w:p>
        </w:tc>
        <w:tc>
          <w:tcPr>
            <w:tcW w:w="793" w:type="pct"/>
            <w:shd w:val="clear" w:color="auto" w:fill="auto"/>
          </w:tcPr>
          <w:p>
            <w:pPr>
              <w:jc w:val="center"/>
              <w:rPr>
                <w:sz w:val="18"/>
                <w:szCs w:val="18"/>
              </w:rPr>
            </w:pPr>
          </w:p>
          <w:p>
            <w:pPr>
              <w:jc w:val="center"/>
              <w:rPr>
                <w:sz w:val="18"/>
                <w:szCs w:val="18"/>
              </w:rPr>
            </w:pPr>
            <w:r>
              <w:rPr>
                <w:sz w:val="18"/>
                <w:szCs w:val="18"/>
              </w:rPr>
              <w:t>溶样方法</w:t>
            </w:r>
          </w:p>
        </w:tc>
        <w:tc>
          <w:tcPr>
            <w:tcW w:w="918" w:type="pct"/>
            <w:shd w:val="clear" w:color="auto" w:fill="auto"/>
          </w:tcPr>
          <w:p>
            <w:pPr>
              <w:jc w:val="center"/>
              <w:rPr>
                <w:sz w:val="18"/>
                <w:szCs w:val="18"/>
              </w:rPr>
            </w:pPr>
          </w:p>
          <w:p>
            <w:pPr>
              <w:jc w:val="center"/>
              <w:rPr>
                <w:sz w:val="18"/>
                <w:szCs w:val="18"/>
              </w:rPr>
            </w:pPr>
            <w:r>
              <w:rPr>
                <w:sz w:val="18"/>
                <w:szCs w:val="18"/>
              </w:rPr>
              <w:t>加标回收率/%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41" w:type="pct"/>
            <w:vMerge w:val="restart"/>
            <w:shd w:val="clear" w:color="auto" w:fill="auto"/>
          </w:tcPr>
          <w:p>
            <w:pPr>
              <w:jc w:val="center"/>
              <w:rPr>
                <w:sz w:val="18"/>
                <w:szCs w:val="18"/>
              </w:rPr>
            </w:pPr>
          </w:p>
          <w:p>
            <w:pPr>
              <w:jc w:val="center"/>
              <w:rPr>
                <w:sz w:val="18"/>
                <w:szCs w:val="18"/>
              </w:rPr>
            </w:pPr>
          </w:p>
          <w:p>
            <w:pPr>
              <w:rPr>
                <w:sz w:val="18"/>
                <w:szCs w:val="18"/>
              </w:rPr>
            </w:pPr>
          </w:p>
          <w:p>
            <w:pPr>
              <w:rPr>
                <w:sz w:val="18"/>
                <w:szCs w:val="18"/>
              </w:rPr>
            </w:pPr>
          </w:p>
          <w:p>
            <w:pPr>
              <w:jc w:val="center"/>
              <w:rPr>
                <w:sz w:val="18"/>
                <w:szCs w:val="18"/>
              </w:rPr>
            </w:pPr>
            <w:r>
              <w:rPr>
                <w:sz w:val="18"/>
                <w:szCs w:val="18"/>
              </w:rPr>
              <w:t>Bi3#</w:t>
            </w:r>
          </w:p>
        </w:tc>
        <w:tc>
          <w:tcPr>
            <w:tcW w:w="1344" w:type="pct"/>
            <w:shd w:val="clear" w:color="auto" w:fill="auto"/>
          </w:tcPr>
          <w:p>
            <w:pPr>
              <w:jc w:val="center"/>
              <w:rPr>
                <w:sz w:val="18"/>
                <w:szCs w:val="18"/>
              </w:rPr>
            </w:pPr>
            <w:r>
              <w:rPr>
                <w:sz w:val="18"/>
                <w:szCs w:val="18"/>
              </w:rPr>
              <w:t>氟化铵</w:t>
            </w:r>
          </w:p>
          <w:p>
            <w:pPr>
              <w:jc w:val="center"/>
              <w:rPr>
                <w:sz w:val="18"/>
                <w:szCs w:val="18"/>
              </w:rPr>
            </w:pPr>
            <w:r>
              <w:rPr>
                <w:sz w:val="18"/>
                <w:szCs w:val="18"/>
              </w:rPr>
              <w:t>0.1g～0.5 g</w:t>
            </w:r>
          </w:p>
        </w:tc>
        <w:tc>
          <w:tcPr>
            <w:tcW w:w="812" w:type="pct"/>
            <w:shd w:val="clear" w:color="auto" w:fill="auto"/>
          </w:tcPr>
          <w:p>
            <w:pPr>
              <w:jc w:val="center"/>
              <w:rPr>
                <w:sz w:val="18"/>
                <w:szCs w:val="18"/>
              </w:rPr>
            </w:pPr>
            <w:r>
              <w:rPr>
                <w:sz w:val="18"/>
                <w:szCs w:val="18"/>
              </w:rPr>
              <w:t>2.07～2.09</w:t>
            </w:r>
          </w:p>
        </w:tc>
        <w:tc>
          <w:tcPr>
            <w:tcW w:w="793" w:type="pct"/>
            <w:shd w:val="clear" w:color="auto" w:fill="auto"/>
          </w:tcPr>
          <w:p>
            <w:pPr>
              <w:jc w:val="center"/>
              <w:rPr>
                <w:sz w:val="18"/>
                <w:szCs w:val="18"/>
              </w:rPr>
            </w:pPr>
          </w:p>
        </w:tc>
        <w:tc>
          <w:tcPr>
            <w:tcW w:w="793" w:type="pct"/>
            <w:shd w:val="clear" w:color="auto" w:fill="auto"/>
          </w:tcPr>
          <w:p>
            <w:pPr>
              <w:jc w:val="center"/>
              <w:rPr>
                <w:sz w:val="18"/>
                <w:szCs w:val="18"/>
              </w:rPr>
            </w:pPr>
            <w:r>
              <w:rPr>
                <w:sz w:val="18"/>
                <w:szCs w:val="18"/>
              </w:rPr>
              <w:t>氟化铵</w:t>
            </w:r>
          </w:p>
          <w:p>
            <w:pPr>
              <w:jc w:val="center"/>
              <w:rPr>
                <w:sz w:val="18"/>
                <w:szCs w:val="18"/>
              </w:rPr>
            </w:pPr>
            <w:r>
              <w:rPr>
                <w:sz w:val="18"/>
                <w:szCs w:val="18"/>
              </w:rPr>
              <w:t>0.3g</w:t>
            </w:r>
          </w:p>
        </w:tc>
        <w:tc>
          <w:tcPr>
            <w:tcW w:w="918" w:type="pct"/>
            <w:shd w:val="clear" w:color="auto" w:fill="auto"/>
          </w:tcPr>
          <w:p>
            <w:pPr>
              <w:jc w:val="center"/>
              <w:rPr>
                <w:sz w:val="18"/>
                <w:szCs w:val="18"/>
              </w:rPr>
            </w:pPr>
            <w:r>
              <w:rPr>
                <w:sz w:val="18"/>
                <w:szCs w:val="18"/>
              </w:rPr>
              <w:t>101.20～101.95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shd w:val="clear" w:color="auto" w:fill="auto"/>
          </w:tcPr>
          <w:p>
            <w:pPr>
              <w:jc w:val="center"/>
              <w:rPr>
                <w:sz w:val="18"/>
                <w:szCs w:val="18"/>
              </w:rPr>
            </w:pPr>
          </w:p>
        </w:tc>
        <w:tc>
          <w:tcPr>
            <w:tcW w:w="1344" w:type="pct"/>
            <w:shd w:val="clear" w:color="auto" w:fill="auto"/>
          </w:tcPr>
          <w:p>
            <w:pPr>
              <w:jc w:val="center"/>
              <w:rPr>
                <w:sz w:val="18"/>
                <w:szCs w:val="18"/>
              </w:rPr>
            </w:pPr>
            <w:r>
              <w:rPr>
                <w:sz w:val="18"/>
                <w:szCs w:val="18"/>
              </w:rPr>
              <w:t>氟化氢铵</w:t>
            </w:r>
          </w:p>
          <w:p>
            <w:pPr>
              <w:jc w:val="center"/>
              <w:rPr>
                <w:sz w:val="18"/>
                <w:szCs w:val="18"/>
              </w:rPr>
            </w:pPr>
            <w:r>
              <w:rPr>
                <w:sz w:val="18"/>
                <w:szCs w:val="18"/>
              </w:rPr>
              <w:t>0.1g～0.5 g</w:t>
            </w:r>
          </w:p>
        </w:tc>
        <w:tc>
          <w:tcPr>
            <w:tcW w:w="812" w:type="pct"/>
            <w:shd w:val="clear" w:color="auto" w:fill="auto"/>
          </w:tcPr>
          <w:p>
            <w:pPr>
              <w:jc w:val="center"/>
              <w:rPr>
                <w:sz w:val="18"/>
                <w:szCs w:val="18"/>
              </w:rPr>
            </w:pPr>
            <w:r>
              <w:rPr>
                <w:sz w:val="18"/>
                <w:szCs w:val="18"/>
              </w:rPr>
              <w:t>2.00～2.06</w:t>
            </w:r>
          </w:p>
        </w:tc>
        <w:tc>
          <w:tcPr>
            <w:tcW w:w="793" w:type="pct"/>
            <w:shd w:val="clear" w:color="auto" w:fill="auto"/>
          </w:tcPr>
          <w:p>
            <w:pPr>
              <w:jc w:val="center"/>
              <w:rPr>
                <w:sz w:val="18"/>
                <w:szCs w:val="18"/>
              </w:rPr>
            </w:pPr>
          </w:p>
        </w:tc>
        <w:tc>
          <w:tcPr>
            <w:tcW w:w="793" w:type="pct"/>
            <w:shd w:val="clear" w:color="auto" w:fill="auto"/>
          </w:tcPr>
          <w:p>
            <w:pPr>
              <w:jc w:val="center"/>
              <w:rPr>
                <w:sz w:val="18"/>
                <w:szCs w:val="18"/>
              </w:rPr>
            </w:pPr>
            <w:r>
              <w:rPr>
                <w:sz w:val="18"/>
                <w:szCs w:val="18"/>
              </w:rPr>
              <w:t>氟化氢铵</w:t>
            </w:r>
          </w:p>
          <w:p>
            <w:pPr>
              <w:jc w:val="center"/>
              <w:rPr>
                <w:sz w:val="18"/>
                <w:szCs w:val="18"/>
              </w:rPr>
            </w:pPr>
            <w:r>
              <w:rPr>
                <w:sz w:val="18"/>
                <w:szCs w:val="18"/>
              </w:rPr>
              <w:t>0.3 g</w:t>
            </w:r>
          </w:p>
        </w:tc>
        <w:tc>
          <w:tcPr>
            <w:tcW w:w="918" w:type="pct"/>
            <w:shd w:val="clear" w:color="auto" w:fill="auto"/>
          </w:tcPr>
          <w:p>
            <w:pPr>
              <w:jc w:val="center"/>
              <w:rPr>
                <w:sz w:val="18"/>
                <w:szCs w:val="18"/>
              </w:rPr>
            </w:pPr>
            <w:r>
              <w:rPr>
                <w:sz w:val="18"/>
                <w:szCs w:val="18"/>
              </w:rPr>
              <w:t>98.65～101.20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shd w:val="clear" w:color="auto" w:fill="auto"/>
          </w:tcPr>
          <w:p>
            <w:pPr>
              <w:jc w:val="center"/>
              <w:rPr>
                <w:sz w:val="18"/>
                <w:szCs w:val="18"/>
              </w:rPr>
            </w:pPr>
          </w:p>
        </w:tc>
        <w:tc>
          <w:tcPr>
            <w:tcW w:w="1344" w:type="pct"/>
            <w:shd w:val="clear" w:color="auto" w:fill="auto"/>
          </w:tcPr>
          <w:p>
            <w:pPr>
              <w:jc w:val="center"/>
              <w:rPr>
                <w:sz w:val="18"/>
                <w:szCs w:val="18"/>
              </w:rPr>
            </w:pPr>
            <w:r>
              <w:rPr>
                <w:sz w:val="18"/>
                <w:szCs w:val="18"/>
              </w:rPr>
              <w:t>25% 氟化铵</w:t>
            </w:r>
          </w:p>
          <w:p>
            <w:pPr>
              <w:jc w:val="center"/>
              <w:rPr>
                <w:sz w:val="18"/>
                <w:szCs w:val="18"/>
              </w:rPr>
            </w:pPr>
            <w:r>
              <w:rPr>
                <w:sz w:val="18"/>
                <w:szCs w:val="18"/>
              </w:rPr>
              <w:t>1mL～10 mL</w:t>
            </w:r>
          </w:p>
        </w:tc>
        <w:tc>
          <w:tcPr>
            <w:tcW w:w="812" w:type="pct"/>
            <w:shd w:val="clear" w:color="auto" w:fill="auto"/>
          </w:tcPr>
          <w:p>
            <w:pPr>
              <w:jc w:val="center"/>
              <w:rPr>
                <w:sz w:val="18"/>
                <w:szCs w:val="18"/>
              </w:rPr>
            </w:pPr>
          </w:p>
          <w:p>
            <w:pPr>
              <w:jc w:val="center"/>
              <w:rPr>
                <w:sz w:val="18"/>
                <w:szCs w:val="18"/>
              </w:rPr>
            </w:pPr>
            <w:r>
              <w:rPr>
                <w:sz w:val="18"/>
                <w:szCs w:val="18"/>
              </w:rPr>
              <w:t>2.02～2.18</w:t>
            </w:r>
          </w:p>
        </w:tc>
        <w:tc>
          <w:tcPr>
            <w:tcW w:w="793" w:type="pct"/>
            <w:shd w:val="clear" w:color="auto" w:fill="auto"/>
          </w:tcPr>
          <w:p>
            <w:pPr>
              <w:jc w:val="center"/>
              <w:rPr>
                <w:sz w:val="18"/>
                <w:szCs w:val="18"/>
              </w:rPr>
            </w:pPr>
            <w:r>
              <w:rPr>
                <w:sz w:val="18"/>
                <w:szCs w:val="18"/>
              </w:rPr>
              <w:t xml:space="preserve">加入4mL以上，盐类增多，易结晶。 </w:t>
            </w:r>
          </w:p>
        </w:tc>
        <w:tc>
          <w:tcPr>
            <w:tcW w:w="793" w:type="pct"/>
            <w:shd w:val="clear" w:color="auto" w:fill="auto"/>
          </w:tcPr>
          <w:p>
            <w:pPr>
              <w:jc w:val="center"/>
              <w:rPr>
                <w:sz w:val="18"/>
                <w:szCs w:val="18"/>
              </w:rPr>
            </w:pPr>
            <w:r>
              <w:rPr>
                <w:sz w:val="18"/>
                <w:szCs w:val="18"/>
              </w:rPr>
              <w:t>25% 氟化铵</w:t>
            </w:r>
          </w:p>
          <w:p>
            <w:pPr>
              <w:jc w:val="center"/>
              <w:rPr>
                <w:sz w:val="18"/>
                <w:szCs w:val="18"/>
              </w:rPr>
            </w:pPr>
            <w:r>
              <w:rPr>
                <w:sz w:val="18"/>
                <w:szCs w:val="18"/>
              </w:rPr>
              <w:t>2 mL</w:t>
            </w:r>
          </w:p>
        </w:tc>
        <w:tc>
          <w:tcPr>
            <w:tcW w:w="918" w:type="pct"/>
            <w:shd w:val="clear" w:color="auto" w:fill="auto"/>
          </w:tcPr>
          <w:p>
            <w:pPr>
              <w:jc w:val="center"/>
              <w:rPr>
                <w:sz w:val="18"/>
                <w:szCs w:val="18"/>
              </w:rPr>
            </w:pPr>
            <w:r>
              <w:rPr>
                <w:sz w:val="18"/>
                <w:szCs w:val="18"/>
              </w:rPr>
              <w:t>98.48～101.88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 w:type="pct"/>
            <w:vMerge w:val="continue"/>
            <w:shd w:val="clear" w:color="auto" w:fill="auto"/>
          </w:tcPr>
          <w:p>
            <w:pPr>
              <w:jc w:val="center"/>
              <w:rPr>
                <w:sz w:val="18"/>
                <w:szCs w:val="18"/>
              </w:rPr>
            </w:pPr>
          </w:p>
        </w:tc>
        <w:tc>
          <w:tcPr>
            <w:tcW w:w="1344" w:type="pct"/>
            <w:shd w:val="clear" w:color="auto" w:fill="auto"/>
          </w:tcPr>
          <w:p>
            <w:pPr>
              <w:jc w:val="center"/>
              <w:rPr>
                <w:sz w:val="18"/>
                <w:szCs w:val="18"/>
              </w:rPr>
            </w:pPr>
            <w:r>
              <w:rPr>
                <w:sz w:val="18"/>
                <w:szCs w:val="18"/>
              </w:rPr>
              <w:t>饱和氟化氢铵</w:t>
            </w:r>
          </w:p>
          <w:p>
            <w:pPr>
              <w:jc w:val="center"/>
              <w:rPr>
                <w:sz w:val="18"/>
                <w:szCs w:val="18"/>
              </w:rPr>
            </w:pPr>
            <w:r>
              <w:rPr>
                <w:sz w:val="18"/>
                <w:szCs w:val="18"/>
              </w:rPr>
              <w:t>1mL～5 mL</w:t>
            </w:r>
          </w:p>
        </w:tc>
        <w:tc>
          <w:tcPr>
            <w:tcW w:w="812" w:type="pct"/>
            <w:shd w:val="clear" w:color="auto" w:fill="auto"/>
          </w:tcPr>
          <w:p>
            <w:pPr>
              <w:jc w:val="center"/>
              <w:rPr>
                <w:sz w:val="18"/>
                <w:szCs w:val="18"/>
              </w:rPr>
            </w:pPr>
            <w:r>
              <w:rPr>
                <w:sz w:val="18"/>
                <w:szCs w:val="18"/>
              </w:rPr>
              <w:t>2.03～2.06</w:t>
            </w:r>
          </w:p>
        </w:tc>
        <w:tc>
          <w:tcPr>
            <w:tcW w:w="793" w:type="pct"/>
            <w:shd w:val="clear" w:color="auto" w:fill="auto"/>
          </w:tcPr>
          <w:p>
            <w:pPr>
              <w:jc w:val="center"/>
              <w:rPr>
                <w:sz w:val="18"/>
                <w:szCs w:val="18"/>
              </w:rPr>
            </w:pPr>
          </w:p>
        </w:tc>
        <w:tc>
          <w:tcPr>
            <w:tcW w:w="793" w:type="pct"/>
            <w:shd w:val="clear" w:color="auto" w:fill="auto"/>
          </w:tcPr>
          <w:p>
            <w:pPr>
              <w:jc w:val="center"/>
              <w:rPr>
                <w:sz w:val="18"/>
                <w:szCs w:val="18"/>
              </w:rPr>
            </w:pPr>
            <w:r>
              <w:rPr>
                <w:sz w:val="18"/>
                <w:szCs w:val="18"/>
              </w:rPr>
              <w:t>饱和氟化氢铵2 mL</w:t>
            </w:r>
          </w:p>
        </w:tc>
        <w:tc>
          <w:tcPr>
            <w:tcW w:w="918" w:type="pct"/>
            <w:shd w:val="clear" w:color="auto" w:fill="auto"/>
          </w:tcPr>
          <w:p>
            <w:pPr>
              <w:jc w:val="center"/>
              <w:rPr>
                <w:sz w:val="18"/>
                <w:szCs w:val="18"/>
              </w:rPr>
            </w:pPr>
            <w:r>
              <w:rPr>
                <w:sz w:val="18"/>
                <w:szCs w:val="18"/>
              </w:rPr>
              <w:t>99.38～99.72</w:t>
            </w:r>
          </w:p>
        </w:tc>
      </w:tr>
    </w:tbl>
    <w:p>
      <w:pPr>
        <w:spacing w:beforeLines="50" w:afterLines="50"/>
        <w:rPr>
          <w:rFonts w:ascii="黑体" w:hAnsi="黑体" w:eastAsia="黑体"/>
          <w:sz w:val="32"/>
          <w:szCs w:val="32"/>
        </w:rPr>
      </w:pPr>
    </w:p>
    <w:p>
      <w:pPr>
        <w:spacing w:beforeLines="50" w:afterLines="50"/>
        <w:jc w:val="center"/>
        <w:rPr>
          <w:rFonts w:ascii="黑体" w:hAnsi="黑体" w:eastAsia="黑体"/>
          <w:sz w:val="32"/>
          <w:szCs w:val="32"/>
        </w:rPr>
      </w:pPr>
      <w:r>
        <w:rPr>
          <w:rFonts w:ascii="黑体" w:hAnsi="黑体" w:eastAsia="黑体"/>
          <w:sz w:val="32"/>
          <w:szCs w:val="32"/>
        </w:rPr>
        <w:t>铜冶炼烟尘化学分析方法</w:t>
      </w:r>
    </w:p>
    <w:p>
      <w:pPr>
        <w:spacing w:beforeLines="50" w:afterLines="50"/>
        <w:jc w:val="center"/>
        <w:rPr>
          <w:rFonts w:ascii="Times New Roman" w:hAnsi="Times New Roman" w:eastAsia="黑体"/>
          <w:sz w:val="32"/>
          <w:szCs w:val="32"/>
        </w:rPr>
      </w:pPr>
      <w:r>
        <w:rPr>
          <w:rFonts w:ascii="Times New Roman" w:hAnsi="Times New Roman" w:eastAsia="黑体"/>
          <w:sz w:val="32"/>
          <w:szCs w:val="32"/>
        </w:rPr>
        <w:t xml:space="preserve">第4部分：铋含量的测定 </w:t>
      </w:r>
    </w:p>
    <w:p>
      <w:pPr>
        <w:spacing w:beforeLines="50" w:afterLines="50"/>
        <w:jc w:val="center"/>
        <w:rPr>
          <w:rFonts w:ascii="Times New Roman" w:hAnsi="Times New Roman" w:eastAsia="黑体"/>
          <w:sz w:val="32"/>
          <w:szCs w:val="32"/>
        </w:rPr>
      </w:pPr>
      <w:r>
        <w:rPr>
          <w:rFonts w:ascii="Times New Roman" w:hAnsi="Times New Roman" w:eastAsia="黑体"/>
          <w:sz w:val="32"/>
          <w:szCs w:val="32"/>
        </w:rPr>
        <w:t>方法2 Na</w:t>
      </w:r>
      <w:r>
        <w:rPr>
          <w:rFonts w:ascii="Times New Roman" w:hAnsi="Times New Roman" w:eastAsia="黑体"/>
          <w:sz w:val="32"/>
          <w:szCs w:val="32"/>
          <w:vertAlign w:val="subscript"/>
        </w:rPr>
        <w:t>2</w:t>
      </w:r>
      <w:r>
        <w:rPr>
          <w:rFonts w:ascii="Times New Roman" w:hAnsi="Times New Roman" w:eastAsia="黑体"/>
          <w:sz w:val="32"/>
          <w:szCs w:val="32"/>
        </w:rPr>
        <w:t>EDTA滴定法</w:t>
      </w:r>
    </w:p>
    <w:p>
      <w:pPr>
        <w:spacing w:beforeLines="50" w:afterLines="50"/>
        <w:rPr>
          <w:rFonts w:ascii="黑体" w:hAnsi="黑体" w:eastAsia="黑体"/>
          <w:szCs w:val="21"/>
        </w:rPr>
      </w:pPr>
      <w:r>
        <w:rPr>
          <w:rFonts w:ascii="黑体" w:hAnsi="黑体" w:eastAsia="黑体"/>
          <w:szCs w:val="21"/>
        </w:rPr>
        <w:t>前言</w:t>
      </w:r>
    </w:p>
    <w:p>
      <w:pPr>
        <w:rPr>
          <w:rFonts w:ascii="Times New Roman" w:hAnsi="Times New Roman"/>
          <w:b/>
        </w:rPr>
      </w:pPr>
      <w:r>
        <w:rPr>
          <w:rFonts w:ascii="宋体" w:hAnsi="宋体"/>
          <w:szCs w:val="21"/>
        </w:rPr>
        <w:t xml:space="preserve">    </w:t>
      </w:r>
      <w:r>
        <w:rPr>
          <w:rFonts w:ascii="Times New Roman" w:hAnsi="Times New Roman"/>
          <w:szCs w:val="21"/>
        </w:rPr>
        <w:t>铜冶炼烟尘中元素含量波动范围广, 以硫酸盐、氧化物、砷酸盐、硫化物为主。</w:t>
      </w:r>
      <w:bookmarkStart w:id="4" w:name="OLE_LINK9"/>
      <w:bookmarkStart w:id="5" w:name="OLE_LINK10"/>
      <w:r>
        <w:rPr>
          <w:rFonts w:ascii="Times New Roman" w:hAnsi="Times New Roman"/>
          <w:szCs w:val="21"/>
        </w:rPr>
        <w:t>铜冶炼烟尘中</w:t>
      </w:r>
      <w:bookmarkEnd w:id="4"/>
      <w:bookmarkEnd w:id="5"/>
      <w:r>
        <w:rPr>
          <w:rFonts w:ascii="Times New Roman" w:hAnsi="Times New Roman"/>
          <w:szCs w:val="21"/>
        </w:rPr>
        <w:t>常见元素有铜、铅、锌、铋、砷、铟、镉、锑、锡、硒、碲、铁、铝、钙、镁、汞、金、银等元素。由于铜冶炼烟尘贸易的需要及对企业确定回收工艺、提高烟尘的综合利用率并减轻对环境的污染，必须制定出能准确检测出铜冶炼烟尘中主要元素的含量。目前，在冶炼企业化验室和第三方检测机构中，对铜烟尘的分析都没有相应的检测方法，只能参考各元素精矿的分析方法并结合自己的经验进行检测。由于铜冶炼烟尘中元素和含量存在较大的差异，实验室采用各自的方法进行检测，检测质量争议有时在所难免。因此，有必要建立公认的、准确的检验方法，以规范检验过程，满足市场的需求。中铝集团下属昆明富民薪冶工贸有限公司、广东科学院下属广东省工业分析检测中心和铜陵有色设计研究院经过大量的市场调研与交流，确定了乙二胺四乙酸二钠滴定法和火焰原子吸收法测定铜冶炼烟尘中铋量。本方法为</w:t>
      </w:r>
      <w:r>
        <w:rPr>
          <w:rFonts w:ascii="Times New Roman" w:hAnsi="Times New Roman"/>
        </w:rPr>
        <w:t xml:space="preserve">方法2： </w:t>
      </w:r>
      <w:r>
        <w:rPr>
          <w:rFonts w:ascii="Times New Roman" w:hAnsi="Times New Roman"/>
          <w:szCs w:val="21"/>
        </w:rPr>
        <w:t>Na</w:t>
      </w:r>
      <w:r>
        <w:rPr>
          <w:rFonts w:ascii="Times New Roman" w:hAnsi="Times New Roman"/>
          <w:szCs w:val="21"/>
          <w:vertAlign w:val="subscript"/>
        </w:rPr>
        <w:t>2</w:t>
      </w:r>
      <w:r>
        <w:rPr>
          <w:rFonts w:ascii="Times New Roman" w:hAnsi="Times New Roman"/>
        </w:rPr>
        <w:t xml:space="preserve">EDTA滴定法（铋含量5.00 % </w:t>
      </w:r>
      <w:r>
        <w:rPr>
          <w:rFonts w:ascii="Times New Roman" w:hAnsi="Times New Roman"/>
          <w:kern w:val="0"/>
          <w:szCs w:val="21"/>
        </w:rPr>
        <w:t>~</w:t>
      </w:r>
      <w:r>
        <w:rPr>
          <w:rFonts w:ascii="Times New Roman" w:hAnsi="Times New Roman"/>
        </w:rPr>
        <w:t>16.00%）。</w:t>
      </w:r>
      <w:r>
        <w:rPr>
          <w:rFonts w:ascii="Times New Roman" w:hAnsi="Times New Roman"/>
          <w:szCs w:val="21"/>
        </w:rPr>
        <w:t>Na</w:t>
      </w:r>
      <w:r>
        <w:rPr>
          <w:rFonts w:ascii="Times New Roman" w:hAnsi="Times New Roman"/>
          <w:szCs w:val="21"/>
          <w:vertAlign w:val="subscript"/>
        </w:rPr>
        <w:t>2</w:t>
      </w:r>
      <w:r>
        <w:rPr>
          <w:rFonts w:ascii="Times New Roman" w:hAnsi="Times New Roman"/>
          <w:szCs w:val="21"/>
        </w:rPr>
        <w:t>EDTA滴定法测定铋，对简单试样结果准确度高，滴定终点稳定。而复杂试样通常采用</w:t>
      </w:r>
      <w:r>
        <w:rPr>
          <w:rFonts w:ascii="Times New Roman" w:hAnsi="Times New Roman"/>
        </w:rPr>
        <w:t>氨水-氯化铵沉淀分离滴定法</w:t>
      </w:r>
      <w:r>
        <w:rPr>
          <w:rFonts w:ascii="Times New Roman" w:hAnsi="Times New Roman"/>
          <w:szCs w:val="21"/>
        </w:rPr>
        <w:t>。铋与Na</w:t>
      </w:r>
      <w:r>
        <w:rPr>
          <w:rFonts w:ascii="Times New Roman" w:hAnsi="Times New Roman"/>
          <w:szCs w:val="21"/>
          <w:vertAlign w:val="subscript"/>
        </w:rPr>
        <w:t>2</w:t>
      </w:r>
      <w:r>
        <w:rPr>
          <w:rFonts w:ascii="Times New Roman" w:hAnsi="Times New Roman"/>
          <w:szCs w:val="21"/>
        </w:rPr>
        <w:t>EDTA生成无色络合物（lgK=27.94），由于可以在</w:t>
      </w:r>
      <w:r>
        <w:rPr>
          <w:rFonts w:ascii="Times New Roman" w:hAnsi="Times New Roman"/>
        </w:rPr>
        <w:t>pH值1</w:t>
      </w:r>
      <w:r>
        <w:rPr>
          <w:rFonts w:ascii="Times New Roman" w:hAnsi="Times New Roman"/>
          <w:kern w:val="0"/>
          <w:szCs w:val="21"/>
        </w:rPr>
        <w:t xml:space="preserve"> ~</w:t>
      </w:r>
      <w:r>
        <w:rPr>
          <w:rFonts w:ascii="Times New Roman" w:hAnsi="Times New Roman"/>
          <w:szCs w:val="21"/>
        </w:rPr>
        <w:t>2较大酸度下滴定，所以干扰离子少。但由于铜冶炼烟尘试样组份复杂，采用常规方法</w:t>
      </w:r>
      <w:r>
        <w:rPr>
          <w:rFonts w:ascii="Times New Roman" w:hAnsi="Times New Roman"/>
          <w:color w:val="000000" w:themeColor="text1"/>
          <w:szCs w:val="21"/>
        </w:rPr>
        <w:t>时</w:t>
      </w:r>
      <w:r>
        <w:rPr>
          <w:rFonts w:ascii="Times New Roman" w:hAnsi="Times New Roman"/>
          <w:szCs w:val="21"/>
        </w:rPr>
        <w:t>由于</w:t>
      </w:r>
      <w:r>
        <w:rPr>
          <w:rFonts w:ascii="Times New Roman" w:hAnsi="Times New Roman"/>
        </w:rPr>
        <w:t>硒干扰，</w:t>
      </w:r>
      <w:r>
        <w:rPr>
          <w:rFonts w:ascii="Times New Roman" w:hAnsi="Times New Roman"/>
          <w:szCs w:val="21"/>
        </w:rPr>
        <w:t>容易返终点，终点难于判断，结果不可靠。本文研究了铜冶炼烟尘中铋含量的Na</w:t>
      </w:r>
      <w:r>
        <w:rPr>
          <w:rFonts w:ascii="Times New Roman" w:hAnsi="Times New Roman"/>
          <w:szCs w:val="21"/>
          <w:vertAlign w:val="subscript"/>
        </w:rPr>
        <w:t>2</w:t>
      </w:r>
      <w:r>
        <w:rPr>
          <w:rFonts w:ascii="Times New Roman" w:hAnsi="Times New Roman"/>
          <w:szCs w:val="21"/>
        </w:rPr>
        <w:t>EDTA滴定法，</w:t>
      </w:r>
      <w:r>
        <w:rPr>
          <w:rFonts w:ascii="Times New Roman" w:hAnsi="Times New Roman"/>
        </w:rPr>
        <w:t>试料用盐酸、氟化氢铵、硝酸、高氯酸分解，用盐酸、氢溴酸除去硒、砷、锡及锑。用抗坏血酸、</w:t>
      </w:r>
      <w:r>
        <w:rPr>
          <w:rFonts w:ascii="Times New Roman" w:hAnsi="Times New Roman"/>
          <w:kern w:val="0"/>
        </w:rPr>
        <w:t>氟化铵</w:t>
      </w:r>
      <w:r>
        <w:rPr>
          <w:rFonts w:ascii="Times New Roman" w:hAnsi="Times New Roman"/>
        </w:rPr>
        <w:t>及硫脲消除铁及铜的干扰，用酒石酸掩蔽微量锑、锡及</w:t>
      </w:r>
      <w:r>
        <w:rPr>
          <w:rFonts w:ascii="Times New Roman" w:hAnsi="Times New Roman"/>
          <w:kern w:val="0"/>
        </w:rPr>
        <w:t>防止铋</w:t>
      </w:r>
      <w:r>
        <w:rPr>
          <w:rFonts w:ascii="Times New Roman" w:hAnsi="Times New Roman"/>
          <w:szCs w:val="21"/>
        </w:rPr>
        <w:t>水解。</w:t>
      </w:r>
      <w:r>
        <w:rPr>
          <w:rFonts w:ascii="Times New Roman" w:hAnsi="Times New Roman"/>
        </w:rPr>
        <w:t>经过反复研究试验，</w:t>
      </w:r>
      <w:r>
        <w:rPr>
          <w:rFonts w:ascii="Times New Roman" w:hAnsi="Times New Roman"/>
          <w:szCs w:val="21"/>
        </w:rPr>
        <w:t>该方法稳定，精密度高，准确度好，方法易于掌握，能很好的满足企业贸易与检测机构的检测要求</w:t>
      </w:r>
      <w:r>
        <w:rPr>
          <w:rFonts w:ascii="Times New Roman" w:hAnsi="Times New Roman"/>
        </w:rPr>
        <w:t>。</w:t>
      </w:r>
    </w:p>
    <w:p>
      <w:pPr>
        <w:spacing w:beforeLines="50" w:afterLines="50"/>
        <w:jc w:val="center"/>
        <w:rPr>
          <w:rFonts w:ascii="Times New Roman" w:hAnsi="Times New Roman" w:eastAsiaTheme="minorEastAsia"/>
          <w:szCs w:val="21"/>
        </w:rPr>
      </w:pPr>
    </w:p>
    <w:p>
      <w:pPr>
        <w:spacing w:beforeLines="50" w:afterLines="50"/>
        <w:rPr>
          <w:rFonts w:ascii="Times New Roman" w:hAnsi="Times New Roman" w:eastAsiaTheme="minorEastAsia"/>
          <w:b/>
          <w:sz w:val="24"/>
        </w:rPr>
      </w:pPr>
      <w:r>
        <w:rPr>
          <w:rFonts w:ascii="Times New Roman" w:hAnsi="Times New Roman" w:eastAsiaTheme="minorEastAsia"/>
          <w:b/>
          <w:sz w:val="24"/>
        </w:rPr>
        <w:t xml:space="preserve">1  </w:t>
      </w:r>
      <w:r>
        <w:rPr>
          <w:rFonts w:ascii="黑体" w:hAnsi="黑体" w:eastAsia="黑体"/>
          <w:sz w:val="24"/>
        </w:rPr>
        <w:t>实验部分</w:t>
      </w:r>
    </w:p>
    <w:p>
      <w:pPr>
        <w:rPr>
          <w:rFonts w:ascii="Times New Roman" w:hAnsi="Times New Roman" w:eastAsiaTheme="minorEastAsia"/>
          <w:b/>
          <w:szCs w:val="21"/>
        </w:rPr>
      </w:pPr>
      <w:r>
        <w:rPr>
          <w:rFonts w:ascii="Times New Roman" w:hAnsi="Times New Roman" w:eastAsiaTheme="minorEastAsia"/>
          <w:b/>
          <w:szCs w:val="21"/>
        </w:rPr>
        <w:t xml:space="preserve">1.1  </w:t>
      </w:r>
      <w:r>
        <w:rPr>
          <w:rFonts w:hint="eastAsia" w:ascii="黑体" w:hAnsi="黑体" w:eastAsia="黑体"/>
          <w:szCs w:val="21"/>
        </w:rPr>
        <w:t>原理</w:t>
      </w:r>
    </w:p>
    <w:p>
      <w:pPr>
        <w:autoSpaceDE w:val="0"/>
        <w:autoSpaceDN w:val="0"/>
        <w:adjustRightInd w:val="0"/>
        <w:ind w:right="159"/>
        <w:jc w:val="left"/>
        <w:rPr>
          <w:rFonts w:ascii="Times New Roman" w:hAnsi="Times New Roman" w:eastAsiaTheme="minorEastAsia"/>
          <w:b/>
          <w:szCs w:val="21"/>
        </w:rPr>
      </w:pPr>
    </w:p>
    <w:p>
      <w:pPr>
        <w:autoSpaceDE w:val="0"/>
        <w:autoSpaceDN w:val="0"/>
        <w:adjustRightInd w:val="0"/>
        <w:ind w:right="159" w:firstLine="420" w:firstLineChars="200"/>
        <w:jc w:val="left"/>
        <w:rPr>
          <w:rFonts w:ascii="Times New Roman" w:hAnsi="Times New Roman"/>
        </w:rPr>
      </w:pPr>
      <w:r>
        <w:rPr>
          <w:rFonts w:ascii="Times New Roman" w:hAnsi="Times New Roman"/>
        </w:rPr>
        <w:t>试料用盐酸、氟化氢铵、硝酸、高氯酸分解，在高氯酸存在下用盐酸－氢溴酸排砷、锑、锡及硒。用</w:t>
      </w:r>
      <w:r>
        <w:rPr>
          <w:rFonts w:ascii="Times New Roman" w:hAnsi="Times New Roman"/>
          <w:kern w:val="0"/>
        </w:rPr>
        <w:t>抗坏血酸、氟化铵</w:t>
      </w:r>
      <w:r>
        <w:rPr>
          <w:rFonts w:ascii="Times New Roman" w:hAnsi="Times New Roman"/>
        </w:rPr>
        <w:t>和硫脲消除</w:t>
      </w:r>
      <w:r>
        <w:rPr>
          <w:rFonts w:ascii="Times New Roman" w:hAnsi="Times New Roman"/>
          <w:kern w:val="0"/>
        </w:rPr>
        <w:t>铁、铜的影响，</w:t>
      </w:r>
      <w:r>
        <w:rPr>
          <w:rFonts w:ascii="Times New Roman" w:hAnsi="Times New Roman"/>
        </w:rPr>
        <w:t>在硝酸﹣酒石酸﹣</w:t>
      </w:r>
      <w:r>
        <w:rPr>
          <w:rFonts w:ascii="Times New Roman" w:hAnsi="Times New Roman"/>
          <w:kern w:val="0"/>
        </w:rPr>
        <w:t>氟化铵﹣</w:t>
      </w:r>
      <w:r>
        <w:rPr>
          <w:rFonts w:ascii="Times New Roman" w:hAnsi="Times New Roman"/>
        </w:rPr>
        <w:t>硫脲介质中，用乙酸钠溶液调节试样溶液pH值为</w:t>
      </w:r>
      <w:r>
        <w:rPr>
          <w:rFonts w:ascii="Times New Roman" w:hAnsi="Times New Roman"/>
          <w:szCs w:val="21"/>
        </w:rPr>
        <w:t>1.2</w:t>
      </w:r>
      <w:r>
        <w:rPr>
          <w:rFonts w:ascii="Times New Roman" w:hAnsi="Times New Roman"/>
        </w:rPr>
        <w:t xml:space="preserve"> </w:t>
      </w:r>
      <w:r>
        <w:rPr>
          <w:rFonts w:ascii="Times New Roman" w:hAnsi="Times New Roman"/>
          <w:kern w:val="0"/>
          <w:szCs w:val="21"/>
        </w:rPr>
        <w:t xml:space="preserve">~ </w:t>
      </w:r>
      <w:r>
        <w:rPr>
          <w:rFonts w:ascii="Times New Roman" w:hAnsi="Times New Roman"/>
          <w:szCs w:val="21"/>
        </w:rPr>
        <w:t>1.8，以二甲酚橙为指示剂，用Na</w:t>
      </w:r>
      <w:r>
        <w:rPr>
          <w:rFonts w:ascii="Times New Roman" w:hAnsi="Times New Roman"/>
          <w:szCs w:val="21"/>
          <w:vertAlign w:val="subscript"/>
        </w:rPr>
        <w:t>2</w:t>
      </w:r>
      <w:r>
        <w:rPr>
          <w:rFonts w:ascii="Times New Roman" w:hAnsi="Times New Roman"/>
          <w:szCs w:val="21"/>
        </w:rPr>
        <w:t>EDTA标准滴定溶液</w:t>
      </w:r>
      <w:r>
        <w:rPr>
          <w:rFonts w:ascii="Times New Roman" w:hAnsi="Times New Roman"/>
        </w:rPr>
        <w:t>滴定，测</w:t>
      </w:r>
      <w:r>
        <w:rPr>
          <w:rFonts w:ascii="Times New Roman" w:hAnsi="Times New Roman"/>
          <w:color w:val="000000" w:themeColor="text1"/>
        </w:rPr>
        <w:t>定</w:t>
      </w:r>
      <w:r>
        <w:rPr>
          <w:rFonts w:ascii="Times New Roman" w:hAnsi="Times New Roman"/>
        </w:rPr>
        <w:t>铋含量。</w:t>
      </w:r>
    </w:p>
    <w:p>
      <w:pPr>
        <w:rPr>
          <w:rFonts w:ascii="Times New Roman" w:hAnsi="Times New Roman"/>
          <w:b/>
          <w:szCs w:val="21"/>
        </w:rPr>
      </w:pPr>
    </w:p>
    <w:p>
      <w:pPr>
        <w:rPr>
          <w:rFonts w:ascii="Times New Roman" w:hAnsi="Times New Roman"/>
          <w:b/>
          <w:szCs w:val="21"/>
        </w:rPr>
      </w:pPr>
      <w:r>
        <w:rPr>
          <w:rFonts w:ascii="Times New Roman" w:hAnsi="Times New Roman"/>
          <w:b/>
          <w:szCs w:val="21"/>
        </w:rPr>
        <w:t xml:space="preserve">1.2  </w:t>
      </w:r>
      <w:r>
        <w:rPr>
          <w:rFonts w:ascii="黑体" w:hAnsi="黑体" w:eastAsia="黑体"/>
          <w:szCs w:val="21"/>
        </w:rPr>
        <w:t>试剂</w:t>
      </w:r>
    </w:p>
    <w:p>
      <w:pPr>
        <w:spacing w:line="440" w:lineRule="exact"/>
        <w:ind w:firstLine="420" w:firstLineChars="200"/>
        <w:rPr>
          <w:rFonts w:ascii="Times New Roman" w:hAnsi="Times New Roman"/>
          <w:szCs w:val="21"/>
        </w:rPr>
      </w:pPr>
      <w:r>
        <w:rPr>
          <w:rFonts w:ascii="Times New Roman" w:hAnsi="Times New Roman"/>
          <w:szCs w:val="21"/>
        </w:rPr>
        <w:t>除非另有说明，本文件中所用试剂均为分析纯及以上纯度的试剂，所用水符合GB/T 6682规定的二级及以上纯度的水。</w:t>
      </w:r>
    </w:p>
    <w:p>
      <w:pPr>
        <w:rPr>
          <w:rFonts w:ascii="Times New Roman" w:hAnsi="Times New Roman"/>
        </w:rPr>
      </w:pPr>
      <w:r>
        <w:rPr>
          <w:rFonts w:ascii="Times New Roman" w:hAnsi="Times New Roman"/>
        </w:rPr>
        <w:t>1.2.1  抗坏血酸。</w:t>
      </w:r>
    </w:p>
    <w:p>
      <w:pPr>
        <w:widowControl/>
        <w:jc w:val="left"/>
        <w:rPr>
          <w:rFonts w:ascii="Times New Roman" w:hAnsi="Times New Roman"/>
        </w:rPr>
      </w:pPr>
      <w:r>
        <w:rPr>
          <w:rFonts w:ascii="Times New Roman" w:hAnsi="Times New Roman"/>
        </w:rPr>
        <w:t xml:space="preserve">1.2.2  </w:t>
      </w:r>
      <w:r>
        <w:rPr>
          <w:rFonts w:ascii="Times New Roman" w:hAnsi="Times New Roman"/>
          <w:kern w:val="0"/>
        </w:rPr>
        <w:t>盐酸</w:t>
      </w:r>
      <w:r>
        <w:rPr>
          <w:rFonts w:ascii="Times New Roman" w:hAnsi="Times New Roman"/>
          <w:szCs w:val="21"/>
        </w:rPr>
        <w:t>（ρ=1.19 g/mL）。</w:t>
      </w:r>
    </w:p>
    <w:p>
      <w:pPr>
        <w:widowControl/>
        <w:jc w:val="left"/>
        <w:rPr>
          <w:rFonts w:ascii="Times New Roman" w:hAnsi="Times New Roman"/>
        </w:rPr>
      </w:pPr>
      <w:r>
        <w:rPr>
          <w:rFonts w:ascii="Times New Roman" w:hAnsi="Times New Roman"/>
          <w:bCs/>
          <w:szCs w:val="21"/>
        </w:rPr>
        <w:t>1.2</w:t>
      </w:r>
      <w:r>
        <w:rPr>
          <w:rFonts w:ascii="Times New Roman" w:hAnsi="Times New Roman"/>
          <w:szCs w:val="21"/>
        </w:rPr>
        <w:t>.3  硝酸（ρ=1.42 g/mL）。</w:t>
      </w:r>
    </w:p>
    <w:p>
      <w:pPr>
        <w:widowControl/>
        <w:jc w:val="left"/>
        <w:rPr>
          <w:rFonts w:ascii="Times New Roman" w:hAnsi="Times New Roman"/>
        </w:rPr>
      </w:pPr>
      <w:r>
        <w:rPr>
          <w:rFonts w:ascii="Times New Roman" w:hAnsi="Times New Roman"/>
          <w:bCs/>
          <w:szCs w:val="21"/>
        </w:rPr>
        <w:t>1.2</w:t>
      </w:r>
      <w:r>
        <w:rPr>
          <w:rFonts w:ascii="Times New Roman" w:hAnsi="Times New Roman"/>
          <w:szCs w:val="21"/>
        </w:rPr>
        <w:t xml:space="preserve">.4  </w:t>
      </w:r>
      <w:r>
        <w:rPr>
          <w:rFonts w:ascii="Times New Roman" w:hAnsi="Times New Roman"/>
        </w:rPr>
        <w:t>氢溴酸（</w:t>
      </w:r>
      <w:r>
        <w:rPr>
          <w:rFonts w:ascii="Times New Roman" w:hAnsi="Times New Roman"/>
          <w:kern w:val="1"/>
        </w:rPr>
        <w:t>ρ=1.49 g/mL）。</w:t>
      </w:r>
    </w:p>
    <w:p>
      <w:pPr>
        <w:widowControl/>
        <w:jc w:val="left"/>
        <w:rPr>
          <w:rFonts w:ascii="Times New Roman" w:hAnsi="Times New Roman"/>
        </w:rPr>
      </w:pPr>
      <w:r>
        <w:rPr>
          <w:rFonts w:ascii="Times New Roman" w:hAnsi="Times New Roman"/>
          <w:bCs/>
          <w:szCs w:val="21"/>
        </w:rPr>
        <w:t>1.2</w:t>
      </w:r>
      <w:r>
        <w:rPr>
          <w:rFonts w:ascii="Times New Roman" w:hAnsi="Times New Roman"/>
          <w:szCs w:val="21"/>
        </w:rPr>
        <w:t xml:space="preserve">.5  </w:t>
      </w:r>
      <w:r>
        <w:rPr>
          <w:rFonts w:ascii="Times New Roman" w:hAnsi="Times New Roman"/>
        </w:rPr>
        <w:t>高氯酸（ρ=1.67 g/mL）。</w:t>
      </w:r>
    </w:p>
    <w:p>
      <w:pPr>
        <w:rPr>
          <w:rFonts w:ascii="Times New Roman" w:hAnsi="Times New Roman"/>
          <w:szCs w:val="21"/>
        </w:rPr>
      </w:pPr>
      <w:r>
        <w:rPr>
          <w:rFonts w:ascii="Times New Roman" w:hAnsi="Times New Roman"/>
        </w:rPr>
        <w:t>1.2.6  硫脲溶液（</w:t>
      </w:r>
      <w:r>
        <w:rPr>
          <w:rFonts w:ascii="Times New Roman" w:hAnsi="Times New Roman"/>
          <w:szCs w:val="21"/>
        </w:rPr>
        <w:t>50 g/L）。</w:t>
      </w:r>
    </w:p>
    <w:p>
      <w:pPr>
        <w:jc w:val="left"/>
        <w:rPr>
          <w:rFonts w:ascii="Times New Roman" w:hAnsi="Times New Roman"/>
          <w:szCs w:val="21"/>
        </w:rPr>
      </w:pPr>
      <w:r>
        <w:rPr>
          <w:rFonts w:ascii="Times New Roman" w:hAnsi="Times New Roman"/>
        </w:rPr>
        <w:t>1.2.7  酒石酸溶液（</w:t>
      </w:r>
      <w:r>
        <w:rPr>
          <w:rFonts w:ascii="Times New Roman" w:hAnsi="Times New Roman"/>
          <w:szCs w:val="21"/>
        </w:rPr>
        <w:t>100 g/L）</w:t>
      </w:r>
      <w:r>
        <w:rPr>
          <w:rFonts w:ascii="Times New Roman" w:hAnsi="Times New Roman"/>
        </w:rPr>
        <w:t>。</w:t>
      </w:r>
    </w:p>
    <w:p>
      <w:pPr>
        <w:jc w:val="left"/>
        <w:rPr>
          <w:rFonts w:ascii="Times New Roman" w:hAnsi="Times New Roman"/>
          <w:szCs w:val="21"/>
        </w:rPr>
      </w:pPr>
      <w:r>
        <w:rPr>
          <w:rFonts w:ascii="Times New Roman" w:hAnsi="Times New Roman"/>
        </w:rPr>
        <w:t xml:space="preserve">1.2.8  </w:t>
      </w:r>
      <w:r>
        <w:rPr>
          <w:rFonts w:ascii="Times New Roman" w:hAnsi="Times New Roman"/>
          <w:kern w:val="0"/>
        </w:rPr>
        <w:t>氟化铵</w:t>
      </w:r>
      <w:r>
        <w:rPr>
          <w:rFonts w:ascii="Times New Roman" w:hAnsi="Times New Roman"/>
        </w:rPr>
        <w:t>溶液（</w:t>
      </w:r>
      <w:r>
        <w:rPr>
          <w:rFonts w:ascii="Times New Roman" w:hAnsi="Times New Roman"/>
          <w:szCs w:val="21"/>
        </w:rPr>
        <w:t>100 g/L）。</w:t>
      </w:r>
    </w:p>
    <w:p>
      <w:pPr>
        <w:jc w:val="left"/>
        <w:rPr>
          <w:rFonts w:ascii="Times New Roman" w:hAnsi="Times New Roman"/>
          <w:szCs w:val="21"/>
        </w:rPr>
      </w:pPr>
      <w:r>
        <w:rPr>
          <w:rFonts w:ascii="Times New Roman" w:hAnsi="Times New Roman"/>
        </w:rPr>
        <w:t xml:space="preserve">1.2.9  </w:t>
      </w:r>
      <w:r>
        <w:rPr>
          <w:rFonts w:ascii="Times New Roman" w:hAnsi="Times New Roman"/>
          <w:szCs w:val="21"/>
        </w:rPr>
        <w:t>氟化氢铵饱和溶液。</w:t>
      </w:r>
    </w:p>
    <w:p>
      <w:pPr>
        <w:jc w:val="left"/>
        <w:rPr>
          <w:rFonts w:ascii="Times New Roman" w:hAnsi="Times New Roman"/>
          <w:szCs w:val="21"/>
        </w:rPr>
      </w:pPr>
      <w:r>
        <w:rPr>
          <w:rFonts w:ascii="Times New Roman" w:hAnsi="Times New Roman"/>
        </w:rPr>
        <w:t>1.2.10</w:t>
      </w:r>
      <w:r>
        <w:rPr>
          <w:rFonts w:ascii="Times New Roman" w:hAnsi="Times New Roman"/>
          <w:szCs w:val="21"/>
        </w:rPr>
        <w:t xml:space="preserve">  </w:t>
      </w:r>
      <w:r>
        <w:rPr>
          <w:rFonts w:ascii="Times New Roman" w:hAnsi="Times New Roman"/>
        </w:rPr>
        <w:t>无水乙酸钠饱和溶液。</w:t>
      </w:r>
    </w:p>
    <w:p>
      <w:pPr>
        <w:jc w:val="left"/>
        <w:rPr>
          <w:rFonts w:ascii="Times New Roman" w:hAnsi="Times New Roman"/>
        </w:rPr>
      </w:pPr>
      <w:r>
        <w:rPr>
          <w:rFonts w:ascii="Times New Roman" w:hAnsi="Times New Roman"/>
        </w:rPr>
        <w:t xml:space="preserve">1.2.11  </w:t>
      </w:r>
      <w:r>
        <w:rPr>
          <w:rFonts w:ascii="Times New Roman" w:hAnsi="Times New Roman"/>
          <w:szCs w:val="21"/>
        </w:rPr>
        <w:t>硝酸（1+1）</w:t>
      </w:r>
      <w:r>
        <w:rPr>
          <w:rFonts w:ascii="Times New Roman" w:hAnsi="Times New Roman"/>
        </w:rPr>
        <w:t>。</w:t>
      </w:r>
    </w:p>
    <w:p>
      <w:pPr>
        <w:rPr>
          <w:rFonts w:ascii="Times New Roman" w:hAnsi="Times New Roman"/>
        </w:rPr>
      </w:pPr>
      <w:r>
        <w:rPr>
          <w:rFonts w:ascii="Times New Roman" w:hAnsi="Times New Roman"/>
          <w:szCs w:val="21"/>
        </w:rPr>
        <w:t>1.2.12  二甲酚橙溶液（</w:t>
      </w:r>
      <w:r>
        <w:rPr>
          <w:rFonts w:ascii="Times New Roman" w:hAnsi="Times New Roman"/>
        </w:rPr>
        <w:t>5</w:t>
      </w:r>
      <w:r>
        <w:rPr>
          <w:rFonts w:ascii="Times New Roman" w:hAnsi="Times New Roman"/>
          <w:szCs w:val="21"/>
        </w:rPr>
        <w:t xml:space="preserve"> g/L，有效期7天）。</w:t>
      </w:r>
    </w:p>
    <w:p>
      <w:pPr>
        <w:rPr>
          <w:rFonts w:ascii="Times New Roman" w:hAnsi="Times New Roman"/>
        </w:rPr>
      </w:pPr>
      <w:r>
        <w:rPr>
          <w:rFonts w:ascii="Times New Roman" w:hAnsi="Times New Roman"/>
        </w:rPr>
        <w:t xml:space="preserve">1.2.13 </w:t>
      </w:r>
      <w:r>
        <w:rPr>
          <w:rFonts w:ascii="Times New Roman" w:hAnsi="Times New Roman"/>
          <w:szCs w:val="21"/>
        </w:rPr>
        <w:t xml:space="preserve"> 铋标准溶液：准确称取1.0000 g纯金属铋（</w:t>
      </w:r>
      <w:r>
        <w:rPr>
          <w:rFonts w:ascii="Times New Roman" w:hAnsi="Times New Roman"/>
          <w:i/>
        </w:rPr>
        <w:t>w</w:t>
      </w:r>
      <w:r>
        <w:rPr>
          <w:rFonts w:ascii="Times New Roman" w:hAnsi="Times New Roman"/>
          <w:iCs/>
          <w:vertAlign w:val="subscript"/>
        </w:rPr>
        <w:t>Bi</w:t>
      </w:r>
      <w:r>
        <w:rPr>
          <w:rFonts w:ascii="Times New Roman" w:hAnsi="Times New Roman"/>
          <w:szCs w:val="21"/>
        </w:rPr>
        <w:t>≥99.99%），置于250 mL烧杯，加入50 mL硝酸  （1.2.11），盖上表面皿，低温加热至溶解完全，煮沸除去氮的氧化物，取下冷却。用硝酸（5.2.11）吹洗表面皿及杯壁，移入1000 mL容量瓶中，补加150 mL硝酸（1.2.11），用水稀释至刻线，混匀。此溶液1 mL含铋1.00 mg。</w:t>
      </w:r>
    </w:p>
    <w:p>
      <w:pPr>
        <w:rPr>
          <w:rFonts w:ascii="Times New Roman" w:hAnsi="Times New Roman"/>
        </w:rPr>
      </w:pPr>
      <w:r>
        <w:rPr>
          <w:rFonts w:ascii="Times New Roman" w:hAnsi="Times New Roman"/>
        </w:rPr>
        <w:t>1.2.14  乙二胺四乙酸二钠（Na</w:t>
      </w:r>
      <w:r>
        <w:rPr>
          <w:rFonts w:ascii="Times New Roman" w:hAnsi="Times New Roman"/>
          <w:vertAlign w:val="subscript"/>
        </w:rPr>
        <w:t>2</w:t>
      </w:r>
      <w:r>
        <w:rPr>
          <w:rFonts w:ascii="Times New Roman" w:hAnsi="Times New Roman"/>
        </w:rPr>
        <w:t>EDTA）标准滴定溶液［c(Na</w:t>
      </w:r>
      <w:r>
        <w:rPr>
          <w:rFonts w:ascii="Times New Roman" w:hAnsi="Times New Roman"/>
          <w:vertAlign w:val="subscript"/>
        </w:rPr>
        <w:t>2</w:t>
      </w:r>
      <w:r>
        <w:rPr>
          <w:rFonts w:ascii="Times New Roman" w:hAnsi="Times New Roman"/>
        </w:rPr>
        <w:t>EDTA)≈0.005 mol／L］，按以下步骤配制和标定：</w:t>
      </w:r>
    </w:p>
    <w:p>
      <w:pPr>
        <w:ind w:firstLine="420" w:firstLineChars="200"/>
        <w:rPr>
          <w:rFonts w:ascii="Times New Roman" w:hAnsi="Times New Roman"/>
        </w:rPr>
      </w:pPr>
      <w:r>
        <w:rPr>
          <w:rFonts w:ascii="Times New Roman" w:hAnsi="Times New Roman"/>
        </w:rPr>
        <w:t>a） 配制：称取1.86 g Na</w:t>
      </w:r>
      <w:r>
        <w:rPr>
          <w:rFonts w:ascii="Times New Roman" w:hAnsi="Times New Roman"/>
          <w:vertAlign w:val="subscript"/>
        </w:rPr>
        <w:t>2</w:t>
      </w:r>
      <w:r>
        <w:rPr>
          <w:rFonts w:ascii="Times New Roman" w:hAnsi="Times New Roman"/>
        </w:rPr>
        <w:t>EDTA于500 mL烧杯中，加200 mL热水溶解，冷却，移入1000 mL容量瓶中，用水稀释至刻度，混匀。放置三天后标定。</w:t>
      </w:r>
    </w:p>
    <w:p>
      <w:pPr>
        <w:ind w:firstLine="420" w:firstLineChars="200"/>
        <w:rPr>
          <w:rFonts w:ascii="Times New Roman" w:hAnsi="Times New Roman"/>
        </w:rPr>
      </w:pPr>
      <w:r>
        <w:rPr>
          <w:rFonts w:ascii="Times New Roman" w:hAnsi="Times New Roman"/>
        </w:rPr>
        <w:t>b） 标定：移取四份20.00 mL铋标准</w:t>
      </w:r>
      <w:r>
        <w:rPr>
          <w:rFonts w:ascii="Times New Roman" w:hAnsi="Times New Roman"/>
          <w:szCs w:val="21"/>
        </w:rPr>
        <w:t>储存</w:t>
      </w:r>
      <w:r>
        <w:rPr>
          <w:rFonts w:ascii="Times New Roman" w:hAnsi="Times New Roman"/>
        </w:rPr>
        <w:t>溶液（1.2.13）于一组400 mL烧杯中，加入5 mL酒石酸溶液（1.2.7），0.5 mL</w:t>
      </w:r>
      <w:r>
        <w:rPr>
          <w:rFonts w:ascii="Times New Roman" w:hAnsi="Times New Roman"/>
          <w:kern w:val="0"/>
        </w:rPr>
        <w:t>氟化铵（1.2.8），</w:t>
      </w:r>
      <w:r>
        <w:rPr>
          <w:rFonts w:ascii="Times New Roman" w:hAnsi="Times New Roman"/>
        </w:rPr>
        <w:t>加水至200 mL，加入0.2</w:t>
      </w:r>
      <w:r>
        <w:rPr>
          <w:rFonts w:ascii="Times New Roman" w:hAnsi="Times New Roman"/>
          <w:szCs w:val="21"/>
        </w:rPr>
        <w:t xml:space="preserve"> g</w:t>
      </w:r>
      <w:r>
        <w:rPr>
          <w:rFonts w:ascii="Times New Roman" w:hAnsi="Times New Roman"/>
        </w:rPr>
        <w:t>抗坏血酸（</w:t>
      </w:r>
      <w:r>
        <w:rPr>
          <w:rFonts w:ascii="Times New Roman" w:hAnsi="Times New Roman"/>
          <w:bCs/>
          <w:szCs w:val="21"/>
        </w:rPr>
        <w:t>1.2</w:t>
      </w:r>
      <w:r>
        <w:rPr>
          <w:rFonts w:ascii="Times New Roman" w:hAnsi="Times New Roman"/>
          <w:szCs w:val="21"/>
        </w:rPr>
        <w:t>.1）搅拌均匀</w:t>
      </w:r>
      <w:r>
        <w:rPr>
          <w:rFonts w:ascii="Times New Roman" w:hAnsi="Times New Roman"/>
        </w:rPr>
        <w:t>，加入5 mL硫脲（1.2.6）</w:t>
      </w:r>
      <w:r>
        <w:rPr>
          <w:rFonts w:ascii="Times New Roman" w:hAnsi="Times New Roman"/>
          <w:szCs w:val="21"/>
        </w:rPr>
        <w:t>搅</w:t>
      </w:r>
      <w:r>
        <w:rPr>
          <w:rFonts w:ascii="Times New Roman" w:hAnsi="Times New Roman"/>
        </w:rPr>
        <w:t>匀，用无水乙酸钠溶液（1.2.10）调节pH值为1.2</w:t>
      </w:r>
      <w:r>
        <w:rPr>
          <w:rFonts w:ascii="Times New Roman" w:hAnsi="Times New Roman"/>
          <w:szCs w:val="21"/>
        </w:rPr>
        <w:t>~</w:t>
      </w:r>
      <w:r>
        <w:rPr>
          <w:rFonts w:ascii="Times New Roman" w:hAnsi="Times New Roman"/>
        </w:rPr>
        <w:t>1.8，加入1</w:t>
      </w:r>
      <w:r>
        <w:rPr>
          <w:rFonts w:ascii="Times New Roman" w:hAnsi="Times New Roman"/>
          <w:szCs w:val="21"/>
        </w:rPr>
        <w:t>~</w:t>
      </w:r>
      <w:r>
        <w:rPr>
          <w:rFonts w:ascii="Times New Roman" w:hAnsi="Times New Roman"/>
        </w:rPr>
        <w:t>2滴二甲酚橙溶液（1.2.12），用Na</w:t>
      </w:r>
      <w:r>
        <w:rPr>
          <w:rFonts w:ascii="Times New Roman" w:hAnsi="Times New Roman"/>
          <w:vertAlign w:val="subscript"/>
        </w:rPr>
        <w:t>2</w:t>
      </w:r>
      <w:r>
        <w:rPr>
          <w:rFonts w:ascii="Times New Roman" w:hAnsi="Times New Roman"/>
        </w:rPr>
        <w:t>EDTA标准滴定溶液（1.2.14）滴定，溶液由紫红色变为亮黄色，即为终点。随同标定做空白试验。</w:t>
      </w:r>
    </w:p>
    <w:p>
      <w:pPr>
        <w:ind w:firstLine="420" w:firstLineChars="200"/>
        <w:rPr>
          <w:rFonts w:ascii="Times New Roman" w:hAnsi="Times New Roman"/>
        </w:rPr>
      </w:pPr>
      <w:r>
        <w:rPr>
          <w:rFonts w:ascii="Times New Roman" w:hAnsi="Times New Roman"/>
        </w:rPr>
        <w:t>按公式（2）计算Na</w:t>
      </w:r>
      <w:r>
        <w:rPr>
          <w:rFonts w:ascii="Times New Roman" w:hAnsi="Times New Roman"/>
          <w:vertAlign w:val="subscript"/>
        </w:rPr>
        <w:t>2</w:t>
      </w:r>
      <w:r>
        <w:rPr>
          <w:rFonts w:ascii="Times New Roman" w:hAnsi="Times New Roman"/>
        </w:rPr>
        <w:t>EDTA标准滴定溶液的浓度（mol/L）：</w:t>
      </w:r>
    </w:p>
    <w:p>
      <w:pPr>
        <w:jc w:val="center"/>
        <w:rPr>
          <w:rFonts w:ascii="Times New Roman" w:hAnsi="Times New Roman"/>
        </w:rPr>
      </w:pPr>
      <w:r>
        <w:rPr>
          <w:rFonts w:ascii="Times New Roman" w:hAnsi="Times New Roman"/>
        </w:rPr>
        <w:t xml:space="preserve">                    </w:t>
      </w:r>
      <w:r>
        <w:rPr>
          <w:rFonts w:ascii="Times New Roman" w:hAnsi="Times New Roman"/>
          <w:position w:val="-30"/>
        </w:rPr>
        <w:object>
          <v:shape id="_x0000_i1026" o:spt="75" type="#_x0000_t75" style="height:33.65pt;width:104.7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ascii="Times New Roman" w:hAnsi="Times New Roman"/>
          <w:color w:val="000000"/>
          <w:sz w:val="28"/>
          <w:szCs w:val="28"/>
        </w:rPr>
        <w:t xml:space="preserve"> ………………………………………</w:t>
      </w:r>
      <w:r>
        <w:rPr>
          <w:rFonts w:ascii="Times New Roman" w:hAnsi="Times New Roman"/>
        </w:rPr>
        <w:t>（2）</w:t>
      </w:r>
    </w:p>
    <w:p>
      <w:pPr>
        <w:ind w:firstLine="420" w:firstLineChars="200"/>
        <w:rPr>
          <w:rFonts w:ascii="Times New Roman" w:hAnsi="Times New Roman"/>
        </w:rPr>
      </w:pPr>
      <w:r>
        <w:rPr>
          <w:rFonts w:ascii="Times New Roman" w:hAnsi="Times New Roman"/>
        </w:rPr>
        <w:t>式中：</w:t>
      </w:r>
    </w:p>
    <w:p>
      <w:pPr>
        <w:ind w:firstLine="420" w:firstLineChars="200"/>
        <w:rPr>
          <w:rFonts w:ascii="Times New Roman" w:hAnsi="Times New Roman"/>
        </w:rPr>
      </w:pPr>
      <w:r>
        <w:rPr>
          <w:rFonts w:ascii="Times New Roman" w:hAnsi="Times New Roman"/>
          <w:i/>
          <w:iCs/>
        </w:rPr>
        <w:t>c</w:t>
      </w:r>
      <w:r>
        <w:rPr>
          <w:rFonts w:ascii="Times New Roman" w:hAnsi="Times New Roman"/>
        </w:rPr>
        <w:t xml:space="preserve">     ——Na</w:t>
      </w:r>
      <w:r>
        <w:rPr>
          <w:rFonts w:ascii="Times New Roman" w:hAnsi="Times New Roman"/>
          <w:vertAlign w:val="subscript"/>
        </w:rPr>
        <w:t>2</w:t>
      </w:r>
      <w:r>
        <w:rPr>
          <w:rFonts w:ascii="Times New Roman" w:hAnsi="Times New Roman"/>
        </w:rPr>
        <w:t>EDTA标准滴定溶液的摩尔浓度，单位为摩尔每升（mol/L）；</w:t>
      </w:r>
    </w:p>
    <w:p>
      <w:pPr>
        <w:ind w:firstLine="420" w:firstLineChars="200"/>
        <w:rPr>
          <w:rFonts w:ascii="Times New Roman" w:hAnsi="Times New Roman"/>
        </w:rPr>
      </w:pPr>
      <w:r>
        <w:rPr>
          <w:rFonts w:ascii="Times New Roman" w:hAnsi="Times New Roman"/>
          <w:i/>
        </w:rPr>
        <w:t>ρ</w:t>
      </w:r>
      <w:r>
        <w:rPr>
          <w:rFonts w:ascii="Times New Roman" w:hAnsi="Times New Roman"/>
          <w:iCs/>
          <w:vertAlign w:val="subscript"/>
        </w:rPr>
        <w:t xml:space="preserve">1      </w:t>
      </w:r>
      <w:r>
        <w:rPr>
          <w:rFonts w:ascii="Times New Roman" w:hAnsi="Times New Roman"/>
        </w:rPr>
        <w:t>——铋标准溶液的质量浓度，单位为毫克每毫升（mg/mL）；</w:t>
      </w:r>
    </w:p>
    <w:p>
      <w:pPr>
        <w:ind w:firstLine="420" w:firstLineChars="200"/>
        <w:rPr>
          <w:rFonts w:ascii="Times New Roman" w:hAnsi="Times New Roman"/>
        </w:rPr>
      </w:pPr>
      <w:r>
        <w:rPr>
          <w:rFonts w:ascii="Times New Roman" w:hAnsi="Times New Roman"/>
          <w:i/>
          <w:iCs/>
        </w:rPr>
        <w:t>V</w:t>
      </w:r>
      <w:r>
        <w:rPr>
          <w:rFonts w:ascii="Times New Roman" w:hAnsi="Times New Roman"/>
          <w:vertAlign w:val="subscript"/>
        </w:rPr>
        <w:t xml:space="preserve">4      </w:t>
      </w:r>
      <w:r>
        <w:rPr>
          <w:rFonts w:ascii="Times New Roman" w:hAnsi="Times New Roman"/>
        </w:rPr>
        <w:t>——移取铋标准溶液的体积，单位为毫升（mL）；</w:t>
      </w:r>
    </w:p>
    <w:p>
      <w:pPr>
        <w:ind w:firstLine="420" w:firstLineChars="200"/>
        <w:rPr>
          <w:rFonts w:ascii="Times New Roman" w:hAnsi="Times New Roman"/>
        </w:rPr>
      </w:pPr>
      <w:r>
        <w:rPr>
          <w:rFonts w:ascii="Times New Roman" w:hAnsi="Times New Roman"/>
          <w:i/>
          <w:iCs/>
        </w:rPr>
        <w:t>V</w:t>
      </w:r>
      <w:r>
        <w:rPr>
          <w:rFonts w:ascii="Times New Roman" w:hAnsi="Times New Roman"/>
          <w:vertAlign w:val="subscript"/>
        </w:rPr>
        <w:t xml:space="preserve">5      </w:t>
      </w:r>
      <w:r>
        <w:rPr>
          <w:rFonts w:ascii="Times New Roman" w:hAnsi="Times New Roman"/>
        </w:rPr>
        <w:t>——空白试验消耗Na</w:t>
      </w:r>
      <w:r>
        <w:rPr>
          <w:rFonts w:ascii="Times New Roman" w:hAnsi="Times New Roman"/>
          <w:vertAlign w:val="subscript"/>
        </w:rPr>
        <w:t>2</w:t>
      </w:r>
      <w:r>
        <w:rPr>
          <w:rFonts w:ascii="Times New Roman" w:hAnsi="Times New Roman"/>
        </w:rPr>
        <w:t>EDTA标准滴定溶液的体积，单位为毫升（mL）；</w:t>
      </w:r>
    </w:p>
    <w:p>
      <w:pPr>
        <w:ind w:firstLine="420" w:firstLineChars="200"/>
        <w:rPr>
          <w:rFonts w:ascii="Times New Roman" w:hAnsi="Times New Roman"/>
        </w:rPr>
      </w:pPr>
      <w:r>
        <w:rPr>
          <w:rFonts w:ascii="Times New Roman" w:hAnsi="Times New Roman"/>
          <w:i/>
          <w:iCs/>
        </w:rPr>
        <w:t>V</w:t>
      </w:r>
      <w:r>
        <w:rPr>
          <w:rFonts w:ascii="Times New Roman" w:hAnsi="Times New Roman"/>
          <w:vertAlign w:val="subscript"/>
        </w:rPr>
        <w:t xml:space="preserve">3      </w:t>
      </w:r>
      <w:r>
        <w:rPr>
          <w:rFonts w:ascii="Times New Roman" w:hAnsi="Times New Roman"/>
        </w:rPr>
        <w:t>——测定时滴定空白溶液消耗Na</w:t>
      </w:r>
      <w:r>
        <w:rPr>
          <w:rFonts w:ascii="Times New Roman" w:hAnsi="Times New Roman"/>
          <w:vertAlign w:val="subscript"/>
        </w:rPr>
        <w:t>2</w:t>
      </w:r>
      <w:r>
        <w:rPr>
          <w:rFonts w:ascii="Times New Roman" w:hAnsi="Times New Roman"/>
        </w:rPr>
        <w:t>EDTA标准滴定溶液的体积，单位为毫升（mL）；</w:t>
      </w:r>
    </w:p>
    <w:p>
      <w:pPr>
        <w:ind w:firstLine="420" w:firstLineChars="200"/>
        <w:rPr>
          <w:rFonts w:ascii="Times New Roman" w:hAnsi="Times New Roman"/>
          <w:color w:val="FF0000"/>
        </w:rPr>
      </w:pPr>
      <w:r>
        <w:rPr>
          <w:rFonts w:ascii="Times New Roman" w:hAnsi="Times New Roman"/>
        </w:rPr>
        <w:t>208.98 ——铋的摩尔质量，单位为克每摩尔（g/mol）。</w:t>
      </w:r>
    </w:p>
    <w:p>
      <w:pPr>
        <w:ind w:firstLine="420" w:firstLineChars="200"/>
        <w:rPr>
          <w:rFonts w:ascii="Times New Roman" w:hAnsi="Times New Roman"/>
          <w:szCs w:val="21"/>
        </w:rPr>
      </w:pPr>
      <w:r>
        <w:rPr>
          <w:rFonts w:ascii="Times New Roman" w:hAnsi="Times New Roman"/>
          <w:szCs w:val="21"/>
        </w:rPr>
        <w:t>取四次标定结果的平均值，结果保留四位有效数字，四次标定结果极差应不大于3×10</w:t>
      </w:r>
      <w:r>
        <w:rPr>
          <w:rFonts w:ascii="Times New Roman" w:hAnsi="Times New Roman"/>
          <w:szCs w:val="21"/>
          <w:vertAlign w:val="superscript"/>
        </w:rPr>
        <w:t>-5</w:t>
      </w:r>
      <w:r>
        <w:rPr>
          <w:rFonts w:ascii="Times New Roman" w:hAnsi="Times New Roman"/>
          <w:szCs w:val="21"/>
        </w:rPr>
        <w:t> mol/L，取其平均值，否则重新标定。</w:t>
      </w:r>
    </w:p>
    <w:p>
      <w:pPr>
        <w:ind w:firstLine="420" w:firstLineChars="200"/>
        <w:rPr>
          <w:rFonts w:ascii="Times New Roman" w:hAnsi="Times New Roman"/>
          <w:szCs w:val="21"/>
        </w:rPr>
      </w:pPr>
    </w:p>
    <w:p>
      <w:pPr>
        <w:rPr>
          <w:rFonts w:ascii="Times New Roman" w:hAnsi="Times New Roman"/>
          <w:b/>
          <w:szCs w:val="21"/>
        </w:rPr>
      </w:pPr>
      <w:r>
        <w:rPr>
          <w:rFonts w:ascii="Times New Roman" w:hAnsi="Times New Roman"/>
          <w:szCs w:val="21"/>
        </w:rPr>
        <w:t xml:space="preserve">1.3 </w:t>
      </w:r>
      <w:r>
        <w:rPr>
          <w:rFonts w:ascii="Times New Roman" w:hAnsi="Times New Roman"/>
          <w:color w:val="000000" w:themeColor="text1"/>
          <w:szCs w:val="21"/>
        </w:rPr>
        <w:t xml:space="preserve"> </w:t>
      </w:r>
      <w:r>
        <w:rPr>
          <w:rFonts w:hint="eastAsia" w:ascii="Times New Roman" w:hAnsi="Times New Roman"/>
          <w:color w:val="000000" w:themeColor="text1"/>
          <w:szCs w:val="21"/>
        </w:rPr>
        <w:t>样品</w:t>
      </w:r>
    </w:p>
    <w:p>
      <w:pPr>
        <w:outlineLvl w:val="0"/>
        <w:rPr>
          <w:rFonts w:ascii="Times New Roman" w:hAnsi="Times New Roman"/>
        </w:rPr>
      </w:pPr>
      <w:r>
        <w:rPr>
          <w:rFonts w:ascii="Times New Roman" w:hAnsi="Times New Roman"/>
          <w:szCs w:val="21"/>
        </w:rPr>
        <w:t xml:space="preserve">1.3.1  </w:t>
      </w:r>
      <w:r>
        <w:rPr>
          <w:rFonts w:ascii="Times New Roman" w:hAnsi="Times New Roman"/>
        </w:rPr>
        <w:t>样品粒度应不大于0.125mm。</w:t>
      </w:r>
    </w:p>
    <w:p>
      <w:pPr>
        <w:widowControl/>
        <w:jc w:val="left"/>
        <w:rPr>
          <w:rFonts w:ascii="Times New Roman" w:hAnsi="Times New Roman"/>
        </w:rPr>
      </w:pPr>
      <w:r>
        <w:rPr>
          <w:rFonts w:ascii="Times New Roman" w:hAnsi="Times New Roman"/>
        </w:rPr>
        <w:t>1.3.2  样品应在105 ℃±</w:t>
      </w:r>
      <w:r>
        <w:rPr>
          <w:rFonts w:ascii="Times New Roman" w:hAnsi="Times New Roman"/>
          <w:sz w:val="24"/>
          <w:szCs w:val="24"/>
        </w:rPr>
        <w:t xml:space="preserve">5 </w:t>
      </w:r>
      <w:r>
        <w:rPr>
          <w:rFonts w:ascii="Times New Roman" w:hAnsi="Times New Roman"/>
        </w:rPr>
        <w:t>℃烘2h，并置于干燥器中冷却至室温。</w:t>
      </w:r>
    </w:p>
    <w:p>
      <w:pPr>
        <w:widowControl/>
        <w:jc w:val="left"/>
        <w:rPr>
          <w:rFonts w:ascii="Times New Roman" w:hAnsi="Times New Roman"/>
          <w:b/>
        </w:rPr>
      </w:pPr>
    </w:p>
    <w:p>
      <w:pPr>
        <w:widowControl/>
        <w:jc w:val="left"/>
        <w:rPr>
          <w:rFonts w:ascii="Times New Roman" w:hAnsi="Times New Roman"/>
          <w:b/>
        </w:rPr>
      </w:pPr>
      <w:r>
        <w:rPr>
          <w:rFonts w:ascii="Times New Roman" w:hAnsi="Times New Roman"/>
        </w:rPr>
        <w:t xml:space="preserve">1.4 </w:t>
      </w:r>
      <w:r>
        <w:rPr>
          <w:rFonts w:ascii="Times New Roman" w:hAnsi="Times New Roman"/>
          <w:b/>
        </w:rPr>
        <w:t xml:space="preserve"> </w:t>
      </w:r>
      <w:r>
        <w:rPr>
          <w:rFonts w:hint="eastAsia" w:ascii="黑体" w:hAnsi="黑体" w:eastAsia="黑体"/>
        </w:rPr>
        <w:t>试验</w:t>
      </w:r>
      <w:r>
        <w:rPr>
          <w:rFonts w:ascii="黑体" w:hAnsi="黑体" w:eastAsia="黑体"/>
        </w:rPr>
        <w:t>步骤</w:t>
      </w:r>
    </w:p>
    <w:p>
      <w:pPr>
        <w:rPr>
          <w:rFonts w:ascii="Times New Roman" w:hAnsi="Times New Roman"/>
          <w:b/>
        </w:rPr>
      </w:pPr>
      <w:r>
        <w:rPr>
          <w:rFonts w:ascii="Times New Roman" w:hAnsi="Times New Roman"/>
        </w:rPr>
        <w:t xml:space="preserve">1.4.1 </w:t>
      </w:r>
      <w:r>
        <w:rPr>
          <w:rFonts w:ascii="黑体" w:hAnsi="黑体" w:eastAsia="黑体"/>
          <w:b/>
        </w:rPr>
        <w:t xml:space="preserve"> </w:t>
      </w:r>
      <w:r>
        <w:rPr>
          <w:rFonts w:ascii="黑体" w:hAnsi="黑体" w:eastAsia="黑体"/>
        </w:rPr>
        <w:t>试料</w:t>
      </w:r>
    </w:p>
    <w:p>
      <w:pPr>
        <w:rPr>
          <w:rFonts w:ascii="Times New Roman" w:hAnsi="Times New Roman"/>
          <w:color w:val="0C0C0C" w:themeColor="text1" w:themeTint="F2"/>
        </w:rPr>
      </w:pPr>
    </w:p>
    <w:p>
      <w:pPr>
        <w:rPr>
          <w:rFonts w:ascii="Times New Roman" w:hAnsi="Times New Roman"/>
        </w:rPr>
      </w:pPr>
      <w:r>
        <w:rPr>
          <w:rFonts w:ascii="Times New Roman" w:hAnsi="Times New Roman"/>
        </w:rPr>
        <w:t>按表1称取试料，精确至0.0001g。</w:t>
      </w:r>
    </w:p>
    <w:tbl>
      <w:tblPr>
        <w:tblStyle w:val="32"/>
        <w:tblW w:w="8946"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4443"/>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2"/>
            <w:tcBorders>
              <w:top w:val="nil"/>
              <w:left w:val="nil"/>
              <w:right w:val="nil"/>
            </w:tcBorders>
          </w:tcPr>
          <w:p>
            <w:pPr>
              <w:jc w:val="center"/>
              <w:rPr>
                <w:rFonts w:ascii="Times New Roman" w:hAnsi="Times New Roman"/>
                <w:szCs w:val="21"/>
              </w:rPr>
            </w:pPr>
            <w:r>
              <w:rPr>
                <w:rFonts w:ascii="Times New Roman" w:hAnsi="Times New Roman"/>
                <w:szCs w:val="21"/>
              </w:rPr>
              <w:t>表1 试料量</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jc w:val="center"/>
              <w:rPr>
                <w:rFonts w:ascii="Times New Roman" w:hAnsi="Times New Roman"/>
                <w:sz w:val="18"/>
                <w:szCs w:val="18"/>
              </w:rPr>
            </w:pPr>
            <w:r>
              <w:rPr>
                <w:rFonts w:ascii="Times New Roman" w:hAnsi="Times New Roman"/>
                <w:sz w:val="18"/>
                <w:szCs w:val="18"/>
              </w:rPr>
              <w:t>铋的质量分数</w:t>
            </w:r>
            <w:r>
              <w:rPr>
                <w:rFonts w:ascii="Times New Roman" w:hAnsi="Times New Roman"/>
                <w:bCs/>
                <w:sz w:val="18"/>
                <w:szCs w:val="18"/>
              </w:rPr>
              <w:t>/</w:t>
            </w:r>
            <w:r>
              <w:rPr>
                <w:rFonts w:ascii="Times New Roman" w:hAnsi="Times New Roman"/>
                <w:sz w:val="18"/>
                <w:szCs w:val="18"/>
              </w:rPr>
              <w:t>%</w:t>
            </w:r>
          </w:p>
        </w:tc>
        <w:tc>
          <w:tcPr>
            <w:tcW w:w="4443" w:type="dxa"/>
          </w:tcPr>
          <w:p>
            <w:pPr>
              <w:jc w:val="center"/>
              <w:rPr>
                <w:rFonts w:ascii="Times New Roman" w:hAnsi="Times New Roman"/>
                <w:sz w:val="18"/>
                <w:szCs w:val="18"/>
              </w:rPr>
            </w:pPr>
            <w:r>
              <w:rPr>
                <w:rFonts w:ascii="Times New Roman" w:hAnsi="Times New Roman"/>
                <w:sz w:val="18"/>
                <w:szCs w:val="18"/>
              </w:rPr>
              <w:t>试料质量</w:t>
            </w:r>
            <w:r>
              <w:rPr>
                <w:rFonts w:ascii="Times New Roman" w:hAnsi="Times New Roman"/>
                <w:bCs/>
                <w:sz w:val="18"/>
                <w:szCs w:val="18"/>
              </w:rPr>
              <w:t>/</w:t>
            </w:r>
            <w:r>
              <w:rPr>
                <w:rFonts w:ascii="Times New Roman" w:hAnsi="Times New Roman"/>
                <w:sz w:val="18"/>
                <w:szCs w:val="18"/>
              </w:rPr>
              <w:t>g</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jc w:val="center"/>
              <w:rPr>
                <w:rFonts w:ascii="Times New Roman" w:hAnsi="Times New Roman"/>
                <w:sz w:val="18"/>
                <w:szCs w:val="18"/>
              </w:rPr>
            </w:pPr>
            <w:r>
              <w:rPr>
                <w:rFonts w:ascii="Times New Roman" w:hAnsi="Times New Roman"/>
                <w:sz w:val="18"/>
                <w:szCs w:val="18"/>
              </w:rPr>
              <w:t xml:space="preserve">&gt;5.00 </w:t>
            </w:r>
            <w:r>
              <w:rPr>
                <w:rFonts w:ascii="Times New Roman" w:hAnsi="Times New Roman"/>
                <w:kern w:val="0"/>
                <w:sz w:val="18"/>
                <w:szCs w:val="18"/>
              </w:rPr>
              <w:t xml:space="preserve">~ </w:t>
            </w:r>
            <w:r>
              <w:rPr>
                <w:rFonts w:ascii="Times New Roman" w:hAnsi="Times New Roman"/>
                <w:sz w:val="18"/>
                <w:szCs w:val="18"/>
              </w:rPr>
              <w:t>10.00</w:t>
            </w:r>
          </w:p>
        </w:tc>
        <w:tc>
          <w:tcPr>
            <w:tcW w:w="4443" w:type="dxa"/>
          </w:tcPr>
          <w:p>
            <w:pPr>
              <w:jc w:val="center"/>
              <w:rPr>
                <w:rFonts w:ascii="Times New Roman" w:hAnsi="Times New Roman"/>
                <w:sz w:val="18"/>
                <w:szCs w:val="18"/>
              </w:rPr>
            </w:pPr>
            <w:r>
              <w:rPr>
                <w:rFonts w:ascii="Times New Roman" w:hAnsi="Times New Roman"/>
                <w:sz w:val="18"/>
                <w:szCs w:val="18"/>
              </w:rPr>
              <w:t>0.15</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jc w:val="center"/>
              <w:rPr>
                <w:rFonts w:ascii="Times New Roman" w:hAnsi="Times New Roman"/>
                <w:sz w:val="18"/>
                <w:szCs w:val="18"/>
              </w:rPr>
            </w:pPr>
            <w:r>
              <w:rPr>
                <w:rFonts w:ascii="Times New Roman" w:hAnsi="Times New Roman"/>
                <w:sz w:val="18"/>
                <w:szCs w:val="18"/>
              </w:rPr>
              <w:t xml:space="preserve">&gt;10.00 </w:t>
            </w:r>
            <w:r>
              <w:rPr>
                <w:rFonts w:ascii="Times New Roman" w:hAnsi="Times New Roman"/>
                <w:kern w:val="0"/>
                <w:sz w:val="18"/>
                <w:szCs w:val="18"/>
              </w:rPr>
              <w:t xml:space="preserve">~ </w:t>
            </w:r>
            <w:r>
              <w:rPr>
                <w:rFonts w:ascii="Times New Roman" w:hAnsi="Times New Roman"/>
                <w:sz w:val="18"/>
                <w:szCs w:val="18"/>
              </w:rPr>
              <w:t>15.00</w:t>
            </w:r>
          </w:p>
        </w:tc>
        <w:tc>
          <w:tcPr>
            <w:tcW w:w="4443" w:type="dxa"/>
          </w:tcPr>
          <w:p>
            <w:pPr>
              <w:jc w:val="center"/>
              <w:rPr>
                <w:rFonts w:ascii="Times New Roman" w:hAnsi="Times New Roman"/>
                <w:sz w:val="18"/>
                <w:szCs w:val="18"/>
              </w:rPr>
            </w:pPr>
            <w:r>
              <w:rPr>
                <w:rFonts w:ascii="Times New Roman" w:hAnsi="Times New Roman"/>
                <w:sz w:val="18"/>
                <w:szCs w:val="18"/>
              </w:rPr>
              <w:t>0.10</w:t>
            </w:r>
          </w:p>
        </w:tc>
      </w:tr>
    </w:tbl>
    <w:p>
      <w:pPr>
        <w:outlineLvl w:val="0"/>
        <w:rPr>
          <w:rFonts w:ascii="Times New Roman" w:hAnsi="Times New Roman"/>
        </w:rPr>
      </w:pPr>
    </w:p>
    <w:p>
      <w:pPr>
        <w:outlineLvl w:val="0"/>
        <w:rPr>
          <w:rFonts w:ascii="Times New Roman" w:hAnsi="Times New Roman"/>
          <w:b/>
        </w:rPr>
      </w:pPr>
      <w:r>
        <w:rPr>
          <w:rFonts w:ascii="Times New Roman" w:hAnsi="Times New Roman"/>
        </w:rPr>
        <w:t xml:space="preserve">1.4.2 </w:t>
      </w:r>
      <w:r>
        <w:rPr>
          <w:rFonts w:ascii="Times New Roman" w:hAnsi="Times New Roman"/>
          <w:b/>
        </w:rPr>
        <w:t xml:space="preserve"> </w:t>
      </w:r>
      <w:r>
        <w:rPr>
          <w:rFonts w:ascii="黑体" w:hAnsi="黑体" w:eastAsia="黑体"/>
        </w:rPr>
        <w:t>测定次数</w:t>
      </w:r>
    </w:p>
    <w:p>
      <w:pPr>
        <w:ind w:firstLine="420" w:firstLineChars="200"/>
        <w:rPr>
          <w:rFonts w:ascii="Times New Roman" w:hAnsi="Times New Roman"/>
        </w:rPr>
      </w:pPr>
      <w:r>
        <w:rPr>
          <w:rFonts w:ascii="Times New Roman" w:hAnsi="Times New Roman"/>
        </w:rPr>
        <w:t>独立地进行两次测定，取其平均值。</w:t>
      </w:r>
    </w:p>
    <w:p>
      <w:pPr>
        <w:rPr>
          <w:rFonts w:ascii="Times New Roman" w:hAnsi="Times New Roman"/>
          <w:b/>
        </w:rPr>
      </w:pPr>
      <w:r>
        <w:rPr>
          <w:rFonts w:ascii="Times New Roman" w:hAnsi="Times New Roman"/>
        </w:rPr>
        <w:t xml:space="preserve">1.4.3 </w:t>
      </w:r>
      <w:r>
        <w:rPr>
          <w:rFonts w:ascii="Times New Roman" w:hAnsi="Times New Roman"/>
          <w:b/>
        </w:rPr>
        <w:t xml:space="preserve"> </w:t>
      </w:r>
      <w:r>
        <w:rPr>
          <w:rFonts w:ascii="黑体" w:hAnsi="黑体" w:eastAsia="黑体"/>
        </w:rPr>
        <w:t>空白</w:t>
      </w:r>
      <w:r>
        <w:rPr>
          <w:rFonts w:hint="eastAsia" w:ascii="黑体" w:hAnsi="黑体" w:eastAsia="黑体"/>
        </w:rPr>
        <w:t>试</w:t>
      </w:r>
      <w:r>
        <w:rPr>
          <w:rFonts w:ascii="黑体" w:hAnsi="黑体" w:eastAsia="黑体"/>
        </w:rPr>
        <w:t>验</w:t>
      </w:r>
    </w:p>
    <w:p>
      <w:pPr>
        <w:ind w:firstLine="420" w:firstLineChars="200"/>
        <w:outlineLvl w:val="0"/>
        <w:rPr>
          <w:rFonts w:ascii="Times New Roman" w:hAnsi="Times New Roman"/>
        </w:rPr>
      </w:pPr>
      <w:r>
        <w:rPr>
          <w:rFonts w:ascii="Times New Roman" w:hAnsi="Times New Roman"/>
        </w:rPr>
        <w:t>随同试料做空白</w:t>
      </w:r>
      <w:r>
        <w:rPr>
          <w:rFonts w:hint="eastAsia" w:ascii="Times New Roman" w:hAnsi="Times New Roman"/>
        </w:rPr>
        <w:t>试</w:t>
      </w:r>
      <w:r>
        <w:rPr>
          <w:rFonts w:ascii="Times New Roman" w:hAnsi="Times New Roman"/>
        </w:rPr>
        <w:t>验。</w:t>
      </w:r>
    </w:p>
    <w:p>
      <w:pPr>
        <w:outlineLvl w:val="0"/>
        <w:rPr>
          <w:rFonts w:ascii="Times New Roman" w:hAnsi="Times New Roman"/>
          <w:b/>
        </w:rPr>
      </w:pPr>
      <w:r>
        <w:rPr>
          <w:rFonts w:ascii="Times New Roman" w:hAnsi="Times New Roman"/>
        </w:rPr>
        <w:t>1.4.4</w:t>
      </w:r>
      <w:r>
        <w:rPr>
          <w:rFonts w:ascii="Times New Roman" w:hAnsi="Times New Roman"/>
          <w:b/>
        </w:rPr>
        <w:t xml:space="preserve"> </w:t>
      </w:r>
      <w:r>
        <w:rPr>
          <w:rFonts w:ascii="Times New Roman" w:hAnsi="Times New Roman"/>
        </w:rPr>
        <w:t xml:space="preserve"> </w:t>
      </w:r>
      <w:r>
        <w:rPr>
          <w:rFonts w:ascii="黑体" w:hAnsi="黑体" w:eastAsia="黑体"/>
        </w:rPr>
        <w:t>测定</w:t>
      </w:r>
    </w:p>
    <w:p>
      <w:pPr>
        <w:widowControl/>
        <w:jc w:val="left"/>
        <w:rPr>
          <w:rFonts w:ascii="Times New Roman" w:hAnsi="Times New Roman"/>
          <w:kern w:val="0"/>
          <w:sz w:val="20"/>
          <w:szCs w:val="20"/>
        </w:rPr>
      </w:pPr>
      <w:r>
        <w:rPr>
          <w:rFonts w:ascii="Times New Roman" w:hAnsi="Times New Roman"/>
        </w:rPr>
        <w:t xml:space="preserve">1.4.4.1  </w:t>
      </w:r>
      <w:r>
        <w:rPr>
          <w:rFonts w:ascii="黑体" w:hAnsi="黑体" w:eastAsia="黑体"/>
          <w:szCs w:val="21"/>
        </w:rPr>
        <w:t>试料的处理</w:t>
      </w:r>
    </w:p>
    <w:p>
      <w:pPr>
        <w:ind w:firstLine="315" w:firstLineChars="150"/>
        <w:rPr>
          <w:rFonts w:ascii="Times New Roman" w:hAnsi="Times New Roman"/>
        </w:rPr>
      </w:pPr>
      <w:r>
        <w:rPr>
          <w:rFonts w:ascii="Times New Roman" w:hAnsi="Times New Roman"/>
          <w:kern w:val="0"/>
        </w:rPr>
        <w:t xml:space="preserve"> 将试料（</w:t>
      </w:r>
      <w:r>
        <w:rPr>
          <w:rFonts w:ascii="Times New Roman" w:hAnsi="Times New Roman"/>
        </w:rPr>
        <w:t>1.4.1</w:t>
      </w:r>
      <w:r>
        <w:rPr>
          <w:rFonts w:ascii="Times New Roman" w:hAnsi="Times New Roman"/>
          <w:kern w:val="0"/>
        </w:rPr>
        <w:t>）置于400 mL烧杯中，</w:t>
      </w:r>
      <w:r>
        <w:rPr>
          <w:rFonts w:ascii="Times New Roman" w:hAnsi="Times New Roman"/>
        </w:rPr>
        <w:t>用少量水润湿，加10 mL盐酸（1.2.2）及2 mL饱和氟化氢铵</w:t>
      </w:r>
      <w:r>
        <w:rPr>
          <w:rFonts w:ascii="Times New Roman" w:hAnsi="Times New Roman"/>
          <w:szCs w:val="21"/>
        </w:rPr>
        <w:t xml:space="preserve"> (</w:t>
      </w:r>
      <w:r>
        <w:rPr>
          <w:rFonts w:ascii="Times New Roman" w:hAnsi="Times New Roman"/>
          <w:bCs/>
          <w:szCs w:val="21"/>
        </w:rPr>
        <w:t>1.2</w:t>
      </w:r>
      <w:r>
        <w:rPr>
          <w:rFonts w:ascii="Times New Roman" w:hAnsi="Times New Roman"/>
          <w:szCs w:val="21"/>
        </w:rPr>
        <w:t xml:space="preserve">.9)，低温加热溶解至溶液剩余5 </w:t>
      </w:r>
      <w:r>
        <w:rPr>
          <w:rFonts w:ascii="Times New Roman" w:hAnsi="Times New Roman"/>
        </w:rPr>
        <w:t>mL左右，取下，加入5 mL硝酸（1.2.3），低温加热至试液</w:t>
      </w:r>
      <w:r>
        <w:rPr>
          <w:rFonts w:ascii="Times New Roman" w:hAnsi="Times New Roman"/>
          <w:szCs w:val="21"/>
        </w:rPr>
        <w:t xml:space="preserve">剩余3 </w:t>
      </w:r>
      <w:r>
        <w:rPr>
          <w:rFonts w:ascii="Times New Roman" w:hAnsi="Times New Roman"/>
        </w:rPr>
        <w:t>mL</w:t>
      </w:r>
      <w:r>
        <w:rPr>
          <w:rFonts w:ascii="Times New Roman" w:hAnsi="Times New Roman"/>
          <w:kern w:val="0"/>
          <w:szCs w:val="21"/>
        </w:rPr>
        <w:t xml:space="preserve">~ </w:t>
      </w:r>
      <w:r>
        <w:rPr>
          <w:rFonts w:ascii="Times New Roman" w:hAnsi="Times New Roman"/>
        </w:rPr>
        <w:t>4 mL，取下稍冷，加入5 mL</w:t>
      </w:r>
      <w:r>
        <w:rPr>
          <w:rFonts w:ascii="Times New Roman" w:hAnsi="Times New Roman"/>
          <w:kern w:val="0"/>
        </w:rPr>
        <w:t>高氯酸（1.2.5）盖</w:t>
      </w:r>
      <w:r>
        <w:rPr>
          <w:rFonts w:ascii="Times New Roman" w:hAnsi="Times New Roman"/>
        </w:rPr>
        <w:t>表面皿，继续加热至冒烟，若有不溶物，滴加硝酸（1.2.3）至</w:t>
      </w:r>
      <w:r>
        <w:rPr>
          <w:rFonts w:ascii="Times New Roman" w:hAnsi="Times New Roman"/>
          <w:kern w:val="0"/>
        </w:rPr>
        <w:t>试料</w:t>
      </w:r>
      <w:r>
        <w:rPr>
          <w:rFonts w:ascii="Times New Roman" w:hAnsi="Times New Roman"/>
        </w:rPr>
        <w:t>完全溶解，继续低温加热至</w:t>
      </w:r>
      <w:r>
        <w:rPr>
          <w:rFonts w:ascii="Times New Roman" w:hAnsi="Times New Roman"/>
          <w:kern w:val="0"/>
        </w:rPr>
        <w:t>高氯酸</w:t>
      </w:r>
      <w:r>
        <w:rPr>
          <w:rFonts w:ascii="Times New Roman" w:hAnsi="Times New Roman"/>
        </w:rPr>
        <w:t>冒烟，取下冷却，用少量水吹洗表面皿，加入2 mL盐酸（1.2.2）2 mL氢溴酸（</w:t>
      </w:r>
      <w:r>
        <w:rPr>
          <w:rFonts w:ascii="Times New Roman" w:hAnsi="Times New Roman"/>
          <w:bCs/>
          <w:szCs w:val="21"/>
        </w:rPr>
        <w:t>1.2</w:t>
      </w:r>
      <w:r>
        <w:rPr>
          <w:rFonts w:ascii="Times New Roman" w:hAnsi="Times New Roman"/>
          <w:szCs w:val="21"/>
        </w:rPr>
        <w:t>.4）</w:t>
      </w:r>
      <w:r>
        <w:rPr>
          <w:rFonts w:ascii="Times New Roman" w:hAnsi="Times New Roman"/>
        </w:rPr>
        <w:t>低温加热至冒烟，取下冷却，重复加入2 mL盐酸（1.2.2）及2 mL氢溴酸（</w:t>
      </w:r>
      <w:r>
        <w:rPr>
          <w:rFonts w:ascii="Times New Roman" w:hAnsi="Times New Roman"/>
          <w:bCs/>
          <w:szCs w:val="21"/>
        </w:rPr>
        <w:t>1.2</w:t>
      </w:r>
      <w:r>
        <w:rPr>
          <w:rFonts w:ascii="Times New Roman" w:hAnsi="Times New Roman"/>
          <w:szCs w:val="21"/>
        </w:rPr>
        <w:t>.4）</w:t>
      </w:r>
      <w:r>
        <w:rPr>
          <w:rFonts w:ascii="Times New Roman" w:hAnsi="Times New Roman"/>
        </w:rPr>
        <w:t>继续低温加热冒烟至近干（</w:t>
      </w:r>
      <w:r>
        <w:rPr>
          <w:rFonts w:ascii="Times New Roman" w:hAnsi="Times New Roman"/>
          <w:szCs w:val="21"/>
        </w:rPr>
        <w:t>湿盐状）</w:t>
      </w:r>
      <w:r>
        <w:rPr>
          <w:rFonts w:ascii="Times New Roman" w:hAnsi="Times New Roman"/>
        </w:rPr>
        <w:t>，取下冷却。加入1.5 mL硝酸（1.2.3），轻轻摇动浸润盐类，加入5 mL</w:t>
      </w:r>
      <w:bookmarkStart w:id="6" w:name="OLE_LINK6"/>
      <w:bookmarkStart w:id="7" w:name="OLE_LINK5"/>
      <w:r>
        <w:rPr>
          <w:rFonts w:ascii="Times New Roman" w:hAnsi="Times New Roman"/>
        </w:rPr>
        <w:t>酒石酸</w:t>
      </w:r>
      <w:bookmarkEnd w:id="6"/>
      <w:bookmarkEnd w:id="7"/>
      <w:r>
        <w:rPr>
          <w:rFonts w:ascii="Times New Roman" w:hAnsi="Times New Roman"/>
        </w:rPr>
        <w:t>溶液（1.2.7）用少量水吹洗杯壁，加热溶解盐类。</w:t>
      </w:r>
    </w:p>
    <w:p>
      <w:pPr>
        <w:rPr>
          <w:rFonts w:ascii="Times New Roman" w:hAnsi="Times New Roman"/>
        </w:rPr>
      </w:pPr>
      <w:r>
        <w:rPr>
          <w:rFonts w:ascii="Times New Roman" w:hAnsi="Times New Roman"/>
        </w:rPr>
        <w:t xml:space="preserve">1.4.4.2  </w:t>
      </w:r>
      <w:r>
        <w:rPr>
          <w:rFonts w:ascii="黑体" w:hAnsi="黑体" w:eastAsia="黑体"/>
          <w:szCs w:val="21"/>
        </w:rPr>
        <w:t>滴定</w:t>
      </w:r>
    </w:p>
    <w:p>
      <w:pPr>
        <w:ind w:firstLine="210" w:firstLineChars="100"/>
        <w:rPr>
          <w:rFonts w:ascii="Times New Roman" w:hAnsi="Times New Roman"/>
        </w:rPr>
      </w:pPr>
      <w:r>
        <w:rPr>
          <w:rFonts w:ascii="Times New Roman" w:hAnsi="Times New Roman"/>
        </w:rPr>
        <w:t xml:space="preserve">  加入0.5 mL</w:t>
      </w:r>
      <w:r>
        <w:rPr>
          <w:rFonts w:ascii="Times New Roman" w:hAnsi="Times New Roman"/>
          <w:kern w:val="0"/>
        </w:rPr>
        <w:t>氟化铵（1.2.8）</w:t>
      </w:r>
      <w:r>
        <w:rPr>
          <w:rFonts w:ascii="Times New Roman" w:hAnsi="Times New Roman"/>
          <w:szCs w:val="21"/>
        </w:rPr>
        <w:t>搅拌摇匀</w:t>
      </w:r>
      <w:r>
        <w:rPr>
          <w:rFonts w:ascii="Times New Roman" w:hAnsi="Times New Roman"/>
          <w:kern w:val="0"/>
        </w:rPr>
        <w:t>，</w:t>
      </w:r>
      <w:r>
        <w:rPr>
          <w:rFonts w:ascii="Times New Roman" w:hAnsi="Times New Roman"/>
        </w:rPr>
        <w:t>加水至200 mL，加入0.2克抗坏血酸（</w:t>
      </w:r>
      <w:r>
        <w:rPr>
          <w:rFonts w:ascii="Times New Roman" w:hAnsi="Times New Roman"/>
          <w:bCs/>
          <w:szCs w:val="21"/>
        </w:rPr>
        <w:t>1.2</w:t>
      </w:r>
      <w:r>
        <w:rPr>
          <w:rFonts w:ascii="Times New Roman" w:hAnsi="Times New Roman"/>
          <w:szCs w:val="21"/>
        </w:rPr>
        <w:t>.1）</w:t>
      </w:r>
      <w:r>
        <w:rPr>
          <w:rFonts w:ascii="Times New Roman" w:hAnsi="Times New Roman"/>
        </w:rPr>
        <w:t>，加入5 mL硫脲（1.2.6）</w:t>
      </w:r>
      <w:r>
        <w:rPr>
          <w:rFonts w:ascii="Times New Roman" w:hAnsi="Times New Roman"/>
          <w:szCs w:val="21"/>
        </w:rPr>
        <w:t>搅</w:t>
      </w:r>
      <w:r>
        <w:rPr>
          <w:rFonts w:ascii="Times New Roman" w:hAnsi="Times New Roman"/>
        </w:rPr>
        <w:t xml:space="preserve">匀，用无水乙酸钠饱和溶液（1.2.10）调节pH值为1.2 </w:t>
      </w:r>
      <w:r>
        <w:rPr>
          <w:rFonts w:ascii="Times New Roman" w:hAnsi="Times New Roman"/>
          <w:kern w:val="0"/>
          <w:szCs w:val="21"/>
        </w:rPr>
        <w:t>~ 1.8</w:t>
      </w:r>
      <w:r>
        <w:rPr>
          <w:rFonts w:ascii="Times New Roman" w:hAnsi="Times New Roman"/>
        </w:rPr>
        <w:t xml:space="preserve">，加入1 </w:t>
      </w:r>
      <w:r>
        <w:rPr>
          <w:rFonts w:ascii="Times New Roman" w:hAnsi="Times New Roman"/>
          <w:kern w:val="0"/>
          <w:szCs w:val="21"/>
        </w:rPr>
        <w:t xml:space="preserve">~ </w:t>
      </w:r>
      <w:r>
        <w:rPr>
          <w:rFonts w:ascii="Times New Roman" w:hAnsi="Times New Roman"/>
        </w:rPr>
        <w:t>2滴二甲酚橙（1.2.12），用Na</w:t>
      </w:r>
      <w:r>
        <w:rPr>
          <w:rFonts w:ascii="Times New Roman" w:hAnsi="Times New Roman"/>
          <w:vertAlign w:val="subscript"/>
        </w:rPr>
        <w:t>2</w:t>
      </w:r>
      <w:r>
        <w:rPr>
          <w:rFonts w:ascii="Times New Roman" w:hAnsi="Times New Roman"/>
        </w:rPr>
        <w:t>EDTA标准滴定溶液（1.2.14）滴定，溶液由紫红色变为亮黄色，即为终点。随同试料做空白</w:t>
      </w:r>
      <w:r>
        <w:rPr>
          <w:rFonts w:hint="eastAsia" w:ascii="Times New Roman" w:hAnsi="Times New Roman"/>
        </w:rPr>
        <w:t>试</w:t>
      </w:r>
      <w:r>
        <w:rPr>
          <w:rFonts w:ascii="Times New Roman" w:hAnsi="Times New Roman"/>
        </w:rPr>
        <w:t>验。</w:t>
      </w:r>
    </w:p>
    <w:p>
      <w:pPr>
        <w:rPr>
          <w:rFonts w:ascii="Times New Roman" w:hAnsi="Times New Roman"/>
          <w:szCs w:val="21"/>
        </w:rPr>
      </w:pPr>
    </w:p>
    <w:p>
      <w:pPr>
        <w:rPr>
          <w:rFonts w:ascii="黑体" w:hAnsi="黑体" w:eastAsia="黑体"/>
          <w:szCs w:val="21"/>
        </w:rPr>
      </w:pPr>
      <w:r>
        <w:rPr>
          <w:rFonts w:ascii="Times New Roman" w:hAnsi="Times New Roman"/>
          <w:szCs w:val="21"/>
        </w:rPr>
        <w:t>2</w:t>
      </w:r>
      <w:r>
        <w:rPr>
          <w:rFonts w:ascii="Times New Roman" w:hAnsi="Times New Roman"/>
          <w:sz w:val="28"/>
          <w:szCs w:val="28"/>
        </w:rPr>
        <w:t xml:space="preserve">  </w:t>
      </w:r>
      <w:r>
        <w:rPr>
          <w:rFonts w:ascii="黑体" w:hAnsi="黑体" w:eastAsia="黑体"/>
          <w:szCs w:val="21"/>
        </w:rPr>
        <w:t>结果及讨论</w:t>
      </w:r>
    </w:p>
    <w:p>
      <w:pPr>
        <w:rPr>
          <w:rFonts w:ascii="黑体" w:hAnsi="黑体" w:eastAsia="黑体"/>
          <w:szCs w:val="21"/>
        </w:rPr>
      </w:pPr>
    </w:p>
    <w:p>
      <w:pPr>
        <w:rPr>
          <w:rFonts w:ascii="Times New Roman" w:hAnsi="Times New Roman"/>
          <w:b/>
          <w:szCs w:val="21"/>
        </w:rPr>
      </w:pPr>
      <w:r>
        <w:rPr>
          <w:rFonts w:ascii="Times New Roman" w:hAnsi="Times New Roman"/>
          <w:szCs w:val="21"/>
        </w:rPr>
        <w:t>2.1</w:t>
      </w:r>
      <w:r>
        <w:rPr>
          <w:rFonts w:ascii="Times New Roman" w:hAnsi="Times New Roman"/>
          <w:b/>
          <w:szCs w:val="21"/>
        </w:rPr>
        <w:t xml:space="preserve">  </w:t>
      </w:r>
      <w:r>
        <w:rPr>
          <w:rFonts w:ascii="黑体" w:hAnsi="黑体" w:eastAsia="黑体"/>
          <w:szCs w:val="21"/>
        </w:rPr>
        <w:t>溶样方法</w:t>
      </w:r>
    </w:p>
    <w:p>
      <w:pPr>
        <w:ind w:firstLine="315" w:firstLineChars="150"/>
        <w:rPr>
          <w:rFonts w:ascii="Times New Roman" w:hAnsi="Times New Roman"/>
          <w:kern w:val="0"/>
        </w:rPr>
      </w:pPr>
      <w:r>
        <w:rPr>
          <w:rFonts w:ascii="Times New Roman" w:hAnsi="Times New Roman"/>
        </w:rPr>
        <w:t xml:space="preserve">  </w:t>
      </w:r>
      <w:r>
        <w:rPr>
          <w:rFonts w:ascii="Times New Roman" w:hAnsi="Times New Roman"/>
          <w:kern w:val="0"/>
        </w:rPr>
        <w:t>经试验，铜冶炼烟尘试样用硝酸－氯酸钾溶样时，试样不能溶解完全。使用盐酸—硝酸—高氯酸及盐酸—硝酸—硫酸溶样时试样能分解完全，在高氯酸中用盐酸—氢溴酸能除去砷、锑、锡及硒，硫酸冒烟近干后也能除去硒，虽然用盐酸、硝酸浸润盐类，能溶解浸出硫酸冒烟后的试样，释放硫酸铅对铋的吸附，但硫酸冒烟近干的程度对测定结果有影响，有时结果偏低，效果不理想。故试验选择用</w:t>
      </w:r>
      <w:bookmarkStart w:id="8" w:name="OLE_LINK13"/>
      <w:bookmarkStart w:id="9" w:name="OLE_LINK2"/>
      <w:r>
        <w:rPr>
          <w:rFonts w:ascii="Times New Roman" w:hAnsi="Times New Roman"/>
          <w:kern w:val="0"/>
        </w:rPr>
        <w:t>盐</w:t>
      </w:r>
      <w:bookmarkEnd w:id="8"/>
      <w:bookmarkEnd w:id="9"/>
      <w:r>
        <w:rPr>
          <w:rFonts w:ascii="Times New Roman" w:hAnsi="Times New Roman"/>
          <w:kern w:val="0"/>
        </w:rPr>
        <w:t>酸—硝酸—高氯酸分解试样，在高氯酸分解试样后用盐酸—氢溴酸除去砷、锑、锡及硒。用硝酸浸润盐类，结果稳定。</w:t>
      </w:r>
    </w:p>
    <w:p>
      <w:pPr>
        <w:rPr>
          <w:rFonts w:ascii="Times New Roman" w:hAnsi="Times New Roman"/>
          <w:kern w:val="0"/>
        </w:rPr>
      </w:pPr>
      <w:r>
        <w:rPr>
          <w:rFonts w:ascii="Times New Roman" w:hAnsi="Times New Roman"/>
          <w:kern w:val="0"/>
        </w:rPr>
        <w:t>2.2  测定方法特点</w:t>
      </w:r>
    </w:p>
    <w:p>
      <w:pPr>
        <w:ind w:firstLine="315" w:firstLineChars="150"/>
        <w:rPr>
          <w:rFonts w:ascii="Times New Roman" w:hAnsi="Times New Roman"/>
          <w:kern w:val="0"/>
        </w:rPr>
      </w:pPr>
      <w:r>
        <w:rPr>
          <w:rFonts w:ascii="Times New Roman" w:hAnsi="Times New Roman"/>
          <w:kern w:val="0"/>
        </w:rPr>
        <w:t>试验方法对铜冶炼烟尘试样进行多次试验，引入氟化铵</w:t>
      </w:r>
      <w:bookmarkStart w:id="10" w:name="OLE_LINK35"/>
      <w:bookmarkStart w:id="11" w:name="OLE_LINK36"/>
      <w:r>
        <w:rPr>
          <w:rFonts w:ascii="Times New Roman" w:hAnsi="Times New Roman"/>
          <w:kern w:val="0"/>
        </w:rPr>
        <w:t>与抗坏血酸及硫脲</w:t>
      </w:r>
      <w:bookmarkEnd w:id="10"/>
      <w:bookmarkEnd w:id="11"/>
      <w:r>
        <w:rPr>
          <w:rFonts w:ascii="Times New Roman" w:hAnsi="Times New Roman"/>
          <w:kern w:val="0"/>
        </w:rPr>
        <w:t>消除铜及铁干扰，可以改善试验测定条件，消除70 mg铜及33 mg铁对铋量测定的影响，滴定终点敏锐，稳定，结果精密度高，准确。按</w:t>
      </w:r>
      <w:r>
        <w:rPr>
          <w:rFonts w:hint="eastAsia" w:ascii="Times New Roman" w:hAnsi="Times New Roman"/>
          <w:color w:val="000000" w:themeColor="text1"/>
          <w:kern w:val="0"/>
        </w:rPr>
        <w:t>试</w:t>
      </w:r>
      <w:r>
        <w:rPr>
          <w:rFonts w:ascii="Times New Roman" w:hAnsi="Times New Roman"/>
          <w:color w:val="000000" w:themeColor="text1"/>
          <w:kern w:val="0"/>
        </w:rPr>
        <w:t>验</w:t>
      </w:r>
      <w:r>
        <w:rPr>
          <w:rFonts w:hint="eastAsia" w:ascii="Times New Roman" w:hAnsi="Times New Roman"/>
          <w:color w:val="000000" w:themeColor="text1"/>
          <w:kern w:val="0"/>
        </w:rPr>
        <w:t>步骤</w:t>
      </w:r>
      <w:r>
        <w:rPr>
          <w:rFonts w:ascii="Times New Roman" w:hAnsi="Times New Roman"/>
          <w:color w:val="000000" w:themeColor="text1"/>
          <w:kern w:val="0"/>
        </w:rPr>
        <w:t>（1.</w:t>
      </w:r>
      <w:r>
        <w:rPr>
          <w:rFonts w:hint="eastAsia" w:ascii="Times New Roman" w:hAnsi="Times New Roman"/>
          <w:color w:val="000000" w:themeColor="text1"/>
          <w:kern w:val="0"/>
        </w:rPr>
        <w:t>4</w:t>
      </w:r>
      <w:r>
        <w:rPr>
          <w:rFonts w:ascii="Times New Roman" w:hAnsi="Times New Roman"/>
          <w:color w:val="000000" w:themeColor="text1"/>
          <w:kern w:val="0"/>
        </w:rPr>
        <w:t>）在试样中加入铋标准回收率99.95% ~100.20 %。将铜冶炼烟尘试样中各元素含量上限加入试样中加铋标准回收，按</w:t>
      </w:r>
      <w:r>
        <w:rPr>
          <w:rFonts w:hint="eastAsia" w:ascii="Times New Roman" w:hAnsi="Times New Roman"/>
          <w:color w:val="000000" w:themeColor="text1"/>
          <w:kern w:val="0"/>
        </w:rPr>
        <w:t>试</w:t>
      </w:r>
      <w:r>
        <w:rPr>
          <w:rFonts w:ascii="Times New Roman" w:hAnsi="Times New Roman"/>
          <w:color w:val="000000" w:themeColor="text1"/>
          <w:kern w:val="0"/>
        </w:rPr>
        <w:t>验</w:t>
      </w:r>
      <w:r>
        <w:rPr>
          <w:rFonts w:hint="eastAsia" w:ascii="Times New Roman" w:hAnsi="Times New Roman"/>
          <w:color w:val="000000" w:themeColor="text1"/>
          <w:kern w:val="0"/>
        </w:rPr>
        <w:t>步骤</w:t>
      </w:r>
      <w:r>
        <w:rPr>
          <w:rFonts w:ascii="Times New Roman" w:hAnsi="Times New Roman"/>
          <w:color w:val="000000" w:themeColor="text1"/>
          <w:kern w:val="0"/>
        </w:rPr>
        <w:t>（1.</w:t>
      </w:r>
      <w:r>
        <w:rPr>
          <w:rFonts w:hint="eastAsia" w:ascii="Times New Roman" w:hAnsi="Times New Roman"/>
          <w:color w:val="000000" w:themeColor="text1"/>
          <w:kern w:val="0"/>
        </w:rPr>
        <w:t>4</w:t>
      </w:r>
      <w:r>
        <w:rPr>
          <w:rFonts w:ascii="Times New Roman" w:hAnsi="Times New Roman"/>
          <w:color w:val="000000" w:themeColor="text1"/>
          <w:kern w:val="0"/>
        </w:rPr>
        <w:t>）</w:t>
      </w:r>
      <w:r>
        <w:rPr>
          <w:rFonts w:ascii="Times New Roman" w:hAnsi="Times New Roman"/>
          <w:kern w:val="0"/>
        </w:rPr>
        <w:t>操作，回收率为99.59% ~ 99.85 %。</w:t>
      </w:r>
    </w:p>
    <w:p>
      <w:pPr>
        <w:rPr>
          <w:rFonts w:ascii="Times New Roman" w:hAnsi="Times New Roman"/>
          <w:b/>
        </w:rPr>
      </w:pPr>
      <w:r>
        <w:rPr>
          <w:rFonts w:ascii="Times New Roman" w:hAnsi="Times New Roman"/>
        </w:rPr>
        <w:t>2.3</w:t>
      </w:r>
      <w:r>
        <w:rPr>
          <w:rFonts w:ascii="Times New Roman" w:hAnsi="Times New Roman"/>
          <w:b/>
        </w:rPr>
        <w:t xml:space="preserve">  </w:t>
      </w:r>
      <w:r>
        <w:rPr>
          <w:rFonts w:hint="eastAsia" w:ascii="黑体" w:hAnsi="黑体" w:eastAsia="黑体"/>
        </w:rPr>
        <w:t>试</w:t>
      </w:r>
      <w:r>
        <w:rPr>
          <w:rFonts w:ascii="黑体" w:hAnsi="黑体" w:eastAsia="黑体"/>
          <w:szCs w:val="21"/>
        </w:rPr>
        <w:t>验条件</w:t>
      </w:r>
    </w:p>
    <w:p>
      <w:pPr>
        <w:rPr>
          <w:rFonts w:ascii="Times New Roman" w:hAnsi="Times New Roman"/>
        </w:rPr>
      </w:pPr>
      <w:r>
        <w:rPr>
          <w:rFonts w:ascii="Times New Roman" w:hAnsi="Times New Roman"/>
        </w:rPr>
        <w:t xml:space="preserve">2.3.1 </w:t>
      </w:r>
      <w:r>
        <w:rPr>
          <w:rFonts w:ascii="黑体" w:hAnsi="黑体" w:eastAsia="黑体"/>
        </w:rPr>
        <w:t xml:space="preserve"> 试样经高氯酸冒</w:t>
      </w:r>
      <w:r>
        <w:rPr>
          <w:rFonts w:ascii="黑体" w:hAnsi="黑体" w:eastAsia="黑体"/>
          <w:szCs w:val="21"/>
        </w:rPr>
        <w:t>烟后，</w:t>
      </w:r>
      <w:r>
        <w:rPr>
          <w:rFonts w:ascii="黑体" w:hAnsi="黑体" w:eastAsia="黑体"/>
        </w:rPr>
        <w:t>盐酸、硝酸用量对铋浸出率的影响</w:t>
      </w:r>
      <w:bookmarkStart w:id="12" w:name="OLE_LINK12"/>
      <w:bookmarkStart w:id="13" w:name="OLE_LINK14"/>
    </w:p>
    <w:p>
      <w:pPr>
        <w:ind w:firstLine="210" w:firstLineChars="100"/>
        <w:rPr>
          <w:rFonts w:ascii="Times New Roman" w:hAnsi="Times New Roman"/>
        </w:rPr>
      </w:pPr>
      <w:r>
        <w:rPr>
          <w:rFonts w:ascii="Times New Roman" w:hAnsi="Times New Roman"/>
        </w:rPr>
        <w:t xml:space="preserve"> 试样经高氯酸冒</w:t>
      </w:r>
      <w:bookmarkStart w:id="14" w:name="OLE_LINK34"/>
      <w:bookmarkStart w:id="15" w:name="OLE_LINK33"/>
      <w:r>
        <w:rPr>
          <w:rFonts w:ascii="Times New Roman" w:hAnsi="Times New Roman"/>
          <w:szCs w:val="21"/>
        </w:rPr>
        <w:t>烟</w:t>
      </w:r>
      <w:bookmarkEnd w:id="14"/>
      <w:bookmarkEnd w:id="15"/>
      <w:r>
        <w:rPr>
          <w:rFonts w:ascii="Times New Roman" w:hAnsi="Times New Roman"/>
          <w:szCs w:val="21"/>
        </w:rPr>
        <w:t>近干后，使用</w:t>
      </w:r>
      <w:bookmarkStart w:id="16" w:name="OLE_LINK31"/>
      <w:bookmarkStart w:id="17" w:name="OLE_LINK32"/>
      <w:r>
        <w:rPr>
          <w:rFonts w:ascii="Times New Roman" w:hAnsi="Times New Roman"/>
        </w:rPr>
        <w:t>盐酸、硝酸</w:t>
      </w:r>
      <w:bookmarkEnd w:id="12"/>
      <w:bookmarkEnd w:id="13"/>
      <w:bookmarkEnd w:id="16"/>
      <w:bookmarkEnd w:id="17"/>
      <w:r>
        <w:rPr>
          <w:rFonts w:ascii="Times New Roman" w:hAnsi="Times New Roman"/>
        </w:rPr>
        <w:t>量对铋的浸出率及测定结果影响较大。加入少量盐酸可以使沉淀溶解快速，但容易使测定结果偏低，盐酸用量超过1 mL，滴定终点不敏锐。</w:t>
      </w:r>
      <w:r>
        <w:rPr>
          <w:rFonts w:ascii="Times New Roman" w:hAnsi="Times New Roman"/>
          <w:szCs w:val="21"/>
        </w:rPr>
        <w:t>铜冶炼烟尘</w:t>
      </w:r>
      <w:r>
        <w:rPr>
          <w:rFonts w:ascii="Times New Roman" w:hAnsi="Times New Roman"/>
        </w:rPr>
        <w:t xml:space="preserve">试样在浸出时，将硝酸和酒石酸配制成混和液难于将铋迅速浸出，先用硝酸浸润盐类再加入酒石酸溶液，浸出较理想。经试验加入硝酸1.5 mL </w:t>
      </w:r>
      <w:r>
        <w:rPr>
          <w:rFonts w:ascii="Times New Roman" w:hAnsi="Times New Roman"/>
          <w:kern w:val="0"/>
          <w:szCs w:val="21"/>
        </w:rPr>
        <w:t>~ 2</w:t>
      </w:r>
      <w:r>
        <w:rPr>
          <w:rFonts w:ascii="Times New Roman" w:hAnsi="Times New Roman"/>
        </w:rPr>
        <w:t xml:space="preserve"> mL可以使浸取完全，测定结果稳定。试验选择加入1.5 mL硝酸（</w:t>
      </w:r>
      <w:r>
        <w:rPr>
          <w:rFonts w:ascii="Times New Roman" w:hAnsi="Times New Roman"/>
          <w:bCs/>
          <w:szCs w:val="21"/>
        </w:rPr>
        <w:t>1.2</w:t>
      </w:r>
      <w:r>
        <w:rPr>
          <w:rFonts w:ascii="Times New Roman" w:hAnsi="Times New Roman"/>
          <w:szCs w:val="21"/>
        </w:rPr>
        <w:t>.3）</w:t>
      </w:r>
      <w:r>
        <w:rPr>
          <w:rFonts w:ascii="Times New Roman" w:hAnsi="Times New Roman"/>
        </w:rPr>
        <w:t>浸取</w:t>
      </w:r>
      <w:r>
        <w:rPr>
          <w:rFonts w:ascii="Times New Roman" w:hAnsi="Times New Roman"/>
          <w:szCs w:val="21"/>
        </w:rPr>
        <w:t>，</w:t>
      </w:r>
      <w:r>
        <w:rPr>
          <w:rFonts w:ascii="Times New Roman" w:hAnsi="Times New Roman"/>
        </w:rPr>
        <w:t>滴定终点敏锐，结果精密度好，准确度高。</w:t>
      </w:r>
      <w:r>
        <w:rPr>
          <w:rFonts w:ascii="Times New Roman" w:hAnsi="Times New Roman"/>
          <w:bCs/>
          <w:szCs w:val="21"/>
        </w:rPr>
        <w:t>试验结果见表2。</w:t>
      </w:r>
    </w:p>
    <w:p>
      <w:pPr>
        <w:ind w:firstLine="205" w:firstLineChars="98"/>
        <w:rPr>
          <w:rFonts w:ascii="Times New Roman" w:hAnsi="Times New Roman"/>
        </w:rPr>
      </w:pPr>
    </w:p>
    <w:p>
      <w:pPr>
        <w:ind w:firstLine="2310" w:firstLineChars="1100"/>
        <w:rPr>
          <w:rFonts w:ascii="Times New Roman" w:hAnsi="Times New Roman"/>
          <w:bCs/>
          <w:szCs w:val="21"/>
        </w:rPr>
      </w:pPr>
      <w:r>
        <w:rPr>
          <w:rFonts w:ascii="Times New Roman" w:hAnsi="Times New Roman"/>
          <w:szCs w:val="21"/>
        </w:rPr>
        <w:t>表2</w:t>
      </w:r>
      <w:r>
        <w:rPr>
          <w:rFonts w:ascii="Times New Roman" w:hAnsi="Times New Roman"/>
          <w:bCs/>
          <w:szCs w:val="21"/>
        </w:rPr>
        <w:t>硝酸、</w:t>
      </w:r>
      <w:r>
        <w:rPr>
          <w:rFonts w:ascii="Times New Roman" w:hAnsi="Times New Roman"/>
        </w:rPr>
        <w:t>盐酸</w:t>
      </w:r>
      <w:r>
        <w:rPr>
          <w:rFonts w:ascii="Times New Roman" w:hAnsi="Times New Roman"/>
          <w:bCs/>
          <w:szCs w:val="21"/>
        </w:rPr>
        <w:t>浸取</w:t>
      </w:r>
      <w:r>
        <w:rPr>
          <w:rFonts w:hint="eastAsia" w:ascii="Times New Roman" w:hAnsi="Times New Roman"/>
          <w:bCs/>
          <w:szCs w:val="21"/>
        </w:rPr>
        <w:t>试</w:t>
      </w:r>
      <w:r>
        <w:rPr>
          <w:rFonts w:ascii="Times New Roman" w:hAnsi="Times New Roman"/>
          <w:szCs w:val="21"/>
        </w:rPr>
        <w:t>验现象</w:t>
      </w:r>
    </w:p>
    <w:p>
      <w:pPr>
        <w:ind w:firstLine="205" w:firstLineChars="98"/>
        <w:rPr>
          <w:rFonts w:ascii="Times New Roman" w:hAnsi="Times New Roman"/>
        </w:rPr>
      </w:pPr>
    </w:p>
    <w:tbl>
      <w:tblPr>
        <w:tblStyle w:val="32"/>
        <w:tblW w:w="8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805"/>
        <w:gridCol w:w="1418"/>
        <w:gridCol w:w="2268"/>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jc w:val="center"/>
              <w:rPr>
                <w:rFonts w:ascii="Times New Roman" w:hAnsi="Times New Roman"/>
                <w:sz w:val="18"/>
                <w:szCs w:val="18"/>
              </w:rPr>
            </w:pPr>
            <w:r>
              <w:rPr>
                <w:rFonts w:ascii="Times New Roman" w:hAnsi="Times New Roman"/>
                <w:sz w:val="18"/>
                <w:szCs w:val="18"/>
              </w:rPr>
              <w:t>样品名称</w:t>
            </w:r>
          </w:p>
        </w:tc>
        <w:tc>
          <w:tcPr>
            <w:tcW w:w="1805" w:type="dxa"/>
            <w:vAlign w:val="center"/>
          </w:tcPr>
          <w:p>
            <w:pPr>
              <w:spacing w:line="340" w:lineRule="exact"/>
              <w:jc w:val="center"/>
              <w:rPr>
                <w:rFonts w:ascii="Times New Roman" w:hAnsi="Times New Roman"/>
                <w:sz w:val="18"/>
                <w:szCs w:val="18"/>
              </w:rPr>
            </w:pPr>
            <w:r>
              <w:rPr>
                <w:rFonts w:ascii="Times New Roman" w:hAnsi="Times New Roman"/>
                <w:sz w:val="18"/>
                <w:szCs w:val="18"/>
              </w:rPr>
              <w:t>硝酸mL</w:t>
            </w:r>
          </w:p>
        </w:tc>
        <w:tc>
          <w:tcPr>
            <w:tcW w:w="1418" w:type="dxa"/>
            <w:vAlign w:val="center"/>
          </w:tcPr>
          <w:p>
            <w:pPr>
              <w:spacing w:line="340" w:lineRule="exact"/>
              <w:jc w:val="center"/>
              <w:rPr>
                <w:rFonts w:ascii="Times New Roman" w:hAnsi="Times New Roman"/>
                <w:sz w:val="18"/>
                <w:szCs w:val="18"/>
              </w:rPr>
            </w:pPr>
            <w:r>
              <w:rPr>
                <w:rFonts w:ascii="Times New Roman" w:hAnsi="Times New Roman"/>
                <w:sz w:val="18"/>
                <w:szCs w:val="18"/>
              </w:rPr>
              <w:t>盐酸mL</w:t>
            </w:r>
          </w:p>
        </w:tc>
        <w:tc>
          <w:tcPr>
            <w:tcW w:w="2268" w:type="dxa"/>
            <w:vAlign w:val="center"/>
          </w:tcPr>
          <w:p>
            <w:pPr>
              <w:spacing w:line="340" w:lineRule="exact"/>
              <w:jc w:val="center"/>
              <w:rPr>
                <w:rFonts w:ascii="Times New Roman" w:hAnsi="Times New Roman"/>
                <w:sz w:val="18"/>
                <w:szCs w:val="18"/>
              </w:rPr>
            </w:pPr>
            <w:r>
              <w:rPr>
                <w:rFonts w:ascii="Times New Roman" w:hAnsi="Times New Roman"/>
                <w:sz w:val="18"/>
                <w:szCs w:val="18"/>
              </w:rPr>
              <w:t>试验现象</w:t>
            </w:r>
          </w:p>
        </w:tc>
        <w:tc>
          <w:tcPr>
            <w:tcW w:w="954" w:type="dxa"/>
            <w:vAlign w:val="center"/>
          </w:tcPr>
          <w:p>
            <w:pPr>
              <w:spacing w:line="340" w:lineRule="exact"/>
              <w:jc w:val="center"/>
              <w:rPr>
                <w:rFonts w:ascii="Times New Roman" w:hAnsi="Times New Roman"/>
                <w:sz w:val="18"/>
                <w:szCs w:val="18"/>
              </w:rPr>
            </w:pPr>
            <w:r>
              <w:rPr>
                <w:rFonts w:ascii="Times New Roman" w:hAnsi="Times New Roman"/>
                <w:color w:val="000000"/>
                <w:kern w:val="0"/>
                <w:sz w:val="18"/>
                <w:szCs w:val="18"/>
              </w:rPr>
              <w:t>测得铋量%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jc w:val="center"/>
              <w:rPr>
                <w:rFonts w:ascii="Times New Roman" w:hAnsi="Times New Roman"/>
                <w:sz w:val="18"/>
                <w:szCs w:val="18"/>
              </w:rPr>
            </w:pPr>
            <w:r>
              <w:rPr>
                <w:rFonts w:ascii="Times New Roman" w:hAnsi="Times New Roman"/>
                <w:bCs/>
                <w:sz w:val="18"/>
                <w:szCs w:val="18"/>
              </w:rPr>
              <w:t>2</w:t>
            </w:r>
            <w:r>
              <w:rPr>
                <w:rFonts w:ascii="Times New Roman" w:hAnsi="Times New Roman"/>
                <w:bCs/>
                <w:sz w:val="18"/>
                <w:szCs w:val="18"/>
                <w:vertAlign w:val="superscript"/>
              </w:rPr>
              <w:t>#</w:t>
            </w:r>
            <w:r>
              <w:rPr>
                <w:rFonts w:ascii="Times New Roman" w:hAnsi="Times New Roman"/>
                <w:kern w:val="0"/>
                <w:sz w:val="18"/>
                <w:szCs w:val="18"/>
              </w:rPr>
              <w:t>Bi</w:t>
            </w:r>
          </w:p>
        </w:tc>
        <w:tc>
          <w:tcPr>
            <w:tcW w:w="180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1</w:t>
            </w:r>
          </w:p>
        </w:tc>
        <w:tc>
          <w:tcPr>
            <w:tcW w:w="1418"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1</w:t>
            </w:r>
          </w:p>
        </w:tc>
        <w:tc>
          <w:tcPr>
            <w:tcW w:w="2268"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终点不敏锐，结果偏低</w:t>
            </w:r>
          </w:p>
        </w:tc>
        <w:tc>
          <w:tcPr>
            <w:tcW w:w="954" w:type="dxa"/>
          </w:tcPr>
          <w:p>
            <w:pPr>
              <w:spacing w:line="340" w:lineRule="exact"/>
              <w:jc w:val="center"/>
              <w:rPr>
                <w:rFonts w:ascii="Times New Roman" w:hAnsi="Times New Roman"/>
                <w:kern w:val="0"/>
                <w:sz w:val="18"/>
                <w:szCs w:val="18"/>
              </w:rPr>
            </w:pPr>
            <w:r>
              <w:rPr>
                <w:rFonts w:ascii="Times New Roman" w:hAnsi="Times New Roman"/>
                <w:kern w:val="0"/>
                <w:sz w:val="18"/>
                <w:szCs w:val="18"/>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jc w:val="center"/>
              <w:rPr>
                <w:rFonts w:ascii="Times New Roman" w:hAnsi="Times New Roman"/>
                <w:sz w:val="18"/>
                <w:szCs w:val="18"/>
              </w:rPr>
            </w:pPr>
            <w:r>
              <w:rPr>
                <w:rFonts w:ascii="Times New Roman" w:hAnsi="Times New Roman"/>
                <w:bCs/>
                <w:sz w:val="18"/>
                <w:szCs w:val="18"/>
              </w:rPr>
              <w:t>2</w:t>
            </w:r>
            <w:r>
              <w:rPr>
                <w:rFonts w:ascii="Times New Roman" w:hAnsi="Times New Roman"/>
                <w:bCs/>
                <w:sz w:val="18"/>
                <w:szCs w:val="18"/>
                <w:vertAlign w:val="superscript"/>
              </w:rPr>
              <w:t>#</w:t>
            </w:r>
            <w:r>
              <w:rPr>
                <w:rFonts w:ascii="Times New Roman" w:hAnsi="Times New Roman"/>
                <w:kern w:val="0"/>
                <w:sz w:val="18"/>
                <w:szCs w:val="18"/>
              </w:rPr>
              <w:t>Bi</w:t>
            </w:r>
          </w:p>
        </w:tc>
        <w:tc>
          <w:tcPr>
            <w:tcW w:w="180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0.5</w:t>
            </w:r>
          </w:p>
        </w:tc>
        <w:tc>
          <w:tcPr>
            <w:tcW w:w="1418"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1.5</w:t>
            </w:r>
          </w:p>
        </w:tc>
        <w:tc>
          <w:tcPr>
            <w:tcW w:w="2268"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终点不敏锐，结果偏低</w:t>
            </w:r>
          </w:p>
        </w:tc>
        <w:tc>
          <w:tcPr>
            <w:tcW w:w="954" w:type="dxa"/>
          </w:tcPr>
          <w:p>
            <w:pPr>
              <w:spacing w:line="340" w:lineRule="exact"/>
              <w:jc w:val="center"/>
              <w:rPr>
                <w:rFonts w:ascii="Times New Roman" w:hAnsi="Times New Roman"/>
                <w:kern w:val="0"/>
                <w:sz w:val="18"/>
                <w:szCs w:val="18"/>
              </w:rPr>
            </w:pPr>
            <w:r>
              <w:rPr>
                <w:rFonts w:ascii="Times New Roman" w:hAnsi="Times New Roman"/>
                <w:kern w:val="0"/>
                <w:sz w:val="18"/>
                <w:szCs w:val="18"/>
              </w:rPr>
              <w:t>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jc w:val="center"/>
              <w:rPr>
                <w:rFonts w:ascii="Times New Roman" w:hAnsi="Times New Roman"/>
                <w:sz w:val="18"/>
                <w:szCs w:val="18"/>
              </w:rPr>
            </w:pPr>
            <w:r>
              <w:rPr>
                <w:rFonts w:ascii="Times New Roman" w:hAnsi="Times New Roman"/>
                <w:bCs/>
                <w:sz w:val="18"/>
                <w:szCs w:val="18"/>
              </w:rPr>
              <w:t>2</w:t>
            </w:r>
            <w:r>
              <w:rPr>
                <w:rFonts w:ascii="Times New Roman" w:hAnsi="Times New Roman"/>
                <w:bCs/>
                <w:sz w:val="18"/>
                <w:szCs w:val="18"/>
                <w:vertAlign w:val="superscript"/>
              </w:rPr>
              <w:t>#</w:t>
            </w:r>
            <w:r>
              <w:rPr>
                <w:rFonts w:ascii="Times New Roman" w:hAnsi="Times New Roman"/>
                <w:kern w:val="0"/>
                <w:sz w:val="18"/>
                <w:szCs w:val="18"/>
              </w:rPr>
              <w:t>Bi</w:t>
            </w:r>
          </w:p>
        </w:tc>
        <w:tc>
          <w:tcPr>
            <w:tcW w:w="180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1.5</w:t>
            </w:r>
          </w:p>
        </w:tc>
        <w:tc>
          <w:tcPr>
            <w:tcW w:w="1418"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0</w:t>
            </w:r>
          </w:p>
        </w:tc>
        <w:tc>
          <w:tcPr>
            <w:tcW w:w="2268" w:type="dxa"/>
            <w:vAlign w:val="center"/>
          </w:tcPr>
          <w:p>
            <w:pPr>
              <w:spacing w:line="340" w:lineRule="exact"/>
              <w:rPr>
                <w:rFonts w:ascii="Times New Roman" w:hAnsi="Times New Roman"/>
                <w:kern w:val="0"/>
                <w:sz w:val="18"/>
                <w:szCs w:val="18"/>
              </w:rPr>
            </w:pPr>
            <w:r>
              <w:rPr>
                <w:rFonts w:ascii="Times New Roman" w:hAnsi="Times New Roman"/>
                <w:kern w:val="0"/>
                <w:sz w:val="18"/>
                <w:szCs w:val="18"/>
              </w:rPr>
              <w:t>终点敏锐，稳定</w:t>
            </w:r>
          </w:p>
        </w:tc>
        <w:tc>
          <w:tcPr>
            <w:tcW w:w="954" w:type="dxa"/>
          </w:tcPr>
          <w:p>
            <w:pPr>
              <w:spacing w:line="340" w:lineRule="exact"/>
              <w:jc w:val="center"/>
              <w:rPr>
                <w:rFonts w:ascii="Times New Roman" w:hAnsi="Times New Roman"/>
                <w:kern w:val="0"/>
                <w:sz w:val="18"/>
                <w:szCs w:val="18"/>
              </w:rPr>
            </w:pPr>
            <w:r>
              <w:rPr>
                <w:rFonts w:ascii="Times New Roman" w:hAnsi="Times New Roman"/>
                <w:kern w:val="0"/>
                <w:sz w:val="18"/>
                <w:szCs w:val="18"/>
              </w:rPr>
              <w:t>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ind w:firstLine="360" w:firstLineChars="200"/>
              <w:rPr>
                <w:rFonts w:ascii="Times New Roman" w:hAnsi="Times New Roman"/>
                <w:sz w:val="18"/>
                <w:szCs w:val="18"/>
              </w:rPr>
            </w:pPr>
            <w:r>
              <w:rPr>
                <w:rFonts w:ascii="Times New Roman" w:hAnsi="Times New Roman"/>
                <w:bCs/>
                <w:sz w:val="18"/>
                <w:szCs w:val="18"/>
              </w:rPr>
              <w:t>2</w:t>
            </w:r>
            <w:r>
              <w:rPr>
                <w:rFonts w:ascii="Times New Roman" w:hAnsi="Times New Roman"/>
                <w:bCs/>
                <w:sz w:val="18"/>
                <w:szCs w:val="18"/>
                <w:vertAlign w:val="superscript"/>
              </w:rPr>
              <w:t>#</w:t>
            </w:r>
            <w:r>
              <w:rPr>
                <w:rFonts w:ascii="Times New Roman" w:hAnsi="Times New Roman"/>
                <w:kern w:val="0"/>
                <w:sz w:val="18"/>
                <w:szCs w:val="18"/>
              </w:rPr>
              <w:t>Bi</w:t>
            </w:r>
          </w:p>
        </w:tc>
        <w:tc>
          <w:tcPr>
            <w:tcW w:w="180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0.5</w:t>
            </w:r>
          </w:p>
        </w:tc>
        <w:tc>
          <w:tcPr>
            <w:tcW w:w="1418"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0</w:t>
            </w:r>
          </w:p>
        </w:tc>
        <w:tc>
          <w:tcPr>
            <w:tcW w:w="2268" w:type="dxa"/>
            <w:vAlign w:val="center"/>
          </w:tcPr>
          <w:p>
            <w:pPr>
              <w:spacing w:line="340" w:lineRule="exact"/>
              <w:jc w:val="center"/>
              <w:rPr>
                <w:rFonts w:ascii="Times New Roman" w:hAnsi="Times New Roman"/>
                <w:kern w:val="0"/>
                <w:sz w:val="18"/>
                <w:szCs w:val="18"/>
              </w:rPr>
            </w:pPr>
            <w:r>
              <w:rPr>
                <w:rFonts w:ascii="Times New Roman" w:hAnsi="Times New Roman"/>
                <w:sz w:val="18"/>
                <w:szCs w:val="18"/>
              </w:rPr>
              <w:t>浸出时沉淀粘烧杯，结果偏低。</w:t>
            </w:r>
          </w:p>
        </w:tc>
        <w:tc>
          <w:tcPr>
            <w:tcW w:w="954" w:type="dxa"/>
          </w:tcPr>
          <w:p>
            <w:pPr>
              <w:spacing w:line="340" w:lineRule="exact"/>
              <w:jc w:val="center"/>
              <w:rPr>
                <w:rFonts w:ascii="Times New Roman" w:hAnsi="Times New Roman"/>
                <w:kern w:val="0"/>
                <w:sz w:val="18"/>
                <w:szCs w:val="18"/>
              </w:rPr>
            </w:pPr>
            <w:r>
              <w:rPr>
                <w:rFonts w:ascii="Times New Roman" w:hAnsi="Times New Roman"/>
                <w:kern w:val="0"/>
                <w:sz w:val="18"/>
                <w:szCs w:val="18"/>
              </w:rPr>
              <w:t>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ind w:firstLine="360" w:firstLineChars="200"/>
              <w:rPr>
                <w:rFonts w:ascii="Times New Roman" w:hAnsi="Times New Roman"/>
                <w:sz w:val="18"/>
                <w:szCs w:val="18"/>
              </w:rPr>
            </w:pPr>
            <w:r>
              <w:rPr>
                <w:rFonts w:ascii="Times New Roman" w:hAnsi="Times New Roman"/>
                <w:bCs/>
                <w:sz w:val="18"/>
                <w:szCs w:val="18"/>
              </w:rPr>
              <w:t>2</w:t>
            </w:r>
            <w:r>
              <w:rPr>
                <w:rFonts w:ascii="Times New Roman" w:hAnsi="Times New Roman"/>
                <w:bCs/>
                <w:sz w:val="18"/>
                <w:szCs w:val="18"/>
                <w:vertAlign w:val="superscript"/>
              </w:rPr>
              <w:t>#</w:t>
            </w:r>
            <w:r>
              <w:rPr>
                <w:rFonts w:ascii="Times New Roman" w:hAnsi="Times New Roman"/>
                <w:kern w:val="0"/>
                <w:sz w:val="18"/>
                <w:szCs w:val="18"/>
              </w:rPr>
              <w:t>Bi</w:t>
            </w:r>
          </w:p>
        </w:tc>
        <w:tc>
          <w:tcPr>
            <w:tcW w:w="180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1.0</w:t>
            </w:r>
          </w:p>
        </w:tc>
        <w:tc>
          <w:tcPr>
            <w:tcW w:w="1418"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0</w:t>
            </w:r>
          </w:p>
        </w:tc>
        <w:tc>
          <w:tcPr>
            <w:tcW w:w="2268" w:type="dxa"/>
            <w:vAlign w:val="center"/>
          </w:tcPr>
          <w:p>
            <w:pPr>
              <w:spacing w:line="340" w:lineRule="exact"/>
              <w:jc w:val="center"/>
              <w:rPr>
                <w:rFonts w:ascii="Times New Roman" w:hAnsi="Times New Roman"/>
                <w:kern w:val="0"/>
                <w:sz w:val="18"/>
                <w:szCs w:val="18"/>
              </w:rPr>
            </w:pPr>
            <w:r>
              <w:rPr>
                <w:rFonts w:ascii="Times New Roman" w:hAnsi="Times New Roman"/>
                <w:sz w:val="18"/>
                <w:szCs w:val="18"/>
              </w:rPr>
              <w:t>浸出时少量沉淀粘烧杯，结果偏低。</w:t>
            </w:r>
          </w:p>
        </w:tc>
        <w:tc>
          <w:tcPr>
            <w:tcW w:w="954" w:type="dxa"/>
          </w:tcPr>
          <w:p>
            <w:pPr>
              <w:spacing w:line="340" w:lineRule="exact"/>
              <w:jc w:val="center"/>
              <w:rPr>
                <w:rFonts w:ascii="Times New Roman" w:hAnsi="Times New Roman"/>
                <w:kern w:val="0"/>
                <w:sz w:val="18"/>
                <w:szCs w:val="18"/>
              </w:rPr>
            </w:pPr>
            <w:r>
              <w:rPr>
                <w:rFonts w:ascii="Times New Roman" w:hAnsi="Times New Roman"/>
                <w:kern w:val="0"/>
                <w:sz w:val="18"/>
                <w:szCs w:val="18"/>
              </w:rPr>
              <w:t>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ind w:firstLine="360" w:firstLineChars="200"/>
              <w:rPr>
                <w:rFonts w:ascii="Times New Roman" w:hAnsi="Times New Roman"/>
                <w:sz w:val="18"/>
                <w:szCs w:val="18"/>
              </w:rPr>
            </w:pPr>
            <w:r>
              <w:rPr>
                <w:rFonts w:ascii="Times New Roman" w:hAnsi="Times New Roman"/>
                <w:bCs/>
                <w:sz w:val="18"/>
                <w:szCs w:val="18"/>
              </w:rPr>
              <w:t>2</w:t>
            </w:r>
            <w:r>
              <w:rPr>
                <w:rFonts w:ascii="Times New Roman" w:hAnsi="Times New Roman"/>
                <w:bCs/>
                <w:sz w:val="18"/>
                <w:szCs w:val="18"/>
                <w:vertAlign w:val="superscript"/>
              </w:rPr>
              <w:t>#</w:t>
            </w:r>
            <w:r>
              <w:rPr>
                <w:rFonts w:ascii="Times New Roman" w:hAnsi="Times New Roman"/>
                <w:kern w:val="0"/>
                <w:sz w:val="18"/>
                <w:szCs w:val="18"/>
              </w:rPr>
              <w:t>Bi</w:t>
            </w:r>
          </w:p>
        </w:tc>
        <w:tc>
          <w:tcPr>
            <w:tcW w:w="180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1.5</w:t>
            </w:r>
          </w:p>
        </w:tc>
        <w:tc>
          <w:tcPr>
            <w:tcW w:w="1418"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0</w:t>
            </w:r>
          </w:p>
        </w:tc>
        <w:tc>
          <w:tcPr>
            <w:tcW w:w="2268" w:type="dxa"/>
            <w:vAlign w:val="center"/>
          </w:tcPr>
          <w:p>
            <w:pPr>
              <w:spacing w:line="340" w:lineRule="exact"/>
              <w:jc w:val="center"/>
              <w:rPr>
                <w:rFonts w:ascii="Times New Roman" w:hAnsi="Times New Roman"/>
                <w:kern w:val="0"/>
                <w:sz w:val="18"/>
                <w:szCs w:val="18"/>
              </w:rPr>
            </w:pPr>
            <w:r>
              <w:rPr>
                <w:rFonts w:ascii="Times New Roman" w:hAnsi="Times New Roman"/>
                <w:sz w:val="18"/>
                <w:szCs w:val="18"/>
              </w:rPr>
              <w:t>浸取完全，测定结果稳定</w:t>
            </w:r>
          </w:p>
        </w:tc>
        <w:tc>
          <w:tcPr>
            <w:tcW w:w="954" w:type="dxa"/>
          </w:tcPr>
          <w:p>
            <w:pPr>
              <w:spacing w:line="340" w:lineRule="exact"/>
              <w:jc w:val="center"/>
              <w:rPr>
                <w:rFonts w:ascii="Times New Roman" w:hAnsi="Times New Roman"/>
                <w:kern w:val="0"/>
                <w:sz w:val="18"/>
                <w:szCs w:val="18"/>
              </w:rPr>
            </w:pPr>
            <w:r>
              <w:rPr>
                <w:rFonts w:ascii="Times New Roman" w:hAnsi="Times New Roman"/>
                <w:kern w:val="0"/>
                <w:sz w:val="18"/>
                <w:szCs w:val="18"/>
              </w:rPr>
              <w:t>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ind w:firstLine="360" w:firstLineChars="200"/>
              <w:rPr>
                <w:rFonts w:ascii="Times New Roman" w:hAnsi="Times New Roman"/>
                <w:bCs/>
                <w:sz w:val="18"/>
                <w:szCs w:val="18"/>
              </w:rPr>
            </w:pPr>
            <w:r>
              <w:rPr>
                <w:rFonts w:ascii="Times New Roman" w:hAnsi="Times New Roman"/>
                <w:bCs/>
                <w:sz w:val="18"/>
                <w:szCs w:val="18"/>
              </w:rPr>
              <w:t>2</w:t>
            </w:r>
            <w:r>
              <w:rPr>
                <w:rFonts w:ascii="Times New Roman" w:hAnsi="Times New Roman"/>
                <w:bCs/>
                <w:sz w:val="18"/>
                <w:szCs w:val="18"/>
                <w:vertAlign w:val="superscript"/>
              </w:rPr>
              <w:t>#</w:t>
            </w:r>
            <w:r>
              <w:rPr>
                <w:rFonts w:ascii="Times New Roman" w:hAnsi="Times New Roman"/>
                <w:kern w:val="0"/>
                <w:sz w:val="18"/>
                <w:szCs w:val="18"/>
              </w:rPr>
              <w:t>Bi</w:t>
            </w:r>
          </w:p>
        </w:tc>
        <w:tc>
          <w:tcPr>
            <w:tcW w:w="180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2.0</w:t>
            </w:r>
          </w:p>
        </w:tc>
        <w:tc>
          <w:tcPr>
            <w:tcW w:w="1418"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0</w:t>
            </w:r>
          </w:p>
        </w:tc>
        <w:tc>
          <w:tcPr>
            <w:tcW w:w="2268" w:type="dxa"/>
            <w:vAlign w:val="center"/>
          </w:tcPr>
          <w:p>
            <w:pPr>
              <w:spacing w:line="340" w:lineRule="exact"/>
              <w:jc w:val="center"/>
              <w:rPr>
                <w:rFonts w:ascii="Times New Roman" w:hAnsi="Times New Roman"/>
                <w:kern w:val="0"/>
                <w:sz w:val="18"/>
                <w:szCs w:val="18"/>
              </w:rPr>
            </w:pPr>
            <w:r>
              <w:rPr>
                <w:rFonts w:ascii="Times New Roman" w:hAnsi="Times New Roman"/>
                <w:sz w:val="18"/>
                <w:szCs w:val="18"/>
              </w:rPr>
              <w:t>浸取完全，测定结果稳定</w:t>
            </w:r>
          </w:p>
        </w:tc>
        <w:tc>
          <w:tcPr>
            <w:tcW w:w="954" w:type="dxa"/>
          </w:tcPr>
          <w:p>
            <w:pPr>
              <w:spacing w:line="340" w:lineRule="exact"/>
              <w:jc w:val="center"/>
              <w:rPr>
                <w:rFonts w:ascii="Times New Roman" w:hAnsi="Times New Roman"/>
                <w:kern w:val="0"/>
                <w:sz w:val="18"/>
                <w:szCs w:val="18"/>
              </w:rPr>
            </w:pPr>
            <w:r>
              <w:rPr>
                <w:rFonts w:ascii="Times New Roman" w:hAnsi="Times New Roman"/>
                <w:kern w:val="0"/>
                <w:sz w:val="18"/>
                <w:szCs w:val="18"/>
              </w:rPr>
              <w:t>7.74</w:t>
            </w:r>
          </w:p>
        </w:tc>
      </w:tr>
    </w:tbl>
    <w:p>
      <w:pPr>
        <w:ind w:firstLine="210" w:firstLineChars="100"/>
        <w:rPr>
          <w:rFonts w:ascii="Times New Roman" w:hAnsi="Times New Roman"/>
        </w:rPr>
      </w:pPr>
    </w:p>
    <w:p>
      <w:pPr>
        <w:rPr>
          <w:rFonts w:ascii="Times New Roman" w:hAnsi="Times New Roman"/>
        </w:rPr>
      </w:pPr>
      <w:r>
        <w:rPr>
          <w:rFonts w:ascii="Times New Roman" w:hAnsi="Times New Roman"/>
        </w:rPr>
        <w:t xml:space="preserve"> 2.3.2  </w:t>
      </w:r>
      <w:r>
        <w:rPr>
          <w:rFonts w:ascii="黑体" w:hAnsi="黑体" w:eastAsia="黑体"/>
        </w:rPr>
        <w:t>酒石酸溶液用量</w:t>
      </w:r>
    </w:p>
    <w:p>
      <w:pPr>
        <w:ind w:firstLine="210" w:firstLineChars="100"/>
        <w:rPr>
          <w:rFonts w:ascii="Times New Roman" w:hAnsi="Times New Roman"/>
        </w:rPr>
      </w:pPr>
      <w:r>
        <w:rPr>
          <w:rFonts w:ascii="Times New Roman" w:hAnsi="Times New Roman"/>
        </w:rPr>
        <w:t xml:space="preserve"> 在硝酸浸润盐类后，加入</w:t>
      </w:r>
      <w:r>
        <w:rPr>
          <w:rFonts w:ascii="Times New Roman" w:hAnsi="Times New Roman"/>
          <w:szCs w:val="21"/>
        </w:rPr>
        <w:t>酒石酸煮沸，</w:t>
      </w:r>
      <w:r>
        <w:rPr>
          <w:rFonts w:ascii="Times New Roman" w:hAnsi="Times New Roman"/>
        </w:rPr>
        <w:t>浸取效果更好。</w:t>
      </w:r>
      <w:r>
        <w:rPr>
          <w:rFonts w:ascii="Times New Roman" w:hAnsi="Times New Roman"/>
          <w:szCs w:val="21"/>
        </w:rPr>
        <w:t>Na</w:t>
      </w:r>
      <w:r>
        <w:rPr>
          <w:rFonts w:ascii="Times New Roman" w:hAnsi="Times New Roman"/>
          <w:szCs w:val="21"/>
          <w:vertAlign w:val="subscript"/>
        </w:rPr>
        <w:t>2</w:t>
      </w:r>
      <w:r>
        <w:rPr>
          <w:rFonts w:ascii="Times New Roman" w:hAnsi="Times New Roman"/>
          <w:szCs w:val="21"/>
        </w:rPr>
        <w:t>EDTA滴定法测定铋量分析过程中，在弱酸介质中铋存在着强烈水解倾向，水解离子很容易聚合，使</w:t>
      </w:r>
      <w:bookmarkStart w:id="18" w:name="OLE_LINK17"/>
      <w:bookmarkStart w:id="19" w:name="OLE_LINK16"/>
      <w:r>
        <w:rPr>
          <w:rFonts w:ascii="Times New Roman" w:hAnsi="Times New Roman"/>
          <w:szCs w:val="21"/>
        </w:rPr>
        <w:t>Na</w:t>
      </w:r>
      <w:r>
        <w:rPr>
          <w:rFonts w:ascii="Times New Roman" w:hAnsi="Times New Roman"/>
          <w:szCs w:val="21"/>
          <w:vertAlign w:val="subscript"/>
        </w:rPr>
        <w:t>2</w:t>
      </w:r>
      <w:r>
        <w:rPr>
          <w:rFonts w:ascii="Times New Roman" w:hAnsi="Times New Roman"/>
          <w:szCs w:val="21"/>
        </w:rPr>
        <w:t>EDTA</w:t>
      </w:r>
      <w:bookmarkEnd w:id="18"/>
      <w:bookmarkEnd w:id="19"/>
      <w:r>
        <w:rPr>
          <w:rFonts w:ascii="Times New Roman" w:hAnsi="Times New Roman"/>
          <w:szCs w:val="21"/>
        </w:rPr>
        <w:t>反应不按化学计量进行。络合滴定时酸度不够或铋浓度高时容易出现混浊，使测定结果偏低。所以应该找到滴定最佳酸度及络合剂。弱酸介质中络合滴定铋加入酒石酸</w:t>
      </w:r>
      <w:r>
        <w:rPr>
          <w:rFonts w:ascii="Times New Roman" w:hAnsi="Times New Roman"/>
          <w:kern w:val="0"/>
        </w:rPr>
        <w:t>都能防止铋</w:t>
      </w:r>
      <w:r>
        <w:rPr>
          <w:rFonts w:ascii="Times New Roman" w:hAnsi="Times New Roman"/>
          <w:szCs w:val="21"/>
        </w:rPr>
        <w:t>水解还能</w:t>
      </w:r>
      <w:r>
        <w:rPr>
          <w:rFonts w:ascii="Times New Roman" w:hAnsi="Times New Roman"/>
          <w:kern w:val="0"/>
        </w:rPr>
        <w:t>掩蔽锡、锑</w:t>
      </w:r>
      <w:r>
        <w:rPr>
          <w:rFonts w:ascii="Times New Roman" w:hAnsi="Times New Roman"/>
          <w:szCs w:val="21"/>
        </w:rPr>
        <w:t>，在</w:t>
      </w:r>
      <w:r>
        <w:rPr>
          <w:rFonts w:ascii="Times New Roman" w:hAnsi="Times New Roman"/>
        </w:rPr>
        <w:t>用二甲酚橙做指示剂时，按</w:t>
      </w:r>
      <w:r>
        <w:rPr>
          <w:rFonts w:hint="eastAsia" w:ascii="Times New Roman" w:hAnsi="Times New Roman"/>
        </w:rPr>
        <w:t>试</w:t>
      </w:r>
      <w:r>
        <w:rPr>
          <w:rFonts w:ascii="Times New Roman" w:hAnsi="Times New Roman"/>
          <w:szCs w:val="21"/>
        </w:rPr>
        <w:t>验方法</w:t>
      </w:r>
      <w:r>
        <w:rPr>
          <w:rFonts w:ascii="Times New Roman" w:hAnsi="Times New Roman"/>
          <w:bCs/>
          <w:szCs w:val="21"/>
        </w:rPr>
        <w:t>（1.4.4.2）进行测定</w:t>
      </w:r>
      <w:r>
        <w:rPr>
          <w:rFonts w:ascii="Times New Roman" w:hAnsi="Times New Roman"/>
          <w:szCs w:val="21"/>
        </w:rPr>
        <w:t>及称取</w:t>
      </w:r>
      <w:r>
        <w:rPr>
          <w:rFonts w:ascii="Times New Roman" w:hAnsi="Times New Roman"/>
        </w:rPr>
        <w:t>试样按</w:t>
      </w:r>
      <w:r>
        <w:rPr>
          <w:rFonts w:hint="eastAsia" w:ascii="Times New Roman" w:hAnsi="Times New Roman"/>
        </w:rPr>
        <w:t>试</w:t>
      </w:r>
      <w:r>
        <w:rPr>
          <w:rFonts w:ascii="Times New Roman" w:hAnsi="Times New Roman"/>
          <w:szCs w:val="21"/>
        </w:rPr>
        <w:t>验方法</w:t>
      </w:r>
      <w:r>
        <w:rPr>
          <w:rFonts w:ascii="Times New Roman" w:hAnsi="Times New Roman"/>
          <w:bCs/>
          <w:szCs w:val="21"/>
        </w:rPr>
        <w:t>（1.4.1）进行试验，结果表明</w:t>
      </w:r>
      <w:r>
        <w:rPr>
          <w:rFonts w:ascii="Times New Roman" w:hAnsi="Times New Roman"/>
        </w:rPr>
        <w:t xml:space="preserve">加入2 mL </w:t>
      </w:r>
      <w:r>
        <w:rPr>
          <w:rFonts w:ascii="Times New Roman" w:hAnsi="Times New Roman"/>
          <w:kern w:val="0"/>
          <w:szCs w:val="21"/>
        </w:rPr>
        <w:t>~</w:t>
      </w:r>
      <w:r>
        <w:rPr>
          <w:rFonts w:ascii="Times New Roman" w:hAnsi="Times New Roman"/>
          <w:szCs w:val="21"/>
        </w:rPr>
        <w:t>10</w:t>
      </w:r>
      <w:r>
        <w:rPr>
          <w:rFonts w:ascii="Times New Roman" w:hAnsi="Times New Roman"/>
        </w:rPr>
        <w:t xml:space="preserve"> mL酒石酸（1.2.7）均可得到满意结果，试验选择加入5 mL酒石酸（1.2.7）。</w:t>
      </w:r>
    </w:p>
    <w:p>
      <w:pPr>
        <w:rPr>
          <w:rFonts w:ascii="Times New Roman" w:hAnsi="Times New Roman"/>
        </w:rPr>
      </w:pPr>
      <w:r>
        <w:rPr>
          <w:rFonts w:ascii="Times New Roman" w:hAnsi="Times New Roman"/>
        </w:rPr>
        <w:t xml:space="preserve">2.3.3  </w:t>
      </w:r>
      <w:r>
        <w:rPr>
          <w:rFonts w:ascii="黑体" w:hAnsi="黑体" w:eastAsia="黑体"/>
          <w:kern w:val="0"/>
        </w:rPr>
        <w:t>氟化铵</w:t>
      </w:r>
      <w:r>
        <w:rPr>
          <w:rFonts w:ascii="黑体" w:hAnsi="黑体" w:eastAsia="黑体"/>
        </w:rPr>
        <w:t>用量</w:t>
      </w:r>
    </w:p>
    <w:p>
      <w:pPr>
        <w:rPr>
          <w:rFonts w:ascii="Times New Roman" w:hAnsi="Times New Roman"/>
          <w:bCs/>
          <w:szCs w:val="21"/>
        </w:rPr>
      </w:pPr>
      <w:r>
        <w:rPr>
          <w:rFonts w:ascii="Times New Roman" w:hAnsi="Times New Roman"/>
          <w:bCs/>
          <w:szCs w:val="21"/>
        </w:rPr>
        <w:t xml:space="preserve">2.3.3.1  </w:t>
      </w:r>
      <w:r>
        <w:rPr>
          <w:rFonts w:ascii="黑体" w:hAnsi="黑体" w:eastAsia="黑体"/>
          <w:bCs/>
          <w:szCs w:val="21"/>
        </w:rPr>
        <w:t>不加</w:t>
      </w:r>
      <w:r>
        <w:rPr>
          <w:rFonts w:ascii="黑体" w:hAnsi="黑体" w:eastAsia="黑体"/>
          <w:kern w:val="0"/>
        </w:rPr>
        <w:t>氟化铵</w:t>
      </w:r>
      <w:r>
        <w:rPr>
          <w:rFonts w:hint="eastAsia" w:ascii="黑体" w:hAnsi="黑体" w:eastAsia="黑体"/>
          <w:kern w:val="0"/>
        </w:rPr>
        <w:t>试</w:t>
      </w:r>
      <w:r>
        <w:rPr>
          <w:rFonts w:ascii="黑体" w:hAnsi="黑体" w:eastAsia="黑体"/>
          <w:szCs w:val="21"/>
        </w:rPr>
        <w:t>验现象</w:t>
      </w:r>
    </w:p>
    <w:p>
      <w:pPr>
        <w:ind w:firstLine="210" w:firstLineChars="100"/>
        <w:rPr>
          <w:rFonts w:ascii="Times New Roman" w:hAnsi="Times New Roman"/>
        </w:rPr>
      </w:pPr>
      <w:r>
        <w:rPr>
          <w:rFonts w:ascii="Times New Roman" w:hAnsi="Times New Roman"/>
          <w:bCs/>
          <w:szCs w:val="21"/>
        </w:rPr>
        <w:t xml:space="preserve"> 准确移取一系列20.00 </w:t>
      </w:r>
      <w:r>
        <w:rPr>
          <w:rFonts w:ascii="Times New Roman" w:hAnsi="Times New Roman"/>
        </w:rPr>
        <w:t>mL</w:t>
      </w:r>
      <w:r>
        <w:rPr>
          <w:rFonts w:ascii="Times New Roman" w:hAnsi="Times New Roman"/>
          <w:bCs/>
          <w:szCs w:val="21"/>
        </w:rPr>
        <w:t xml:space="preserve">铋标准溶液（1.2.13）于400 </w:t>
      </w:r>
      <w:r>
        <w:rPr>
          <w:rFonts w:ascii="Times New Roman" w:hAnsi="Times New Roman"/>
        </w:rPr>
        <w:t>mL烧杯中，加入5 mL酒石酸溶液（1.2.7）</w:t>
      </w:r>
      <w:r>
        <w:rPr>
          <w:rFonts w:ascii="Times New Roman" w:hAnsi="Times New Roman"/>
          <w:bCs/>
          <w:szCs w:val="21"/>
        </w:rPr>
        <w:t>，加入</w:t>
      </w:r>
      <w:r>
        <w:rPr>
          <w:rFonts w:ascii="Times New Roman" w:hAnsi="Times New Roman"/>
          <w:szCs w:val="21"/>
        </w:rPr>
        <w:t>22 mg Fe及</w:t>
      </w:r>
      <w:r>
        <w:rPr>
          <w:rFonts w:ascii="Times New Roman" w:hAnsi="Times New Roman"/>
        </w:rPr>
        <w:t xml:space="preserve">10 </w:t>
      </w:r>
      <w:r>
        <w:rPr>
          <w:rFonts w:ascii="Times New Roman" w:hAnsi="Times New Roman"/>
          <w:szCs w:val="21"/>
        </w:rPr>
        <w:t>mg</w:t>
      </w:r>
      <w:r>
        <w:rPr>
          <w:rFonts w:ascii="Times New Roman" w:hAnsi="Times New Roman"/>
        </w:rPr>
        <w:t xml:space="preserve"> </w:t>
      </w:r>
      <w:r>
        <w:rPr>
          <w:rFonts w:ascii="Times New Roman" w:hAnsi="Times New Roman"/>
          <w:kern w:val="0"/>
          <w:szCs w:val="21"/>
        </w:rPr>
        <w:t>~</w:t>
      </w:r>
      <w:r>
        <w:rPr>
          <w:rFonts w:ascii="Times New Roman" w:hAnsi="Times New Roman"/>
        </w:rPr>
        <w:t>50</w:t>
      </w:r>
      <w:r>
        <w:rPr>
          <w:rFonts w:ascii="Times New Roman" w:hAnsi="Times New Roman"/>
          <w:szCs w:val="21"/>
        </w:rPr>
        <w:t xml:space="preserve"> mg铜，</w:t>
      </w:r>
      <w:r>
        <w:rPr>
          <w:rFonts w:ascii="Times New Roman" w:hAnsi="Times New Roman"/>
        </w:rPr>
        <w:t>加水至200 mL，加入0.2克抗坏血酸（</w:t>
      </w:r>
      <w:r>
        <w:rPr>
          <w:rFonts w:ascii="Times New Roman" w:hAnsi="Times New Roman"/>
          <w:bCs/>
          <w:szCs w:val="21"/>
        </w:rPr>
        <w:t>1.2</w:t>
      </w:r>
      <w:r>
        <w:rPr>
          <w:rFonts w:ascii="Times New Roman" w:hAnsi="Times New Roman"/>
          <w:szCs w:val="21"/>
        </w:rPr>
        <w:t>.1），</w:t>
      </w:r>
      <w:r>
        <w:rPr>
          <w:rFonts w:ascii="Times New Roman" w:hAnsi="Times New Roman"/>
        </w:rPr>
        <w:t>加入不同量</w:t>
      </w:r>
      <w:r>
        <w:rPr>
          <w:rFonts w:ascii="Times New Roman" w:hAnsi="Times New Roman"/>
          <w:bCs/>
          <w:szCs w:val="21"/>
        </w:rPr>
        <w:t>硫脲（</w:t>
      </w:r>
      <w:r>
        <w:rPr>
          <w:rFonts w:ascii="Times New Roman" w:hAnsi="Times New Roman"/>
        </w:rPr>
        <w:t>1.2.6），</w:t>
      </w:r>
      <w:r>
        <w:rPr>
          <w:rFonts w:ascii="Times New Roman" w:hAnsi="Times New Roman"/>
          <w:szCs w:val="21"/>
        </w:rPr>
        <w:t>搅</w:t>
      </w:r>
      <w:r>
        <w:rPr>
          <w:rFonts w:ascii="Times New Roman" w:hAnsi="Times New Roman"/>
        </w:rPr>
        <w:t xml:space="preserve">匀，用无水乙酸钠饱和溶液（1.2.10）调节pH值为1.2 </w:t>
      </w:r>
      <w:r>
        <w:rPr>
          <w:rFonts w:ascii="Times New Roman" w:hAnsi="Times New Roman"/>
          <w:kern w:val="0"/>
          <w:szCs w:val="21"/>
        </w:rPr>
        <w:t>~</w:t>
      </w:r>
      <w:r>
        <w:rPr>
          <w:rFonts w:ascii="Times New Roman" w:hAnsi="Times New Roman"/>
        </w:rPr>
        <w:t xml:space="preserve"> 1.8，加入1 </w:t>
      </w:r>
      <w:r>
        <w:rPr>
          <w:rFonts w:ascii="Times New Roman" w:hAnsi="Times New Roman"/>
          <w:kern w:val="0"/>
          <w:szCs w:val="21"/>
        </w:rPr>
        <w:t>~</w:t>
      </w:r>
      <w:r>
        <w:rPr>
          <w:rFonts w:ascii="Times New Roman" w:hAnsi="Times New Roman"/>
        </w:rPr>
        <w:t xml:space="preserve"> 2滴二甲酚橙（1.2.12），用Na</w:t>
      </w:r>
      <w:r>
        <w:rPr>
          <w:rFonts w:ascii="Times New Roman" w:hAnsi="Times New Roman"/>
          <w:vertAlign w:val="subscript"/>
        </w:rPr>
        <w:t>2</w:t>
      </w:r>
      <w:r>
        <w:rPr>
          <w:rFonts w:ascii="Times New Roman" w:hAnsi="Times New Roman"/>
        </w:rPr>
        <w:t>EDTA标准滴定溶液（1.2.14）滴定，溶液由紫红色变为亮黄色，即为终点。</w:t>
      </w:r>
      <w:r>
        <w:rPr>
          <w:rFonts w:ascii="Times New Roman" w:hAnsi="Times New Roman"/>
          <w:bCs/>
          <w:szCs w:val="21"/>
        </w:rPr>
        <w:t>试验结果见表3。</w:t>
      </w:r>
    </w:p>
    <w:p>
      <w:pPr>
        <w:ind w:firstLine="420" w:firstLineChars="200"/>
        <w:jc w:val="center"/>
        <w:rPr>
          <w:rFonts w:ascii="Times New Roman" w:hAnsi="Times New Roman"/>
          <w:szCs w:val="21"/>
        </w:rPr>
      </w:pPr>
    </w:p>
    <w:p>
      <w:pPr>
        <w:ind w:firstLine="2940" w:firstLineChars="1400"/>
        <w:rPr>
          <w:rFonts w:ascii="Times New Roman" w:hAnsi="Times New Roman"/>
          <w:bCs/>
          <w:szCs w:val="21"/>
        </w:rPr>
      </w:pPr>
      <w:r>
        <w:rPr>
          <w:rFonts w:ascii="Times New Roman" w:hAnsi="Times New Roman"/>
          <w:szCs w:val="21"/>
        </w:rPr>
        <w:t>表3</w:t>
      </w:r>
      <w:r>
        <w:rPr>
          <w:rFonts w:ascii="Times New Roman" w:hAnsi="Times New Roman"/>
          <w:bCs/>
          <w:szCs w:val="21"/>
        </w:rPr>
        <w:t>不加</w:t>
      </w:r>
      <w:r>
        <w:rPr>
          <w:rFonts w:ascii="Times New Roman" w:hAnsi="Times New Roman"/>
          <w:kern w:val="0"/>
        </w:rPr>
        <w:t>氟化铵</w:t>
      </w:r>
      <w:r>
        <w:rPr>
          <w:rFonts w:hint="eastAsia" w:ascii="Times New Roman" w:hAnsi="Times New Roman"/>
          <w:kern w:val="0"/>
        </w:rPr>
        <w:t>试</w:t>
      </w:r>
      <w:r>
        <w:rPr>
          <w:rFonts w:ascii="Times New Roman" w:hAnsi="Times New Roman"/>
          <w:szCs w:val="21"/>
        </w:rPr>
        <w:t>验现象</w:t>
      </w:r>
    </w:p>
    <w:p>
      <w:pPr>
        <w:ind w:firstLine="2700" w:firstLineChars="1500"/>
        <w:rPr>
          <w:rFonts w:ascii="Times New Roman" w:hAnsi="Times New Roman"/>
          <w:sz w:val="18"/>
          <w:szCs w:val="18"/>
        </w:rPr>
      </w:pPr>
    </w:p>
    <w:tbl>
      <w:tblPr>
        <w:tblStyle w:val="3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2273"/>
        <w:gridCol w:w="1442"/>
        <w:gridCol w:w="1365"/>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jc w:val="center"/>
              <w:rPr>
                <w:rFonts w:ascii="Times New Roman" w:hAnsi="Times New Roman"/>
                <w:sz w:val="18"/>
                <w:szCs w:val="18"/>
              </w:rPr>
            </w:pPr>
            <w:r>
              <w:rPr>
                <w:rFonts w:ascii="Times New Roman" w:hAnsi="Times New Roman"/>
                <w:sz w:val="18"/>
                <w:szCs w:val="18"/>
              </w:rPr>
              <w:t>硫脲溶液（1.2.9）加入量mL</w:t>
            </w:r>
          </w:p>
        </w:tc>
        <w:tc>
          <w:tcPr>
            <w:tcW w:w="2273" w:type="dxa"/>
            <w:vAlign w:val="center"/>
          </w:tcPr>
          <w:p>
            <w:pPr>
              <w:spacing w:line="340" w:lineRule="exact"/>
              <w:jc w:val="center"/>
              <w:rPr>
                <w:rFonts w:ascii="Times New Roman" w:hAnsi="Times New Roman"/>
                <w:sz w:val="18"/>
                <w:szCs w:val="18"/>
              </w:rPr>
            </w:pPr>
            <w:r>
              <w:rPr>
                <w:rFonts w:ascii="Times New Roman" w:hAnsi="Times New Roman"/>
                <w:sz w:val="18"/>
                <w:szCs w:val="18"/>
              </w:rPr>
              <w:t>2</w:t>
            </w:r>
          </w:p>
        </w:tc>
        <w:tc>
          <w:tcPr>
            <w:tcW w:w="1442" w:type="dxa"/>
            <w:vAlign w:val="center"/>
          </w:tcPr>
          <w:p>
            <w:pPr>
              <w:spacing w:line="340" w:lineRule="exact"/>
              <w:jc w:val="center"/>
              <w:rPr>
                <w:rFonts w:ascii="Times New Roman" w:hAnsi="Times New Roman"/>
                <w:sz w:val="18"/>
                <w:szCs w:val="18"/>
              </w:rPr>
            </w:pPr>
            <w:r>
              <w:rPr>
                <w:rFonts w:ascii="Times New Roman" w:hAnsi="Times New Roman"/>
                <w:sz w:val="18"/>
                <w:szCs w:val="18"/>
              </w:rPr>
              <w:t>4</w:t>
            </w:r>
          </w:p>
        </w:tc>
        <w:tc>
          <w:tcPr>
            <w:tcW w:w="1365" w:type="dxa"/>
            <w:vAlign w:val="center"/>
          </w:tcPr>
          <w:p>
            <w:pPr>
              <w:spacing w:line="340" w:lineRule="exact"/>
              <w:jc w:val="center"/>
              <w:rPr>
                <w:rFonts w:ascii="Times New Roman" w:hAnsi="Times New Roman"/>
                <w:sz w:val="18"/>
                <w:szCs w:val="18"/>
              </w:rPr>
            </w:pPr>
            <w:r>
              <w:rPr>
                <w:rFonts w:ascii="Times New Roman" w:hAnsi="Times New Roman"/>
                <w:sz w:val="18"/>
                <w:szCs w:val="18"/>
              </w:rPr>
              <w:t>6</w:t>
            </w:r>
          </w:p>
        </w:tc>
        <w:tc>
          <w:tcPr>
            <w:tcW w:w="1365" w:type="dxa"/>
            <w:vAlign w:val="center"/>
          </w:tcPr>
          <w:p>
            <w:pPr>
              <w:spacing w:line="340" w:lineRule="exact"/>
              <w:jc w:val="center"/>
              <w:rPr>
                <w:rFonts w:ascii="Times New Roman" w:hAnsi="Times New Roman"/>
                <w:sz w:val="18"/>
                <w:szCs w:val="18"/>
              </w:rPr>
            </w:pPr>
            <w:r>
              <w:rPr>
                <w:rFonts w:ascii="Times New Roman" w:hAnsi="Times New Roman"/>
                <w:sz w:val="18"/>
                <w:szCs w:val="18"/>
              </w:rPr>
              <w:t>8</w:t>
            </w:r>
          </w:p>
        </w:tc>
        <w:tc>
          <w:tcPr>
            <w:tcW w:w="1365" w:type="dxa"/>
            <w:vAlign w:val="center"/>
          </w:tcPr>
          <w:p>
            <w:pPr>
              <w:spacing w:line="340" w:lineRule="exact"/>
              <w:jc w:val="center"/>
              <w:rPr>
                <w:rFonts w:ascii="Times New Roman" w:hAnsi="Times New Roman"/>
                <w:sz w:val="18"/>
                <w:szCs w:val="18"/>
              </w:rPr>
            </w:pPr>
            <w:r>
              <w:rPr>
                <w:rFonts w:ascii="Times New Roman" w:hAnsi="Times New Roman"/>
                <w:color w:val="000000"/>
                <w:kern w:val="0"/>
                <w:sz w:val="18"/>
                <w:szCs w:val="18"/>
              </w:rPr>
              <w:t>测得铋量mg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rPr>
                <w:rFonts w:ascii="Times New Roman" w:hAnsi="Times New Roman"/>
                <w:sz w:val="18"/>
                <w:szCs w:val="18"/>
              </w:rPr>
            </w:pPr>
            <w:r>
              <w:rPr>
                <w:rFonts w:ascii="Times New Roman" w:hAnsi="Times New Roman"/>
                <w:sz w:val="18"/>
                <w:szCs w:val="18"/>
              </w:rPr>
              <w:t>加入10 mg</w:t>
            </w:r>
            <w:r>
              <w:rPr>
                <w:rFonts w:ascii="Times New Roman" w:hAnsi="Times New Roman"/>
                <w:bCs/>
                <w:sz w:val="18"/>
                <w:szCs w:val="18"/>
              </w:rPr>
              <w:t xml:space="preserve"> Cu，22</w:t>
            </w:r>
            <w:r>
              <w:rPr>
                <w:rFonts w:ascii="Times New Roman" w:hAnsi="Times New Roman"/>
                <w:sz w:val="18"/>
                <w:szCs w:val="18"/>
              </w:rPr>
              <w:t xml:space="preserve"> mg</w:t>
            </w:r>
            <w:r>
              <w:rPr>
                <w:rFonts w:ascii="Times New Roman" w:hAnsi="Times New Roman"/>
                <w:bCs/>
                <w:sz w:val="18"/>
                <w:szCs w:val="18"/>
              </w:rPr>
              <w:t xml:space="preserve"> Fe</w:t>
            </w:r>
            <w:r>
              <w:rPr>
                <w:rFonts w:hint="eastAsia" w:ascii="Times New Roman" w:hAnsi="Times New Roman"/>
                <w:bCs/>
                <w:sz w:val="18"/>
                <w:szCs w:val="18"/>
              </w:rPr>
              <w:t>试</w:t>
            </w:r>
            <w:r>
              <w:rPr>
                <w:rFonts w:ascii="Times New Roman" w:hAnsi="Times New Roman"/>
                <w:sz w:val="18"/>
                <w:szCs w:val="18"/>
              </w:rPr>
              <w:t>验现象</w:t>
            </w:r>
          </w:p>
        </w:tc>
        <w:tc>
          <w:tcPr>
            <w:tcW w:w="2273"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442"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rPr>
                <w:rFonts w:ascii="Times New Roman" w:hAnsi="Times New Roman"/>
                <w:sz w:val="18"/>
                <w:szCs w:val="18"/>
              </w:rPr>
            </w:pPr>
            <w:r>
              <w:rPr>
                <w:rFonts w:ascii="Times New Roman" w:hAnsi="Times New Roman"/>
                <w:sz w:val="18"/>
                <w:szCs w:val="18"/>
              </w:rPr>
              <w:t>加入20 mg</w:t>
            </w:r>
            <w:r>
              <w:rPr>
                <w:rFonts w:ascii="Times New Roman" w:hAnsi="Times New Roman"/>
                <w:bCs/>
                <w:sz w:val="18"/>
                <w:szCs w:val="18"/>
              </w:rPr>
              <w:t xml:space="preserve"> Cu，22</w:t>
            </w:r>
            <w:r>
              <w:rPr>
                <w:rFonts w:ascii="Times New Roman" w:hAnsi="Times New Roman"/>
                <w:sz w:val="18"/>
                <w:szCs w:val="18"/>
              </w:rPr>
              <w:t xml:space="preserve"> mg</w:t>
            </w:r>
            <w:r>
              <w:rPr>
                <w:rFonts w:ascii="Times New Roman" w:hAnsi="Times New Roman"/>
                <w:bCs/>
                <w:sz w:val="18"/>
                <w:szCs w:val="18"/>
              </w:rPr>
              <w:t xml:space="preserve"> Fe</w:t>
            </w:r>
            <w:r>
              <w:rPr>
                <w:rFonts w:hint="eastAsia" w:ascii="Times New Roman" w:hAnsi="Times New Roman"/>
                <w:bCs/>
                <w:sz w:val="18"/>
                <w:szCs w:val="18"/>
              </w:rPr>
              <w:t>试</w:t>
            </w:r>
            <w:r>
              <w:rPr>
                <w:rFonts w:ascii="Times New Roman" w:hAnsi="Times New Roman"/>
                <w:sz w:val="18"/>
                <w:szCs w:val="18"/>
              </w:rPr>
              <w:t>验现象</w:t>
            </w:r>
          </w:p>
        </w:tc>
        <w:tc>
          <w:tcPr>
            <w:tcW w:w="2273"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442"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rPr>
                <w:rFonts w:ascii="Times New Roman" w:hAnsi="Times New Roman"/>
                <w:sz w:val="18"/>
                <w:szCs w:val="18"/>
              </w:rPr>
            </w:pPr>
            <w:r>
              <w:rPr>
                <w:rFonts w:ascii="Times New Roman" w:hAnsi="Times New Roman"/>
                <w:sz w:val="18"/>
                <w:szCs w:val="18"/>
              </w:rPr>
              <w:t>加入30 mg</w:t>
            </w:r>
            <w:r>
              <w:rPr>
                <w:rFonts w:ascii="Times New Roman" w:hAnsi="Times New Roman"/>
                <w:bCs/>
                <w:sz w:val="18"/>
                <w:szCs w:val="18"/>
              </w:rPr>
              <w:t xml:space="preserve"> Cu，22</w:t>
            </w:r>
            <w:r>
              <w:rPr>
                <w:rFonts w:ascii="Times New Roman" w:hAnsi="Times New Roman"/>
                <w:sz w:val="18"/>
                <w:szCs w:val="18"/>
              </w:rPr>
              <w:t xml:space="preserve"> mg</w:t>
            </w:r>
            <w:r>
              <w:rPr>
                <w:rFonts w:ascii="Times New Roman" w:hAnsi="Times New Roman"/>
                <w:bCs/>
                <w:sz w:val="18"/>
                <w:szCs w:val="18"/>
              </w:rPr>
              <w:t xml:space="preserve"> Fe</w:t>
            </w:r>
            <w:r>
              <w:rPr>
                <w:rFonts w:hint="eastAsia" w:ascii="Times New Roman" w:hAnsi="Times New Roman"/>
                <w:bCs/>
                <w:sz w:val="18"/>
                <w:szCs w:val="18"/>
              </w:rPr>
              <w:t>试</w:t>
            </w:r>
            <w:r>
              <w:rPr>
                <w:rFonts w:ascii="Times New Roman" w:hAnsi="Times New Roman"/>
                <w:sz w:val="18"/>
                <w:szCs w:val="18"/>
              </w:rPr>
              <w:t>验现象</w:t>
            </w:r>
          </w:p>
        </w:tc>
        <w:tc>
          <w:tcPr>
            <w:tcW w:w="2273"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溶液出现白色沉淀物</w:t>
            </w:r>
          </w:p>
        </w:tc>
        <w:tc>
          <w:tcPr>
            <w:tcW w:w="1442"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rPr>
                <w:rFonts w:ascii="Times New Roman" w:hAnsi="Times New Roman"/>
                <w:sz w:val="18"/>
                <w:szCs w:val="18"/>
              </w:rPr>
            </w:pPr>
            <w:r>
              <w:rPr>
                <w:rFonts w:ascii="Times New Roman" w:hAnsi="Times New Roman"/>
                <w:sz w:val="18"/>
                <w:szCs w:val="18"/>
              </w:rPr>
              <w:t>加入40 mg</w:t>
            </w:r>
            <w:r>
              <w:rPr>
                <w:rFonts w:ascii="Times New Roman" w:hAnsi="Times New Roman"/>
                <w:bCs/>
                <w:sz w:val="18"/>
                <w:szCs w:val="18"/>
              </w:rPr>
              <w:t xml:space="preserve"> Cu，22</w:t>
            </w:r>
            <w:r>
              <w:rPr>
                <w:rFonts w:ascii="Times New Roman" w:hAnsi="Times New Roman"/>
                <w:sz w:val="18"/>
                <w:szCs w:val="18"/>
              </w:rPr>
              <w:t xml:space="preserve"> mg</w:t>
            </w:r>
            <w:r>
              <w:rPr>
                <w:rFonts w:ascii="Times New Roman" w:hAnsi="Times New Roman"/>
                <w:bCs/>
                <w:sz w:val="18"/>
                <w:szCs w:val="18"/>
              </w:rPr>
              <w:t xml:space="preserve"> Fe</w:t>
            </w:r>
            <w:r>
              <w:rPr>
                <w:rFonts w:hint="eastAsia" w:ascii="Times New Roman" w:hAnsi="Times New Roman"/>
                <w:bCs/>
                <w:sz w:val="18"/>
                <w:szCs w:val="18"/>
              </w:rPr>
              <w:t>试</w:t>
            </w:r>
            <w:r>
              <w:rPr>
                <w:rFonts w:ascii="Times New Roman" w:hAnsi="Times New Roman"/>
                <w:sz w:val="18"/>
                <w:szCs w:val="18"/>
              </w:rPr>
              <w:t>验现象</w:t>
            </w:r>
          </w:p>
        </w:tc>
        <w:tc>
          <w:tcPr>
            <w:tcW w:w="2273"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溶液出现白色</w:t>
            </w:r>
            <w:r>
              <w:rPr>
                <w:rFonts w:ascii="Times New Roman" w:hAnsi="Times New Roman"/>
                <w:sz w:val="18"/>
                <w:szCs w:val="18"/>
              </w:rPr>
              <w:t>絮状</w:t>
            </w:r>
            <w:r>
              <w:rPr>
                <w:rFonts w:ascii="Times New Roman" w:hAnsi="Times New Roman"/>
                <w:kern w:val="0"/>
                <w:sz w:val="18"/>
                <w:szCs w:val="18"/>
              </w:rPr>
              <w:t>沉淀</w:t>
            </w:r>
          </w:p>
        </w:tc>
        <w:tc>
          <w:tcPr>
            <w:tcW w:w="1442"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溶液出现白色</w:t>
            </w:r>
            <w:r>
              <w:rPr>
                <w:rFonts w:ascii="Times New Roman" w:hAnsi="Times New Roman"/>
                <w:sz w:val="18"/>
                <w:szCs w:val="18"/>
              </w:rPr>
              <w:t>絮状</w:t>
            </w:r>
            <w:r>
              <w:rPr>
                <w:rFonts w:ascii="Times New Roman" w:hAnsi="Times New Roman"/>
                <w:kern w:val="0"/>
                <w:sz w:val="18"/>
                <w:szCs w:val="18"/>
              </w:rPr>
              <w:t>沉淀</w:t>
            </w:r>
          </w:p>
        </w:tc>
        <w:tc>
          <w:tcPr>
            <w:tcW w:w="136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溶液出现白色</w:t>
            </w:r>
            <w:r>
              <w:rPr>
                <w:rFonts w:ascii="Times New Roman" w:hAnsi="Times New Roman"/>
                <w:sz w:val="18"/>
                <w:szCs w:val="18"/>
              </w:rPr>
              <w:t>絮状</w:t>
            </w:r>
            <w:r>
              <w:rPr>
                <w:rFonts w:ascii="Times New Roman" w:hAnsi="Times New Roman"/>
                <w:kern w:val="0"/>
                <w:sz w:val="18"/>
                <w:szCs w:val="18"/>
              </w:rPr>
              <w:t>沉淀</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溶液出现白色</w:t>
            </w:r>
            <w:r>
              <w:rPr>
                <w:rFonts w:ascii="Times New Roman" w:hAnsi="Times New Roman"/>
                <w:sz w:val="18"/>
                <w:szCs w:val="18"/>
              </w:rPr>
              <w:t>絮状</w:t>
            </w:r>
            <w:r>
              <w:rPr>
                <w:rFonts w:ascii="Times New Roman" w:hAnsi="Times New Roman"/>
                <w:kern w:val="0"/>
                <w:sz w:val="18"/>
                <w:szCs w:val="18"/>
              </w:rPr>
              <w:t>沉淀</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19.74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rPr>
                <w:rFonts w:ascii="Times New Roman" w:hAnsi="Times New Roman"/>
                <w:sz w:val="18"/>
                <w:szCs w:val="18"/>
              </w:rPr>
            </w:pPr>
            <w:r>
              <w:rPr>
                <w:rFonts w:ascii="Times New Roman" w:hAnsi="Times New Roman"/>
                <w:sz w:val="18"/>
                <w:szCs w:val="18"/>
              </w:rPr>
              <w:t>加入50 mg</w:t>
            </w:r>
            <w:r>
              <w:rPr>
                <w:rFonts w:ascii="Times New Roman" w:hAnsi="Times New Roman"/>
                <w:bCs/>
                <w:sz w:val="18"/>
                <w:szCs w:val="18"/>
              </w:rPr>
              <w:t xml:space="preserve"> Cu，22</w:t>
            </w:r>
            <w:r>
              <w:rPr>
                <w:rFonts w:ascii="Times New Roman" w:hAnsi="Times New Roman"/>
                <w:sz w:val="18"/>
                <w:szCs w:val="18"/>
              </w:rPr>
              <w:t xml:space="preserve"> mg</w:t>
            </w:r>
            <w:r>
              <w:rPr>
                <w:rFonts w:ascii="Times New Roman" w:hAnsi="Times New Roman"/>
                <w:bCs/>
                <w:sz w:val="18"/>
                <w:szCs w:val="18"/>
              </w:rPr>
              <w:t xml:space="preserve"> Fe</w:t>
            </w:r>
            <w:r>
              <w:rPr>
                <w:rFonts w:hint="eastAsia" w:ascii="Times New Roman" w:hAnsi="Times New Roman"/>
                <w:bCs/>
                <w:sz w:val="18"/>
                <w:szCs w:val="18"/>
              </w:rPr>
              <w:t>试</w:t>
            </w:r>
            <w:r>
              <w:rPr>
                <w:rFonts w:ascii="Times New Roman" w:hAnsi="Times New Roman"/>
                <w:sz w:val="18"/>
                <w:szCs w:val="18"/>
              </w:rPr>
              <w:t>验现象</w:t>
            </w:r>
          </w:p>
        </w:tc>
        <w:tc>
          <w:tcPr>
            <w:tcW w:w="2273"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溶液出现白色</w:t>
            </w:r>
            <w:r>
              <w:rPr>
                <w:rFonts w:ascii="Times New Roman" w:hAnsi="Times New Roman"/>
                <w:sz w:val="18"/>
                <w:szCs w:val="18"/>
              </w:rPr>
              <w:t>絮状</w:t>
            </w:r>
            <w:r>
              <w:rPr>
                <w:rFonts w:ascii="Times New Roman" w:hAnsi="Times New Roman"/>
                <w:kern w:val="0"/>
                <w:sz w:val="18"/>
                <w:szCs w:val="18"/>
              </w:rPr>
              <w:t>沉淀</w:t>
            </w:r>
          </w:p>
        </w:tc>
        <w:tc>
          <w:tcPr>
            <w:tcW w:w="1442"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溶液出现白色</w:t>
            </w:r>
            <w:r>
              <w:rPr>
                <w:rFonts w:ascii="Times New Roman" w:hAnsi="Times New Roman"/>
                <w:sz w:val="18"/>
                <w:szCs w:val="18"/>
              </w:rPr>
              <w:t>絮状</w:t>
            </w:r>
            <w:r>
              <w:rPr>
                <w:rFonts w:ascii="Times New Roman" w:hAnsi="Times New Roman"/>
                <w:kern w:val="0"/>
                <w:sz w:val="18"/>
                <w:szCs w:val="18"/>
              </w:rPr>
              <w:t>沉淀</w:t>
            </w:r>
          </w:p>
        </w:tc>
        <w:tc>
          <w:tcPr>
            <w:tcW w:w="136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溶液出现白色</w:t>
            </w:r>
            <w:r>
              <w:rPr>
                <w:rFonts w:ascii="Times New Roman" w:hAnsi="Times New Roman"/>
                <w:sz w:val="18"/>
                <w:szCs w:val="18"/>
              </w:rPr>
              <w:t>絮状</w:t>
            </w:r>
            <w:r>
              <w:rPr>
                <w:rFonts w:ascii="Times New Roman" w:hAnsi="Times New Roman"/>
                <w:kern w:val="0"/>
                <w:sz w:val="18"/>
                <w:szCs w:val="18"/>
              </w:rPr>
              <w:t>沉淀</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溶液出现白色</w:t>
            </w:r>
            <w:r>
              <w:rPr>
                <w:rFonts w:ascii="Times New Roman" w:hAnsi="Times New Roman"/>
                <w:sz w:val="18"/>
                <w:szCs w:val="18"/>
              </w:rPr>
              <w:t>絮状</w:t>
            </w:r>
            <w:r>
              <w:rPr>
                <w:rFonts w:ascii="Times New Roman" w:hAnsi="Times New Roman"/>
                <w:kern w:val="0"/>
                <w:sz w:val="18"/>
                <w:szCs w:val="18"/>
              </w:rPr>
              <w:t>沉淀</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19.59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rPr>
                <w:rFonts w:ascii="Times New Roman" w:hAnsi="Times New Roman"/>
                <w:sz w:val="18"/>
                <w:szCs w:val="18"/>
              </w:rPr>
            </w:pPr>
            <w:r>
              <w:rPr>
                <w:rFonts w:ascii="Times New Roman" w:hAnsi="Times New Roman"/>
                <w:sz w:val="18"/>
                <w:szCs w:val="18"/>
              </w:rPr>
              <w:t>加入40 mg</w:t>
            </w:r>
            <w:r>
              <w:rPr>
                <w:rFonts w:ascii="Times New Roman" w:hAnsi="Times New Roman"/>
                <w:bCs/>
                <w:sz w:val="18"/>
                <w:szCs w:val="18"/>
              </w:rPr>
              <w:t xml:space="preserve"> Cu</w:t>
            </w:r>
            <w:r>
              <w:rPr>
                <w:rFonts w:hint="eastAsia" w:ascii="Times New Roman" w:hAnsi="Times New Roman"/>
                <w:bCs/>
                <w:sz w:val="18"/>
                <w:szCs w:val="18"/>
              </w:rPr>
              <w:t>试</w:t>
            </w:r>
            <w:r>
              <w:rPr>
                <w:rFonts w:ascii="Times New Roman" w:hAnsi="Times New Roman"/>
                <w:sz w:val="18"/>
                <w:szCs w:val="18"/>
              </w:rPr>
              <w:t>验现象</w:t>
            </w:r>
          </w:p>
        </w:tc>
        <w:tc>
          <w:tcPr>
            <w:tcW w:w="2273"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w:t>
            </w:r>
          </w:p>
        </w:tc>
        <w:tc>
          <w:tcPr>
            <w:tcW w:w="1442"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w:t>
            </w:r>
          </w:p>
        </w:tc>
        <w:tc>
          <w:tcPr>
            <w:tcW w:w="136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rPr>
                <w:rFonts w:ascii="Times New Roman" w:hAnsi="Times New Roman"/>
                <w:sz w:val="18"/>
                <w:szCs w:val="18"/>
              </w:rPr>
            </w:pPr>
            <w:r>
              <w:rPr>
                <w:rFonts w:ascii="Times New Roman" w:hAnsi="Times New Roman"/>
                <w:sz w:val="18"/>
                <w:szCs w:val="18"/>
              </w:rPr>
              <w:t>加入50 mg</w:t>
            </w:r>
            <w:r>
              <w:rPr>
                <w:rFonts w:ascii="Times New Roman" w:hAnsi="Times New Roman"/>
                <w:bCs/>
                <w:sz w:val="18"/>
                <w:szCs w:val="18"/>
              </w:rPr>
              <w:t xml:space="preserve"> Cu</w:t>
            </w:r>
            <w:r>
              <w:rPr>
                <w:rFonts w:hint="eastAsia" w:ascii="Times New Roman" w:hAnsi="Times New Roman"/>
                <w:bCs/>
                <w:sz w:val="18"/>
                <w:szCs w:val="18"/>
              </w:rPr>
              <w:t>试</w:t>
            </w:r>
            <w:r>
              <w:rPr>
                <w:rFonts w:ascii="Times New Roman" w:hAnsi="Times New Roman"/>
                <w:sz w:val="18"/>
                <w:szCs w:val="18"/>
              </w:rPr>
              <w:t>验现象</w:t>
            </w:r>
          </w:p>
        </w:tc>
        <w:tc>
          <w:tcPr>
            <w:tcW w:w="2273"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w:t>
            </w:r>
          </w:p>
        </w:tc>
        <w:tc>
          <w:tcPr>
            <w:tcW w:w="1442"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w:t>
            </w:r>
          </w:p>
        </w:tc>
        <w:tc>
          <w:tcPr>
            <w:tcW w:w="136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20.00</w:t>
            </w:r>
          </w:p>
        </w:tc>
      </w:tr>
    </w:tbl>
    <w:p>
      <w:pPr>
        <w:widowControl/>
        <w:ind w:firstLine="210" w:firstLineChars="100"/>
        <w:jc w:val="left"/>
        <w:rPr>
          <w:rFonts w:ascii="Times New Roman" w:hAnsi="Times New Roman"/>
          <w:bCs/>
          <w:szCs w:val="21"/>
        </w:rPr>
      </w:pPr>
    </w:p>
    <w:p>
      <w:pPr>
        <w:ind w:firstLine="420" w:firstLineChars="200"/>
        <w:outlineLvl w:val="0"/>
        <w:rPr>
          <w:rFonts w:ascii="Times New Roman" w:hAnsi="Times New Roman"/>
        </w:rPr>
      </w:pPr>
      <w:r>
        <w:rPr>
          <w:rFonts w:ascii="Times New Roman" w:hAnsi="Times New Roman"/>
          <w:bCs/>
          <w:szCs w:val="21"/>
        </w:rPr>
        <w:t>由表3可见，溶液中存在</w:t>
      </w:r>
      <w:r>
        <w:rPr>
          <w:rFonts w:ascii="Times New Roman" w:hAnsi="Times New Roman"/>
        </w:rPr>
        <w:t xml:space="preserve">30 </w:t>
      </w:r>
      <w:r>
        <w:rPr>
          <w:rFonts w:ascii="Times New Roman" w:hAnsi="Times New Roman"/>
          <w:szCs w:val="21"/>
        </w:rPr>
        <w:t>mg</w:t>
      </w:r>
      <w:r>
        <w:rPr>
          <w:rFonts w:ascii="Times New Roman" w:hAnsi="Times New Roman"/>
        </w:rPr>
        <w:t xml:space="preserve">铜及22 </w:t>
      </w:r>
      <w:r>
        <w:rPr>
          <w:rFonts w:ascii="Times New Roman" w:hAnsi="Times New Roman"/>
          <w:szCs w:val="21"/>
        </w:rPr>
        <w:t>mg铁，增加</w:t>
      </w:r>
      <w:r>
        <w:rPr>
          <w:rFonts w:ascii="Times New Roman" w:hAnsi="Times New Roman"/>
          <w:bCs/>
          <w:szCs w:val="21"/>
        </w:rPr>
        <w:t>硫脲</w:t>
      </w:r>
      <w:r>
        <w:rPr>
          <w:rFonts w:ascii="Times New Roman" w:hAnsi="Times New Roman"/>
          <w:szCs w:val="21"/>
        </w:rPr>
        <w:t>（1.2.6）</w:t>
      </w:r>
      <w:r>
        <w:rPr>
          <w:rFonts w:ascii="Times New Roman" w:hAnsi="Times New Roman"/>
          <w:bCs/>
          <w:szCs w:val="21"/>
        </w:rPr>
        <w:t>至4 mL溶液出现的白色</w:t>
      </w:r>
      <w:r>
        <w:rPr>
          <w:rFonts w:ascii="Times New Roman" w:hAnsi="Times New Roman"/>
        </w:rPr>
        <w:t>絮状</w:t>
      </w:r>
      <w:r>
        <w:rPr>
          <w:rFonts w:ascii="Times New Roman" w:hAnsi="Times New Roman"/>
          <w:bCs/>
          <w:szCs w:val="21"/>
        </w:rPr>
        <w:t>沉淀会消失，</w:t>
      </w:r>
      <w:r>
        <w:rPr>
          <w:rFonts w:ascii="Times New Roman" w:hAnsi="Times New Roman"/>
          <w:szCs w:val="21"/>
        </w:rPr>
        <w:t>终点</w:t>
      </w:r>
      <w:r>
        <w:rPr>
          <w:rFonts w:ascii="Times New Roman" w:hAnsi="Times New Roman"/>
          <w:kern w:val="0"/>
          <w:szCs w:val="21"/>
        </w:rPr>
        <w:t>清晰，</w:t>
      </w:r>
      <w:r>
        <w:rPr>
          <w:rFonts w:ascii="Times New Roman" w:hAnsi="Times New Roman"/>
          <w:bCs/>
          <w:szCs w:val="21"/>
        </w:rPr>
        <w:t>颜色由紫红色变为亮黄色。溶液中含</w:t>
      </w:r>
      <w:r>
        <w:rPr>
          <w:rFonts w:ascii="Times New Roman" w:hAnsi="Times New Roman"/>
        </w:rPr>
        <w:t xml:space="preserve">40 </w:t>
      </w:r>
      <w:r>
        <w:rPr>
          <w:rFonts w:ascii="Times New Roman" w:hAnsi="Times New Roman"/>
          <w:szCs w:val="21"/>
        </w:rPr>
        <w:t>mg</w:t>
      </w:r>
      <w:r>
        <w:rPr>
          <w:rFonts w:ascii="Times New Roman" w:hAnsi="Times New Roman"/>
        </w:rPr>
        <w:t xml:space="preserve"> </w:t>
      </w:r>
      <w:r>
        <w:rPr>
          <w:rFonts w:ascii="Times New Roman" w:hAnsi="Times New Roman"/>
          <w:kern w:val="0"/>
          <w:szCs w:val="21"/>
        </w:rPr>
        <w:t xml:space="preserve">~ </w:t>
      </w:r>
      <w:r>
        <w:rPr>
          <w:rFonts w:ascii="Times New Roman" w:hAnsi="Times New Roman"/>
          <w:szCs w:val="21"/>
        </w:rPr>
        <w:t>50</w:t>
      </w:r>
      <w:r>
        <w:rPr>
          <w:rFonts w:ascii="Times New Roman" w:hAnsi="Times New Roman"/>
        </w:rPr>
        <w:t xml:space="preserve"> </w:t>
      </w:r>
      <w:r>
        <w:rPr>
          <w:rFonts w:ascii="Times New Roman" w:hAnsi="Times New Roman"/>
          <w:szCs w:val="21"/>
        </w:rPr>
        <w:t>mg</w:t>
      </w:r>
      <w:r>
        <w:rPr>
          <w:rFonts w:ascii="Times New Roman" w:hAnsi="Times New Roman"/>
        </w:rPr>
        <w:t>铜，不加铁时，</w:t>
      </w:r>
      <w:r>
        <w:rPr>
          <w:rFonts w:ascii="Times New Roman" w:hAnsi="Times New Roman"/>
          <w:szCs w:val="21"/>
        </w:rPr>
        <w:t>增加</w:t>
      </w:r>
      <w:r>
        <w:rPr>
          <w:rFonts w:ascii="Times New Roman" w:hAnsi="Times New Roman"/>
          <w:bCs/>
          <w:szCs w:val="21"/>
        </w:rPr>
        <w:t>硫脲</w:t>
      </w:r>
      <w:r>
        <w:rPr>
          <w:rFonts w:ascii="Times New Roman" w:hAnsi="Times New Roman"/>
          <w:szCs w:val="21"/>
        </w:rPr>
        <w:t>（1.2.6）</w:t>
      </w:r>
      <w:r>
        <w:rPr>
          <w:rFonts w:ascii="Times New Roman" w:hAnsi="Times New Roman"/>
          <w:bCs/>
          <w:szCs w:val="21"/>
        </w:rPr>
        <w:t>至6 mL</w:t>
      </w:r>
      <w:r>
        <w:rPr>
          <w:rFonts w:ascii="Times New Roman" w:hAnsi="Times New Roman"/>
        </w:rPr>
        <w:t xml:space="preserve"> </w:t>
      </w:r>
      <w:r>
        <w:rPr>
          <w:rFonts w:ascii="Times New Roman" w:hAnsi="Times New Roman"/>
          <w:kern w:val="0"/>
          <w:szCs w:val="21"/>
        </w:rPr>
        <w:t xml:space="preserve">~ </w:t>
      </w:r>
      <w:r>
        <w:rPr>
          <w:rFonts w:ascii="Times New Roman" w:hAnsi="Times New Roman"/>
          <w:bCs/>
          <w:szCs w:val="21"/>
        </w:rPr>
        <w:t>8 mL溶液出现的白色</w:t>
      </w:r>
      <w:r>
        <w:rPr>
          <w:rFonts w:ascii="Times New Roman" w:hAnsi="Times New Roman"/>
        </w:rPr>
        <w:t>絮状</w:t>
      </w:r>
      <w:r>
        <w:rPr>
          <w:rFonts w:ascii="Times New Roman" w:hAnsi="Times New Roman"/>
          <w:bCs/>
          <w:szCs w:val="21"/>
        </w:rPr>
        <w:t>沉淀会消失，</w:t>
      </w:r>
      <w:r>
        <w:rPr>
          <w:rFonts w:ascii="Times New Roman" w:hAnsi="Times New Roman"/>
          <w:szCs w:val="21"/>
        </w:rPr>
        <w:t>终点</w:t>
      </w:r>
      <w:r>
        <w:rPr>
          <w:rFonts w:ascii="Times New Roman" w:hAnsi="Times New Roman"/>
          <w:kern w:val="0"/>
          <w:szCs w:val="21"/>
        </w:rPr>
        <w:t xml:space="preserve">清晰敏锐，铋回收率正常。但铁量高（试验量为22 </w:t>
      </w:r>
      <w:r>
        <w:rPr>
          <w:rFonts w:ascii="Times New Roman" w:hAnsi="Times New Roman"/>
          <w:szCs w:val="21"/>
        </w:rPr>
        <w:t>mg）</w:t>
      </w:r>
      <w:r>
        <w:rPr>
          <w:rFonts w:ascii="Times New Roman" w:hAnsi="Times New Roman"/>
          <w:kern w:val="0"/>
          <w:szCs w:val="21"/>
        </w:rPr>
        <w:t>时，，</w:t>
      </w:r>
      <w:r>
        <w:rPr>
          <w:rFonts w:ascii="Times New Roman" w:hAnsi="Times New Roman"/>
          <w:szCs w:val="21"/>
        </w:rPr>
        <w:t>增加</w:t>
      </w:r>
      <w:r>
        <w:rPr>
          <w:rFonts w:ascii="Times New Roman" w:hAnsi="Times New Roman"/>
        </w:rPr>
        <w:t>抗坏血酸</w:t>
      </w:r>
      <w:r>
        <w:rPr>
          <w:rFonts w:ascii="Times New Roman" w:hAnsi="Times New Roman"/>
          <w:szCs w:val="21"/>
        </w:rPr>
        <w:t>及</w:t>
      </w:r>
      <w:r>
        <w:rPr>
          <w:rFonts w:ascii="Times New Roman" w:hAnsi="Times New Roman"/>
          <w:bCs/>
          <w:szCs w:val="21"/>
        </w:rPr>
        <w:t>硫脲</w:t>
      </w:r>
      <w:r>
        <w:rPr>
          <w:rFonts w:ascii="Times New Roman" w:hAnsi="Times New Roman"/>
          <w:szCs w:val="21"/>
        </w:rPr>
        <w:t>用量后</w:t>
      </w:r>
      <w:r>
        <w:rPr>
          <w:rFonts w:ascii="Times New Roman" w:hAnsi="Times New Roman"/>
          <w:bCs/>
          <w:szCs w:val="21"/>
        </w:rPr>
        <w:t>溶液出现的白色</w:t>
      </w:r>
      <w:r>
        <w:rPr>
          <w:rFonts w:ascii="Times New Roman" w:hAnsi="Times New Roman"/>
        </w:rPr>
        <w:t>絮状</w:t>
      </w:r>
      <w:r>
        <w:rPr>
          <w:rFonts w:ascii="Times New Roman" w:hAnsi="Times New Roman"/>
          <w:bCs/>
          <w:szCs w:val="21"/>
        </w:rPr>
        <w:t>沉淀不会消失，加入指示剂后，溶液颜色不正常，</w:t>
      </w:r>
      <w:r>
        <w:rPr>
          <w:rFonts w:ascii="Times New Roman" w:hAnsi="Times New Roman"/>
          <w:szCs w:val="21"/>
        </w:rPr>
        <w:t>铋回收率偏低。所以，</w:t>
      </w:r>
      <w:r>
        <w:rPr>
          <w:rFonts w:ascii="Times New Roman" w:hAnsi="Times New Roman"/>
        </w:rPr>
        <w:t>在滴定体系中加入</w:t>
      </w:r>
      <w:r>
        <w:rPr>
          <w:rFonts w:ascii="Times New Roman" w:hAnsi="Times New Roman"/>
          <w:kern w:val="0"/>
        </w:rPr>
        <w:t>氟化铵与</w:t>
      </w:r>
      <w:r>
        <w:rPr>
          <w:rFonts w:ascii="Times New Roman" w:hAnsi="Times New Roman"/>
        </w:rPr>
        <w:t xml:space="preserve">抗坏血酸联合掩蔽铁，滴定终点敏锐，滴定后溶液不返红，结果精密度高。测定体系中70 </w:t>
      </w:r>
      <w:r>
        <w:rPr>
          <w:rFonts w:ascii="Times New Roman" w:hAnsi="Times New Roman"/>
          <w:szCs w:val="21"/>
        </w:rPr>
        <w:t>mg</w:t>
      </w:r>
      <w:r>
        <w:rPr>
          <w:rFonts w:ascii="Times New Roman" w:hAnsi="Times New Roman"/>
        </w:rPr>
        <w:t xml:space="preserve">铜及33 </w:t>
      </w:r>
      <w:r>
        <w:rPr>
          <w:rFonts w:ascii="Times New Roman" w:hAnsi="Times New Roman"/>
          <w:szCs w:val="21"/>
        </w:rPr>
        <w:t>mg铁对铋量测定无影响。铜冶炼烟尘</w:t>
      </w:r>
      <w:r>
        <w:rPr>
          <w:rFonts w:ascii="Times New Roman" w:hAnsi="Times New Roman"/>
        </w:rPr>
        <w:t>试样在选定的试验条件下加入</w:t>
      </w:r>
      <w:r>
        <w:rPr>
          <w:rFonts w:ascii="Times New Roman" w:hAnsi="Times New Roman"/>
          <w:kern w:val="0"/>
        </w:rPr>
        <w:t>氟化铵。</w:t>
      </w:r>
    </w:p>
    <w:p>
      <w:pPr>
        <w:outlineLvl w:val="0"/>
        <w:rPr>
          <w:rFonts w:ascii="Times New Roman" w:hAnsi="Times New Roman"/>
        </w:rPr>
      </w:pPr>
      <w:r>
        <w:rPr>
          <w:rFonts w:ascii="Times New Roman" w:hAnsi="Times New Roman"/>
          <w:bCs/>
          <w:szCs w:val="21"/>
        </w:rPr>
        <w:t xml:space="preserve">2.3.3.2  </w:t>
      </w:r>
      <w:r>
        <w:rPr>
          <w:rFonts w:ascii="黑体" w:hAnsi="黑体" w:eastAsia="黑体"/>
          <w:kern w:val="0"/>
        </w:rPr>
        <w:t>氟化铵</w:t>
      </w:r>
      <w:r>
        <w:rPr>
          <w:rFonts w:ascii="黑体" w:hAnsi="黑体" w:eastAsia="黑体"/>
        </w:rPr>
        <w:t>用量</w:t>
      </w:r>
    </w:p>
    <w:p>
      <w:pPr>
        <w:ind w:firstLine="420" w:firstLineChars="200"/>
        <w:outlineLvl w:val="0"/>
        <w:rPr>
          <w:rFonts w:ascii="Times New Roman" w:hAnsi="Times New Roman"/>
        </w:rPr>
      </w:pPr>
      <w:r>
        <w:rPr>
          <w:rFonts w:ascii="Times New Roman" w:hAnsi="Times New Roman"/>
          <w:bCs/>
          <w:szCs w:val="21"/>
        </w:rPr>
        <w:t xml:space="preserve">准确移取20.00 </w:t>
      </w:r>
      <w:r>
        <w:rPr>
          <w:rFonts w:ascii="Times New Roman" w:hAnsi="Times New Roman"/>
        </w:rPr>
        <w:t>mL</w:t>
      </w:r>
      <w:r>
        <w:rPr>
          <w:rFonts w:ascii="Times New Roman" w:hAnsi="Times New Roman"/>
          <w:bCs/>
          <w:szCs w:val="21"/>
        </w:rPr>
        <w:t xml:space="preserve">铋标准溶液（1.2.13）于400 </w:t>
      </w:r>
      <w:r>
        <w:rPr>
          <w:rFonts w:ascii="Times New Roman" w:hAnsi="Times New Roman"/>
        </w:rPr>
        <w:t>mL烧杯中，加入5 mL酒石酸溶液（1.2.7）</w:t>
      </w:r>
      <w:r>
        <w:rPr>
          <w:rFonts w:ascii="Times New Roman" w:hAnsi="Times New Roman"/>
          <w:bCs/>
          <w:szCs w:val="21"/>
        </w:rPr>
        <w:t>，再加入</w:t>
      </w:r>
      <w:r>
        <w:rPr>
          <w:rFonts w:ascii="Times New Roman" w:hAnsi="Times New Roman"/>
          <w:szCs w:val="21"/>
        </w:rPr>
        <w:t>33 mg Fe，</w:t>
      </w:r>
      <w:r>
        <w:rPr>
          <w:rFonts w:ascii="Times New Roman" w:hAnsi="Times New Roman"/>
          <w:bCs/>
          <w:szCs w:val="21"/>
        </w:rPr>
        <w:t>按</w:t>
      </w:r>
      <w:r>
        <w:rPr>
          <w:rFonts w:hint="eastAsia" w:ascii="Times New Roman" w:hAnsi="Times New Roman"/>
          <w:bCs/>
          <w:szCs w:val="21"/>
        </w:rPr>
        <w:t>试</w:t>
      </w:r>
      <w:r>
        <w:rPr>
          <w:rFonts w:ascii="Times New Roman" w:hAnsi="Times New Roman"/>
          <w:bCs/>
          <w:szCs w:val="21"/>
        </w:rPr>
        <w:t>验</w:t>
      </w:r>
      <w:r>
        <w:rPr>
          <w:rFonts w:hint="eastAsia" w:ascii="Times New Roman" w:hAnsi="Times New Roman"/>
          <w:bCs/>
          <w:szCs w:val="21"/>
        </w:rPr>
        <w:t>步骤</w:t>
      </w:r>
      <w:r>
        <w:rPr>
          <w:rFonts w:ascii="Times New Roman" w:hAnsi="Times New Roman"/>
          <w:bCs/>
          <w:szCs w:val="21"/>
        </w:rPr>
        <w:t>（1.4.4.2）进行测定，试验结果见表4，0.5</w:t>
      </w:r>
      <w:r>
        <w:rPr>
          <w:rFonts w:ascii="Times New Roman" w:hAnsi="Times New Roman"/>
        </w:rPr>
        <w:t xml:space="preserve"> mL </w:t>
      </w:r>
      <w:r>
        <w:rPr>
          <w:rFonts w:ascii="Times New Roman" w:hAnsi="Times New Roman"/>
          <w:kern w:val="0"/>
          <w:szCs w:val="21"/>
        </w:rPr>
        <w:t>~</w:t>
      </w:r>
      <w:r>
        <w:rPr>
          <w:rFonts w:ascii="Times New Roman" w:hAnsi="Times New Roman"/>
          <w:bCs/>
          <w:szCs w:val="21"/>
        </w:rPr>
        <w:t>2</w:t>
      </w:r>
      <w:r>
        <w:rPr>
          <w:rFonts w:ascii="Times New Roman" w:hAnsi="Times New Roman"/>
        </w:rPr>
        <w:t xml:space="preserve"> mL</w:t>
      </w:r>
      <w:r>
        <w:rPr>
          <w:rFonts w:ascii="Times New Roman" w:hAnsi="Times New Roman"/>
          <w:kern w:val="0"/>
        </w:rPr>
        <w:t>氟化铵</w:t>
      </w:r>
      <w:r>
        <w:rPr>
          <w:rFonts w:ascii="Times New Roman" w:hAnsi="Times New Roman"/>
        </w:rPr>
        <w:t>（1.2.8）用量对铋量测定回收率均可得到满意结果，试验选择加入0.5 mL</w:t>
      </w:r>
      <w:r>
        <w:rPr>
          <w:rFonts w:ascii="Times New Roman" w:hAnsi="Times New Roman"/>
          <w:kern w:val="0"/>
        </w:rPr>
        <w:t>氟化铵</w:t>
      </w:r>
      <w:r>
        <w:rPr>
          <w:rFonts w:ascii="Times New Roman" w:hAnsi="Times New Roman"/>
        </w:rPr>
        <w:t>（1.2.8）。</w:t>
      </w:r>
    </w:p>
    <w:p>
      <w:pPr>
        <w:rPr>
          <w:rFonts w:ascii="Times New Roman" w:hAnsi="Times New Roman"/>
          <w:szCs w:val="21"/>
        </w:rPr>
      </w:pPr>
    </w:p>
    <w:p>
      <w:pPr>
        <w:ind w:firstLine="420" w:firstLineChars="200"/>
        <w:jc w:val="center"/>
        <w:rPr>
          <w:rFonts w:ascii="Times New Roman" w:hAnsi="Times New Roman"/>
          <w:szCs w:val="21"/>
        </w:rPr>
      </w:pPr>
      <w:r>
        <w:rPr>
          <w:rFonts w:ascii="Times New Roman" w:hAnsi="Times New Roman"/>
          <w:szCs w:val="21"/>
        </w:rPr>
        <w:t>表4</w:t>
      </w:r>
      <w:r>
        <w:rPr>
          <w:rFonts w:ascii="Times New Roman" w:hAnsi="Times New Roman"/>
          <w:kern w:val="0"/>
        </w:rPr>
        <w:t>氟化铵</w:t>
      </w:r>
      <w:r>
        <w:rPr>
          <w:rFonts w:ascii="Times New Roman" w:hAnsi="Times New Roman"/>
        </w:rPr>
        <w:t>用量</w:t>
      </w:r>
      <w:r>
        <w:rPr>
          <w:rFonts w:ascii="Times New Roman" w:hAnsi="Times New Roman"/>
          <w:szCs w:val="21"/>
        </w:rPr>
        <w:t>对测定铋结果的影响</w:t>
      </w:r>
    </w:p>
    <w:p>
      <w:pPr>
        <w:ind w:firstLine="420" w:firstLineChars="200"/>
        <w:jc w:val="center"/>
        <w:rPr>
          <w:rFonts w:ascii="Times New Roman" w:hAnsi="Times New Roman"/>
          <w:szCs w:val="21"/>
        </w:rPr>
      </w:pPr>
    </w:p>
    <w:tbl>
      <w:tblPr>
        <w:tblStyle w:val="3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01"/>
        <w:gridCol w:w="1843"/>
        <w:gridCol w:w="2693"/>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试</w:t>
            </w:r>
            <w:r>
              <w:rPr>
                <w:rFonts w:ascii="Times New Roman" w:hAnsi="Times New Roman"/>
                <w:color w:val="000000"/>
                <w:kern w:val="0"/>
                <w:sz w:val="18"/>
                <w:szCs w:val="18"/>
              </w:rPr>
              <w:t>验条件</w:t>
            </w:r>
          </w:p>
        </w:tc>
        <w:tc>
          <w:tcPr>
            <w:tcW w:w="1701" w:type="dxa"/>
            <w:vAlign w:val="center"/>
          </w:tcPr>
          <w:p>
            <w:pPr>
              <w:widowControl/>
              <w:jc w:val="center"/>
              <w:rPr>
                <w:rFonts w:ascii="Times New Roman" w:hAnsi="Times New Roman"/>
                <w:color w:val="000000"/>
                <w:kern w:val="0"/>
                <w:sz w:val="18"/>
                <w:szCs w:val="18"/>
              </w:rPr>
            </w:pPr>
            <w:r>
              <w:rPr>
                <w:rFonts w:ascii="Times New Roman" w:hAnsi="Times New Roman"/>
                <w:kern w:val="0"/>
                <w:sz w:val="18"/>
                <w:szCs w:val="18"/>
              </w:rPr>
              <w:t>加入氟化铵</w:t>
            </w:r>
            <w:r>
              <w:rPr>
                <w:rFonts w:ascii="Times New Roman" w:hAnsi="Times New Roman"/>
                <w:sz w:val="18"/>
                <w:szCs w:val="18"/>
              </w:rPr>
              <w:t>mL</w:t>
            </w:r>
          </w:p>
        </w:tc>
        <w:tc>
          <w:tcPr>
            <w:tcW w:w="1843" w:type="dxa"/>
          </w:tcPr>
          <w:p>
            <w:pPr>
              <w:widowControl/>
              <w:jc w:val="center"/>
              <w:rPr>
                <w:rFonts w:ascii="Times New Roman" w:hAnsi="Times New Roman"/>
                <w:color w:val="FF0000"/>
                <w:kern w:val="0"/>
                <w:sz w:val="18"/>
                <w:szCs w:val="18"/>
              </w:rPr>
            </w:pPr>
          </w:p>
        </w:tc>
        <w:tc>
          <w:tcPr>
            <w:tcW w:w="2693" w:type="dxa"/>
          </w:tcPr>
          <w:p>
            <w:pPr>
              <w:widowControl/>
              <w:jc w:val="center"/>
              <w:rPr>
                <w:rFonts w:ascii="Times New Roman" w:hAnsi="Times New Roman"/>
                <w:kern w:val="0"/>
                <w:sz w:val="18"/>
                <w:szCs w:val="18"/>
              </w:rPr>
            </w:pPr>
            <w:r>
              <w:rPr>
                <w:rFonts w:ascii="Times New Roman" w:hAnsi="Times New Roman"/>
                <w:kern w:val="0"/>
                <w:sz w:val="18"/>
                <w:szCs w:val="18"/>
              </w:rPr>
              <w:t>试验现象</w:t>
            </w:r>
          </w:p>
        </w:tc>
        <w:tc>
          <w:tcPr>
            <w:tcW w:w="1183" w:type="dxa"/>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测得铋量/mg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jc w:val="center"/>
              <w:rPr>
                <w:rFonts w:ascii="Times New Roman" w:hAnsi="Times New Roman"/>
                <w:sz w:val="18"/>
                <w:szCs w:val="18"/>
              </w:rPr>
            </w:pPr>
            <w:r>
              <w:rPr>
                <w:rFonts w:ascii="Times New Roman" w:hAnsi="Times New Roman"/>
                <w:sz w:val="18"/>
                <w:szCs w:val="18"/>
              </w:rPr>
              <w:t xml:space="preserve">20.00 </w:t>
            </w:r>
            <w:r>
              <w:rPr>
                <w:rFonts w:ascii="Times New Roman" w:hAnsi="Times New Roman"/>
                <w:kern w:val="0"/>
                <w:sz w:val="18"/>
                <w:szCs w:val="18"/>
              </w:rPr>
              <w:t>mg</w:t>
            </w:r>
            <w:r>
              <w:rPr>
                <w:rFonts w:ascii="Times New Roman" w:hAnsi="Times New Roman"/>
                <w:sz w:val="18"/>
                <w:szCs w:val="18"/>
              </w:rPr>
              <w:t>Bi</w:t>
            </w:r>
          </w:p>
          <w:p>
            <w:pPr>
              <w:jc w:val="center"/>
              <w:rPr>
                <w:rFonts w:ascii="Times New Roman" w:hAnsi="Times New Roman"/>
                <w:sz w:val="18"/>
                <w:szCs w:val="18"/>
              </w:rPr>
            </w:pPr>
            <w:r>
              <w:rPr>
                <w:rFonts w:ascii="Times New Roman" w:hAnsi="Times New Roman"/>
                <w:sz w:val="18"/>
                <w:szCs w:val="18"/>
              </w:rPr>
              <w:t>+33 mgFe</w:t>
            </w:r>
          </w:p>
        </w:tc>
        <w:tc>
          <w:tcPr>
            <w:tcW w:w="1701" w:type="dxa"/>
            <w:vAlign w:val="center"/>
          </w:tcPr>
          <w:p>
            <w:pPr>
              <w:widowControl/>
              <w:jc w:val="center"/>
              <w:rPr>
                <w:rFonts w:ascii="Times New Roman" w:hAnsi="Times New Roman"/>
                <w:kern w:val="0"/>
                <w:sz w:val="18"/>
                <w:szCs w:val="18"/>
              </w:rPr>
            </w:pPr>
            <w:r>
              <w:rPr>
                <w:rFonts w:ascii="Times New Roman" w:hAnsi="Times New Roman"/>
                <w:kern w:val="0"/>
                <w:sz w:val="18"/>
                <w:szCs w:val="18"/>
              </w:rPr>
              <w:t>0.5</w:t>
            </w:r>
          </w:p>
        </w:tc>
        <w:tc>
          <w:tcPr>
            <w:tcW w:w="1843" w:type="dxa"/>
            <w:vMerge w:val="restart"/>
            <w:vAlign w:val="center"/>
          </w:tcPr>
          <w:p>
            <w:pPr>
              <w:widowControl/>
              <w:jc w:val="left"/>
              <w:rPr>
                <w:rFonts w:ascii="Times New Roman" w:hAnsi="Times New Roman"/>
                <w:kern w:val="0"/>
                <w:sz w:val="18"/>
                <w:szCs w:val="18"/>
              </w:rPr>
            </w:pPr>
            <w:r>
              <w:rPr>
                <w:rFonts w:ascii="Times New Roman" w:hAnsi="Times New Roman"/>
                <w:kern w:val="0"/>
                <w:sz w:val="18"/>
                <w:szCs w:val="18"/>
              </w:rPr>
              <w:t xml:space="preserve">调节pH </w:t>
            </w:r>
            <w:r>
              <w:rPr>
                <w:rFonts w:ascii="Times New Roman" w:hAnsi="Times New Roman"/>
                <w:sz w:val="18"/>
                <w:szCs w:val="18"/>
              </w:rPr>
              <w:t xml:space="preserve">1.2 </w:t>
            </w:r>
            <w:r>
              <w:rPr>
                <w:rFonts w:ascii="Times New Roman" w:hAnsi="Times New Roman"/>
                <w:kern w:val="0"/>
                <w:sz w:val="18"/>
                <w:szCs w:val="18"/>
              </w:rPr>
              <w:t>~</w:t>
            </w:r>
            <w:r>
              <w:rPr>
                <w:rFonts w:ascii="Times New Roman" w:hAnsi="Times New Roman"/>
                <w:sz w:val="18"/>
                <w:szCs w:val="18"/>
              </w:rPr>
              <w:t xml:space="preserve"> 1.8</w:t>
            </w:r>
          </w:p>
        </w:tc>
        <w:tc>
          <w:tcPr>
            <w:tcW w:w="2693" w:type="dxa"/>
          </w:tcPr>
          <w:p>
            <w:pPr>
              <w:widowControl/>
              <w:jc w:val="center"/>
              <w:rPr>
                <w:rFonts w:ascii="Times New Roman" w:hAnsi="Times New Roman"/>
                <w:kern w:val="0"/>
                <w:sz w:val="18"/>
                <w:szCs w:val="18"/>
              </w:rPr>
            </w:pPr>
            <w:r>
              <w:rPr>
                <w:rFonts w:ascii="Times New Roman" w:hAnsi="Times New Roman"/>
                <w:kern w:val="0"/>
                <w:sz w:val="18"/>
                <w:szCs w:val="18"/>
              </w:rPr>
              <w:t>终点敏锐，稳定</w:t>
            </w:r>
          </w:p>
        </w:tc>
        <w:tc>
          <w:tcPr>
            <w:tcW w:w="1183" w:type="dxa"/>
            <w:vAlign w:val="center"/>
          </w:tcPr>
          <w:p>
            <w:pPr>
              <w:widowControl/>
              <w:jc w:val="center"/>
              <w:rPr>
                <w:rFonts w:ascii="Times New Roman" w:hAnsi="Times New Roman"/>
                <w:kern w:val="0"/>
                <w:sz w:val="18"/>
                <w:szCs w:val="18"/>
              </w:rPr>
            </w:pPr>
            <w:r>
              <w:rPr>
                <w:rFonts w:ascii="Times New Roman" w:hAnsi="Times New Roman"/>
                <w:kern w:val="0"/>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widowControl/>
              <w:jc w:val="left"/>
              <w:rPr>
                <w:rFonts w:ascii="Times New Roman" w:hAnsi="Times New Roman"/>
                <w:sz w:val="18"/>
                <w:szCs w:val="18"/>
              </w:rPr>
            </w:pPr>
          </w:p>
        </w:tc>
        <w:tc>
          <w:tcPr>
            <w:tcW w:w="1701" w:type="dxa"/>
            <w:vAlign w:val="center"/>
          </w:tcPr>
          <w:p>
            <w:pPr>
              <w:widowControl/>
              <w:jc w:val="center"/>
              <w:rPr>
                <w:rFonts w:ascii="Times New Roman" w:hAnsi="Times New Roman"/>
                <w:kern w:val="0"/>
                <w:sz w:val="18"/>
                <w:szCs w:val="18"/>
              </w:rPr>
            </w:pPr>
            <w:r>
              <w:rPr>
                <w:rFonts w:ascii="Times New Roman" w:hAnsi="Times New Roman"/>
                <w:kern w:val="0"/>
                <w:sz w:val="18"/>
                <w:szCs w:val="18"/>
              </w:rPr>
              <w:t>1.0</w:t>
            </w:r>
          </w:p>
        </w:tc>
        <w:tc>
          <w:tcPr>
            <w:tcW w:w="1843" w:type="dxa"/>
            <w:vMerge w:val="continue"/>
          </w:tcPr>
          <w:p>
            <w:pPr>
              <w:widowControl/>
              <w:jc w:val="left"/>
              <w:rPr>
                <w:rFonts w:ascii="Times New Roman" w:hAnsi="Times New Roman"/>
                <w:kern w:val="0"/>
                <w:sz w:val="18"/>
                <w:szCs w:val="18"/>
              </w:rPr>
            </w:pPr>
          </w:p>
        </w:tc>
        <w:tc>
          <w:tcPr>
            <w:tcW w:w="2693" w:type="dxa"/>
          </w:tcPr>
          <w:p>
            <w:pPr>
              <w:widowControl/>
              <w:jc w:val="center"/>
              <w:rPr>
                <w:rFonts w:ascii="Times New Roman" w:hAnsi="Times New Roman"/>
                <w:kern w:val="0"/>
                <w:sz w:val="18"/>
                <w:szCs w:val="18"/>
              </w:rPr>
            </w:pPr>
            <w:r>
              <w:rPr>
                <w:rFonts w:ascii="Times New Roman" w:hAnsi="Times New Roman"/>
                <w:kern w:val="0"/>
                <w:sz w:val="18"/>
                <w:szCs w:val="18"/>
              </w:rPr>
              <w:t>终点敏锐，稳定</w:t>
            </w:r>
          </w:p>
        </w:tc>
        <w:tc>
          <w:tcPr>
            <w:tcW w:w="1183" w:type="dxa"/>
            <w:vAlign w:val="center"/>
          </w:tcPr>
          <w:p>
            <w:pPr>
              <w:widowControl/>
              <w:jc w:val="center"/>
              <w:rPr>
                <w:rFonts w:ascii="Times New Roman" w:hAnsi="Times New Roman"/>
                <w:kern w:val="0"/>
                <w:sz w:val="18"/>
                <w:szCs w:val="18"/>
              </w:rPr>
            </w:pPr>
            <w:r>
              <w:rPr>
                <w:rFonts w:ascii="Times New Roman" w:hAnsi="Times New Roman"/>
                <w:kern w:val="0"/>
                <w:sz w:val="18"/>
                <w:szCs w:val="18"/>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widowControl/>
              <w:jc w:val="left"/>
              <w:rPr>
                <w:rFonts w:ascii="Times New Roman" w:hAnsi="Times New Roman"/>
                <w:sz w:val="18"/>
                <w:szCs w:val="18"/>
              </w:rPr>
            </w:pPr>
          </w:p>
        </w:tc>
        <w:tc>
          <w:tcPr>
            <w:tcW w:w="1701" w:type="dxa"/>
            <w:vAlign w:val="center"/>
          </w:tcPr>
          <w:p>
            <w:pPr>
              <w:widowControl/>
              <w:jc w:val="center"/>
              <w:rPr>
                <w:rFonts w:ascii="Times New Roman" w:hAnsi="Times New Roman"/>
                <w:kern w:val="0"/>
                <w:sz w:val="18"/>
                <w:szCs w:val="18"/>
              </w:rPr>
            </w:pPr>
            <w:r>
              <w:rPr>
                <w:rFonts w:ascii="Times New Roman" w:hAnsi="Times New Roman"/>
                <w:kern w:val="0"/>
                <w:sz w:val="18"/>
                <w:szCs w:val="18"/>
              </w:rPr>
              <w:t>1.5</w:t>
            </w:r>
          </w:p>
        </w:tc>
        <w:tc>
          <w:tcPr>
            <w:tcW w:w="1843" w:type="dxa"/>
            <w:vMerge w:val="continue"/>
          </w:tcPr>
          <w:p>
            <w:pPr>
              <w:widowControl/>
              <w:jc w:val="left"/>
              <w:rPr>
                <w:rFonts w:ascii="Times New Roman" w:hAnsi="Times New Roman"/>
                <w:kern w:val="0"/>
                <w:sz w:val="18"/>
                <w:szCs w:val="18"/>
              </w:rPr>
            </w:pPr>
          </w:p>
        </w:tc>
        <w:tc>
          <w:tcPr>
            <w:tcW w:w="2693" w:type="dxa"/>
          </w:tcPr>
          <w:p>
            <w:pPr>
              <w:widowControl/>
              <w:jc w:val="center"/>
              <w:rPr>
                <w:rFonts w:ascii="Times New Roman" w:hAnsi="Times New Roman"/>
                <w:kern w:val="0"/>
                <w:sz w:val="18"/>
                <w:szCs w:val="18"/>
              </w:rPr>
            </w:pPr>
            <w:r>
              <w:rPr>
                <w:rFonts w:ascii="Times New Roman" w:hAnsi="Times New Roman"/>
                <w:kern w:val="0"/>
                <w:sz w:val="18"/>
                <w:szCs w:val="18"/>
              </w:rPr>
              <w:t>终点敏锐，稳定</w:t>
            </w:r>
          </w:p>
        </w:tc>
        <w:tc>
          <w:tcPr>
            <w:tcW w:w="1183" w:type="dxa"/>
            <w:vAlign w:val="center"/>
          </w:tcPr>
          <w:p>
            <w:pPr>
              <w:widowControl/>
              <w:jc w:val="center"/>
              <w:rPr>
                <w:rFonts w:ascii="Times New Roman" w:hAnsi="Times New Roman"/>
                <w:kern w:val="0"/>
                <w:sz w:val="18"/>
                <w:szCs w:val="18"/>
              </w:rPr>
            </w:pPr>
            <w:r>
              <w:rPr>
                <w:rFonts w:ascii="Times New Roman" w:hAnsi="Times New Roman"/>
                <w:kern w:val="0"/>
                <w:sz w:val="18"/>
                <w:szCs w:val="18"/>
              </w:rPr>
              <w:t>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widowControl/>
              <w:jc w:val="left"/>
              <w:rPr>
                <w:rFonts w:ascii="Times New Roman" w:hAnsi="Times New Roman"/>
                <w:sz w:val="18"/>
                <w:szCs w:val="18"/>
              </w:rPr>
            </w:pPr>
          </w:p>
        </w:tc>
        <w:tc>
          <w:tcPr>
            <w:tcW w:w="1701" w:type="dxa"/>
            <w:vAlign w:val="center"/>
          </w:tcPr>
          <w:p>
            <w:pPr>
              <w:widowControl/>
              <w:jc w:val="center"/>
              <w:rPr>
                <w:rFonts w:ascii="Times New Roman" w:hAnsi="Times New Roman"/>
                <w:kern w:val="0"/>
                <w:sz w:val="18"/>
                <w:szCs w:val="18"/>
              </w:rPr>
            </w:pPr>
            <w:r>
              <w:rPr>
                <w:rFonts w:ascii="Times New Roman" w:hAnsi="Times New Roman"/>
                <w:kern w:val="0"/>
                <w:sz w:val="18"/>
                <w:szCs w:val="18"/>
              </w:rPr>
              <w:t>2.0</w:t>
            </w:r>
          </w:p>
        </w:tc>
        <w:tc>
          <w:tcPr>
            <w:tcW w:w="1843" w:type="dxa"/>
            <w:vMerge w:val="continue"/>
          </w:tcPr>
          <w:p>
            <w:pPr>
              <w:widowControl/>
              <w:jc w:val="left"/>
              <w:rPr>
                <w:rFonts w:ascii="Times New Roman" w:hAnsi="Times New Roman"/>
                <w:kern w:val="0"/>
                <w:sz w:val="18"/>
                <w:szCs w:val="18"/>
              </w:rPr>
            </w:pPr>
          </w:p>
        </w:tc>
        <w:tc>
          <w:tcPr>
            <w:tcW w:w="2693" w:type="dxa"/>
          </w:tcPr>
          <w:p>
            <w:pPr>
              <w:widowControl/>
              <w:jc w:val="center"/>
              <w:rPr>
                <w:rFonts w:ascii="Times New Roman" w:hAnsi="Times New Roman"/>
                <w:kern w:val="0"/>
                <w:sz w:val="18"/>
                <w:szCs w:val="18"/>
              </w:rPr>
            </w:pPr>
            <w:r>
              <w:rPr>
                <w:rFonts w:ascii="Times New Roman" w:hAnsi="Times New Roman"/>
                <w:kern w:val="0"/>
                <w:sz w:val="18"/>
                <w:szCs w:val="18"/>
              </w:rPr>
              <w:t>终点敏锐，稳定</w:t>
            </w:r>
          </w:p>
        </w:tc>
        <w:tc>
          <w:tcPr>
            <w:tcW w:w="1183" w:type="dxa"/>
            <w:vAlign w:val="center"/>
          </w:tcPr>
          <w:p>
            <w:pPr>
              <w:widowControl/>
              <w:jc w:val="center"/>
              <w:rPr>
                <w:rFonts w:ascii="Times New Roman" w:hAnsi="Times New Roman"/>
                <w:kern w:val="0"/>
                <w:sz w:val="18"/>
                <w:szCs w:val="18"/>
              </w:rPr>
            </w:pPr>
            <w:r>
              <w:rPr>
                <w:rFonts w:ascii="Times New Roman" w:hAnsi="Times New Roman"/>
                <w:kern w:val="0"/>
                <w:sz w:val="18"/>
                <w:szCs w:val="18"/>
              </w:rPr>
              <w:t>20.00</w:t>
            </w:r>
          </w:p>
        </w:tc>
      </w:tr>
    </w:tbl>
    <w:p>
      <w:pPr>
        <w:outlineLvl w:val="0"/>
        <w:rPr>
          <w:rFonts w:ascii="Times New Roman" w:hAnsi="Times New Roman"/>
          <w:b/>
          <w:szCs w:val="21"/>
        </w:rPr>
      </w:pPr>
    </w:p>
    <w:p>
      <w:pPr>
        <w:ind w:firstLine="420" w:firstLineChars="200"/>
        <w:outlineLvl w:val="0"/>
        <w:rPr>
          <w:rFonts w:ascii="Times New Roman" w:hAnsi="Times New Roman"/>
          <w:bCs/>
          <w:szCs w:val="21"/>
        </w:rPr>
      </w:pPr>
    </w:p>
    <w:p>
      <w:pPr>
        <w:rPr>
          <w:rFonts w:ascii="Times New Roman" w:hAnsi="Times New Roman"/>
        </w:rPr>
      </w:pPr>
      <w:r>
        <w:rPr>
          <w:rFonts w:ascii="Times New Roman" w:hAnsi="Times New Roman"/>
        </w:rPr>
        <w:t xml:space="preserve"> 2.3.4  </w:t>
      </w:r>
      <w:r>
        <w:rPr>
          <w:rFonts w:ascii="黑体" w:hAnsi="黑体" w:eastAsia="黑体"/>
        </w:rPr>
        <w:t>抗坏血酸加入量</w:t>
      </w:r>
    </w:p>
    <w:p>
      <w:pPr>
        <w:ind w:firstLine="315" w:firstLineChars="150"/>
        <w:rPr>
          <w:rFonts w:ascii="Times New Roman" w:hAnsi="Times New Roman"/>
        </w:rPr>
      </w:pPr>
      <w:r>
        <w:rPr>
          <w:rFonts w:ascii="Times New Roman" w:hAnsi="Times New Roman"/>
          <w:szCs w:val="21"/>
        </w:rPr>
        <w:t>由于铁（</w:t>
      </w:r>
      <w:r>
        <w:rPr>
          <w:rFonts w:ascii="Times New Roman" w:hAnsi="Times New Roman"/>
          <w:color w:val="333333"/>
          <w:shd w:val="clear" w:color="auto" w:fill="FFFFFF"/>
        </w:rPr>
        <w:t>Ⅲ</w:t>
      </w:r>
      <w:r>
        <w:rPr>
          <w:rFonts w:ascii="Times New Roman" w:hAnsi="Times New Roman"/>
          <w:szCs w:val="21"/>
        </w:rPr>
        <w:t>）及铜（</w:t>
      </w:r>
      <w:r>
        <w:rPr>
          <w:rFonts w:ascii="Times New Roman" w:hAnsi="Times New Roman"/>
          <w:color w:val="333333"/>
          <w:shd w:val="clear" w:color="auto" w:fill="FFFFFF"/>
        </w:rPr>
        <w:t>II</w:t>
      </w:r>
      <w:r>
        <w:rPr>
          <w:rFonts w:ascii="Times New Roman" w:hAnsi="Times New Roman"/>
          <w:szCs w:val="21"/>
        </w:rPr>
        <w:t xml:space="preserve">）在测定体系中干扰铋的测定，在pH为1.2 </w:t>
      </w:r>
      <w:r>
        <w:rPr>
          <w:rFonts w:ascii="Times New Roman" w:hAnsi="Times New Roman"/>
          <w:kern w:val="0"/>
          <w:szCs w:val="21"/>
        </w:rPr>
        <w:t>~</w:t>
      </w:r>
      <w:r>
        <w:rPr>
          <w:rFonts w:ascii="Times New Roman" w:hAnsi="Times New Roman"/>
          <w:szCs w:val="21"/>
        </w:rPr>
        <w:t xml:space="preserve"> 1.8的微酸性条件下，采用抗坏血酸将铁（</w:t>
      </w:r>
      <w:r>
        <w:rPr>
          <w:rFonts w:ascii="Times New Roman" w:hAnsi="Times New Roman"/>
          <w:color w:val="333333"/>
          <w:shd w:val="clear" w:color="auto" w:fill="FFFFFF"/>
        </w:rPr>
        <w:t>Ⅲ</w:t>
      </w:r>
      <w:r>
        <w:rPr>
          <w:rFonts w:ascii="Times New Roman" w:hAnsi="Times New Roman"/>
          <w:szCs w:val="21"/>
        </w:rPr>
        <w:t>）还原为铁（</w:t>
      </w:r>
      <w:r>
        <w:rPr>
          <w:rFonts w:ascii="Times New Roman" w:hAnsi="Times New Roman"/>
          <w:color w:val="333333"/>
          <w:shd w:val="clear" w:color="auto" w:fill="FFFFFF"/>
        </w:rPr>
        <w:t>II</w:t>
      </w:r>
      <w:r>
        <w:rPr>
          <w:rFonts w:ascii="Times New Roman" w:hAnsi="Times New Roman"/>
          <w:szCs w:val="21"/>
        </w:rPr>
        <w:t>），铜（</w:t>
      </w:r>
      <w:r>
        <w:rPr>
          <w:rFonts w:ascii="Times New Roman" w:hAnsi="Times New Roman"/>
          <w:color w:val="333333"/>
          <w:shd w:val="clear" w:color="auto" w:fill="FFFFFF"/>
        </w:rPr>
        <w:t>II</w:t>
      </w:r>
      <w:r>
        <w:rPr>
          <w:rFonts w:ascii="Times New Roman" w:hAnsi="Times New Roman"/>
          <w:szCs w:val="21"/>
        </w:rPr>
        <w:t>）还原为铜（</w:t>
      </w:r>
      <w:r>
        <w:rPr>
          <w:rFonts w:ascii="Times New Roman" w:hAnsi="Times New Roman"/>
          <w:color w:val="333333"/>
          <w:shd w:val="clear" w:color="auto" w:fill="FFFFFF"/>
        </w:rPr>
        <w:t>I</w:t>
      </w:r>
      <w:r>
        <w:rPr>
          <w:rFonts w:ascii="Times New Roman" w:hAnsi="Times New Roman"/>
          <w:szCs w:val="21"/>
        </w:rPr>
        <w:t>），再用</w:t>
      </w:r>
      <w:r>
        <w:rPr>
          <w:rFonts w:ascii="Times New Roman" w:hAnsi="Times New Roman"/>
          <w:kern w:val="0"/>
        </w:rPr>
        <w:t>氟化铵及</w:t>
      </w:r>
      <w:r>
        <w:rPr>
          <w:rFonts w:ascii="Times New Roman" w:hAnsi="Times New Roman"/>
        </w:rPr>
        <w:t>硫脲掩蔽，</w:t>
      </w:r>
      <w:r>
        <w:rPr>
          <w:rFonts w:ascii="Times New Roman" w:hAnsi="Times New Roman"/>
          <w:szCs w:val="21"/>
        </w:rPr>
        <w:t>消除铁（</w:t>
      </w:r>
      <w:r>
        <w:rPr>
          <w:rFonts w:ascii="Times New Roman" w:hAnsi="Times New Roman"/>
          <w:color w:val="333333"/>
          <w:shd w:val="clear" w:color="auto" w:fill="FFFFFF"/>
        </w:rPr>
        <w:t>Ⅲ</w:t>
      </w:r>
      <w:r>
        <w:rPr>
          <w:rFonts w:ascii="Times New Roman" w:hAnsi="Times New Roman"/>
          <w:szCs w:val="21"/>
        </w:rPr>
        <w:t>）铜（</w:t>
      </w:r>
      <w:r>
        <w:rPr>
          <w:rFonts w:ascii="Times New Roman" w:hAnsi="Times New Roman"/>
          <w:color w:val="333333"/>
          <w:shd w:val="clear" w:color="auto" w:fill="FFFFFF"/>
        </w:rPr>
        <w:t>II</w:t>
      </w:r>
      <w:r>
        <w:rPr>
          <w:rFonts w:ascii="Times New Roman" w:hAnsi="Times New Roman"/>
          <w:szCs w:val="21"/>
        </w:rPr>
        <w:t>）对铋测定的影响。</w:t>
      </w:r>
    </w:p>
    <w:p>
      <w:pPr>
        <w:ind w:firstLine="420" w:firstLineChars="200"/>
        <w:outlineLvl w:val="0"/>
        <w:rPr>
          <w:rFonts w:ascii="Times New Roman" w:hAnsi="Times New Roman"/>
          <w:bCs/>
          <w:szCs w:val="21"/>
        </w:rPr>
      </w:pPr>
      <w:r>
        <w:rPr>
          <w:rFonts w:ascii="Times New Roman" w:hAnsi="Times New Roman"/>
          <w:bCs/>
          <w:szCs w:val="21"/>
        </w:rPr>
        <w:t xml:space="preserve">准确移取20.00 </w:t>
      </w:r>
      <w:r>
        <w:rPr>
          <w:rFonts w:ascii="Times New Roman" w:hAnsi="Times New Roman"/>
        </w:rPr>
        <w:t>mL</w:t>
      </w:r>
      <w:r>
        <w:rPr>
          <w:rFonts w:ascii="Times New Roman" w:hAnsi="Times New Roman"/>
          <w:bCs/>
          <w:szCs w:val="21"/>
        </w:rPr>
        <w:t xml:space="preserve">铋标准溶液（1.2.13）于400 </w:t>
      </w:r>
      <w:r>
        <w:rPr>
          <w:rFonts w:ascii="Times New Roman" w:hAnsi="Times New Roman"/>
        </w:rPr>
        <w:t>mL烧杯中，加入5 mL酒石酸溶液（1.2.7）</w:t>
      </w:r>
      <w:r>
        <w:rPr>
          <w:rFonts w:ascii="Times New Roman" w:hAnsi="Times New Roman"/>
          <w:bCs/>
          <w:szCs w:val="21"/>
        </w:rPr>
        <w:t>，加入33 m</w:t>
      </w:r>
      <w:r>
        <w:rPr>
          <w:rFonts w:ascii="Times New Roman" w:hAnsi="Times New Roman"/>
          <w:szCs w:val="21"/>
        </w:rPr>
        <w:t>g Fe</w:t>
      </w:r>
      <w:r>
        <w:rPr>
          <w:rFonts w:ascii="Times New Roman" w:hAnsi="Times New Roman"/>
          <w:bCs/>
          <w:szCs w:val="21"/>
        </w:rPr>
        <w:t>及</w:t>
      </w:r>
      <w:r>
        <w:rPr>
          <w:rFonts w:ascii="Times New Roman" w:hAnsi="Times New Roman"/>
          <w:szCs w:val="21"/>
        </w:rPr>
        <w:t>70 mg</w:t>
      </w:r>
      <w:r>
        <w:rPr>
          <w:rFonts w:ascii="Times New Roman" w:hAnsi="Times New Roman"/>
          <w:bCs/>
          <w:szCs w:val="21"/>
        </w:rPr>
        <w:t xml:space="preserve"> Cu，以下按</w:t>
      </w:r>
      <w:r>
        <w:rPr>
          <w:rFonts w:hint="eastAsia" w:ascii="Times New Roman" w:hAnsi="Times New Roman"/>
          <w:bCs/>
          <w:color w:val="000000" w:themeColor="text1"/>
          <w:szCs w:val="21"/>
        </w:rPr>
        <w:t>试验步骤</w:t>
      </w:r>
      <w:r>
        <w:rPr>
          <w:rFonts w:ascii="Times New Roman" w:hAnsi="Times New Roman"/>
          <w:bCs/>
          <w:szCs w:val="21"/>
        </w:rPr>
        <w:t>（1.4.4.2）。试验抗坏血酸及</w:t>
      </w:r>
      <w:r>
        <w:rPr>
          <w:rFonts w:ascii="Times New Roman" w:hAnsi="Times New Roman"/>
          <w:kern w:val="0"/>
        </w:rPr>
        <w:t>氟化铵</w:t>
      </w:r>
      <w:r>
        <w:rPr>
          <w:rFonts w:ascii="Times New Roman" w:hAnsi="Times New Roman"/>
          <w:bCs/>
          <w:szCs w:val="21"/>
        </w:rPr>
        <w:t>对铁（</w:t>
      </w:r>
      <w:r>
        <w:rPr>
          <w:rFonts w:ascii="Times New Roman" w:hAnsi="Times New Roman"/>
          <w:color w:val="333333"/>
          <w:shd w:val="clear" w:color="auto" w:fill="FFFFFF"/>
        </w:rPr>
        <w:t>Ⅲ</w:t>
      </w:r>
      <w:r>
        <w:rPr>
          <w:rFonts w:ascii="Times New Roman" w:hAnsi="Times New Roman"/>
          <w:bCs/>
          <w:szCs w:val="21"/>
        </w:rPr>
        <w:t>）的掩蔽作用，结果见表5。</w:t>
      </w:r>
    </w:p>
    <w:p>
      <w:pPr>
        <w:ind w:firstLine="420" w:firstLineChars="200"/>
        <w:rPr>
          <w:rFonts w:ascii="Times New Roman" w:hAnsi="Times New Roman"/>
          <w:bCs/>
          <w:szCs w:val="21"/>
        </w:rPr>
      </w:pPr>
      <w:r>
        <w:rPr>
          <w:rFonts w:ascii="Times New Roman" w:hAnsi="Times New Roman"/>
          <w:szCs w:val="21"/>
        </w:rPr>
        <w:t>由表5可见，</w:t>
      </w:r>
      <w:r>
        <w:rPr>
          <w:rFonts w:ascii="Times New Roman" w:hAnsi="Times New Roman"/>
          <w:bCs/>
          <w:szCs w:val="21"/>
        </w:rPr>
        <w:t>当铁量为33 mg时，加入</w:t>
      </w:r>
      <w:r>
        <w:rPr>
          <w:rFonts w:ascii="Times New Roman" w:hAnsi="Times New Roman"/>
          <w:kern w:val="0"/>
        </w:rPr>
        <w:t>氟化铵</w:t>
      </w:r>
      <w:r>
        <w:rPr>
          <w:rFonts w:ascii="Times New Roman" w:hAnsi="Times New Roman"/>
          <w:color w:val="000000"/>
          <w:kern w:val="0"/>
          <w:szCs w:val="21"/>
        </w:rPr>
        <w:t>时，</w:t>
      </w:r>
      <w:r>
        <w:rPr>
          <w:rFonts w:ascii="Times New Roman" w:hAnsi="Times New Roman"/>
          <w:szCs w:val="21"/>
        </w:rPr>
        <w:t>铁（</w:t>
      </w:r>
      <w:r>
        <w:rPr>
          <w:rFonts w:ascii="Times New Roman" w:hAnsi="Times New Roman"/>
          <w:color w:val="333333"/>
          <w:shd w:val="clear" w:color="auto" w:fill="FFFFFF"/>
        </w:rPr>
        <w:t>Ⅲ</w:t>
      </w:r>
      <w:r>
        <w:rPr>
          <w:rFonts w:ascii="Times New Roman" w:hAnsi="Times New Roman"/>
          <w:szCs w:val="21"/>
        </w:rPr>
        <w:t>）</w:t>
      </w:r>
      <w:r>
        <w:rPr>
          <w:rFonts w:ascii="Times New Roman" w:hAnsi="Times New Roman"/>
          <w:color w:val="000000"/>
          <w:kern w:val="0"/>
          <w:szCs w:val="21"/>
        </w:rPr>
        <w:t>黄色消失，</w:t>
      </w:r>
      <w:r>
        <w:rPr>
          <w:rFonts w:ascii="Times New Roman" w:hAnsi="Times New Roman"/>
          <w:kern w:val="0"/>
          <w:szCs w:val="21"/>
        </w:rPr>
        <w:t>加入</w:t>
      </w:r>
      <w:r>
        <w:rPr>
          <w:rFonts w:ascii="Times New Roman" w:hAnsi="Times New Roman"/>
          <w:szCs w:val="21"/>
        </w:rPr>
        <w:t>抗坏血酸后铜（</w:t>
      </w:r>
      <w:r>
        <w:rPr>
          <w:rFonts w:ascii="Times New Roman" w:hAnsi="Times New Roman"/>
          <w:color w:val="333333"/>
          <w:shd w:val="clear" w:color="auto" w:fill="FFFFFF"/>
        </w:rPr>
        <w:t>II</w:t>
      </w:r>
      <w:r>
        <w:rPr>
          <w:rFonts w:ascii="Times New Roman" w:hAnsi="Times New Roman"/>
          <w:szCs w:val="21"/>
        </w:rPr>
        <w:t>）还原为铜（</w:t>
      </w:r>
      <w:r>
        <w:rPr>
          <w:rFonts w:ascii="Times New Roman" w:hAnsi="Times New Roman"/>
          <w:color w:val="333333"/>
          <w:shd w:val="clear" w:color="auto" w:fill="FFFFFF"/>
        </w:rPr>
        <w:t>I</w:t>
      </w:r>
      <w:r>
        <w:rPr>
          <w:rFonts w:ascii="Times New Roman" w:hAnsi="Times New Roman"/>
          <w:szCs w:val="21"/>
        </w:rPr>
        <w:t>），加入抗坏血酸0.1 g</w:t>
      </w:r>
      <w:r>
        <w:rPr>
          <w:rFonts w:ascii="Times New Roman" w:hAnsi="Times New Roman"/>
        </w:rPr>
        <w:t xml:space="preserve"> </w:t>
      </w:r>
      <w:r>
        <w:rPr>
          <w:rFonts w:ascii="Times New Roman" w:hAnsi="Times New Roman"/>
          <w:kern w:val="0"/>
          <w:szCs w:val="21"/>
        </w:rPr>
        <w:t xml:space="preserve">~ </w:t>
      </w:r>
      <w:r>
        <w:rPr>
          <w:rFonts w:ascii="Times New Roman" w:hAnsi="Times New Roman"/>
          <w:szCs w:val="21"/>
        </w:rPr>
        <w:t>0.3 g，</w:t>
      </w:r>
      <w:r>
        <w:rPr>
          <w:rFonts w:ascii="Times New Roman" w:hAnsi="Times New Roman"/>
          <w:bCs/>
          <w:szCs w:val="21"/>
        </w:rPr>
        <w:t>铋的回收率均好，</w:t>
      </w:r>
      <w:r>
        <w:rPr>
          <w:rFonts w:ascii="Times New Roman" w:hAnsi="Times New Roman"/>
          <w:szCs w:val="21"/>
        </w:rPr>
        <w:t>试验选择</w:t>
      </w:r>
      <w:r>
        <w:rPr>
          <w:rFonts w:ascii="Times New Roman" w:hAnsi="Times New Roman"/>
          <w:kern w:val="0"/>
          <w:szCs w:val="21"/>
        </w:rPr>
        <w:t>加入0.2</w:t>
      </w:r>
      <w:r>
        <w:rPr>
          <w:rFonts w:ascii="Times New Roman" w:hAnsi="Times New Roman"/>
          <w:szCs w:val="21"/>
        </w:rPr>
        <w:t>g，试验结果见表5。</w:t>
      </w:r>
    </w:p>
    <w:p>
      <w:pPr>
        <w:ind w:firstLine="210" w:firstLineChars="100"/>
        <w:rPr>
          <w:rFonts w:ascii="Times New Roman" w:hAnsi="Times New Roman"/>
        </w:rPr>
      </w:pPr>
    </w:p>
    <w:p>
      <w:pPr>
        <w:ind w:firstLine="2100" w:firstLineChars="1000"/>
        <w:rPr>
          <w:rFonts w:ascii="Times New Roman" w:hAnsi="Times New Roman"/>
          <w:szCs w:val="21"/>
        </w:rPr>
      </w:pPr>
      <w:r>
        <w:rPr>
          <w:rFonts w:ascii="Times New Roman" w:hAnsi="Times New Roman"/>
          <w:szCs w:val="21"/>
        </w:rPr>
        <w:t>表5抗坏血酸加入量对测定铋结果的影响</w:t>
      </w:r>
    </w:p>
    <w:p>
      <w:pPr>
        <w:ind w:firstLine="2100" w:firstLineChars="1000"/>
        <w:rPr>
          <w:rFonts w:ascii="Times New Roman" w:hAnsi="Times New Roman"/>
          <w:szCs w:val="21"/>
        </w:rPr>
      </w:pPr>
    </w:p>
    <w:tbl>
      <w:tblPr>
        <w:tblStyle w:val="3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01"/>
        <w:gridCol w:w="1843"/>
        <w:gridCol w:w="2693"/>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试</w:t>
            </w:r>
            <w:r>
              <w:rPr>
                <w:rFonts w:ascii="Times New Roman" w:hAnsi="Times New Roman"/>
                <w:color w:val="000000"/>
                <w:kern w:val="0"/>
                <w:sz w:val="18"/>
                <w:szCs w:val="18"/>
              </w:rPr>
              <w:t>验条件</w:t>
            </w:r>
          </w:p>
        </w:tc>
        <w:tc>
          <w:tcPr>
            <w:tcW w:w="1701" w:type="dxa"/>
            <w:vAlign w:val="center"/>
          </w:tcPr>
          <w:p>
            <w:pPr>
              <w:widowControl/>
              <w:jc w:val="center"/>
              <w:rPr>
                <w:rFonts w:ascii="Times New Roman" w:hAnsi="Times New Roman"/>
                <w:color w:val="000000"/>
                <w:kern w:val="0"/>
                <w:sz w:val="18"/>
                <w:szCs w:val="18"/>
              </w:rPr>
            </w:pPr>
            <w:r>
              <w:rPr>
                <w:rFonts w:ascii="Times New Roman" w:hAnsi="Times New Roman"/>
                <w:kern w:val="0"/>
                <w:sz w:val="18"/>
                <w:szCs w:val="18"/>
              </w:rPr>
              <w:t>加入</w:t>
            </w:r>
            <w:r>
              <w:rPr>
                <w:rFonts w:ascii="Times New Roman" w:hAnsi="Times New Roman"/>
                <w:color w:val="000000"/>
                <w:kern w:val="0"/>
                <w:sz w:val="18"/>
                <w:szCs w:val="18"/>
              </w:rPr>
              <w:t>抗坏血酸量g</w:t>
            </w:r>
          </w:p>
        </w:tc>
        <w:tc>
          <w:tcPr>
            <w:tcW w:w="1843" w:type="dxa"/>
          </w:tcPr>
          <w:p>
            <w:pPr>
              <w:widowControl/>
              <w:jc w:val="center"/>
              <w:rPr>
                <w:rFonts w:ascii="Times New Roman" w:hAnsi="Times New Roman"/>
                <w:color w:val="FF0000"/>
                <w:kern w:val="0"/>
                <w:sz w:val="18"/>
                <w:szCs w:val="18"/>
              </w:rPr>
            </w:pPr>
            <w:r>
              <w:rPr>
                <w:rFonts w:ascii="Times New Roman" w:hAnsi="Times New Roman"/>
                <w:bCs/>
                <w:sz w:val="18"/>
                <w:szCs w:val="18"/>
              </w:rPr>
              <w:t>按</w:t>
            </w:r>
            <w:r>
              <w:rPr>
                <w:rFonts w:hint="eastAsia" w:ascii="Times New Roman" w:hAnsi="Times New Roman"/>
                <w:bCs/>
                <w:sz w:val="18"/>
                <w:szCs w:val="18"/>
              </w:rPr>
              <w:t>试</w:t>
            </w:r>
            <w:r>
              <w:rPr>
                <w:rFonts w:ascii="Times New Roman" w:hAnsi="Times New Roman"/>
                <w:bCs/>
                <w:sz w:val="18"/>
                <w:szCs w:val="18"/>
              </w:rPr>
              <w:t>验方法（1.4.4.2）</w:t>
            </w:r>
            <w:r>
              <w:rPr>
                <w:rFonts w:ascii="Times New Roman" w:hAnsi="Times New Roman"/>
                <w:kern w:val="0"/>
                <w:sz w:val="18"/>
                <w:szCs w:val="18"/>
              </w:rPr>
              <w:t>pH值</w:t>
            </w:r>
          </w:p>
        </w:tc>
        <w:tc>
          <w:tcPr>
            <w:tcW w:w="2693" w:type="dxa"/>
          </w:tcPr>
          <w:p>
            <w:pPr>
              <w:widowControl/>
              <w:jc w:val="center"/>
              <w:rPr>
                <w:rFonts w:ascii="Times New Roman" w:hAnsi="Times New Roman"/>
                <w:kern w:val="0"/>
                <w:sz w:val="18"/>
                <w:szCs w:val="18"/>
              </w:rPr>
            </w:pPr>
            <w:r>
              <w:rPr>
                <w:rFonts w:ascii="Times New Roman" w:hAnsi="Times New Roman"/>
                <w:kern w:val="0"/>
                <w:sz w:val="18"/>
                <w:szCs w:val="18"/>
              </w:rPr>
              <w:t>试验现象</w:t>
            </w:r>
          </w:p>
        </w:tc>
        <w:tc>
          <w:tcPr>
            <w:tcW w:w="1183" w:type="dxa"/>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测得铋量mg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jc w:val="center"/>
              <w:rPr>
                <w:rFonts w:ascii="Times New Roman" w:hAnsi="Times New Roman"/>
                <w:sz w:val="18"/>
                <w:szCs w:val="18"/>
              </w:rPr>
            </w:pPr>
            <w:r>
              <w:rPr>
                <w:rFonts w:ascii="Times New Roman" w:hAnsi="Times New Roman"/>
                <w:sz w:val="18"/>
                <w:szCs w:val="18"/>
              </w:rPr>
              <w:t xml:space="preserve">20.00 </w:t>
            </w:r>
            <w:r>
              <w:rPr>
                <w:rFonts w:ascii="Times New Roman" w:hAnsi="Times New Roman"/>
                <w:kern w:val="0"/>
                <w:sz w:val="18"/>
                <w:szCs w:val="18"/>
              </w:rPr>
              <w:t xml:space="preserve">mg </w:t>
            </w:r>
            <w:r>
              <w:rPr>
                <w:rFonts w:ascii="Times New Roman" w:hAnsi="Times New Roman"/>
                <w:sz w:val="18"/>
                <w:szCs w:val="18"/>
              </w:rPr>
              <w:t>Bi</w:t>
            </w:r>
          </w:p>
          <w:p>
            <w:pPr>
              <w:jc w:val="center"/>
              <w:rPr>
                <w:rFonts w:ascii="Times New Roman" w:hAnsi="Times New Roman"/>
                <w:sz w:val="18"/>
                <w:szCs w:val="18"/>
              </w:rPr>
            </w:pPr>
            <w:r>
              <w:rPr>
                <w:rFonts w:ascii="Times New Roman" w:hAnsi="Times New Roman"/>
                <w:sz w:val="18"/>
                <w:szCs w:val="18"/>
              </w:rPr>
              <w:t>+33 mg Fe+70 mg</w:t>
            </w:r>
            <w:r>
              <w:rPr>
                <w:rFonts w:ascii="Times New Roman" w:hAnsi="Times New Roman"/>
                <w:bCs/>
                <w:sz w:val="18"/>
                <w:szCs w:val="18"/>
              </w:rPr>
              <w:t xml:space="preserve"> Cu</w:t>
            </w:r>
          </w:p>
        </w:tc>
        <w:tc>
          <w:tcPr>
            <w:tcW w:w="1701" w:type="dxa"/>
            <w:vAlign w:val="center"/>
          </w:tcPr>
          <w:p>
            <w:pPr>
              <w:widowControl/>
              <w:jc w:val="center"/>
              <w:rPr>
                <w:rFonts w:ascii="Times New Roman" w:hAnsi="Times New Roman"/>
                <w:kern w:val="0"/>
                <w:sz w:val="18"/>
                <w:szCs w:val="18"/>
              </w:rPr>
            </w:pPr>
            <w:r>
              <w:rPr>
                <w:rFonts w:ascii="Times New Roman" w:hAnsi="Times New Roman"/>
                <w:kern w:val="0"/>
                <w:sz w:val="18"/>
                <w:szCs w:val="18"/>
              </w:rPr>
              <w:t>0</w:t>
            </w:r>
          </w:p>
        </w:tc>
        <w:tc>
          <w:tcPr>
            <w:tcW w:w="1843" w:type="dxa"/>
            <w:vMerge w:val="restart"/>
            <w:vAlign w:val="center"/>
          </w:tcPr>
          <w:p>
            <w:pPr>
              <w:widowControl/>
              <w:jc w:val="left"/>
              <w:rPr>
                <w:rFonts w:ascii="Times New Roman" w:hAnsi="Times New Roman"/>
                <w:kern w:val="0"/>
                <w:sz w:val="18"/>
                <w:szCs w:val="18"/>
              </w:rPr>
            </w:pPr>
            <w:r>
              <w:rPr>
                <w:rFonts w:ascii="Times New Roman" w:hAnsi="Times New Roman"/>
                <w:kern w:val="0"/>
                <w:sz w:val="18"/>
                <w:szCs w:val="18"/>
              </w:rPr>
              <w:t xml:space="preserve">调节pH </w:t>
            </w:r>
            <w:r>
              <w:rPr>
                <w:rFonts w:ascii="Times New Roman" w:hAnsi="Times New Roman"/>
                <w:sz w:val="18"/>
                <w:szCs w:val="18"/>
              </w:rPr>
              <w:t xml:space="preserve">1.2 </w:t>
            </w:r>
            <w:r>
              <w:rPr>
                <w:rFonts w:ascii="Times New Roman" w:hAnsi="Times New Roman"/>
                <w:kern w:val="0"/>
                <w:sz w:val="18"/>
                <w:szCs w:val="18"/>
              </w:rPr>
              <w:t>~ 1.8</w:t>
            </w:r>
          </w:p>
        </w:tc>
        <w:tc>
          <w:tcPr>
            <w:tcW w:w="2693" w:type="dxa"/>
          </w:tcPr>
          <w:p>
            <w:pPr>
              <w:widowControl/>
              <w:jc w:val="center"/>
              <w:rPr>
                <w:rFonts w:ascii="Times New Roman" w:hAnsi="Times New Roman"/>
                <w:kern w:val="0"/>
                <w:sz w:val="18"/>
                <w:szCs w:val="18"/>
              </w:rPr>
            </w:pPr>
            <w:bookmarkStart w:id="20" w:name="OLE_LINK22"/>
            <w:bookmarkStart w:id="21" w:name="OLE_LINK23"/>
            <w:r>
              <w:rPr>
                <w:rFonts w:ascii="Times New Roman" w:hAnsi="Times New Roman"/>
                <w:kern w:val="0"/>
                <w:sz w:val="18"/>
                <w:szCs w:val="18"/>
              </w:rPr>
              <w:t>终点清晰</w:t>
            </w:r>
            <w:bookmarkEnd w:id="20"/>
            <w:bookmarkEnd w:id="21"/>
          </w:p>
        </w:tc>
        <w:tc>
          <w:tcPr>
            <w:tcW w:w="1183" w:type="dxa"/>
            <w:vAlign w:val="center"/>
          </w:tcPr>
          <w:p>
            <w:pPr>
              <w:widowControl/>
              <w:jc w:val="center"/>
              <w:rPr>
                <w:rFonts w:ascii="Times New Roman" w:hAnsi="Times New Roman"/>
                <w:kern w:val="0"/>
                <w:sz w:val="18"/>
                <w:szCs w:val="18"/>
              </w:rPr>
            </w:pPr>
            <w:r>
              <w:rPr>
                <w:rFonts w:ascii="Times New Roman" w:hAnsi="Times New Roman"/>
                <w:kern w:val="0"/>
                <w:sz w:val="18"/>
                <w:szCs w:val="18"/>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widowControl/>
              <w:jc w:val="left"/>
              <w:rPr>
                <w:rFonts w:ascii="Times New Roman" w:hAnsi="Times New Roman"/>
                <w:sz w:val="18"/>
                <w:szCs w:val="18"/>
              </w:rPr>
            </w:pPr>
          </w:p>
        </w:tc>
        <w:tc>
          <w:tcPr>
            <w:tcW w:w="1701" w:type="dxa"/>
            <w:vAlign w:val="center"/>
          </w:tcPr>
          <w:p>
            <w:pPr>
              <w:widowControl/>
              <w:jc w:val="center"/>
              <w:rPr>
                <w:rFonts w:ascii="Times New Roman" w:hAnsi="Times New Roman"/>
                <w:kern w:val="0"/>
                <w:sz w:val="18"/>
                <w:szCs w:val="18"/>
              </w:rPr>
            </w:pPr>
            <w:r>
              <w:rPr>
                <w:rFonts w:ascii="Times New Roman" w:hAnsi="Times New Roman"/>
                <w:kern w:val="0"/>
                <w:sz w:val="18"/>
                <w:szCs w:val="18"/>
              </w:rPr>
              <w:t>0.1</w:t>
            </w:r>
          </w:p>
        </w:tc>
        <w:tc>
          <w:tcPr>
            <w:tcW w:w="1843" w:type="dxa"/>
            <w:vMerge w:val="continue"/>
          </w:tcPr>
          <w:p>
            <w:pPr>
              <w:widowControl/>
              <w:jc w:val="left"/>
              <w:rPr>
                <w:rFonts w:ascii="Times New Roman" w:hAnsi="Times New Roman"/>
                <w:kern w:val="0"/>
                <w:sz w:val="18"/>
                <w:szCs w:val="18"/>
              </w:rPr>
            </w:pPr>
          </w:p>
        </w:tc>
        <w:tc>
          <w:tcPr>
            <w:tcW w:w="2693" w:type="dxa"/>
          </w:tcPr>
          <w:p>
            <w:pPr>
              <w:widowControl/>
              <w:jc w:val="center"/>
              <w:rPr>
                <w:rFonts w:ascii="Times New Roman" w:hAnsi="Times New Roman"/>
                <w:kern w:val="0"/>
                <w:sz w:val="18"/>
                <w:szCs w:val="18"/>
              </w:rPr>
            </w:pPr>
            <w:r>
              <w:rPr>
                <w:rFonts w:ascii="Times New Roman" w:hAnsi="Times New Roman"/>
                <w:kern w:val="0"/>
                <w:sz w:val="18"/>
                <w:szCs w:val="18"/>
              </w:rPr>
              <w:t>终点清晰</w:t>
            </w:r>
          </w:p>
        </w:tc>
        <w:tc>
          <w:tcPr>
            <w:tcW w:w="1183" w:type="dxa"/>
            <w:vAlign w:val="center"/>
          </w:tcPr>
          <w:p>
            <w:pPr>
              <w:widowControl/>
              <w:jc w:val="center"/>
              <w:rPr>
                <w:rFonts w:ascii="Times New Roman" w:hAnsi="Times New Roman"/>
                <w:kern w:val="0"/>
                <w:sz w:val="18"/>
                <w:szCs w:val="18"/>
              </w:rPr>
            </w:pPr>
            <w:r>
              <w:rPr>
                <w:rFonts w:ascii="Times New Roman" w:hAnsi="Times New Roman"/>
                <w:kern w:val="0"/>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widowControl/>
              <w:jc w:val="left"/>
              <w:rPr>
                <w:rFonts w:ascii="Times New Roman" w:hAnsi="Times New Roman"/>
                <w:sz w:val="18"/>
                <w:szCs w:val="18"/>
              </w:rPr>
            </w:pPr>
          </w:p>
        </w:tc>
        <w:tc>
          <w:tcPr>
            <w:tcW w:w="1701" w:type="dxa"/>
            <w:vAlign w:val="center"/>
          </w:tcPr>
          <w:p>
            <w:pPr>
              <w:widowControl/>
              <w:jc w:val="center"/>
              <w:rPr>
                <w:rFonts w:ascii="Times New Roman" w:hAnsi="Times New Roman"/>
                <w:kern w:val="0"/>
                <w:sz w:val="18"/>
                <w:szCs w:val="18"/>
              </w:rPr>
            </w:pPr>
            <w:r>
              <w:rPr>
                <w:rFonts w:ascii="Times New Roman" w:hAnsi="Times New Roman"/>
                <w:kern w:val="0"/>
                <w:sz w:val="18"/>
                <w:szCs w:val="18"/>
              </w:rPr>
              <w:t>0.2</w:t>
            </w:r>
          </w:p>
        </w:tc>
        <w:tc>
          <w:tcPr>
            <w:tcW w:w="1843" w:type="dxa"/>
            <w:vMerge w:val="continue"/>
          </w:tcPr>
          <w:p>
            <w:pPr>
              <w:widowControl/>
              <w:jc w:val="left"/>
              <w:rPr>
                <w:rFonts w:ascii="Times New Roman" w:hAnsi="Times New Roman"/>
                <w:kern w:val="0"/>
                <w:sz w:val="18"/>
                <w:szCs w:val="18"/>
              </w:rPr>
            </w:pPr>
          </w:p>
        </w:tc>
        <w:tc>
          <w:tcPr>
            <w:tcW w:w="2693" w:type="dxa"/>
          </w:tcPr>
          <w:p>
            <w:pPr>
              <w:widowControl/>
              <w:jc w:val="center"/>
              <w:rPr>
                <w:rFonts w:ascii="Times New Roman" w:hAnsi="Times New Roman"/>
                <w:kern w:val="0"/>
                <w:sz w:val="18"/>
                <w:szCs w:val="18"/>
              </w:rPr>
            </w:pPr>
            <w:r>
              <w:rPr>
                <w:rFonts w:ascii="Times New Roman" w:hAnsi="Times New Roman"/>
                <w:kern w:val="0"/>
                <w:sz w:val="18"/>
                <w:szCs w:val="18"/>
              </w:rPr>
              <w:t>终点清晰</w:t>
            </w:r>
          </w:p>
        </w:tc>
        <w:tc>
          <w:tcPr>
            <w:tcW w:w="1183" w:type="dxa"/>
            <w:vAlign w:val="center"/>
          </w:tcPr>
          <w:p>
            <w:pPr>
              <w:widowControl/>
              <w:jc w:val="center"/>
              <w:rPr>
                <w:rFonts w:ascii="Times New Roman" w:hAnsi="Times New Roman"/>
                <w:kern w:val="0"/>
                <w:sz w:val="18"/>
                <w:szCs w:val="18"/>
              </w:rPr>
            </w:pPr>
            <w:r>
              <w:rPr>
                <w:rFonts w:ascii="Times New Roman" w:hAnsi="Times New Roman"/>
                <w:kern w:val="0"/>
                <w:sz w:val="18"/>
                <w:szCs w:val="18"/>
              </w:rPr>
              <w:t>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widowControl/>
              <w:jc w:val="left"/>
              <w:rPr>
                <w:rFonts w:ascii="Times New Roman" w:hAnsi="Times New Roman"/>
                <w:sz w:val="18"/>
                <w:szCs w:val="18"/>
              </w:rPr>
            </w:pPr>
          </w:p>
        </w:tc>
        <w:tc>
          <w:tcPr>
            <w:tcW w:w="1701" w:type="dxa"/>
            <w:vAlign w:val="center"/>
          </w:tcPr>
          <w:p>
            <w:pPr>
              <w:widowControl/>
              <w:jc w:val="center"/>
              <w:rPr>
                <w:rFonts w:ascii="Times New Roman" w:hAnsi="Times New Roman"/>
                <w:kern w:val="0"/>
                <w:sz w:val="18"/>
                <w:szCs w:val="18"/>
              </w:rPr>
            </w:pPr>
            <w:r>
              <w:rPr>
                <w:rFonts w:ascii="Times New Roman" w:hAnsi="Times New Roman"/>
                <w:kern w:val="0"/>
                <w:sz w:val="18"/>
                <w:szCs w:val="18"/>
              </w:rPr>
              <w:t>0.3</w:t>
            </w:r>
          </w:p>
        </w:tc>
        <w:tc>
          <w:tcPr>
            <w:tcW w:w="1843" w:type="dxa"/>
            <w:vMerge w:val="continue"/>
          </w:tcPr>
          <w:p>
            <w:pPr>
              <w:widowControl/>
              <w:jc w:val="left"/>
              <w:rPr>
                <w:rFonts w:ascii="Times New Roman" w:hAnsi="Times New Roman"/>
                <w:kern w:val="0"/>
                <w:sz w:val="18"/>
                <w:szCs w:val="18"/>
              </w:rPr>
            </w:pPr>
          </w:p>
        </w:tc>
        <w:tc>
          <w:tcPr>
            <w:tcW w:w="2693" w:type="dxa"/>
          </w:tcPr>
          <w:p>
            <w:pPr>
              <w:widowControl/>
              <w:jc w:val="center"/>
              <w:rPr>
                <w:rFonts w:ascii="Times New Roman" w:hAnsi="Times New Roman"/>
                <w:kern w:val="0"/>
                <w:sz w:val="18"/>
                <w:szCs w:val="18"/>
              </w:rPr>
            </w:pPr>
            <w:r>
              <w:rPr>
                <w:rFonts w:ascii="Times New Roman" w:hAnsi="Times New Roman"/>
                <w:kern w:val="0"/>
                <w:sz w:val="18"/>
                <w:szCs w:val="18"/>
              </w:rPr>
              <w:t>终点清晰</w:t>
            </w:r>
          </w:p>
        </w:tc>
        <w:tc>
          <w:tcPr>
            <w:tcW w:w="1183" w:type="dxa"/>
            <w:vAlign w:val="center"/>
          </w:tcPr>
          <w:p>
            <w:pPr>
              <w:widowControl/>
              <w:jc w:val="center"/>
              <w:rPr>
                <w:rFonts w:ascii="Times New Roman" w:hAnsi="Times New Roman"/>
                <w:kern w:val="0"/>
                <w:sz w:val="18"/>
                <w:szCs w:val="18"/>
              </w:rPr>
            </w:pPr>
            <w:r>
              <w:rPr>
                <w:rFonts w:ascii="Times New Roman" w:hAnsi="Times New Roman"/>
                <w:kern w:val="0"/>
                <w:sz w:val="18"/>
                <w:szCs w:val="18"/>
              </w:rPr>
              <w:t>20.09</w:t>
            </w:r>
          </w:p>
        </w:tc>
      </w:tr>
    </w:tbl>
    <w:p>
      <w:pPr>
        <w:rPr>
          <w:rFonts w:ascii="Times New Roman" w:hAnsi="Times New Roman"/>
        </w:rPr>
      </w:pPr>
    </w:p>
    <w:p>
      <w:pPr>
        <w:rPr>
          <w:rFonts w:ascii="Times New Roman" w:hAnsi="Times New Roman"/>
        </w:rPr>
      </w:pPr>
      <w:r>
        <w:rPr>
          <w:rFonts w:ascii="Times New Roman" w:hAnsi="Times New Roman"/>
        </w:rPr>
        <w:t xml:space="preserve">2.3.5  </w:t>
      </w:r>
      <w:r>
        <w:rPr>
          <w:rFonts w:ascii="黑体" w:hAnsi="黑体" w:eastAsia="黑体"/>
        </w:rPr>
        <w:t>硫脲用量</w:t>
      </w:r>
    </w:p>
    <w:p>
      <w:pPr>
        <w:ind w:firstLine="420" w:firstLineChars="200"/>
        <w:outlineLvl w:val="0"/>
        <w:rPr>
          <w:rFonts w:ascii="Times New Roman" w:hAnsi="Times New Roman"/>
          <w:szCs w:val="21"/>
        </w:rPr>
      </w:pPr>
      <w:r>
        <w:rPr>
          <w:rFonts w:ascii="Times New Roman" w:hAnsi="Times New Roman"/>
          <w:bCs/>
          <w:szCs w:val="21"/>
        </w:rPr>
        <w:t xml:space="preserve">准确移取一系列20.00 </w:t>
      </w:r>
      <w:r>
        <w:rPr>
          <w:rFonts w:ascii="Times New Roman" w:hAnsi="Times New Roman"/>
        </w:rPr>
        <w:t>mL</w:t>
      </w:r>
      <w:r>
        <w:rPr>
          <w:rFonts w:ascii="Times New Roman" w:hAnsi="Times New Roman"/>
          <w:bCs/>
          <w:szCs w:val="21"/>
        </w:rPr>
        <w:t xml:space="preserve">铋标准溶液（1.2.13）于400 </w:t>
      </w:r>
      <w:r>
        <w:rPr>
          <w:rFonts w:ascii="Times New Roman" w:hAnsi="Times New Roman"/>
        </w:rPr>
        <w:t>mL烧杯中，加入5 mL酒石酸溶液（1.2.7）</w:t>
      </w:r>
      <w:r>
        <w:rPr>
          <w:rFonts w:ascii="Times New Roman" w:hAnsi="Times New Roman"/>
          <w:bCs/>
          <w:szCs w:val="21"/>
        </w:rPr>
        <w:t>，加入</w:t>
      </w:r>
      <w:r>
        <w:rPr>
          <w:rFonts w:ascii="Times New Roman" w:hAnsi="Times New Roman"/>
          <w:szCs w:val="21"/>
        </w:rPr>
        <w:t>33 mg Fe及</w:t>
      </w:r>
      <w:r>
        <w:rPr>
          <w:rFonts w:ascii="Times New Roman" w:hAnsi="Times New Roman"/>
        </w:rPr>
        <w:t xml:space="preserve">30 </w:t>
      </w:r>
      <w:r>
        <w:rPr>
          <w:rFonts w:ascii="Times New Roman" w:hAnsi="Times New Roman"/>
          <w:szCs w:val="21"/>
        </w:rPr>
        <w:t>mg</w:t>
      </w:r>
      <w:r>
        <w:rPr>
          <w:rFonts w:ascii="Times New Roman" w:hAnsi="Times New Roman"/>
        </w:rPr>
        <w:t xml:space="preserve"> </w:t>
      </w:r>
      <w:r>
        <w:rPr>
          <w:rFonts w:ascii="Times New Roman" w:hAnsi="Times New Roman"/>
          <w:kern w:val="0"/>
          <w:szCs w:val="21"/>
        </w:rPr>
        <w:t>~</w:t>
      </w:r>
      <w:r>
        <w:rPr>
          <w:rFonts w:ascii="Times New Roman" w:hAnsi="Times New Roman"/>
        </w:rPr>
        <w:t>70</w:t>
      </w:r>
      <w:r>
        <w:rPr>
          <w:rFonts w:ascii="Times New Roman" w:hAnsi="Times New Roman"/>
          <w:szCs w:val="21"/>
        </w:rPr>
        <w:t xml:space="preserve"> mg铜，</w:t>
      </w:r>
      <w:r>
        <w:rPr>
          <w:rFonts w:ascii="Times New Roman" w:hAnsi="Times New Roman"/>
        </w:rPr>
        <w:t>加入不同量</w:t>
      </w:r>
      <w:r>
        <w:rPr>
          <w:rFonts w:ascii="Times New Roman" w:hAnsi="Times New Roman"/>
          <w:bCs/>
          <w:szCs w:val="21"/>
        </w:rPr>
        <w:t>硫脲（</w:t>
      </w:r>
      <w:r>
        <w:rPr>
          <w:rFonts w:ascii="Times New Roman" w:hAnsi="Times New Roman"/>
        </w:rPr>
        <w:t>1.2.6），</w:t>
      </w:r>
      <w:r>
        <w:rPr>
          <w:rFonts w:ascii="Times New Roman" w:hAnsi="Times New Roman"/>
          <w:bCs/>
          <w:szCs w:val="21"/>
        </w:rPr>
        <w:t>按</w:t>
      </w:r>
      <w:r>
        <w:rPr>
          <w:rFonts w:hint="eastAsia" w:ascii="Times New Roman" w:hAnsi="Times New Roman"/>
          <w:bCs/>
          <w:szCs w:val="21"/>
        </w:rPr>
        <w:t>试</w:t>
      </w:r>
      <w:r>
        <w:rPr>
          <w:rFonts w:ascii="Times New Roman" w:hAnsi="Times New Roman"/>
          <w:bCs/>
          <w:szCs w:val="21"/>
        </w:rPr>
        <w:t>验</w:t>
      </w:r>
      <w:r>
        <w:rPr>
          <w:rFonts w:hint="eastAsia" w:ascii="Times New Roman" w:hAnsi="Times New Roman"/>
          <w:bCs/>
          <w:color w:val="000000" w:themeColor="text1"/>
          <w:szCs w:val="21"/>
        </w:rPr>
        <w:t>步骤</w:t>
      </w:r>
      <w:r>
        <w:rPr>
          <w:rFonts w:ascii="Times New Roman" w:hAnsi="Times New Roman"/>
          <w:bCs/>
          <w:szCs w:val="21"/>
        </w:rPr>
        <w:t>（1.4.4.2）进行测定，试验结果见表6。</w:t>
      </w:r>
    </w:p>
    <w:p>
      <w:pPr>
        <w:ind w:firstLine="420" w:firstLineChars="200"/>
        <w:jc w:val="center"/>
        <w:rPr>
          <w:rFonts w:ascii="Times New Roman" w:hAnsi="Times New Roman"/>
          <w:szCs w:val="21"/>
        </w:rPr>
      </w:pPr>
    </w:p>
    <w:p>
      <w:pPr>
        <w:ind w:firstLine="420" w:firstLineChars="200"/>
        <w:jc w:val="center"/>
        <w:rPr>
          <w:rFonts w:ascii="Times New Roman" w:hAnsi="Times New Roman"/>
          <w:szCs w:val="21"/>
        </w:rPr>
      </w:pPr>
      <w:r>
        <w:rPr>
          <w:rFonts w:ascii="Times New Roman" w:hAnsi="Times New Roman"/>
          <w:szCs w:val="21"/>
        </w:rPr>
        <w:t>表6硫脲加入量</w:t>
      </w:r>
    </w:p>
    <w:p>
      <w:pPr>
        <w:ind w:firstLine="360" w:firstLineChars="200"/>
        <w:jc w:val="center"/>
        <w:rPr>
          <w:rFonts w:ascii="Times New Roman" w:hAnsi="Times New Roman"/>
          <w:sz w:val="18"/>
          <w:szCs w:val="18"/>
        </w:rPr>
      </w:pPr>
    </w:p>
    <w:tbl>
      <w:tblPr>
        <w:tblStyle w:val="3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2273"/>
        <w:gridCol w:w="1442"/>
        <w:gridCol w:w="1365"/>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jc w:val="center"/>
              <w:rPr>
                <w:rFonts w:ascii="Times New Roman" w:hAnsi="Times New Roman"/>
                <w:sz w:val="18"/>
                <w:szCs w:val="18"/>
              </w:rPr>
            </w:pPr>
            <w:r>
              <w:rPr>
                <w:rFonts w:ascii="Times New Roman" w:hAnsi="Times New Roman"/>
                <w:sz w:val="18"/>
                <w:szCs w:val="18"/>
              </w:rPr>
              <w:t>硫脲溶液（1.2.</w:t>
            </w:r>
            <w:r>
              <w:rPr>
                <w:rFonts w:ascii="Times New Roman" w:hAnsi="Times New Roman"/>
                <w:color w:val="000000" w:themeColor="text1"/>
                <w:sz w:val="18"/>
                <w:szCs w:val="18"/>
              </w:rPr>
              <w:t>9</w:t>
            </w:r>
            <w:r>
              <w:rPr>
                <w:rFonts w:ascii="Times New Roman" w:hAnsi="Times New Roman"/>
                <w:sz w:val="18"/>
                <w:szCs w:val="18"/>
              </w:rPr>
              <w:t>）加入量mL</w:t>
            </w:r>
          </w:p>
        </w:tc>
        <w:tc>
          <w:tcPr>
            <w:tcW w:w="2273" w:type="dxa"/>
            <w:vAlign w:val="center"/>
          </w:tcPr>
          <w:p>
            <w:pPr>
              <w:spacing w:line="340" w:lineRule="exact"/>
              <w:jc w:val="center"/>
              <w:rPr>
                <w:rFonts w:ascii="Times New Roman" w:hAnsi="Times New Roman"/>
                <w:sz w:val="18"/>
                <w:szCs w:val="18"/>
              </w:rPr>
            </w:pPr>
            <w:r>
              <w:rPr>
                <w:rFonts w:ascii="Times New Roman" w:hAnsi="Times New Roman"/>
                <w:sz w:val="18"/>
                <w:szCs w:val="18"/>
              </w:rPr>
              <w:t>2</w:t>
            </w:r>
          </w:p>
        </w:tc>
        <w:tc>
          <w:tcPr>
            <w:tcW w:w="1442" w:type="dxa"/>
            <w:vAlign w:val="center"/>
          </w:tcPr>
          <w:p>
            <w:pPr>
              <w:spacing w:line="340" w:lineRule="exact"/>
              <w:jc w:val="center"/>
              <w:rPr>
                <w:rFonts w:ascii="Times New Roman" w:hAnsi="Times New Roman"/>
                <w:sz w:val="18"/>
                <w:szCs w:val="18"/>
              </w:rPr>
            </w:pPr>
            <w:r>
              <w:rPr>
                <w:rFonts w:ascii="Times New Roman" w:hAnsi="Times New Roman"/>
                <w:sz w:val="18"/>
                <w:szCs w:val="18"/>
              </w:rPr>
              <w:t>4</w:t>
            </w:r>
          </w:p>
        </w:tc>
        <w:tc>
          <w:tcPr>
            <w:tcW w:w="1365" w:type="dxa"/>
            <w:vAlign w:val="center"/>
          </w:tcPr>
          <w:p>
            <w:pPr>
              <w:spacing w:line="340" w:lineRule="exact"/>
              <w:jc w:val="center"/>
              <w:rPr>
                <w:rFonts w:ascii="Times New Roman" w:hAnsi="Times New Roman"/>
                <w:sz w:val="18"/>
                <w:szCs w:val="18"/>
              </w:rPr>
            </w:pPr>
            <w:r>
              <w:rPr>
                <w:rFonts w:ascii="Times New Roman" w:hAnsi="Times New Roman"/>
                <w:sz w:val="18"/>
                <w:szCs w:val="18"/>
              </w:rPr>
              <w:t>6</w:t>
            </w:r>
          </w:p>
        </w:tc>
        <w:tc>
          <w:tcPr>
            <w:tcW w:w="1365" w:type="dxa"/>
            <w:vAlign w:val="center"/>
          </w:tcPr>
          <w:p>
            <w:pPr>
              <w:spacing w:line="340" w:lineRule="exact"/>
              <w:jc w:val="center"/>
              <w:rPr>
                <w:rFonts w:ascii="Times New Roman" w:hAnsi="Times New Roman"/>
                <w:sz w:val="18"/>
                <w:szCs w:val="18"/>
              </w:rPr>
            </w:pPr>
            <w:r>
              <w:rPr>
                <w:rFonts w:ascii="Times New Roman" w:hAnsi="Times New Roman"/>
                <w:sz w:val="18"/>
                <w:szCs w:val="18"/>
              </w:rPr>
              <w:t>8</w:t>
            </w:r>
          </w:p>
        </w:tc>
        <w:tc>
          <w:tcPr>
            <w:tcW w:w="1365" w:type="dxa"/>
            <w:vAlign w:val="center"/>
          </w:tcPr>
          <w:p>
            <w:pPr>
              <w:spacing w:line="340" w:lineRule="exact"/>
              <w:jc w:val="center"/>
              <w:rPr>
                <w:rFonts w:ascii="Times New Roman" w:hAnsi="Times New Roman"/>
                <w:sz w:val="18"/>
                <w:szCs w:val="18"/>
              </w:rPr>
            </w:pPr>
            <w:r>
              <w:rPr>
                <w:rFonts w:ascii="Times New Roman" w:hAnsi="Times New Roman"/>
                <w:color w:val="000000"/>
                <w:kern w:val="0"/>
                <w:sz w:val="18"/>
                <w:szCs w:val="18"/>
              </w:rPr>
              <w:t>测得铋量mg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rPr>
                <w:rFonts w:ascii="Times New Roman" w:hAnsi="Times New Roman"/>
                <w:sz w:val="18"/>
                <w:szCs w:val="18"/>
              </w:rPr>
            </w:pPr>
            <w:r>
              <w:rPr>
                <w:rFonts w:ascii="Times New Roman" w:hAnsi="Times New Roman"/>
                <w:sz w:val="18"/>
                <w:szCs w:val="18"/>
              </w:rPr>
              <w:t>加入30 mg</w:t>
            </w:r>
            <w:r>
              <w:rPr>
                <w:rFonts w:ascii="Times New Roman" w:hAnsi="Times New Roman"/>
                <w:bCs/>
                <w:sz w:val="18"/>
                <w:szCs w:val="18"/>
              </w:rPr>
              <w:t xml:space="preserve"> Cu，33</w:t>
            </w:r>
            <w:r>
              <w:rPr>
                <w:rFonts w:ascii="Times New Roman" w:hAnsi="Times New Roman"/>
                <w:sz w:val="18"/>
                <w:szCs w:val="18"/>
              </w:rPr>
              <w:t xml:space="preserve"> mg</w:t>
            </w:r>
            <w:r>
              <w:rPr>
                <w:rFonts w:ascii="Times New Roman" w:hAnsi="Times New Roman"/>
                <w:bCs/>
                <w:sz w:val="18"/>
                <w:szCs w:val="18"/>
              </w:rPr>
              <w:t xml:space="preserve"> Fe</w:t>
            </w:r>
            <w:r>
              <w:rPr>
                <w:rFonts w:hint="eastAsia" w:ascii="Times New Roman" w:hAnsi="Times New Roman"/>
                <w:bCs/>
                <w:sz w:val="18"/>
                <w:szCs w:val="18"/>
              </w:rPr>
              <w:t>试</w:t>
            </w:r>
            <w:r>
              <w:rPr>
                <w:rFonts w:ascii="Times New Roman" w:hAnsi="Times New Roman"/>
                <w:sz w:val="18"/>
                <w:szCs w:val="18"/>
              </w:rPr>
              <w:t>验现象</w:t>
            </w:r>
          </w:p>
        </w:tc>
        <w:tc>
          <w:tcPr>
            <w:tcW w:w="2273"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w:t>
            </w:r>
            <w:bookmarkStart w:id="22" w:name="OLE_LINK40"/>
            <w:bookmarkStart w:id="23" w:name="OLE_LINK11"/>
            <w:r>
              <w:rPr>
                <w:rFonts w:ascii="Times New Roman" w:hAnsi="Times New Roman"/>
                <w:kern w:val="0"/>
                <w:sz w:val="18"/>
                <w:szCs w:val="18"/>
              </w:rPr>
              <w:t>无色</w:t>
            </w:r>
            <w:bookmarkEnd w:id="22"/>
            <w:bookmarkEnd w:id="23"/>
            <w:r>
              <w:rPr>
                <w:rFonts w:ascii="Times New Roman" w:hAnsi="Times New Roman"/>
                <w:kern w:val="0"/>
                <w:sz w:val="18"/>
                <w:szCs w:val="18"/>
              </w:rPr>
              <w:t>，终点敏锐</w:t>
            </w:r>
          </w:p>
        </w:tc>
        <w:tc>
          <w:tcPr>
            <w:tcW w:w="1442"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溶液清亮无色，终点敏锐</w:t>
            </w:r>
          </w:p>
        </w:tc>
        <w:tc>
          <w:tcPr>
            <w:tcW w:w="136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溶液清亮无色，终点敏锐</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溶液清亮无色，终点敏锐</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rPr>
                <w:rFonts w:ascii="Times New Roman" w:hAnsi="Times New Roman"/>
                <w:sz w:val="18"/>
                <w:szCs w:val="18"/>
              </w:rPr>
            </w:pPr>
            <w:r>
              <w:rPr>
                <w:rFonts w:ascii="Times New Roman" w:hAnsi="Times New Roman"/>
                <w:sz w:val="18"/>
                <w:szCs w:val="18"/>
              </w:rPr>
              <w:t>加入40 mg</w:t>
            </w:r>
            <w:r>
              <w:rPr>
                <w:rFonts w:ascii="Times New Roman" w:hAnsi="Times New Roman"/>
                <w:bCs/>
                <w:sz w:val="18"/>
                <w:szCs w:val="18"/>
              </w:rPr>
              <w:t xml:space="preserve"> Cu，33</w:t>
            </w:r>
            <w:r>
              <w:rPr>
                <w:rFonts w:ascii="Times New Roman" w:hAnsi="Times New Roman"/>
                <w:sz w:val="18"/>
                <w:szCs w:val="18"/>
              </w:rPr>
              <w:t xml:space="preserve"> mg</w:t>
            </w:r>
            <w:r>
              <w:rPr>
                <w:rFonts w:ascii="Times New Roman" w:hAnsi="Times New Roman"/>
                <w:bCs/>
                <w:sz w:val="18"/>
                <w:szCs w:val="18"/>
              </w:rPr>
              <w:t xml:space="preserve"> Fe</w:t>
            </w:r>
            <w:r>
              <w:rPr>
                <w:rFonts w:hint="eastAsia" w:ascii="Times New Roman" w:hAnsi="Times New Roman"/>
                <w:bCs/>
                <w:sz w:val="18"/>
                <w:szCs w:val="18"/>
              </w:rPr>
              <w:t>试</w:t>
            </w:r>
            <w:r>
              <w:rPr>
                <w:rFonts w:ascii="Times New Roman" w:hAnsi="Times New Roman"/>
                <w:sz w:val="18"/>
                <w:szCs w:val="18"/>
              </w:rPr>
              <w:t>验现象</w:t>
            </w:r>
          </w:p>
        </w:tc>
        <w:tc>
          <w:tcPr>
            <w:tcW w:w="2273"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溶液出现絮状沉淀，终点敏锐</w:t>
            </w:r>
          </w:p>
        </w:tc>
        <w:tc>
          <w:tcPr>
            <w:tcW w:w="1442"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溶液清亮无色，终点敏锐</w:t>
            </w:r>
          </w:p>
        </w:tc>
        <w:tc>
          <w:tcPr>
            <w:tcW w:w="136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溶液清亮无色，终点敏锐</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溶液清亮无色，终点敏锐</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rPr>
                <w:rFonts w:ascii="Times New Roman" w:hAnsi="Times New Roman"/>
                <w:sz w:val="18"/>
                <w:szCs w:val="18"/>
              </w:rPr>
            </w:pPr>
            <w:r>
              <w:rPr>
                <w:rFonts w:ascii="Times New Roman" w:hAnsi="Times New Roman"/>
                <w:sz w:val="18"/>
                <w:szCs w:val="18"/>
              </w:rPr>
              <w:t>加入50 mg</w:t>
            </w:r>
            <w:r>
              <w:rPr>
                <w:rFonts w:ascii="Times New Roman" w:hAnsi="Times New Roman"/>
                <w:bCs/>
                <w:sz w:val="18"/>
                <w:szCs w:val="18"/>
              </w:rPr>
              <w:t xml:space="preserve"> Cu，33</w:t>
            </w:r>
            <w:r>
              <w:rPr>
                <w:rFonts w:ascii="Times New Roman" w:hAnsi="Times New Roman"/>
                <w:sz w:val="18"/>
                <w:szCs w:val="18"/>
              </w:rPr>
              <w:t xml:space="preserve"> mg</w:t>
            </w:r>
            <w:r>
              <w:rPr>
                <w:rFonts w:ascii="Times New Roman" w:hAnsi="Times New Roman"/>
                <w:bCs/>
                <w:sz w:val="18"/>
                <w:szCs w:val="18"/>
              </w:rPr>
              <w:t xml:space="preserve"> Fe</w:t>
            </w:r>
            <w:r>
              <w:rPr>
                <w:rFonts w:hint="eastAsia" w:ascii="Times New Roman" w:hAnsi="Times New Roman"/>
                <w:bCs/>
                <w:sz w:val="18"/>
                <w:szCs w:val="18"/>
              </w:rPr>
              <w:t>试</w:t>
            </w:r>
            <w:r>
              <w:rPr>
                <w:rFonts w:ascii="Times New Roman" w:hAnsi="Times New Roman"/>
                <w:sz w:val="18"/>
                <w:szCs w:val="18"/>
              </w:rPr>
              <w:t>验现象</w:t>
            </w:r>
          </w:p>
        </w:tc>
        <w:tc>
          <w:tcPr>
            <w:tcW w:w="2273"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溶液出现白色</w:t>
            </w:r>
            <w:r>
              <w:rPr>
                <w:rFonts w:ascii="Times New Roman" w:hAnsi="Times New Roman"/>
                <w:sz w:val="18"/>
                <w:szCs w:val="18"/>
              </w:rPr>
              <w:t>絮状</w:t>
            </w:r>
            <w:r>
              <w:rPr>
                <w:rFonts w:ascii="Times New Roman" w:hAnsi="Times New Roman"/>
                <w:kern w:val="0"/>
                <w:sz w:val="18"/>
                <w:szCs w:val="18"/>
              </w:rPr>
              <w:t>沉淀</w:t>
            </w:r>
          </w:p>
        </w:tc>
        <w:tc>
          <w:tcPr>
            <w:tcW w:w="1442"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rPr>
                <w:rFonts w:ascii="Times New Roman" w:hAnsi="Times New Roman"/>
                <w:sz w:val="18"/>
                <w:szCs w:val="18"/>
              </w:rPr>
            </w:pPr>
            <w:r>
              <w:rPr>
                <w:rFonts w:ascii="Times New Roman" w:hAnsi="Times New Roman"/>
                <w:sz w:val="18"/>
                <w:szCs w:val="18"/>
              </w:rPr>
              <w:t>加入60 mg</w:t>
            </w:r>
            <w:r>
              <w:rPr>
                <w:rFonts w:ascii="Times New Roman" w:hAnsi="Times New Roman"/>
                <w:bCs/>
                <w:sz w:val="18"/>
                <w:szCs w:val="18"/>
              </w:rPr>
              <w:t xml:space="preserve"> Cu，33</w:t>
            </w:r>
            <w:r>
              <w:rPr>
                <w:rFonts w:ascii="Times New Roman" w:hAnsi="Times New Roman"/>
                <w:sz w:val="18"/>
                <w:szCs w:val="18"/>
              </w:rPr>
              <w:t xml:space="preserve"> mg</w:t>
            </w:r>
            <w:r>
              <w:rPr>
                <w:rFonts w:ascii="Times New Roman" w:hAnsi="Times New Roman"/>
                <w:bCs/>
                <w:sz w:val="18"/>
                <w:szCs w:val="18"/>
              </w:rPr>
              <w:t xml:space="preserve"> Fe</w:t>
            </w:r>
            <w:r>
              <w:rPr>
                <w:rFonts w:hint="eastAsia" w:ascii="Times New Roman" w:hAnsi="Times New Roman"/>
                <w:bCs/>
                <w:sz w:val="18"/>
                <w:szCs w:val="18"/>
              </w:rPr>
              <w:t>试</w:t>
            </w:r>
            <w:r>
              <w:rPr>
                <w:rFonts w:ascii="Times New Roman" w:hAnsi="Times New Roman"/>
                <w:sz w:val="18"/>
                <w:szCs w:val="18"/>
              </w:rPr>
              <w:t>验现象</w:t>
            </w:r>
          </w:p>
        </w:tc>
        <w:tc>
          <w:tcPr>
            <w:tcW w:w="2273"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溶液出现白色</w:t>
            </w:r>
            <w:r>
              <w:rPr>
                <w:rFonts w:ascii="Times New Roman" w:hAnsi="Times New Roman"/>
                <w:sz w:val="18"/>
                <w:szCs w:val="18"/>
              </w:rPr>
              <w:t>絮状</w:t>
            </w:r>
            <w:r>
              <w:rPr>
                <w:rFonts w:ascii="Times New Roman" w:hAnsi="Times New Roman"/>
                <w:kern w:val="0"/>
                <w:sz w:val="18"/>
                <w:szCs w:val="18"/>
              </w:rPr>
              <w:t>沉淀</w:t>
            </w:r>
          </w:p>
        </w:tc>
        <w:tc>
          <w:tcPr>
            <w:tcW w:w="1442"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rPr>
                <w:rFonts w:ascii="Times New Roman" w:hAnsi="Times New Roman"/>
                <w:sz w:val="18"/>
                <w:szCs w:val="18"/>
              </w:rPr>
            </w:pPr>
            <w:r>
              <w:rPr>
                <w:rFonts w:ascii="Times New Roman" w:hAnsi="Times New Roman"/>
                <w:sz w:val="18"/>
                <w:szCs w:val="18"/>
              </w:rPr>
              <w:t>加入70 mg</w:t>
            </w:r>
            <w:r>
              <w:rPr>
                <w:rFonts w:ascii="Times New Roman" w:hAnsi="Times New Roman"/>
                <w:bCs/>
                <w:sz w:val="18"/>
                <w:szCs w:val="18"/>
              </w:rPr>
              <w:t xml:space="preserve"> Cu，33 </w:t>
            </w:r>
            <w:r>
              <w:rPr>
                <w:rFonts w:ascii="Times New Roman" w:hAnsi="Times New Roman"/>
                <w:sz w:val="18"/>
                <w:szCs w:val="18"/>
              </w:rPr>
              <w:t>mg</w:t>
            </w:r>
            <w:r>
              <w:rPr>
                <w:rFonts w:ascii="Times New Roman" w:hAnsi="Times New Roman"/>
                <w:bCs/>
                <w:sz w:val="18"/>
                <w:szCs w:val="18"/>
              </w:rPr>
              <w:t xml:space="preserve"> Fe</w:t>
            </w:r>
            <w:r>
              <w:rPr>
                <w:rFonts w:hint="eastAsia" w:ascii="Times New Roman" w:hAnsi="Times New Roman"/>
                <w:bCs/>
                <w:sz w:val="18"/>
                <w:szCs w:val="18"/>
              </w:rPr>
              <w:t>试</w:t>
            </w:r>
            <w:r>
              <w:rPr>
                <w:rFonts w:ascii="Times New Roman" w:hAnsi="Times New Roman"/>
                <w:sz w:val="18"/>
                <w:szCs w:val="18"/>
              </w:rPr>
              <w:t>验现象</w:t>
            </w:r>
          </w:p>
        </w:tc>
        <w:tc>
          <w:tcPr>
            <w:tcW w:w="2273"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溶液出现白色</w:t>
            </w:r>
            <w:r>
              <w:rPr>
                <w:rFonts w:ascii="Times New Roman" w:hAnsi="Times New Roman"/>
                <w:sz w:val="18"/>
                <w:szCs w:val="18"/>
              </w:rPr>
              <w:t>絮状</w:t>
            </w:r>
            <w:r>
              <w:rPr>
                <w:rFonts w:ascii="Times New Roman" w:hAnsi="Times New Roman"/>
                <w:kern w:val="0"/>
                <w:sz w:val="18"/>
                <w:szCs w:val="18"/>
              </w:rPr>
              <w:t>沉淀</w:t>
            </w:r>
          </w:p>
        </w:tc>
        <w:tc>
          <w:tcPr>
            <w:tcW w:w="1442"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溶液清亮，终点敏锐</w:t>
            </w:r>
          </w:p>
        </w:tc>
        <w:tc>
          <w:tcPr>
            <w:tcW w:w="1365" w:type="dxa"/>
          </w:tcPr>
          <w:p>
            <w:pPr>
              <w:spacing w:line="340" w:lineRule="exact"/>
              <w:jc w:val="center"/>
              <w:rPr>
                <w:rFonts w:ascii="Times New Roman" w:hAnsi="Times New Roman"/>
                <w:kern w:val="0"/>
                <w:sz w:val="18"/>
                <w:szCs w:val="18"/>
              </w:rPr>
            </w:pPr>
            <w:r>
              <w:rPr>
                <w:rFonts w:ascii="Times New Roman" w:hAnsi="Times New Roman"/>
                <w:kern w:val="0"/>
                <w:sz w:val="18"/>
                <w:szCs w:val="18"/>
              </w:rPr>
              <w:t>19.98</w:t>
            </w:r>
          </w:p>
        </w:tc>
      </w:tr>
    </w:tbl>
    <w:p>
      <w:pPr>
        <w:snapToGrid w:val="0"/>
        <w:spacing w:line="300" w:lineRule="auto"/>
        <w:ind w:firstLine="420" w:firstLineChars="200"/>
        <w:rPr>
          <w:rFonts w:ascii="Times New Roman" w:hAnsi="Times New Roman"/>
          <w:bCs/>
          <w:szCs w:val="21"/>
        </w:rPr>
      </w:pPr>
    </w:p>
    <w:p>
      <w:pPr>
        <w:snapToGrid w:val="0"/>
        <w:spacing w:line="300" w:lineRule="auto"/>
        <w:ind w:firstLine="420" w:firstLineChars="200"/>
        <w:rPr>
          <w:rFonts w:ascii="Times New Roman" w:hAnsi="Times New Roman"/>
          <w:bCs/>
          <w:szCs w:val="21"/>
        </w:rPr>
      </w:pPr>
      <w:r>
        <w:rPr>
          <w:rFonts w:ascii="Times New Roman" w:hAnsi="Times New Roman"/>
          <w:bCs/>
          <w:szCs w:val="21"/>
        </w:rPr>
        <w:t>由表6试验结果得知，测定体系中存在</w:t>
      </w:r>
      <w:r>
        <w:rPr>
          <w:rFonts w:ascii="Times New Roman" w:hAnsi="Times New Roman"/>
        </w:rPr>
        <w:t>70</w:t>
      </w:r>
      <w:r>
        <w:rPr>
          <w:rFonts w:ascii="Times New Roman" w:hAnsi="Times New Roman"/>
          <w:szCs w:val="21"/>
        </w:rPr>
        <w:t xml:space="preserve"> mg</w:t>
      </w:r>
      <w:r>
        <w:rPr>
          <w:rFonts w:ascii="Times New Roman" w:hAnsi="Times New Roman"/>
          <w:bCs/>
          <w:szCs w:val="21"/>
        </w:rPr>
        <w:t xml:space="preserve"> Cu，33 </w:t>
      </w:r>
      <w:r>
        <w:rPr>
          <w:rFonts w:ascii="Times New Roman" w:hAnsi="Times New Roman"/>
          <w:szCs w:val="21"/>
        </w:rPr>
        <w:t>mg</w:t>
      </w:r>
      <w:r>
        <w:rPr>
          <w:rFonts w:ascii="Times New Roman" w:hAnsi="Times New Roman"/>
          <w:bCs/>
          <w:szCs w:val="21"/>
        </w:rPr>
        <w:t xml:space="preserve"> Fe时，加入4 </w:t>
      </w:r>
      <w:r>
        <w:rPr>
          <w:rFonts w:ascii="Times New Roman" w:hAnsi="Times New Roman"/>
        </w:rPr>
        <w:t>mL</w:t>
      </w:r>
      <w:r>
        <w:rPr>
          <w:rFonts w:ascii="Times New Roman" w:hAnsi="Times New Roman"/>
          <w:bCs/>
          <w:szCs w:val="21"/>
        </w:rPr>
        <w:t>硫脲（</w:t>
      </w:r>
      <w:r>
        <w:rPr>
          <w:rFonts w:ascii="Times New Roman" w:hAnsi="Times New Roman"/>
        </w:rPr>
        <w:t xml:space="preserve">1.2.6），铋量测定回收率为99.85% </w:t>
      </w:r>
      <w:r>
        <w:rPr>
          <w:rFonts w:ascii="Times New Roman" w:hAnsi="Times New Roman"/>
          <w:kern w:val="0"/>
          <w:szCs w:val="21"/>
        </w:rPr>
        <w:t>~</w:t>
      </w:r>
      <w:r>
        <w:rPr>
          <w:rFonts w:ascii="Times New Roman" w:hAnsi="Times New Roman"/>
        </w:rPr>
        <w:t>100.25%。试验</w:t>
      </w:r>
      <w:r>
        <w:rPr>
          <w:rFonts w:ascii="Times New Roman" w:hAnsi="Times New Roman"/>
          <w:bCs/>
          <w:szCs w:val="21"/>
        </w:rPr>
        <w:t xml:space="preserve">选择加入5 </w:t>
      </w:r>
      <w:r>
        <w:rPr>
          <w:rFonts w:ascii="Times New Roman" w:hAnsi="Times New Roman"/>
        </w:rPr>
        <w:t>mL</w:t>
      </w:r>
      <w:r>
        <w:rPr>
          <w:rFonts w:ascii="Times New Roman" w:hAnsi="Times New Roman"/>
          <w:bCs/>
          <w:szCs w:val="21"/>
        </w:rPr>
        <w:t>硫脲</w:t>
      </w:r>
      <w:r>
        <w:rPr>
          <w:rFonts w:ascii="Times New Roman" w:hAnsi="Times New Roman"/>
          <w:szCs w:val="21"/>
        </w:rPr>
        <w:t>（1.2.6）</w:t>
      </w:r>
      <w:r>
        <w:rPr>
          <w:rFonts w:ascii="Times New Roman" w:hAnsi="Times New Roman"/>
          <w:bCs/>
          <w:szCs w:val="21"/>
        </w:rPr>
        <w:t>。</w:t>
      </w:r>
    </w:p>
    <w:p>
      <w:pPr>
        <w:rPr>
          <w:rFonts w:ascii="Times New Roman" w:hAnsi="Times New Roman"/>
        </w:rPr>
      </w:pPr>
      <w:r>
        <w:rPr>
          <w:rFonts w:ascii="Times New Roman" w:hAnsi="Times New Roman"/>
        </w:rPr>
        <w:t xml:space="preserve">2.3.6  </w:t>
      </w:r>
      <w:r>
        <w:rPr>
          <w:rFonts w:ascii="Times New Roman" w:hAnsi="Times New Roman" w:eastAsia="黑体"/>
        </w:rPr>
        <w:t>滴定pH值确定</w:t>
      </w:r>
    </w:p>
    <w:p>
      <w:pPr>
        <w:ind w:firstLine="210" w:firstLineChars="100"/>
        <w:rPr>
          <w:rFonts w:ascii="Times New Roman" w:hAnsi="Times New Roman"/>
          <w:color w:val="000000" w:themeColor="text1"/>
        </w:rPr>
      </w:pPr>
      <w:r>
        <w:rPr>
          <w:rFonts w:ascii="Times New Roman" w:hAnsi="Times New Roman"/>
        </w:rPr>
        <w:t xml:space="preserve"> 通常</w:t>
      </w:r>
      <w:r>
        <w:rPr>
          <w:rFonts w:ascii="Times New Roman" w:hAnsi="Times New Roman"/>
          <w:szCs w:val="21"/>
        </w:rPr>
        <w:t>Na</w:t>
      </w:r>
      <w:r>
        <w:rPr>
          <w:rFonts w:ascii="Times New Roman" w:hAnsi="Times New Roman"/>
          <w:szCs w:val="21"/>
          <w:vertAlign w:val="subscript"/>
        </w:rPr>
        <w:t>2</w:t>
      </w:r>
      <w:r>
        <w:rPr>
          <w:rFonts w:ascii="Times New Roman" w:hAnsi="Times New Roman"/>
          <w:szCs w:val="21"/>
        </w:rPr>
        <w:t>EDTA滴定法测定铋量</w:t>
      </w:r>
      <w:bookmarkStart w:id="24" w:name="OLE_LINK15"/>
      <w:bookmarkStart w:id="25" w:name="OLE_LINK24"/>
      <w:r>
        <w:rPr>
          <w:rFonts w:ascii="Times New Roman" w:hAnsi="Times New Roman"/>
        </w:rPr>
        <w:t xml:space="preserve">pH为1 </w:t>
      </w:r>
      <w:r>
        <w:rPr>
          <w:rFonts w:ascii="Times New Roman" w:hAnsi="Times New Roman"/>
          <w:kern w:val="0"/>
          <w:szCs w:val="21"/>
        </w:rPr>
        <w:t xml:space="preserve">~ </w:t>
      </w:r>
      <w:r>
        <w:rPr>
          <w:rFonts w:ascii="Times New Roman" w:hAnsi="Times New Roman"/>
        </w:rPr>
        <w:t>2</w:t>
      </w:r>
      <w:bookmarkEnd w:id="24"/>
      <w:bookmarkEnd w:id="25"/>
      <w:r>
        <w:rPr>
          <w:rFonts w:ascii="Times New Roman" w:hAnsi="Times New Roman"/>
        </w:rPr>
        <w:t>。</w:t>
      </w:r>
      <w:r>
        <w:rPr>
          <w:rFonts w:ascii="Times New Roman" w:hAnsi="Times New Roman"/>
          <w:bCs/>
          <w:szCs w:val="21"/>
        </w:rPr>
        <w:t xml:space="preserve">准确移取一系列20.00 </w:t>
      </w:r>
      <w:r>
        <w:rPr>
          <w:rFonts w:ascii="Times New Roman" w:hAnsi="Times New Roman"/>
        </w:rPr>
        <w:t>mL</w:t>
      </w:r>
      <w:r>
        <w:rPr>
          <w:rFonts w:ascii="Times New Roman" w:hAnsi="Times New Roman"/>
          <w:bCs/>
          <w:szCs w:val="21"/>
        </w:rPr>
        <w:t xml:space="preserve">铋标准溶液（1.2.13）于400 </w:t>
      </w:r>
      <w:r>
        <w:rPr>
          <w:rFonts w:ascii="Times New Roman" w:hAnsi="Times New Roman"/>
        </w:rPr>
        <w:t>mL烧杯中，</w:t>
      </w:r>
      <w:r>
        <w:rPr>
          <w:rFonts w:ascii="Times New Roman" w:hAnsi="Times New Roman"/>
          <w:bCs/>
          <w:szCs w:val="21"/>
        </w:rPr>
        <w:t>按</w:t>
      </w:r>
      <w:r>
        <w:rPr>
          <w:rFonts w:hint="eastAsia" w:ascii="Times New Roman" w:hAnsi="Times New Roman"/>
          <w:bCs/>
          <w:szCs w:val="21"/>
        </w:rPr>
        <w:t>试</w:t>
      </w:r>
      <w:r>
        <w:rPr>
          <w:rFonts w:ascii="Times New Roman" w:hAnsi="Times New Roman"/>
          <w:bCs/>
          <w:szCs w:val="21"/>
        </w:rPr>
        <w:t>验</w:t>
      </w:r>
      <w:r>
        <w:rPr>
          <w:rFonts w:hint="eastAsia" w:ascii="Times New Roman" w:hAnsi="Times New Roman"/>
          <w:bCs/>
          <w:color w:val="000000" w:themeColor="text1"/>
          <w:szCs w:val="21"/>
        </w:rPr>
        <w:t>步骤</w:t>
      </w:r>
      <w:r>
        <w:rPr>
          <w:rFonts w:ascii="Times New Roman" w:hAnsi="Times New Roman"/>
          <w:bCs/>
          <w:color w:val="000000" w:themeColor="text1"/>
          <w:szCs w:val="21"/>
        </w:rPr>
        <w:t>（1.4.4.2）进行测定，</w:t>
      </w:r>
      <w:r>
        <w:rPr>
          <w:rFonts w:ascii="Times New Roman" w:hAnsi="Times New Roman"/>
          <w:color w:val="000000" w:themeColor="text1"/>
        </w:rPr>
        <w:t xml:space="preserve">pH1 </w:t>
      </w:r>
      <w:r>
        <w:rPr>
          <w:rFonts w:ascii="Times New Roman" w:hAnsi="Times New Roman"/>
          <w:color w:val="000000" w:themeColor="text1"/>
          <w:kern w:val="0"/>
          <w:szCs w:val="21"/>
        </w:rPr>
        <w:t xml:space="preserve">~ </w:t>
      </w:r>
      <w:r>
        <w:rPr>
          <w:rFonts w:ascii="Times New Roman" w:hAnsi="Times New Roman"/>
          <w:color w:val="000000" w:themeColor="text1"/>
        </w:rPr>
        <w:t>2时，铋的回收率正常。</w:t>
      </w:r>
    </w:p>
    <w:p>
      <w:pPr>
        <w:ind w:firstLine="315" w:firstLineChars="150"/>
        <w:rPr>
          <w:rFonts w:ascii="Times New Roman" w:hAnsi="Times New Roman"/>
        </w:rPr>
      </w:pPr>
      <w:r>
        <w:rPr>
          <w:rFonts w:ascii="Times New Roman" w:hAnsi="Times New Roman"/>
          <w:bCs/>
          <w:color w:val="000000" w:themeColor="text1"/>
          <w:szCs w:val="21"/>
        </w:rPr>
        <w:t xml:space="preserve">准确移取20.00 </w:t>
      </w:r>
      <w:r>
        <w:rPr>
          <w:rFonts w:ascii="Times New Roman" w:hAnsi="Times New Roman"/>
          <w:color w:val="000000" w:themeColor="text1"/>
        </w:rPr>
        <w:t>mL</w:t>
      </w:r>
      <w:r>
        <w:rPr>
          <w:rFonts w:ascii="Times New Roman" w:hAnsi="Times New Roman"/>
          <w:bCs/>
          <w:color w:val="000000" w:themeColor="text1"/>
          <w:szCs w:val="21"/>
        </w:rPr>
        <w:t xml:space="preserve">铋标准溶液（1.2.13）于400 </w:t>
      </w:r>
      <w:r>
        <w:rPr>
          <w:rFonts w:ascii="Times New Roman" w:hAnsi="Times New Roman"/>
          <w:color w:val="000000" w:themeColor="text1"/>
        </w:rPr>
        <w:t>mL烧杯中，称取</w:t>
      </w:r>
      <w:r>
        <w:rPr>
          <w:rFonts w:ascii="Times New Roman" w:hAnsi="Times New Roman"/>
          <w:color w:val="000000" w:themeColor="text1"/>
          <w:szCs w:val="21"/>
        </w:rPr>
        <w:t>铜冶炼烟尘</w:t>
      </w:r>
      <w:r>
        <w:rPr>
          <w:rFonts w:ascii="Times New Roman" w:hAnsi="Times New Roman"/>
          <w:color w:val="000000" w:themeColor="text1"/>
        </w:rPr>
        <w:t>试样</w:t>
      </w:r>
      <w:r>
        <w:rPr>
          <w:rFonts w:ascii="Times New Roman" w:hAnsi="Times New Roman"/>
          <w:color w:val="000000" w:themeColor="text1"/>
          <w:szCs w:val="21"/>
        </w:rPr>
        <w:t>按</w:t>
      </w:r>
      <w:r>
        <w:rPr>
          <w:rFonts w:hint="eastAsia" w:ascii="Times New Roman" w:hAnsi="Times New Roman"/>
          <w:color w:val="000000" w:themeColor="text1"/>
          <w:szCs w:val="21"/>
        </w:rPr>
        <w:t>试验步骤</w:t>
      </w:r>
      <w:r>
        <w:rPr>
          <w:rFonts w:ascii="Times New Roman" w:hAnsi="Times New Roman"/>
          <w:color w:val="000000" w:themeColor="text1"/>
          <w:szCs w:val="21"/>
        </w:rPr>
        <w:t>（1.4）进行操作，</w:t>
      </w:r>
      <w:r>
        <w:rPr>
          <w:rFonts w:ascii="Times New Roman" w:hAnsi="Times New Roman"/>
          <w:color w:val="000000" w:themeColor="text1"/>
        </w:rPr>
        <w:t>pH 1.2</w:t>
      </w:r>
      <w:r>
        <w:rPr>
          <w:rFonts w:ascii="Times New Roman" w:hAnsi="Times New Roman"/>
        </w:rPr>
        <w:t xml:space="preserve"> </w:t>
      </w:r>
      <w:r>
        <w:rPr>
          <w:rFonts w:ascii="Times New Roman" w:hAnsi="Times New Roman"/>
          <w:kern w:val="0"/>
          <w:szCs w:val="21"/>
        </w:rPr>
        <w:t>~ 1.8时，</w:t>
      </w:r>
      <w:r>
        <w:rPr>
          <w:rFonts w:ascii="Times New Roman" w:hAnsi="Times New Roman"/>
        </w:rPr>
        <w:t xml:space="preserve">回收率为99.10 % </w:t>
      </w:r>
      <w:r>
        <w:rPr>
          <w:rFonts w:ascii="Times New Roman" w:hAnsi="Times New Roman"/>
          <w:kern w:val="0"/>
          <w:szCs w:val="21"/>
        </w:rPr>
        <w:t xml:space="preserve">~ </w:t>
      </w:r>
      <w:r>
        <w:rPr>
          <w:rFonts w:ascii="Times New Roman" w:hAnsi="Times New Roman"/>
        </w:rPr>
        <w:t>100.38%，</w:t>
      </w:r>
      <w:r>
        <w:rPr>
          <w:rFonts w:ascii="Times New Roman" w:hAnsi="Times New Roman"/>
          <w:kern w:val="0"/>
          <w:szCs w:val="21"/>
        </w:rPr>
        <w:t>终点敏锐，</w:t>
      </w:r>
      <w:r>
        <w:rPr>
          <w:rFonts w:ascii="Times New Roman" w:hAnsi="Times New Roman"/>
        </w:rPr>
        <w:t>可得到满意的回收率。</w:t>
      </w:r>
    </w:p>
    <w:p>
      <w:pPr>
        <w:outlineLvl w:val="0"/>
        <w:rPr>
          <w:rFonts w:ascii="Times New Roman" w:hAnsi="Times New Roman"/>
          <w:szCs w:val="21"/>
        </w:rPr>
      </w:pPr>
      <w:r>
        <w:rPr>
          <w:rFonts w:ascii="Times New Roman" w:hAnsi="Times New Roman"/>
          <w:szCs w:val="21"/>
        </w:rPr>
        <w:t xml:space="preserve">2.4  </w:t>
      </w:r>
      <w:r>
        <w:rPr>
          <w:rFonts w:ascii="Times New Roman" w:hAnsi="Times New Roman" w:eastAsia="黑体"/>
          <w:szCs w:val="21"/>
        </w:rPr>
        <w:t>铜冶炼烟尘共存元素含量</w:t>
      </w:r>
    </w:p>
    <w:p>
      <w:pPr>
        <w:ind w:firstLine="420" w:firstLineChars="200"/>
        <w:rPr>
          <w:rFonts w:ascii="Times New Roman" w:hAnsi="Times New Roman"/>
          <w:szCs w:val="21"/>
        </w:rPr>
      </w:pPr>
      <w:r>
        <w:rPr>
          <w:rFonts w:ascii="Times New Roman" w:hAnsi="Times New Roman"/>
          <w:szCs w:val="21"/>
        </w:rPr>
        <w:t>铜冶炼烟尘中常见元素有铜、铅、锌、铋、砷、铟、镉、锑、锡、硒、碲、铁、铝、钙、镁、汞、金、银等元素。对制作的五个铜冶炼烟尘铋样品部分元素进行分析（ICP-AES法、容量法及原子吸收光谱法），部分共存元素含量见表7。</w:t>
      </w:r>
    </w:p>
    <w:p>
      <w:pPr>
        <w:spacing w:line="240" w:lineRule="atLeast"/>
        <w:ind w:firstLine="360" w:firstLineChars="200"/>
        <w:jc w:val="center"/>
        <w:rPr>
          <w:rFonts w:ascii="Times New Roman" w:hAnsi="Times New Roman"/>
          <w:sz w:val="18"/>
          <w:szCs w:val="18"/>
        </w:rPr>
      </w:pPr>
    </w:p>
    <w:p>
      <w:pPr>
        <w:spacing w:line="240" w:lineRule="atLeast"/>
        <w:ind w:firstLine="420" w:firstLineChars="200"/>
        <w:jc w:val="center"/>
        <w:rPr>
          <w:rFonts w:ascii="Times New Roman" w:hAnsi="Times New Roman"/>
          <w:szCs w:val="21"/>
        </w:rPr>
      </w:pPr>
      <w:r>
        <w:rPr>
          <w:rFonts w:ascii="Times New Roman" w:hAnsi="Times New Roman"/>
          <w:szCs w:val="21"/>
        </w:rPr>
        <w:t>表7铜冶炼烟尘共存元素含量</w:t>
      </w:r>
    </w:p>
    <w:p>
      <w:pPr>
        <w:spacing w:line="240" w:lineRule="atLeast"/>
        <w:ind w:firstLine="420" w:firstLineChars="200"/>
        <w:jc w:val="center"/>
        <w:rPr>
          <w:rFonts w:ascii="Times New Roman" w:hAnsi="Times New Roman"/>
          <w:szCs w:val="21"/>
        </w:rPr>
      </w:pPr>
    </w:p>
    <w:tbl>
      <w:tblPr>
        <w:tblStyle w:val="3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653"/>
        <w:gridCol w:w="1602"/>
        <w:gridCol w:w="1401"/>
        <w:gridCol w:w="1602"/>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Merge w:val="restart"/>
            <w:vAlign w:val="center"/>
          </w:tcPr>
          <w:p>
            <w:pPr>
              <w:jc w:val="center"/>
              <w:rPr>
                <w:rFonts w:ascii="Times New Roman" w:hAnsi="Times New Roman"/>
                <w:bCs/>
                <w:sz w:val="18"/>
                <w:szCs w:val="18"/>
              </w:rPr>
            </w:pPr>
            <w:r>
              <w:rPr>
                <w:rFonts w:ascii="Times New Roman" w:hAnsi="Times New Roman"/>
                <w:bCs/>
                <w:sz w:val="18"/>
                <w:szCs w:val="18"/>
              </w:rPr>
              <w:t>共存元素</w:t>
            </w:r>
          </w:p>
        </w:tc>
        <w:tc>
          <w:tcPr>
            <w:tcW w:w="7660" w:type="dxa"/>
            <w:gridSpan w:val="5"/>
            <w:vAlign w:val="center"/>
          </w:tcPr>
          <w:p>
            <w:pPr>
              <w:jc w:val="center"/>
              <w:rPr>
                <w:rFonts w:ascii="Times New Roman" w:hAnsi="Times New Roman"/>
                <w:bCs/>
                <w:sz w:val="18"/>
                <w:szCs w:val="18"/>
              </w:rPr>
            </w:pPr>
            <w:r>
              <w:rPr>
                <w:rFonts w:ascii="Times New Roman" w:hAnsi="Times New Roman"/>
                <w:bCs/>
                <w:sz w:val="18"/>
                <w:szCs w:val="18"/>
              </w:rPr>
              <w:t>共存元素含量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Merge w:val="continue"/>
            <w:vAlign w:val="center"/>
          </w:tcPr>
          <w:p>
            <w:pPr>
              <w:jc w:val="center"/>
              <w:rPr>
                <w:rFonts w:ascii="Times New Roman" w:hAnsi="Times New Roman"/>
                <w:bCs/>
                <w:sz w:val="18"/>
                <w:szCs w:val="18"/>
              </w:rPr>
            </w:pPr>
          </w:p>
        </w:tc>
        <w:tc>
          <w:tcPr>
            <w:tcW w:w="1653" w:type="dxa"/>
            <w:vAlign w:val="center"/>
          </w:tcPr>
          <w:p>
            <w:pPr>
              <w:jc w:val="center"/>
              <w:rPr>
                <w:rFonts w:ascii="Times New Roman" w:hAnsi="Times New Roman"/>
                <w:bCs/>
                <w:sz w:val="18"/>
                <w:szCs w:val="18"/>
              </w:rPr>
            </w:pPr>
            <w:r>
              <w:rPr>
                <w:rFonts w:ascii="Times New Roman" w:hAnsi="Times New Roman"/>
                <w:bCs/>
                <w:sz w:val="18"/>
                <w:szCs w:val="18"/>
              </w:rPr>
              <w:t>1</w:t>
            </w:r>
            <w:r>
              <w:rPr>
                <w:rFonts w:ascii="Times New Roman" w:hAnsi="Times New Roman"/>
                <w:bCs/>
                <w:sz w:val="18"/>
                <w:szCs w:val="18"/>
                <w:vertAlign w:val="superscript"/>
              </w:rPr>
              <w:t>#</w:t>
            </w:r>
            <w:r>
              <w:rPr>
                <w:rFonts w:ascii="Times New Roman" w:hAnsi="Times New Roman"/>
                <w:bCs/>
                <w:sz w:val="18"/>
                <w:szCs w:val="18"/>
              </w:rPr>
              <w:t xml:space="preserve">Bi </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2</w:t>
            </w:r>
            <w:r>
              <w:rPr>
                <w:rFonts w:ascii="Times New Roman" w:hAnsi="Times New Roman"/>
                <w:bCs/>
                <w:sz w:val="18"/>
                <w:szCs w:val="18"/>
                <w:vertAlign w:val="superscript"/>
              </w:rPr>
              <w:t>#</w:t>
            </w:r>
            <w:r>
              <w:rPr>
                <w:rFonts w:ascii="Times New Roman" w:hAnsi="Times New Roman"/>
                <w:bCs/>
                <w:sz w:val="18"/>
                <w:szCs w:val="18"/>
              </w:rPr>
              <w:t xml:space="preserve">Bi </w:t>
            </w:r>
          </w:p>
        </w:tc>
        <w:tc>
          <w:tcPr>
            <w:tcW w:w="1401" w:type="dxa"/>
            <w:vAlign w:val="center"/>
          </w:tcPr>
          <w:p>
            <w:pPr>
              <w:jc w:val="center"/>
              <w:rPr>
                <w:rFonts w:ascii="Times New Roman" w:hAnsi="Times New Roman"/>
                <w:bCs/>
                <w:sz w:val="18"/>
                <w:szCs w:val="18"/>
              </w:rPr>
            </w:pPr>
            <w:r>
              <w:rPr>
                <w:rFonts w:ascii="Times New Roman" w:hAnsi="Times New Roman"/>
                <w:bCs/>
                <w:sz w:val="18"/>
                <w:szCs w:val="18"/>
              </w:rPr>
              <w:t>3</w:t>
            </w:r>
            <w:r>
              <w:rPr>
                <w:rFonts w:ascii="Times New Roman" w:hAnsi="Times New Roman"/>
                <w:bCs/>
                <w:sz w:val="18"/>
                <w:szCs w:val="18"/>
                <w:vertAlign w:val="superscript"/>
              </w:rPr>
              <w:t>#</w:t>
            </w:r>
            <w:r>
              <w:rPr>
                <w:rFonts w:ascii="Times New Roman" w:hAnsi="Times New Roman"/>
                <w:bCs/>
                <w:sz w:val="18"/>
                <w:szCs w:val="18"/>
              </w:rPr>
              <w:t xml:space="preserve">Bi </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4</w:t>
            </w:r>
            <w:r>
              <w:rPr>
                <w:rFonts w:ascii="Times New Roman" w:hAnsi="Times New Roman"/>
                <w:bCs/>
                <w:sz w:val="18"/>
                <w:szCs w:val="18"/>
                <w:vertAlign w:val="superscript"/>
              </w:rPr>
              <w:t>#</w:t>
            </w:r>
            <w:r>
              <w:rPr>
                <w:rFonts w:ascii="Times New Roman" w:hAnsi="Times New Roman"/>
                <w:bCs/>
                <w:sz w:val="18"/>
                <w:szCs w:val="18"/>
              </w:rPr>
              <w:t xml:space="preserve">Bi </w:t>
            </w:r>
          </w:p>
        </w:tc>
        <w:tc>
          <w:tcPr>
            <w:tcW w:w="1402" w:type="dxa"/>
            <w:vAlign w:val="center"/>
          </w:tcPr>
          <w:p>
            <w:pPr>
              <w:jc w:val="center"/>
              <w:rPr>
                <w:rFonts w:ascii="Times New Roman" w:hAnsi="Times New Roman"/>
                <w:bCs/>
                <w:sz w:val="18"/>
                <w:szCs w:val="18"/>
              </w:rPr>
            </w:pPr>
            <w:r>
              <w:rPr>
                <w:rFonts w:ascii="Times New Roman" w:hAnsi="Times New Roman"/>
                <w:bCs/>
                <w:sz w:val="18"/>
                <w:szCs w:val="18"/>
              </w:rPr>
              <w:t>5</w:t>
            </w:r>
            <w:r>
              <w:rPr>
                <w:rFonts w:ascii="Times New Roman" w:hAnsi="Times New Roman"/>
                <w:bCs/>
                <w:sz w:val="18"/>
                <w:szCs w:val="18"/>
                <w:vertAlign w:val="superscript"/>
              </w:rPr>
              <w:t>#</w:t>
            </w:r>
            <w:r>
              <w:rPr>
                <w:rFonts w:ascii="Times New Roman" w:hAnsi="Times New Roman"/>
                <w:bCs/>
                <w:sz w:val="18"/>
                <w:szCs w:val="18"/>
              </w:rPr>
              <w:t xml:space="preserve">Bi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center"/>
              <w:rPr>
                <w:rFonts w:ascii="Times New Roman" w:hAnsi="Times New Roman"/>
                <w:bCs/>
                <w:sz w:val="18"/>
                <w:szCs w:val="18"/>
              </w:rPr>
            </w:pPr>
            <w:r>
              <w:rPr>
                <w:rFonts w:ascii="Times New Roman" w:hAnsi="Times New Roman"/>
                <w:bCs/>
                <w:sz w:val="18"/>
                <w:szCs w:val="18"/>
              </w:rPr>
              <w:t>Cu</w:t>
            </w:r>
          </w:p>
        </w:tc>
        <w:tc>
          <w:tcPr>
            <w:tcW w:w="1653" w:type="dxa"/>
            <w:vAlign w:val="center"/>
          </w:tcPr>
          <w:p>
            <w:pPr>
              <w:jc w:val="center"/>
              <w:rPr>
                <w:rFonts w:ascii="Times New Roman" w:hAnsi="Times New Roman"/>
                <w:bCs/>
                <w:sz w:val="18"/>
                <w:szCs w:val="18"/>
              </w:rPr>
            </w:pPr>
            <w:r>
              <w:rPr>
                <w:rFonts w:ascii="Times New Roman" w:hAnsi="Times New Roman"/>
                <w:bCs/>
                <w:sz w:val="18"/>
                <w:szCs w:val="18"/>
              </w:rPr>
              <w:t>3.39</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1.00</w:t>
            </w:r>
          </w:p>
        </w:tc>
        <w:tc>
          <w:tcPr>
            <w:tcW w:w="1401" w:type="dxa"/>
            <w:vAlign w:val="center"/>
          </w:tcPr>
          <w:p>
            <w:pPr>
              <w:jc w:val="center"/>
              <w:rPr>
                <w:rFonts w:ascii="Times New Roman" w:hAnsi="Times New Roman"/>
                <w:bCs/>
                <w:sz w:val="18"/>
                <w:szCs w:val="18"/>
              </w:rPr>
            </w:pPr>
            <w:r>
              <w:rPr>
                <w:rFonts w:ascii="Times New Roman" w:hAnsi="Times New Roman"/>
                <w:bCs/>
                <w:sz w:val="18"/>
                <w:szCs w:val="18"/>
              </w:rPr>
              <w:t>3.45</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2.94</w:t>
            </w:r>
          </w:p>
        </w:tc>
        <w:tc>
          <w:tcPr>
            <w:tcW w:w="1402" w:type="dxa"/>
            <w:vAlign w:val="center"/>
          </w:tcPr>
          <w:p>
            <w:pPr>
              <w:jc w:val="center"/>
              <w:rPr>
                <w:rFonts w:ascii="Times New Roman" w:hAnsi="Times New Roman"/>
                <w:bCs/>
                <w:sz w:val="18"/>
                <w:szCs w:val="18"/>
              </w:rPr>
            </w:pPr>
            <w:r>
              <w:rPr>
                <w:rFonts w:ascii="Times New Roman" w:hAnsi="Times New Roman"/>
                <w:bCs/>
                <w:sz w:val="18"/>
                <w:szCs w:val="18"/>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center"/>
              <w:rPr>
                <w:rFonts w:ascii="Times New Roman" w:hAnsi="Times New Roman"/>
                <w:bCs/>
                <w:sz w:val="18"/>
                <w:szCs w:val="18"/>
              </w:rPr>
            </w:pPr>
            <w:r>
              <w:rPr>
                <w:rFonts w:ascii="Times New Roman" w:hAnsi="Times New Roman"/>
                <w:bCs/>
                <w:sz w:val="18"/>
                <w:szCs w:val="18"/>
              </w:rPr>
              <w:t>Pb</w:t>
            </w:r>
          </w:p>
        </w:tc>
        <w:tc>
          <w:tcPr>
            <w:tcW w:w="1653" w:type="dxa"/>
            <w:vAlign w:val="center"/>
          </w:tcPr>
          <w:p>
            <w:pPr>
              <w:jc w:val="center"/>
              <w:rPr>
                <w:rFonts w:ascii="Times New Roman" w:hAnsi="Times New Roman"/>
                <w:bCs/>
                <w:sz w:val="18"/>
                <w:szCs w:val="18"/>
              </w:rPr>
            </w:pPr>
            <w:r>
              <w:rPr>
                <w:rFonts w:ascii="Times New Roman" w:hAnsi="Times New Roman"/>
                <w:bCs/>
                <w:sz w:val="18"/>
                <w:szCs w:val="18"/>
              </w:rPr>
              <w:t>13.64</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15.60</w:t>
            </w:r>
          </w:p>
        </w:tc>
        <w:tc>
          <w:tcPr>
            <w:tcW w:w="1401" w:type="dxa"/>
            <w:vAlign w:val="center"/>
          </w:tcPr>
          <w:p>
            <w:pPr>
              <w:jc w:val="center"/>
              <w:rPr>
                <w:rFonts w:ascii="Times New Roman" w:hAnsi="Times New Roman"/>
                <w:bCs/>
                <w:sz w:val="18"/>
                <w:szCs w:val="18"/>
              </w:rPr>
            </w:pPr>
            <w:r>
              <w:rPr>
                <w:rFonts w:ascii="Times New Roman" w:hAnsi="Times New Roman"/>
                <w:bCs/>
                <w:sz w:val="18"/>
                <w:szCs w:val="18"/>
              </w:rPr>
              <w:t>24.08</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28.98</w:t>
            </w:r>
          </w:p>
        </w:tc>
        <w:tc>
          <w:tcPr>
            <w:tcW w:w="1402" w:type="dxa"/>
            <w:vAlign w:val="center"/>
          </w:tcPr>
          <w:p>
            <w:pPr>
              <w:jc w:val="center"/>
              <w:rPr>
                <w:rFonts w:ascii="Times New Roman" w:hAnsi="Times New Roman"/>
                <w:bCs/>
                <w:sz w:val="18"/>
                <w:szCs w:val="18"/>
              </w:rPr>
            </w:pPr>
            <w:r>
              <w:rPr>
                <w:rFonts w:ascii="Times New Roman" w:hAnsi="Times New Roman"/>
                <w:bCs/>
                <w:sz w:val="18"/>
                <w:szCs w:val="18"/>
              </w:rPr>
              <w:t>25.58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center"/>
              <w:rPr>
                <w:rFonts w:ascii="Times New Roman" w:hAnsi="Times New Roman"/>
                <w:bCs/>
                <w:sz w:val="18"/>
                <w:szCs w:val="18"/>
              </w:rPr>
            </w:pPr>
            <w:r>
              <w:rPr>
                <w:rFonts w:ascii="Times New Roman" w:hAnsi="Times New Roman"/>
                <w:bCs/>
                <w:sz w:val="18"/>
                <w:szCs w:val="18"/>
              </w:rPr>
              <w:t>Zn</w:t>
            </w:r>
          </w:p>
        </w:tc>
        <w:tc>
          <w:tcPr>
            <w:tcW w:w="1653" w:type="dxa"/>
            <w:vAlign w:val="center"/>
          </w:tcPr>
          <w:p>
            <w:pPr>
              <w:jc w:val="center"/>
              <w:rPr>
                <w:rFonts w:ascii="Times New Roman" w:hAnsi="Times New Roman"/>
                <w:bCs/>
                <w:sz w:val="18"/>
                <w:szCs w:val="18"/>
              </w:rPr>
            </w:pPr>
            <w:r>
              <w:rPr>
                <w:rFonts w:ascii="Times New Roman" w:hAnsi="Times New Roman"/>
                <w:bCs/>
                <w:sz w:val="18"/>
                <w:szCs w:val="18"/>
              </w:rPr>
              <w:t>11.64</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10.47</w:t>
            </w:r>
          </w:p>
        </w:tc>
        <w:tc>
          <w:tcPr>
            <w:tcW w:w="1401" w:type="dxa"/>
            <w:vAlign w:val="center"/>
          </w:tcPr>
          <w:p>
            <w:pPr>
              <w:jc w:val="center"/>
              <w:rPr>
                <w:rFonts w:ascii="Times New Roman" w:hAnsi="Times New Roman"/>
                <w:bCs/>
                <w:sz w:val="18"/>
                <w:szCs w:val="18"/>
              </w:rPr>
            </w:pPr>
            <w:r>
              <w:rPr>
                <w:rFonts w:ascii="Times New Roman" w:hAnsi="Times New Roman"/>
                <w:bCs/>
                <w:sz w:val="18"/>
                <w:szCs w:val="18"/>
              </w:rPr>
              <w:t>8.26</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7.28</w:t>
            </w:r>
          </w:p>
        </w:tc>
        <w:tc>
          <w:tcPr>
            <w:tcW w:w="1402" w:type="dxa"/>
            <w:vAlign w:val="center"/>
          </w:tcPr>
          <w:p>
            <w:pPr>
              <w:jc w:val="center"/>
              <w:rPr>
                <w:rFonts w:ascii="Times New Roman" w:hAnsi="Times New Roman"/>
                <w:bCs/>
                <w:sz w:val="18"/>
                <w:szCs w:val="18"/>
              </w:rPr>
            </w:pPr>
            <w:r>
              <w:rPr>
                <w:rFonts w:ascii="Times New Roman" w:hAnsi="Times New Roman"/>
                <w:bCs/>
                <w:sz w:val="18"/>
                <w:szCs w:val="18"/>
              </w:rPr>
              <w:t>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center"/>
              <w:rPr>
                <w:rFonts w:ascii="Times New Roman" w:hAnsi="Times New Roman"/>
                <w:bCs/>
                <w:sz w:val="18"/>
                <w:szCs w:val="18"/>
              </w:rPr>
            </w:pPr>
            <w:r>
              <w:rPr>
                <w:rFonts w:ascii="Times New Roman" w:hAnsi="Times New Roman"/>
                <w:bCs/>
                <w:sz w:val="18"/>
                <w:szCs w:val="18"/>
              </w:rPr>
              <w:t>Bi</w:t>
            </w:r>
          </w:p>
        </w:tc>
        <w:tc>
          <w:tcPr>
            <w:tcW w:w="1653" w:type="dxa"/>
            <w:vAlign w:val="center"/>
          </w:tcPr>
          <w:p>
            <w:pPr>
              <w:jc w:val="center"/>
              <w:rPr>
                <w:rFonts w:ascii="Times New Roman" w:hAnsi="Times New Roman"/>
                <w:bCs/>
                <w:sz w:val="18"/>
                <w:szCs w:val="18"/>
              </w:rPr>
            </w:pPr>
            <w:r>
              <w:rPr>
                <w:rFonts w:ascii="Times New Roman" w:hAnsi="Times New Roman"/>
                <w:bCs/>
                <w:sz w:val="18"/>
                <w:szCs w:val="18"/>
              </w:rPr>
              <w:t>6.01</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7.25</w:t>
            </w:r>
          </w:p>
        </w:tc>
        <w:tc>
          <w:tcPr>
            <w:tcW w:w="1401" w:type="dxa"/>
            <w:vAlign w:val="center"/>
          </w:tcPr>
          <w:p>
            <w:pPr>
              <w:jc w:val="center"/>
              <w:rPr>
                <w:rFonts w:ascii="Times New Roman" w:hAnsi="Times New Roman"/>
                <w:bCs/>
                <w:sz w:val="18"/>
                <w:szCs w:val="18"/>
              </w:rPr>
            </w:pPr>
            <w:r>
              <w:rPr>
                <w:rFonts w:ascii="Times New Roman" w:hAnsi="Times New Roman"/>
                <w:bCs/>
                <w:sz w:val="18"/>
                <w:szCs w:val="18"/>
              </w:rPr>
              <w:t>9.94</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12.98</w:t>
            </w:r>
          </w:p>
        </w:tc>
        <w:tc>
          <w:tcPr>
            <w:tcW w:w="1402" w:type="dxa"/>
            <w:vAlign w:val="center"/>
          </w:tcPr>
          <w:p>
            <w:pPr>
              <w:jc w:val="center"/>
              <w:rPr>
                <w:rFonts w:ascii="Times New Roman" w:hAnsi="Times New Roman"/>
                <w:bCs/>
                <w:sz w:val="18"/>
                <w:szCs w:val="18"/>
              </w:rPr>
            </w:pPr>
            <w:r>
              <w:rPr>
                <w:rFonts w:ascii="Times New Roman" w:hAnsi="Times New Roman"/>
                <w:bCs/>
                <w:sz w:val="18"/>
                <w:szCs w:val="18"/>
              </w:rPr>
              <w:t>15.51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center"/>
              <w:rPr>
                <w:rFonts w:ascii="Times New Roman" w:hAnsi="Times New Roman"/>
                <w:bCs/>
                <w:sz w:val="18"/>
                <w:szCs w:val="18"/>
              </w:rPr>
            </w:pPr>
            <w:r>
              <w:rPr>
                <w:rFonts w:ascii="Times New Roman" w:hAnsi="Times New Roman"/>
                <w:bCs/>
                <w:sz w:val="18"/>
                <w:szCs w:val="18"/>
              </w:rPr>
              <w:t xml:space="preserve">    In</w:t>
            </w:r>
            <w:r>
              <w:rPr>
                <w:rFonts w:ascii="Times New Roman" w:hAnsi="Times New Roman"/>
                <w:sz w:val="18"/>
                <w:szCs w:val="18"/>
                <w:vertAlign w:val="superscript"/>
              </w:rPr>
              <w:t>注1</w:t>
            </w:r>
            <w:r>
              <w:rPr>
                <w:rFonts w:ascii="Times New Roman" w:hAnsi="Times New Roman"/>
                <w:sz w:val="18"/>
                <w:szCs w:val="18"/>
              </w:rPr>
              <w:t xml:space="preserve"> g/t</w:t>
            </w:r>
          </w:p>
        </w:tc>
        <w:tc>
          <w:tcPr>
            <w:tcW w:w="1653" w:type="dxa"/>
            <w:vAlign w:val="center"/>
          </w:tcPr>
          <w:p>
            <w:pPr>
              <w:jc w:val="center"/>
              <w:rPr>
                <w:rFonts w:ascii="Times New Roman" w:hAnsi="Times New Roman"/>
                <w:bCs/>
                <w:sz w:val="18"/>
                <w:szCs w:val="18"/>
              </w:rPr>
            </w:pPr>
            <w:r>
              <w:rPr>
                <w:rFonts w:ascii="Times New Roman" w:hAnsi="Times New Roman"/>
                <w:bCs/>
                <w:sz w:val="18"/>
                <w:szCs w:val="18"/>
              </w:rPr>
              <w:t>418.32</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285.45</w:t>
            </w:r>
          </w:p>
        </w:tc>
        <w:tc>
          <w:tcPr>
            <w:tcW w:w="1401" w:type="dxa"/>
            <w:vAlign w:val="center"/>
          </w:tcPr>
          <w:p>
            <w:pPr>
              <w:jc w:val="center"/>
              <w:rPr>
                <w:rFonts w:ascii="Times New Roman" w:hAnsi="Times New Roman"/>
                <w:bCs/>
                <w:sz w:val="18"/>
                <w:szCs w:val="18"/>
              </w:rPr>
            </w:pPr>
            <w:r>
              <w:rPr>
                <w:rFonts w:ascii="Times New Roman" w:hAnsi="Times New Roman"/>
                <w:bCs/>
                <w:sz w:val="18"/>
                <w:szCs w:val="18"/>
              </w:rPr>
              <w:t>273.73</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271.32</w:t>
            </w:r>
          </w:p>
        </w:tc>
        <w:tc>
          <w:tcPr>
            <w:tcW w:w="1402" w:type="dxa"/>
            <w:vAlign w:val="center"/>
          </w:tcPr>
          <w:p>
            <w:pPr>
              <w:jc w:val="center"/>
              <w:rPr>
                <w:rFonts w:ascii="Times New Roman" w:hAnsi="Times New Roman"/>
                <w:bCs/>
                <w:sz w:val="18"/>
                <w:szCs w:val="18"/>
              </w:rPr>
            </w:pPr>
            <w:r>
              <w:rPr>
                <w:rFonts w:ascii="Times New Roman" w:hAnsi="Times New Roman"/>
                <w:bCs/>
                <w:sz w:val="18"/>
                <w:szCs w:val="18"/>
              </w:rPr>
              <w:t>529.00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center"/>
              <w:rPr>
                <w:rFonts w:ascii="Times New Roman" w:hAnsi="Times New Roman"/>
                <w:bCs/>
                <w:sz w:val="18"/>
                <w:szCs w:val="18"/>
              </w:rPr>
            </w:pPr>
            <w:r>
              <w:rPr>
                <w:rFonts w:ascii="Times New Roman" w:hAnsi="Times New Roman"/>
                <w:bCs/>
                <w:sz w:val="18"/>
                <w:szCs w:val="18"/>
              </w:rPr>
              <w:t xml:space="preserve">     Ag </w:t>
            </w:r>
            <w:r>
              <w:rPr>
                <w:rFonts w:ascii="Times New Roman" w:hAnsi="Times New Roman"/>
                <w:sz w:val="18"/>
                <w:szCs w:val="18"/>
              </w:rPr>
              <w:t xml:space="preserve"> g/t</w:t>
            </w:r>
          </w:p>
        </w:tc>
        <w:tc>
          <w:tcPr>
            <w:tcW w:w="1653" w:type="dxa"/>
            <w:vAlign w:val="center"/>
          </w:tcPr>
          <w:p>
            <w:pPr>
              <w:jc w:val="center"/>
              <w:rPr>
                <w:rFonts w:ascii="Times New Roman" w:hAnsi="Times New Roman"/>
                <w:bCs/>
                <w:sz w:val="18"/>
                <w:szCs w:val="18"/>
              </w:rPr>
            </w:pPr>
            <w:r>
              <w:rPr>
                <w:rFonts w:ascii="Times New Roman" w:hAnsi="Times New Roman"/>
                <w:bCs/>
                <w:sz w:val="18"/>
                <w:szCs w:val="18"/>
              </w:rPr>
              <w:t>208</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102</w:t>
            </w:r>
          </w:p>
        </w:tc>
        <w:tc>
          <w:tcPr>
            <w:tcW w:w="1401" w:type="dxa"/>
            <w:vAlign w:val="center"/>
          </w:tcPr>
          <w:p>
            <w:pPr>
              <w:jc w:val="center"/>
              <w:rPr>
                <w:rFonts w:ascii="Times New Roman" w:hAnsi="Times New Roman"/>
                <w:bCs/>
                <w:sz w:val="18"/>
                <w:szCs w:val="18"/>
              </w:rPr>
            </w:pPr>
            <w:r>
              <w:rPr>
                <w:rFonts w:ascii="Times New Roman" w:hAnsi="Times New Roman"/>
                <w:bCs/>
                <w:sz w:val="18"/>
                <w:szCs w:val="18"/>
              </w:rPr>
              <w:t>205</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154</w:t>
            </w:r>
          </w:p>
        </w:tc>
        <w:tc>
          <w:tcPr>
            <w:tcW w:w="1402" w:type="dxa"/>
            <w:vAlign w:val="center"/>
          </w:tcPr>
          <w:p>
            <w:pPr>
              <w:jc w:val="center"/>
              <w:rPr>
                <w:rFonts w:ascii="Times New Roman" w:hAnsi="Times New Roman"/>
                <w:bCs/>
                <w:sz w:val="18"/>
                <w:szCs w:val="18"/>
              </w:rPr>
            </w:pPr>
            <w:r>
              <w:rPr>
                <w:rFonts w:ascii="Times New Roman" w:hAnsi="Times New Roman"/>
                <w:bCs/>
                <w:sz w:val="18"/>
                <w:szCs w:val="18"/>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center"/>
              <w:rPr>
                <w:rFonts w:ascii="Times New Roman" w:hAnsi="Times New Roman"/>
                <w:bCs/>
                <w:sz w:val="18"/>
                <w:szCs w:val="18"/>
              </w:rPr>
            </w:pPr>
            <w:r>
              <w:rPr>
                <w:rFonts w:ascii="Times New Roman" w:hAnsi="Times New Roman"/>
                <w:bCs/>
                <w:sz w:val="18"/>
                <w:szCs w:val="18"/>
              </w:rPr>
              <w:t>Sb</w:t>
            </w:r>
          </w:p>
        </w:tc>
        <w:tc>
          <w:tcPr>
            <w:tcW w:w="1653" w:type="dxa"/>
            <w:vAlign w:val="center"/>
          </w:tcPr>
          <w:p>
            <w:pPr>
              <w:jc w:val="center"/>
              <w:rPr>
                <w:rFonts w:ascii="Times New Roman" w:hAnsi="Times New Roman"/>
                <w:bCs/>
                <w:sz w:val="18"/>
                <w:szCs w:val="18"/>
              </w:rPr>
            </w:pPr>
            <w:r>
              <w:rPr>
                <w:rFonts w:ascii="Times New Roman" w:hAnsi="Times New Roman"/>
                <w:bCs/>
                <w:sz w:val="18"/>
                <w:szCs w:val="18"/>
              </w:rPr>
              <w:t>0.44</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0.23</w:t>
            </w:r>
          </w:p>
        </w:tc>
        <w:tc>
          <w:tcPr>
            <w:tcW w:w="1401" w:type="dxa"/>
            <w:vAlign w:val="center"/>
          </w:tcPr>
          <w:p>
            <w:pPr>
              <w:jc w:val="center"/>
              <w:rPr>
                <w:rFonts w:ascii="Times New Roman" w:hAnsi="Times New Roman"/>
                <w:bCs/>
                <w:sz w:val="18"/>
                <w:szCs w:val="18"/>
              </w:rPr>
            </w:pPr>
            <w:r>
              <w:rPr>
                <w:rFonts w:ascii="Times New Roman" w:hAnsi="Times New Roman"/>
                <w:bCs/>
                <w:sz w:val="18"/>
                <w:szCs w:val="18"/>
              </w:rPr>
              <w:t>0.23</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0.42</w:t>
            </w:r>
          </w:p>
        </w:tc>
        <w:tc>
          <w:tcPr>
            <w:tcW w:w="1402" w:type="dxa"/>
            <w:vAlign w:val="center"/>
          </w:tcPr>
          <w:p>
            <w:pPr>
              <w:jc w:val="center"/>
              <w:rPr>
                <w:rFonts w:ascii="Times New Roman" w:hAnsi="Times New Roman"/>
                <w:bCs/>
                <w:sz w:val="18"/>
                <w:szCs w:val="18"/>
              </w:rPr>
            </w:pPr>
            <w:r>
              <w:rPr>
                <w:rFonts w:ascii="Times New Roman" w:hAnsi="Times New Roman"/>
                <w:bCs/>
                <w:sz w:val="18"/>
                <w:szCs w:val="18"/>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center"/>
              <w:rPr>
                <w:rFonts w:ascii="Times New Roman" w:hAnsi="Times New Roman"/>
                <w:bCs/>
                <w:sz w:val="18"/>
                <w:szCs w:val="18"/>
              </w:rPr>
            </w:pPr>
            <w:r>
              <w:rPr>
                <w:rFonts w:ascii="Times New Roman" w:hAnsi="Times New Roman"/>
                <w:bCs/>
                <w:sz w:val="18"/>
                <w:szCs w:val="18"/>
              </w:rPr>
              <w:t>Sn</w:t>
            </w:r>
            <w:r>
              <w:rPr>
                <w:rFonts w:ascii="Times New Roman" w:hAnsi="Times New Roman"/>
                <w:bCs/>
                <w:sz w:val="18"/>
                <w:szCs w:val="18"/>
                <w:vertAlign w:val="superscript"/>
              </w:rPr>
              <w:t>注2</w:t>
            </w:r>
          </w:p>
        </w:tc>
        <w:tc>
          <w:tcPr>
            <w:tcW w:w="1653" w:type="dxa"/>
            <w:vAlign w:val="center"/>
          </w:tcPr>
          <w:p>
            <w:pPr>
              <w:jc w:val="center"/>
              <w:rPr>
                <w:rFonts w:ascii="Times New Roman" w:hAnsi="Times New Roman"/>
                <w:bCs/>
                <w:sz w:val="18"/>
                <w:szCs w:val="18"/>
              </w:rPr>
            </w:pPr>
            <w:r>
              <w:rPr>
                <w:rFonts w:ascii="Times New Roman" w:hAnsi="Times New Roman"/>
                <w:bCs/>
                <w:sz w:val="18"/>
                <w:szCs w:val="18"/>
              </w:rPr>
              <w:t>0.36</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0.64</w:t>
            </w:r>
          </w:p>
        </w:tc>
        <w:tc>
          <w:tcPr>
            <w:tcW w:w="1401" w:type="dxa"/>
            <w:vAlign w:val="center"/>
          </w:tcPr>
          <w:p>
            <w:pPr>
              <w:jc w:val="center"/>
              <w:rPr>
                <w:rFonts w:ascii="Times New Roman" w:hAnsi="Times New Roman"/>
                <w:bCs/>
                <w:sz w:val="18"/>
                <w:szCs w:val="18"/>
              </w:rPr>
            </w:pPr>
            <w:r>
              <w:rPr>
                <w:rFonts w:ascii="Times New Roman" w:hAnsi="Times New Roman"/>
                <w:bCs/>
                <w:sz w:val="18"/>
                <w:szCs w:val="18"/>
              </w:rPr>
              <w:t>0.44</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0.30</w:t>
            </w:r>
          </w:p>
        </w:tc>
        <w:tc>
          <w:tcPr>
            <w:tcW w:w="1402" w:type="dxa"/>
            <w:vAlign w:val="center"/>
          </w:tcPr>
          <w:p>
            <w:pPr>
              <w:jc w:val="center"/>
              <w:rPr>
                <w:rFonts w:ascii="Times New Roman" w:hAnsi="Times New Roman"/>
                <w:bCs/>
                <w:sz w:val="18"/>
                <w:szCs w:val="18"/>
              </w:rPr>
            </w:pPr>
            <w:r>
              <w:rPr>
                <w:rFonts w:ascii="Times New Roman" w:hAnsi="Times New Roman"/>
                <w:bCs/>
                <w:sz w:val="18"/>
                <w:szCs w:val="18"/>
              </w:rPr>
              <w:t>0.483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center"/>
              <w:rPr>
                <w:rFonts w:ascii="Times New Roman" w:hAnsi="Times New Roman"/>
                <w:bCs/>
                <w:sz w:val="18"/>
                <w:szCs w:val="18"/>
              </w:rPr>
            </w:pPr>
            <w:r>
              <w:rPr>
                <w:rFonts w:ascii="Times New Roman" w:hAnsi="Times New Roman"/>
                <w:bCs/>
                <w:sz w:val="18"/>
                <w:szCs w:val="18"/>
              </w:rPr>
              <w:t>Fe</w:t>
            </w:r>
          </w:p>
        </w:tc>
        <w:tc>
          <w:tcPr>
            <w:tcW w:w="1653" w:type="dxa"/>
            <w:vAlign w:val="center"/>
          </w:tcPr>
          <w:p>
            <w:pPr>
              <w:jc w:val="center"/>
              <w:rPr>
                <w:rFonts w:ascii="Times New Roman" w:hAnsi="Times New Roman"/>
                <w:bCs/>
                <w:sz w:val="18"/>
                <w:szCs w:val="18"/>
              </w:rPr>
            </w:pPr>
            <w:r>
              <w:rPr>
                <w:rFonts w:ascii="Times New Roman" w:hAnsi="Times New Roman"/>
                <w:bCs/>
                <w:sz w:val="18"/>
                <w:szCs w:val="18"/>
              </w:rPr>
              <w:t>2.47</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0.40</w:t>
            </w:r>
          </w:p>
        </w:tc>
        <w:tc>
          <w:tcPr>
            <w:tcW w:w="1401" w:type="dxa"/>
            <w:vAlign w:val="center"/>
          </w:tcPr>
          <w:p>
            <w:pPr>
              <w:jc w:val="center"/>
              <w:rPr>
                <w:rFonts w:ascii="Times New Roman" w:hAnsi="Times New Roman"/>
                <w:bCs/>
                <w:sz w:val="18"/>
                <w:szCs w:val="18"/>
              </w:rPr>
            </w:pPr>
            <w:r>
              <w:rPr>
                <w:rFonts w:ascii="Times New Roman" w:hAnsi="Times New Roman"/>
                <w:bCs/>
                <w:sz w:val="18"/>
                <w:szCs w:val="18"/>
              </w:rPr>
              <w:t>0.87</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0.25</w:t>
            </w:r>
          </w:p>
        </w:tc>
        <w:tc>
          <w:tcPr>
            <w:tcW w:w="1402" w:type="dxa"/>
            <w:vAlign w:val="center"/>
          </w:tcPr>
          <w:p>
            <w:pPr>
              <w:jc w:val="center"/>
              <w:rPr>
                <w:rFonts w:ascii="Times New Roman" w:hAnsi="Times New Roman"/>
                <w:bCs/>
                <w:sz w:val="18"/>
                <w:szCs w:val="18"/>
              </w:rPr>
            </w:pPr>
            <w:r>
              <w:rPr>
                <w:rFonts w:ascii="Times New Roman" w:hAnsi="Times New Roman"/>
                <w:bCs/>
                <w:sz w:val="18"/>
                <w:szCs w:val="18"/>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center"/>
              <w:rPr>
                <w:rFonts w:ascii="Times New Roman" w:hAnsi="Times New Roman"/>
                <w:bCs/>
                <w:sz w:val="18"/>
                <w:szCs w:val="18"/>
              </w:rPr>
            </w:pPr>
            <w:r>
              <w:rPr>
                <w:rFonts w:ascii="Times New Roman" w:hAnsi="Times New Roman"/>
                <w:bCs/>
                <w:sz w:val="18"/>
                <w:szCs w:val="18"/>
              </w:rPr>
              <w:t>Al</w:t>
            </w:r>
          </w:p>
        </w:tc>
        <w:tc>
          <w:tcPr>
            <w:tcW w:w="1653" w:type="dxa"/>
            <w:vAlign w:val="center"/>
          </w:tcPr>
          <w:p>
            <w:pPr>
              <w:jc w:val="center"/>
              <w:rPr>
                <w:rFonts w:ascii="Times New Roman" w:hAnsi="Times New Roman"/>
                <w:bCs/>
                <w:sz w:val="18"/>
                <w:szCs w:val="18"/>
              </w:rPr>
            </w:pPr>
            <w:r>
              <w:rPr>
                <w:rFonts w:ascii="Times New Roman" w:hAnsi="Times New Roman"/>
                <w:bCs/>
                <w:sz w:val="18"/>
                <w:szCs w:val="18"/>
              </w:rPr>
              <w:t>0.11</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0.04</w:t>
            </w:r>
          </w:p>
        </w:tc>
        <w:tc>
          <w:tcPr>
            <w:tcW w:w="1401" w:type="dxa"/>
            <w:vAlign w:val="center"/>
          </w:tcPr>
          <w:p>
            <w:pPr>
              <w:jc w:val="center"/>
              <w:rPr>
                <w:rFonts w:ascii="Times New Roman" w:hAnsi="Times New Roman"/>
                <w:bCs/>
                <w:sz w:val="18"/>
                <w:szCs w:val="18"/>
              </w:rPr>
            </w:pPr>
            <w:r>
              <w:rPr>
                <w:rFonts w:ascii="Times New Roman" w:hAnsi="Times New Roman"/>
                <w:bCs/>
                <w:sz w:val="18"/>
                <w:szCs w:val="18"/>
              </w:rPr>
              <w:t>0.04</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0.07</w:t>
            </w:r>
          </w:p>
        </w:tc>
        <w:tc>
          <w:tcPr>
            <w:tcW w:w="1402" w:type="dxa"/>
            <w:vAlign w:val="center"/>
          </w:tcPr>
          <w:p>
            <w:pPr>
              <w:jc w:val="center"/>
              <w:rPr>
                <w:rFonts w:ascii="Times New Roman" w:hAnsi="Times New Roman"/>
                <w:bCs/>
                <w:sz w:val="18"/>
                <w:szCs w:val="18"/>
              </w:rPr>
            </w:pPr>
            <w:r>
              <w:rPr>
                <w:rFonts w:ascii="Times New Roman" w:hAnsi="Times New Roman"/>
                <w:bCs/>
                <w:sz w:val="18"/>
                <w:szCs w:val="18"/>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center"/>
              <w:rPr>
                <w:rFonts w:ascii="Times New Roman" w:hAnsi="Times New Roman"/>
                <w:bCs/>
                <w:sz w:val="18"/>
                <w:szCs w:val="18"/>
              </w:rPr>
            </w:pPr>
            <w:r>
              <w:rPr>
                <w:rFonts w:ascii="Times New Roman" w:hAnsi="Times New Roman"/>
                <w:bCs/>
                <w:sz w:val="18"/>
                <w:szCs w:val="18"/>
              </w:rPr>
              <w:t>S</w:t>
            </w:r>
          </w:p>
        </w:tc>
        <w:tc>
          <w:tcPr>
            <w:tcW w:w="1653" w:type="dxa"/>
            <w:vAlign w:val="center"/>
          </w:tcPr>
          <w:p>
            <w:pPr>
              <w:jc w:val="center"/>
              <w:rPr>
                <w:rFonts w:ascii="Times New Roman" w:hAnsi="Times New Roman"/>
                <w:bCs/>
                <w:sz w:val="18"/>
                <w:szCs w:val="18"/>
              </w:rPr>
            </w:pPr>
            <w:r>
              <w:rPr>
                <w:rFonts w:ascii="Times New Roman" w:hAnsi="Times New Roman"/>
                <w:bCs/>
                <w:sz w:val="18"/>
                <w:szCs w:val="18"/>
              </w:rPr>
              <w:t>10.27</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10.56</w:t>
            </w:r>
          </w:p>
        </w:tc>
        <w:tc>
          <w:tcPr>
            <w:tcW w:w="1401" w:type="dxa"/>
            <w:vAlign w:val="center"/>
          </w:tcPr>
          <w:p>
            <w:pPr>
              <w:jc w:val="center"/>
              <w:rPr>
                <w:rFonts w:ascii="Times New Roman" w:hAnsi="Times New Roman"/>
                <w:bCs/>
                <w:sz w:val="18"/>
                <w:szCs w:val="18"/>
              </w:rPr>
            </w:pPr>
            <w:r>
              <w:rPr>
                <w:rFonts w:ascii="Times New Roman" w:hAnsi="Times New Roman"/>
                <w:bCs/>
                <w:sz w:val="18"/>
                <w:szCs w:val="18"/>
              </w:rPr>
              <w:t>10.06</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7.50</w:t>
            </w:r>
          </w:p>
        </w:tc>
        <w:tc>
          <w:tcPr>
            <w:tcW w:w="1402" w:type="dxa"/>
            <w:vAlign w:val="center"/>
          </w:tcPr>
          <w:p>
            <w:pPr>
              <w:jc w:val="center"/>
              <w:rPr>
                <w:rFonts w:ascii="Times New Roman" w:hAnsi="Times New Roman"/>
                <w:bCs/>
                <w:sz w:val="18"/>
                <w:szCs w:val="18"/>
              </w:rPr>
            </w:pPr>
            <w:r>
              <w:rPr>
                <w:rFonts w:ascii="Times New Roman" w:hAnsi="Times New Roman"/>
                <w:bCs/>
                <w:sz w:val="18"/>
                <w:szCs w:val="18"/>
              </w:rPr>
              <w:t>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ind w:firstLine="630" w:firstLineChars="350"/>
              <w:rPr>
                <w:rFonts w:ascii="Times New Roman" w:hAnsi="Times New Roman"/>
                <w:bCs/>
                <w:sz w:val="18"/>
                <w:szCs w:val="18"/>
              </w:rPr>
            </w:pPr>
            <w:r>
              <w:rPr>
                <w:rFonts w:ascii="Times New Roman" w:hAnsi="Times New Roman"/>
                <w:bCs/>
                <w:sz w:val="18"/>
                <w:szCs w:val="18"/>
              </w:rPr>
              <w:t>Se</w:t>
            </w:r>
          </w:p>
        </w:tc>
        <w:tc>
          <w:tcPr>
            <w:tcW w:w="1653" w:type="dxa"/>
            <w:vAlign w:val="center"/>
          </w:tcPr>
          <w:p>
            <w:pPr>
              <w:jc w:val="center"/>
              <w:rPr>
                <w:rFonts w:ascii="Times New Roman" w:hAnsi="Times New Roman"/>
                <w:bCs/>
                <w:sz w:val="18"/>
                <w:szCs w:val="18"/>
              </w:rPr>
            </w:pPr>
            <w:r>
              <w:rPr>
                <w:rFonts w:ascii="Times New Roman" w:hAnsi="Times New Roman"/>
                <w:bCs/>
                <w:sz w:val="18"/>
                <w:szCs w:val="18"/>
              </w:rPr>
              <w:t>0.01</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0.00</w:t>
            </w:r>
          </w:p>
        </w:tc>
        <w:tc>
          <w:tcPr>
            <w:tcW w:w="1401" w:type="dxa"/>
            <w:vAlign w:val="center"/>
          </w:tcPr>
          <w:p>
            <w:pPr>
              <w:jc w:val="center"/>
              <w:rPr>
                <w:rFonts w:ascii="Times New Roman" w:hAnsi="Times New Roman"/>
                <w:bCs/>
                <w:sz w:val="18"/>
                <w:szCs w:val="18"/>
              </w:rPr>
            </w:pPr>
            <w:r>
              <w:rPr>
                <w:rFonts w:ascii="Times New Roman" w:hAnsi="Times New Roman"/>
                <w:bCs/>
                <w:sz w:val="18"/>
                <w:szCs w:val="18"/>
              </w:rPr>
              <w:t>0.00</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0.00</w:t>
            </w:r>
          </w:p>
        </w:tc>
        <w:tc>
          <w:tcPr>
            <w:tcW w:w="1402" w:type="dxa"/>
            <w:vAlign w:val="center"/>
          </w:tcPr>
          <w:p>
            <w:pPr>
              <w:jc w:val="center"/>
              <w:rPr>
                <w:rFonts w:ascii="Times New Roman" w:hAnsi="Times New Roman"/>
                <w:bCs/>
                <w:sz w:val="18"/>
                <w:szCs w:val="18"/>
              </w:rPr>
            </w:pPr>
            <w:r>
              <w:rPr>
                <w:rFonts w:ascii="Times New Roman" w:hAnsi="Times New Roman"/>
                <w:bCs/>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center"/>
              <w:rPr>
                <w:rFonts w:ascii="Times New Roman" w:hAnsi="Times New Roman"/>
                <w:bCs/>
                <w:sz w:val="18"/>
                <w:szCs w:val="18"/>
              </w:rPr>
            </w:pPr>
            <w:r>
              <w:rPr>
                <w:rFonts w:ascii="Times New Roman" w:hAnsi="Times New Roman"/>
                <w:bCs/>
                <w:sz w:val="18"/>
                <w:szCs w:val="18"/>
              </w:rPr>
              <w:t>Te</w:t>
            </w:r>
          </w:p>
        </w:tc>
        <w:tc>
          <w:tcPr>
            <w:tcW w:w="1653" w:type="dxa"/>
            <w:vAlign w:val="center"/>
          </w:tcPr>
          <w:p>
            <w:pPr>
              <w:jc w:val="center"/>
              <w:rPr>
                <w:rFonts w:ascii="Times New Roman" w:hAnsi="Times New Roman"/>
                <w:bCs/>
                <w:sz w:val="18"/>
                <w:szCs w:val="18"/>
              </w:rPr>
            </w:pPr>
            <w:r>
              <w:rPr>
                <w:rFonts w:ascii="Times New Roman" w:hAnsi="Times New Roman"/>
                <w:bCs/>
                <w:sz w:val="18"/>
                <w:szCs w:val="18"/>
              </w:rPr>
              <w:t>0.001</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0.001</w:t>
            </w:r>
          </w:p>
        </w:tc>
        <w:tc>
          <w:tcPr>
            <w:tcW w:w="1401" w:type="dxa"/>
            <w:vAlign w:val="center"/>
          </w:tcPr>
          <w:p>
            <w:pPr>
              <w:jc w:val="center"/>
              <w:rPr>
                <w:rFonts w:ascii="Times New Roman" w:hAnsi="Times New Roman"/>
                <w:bCs/>
                <w:sz w:val="18"/>
                <w:szCs w:val="18"/>
              </w:rPr>
            </w:pPr>
            <w:r>
              <w:rPr>
                <w:rFonts w:ascii="Times New Roman" w:hAnsi="Times New Roman"/>
                <w:bCs/>
                <w:sz w:val="18"/>
                <w:szCs w:val="18"/>
              </w:rPr>
              <w:t>0.001</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0.001</w:t>
            </w:r>
          </w:p>
        </w:tc>
        <w:tc>
          <w:tcPr>
            <w:tcW w:w="1402" w:type="dxa"/>
            <w:vAlign w:val="center"/>
          </w:tcPr>
          <w:p>
            <w:pPr>
              <w:jc w:val="center"/>
              <w:rPr>
                <w:rFonts w:ascii="Times New Roman" w:hAnsi="Times New Roman"/>
                <w:bCs/>
                <w:sz w:val="18"/>
                <w:szCs w:val="18"/>
              </w:rPr>
            </w:pPr>
            <w:r>
              <w:rPr>
                <w:rFonts w:ascii="Times New Roman" w:hAnsi="Times New Roman"/>
                <w:bCs/>
                <w:sz w:val="18"/>
                <w:szCs w:val="18"/>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Align w:val="center"/>
          </w:tcPr>
          <w:p>
            <w:pPr>
              <w:jc w:val="center"/>
              <w:rPr>
                <w:rFonts w:ascii="Times New Roman" w:hAnsi="Times New Roman"/>
                <w:bCs/>
                <w:sz w:val="18"/>
                <w:szCs w:val="18"/>
              </w:rPr>
            </w:pPr>
            <w:r>
              <w:rPr>
                <w:rFonts w:ascii="Times New Roman" w:hAnsi="Times New Roman"/>
                <w:bCs/>
                <w:sz w:val="18"/>
                <w:szCs w:val="18"/>
              </w:rPr>
              <w:t>As</w:t>
            </w:r>
          </w:p>
        </w:tc>
        <w:tc>
          <w:tcPr>
            <w:tcW w:w="1653" w:type="dxa"/>
            <w:vAlign w:val="center"/>
          </w:tcPr>
          <w:p>
            <w:pPr>
              <w:jc w:val="center"/>
              <w:rPr>
                <w:rFonts w:ascii="Times New Roman" w:hAnsi="Times New Roman"/>
                <w:bCs/>
                <w:sz w:val="18"/>
                <w:szCs w:val="18"/>
              </w:rPr>
            </w:pPr>
            <w:r>
              <w:rPr>
                <w:rFonts w:ascii="Times New Roman" w:hAnsi="Times New Roman"/>
                <w:bCs/>
                <w:sz w:val="18"/>
                <w:szCs w:val="18"/>
              </w:rPr>
              <w:t>13.08</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11.75</w:t>
            </w:r>
          </w:p>
        </w:tc>
        <w:tc>
          <w:tcPr>
            <w:tcW w:w="1401" w:type="dxa"/>
            <w:vAlign w:val="center"/>
          </w:tcPr>
          <w:p>
            <w:pPr>
              <w:jc w:val="center"/>
              <w:rPr>
                <w:rFonts w:ascii="Times New Roman" w:hAnsi="Times New Roman"/>
                <w:bCs/>
                <w:sz w:val="18"/>
                <w:szCs w:val="18"/>
              </w:rPr>
            </w:pPr>
            <w:r>
              <w:rPr>
                <w:rFonts w:ascii="Times New Roman" w:hAnsi="Times New Roman"/>
                <w:bCs/>
                <w:sz w:val="18"/>
                <w:szCs w:val="18"/>
              </w:rPr>
              <w:t>7.36</w:t>
            </w:r>
          </w:p>
        </w:tc>
        <w:tc>
          <w:tcPr>
            <w:tcW w:w="1602" w:type="dxa"/>
            <w:vAlign w:val="center"/>
          </w:tcPr>
          <w:p>
            <w:pPr>
              <w:jc w:val="center"/>
              <w:rPr>
                <w:rFonts w:ascii="Times New Roman" w:hAnsi="Times New Roman"/>
                <w:bCs/>
                <w:sz w:val="18"/>
                <w:szCs w:val="18"/>
              </w:rPr>
            </w:pPr>
            <w:r>
              <w:rPr>
                <w:rFonts w:ascii="Times New Roman" w:hAnsi="Times New Roman"/>
                <w:bCs/>
                <w:sz w:val="18"/>
                <w:szCs w:val="18"/>
              </w:rPr>
              <w:t>12.83</w:t>
            </w:r>
          </w:p>
        </w:tc>
        <w:tc>
          <w:tcPr>
            <w:tcW w:w="1402" w:type="dxa"/>
            <w:vAlign w:val="center"/>
          </w:tcPr>
          <w:p>
            <w:pPr>
              <w:jc w:val="center"/>
              <w:rPr>
                <w:rFonts w:ascii="Times New Roman" w:hAnsi="Times New Roman"/>
                <w:bCs/>
                <w:sz w:val="18"/>
                <w:szCs w:val="18"/>
              </w:rPr>
            </w:pPr>
            <w:r>
              <w:rPr>
                <w:rFonts w:ascii="Times New Roman" w:hAnsi="Times New Roman"/>
                <w:bCs/>
                <w:sz w:val="18"/>
                <w:szCs w:val="18"/>
              </w:rPr>
              <w:t>10.74</w:t>
            </w:r>
          </w:p>
        </w:tc>
      </w:tr>
    </w:tbl>
    <w:p>
      <w:pPr>
        <w:ind w:firstLine="105" w:firstLineChars="50"/>
        <w:outlineLvl w:val="0"/>
        <w:rPr>
          <w:rFonts w:ascii="Times New Roman" w:hAnsi="Times New Roman"/>
          <w:szCs w:val="21"/>
        </w:rPr>
      </w:pPr>
    </w:p>
    <w:p>
      <w:pPr>
        <w:outlineLvl w:val="0"/>
        <w:rPr>
          <w:rFonts w:ascii="Times New Roman" w:hAnsi="Times New Roman"/>
          <w:szCs w:val="21"/>
        </w:rPr>
      </w:pPr>
      <w:r>
        <w:rPr>
          <w:rFonts w:ascii="Times New Roman" w:hAnsi="Times New Roman"/>
          <w:szCs w:val="21"/>
        </w:rPr>
        <w:t>注1原子吸收光谱法</w:t>
      </w:r>
    </w:p>
    <w:p>
      <w:pPr>
        <w:outlineLvl w:val="0"/>
        <w:rPr>
          <w:rFonts w:ascii="Times New Roman" w:hAnsi="Times New Roman"/>
          <w:szCs w:val="21"/>
        </w:rPr>
      </w:pPr>
      <w:r>
        <w:rPr>
          <w:rFonts w:ascii="Times New Roman" w:hAnsi="Times New Roman"/>
          <w:szCs w:val="21"/>
        </w:rPr>
        <w:t>注2容量法</w:t>
      </w:r>
    </w:p>
    <w:p>
      <w:pPr>
        <w:outlineLvl w:val="0"/>
        <w:rPr>
          <w:rFonts w:ascii="Times New Roman" w:hAnsi="Times New Roman"/>
          <w:b/>
          <w:szCs w:val="21"/>
        </w:rPr>
      </w:pPr>
    </w:p>
    <w:p>
      <w:pPr>
        <w:outlineLvl w:val="0"/>
        <w:rPr>
          <w:rFonts w:ascii="Times New Roman" w:hAnsi="Times New Roman" w:eastAsia="黑体"/>
          <w:szCs w:val="21"/>
        </w:rPr>
      </w:pPr>
      <w:r>
        <w:rPr>
          <w:rFonts w:ascii="Times New Roman" w:hAnsi="Times New Roman" w:eastAsia="黑体"/>
          <w:szCs w:val="21"/>
        </w:rPr>
        <w:t>2.4.1  各元素对铋测定的影响</w:t>
      </w:r>
    </w:p>
    <w:p>
      <w:pPr>
        <w:outlineLvl w:val="0"/>
        <w:rPr>
          <w:rFonts w:ascii="Times New Roman" w:hAnsi="Times New Roman" w:eastAsia="黑体"/>
          <w:szCs w:val="21"/>
        </w:rPr>
      </w:pPr>
      <w:r>
        <w:rPr>
          <w:rFonts w:ascii="Times New Roman" w:hAnsi="Times New Roman" w:eastAsia="黑体"/>
          <w:szCs w:val="21"/>
        </w:rPr>
        <w:t>2.4.1.1  各元素对铋测定的影响</w:t>
      </w:r>
    </w:p>
    <w:p>
      <w:pPr>
        <w:ind w:firstLine="435"/>
        <w:outlineLvl w:val="0"/>
        <w:rPr>
          <w:rFonts w:ascii="Times New Roman" w:hAnsi="Times New Roman"/>
          <w:color w:val="000000" w:themeColor="text1"/>
          <w:szCs w:val="21"/>
        </w:rPr>
      </w:pPr>
      <w:r>
        <w:rPr>
          <w:rFonts w:ascii="Times New Roman" w:hAnsi="Times New Roman"/>
          <w:szCs w:val="21"/>
        </w:rPr>
        <w:t>铜冶炼烟尘</w:t>
      </w:r>
      <w:r>
        <w:rPr>
          <w:rFonts w:ascii="Times New Roman" w:hAnsi="Times New Roman"/>
        </w:rPr>
        <w:t>试样中</w:t>
      </w:r>
      <w:r>
        <w:rPr>
          <w:rFonts w:ascii="Times New Roman" w:hAnsi="Times New Roman"/>
          <w:szCs w:val="21"/>
        </w:rPr>
        <w:t>各元素含量上限为</w:t>
      </w:r>
      <w:r>
        <w:rPr>
          <w:rFonts w:ascii="Times New Roman" w:hAnsi="Times New Roman"/>
          <w:bCs/>
          <w:color w:val="000000" w:themeColor="text1"/>
          <w:sz w:val="18"/>
          <w:szCs w:val="18"/>
        </w:rPr>
        <w:t>Cu</w:t>
      </w:r>
      <w:r>
        <w:rPr>
          <w:rFonts w:ascii="Times New Roman" w:hAnsi="Times New Roman"/>
          <w:color w:val="000000" w:themeColor="text1"/>
          <w:szCs w:val="21"/>
        </w:rPr>
        <w:t xml:space="preserve"> 65 %，</w:t>
      </w:r>
      <w:r>
        <w:rPr>
          <w:rFonts w:ascii="Times New Roman" w:hAnsi="Times New Roman"/>
          <w:bCs/>
          <w:color w:val="000000" w:themeColor="text1"/>
          <w:sz w:val="18"/>
          <w:szCs w:val="18"/>
        </w:rPr>
        <w:t>Pb</w:t>
      </w:r>
      <w:r>
        <w:rPr>
          <w:rFonts w:ascii="Times New Roman" w:hAnsi="Times New Roman"/>
          <w:color w:val="000000" w:themeColor="text1"/>
          <w:szCs w:val="21"/>
        </w:rPr>
        <w:t xml:space="preserve"> 50 %</w:t>
      </w:r>
      <w:r>
        <w:rPr>
          <w:rFonts w:ascii="Times New Roman" w:hAnsi="Times New Roman"/>
          <w:bCs/>
          <w:color w:val="000000" w:themeColor="text1"/>
          <w:sz w:val="18"/>
          <w:szCs w:val="18"/>
        </w:rPr>
        <w:t>，Bi</w:t>
      </w:r>
      <w:r>
        <w:rPr>
          <w:rFonts w:ascii="Times New Roman" w:hAnsi="Times New Roman"/>
          <w:color w:val="000000" w:themeColor="text1"/>
          <w:szCs w:val="21"/>
        </w:rPr>
        <w:t xml:space="preserve"> 16 %</w:t>
      </w:r>
      <w:r>
        <w:rPr>
          <w:rFonts w:ascii="Times New Roman" w:hAnsi="Times New Roman"/>
          <w:bCs/>
          <w:color w:val="000000" w:themeColor="text1"/>
          <w:sz w:val="18"/>
          <w:szCs w:val="18"/>
        </w:rPr>
        <w:t>，Au</w:t>
      </w:r>
      <w:r>
        <w:rPr>
          <w:rFonts w:ascii="Times New Roman" w:hAnsi="Times New Roman"/>
          <w:color w:val="000000" w:themeColor="text1"/>
          <w:szCs w:val="21"/>
        </w:rPr>
        <w:t xml:space="preserve"> 50 g/t，</w:t>
      </w:r>
      <w:r>
        <w:rPr>
          <w:rFonts w:ascii="Times New Roman" w:hAnsi="Times New Roman"/>
          <w:bCs/>
          <w:color w:val="000000" w:themeColor="text1"/>
          <w:sz w:val="18"/>
          <w:szCs w:val="18"/>
        </w:rPr>
        <w:t>Ag</w:t>
      </w:r>
      <w:r>
        <w:rPr>
          <w:rFonts w:ascii="Times New Roman" w:hAnsi="Times New Roman"/>
          <w:color w:val="000000" w:themeColor="text1"/>
          <w:szCs w:val="21"/>
        </w:rPr>
        <w:t xml:space="preserve"> 1500 g/t，</w:t>
      </w:r>
      <w:r>
        <w:rPr>
          <w:rFonts w:ascii="Times New Roman" w:hAnsi="Times New Roman"/>
          <w:bCs/>
          <w:color w:val="000000" w:themeColor="text1"/>
          <w:sz w:val="18"/>
          <w:szCs w:val="18"/>
        </w:rPr>
        <w:t>Sb</w:t>
      </w:r>
      <w:r>
        <w:rPr>
          <w:rFonts w:ascii="Times New Roman" w:hAnsi="Times New Roman"/>
          <w:color w:val="000000" w:themeColor="text1"/>
          <w:szCs w:val="21"/>
        </w:rPr>
        <w:t xml:space="preserve"> 7%，</w:t>
      </w:r>
      <w:r>
        <w:rPr>
          <w:rFonts w:ascii="Times New Roman" w:hAnsi="Times New Roman"/>
          <w:bCs/>
          <w:color w:val="000000" w:themeColor="text1"/>
          <w:sz w:val="18"/>
          <w:szCs w:val="18"/>
        </w:rPr>
        <w:t>Sn</w:t>
      </w:r>
      <w:r>
        <w:rPr>
          <w:rFonts w:ascii="Times New Roman" w:hAnsi="Times New Roman"/>
          <w:color w:val="000000" w:themeColor="text1"/>
          <w:szCs w:val="21"/>
        </w:rPr>
        <w:t xml:space="preserve"> 3 %，</w:t>
      </w:r>
      <w:r>
        <w:rPr>
          <w:rFonts w:ascii="Times New Roman" w:hAnsi="Times New Roman"/>
          <w:bCs/>
          <w:color w:val="000000" w:themeColor="text1"/>
          <w:sz w:val="18"/>
          <w:szCs w:val="18"/>
        </w:rPr>
        <w:t>Cd</w:t>
      </w:r>
      <w:r>
        <w:rPr>
          <w:rFonts w:ascii="Times New Roman" w:hAnsi="Times New Roman"/>
          <w:color w:val="000000" w:themeColor="text1"/>
          <w:szCs w:val="21"/>
        </w:rPr>
        <w:t xml:space="preserve"> 16%，</w:t>
      </w:r>
      <w:r>
        <w:rPr>
          <w:rFonts w:ascii="Times New Roman" w:hAnsi="Times New Roman"/>
          <w:bCs/>
          <w:color w:val="000000" w:themeColor="text1"/>
          <w:sz w:val="18"/>
          <w:szCs w:val="18"/>
        </w:rPr>
        <w:t xml:space="preserve">Fe </w:t>
      </w:r>
      <w:r>
        <w:rPr>
          <w:rFonts w:hint="eastAsia" w:ascii="Times New Roman" w:hAnsi="Times New Roman"/>
          <w:bCs/>
          <w:color w:val="000000" w:themeColor="text1"/>
          <w:sz w:val="18"/>
          <w:szCs w:val="18"/>
        </w:rPr>
        <w:t>22</w:t>
      </w:r>
      <w:r>
        <w:rPr>
          <w:rFonts w:ascii="Times New Roman" w:hAnsi="Times New Roman"/>
          <w:color w:val="000000" w:themeColor="text1"/>
          <w:szCs w:val="21"/>
        </w:rPr>
        <w:t xml:space="preserve"> %，</w:t>
      </w:r>
      <w:r>
        <w:rPr>
          <w:rFonts w:ascii="Times New Roman" w:hAnsi="Times New Roman"/>
          <w:bCs/>
          <w:color w:val="000000" w:themeColor="text1"/>
          <w:sz w:val="18"/>
          <w:szCs w:val="18"/>
        </w:rPr>
        <w:t>Al</w:t>
      </w:r>
      <w:r>
        <w:rPr>
          <w:rFonts w:ascii="Times New Roman" w:hAnsi="Times New Roman"/>
          <w:bCs/>
          <w:color w:val="000000" w:themeColor="text1"/>
          <w:sz w:val="18"/>
          <w:szCs w:val="18"/>
          <w:vertAlign w:val="subscript"/>
        </w:rPr>
        <w:t>2</w:t>
      </w:r>
      <w:r>
        <w:rPr>
          <w:rFonts w:ascii="Times New Roman" w:hAnsi="Times New Roman"/>
          <w:bCs/>
          <w:color w:val="000000" w:themeColor="text1"/>
          <w:sz w:val="18"/>
          <w:szCs w:val="18"/>
        </w:rPr>
        <w:t>O</w:t>
      </w:r>
      <w:r>
        <w:rPr>
          <w:rFonts w:ascii="Times New Roman" w:hAnsi="Times New Roman"/>
          <w:bCs/>
          <w:color w:val="000000" w:themeColor="text1"/>
          <w:sz w:val="18"/>
          <w:szCs w:val="18"/>
          <w:vertAlign w:val="subscript"/>
        </w:rPr>
        <w:t xml:space="preserve">3 </w:t>
      </w:r>
      <w:r>
        <w:rPr>
          <w:rFonts w:ascii="Times New Roman" w:hAnsi="Times New Roman"/>
          <w:bCs/>
          <w:color w:val="000000" w:themeColor="text1"/>
          <w:sz w:val="18"/>
          <w:szCs w:val="18"/>
        </w:rPr>
        <w:t xml:space="preserve">3 </w:t>
      </w:r>
      <w:r>
        <w:rPr>
          <w:rFonts w:ascii="Times New Roman" w:hAnsi="Times New Roman"/>
          <w:color w:val="000000" w:themeColor="text1"/>
          <w:szCs w:val="21"/>
        </w:rPr>
        <w:t>%，</w:t>
      </w:r>
      <w:r>
        <w:rPr>
          <w:rFonts w:ascii="Times New Roman" w:hAnsi="Times New Roman"/>
          <w:bCs/>
          <w:color w:val="000000" w:themeColor="text1"/>
          <w:sz w:val="18"/>
          <w:szCs w:val="18"/>
        </w:rPr>
        <w:t>Ca</w:t>
      </w:r>
      <w:r>
        <w:rPr>
          <w:rFonts w:ascii="Times New Roman" w:hAnsi="Times New Roman"/>
          <w:color w:val="000000" w:themeColor="text1"/>
          <w:szCs w:val="21"/>
        </w:rPr>
        <w:t xml:space="preserve"> 1.5%，</w:t>
      </w:r>
      <w:r>
        <w:rPr>
          <w:rFonts w:ascii="Times New Roman" w:hAnsi="Times New Roman"/>
          <w:bCs/>
          <w:color w:val="000000" w:themeColor="text1"/>
          <w:sz w:val="18"/>
          <w:szCs w:val="18"/>
        </w:rPr>
        <w:t>Mg 1</w:t>
      </w:r>
      <w:r>
        <w:rPr>
          <w:rFonts w:ascii="Times New Roman" w:hAnsi="Times New Roman"/>
          <w:color w:val="000000" w:themeColor="text1"/>
          <w:szCs w:val="21"/>
        </w:rPr>
        <w:t xml:space="preserve"> %</w:t>
      </w:r>
      <w:r>
        <w:rPr>
          <w:rFonts w:ascii="Times New Roman" w:hAnsi="Times New Roman"/>
          <w:bCs/>
          <w:color w:val="000000" w:themeColor="text1"/>
          <w:sz w:val="18"/>
          <w:szCs w:val="18"/>
        </w:rPr>
        <w:t xml:space="preserve"> ，Se</w:t>
      </w:r>
      <w:r>
        <w:rPr>
          <w:rFonts w:ascii="Times New Roman" w:hAnsi="Times New Roman"/>
          <w:color w:val="000000" w:themeColor="text1"/>
          <w:szCs w:val="21"/>
        </w:rPr>
        <w:t xml:space="preserve"> 1%，</w:t>
      </w:r>
      <w:r>
        <w:rPr>
          <w:rFonts w:ascii="Times New Roman" w:hAnsi="Times New Roman"/>
          <w:bCs/>
          <w:color w:val="000000" w:themeColor="text1"/>
          <w:sz w:val="18"/>
          <w:szCs w:val="18"/>
        </w:rPr>
        <w:t>Te</w:t>
      </w:r>
      <w:r>
        <w:rPr>
          <w:rFonts w:ascii="Times New Roman" w:hAnsi="Times New Roman"/>
          <w:color w:val="000000" w:themeColor="text1"/>
          <w:szCs w:val="21"/>
        </w:rPr>
        <w:t xml:space="preserve"> 0.1%</w:t>
      </w:r>
      <w:r>
        <w:rPr>
          <w:rFonts w:ascii="Times New Roman" w:hAnsi="Times New Roman"/>
          <w:bCs/>
          <w:color w:val="000000" w:themeColor="text1"/>
          <w:sz w:val="18"/>
          <w:szCs w:val="18"/>
        </w:rPr>
        <w:t>，As</w:t>
      </w:r>
      <w:r>
        <w:rPr>
          <w:rFonts w:ascii="Times New Roman" w:hAnsi="Times New Roman"/>
          <w:color w:val="000000" w:themeColor="text1"/>
          <w:szCs w:val="21"/>
        </w:rPr>
        <w:t xml:space="preserve"> 30 %，按</w:t>
      </w:r>
      <w:r>
        <w:rPr>
          <w:rFonts w:hint="eastAsia" w:ascii="Times New Roman" w:hAnsi="Times New Roman"/>
          <w:color w:val="000000" w:themeColor="text1"/>
          <w:szCs w:val="21"/>
        </w:rPr>
        <w:t>样</w:t>
      </w:r>
      <w:r>
        <w:rPr>
          <w:rFonts w:ascii="Times New Roman" w:hAnsi="Times New Roman"/>
          <w:bCs/>
          <w:color w:val="000000" w:themeColor="text1"/>
          <w:szCs w:val="21"/>
        </w:rPr>
        <w:t>品</w:t>
      </w:r>
      <w:r>
        <w:rPr>
          <w:rFonts w:hint="eastAsia" w:ascii="Times New Roman" w:hAnsi="Times New Roman"/>
          <w:bCs/>
          <w:color w:val="000000" w:themeColor="text1"/>
          <w:szCs w:val="21"/>
        </w:rPr>
        <w:t>试验</w:t>
      </w:r>
      <w:r>
        <w:rPr>
          <w:rFonts w:ascii="Times New Roman" w:hAnsi="Times New Roman"/>
          <w:bCs/>
          <w:color w:val="000000" w:themeColor="text1"/>
          <w:szCs w:val="21"/>
        </w:rPr>
        <w:t>步骤（1.4.4.2）</w:t>
      </w:r>
      <w:r>
        <w:rPr>
          <w:rFonts w:ascii="Times New Roman" w:hAnsi="Times New Roman"/>
          <w:color w:val="000000" w:themeColor="text1"/>
          <w:szCs w:val="21"/>
        </w:rPr>
        <w:t>对各元素加铋标准（1.2.13）进行回收试验，确定</w:t>
      </w:r>
      <w:r>
        <w:rPr>
          <w:rFonts w:hint="eastAsia" w:ascii="Times New Roman" w:hAnsi="Times New Roman"/>
          <w:color w:val="000000" w:themeColor="text1"/>
          <w:szCs w:val="21"/>
        </w:rPr>
        <w:t>试</w:t>
      </w:r>
      <w:r>
        <w:rPr>
          <w:rFonts w:ascii="Times New Roman" w:hAnsi="Times New Roman"/>
          <w:color w:val="000000" w:themeColor="text1"/>
          <w:szCs w:val="21"/>
        </w:rPr>
        <w:t>验方法中各元素对测定铋量的影响。</w:t>
      </w:r>
    </w:p>
    <w:p>
      <w:pPr>
        <w:ind w:firstLine="435"/>
        <w:outlineLvl w:val="0"/>
        <w:rPr>
          <w:rFonts w:ascii="Times New Roman" w:hAnsi="Times New Roman"/>
          <w:color w:val="000000" w:themeColor="text1"/>
          <w:szCs w:val="21"/>
        </w:rPr>
      </w:pPr>
      <w:r>
        <w:rPr>
          <w:rFonts w:ascii="Times New Roman" w:hAnsi="Times New Roman"/>
          <w:color w:val="000000" w:themeColor="text1"/>
          <w:szCs w:val="21"/>
        </w:rPr>
        <w:t>准确移取20.00 mL铋标准溶液（1.2.13）置于400 mL烧杯中，预先加入</w:t>
      </w:r>
      <w:r>
        <w:rPr>
          <w:rFonts w:ascii="Times New Roman" w:hAnsi="Times New Roman"/>
          <w:color w:val="000000" w:themeColor="text1"/>
        </w:rPr>
        <w:t>加入5 mL酒石酸溶（1.2.7），</w:t>
      </w:r>
      <w:r>
        <w:rPr>
          <w:rFonts w:ascii="Times New Roman" w:hAnsi="Times New Roman"/>
          <w:color w:val="000000" w:themeColor="text1"/>
          <w:szCs w:val="21"/>
        </w:rPr>
        <w:t>按表8分别加入各元素，按</w:t>
      </w:r>
      <w:r>
        <w:rPr>
          <w:rFonts w:hint="eastAsia" w:ascii="Times New Roman" w:hAnsi="Times New Roman"/>
          <w:color w:val="000000" w:themeColor="text1"/>
          <w:szCs w:val="21"/>
        </w:rPr>
        <w:t>试</w:t>
      </w:r>
      <w:r>
        <w:rPr>
          <w:rFonts w:ascii="Times New Roman" w:hAnsi="Times New Roman"/>
          <w:bCs/>
          <w:color w:val="000000" w:themeColor="text1"/>
          <w:szCs w:val="21"/>
        </w:rPr>
        <w:t>验</w:t>
      </w:r>
      <w:r>
        <w:rPr>
          <w:rFonts w:hint="eastAsia" w:ascii="Times New Roman" w:hAnsi="Times New Roman"/>
          <w:bCs/>
          <w:color w:val="000000" w:themeColor="text1"/>
          <w:szCs w:val="21"/>
        </w:rPr>
        <w:t>步骤</w:t>
      </w:r>
      <w:r>
        <w:rPr>
          <w:rFonts w:ascii="Times New Roman" w:hAnsi="Times New Roman"/>
          <w:bCs/>
          <w:color w:val="000000" w:themeColor="text1"/>
          <w:szCs w:val="21"/>
        </w:rPr>
        <w:t>（1.4.4.2）</w:t>
      </w:r>
      <w:r>
        <w:rPr>
          <w:rFonts w:ascii="Times New Roman" w:hAnsi="Times New Roman"/>
          <w:color w:val="000000" w:themeColor="text1"/>
          <w:szCs w:val="21"/>
        </w:rPr>
        <w:t>测定铋量，结果见表8。</w:t>
      </w:r>
    </w:p>
    <w:p>
      <w:pPr>
        <w:ind w:firstLine="435"/>
        <w:jc w:val="center"/>
        <w:outlineLvl w:val="0"/>
        <w:rPr>
          <w:rFonts w:ascii="Times New Roman" w:hAnsi="Times New Roman"/>
          <w:color w:val="000000" w:themeColor="text1"/>
          <w:szCs w:val="21"/>
        </w:rPr>
      </w:pPr>
    </w:p>
    <w:p>
      <w:pPr>
        <w:ind w:firstLine="435"/>
        <w:jc w:val="center"/>
        <w:outlineLvl w:val="0"/>
        <w:rPr>
          <w:rFonts w:ascii="Times New Roman" w:hAnsi="Times New Roman"/>
          <w:color w:val="000000" w:themeColor="text1"/>
          <w:szCs w:val="21"/>
        </w:rPr>
      </w:pPr>
      <w:r>
        <w:rPr>
          <w:rFonts w:ascii="Times New Roman" w:hAnsi="Times New Roman"/>
          <w:color w:val="000000" w:themeColor="text1"/>
          <w:szCs w:val="21"/>
        </w:rPr>
        <w:t>表8 各元素对铋测定的影响</w:t>
      </w:r>
    </w:p>
    <w:p>
      <w:pPr>
        <w:ind w:firstLine="435"/>
        <w:jc w:val="center"/>
        <w:outlineLvl w:val="0"/>
        <w:rPr>
          <w:rFonts w:ascii="Times New Roman" w:hAnsi="Times New Roman"/>
          <w:color w:val="000000" w:themeColor="text1"/>
          <w:szCs w:val="21"/>
        </w:rPr>
      </w:pPr>
    </w:p>
    <w:tbl>
      <w:tblPr>
        <w:tblStyle w:val="3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2632"/>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共存元素</w:t>
            </w:r>
          </w:p>
        </w:tc>
        <w:tc>
          <w:tcPr>
            <w:tcW w:w="2126"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各元素加入量mg</w:t>
            </w:r>
          </w:p>
        </w:tc>
        <w:tc>
          <w:tcPr>
            <w:tcW w:w="2632"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铋标准的</w:t>
            </w:r>
          </w:p>
          <w:p>
            <w:pPr>
              <w:jc w:val="center"/>
              <w:rPr>
                <w:rFonts w:ascii="Times New Roman" w:hAnsi="Times New Roman"/>
                <w:color w:val="000000" w:themeColor="text1"/>
                <w:sz w:val="18"/>
                <w:szCs w:val="18"/>
              </w:rPr>
            </w:pPr>
            <w:r>
              <w:rPr>
                <w:rFonts w:ascii="Times New Roman" w:hAnsi="Times New Roman"/>
                <w:color w:val="000000" w:themeColor="text1"/>
                <w:sz w:val="18"/>
                <w:szCs w:val="18"/>
              </w:rPr>
              <w:t>测定量mg</w:t>
            </w:r>
          </w:p>
        </w:tc>
        <w:tc>
          <w:tcPr>
            <w:tcW w:w="2632" w:type="dxa"/>
          </w:tcPr>
          <w:p>
            <w:pPr>
              <w:jc w:val="center"/>
              <w:rPr>
                <w:rFonts w:ascii="Times New Roman" w:hAnsi="Times New Roman"/>
                <w:color w:val="000000" w:themeColor="text1"/>
                <w:sz w:val="18"/>
                <w:szCs w:val="18"/>
              </w:rPr>
            </w:pPr>
            <w:r>
              <w:rPr>
                <w:rFonts w:ascii="Times New Roman" w:hAnsi="Times New Roman"/>
                <w:color w:val="000000" w:themeColor="text1"/>
                <w:kern w:val="0"/>
                <w:sz w:val="18"/>
                <w:szCs w:val="18"/>
              </w:rPr>
              <w:t>试验现象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pb</w:t>
            </w:r>
          </w:p>
        </w:tc>
        <w:tc>
          <w:tcPr>
            <w:tcW w:w="2126"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100</w:t>
            </w:r>
          </w:p>
        </w:tc>
        <w:tc>
          <w:tcPr>
            <w:tcW w:w="2632"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20.00</w:t>
            </w:r>
          </w:p>
        </w:tc>
        <w:tc>
          <w:tcPr>
            <w:tcW w:w="2632" w:type="dxa"/>
          </w:tcPr>
          <w:p>
            <w:pPr>
              <w:jc w:val="center"/>
              <w:rPr>
                <w:rFonts w:ascii="Times New Roman" w:hAnsi="Times New Roman"/>
                <w:bCs/>
                <w:color w:val="000000" w:themeColor="text1"/>
                <w:sz w:val="18"/>
                <w:szCs w:val="18"/>
              </w:rPr>
            </w:pPr>
            <w:r>
              <w:rPr>
                <w:rFonts w:ascii="Times New Roman" w:hAnsi="Times New Roman"/>
                <w:color w:val="000000" w:themeColor="text1"/>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Cu</w:t>
            </w:r>
          </w:p>
        </w:tc>
        <w:tc>
          <w:tcPr>
            <w:tcW w:w="2126"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70</w:t>
            </w:r>
          </w:p>
        </w:tc>
        <w:tc>
          <w:tcPr>
            <w:tcW w:w="2632"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19.97</w:t>
            </w:r>
          </w:p>
        </w:tc>
        <w:tc>
          <w:tcPr>
            <w:tcW w:w="2632" w:type="dxa"/>
          </w:tcPr>
          <w:p>
            <w:pPr>
              <w:jc w:val="center"/>
              <w:rPr>
                <w:rFonts w:ascii="Times New Roman" w:hAnsi="Times New Roman"/>
                <w:bCs/>
                <w:color w:val="000000" w:themeColor="text1"/>
                <w:sz w:val="18"/>
                <w:szCs w:val="18"/>
              </w:rPr>
            </w:pPr>
            <w:r>
              <w:rPr>
                <w:rFonts w:ascii="Times New Roman" w:hAnsi="Times New Roman"/>
                <w:color w:val="000000" w:themeColor="text1"/>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Zn</w:t>
            </w:r>
          </w:p>
        </w:tc>
        <w:tc>
          <w:tcPr>
            <w:tcW w:w="2126"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50</w:t>
            </w:r>
          </w:p>
        </w:tc>
        <w:tc>
          <w:tcPr>
            <w:tcW w:w="2632"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20.00</w:t>
            </w:r>
          </w:p>
        </w:tc>
        <w:tc>
          <w:tcPr>
            <w:tcW w:w="2632" w:type="dxa"/>
          </w:tcPr>
          <w:p>
            <w:pPr>
              <w:jc w:val="center"/>
              <w:rPr>
                <w:rFonts w:ascii="Times New Roman" w:hAnsi="Times New Roman"/>
                <w:bCs/>
                <w:color w:val="000000" w:themeColor="text1"/>
                <w:sz w:val="18"/>
                <w:szCs w:val="18"/>
              </w:rPr>
            </w:pPr>
            <w:r>
              <w:rPr>
                <w:rFonts w:ascii="Times New Roman" w:hAnsi="Times New Roman"/>
                <w:color w:val="000000" w:themeColor="text1"/>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Cd</w:t>
            </w:r>
          </w:p>
        </w:tc>
        <w:tc>
          <w:tcPr>
            <w:tcW w:w="2126"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100</w:t>
            </w:r>
          </w:p>
        </w:tc>
        <w:tc>
          <w:tcPr>
            <w:tcW w:w="2632"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19.98</w:t>
            </w:r>
          </w:p>
        </w:tc>
        <w:tc>
          <w:tcPr>
            <w:tcW w:w="2632" w:type="dxa"/>
          </w:tcPr>
          <w:p>
            <w:pPr>
              <w:jc w:val="center"/>
              <w:rPr>
                <w:rFonts w:ascii="Times New Roman" w:hAnsi="Times New Roman"/>
                <w:bCs/>
                <w:color w:val="000000" w:themeColor="text1"/>
                <w:sz w:val="18"/>
                <w:szCs w:val="18"/>
              </w:rPr>
            </w:pPr>
            <w:r>
              <w:rPr>
                <w:rFonts w:ascii="Times New Roman" w:hAnsi="Times New Roman"/>
                <w:color w:val="000000" w:themeColor="text1"/>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Fe</w:t>
            </w:r>
          </w:p>
        </w:tc>
        <w:tc>
          <w:tcPr>
            <w:tcW w:w="2126"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33</w:t>
            </w:r>
          </w:p>
        </w:tc>
        <w:tc>
          <w:tcPr>
            <w:tcW w:w="2632"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20.00</w:t>
            </w:r>
          </w:p>
        </w:tc>
        <w:tc>
          <w:tcPr>
            <w:tcW w:w="2632" w:type="dxa"/>
          </w:tcPr>
          <w:p>
            <w:pPr>
              <w:jc w:val="center"/>
              <w:rPr>
                <w:rFonts w:ascii="Times New Roman" w:hAnsi="Times New Roman"/>
                <w:bCs/>
                <w:color w:val="000000" w:themeColor="text1"/>
                <w:sz w:val="18"/>
                <w:szCs w:val="18"/>
              </w:rPr>
            </w:pPr>
            <w:r>
              <w:rPr>
                <w:rFonts w:ascii="Times New Roman" w:hAnsi="Times New Roman"/>
                <w:color w:val="000000" w:themeColor="text1"/>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Te</w:t>
            </w:r>
          </w:p>
        </w:tc>
        <w:tc>
          <w:tcPr>
            <w:tcW w:w="2126" w:type="dxa"/>
            <w:vAlign w:val="center"/>
          </w:tcPr>
          <w:p>
            <w:pPr>
              <w:jc w:val="center"/>
              <w:rPr>
                <w:rFonts w:ascii="Times New Roman" w:hAnsi="Times New Roman"/>
                <w:color w:val="000000" w:themeColor="text1"/>
                <w:sz w:val="18"/>
                <w:szCs w:val="18"/>
              </w:rPr>
            </w:pPr>
            <w:r>
              <w:rPr>
                <w:rFonts w:ascii="Times New Roman" w:hAnsi="Times New Roman"/>
                <w:bCs/>
                <w:color w:val="000000" w:themeColor="text1"/>
                <w:sz w:val="18"/>
                <w:szCs w:val="18"/>
              </w:rPr>
              <w:t>1.00</w:t>
            </w:r>
          </w:p>
        </w:tc>
        <w:tc>
          <w:tcPr>
            <w:tcW w:w="2632"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19.97</w:t>
            </w:r>
          </w:p>
        </w:tc>
        <w:tc>
          <w:tcPr>
            <w:tcW w:w="2632" w:type="dxa"/>
          </w:tcPr>
          <w:p>
            <w:pPr>
              <w:jc w:val="center"/>
              <w:rPr>
                <w:rFonts w:ascii="Times New Roman" w:hAnsi="Times New Roman"/>
                <w:color w:val="000000" w:themeColor="text1"/>
                <w:sz w:val="18"/>
                <w:szCs w:val="18"/>
              </w:rPr>
            </w:pPr>
            <w:r>
              <w:rPr>
                <w:rFonts w:ascii="Times New Roman" w:hAnsi="Times New Roman"/>
                <w:color w:val="000000" w:themeColor="text1"/>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Se</w:t>
            </w:r>
          </w:p>
        </w:tc>
        <w:tc>
          <w:tcPr>
            <w:tcW w:w="2126"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2632"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w:t>
            </w:r>
          </w:p>
        </w:tc>
        <w:tc>
          <w:tcPr>
            <w:tcW w:w="2632" w:type="dxa"/>
          </w:tcPr>
          <w:p>
            <w:pPr>
              <w:jc w:val="center"/>
              <w:rPr>
                <w:rFonts w:ascii="Times New Roman" w:hAnsi="Times New Roman"/>
                <w:color w:val="000000" w:themeColor="text1"/>
                <w:sz w:val="18"/>
                <w:szCs w:val="18"/>
              </w:rPr>
            </w:pPr>
            <w:r>
              <w:rPr>
                <w:rFonts w:ascii="Times New Roman" w:hAnsi="Times New Roman"/>
                <w:color w:val="000000" w:themeColor="text1"/>
                <w:kern w:val="0"/>
                <w:sz w:val="18"/>
                <w:szCs w:val="18"/>
              </w:rPr>
              <w:t>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In</w:t>
            </w:r>
          </w:p>
        </w:tc>
        <w:tc>
          <w:tcPr>
            <w:tcW w:w="2126"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0.10</w:t>
            </w:r>
          </w:p>
        </w:tc>
        <w:tc>
          <w:tcPr>
            <w:tcW w:w="2632"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20.00</w:t>
            </w:r>
          </w:p>
        </w:tc>
        <w:tc>
          <w:tcPr>
            <w:tcW w:w="2632" w:type="dxa"/>
          </w:tcPr>
          <w:p>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Sb</w:t>
            </w:r>
          </w:p>
        </w:tc>
        <w:tc>
          <w:tcPr>
            <w:tcW w:w="2126"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20</w:t>
            </w:r>
          </w:p>
        </w:tc>
        <w:tc>
          <w:tcPr>
            <w:tcW w:w="2632"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20.00</w:t>
            </w:r>
          </w:p>
        </w:tc>
        <w:tc>
          <w:tcPr>
            <w:tcW w:w="2632" w:type="dxa"/>
          </w:tcPr>
          <w:p>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Sn</w:t>
            </w:r>
          </w:p>
        </w:tc>
        <w:tc>
          <w:tcPr>
            <w:tcW w:w="2126"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10</w:t>
            </w:r>
          </w:p>
        </w:tc>
        <w:tc>
          <w:tcPr>
            <w:tcW w:w="2632"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20.00</w:t>
            </w:r>
          </w:p>
        </w:tc>
        <w:tc>
          <w:tcPr>
            <w:tcW w:w="2632" w:type="dxa"/>
          </w:tcPr>
          <w:p>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Mg</w:t>
            </w:r>
          </w:p>
        </w:tc>
        <w:tc>
          <w:tcPr>
            <w:tcW w:w="2126"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2632"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20.00</w:t>
            </w:r>
          </w:p>
        </w:tc>
        <w:tc>
          <w:tcPr>
            <w:tcW w:w="2632" w:type="dxa"/>
          </w:tcPr>
          <w:p>
            <w:pPr>
              <w:jc w:val="center"/>
              <w:rPr>
                <w:rFonts w:ascii="Times New Roman" w:hAnsi="Times New Roman"/>
                <w:color w:val="000000" w:themeColor="text1"/>
                <w:sz w:val="18"/>
                <w:szCs w:val="18"/>
              </w:rPr>
            </w:pPr>
            <w:r>
              <w:rPr>
                <w:rFonts w:ascii="Times New Roman" w:hAnsi="Times New Roman"/>
                <w:color w:val="000000" w:themeColor="text1"/>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Ca</w:t>
            </w:r>
          </w:p>
        </w:tc>
        <w:tc>
          <w:tcPr>
            <w:tcW w:w="2126"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18</w:t>
            </w:r>
          </w:p>
        </w:tc>
        <w:tc>
          <w:tcPr>
            <w:tcW w:w="2632"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19.95</w:t>
            </w:r>
          </w:p>
        </w:tc>
        <w:tc>
          <w:tcPr>
            <w:tcW w:w="2632" w:type="dxa"/>
          </w:tcPr>
          <w:p>
            <w:pPr>
              <w:jc w:val="center"/>
              <w:rPr>
                <w:rFonts w:ascii="Times New Roman" w:hAnsi="Times New Roman"/>
                <w:color w:val="000000" w:themeColor="text1"/>
                <w:sz w:val="18"/>
                <w:szCs w:val="18"/>
              </w:rPr>
            </w:pPr>
            <w:r>
              <w:rPr>
                <w:rFonts w:ascii="Times New Roman" w:hAnsi="Times New Roman"/>
                <w:color w:val="000000" w:themeColor="text1"/>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Al</w:t>
            </w:r>
          </w:p>
        </w:tc>
        <w:tc>
          <w:tcPr>
            <w:tcW w:w="2126"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10</w:t>
            </w:r>
          </w:p>
        </w:tc>
        <w:tc>
          <w:tcPr>
            <w:tcW w:w="2632"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20.00</w:t>
            </w:r>
          </w:p>
        </w:tc>
        <w:tc>
          <w:tcPr>
            <w:tcW w:w="2632" w:type="dxa"/>
          </w:tcPr>
          <w:p>
            <w:pPr>
              <w:jc w:val="center"/>
              <w:rPr>
                <w:rFonts w:ascii="Times New Roman" w:hAnsi="Times New Roman"/>
                <w:color w:val="000000" w:themeColor="text1"/>
                <w:sz w:val="18"/>
                <w:szCs w:val="18"/>
              </w:rPr>
            </w:pPr>
            <w:r>
              <w:rPr>
                <w:rFonts w:ascii="Times New Roman" w:hAnsi="Times New Roman"/>
                <w:color w:val="000000" w:themeColor="text1"/>
                <w:kern w:val="0"/>
                <w:sz w:val="18"/>
                <w:szCs w:val="18"/>
              </w:rPr>
              <w:t>终点清晰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SiO</w:t>
            </w:r>
            <w:r>
              <w:rPr>
                <w:rFonts w:ascii="Times New Roman" w:hAnsi="Times New Roman"/>
                <w:bCs/>
                <w:color w:val="000000" w:themeColor="text1"/>
                <w:sz w:val="18"/>
                <w:szCs w:val="18"/>
                <w:vertAlign w:val="subscript"/>
              </w:rPr>
              <w:t>2</w:t>
            </w:r>
          </w:p>
        </w:tc>
        <w:tc>
          <w:tcPr>
            <w:tcW w:w="2126"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40</w:t>
            </w:r>
          </w:p>
        </w:tc>
        <w:tc>
          <w:tcPr>
            <w:tcW w:w="2632"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20.00</w:t>
            </w:r>
          </w:p>
        </w:tc>
        <w:tc>
          <w:tcPr>
            <w:tcW w:w="2632" w:type="dxa"/>
          </w:tcPr>
          <w:p>
            <w:pPr>
              <w:jc w:val="center"/>
              <w:rPr>
                <w:rFonts w:ascii="Times New Roman" w:hAnsi="Times New Roman"/>
                <w:color w:val="000000" w:themeColor="text1"/>
                <w:sz w:val="18"/>
                <w:szCs w:val="18"/>
              </w:rPr>
            </w:pPr>
            <w:r>
              <w:rPr>
                <w:rFonts w:ascii="Times New Roman" w:hAnsi="Times New Roman"/>
                <w:color w:val="000000" w:themeColor="text1"/>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Ag</w:t>
            </w:r>
          </w:p>
        </w:tc>
        <w:tc>
          <w:tcPr>
            <w:tcW w:w="2126"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0.30</w:t>
            </w:r>
          </w:p>
        </w:tc>
        <w:tc>
          <w:tcPr>
            <w:tcW w:w="2632"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20.08</w:t>
            </w:r>
          </w:p>
        </w:tc>
        <w:tc>
          <w:tcPr>
            <w:tcW w:w="2632" w:type="dxa"/>
          </w:tcPr>
          <w:p>
            <w:pPr>
              <w:jc w:val="center"/>
              <w:rPr>
                <w:rFonts w:ascii="Times New Roman" w:hAnsi="Times New Roman"/>
                <w:color w:val="000000" w:themeColor="text1"/>
                <w:sz w:val="18"/>
                <w:szCs w:val="18"/>
              </w:rPr>
            </w:pPr>
            <w:r>
              <w:rPr>
                <w:rFonts w:ascii="Times New Roman" w:hAnsi="Times New Roman"/>
                <w:color w:val="000000" w:themeColor="text1"/>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 xml:space="preserve">Au </w:t>
            </w:r>
          </w:p>
        </w:tc>
        <w:tc>
          <w:tcPr>
            <w:tcW w:w="2126"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0.050</w:t>
            </w:r>
          </w:p>
        </w:tc>
        <w:tc>
          <w:tcPr>
            <w:tcW w:w="2632"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19.95</w:t>
            </w:r>
          </w:p>
        </w:tc>
        <w:tc>
          <w:tcPr>
            <w:tcW w:w="2632" w:type="dxa"/>
          </w:tcPr>
          <w:p>
            <w:pPr>
              <w:jc w:val="center"/>
              <w:rPr>
                <w:rFonts w:ascii="Times New Roman" w:hAnsi="Times New Roman"/>
                <w:bCs/>
                <w:color w:val="000000" w:themeColor="text1"/>
                <w:sz w:val="18"/>
                <w:szCs w:val="18"/>
              </w:rPr>
            </w:pPr>
            <w:r>
              <w:rPr>
                <w:rFonts w:ascii="Times New Roman" w:hAnsi="Times New Roman"/>
                <w:color w:val="000000" w:themeColor="text1"/>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As</w:t>
            </w:r>
          </w:p>
        </w:tc>
        <w:tc>
          <w:tcPr>
            <w:tcW w:w="2126"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50</w:t>
            </w:r>
          </w:p>
        </w:tc>
        <w:tc>
          <w:tcPr>
            <w:tcW w:w="2632"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20.00</w:t>
            </w:r>
          </w:p>
        </w:tc>
        <w:tc>
          <w:tcPr>
            <w:tcW w:w="2632" w:type="dxa"/>
          </w:tcPr>
          <w:p>
            <w:pPr>
              <w:jc w:val="center"/>
              <w:rPr>
                <w:rFonts w:ascii="Times New Roman" w:hAnsi="Times New Roman"/>
                <w:bCs/>
                <w:color w:val="000000" w:themeColor="text1"/>
                <w:sz w:val="18"/>
                <w:szCs w:val="18"/>
              </w:rPr>
            </w:pPr>
            <w:r>
              <w:rPr>
                <w:rFonts w:ascii="Times New Roman" w:hAnsi="Times New Roman"/>
                <w:color w:val="000000" w:themeColor="text1"/>
                <w:kern w:val="0"/>
                <w:sz w:val="18"/>
                <w:szCs w:val="18"/>
              </w:rPr>
              <w:t>终点敏锐</w:t>
            </w:r>
          </w:p>
        </w:tc>
      </w:tr>
    </w:tbl>
    <w:p>
      <w:pPr>
        <w:ind w:firstLine="420" w:firstLineChars="200"/>
        <w:rPr>
          <w:rFonts w:ascii="Times New Roman" w:hAnsi="Times New Roman"/>
          <w:color w:val="000000" w:themeColor="text1"/>
          <w:kern w:val="0"/>
          <w:szCs w:val="21"/>
        </w:rPr>
      </w:pPr>
    </w:p>
    <w:p>
      <w:pPr>
        <w:ind w:firstLine="420" w:firstLineChars="200"/>
        <w:rPr>
          <w:rFonts w:ascii="Times New Roman" w:hAnsi="Times New Roman"/>
          <w:color w:val="000000" w:themeColor="text1"/>
          <w:szCs w:val="21"/>
        </w:rPr>
      </w:pPr>
      <w:r>
        <w:rPr>
          <w:rFonts w:ascii="Times New Roman" w:hAnsi="Times New Roman"/>
          <w:color w:val="000000" w:themeColor="text1"/>
          <w:kern w:val="0"/>
          <w:szCs w:val="21"/>
        </w:rPr>
        <w:t>由表8可以得到，</w:t>
      </w:r>
      <w:r>
        <w:rPr>
          <w:rFonts w:ascii="Times New Roman" w:hAnsi="Times New Roman"/>
          <w:color w:val="000000" w:themeColor="text1"/>
          <w:szCs w:val="21"/>
        </w:rPr>
        <w:t xml:space="preserve"> </w:t>
      </w:r>
      <w:r>
        <w:rPr>
          <w:rFonts w:ascii="Times New Roman" w:hAnsi="Times New Roman"/>
          <w:color w:val="000000" w:themeColor="text1"/>
          <w:kern w:val="0"/>
          <w:szCs w:val="21"/>
        </w:rPr>
        <w:t>100 mg</w:t>
      </w:r>
      <w:r>
        <w:rPr>
          <w:rFonts w:ascii="Times New Roman" w:hAnsi="Times New Roman"/>
          <w:color w:val="000000" w:themeColor="text1"/>
          <w:szCs w:val="21"/>
        </w:rPr>
        <w:t xml:space="preserve"> Pb、70 mg Cu、50 mg Zn、33 mg Fe、</w:t>
      </w:r>
      <w:r>
        <w:rPr>
          <w:rFonts w:ascii="Times New Roman" w:hAnsi="Times New Roman"/>
          <w:bCs/>
          <w:color w:val="000000" w:themeColor="text1"/>
          <w:szCs w:val="21"/>
        </w:rPr>
        <w:t>100 mg Cd</w:t>
      </w:r>
      <w:r>
        <w:rPr>
          <w:rFonts w:ascii="Times New Roman" w:hAnsi="Times New Roman"/>
          <w:color w:val="000000" w:themeColor="text1"/>
          <w:szCs w:val="21"/>
        </w:rPr>
        <w:t>、</w:t>
      </w:r>
      <w:r>
        <w:rPr>
          <w:rFonts w:ascii="Times New Roman" w:hAnsi="Times New Roman"/>
          <w:bCs/>
          <w:color w:val="000000" w:themeColor="text1"/>
          <w:szCs w:val="21"/>
        </w:rPr>
        <w:t>50 mg</w:t>
      </w:r>
      <w:r>
        <w:rPr>
          <w:rFonts w:ascii="Times New Roman" w:hAnsi="Times New Roman"/>
          <w:color w:val="000000" w:themeColor="text1"/>
          <w:szCs w:val="21"/>
        </w:rPr>
        <w:t xml:space="preserve"> As、0.10</w:t>
      </w:r>
      <w:r>
        <w:rPr>
          <w:rFonts w:ascii="Times New Roman" w:hAnsi="Times New Roman"/>
          <w:bCs/>
          <w:color w:val="000000" w:themeColor="text1"/>
          <w:szCs w:val="21"/>
        </w:rPr>
        <w:t xml:space="preserve"> mg In、20</w:t>
      </w:r>
      <w:r>
        <w:rPr>
          <w:rFonts w:ascii="Times New Roman" w:hAnsi="Times New Roman"/>
          <w:color w:val="000000" w:themeColor="text1"/>
          <w:kern w:val="0"/>
          <w:szCs w:val="21"/>
        </w:rPr>
        <w:t xml:space="preserve"> mg</w:t>
      </w:r>
      <w:r>
        <w:rPr>
          <w:rFonts w:ascii="Times New Roman" w:hAnsi="Times New Roman"/>
          <w:bCs/>
          <w:color w:val="000000" w:themeColor="text1"/>
          <w:szCs w:val="21"/>
        </w:rPr>
        <w:t xml:space="preserve"> Sb、10 mg Sn、 0.30 mg</w:t>
      </w:r>
      <w:r>
        <w:rPr>
          <w:rFonts w:ascii="Times New Roman" w:hAnsi="Times New Roman"/>
          <w:color w:val="000000" w:themeColor="text1"/>
          <w:szCs w:val="21"/>
        </w:rPr>
        <w:t xml:space="preserve"> Ag、</w:t>
      </w:r>
      <w:r>
        <w:rPr>
          <w:rFonts w:ascii="Times New Roman" w:hAnsi="Times New Roman"/>
          <w:bCs/>
          <w:color w:val="000000" w:themeColor="text1"/>
          <w:szCs w:val="21"/>
        </w:rPr>
        <w:t xml:space="preserve">1.0 </w:t>
      </w:r>
      <w:r>
        <w:rPr>
          <w:rFonts w:ascii="Times New Roman" w:hAnsi="Times New Roman"/>
          <w:color w:val="000000" w:themeColor="text1"/>
          <w:szCs w:val="21"/>
        </w:rPr>
        <w:t>mg</w:t>
      </w:r>
      <w:r>
        <w:rPr>
          <w:rFonts w:ascii="Times New Roman" w:hAnsi="Times New Roman"/>
          <w:bCs/>
          <w:color w:val="000000" w:themeColor="text1"/>
          <w:szCs w:val="21"/>
        </w:rPr>
        <w:t xml:space="preserve"> Te</w:t>
      </w:r>
      <w:r>
        <w:rPr>
          <w:rFonts w:ascii="Times New Roman" w:hAnsi="Times New Roman"/>
          <w:color w:val="000000" w:themeColor="text1"/>
          <w:szCs w:val="21"/>
        </w:rPr>
        <w:t>、</w:t>
      </w:r>
      <w:r>
        <w:rPr>
          <w:rFonts w:ascii="Times New Roman" w:hAnsi="Times New Roman"/>
          <w:bCs/>
          <w:color w:val="000000" w:themeColor="text1"/>
          <w:szCs w:val="21"/>
        </w:rPr>
        <w:t>0.05 mg</w:t>
      </w:r>
      <w:r>
        <w:rPr>
          <w:rFonts w:ascii="Times New Roman" w:hAnsi="Times New Roman"/>
          <w:color w:val="000000" w:themeColor="text1"/>
          <w:szCs w:val="21"/>
        </w:rPr>
        <w:t xml:space="preserve"> Au</w:t>
      </w:r>
      <w:r>
        <w:rPr>
          <w:rFonts w:ascii="Times New Roman" w:hAnsi="Times New Roman"/>
          <w:bCs/>
          <w:color w:val="000000" w:themeColor="text1"/>
          <w:szCs w:val="21"/>
        </w:rPr>
        <w:t>、8</w:t>
      </w:r>
      <w:r>
        <w:rPr>
          <w:rFonts w:ascii="Times New Roman" w:hAnsi="Times New Roman"/>
          <w:color w:val="000000" w:themeColor="text1"/>
          <w:szCs w:val="21"/>
        </w:rPr>
        <w:t xml:space="preserve"> mg</w:t>
      </w:r>
      <w:r>
        <w:rPr>
          <w:rFonts w:ascii="Times New Roman" w:hAnsi="Times New Roman"/>
          <w:bCs/>
          <w:color w:val="000000" w:themeColor="text1"/>
          <w:szCs w:val="21"/>
        </w:rPr>
        <w:t xml:space="preserve"> Mg</w:t>
      </w:r>
      <w:r>
        <w:rPr>
          <w:rFonts w:ascii="Times New Roman" w:hAnsi="Times New Roman"/>
          <w:color w:val="000000" w:themeColor="text1"/>
          <w:szCs w:val="21"/>
        </w:rPr>
        <w:t>、</w:t>
      </w:r>
      <w:r>
        <w:rPr>
          <w:rFonts w:ascii="Times New Roman" w:hAnsi="Times New Roman"/>
          <w:bCs/>
          <w:color w:val="000000" w:themeColor="text1"/>
          <w:szCs w:val="21"/>
        </w:rPr>
        <w:t>18</w:t>
      </w:r>
      <w:r>
        <w:rPr>
          <w:rFonts w:ascii="Times New Roman" w:hAnsi="Times New Roman"/>
          <w:color w:val="000000" w:themeColor="text1"/>
          <w:szCs w:val="21"/>
        </w:rPr>
        <w:t xml:space="preserve"> mg</w:t>
      </w:r>
      <w:r>
        <w:rPr>
          <w:rFonts w:ascii="Times New Roman" w:hAnsi="Times New Roman"/>
          <w:bCs/>
          <w:color w:val="000000" w:themeColor="text1"/>
          <w:szCs w:val="21"/>
        </w:rPr>
        <w:t xml:space="preserve"> Ca、10</w:t>
      </w:r>
      <w:r>
        <w:rPr>
          <w:rFonts w:ascii="Times New Roman" w:hAnsi="Times New Roman"/>
          <w:color w:val="000000" w:themeColor="text1"/>
          <w:szCs w:val="21"/>
        </w:rPr>
        <w:t xml:space="preserve"> mg</w:t>
      </w:r>
      <w:r>
        <w:rPr>
          <w:rFonts w:ascii="Times New Roman" w:hAnsi="Times New Roman"/>
          <w:bCs/>
          <w:color w:val="000000" w:themeColor="text1"/>
          <w:szCs w:val="21"/>
        </w:rPr>
        <w:t xml:space="preserve"> Al</w:t>
      </w:r>
      <w:r>
        <w:rPr>
          <w:rFonts w:ascii="Times New Roman" w:hAnsi="Times New Roman"/>
          <w:color w:val="000000" w:themeColor="text1"/>
          <w:szCs w:val="21"/>
        </w:rPr>
        <w:t>对测定20 mg铋无影响。</w:t>
      </w:r>
      <w:r>
        <w:rPr>
          <w:rFonts w:ascii="Times New Roman" w:hAnsi="Times New Roman"/>
          <w:bCs/>
          <w:color w:val="000000" w:themeColor="text1"/>
          <w:szCs w:val="21"/>
        </w:rPr>
        <w:t>Se 1 mg干扰</w:t>
      </w:r>
      <w:r>
        <w:rPr>
          <w:rFonts w:ascii="Times New Roman" w:hAnsi="Times New Roman"/>
          <w:color w:val="000000" w:themeColor="text1"/>
          <w:szCs w:val="21"/>
        </w:rPr>
        <w:t>测定铋量。</w:t>
      </w:r>
    </w:p>
    <w:p>
      <w:pPr>
        <w:rPr>
          <w:rFonts w:ascii="Times New Roman" w:hAnsi="Times New Roman"/>
          <w:color w:val="000000" w:themeColor="text1"/>
          <w:szCs w:val="21"/>
        </w:rPr>
      </w:pPr>
    </w:p>
    <w:p>
      <w:pPr>
        <w:rPr>
          <w:rFonts w:ascii="Times New Roman" w:hAnsi="Times New Roman" w:eastAsia="黑体"/>
          <w:color w:val="000000" w:themeColor="text1"/>
        </w:rPr>
      </w:pPr>
      <w:r>
        <w:rPr>
          <w:rFonts w:ascii="Times New Roman" w:hAnsi="Times New Roman"/>
          <w:color w:val="000000" w:themeColor="text1"/>
          <w:szCs w:val="21"/>
        </w:rPr>
        <w:t xml:space="preserve">2.4.1.2  </w:t>
      </w:r>
      <w:r>
        <w:rPr>
          <w:rFonts w:ascii="Times New Roman" w:hAnsi="Times New Roman" w:eastAsia="黑体"/>
          <w:color w:val="000000" w:themeColor="text1"/>
        </w:rPr>
        <w:t>硒的干扰及消除</w:t>
      </w:r>
    </w:p>
    <w:p>
      <w:pPr>
        <w:rPr>
          <w:rFonts w:ascii="Times New Roman" w:hAnsi="Times New Roman" w:eastAsia="黑体"/>
          <w:color w:val="000000" w:themeColor="text1"/>
        </w:rPr>
      </w:pPr>
      <w:r>
        <w:rPr>
          <w:rFonts w:ascii="Times New Roman" w:hAnsi="Times New Roman" w:eastAsia="黑体"/>
          <w:color w:val="000000" w:themeColor="text1"/>
          <w:szCs w:val="21"/>
        </w:rPr>
        <w:t xml:space="preserve">2.4.1.2.1  </w:t>
      </w:r>
      <w:r>
        <w:rPr>
          <w:rFonts w:ascii="Times New Roman" w:hAnsi="Times New Roman" w:eastAsia="黑体"/>
          <w:color w:val="000000" w:themeColor="text1"/>
        </w:rPr>
        <w:t>硒的干扰</w:t>
      </w:r>
    </w:p>
    <w:p>
      <w:pPr>
        <w:ind w:firstLine="435"/>
        <w:rPr>
          <w:rFonts w:ascii="Times New Roman" w:hAnsi="Times New Roman"/>
          <w:color w:val="000000" w:themeColor="text1"/>
          <w:szCs w:val="21"/>
        </w:rPr>
      </w:pPr>
      <w:r>
        <w:rPr>
          <w:rFonts w:ascii="Times New Roman" w:hAnsi="Times New Roman"/>
          <w:color w:val="000000" w:themeColor="text1"/>
          <w:szCs w:val="21"/>
        </w:rPr>
        <w:t>准确移取20.00 mL铋标准溶液（1.2.13）置于400 mL烧杯中，预先加入</w:t>
      </w:r>
      <w:r>
        <w:rPr>
          <w:rFonts w:ascii="Times New Roman" w:hAnsi="Times New Roman"/>
          <w:color w:val="000000" w:themeColor="text1"/>
        </w:rPr>
        <w:t>加入5 mL酒石酸溶液（1.2.7），</w:t>
      </w:r>
      <w:r>
        <w:rPr>
          <w:rFonts w:ascii="Times New Roman" w:hAnsi="Times New Roman"/>
          <w:color w:val="000000" w:themeColor="text1"/>
          <w:szCs w:val="21"/>
        </w:rPr>
        <w:t>按表9加入各干扰元素，按</w:t>
      </w:r>
      <w:r>
        <w:rPr>
          <w:rFonts w:hint="eastAsia" w:ascii="Times New Roman" w:hAnsi="Times New Roman"/>
          <w:color w:val="000000" w:themeColor="text1"/>
          <w:szCs w:val="21"/>
        </w:rPr>
        <w:t>试验步骤</w:t>
      </w:r>
      <w:r>
        <w:rPr>
          <w:rFonts w:ascii="Times New Roman" w:hAnsi="Times New Roman"/>
          <w:bCs/>
          <w:color w:val="000000" w:themeColor="text1"/>
          <w:szCs w:val="21"/>
        </w:rPr>
        <w:t>（1.4.4.2）</w:t>
      </w:r>
      <w:r>
        <w:rPr>
          <w:rFonts w:ascii="Times New Roman" w:hAnsi="Times New Roman"/>
          <w:color w:val="000000" w:themeColor="text1"/>
          <w:szCs w:val="21"/>
        </w:rPr>
        <w:t>，试验硒对20.00 mg铋的测定影响情况及硒、锑、</w:t>
      </w:r>
      <w:r>
        <w:rPr>
          <w:rFonts w:ascii="Times New Roman" w:hAnsi="Times New Roman"/>
          <w:color w:val="000000" w:themeColor="text1"/>
        </w:rPr>
        <w:t>锡共存时</w:t>
      </w:r>
      <w:r>
        <w:rPr>
          <w:rFonts w:ascii="Times New Roman" w:hAnsi="Times New Roman"/>
          <w:color w:val="000000" w:themeColor="text1"/>
          <w:szCs w:val="21"/>
        </w:rPr>
        <w:t>对20.00 mg铋的测定影响，</w:t>
      </w:r>
      <w:r>
        <w:rPr>
          <w:rFonts w:ascii="Times New Roman" w:hAnsi="Times New Roman"/>
          <w:color w:val="000000" w:themeColor="text1"/>
          <w:kern w:val="0"/>
          <w:szCs w:val="21"/>
        </w:rPr>
        <w:t>试验现象</w:t>
      </w:r>
      <w:r>
        <w:rPr>
          <w:rFonts w:ascii="Times New Roman" w:hAnsi="Times New Roman"/>
          <w:color w:val="000000" w:themeColor="text1"/>
          <w:szCs w:val="21"/>
        </w:rPr>
        <w:t>见表9。</w:t>
      </w:r>
    </w:p>
    <w:p>
      <w:pPr>
        <w:ind w:firstLine="420" w:firstLineChars="200"/>
        <w:rPr>
          <w:rFonts w:ascii="Times New Roman" w:hAnsi="Times New Roman"/>
          <w:color w:val="000000" w:themeColor="text1"/>
        </w:rPr>
      </w:pPr>
      <w:r>
        <w:rPr>
          <w:rFonts w:ascii="Times New Roman" w:hAnsi="Times New Roman"/>
          <w:color w:val="000000" w:themeColor="text1"/>
        </w:rPr>
        <w:t xml:space="preserve">  </w:t>
      </w:r>
    </w:p>
    <w:p>
      <w:pPr>
        <w:ind w:firstLine="435"/>
        <w:jc w:val="center"/>
        <w:outlineLvl w:val="0"/>
        <w:rPr>
          <w:rFonts w:ascii="Times New Roman" w:hAnsi="Times New Roman"/>
          <w:color w:val="000000" w:themeColor="text1"/>
          <w:szCs w:val="21"/>
        </w:rPr>
      </w:pPr>
      <w:r>
        <w:rPr>
          <w:rFonts w:ascii="Times New Roman" w:hAnsi="Times New Roman"/>
          <w:color w:val="000000" w:themeColor="text1"/>
          <w:szCs w:val="21"/>
        </w:rPr>
        <w:t>表9硒对测定铋量的干扰</w:t>
      </w:r>
    </w:p>
    <w:p>
      <w:pPr>
        <w:ind w:firstLine="435"/>
        <w:jc w:val="center"/>
        <w:outlineLvl w:val="0"/>
        <w:rPr>
          <w:rFonts w:ascii="Times New Roman" w:hAnsi="Times New Roman"/>
          <w:color w:val="000000" w:themeColor="text1"/>
          <w:szCs w:val="21"/>
        </w:rPr>
      </w:pPr>
    </w:p>
    <w:tbl>
      <w:tblPr>
        <w:tblStyle w:val="32"/>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451"/>
        <w:gridCol w:w="1241"/>
        <w:gridCol w:w="1277"/>
        <w:gridCol w:w="1418"/>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加入硒量mg</w:t>
            </w:r>
          </w:p>
        </w:tc>
        <w:tc>
          <w:tcPr>
            <w:tcW w:w="1451"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加入锑量mg</w:t>
            </w:r>
          </w:p>
        </w:tc>
        <w:tc>
          <w:tcPr>
            <w:tcW w:w="1241"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加入锡量mg</w:t>
            </w:r>
          </w:p>
        </w:tc>
        <w:tc>
          <w:tcPr>
            <w:tcW w:w="1277"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加入铋量mg</w:t>
            </w:r>
          </w:p>
        </w:tc>
        <w:tc>
          <w:tcPr>
            <w:tcW w:w="1418"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sz w:val="18"/>
                <w:szCs w:val="18"/>
              </w:rPr>
              <w:t>铋标准的</w:t>
            </w:r>
          </w:p>
          <w:p>
            <w:pPr>
              <w:jc w:val="center"/>
              <w:rPr>
                <w:rFonts w:ascii="Times New Roman" w:hAnsi="Times New Roman"/>
                <w:color w:val="000000" w:themeColor="text1"/>
                <w:sz w:val="18"/>
                <w:szCs w:val="18"/>
              </w:rPr>
            </w:pPr>
            <w:r>
              <w:rPr>
                <w:rFonts w:ascii="Times New Roman" w:hAnsi="Times New Roman"/>
                <w:color w:val="000000" w:themeColor="text1"/>
                <w:sz w:val="18"/>
                <w:szCs w:val="18"/>
              </w:rPr>
              <w:t>测定量mg</w:t>
            </w:r>
          </w:p>
        </w:tc>
        <w:tc>
          <w:tcPr>
            <w:tcW w:w="2487" w:type="dxa"/>
            <w:vAlign w:val="center"/>
          </w:tcPr>
          <w:p>
            <w:pPr>
              <w:jc w:val="center"/>
              <w:rPr>
                <w:rFonts w:ascii="Times New Roman" w:hAnsi="Times New Roman"/>
                <w:color w:val="000000" w:themeColor="text1"/>
                <w:sz w:val="18"/>
                <w:szCs w:val="18"/>
              </w:rPr>
            </w:pPr>
            <w:r>
              <w:rPr>
                <w:rFonts w:ascii="Times New Roman" w:hAnsi="Times New Roman"/>
                <w:color w:val="000000" w:themeColor="text1"/>
                <w:kern w:val="0"/>
                <w:sz w:val="18"/>
                <w:szCs w:val="18"/>
              </w:rPr>
              <w:t>试验现象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0.1</w:t>
            </w:r>
          </w:p>
        </w:tc>
        <w:tc>
          <w:tcPr>
            <w:tcW w:w="1451" w:type="dxa"/>
            <w:vAlign w:val="center"/>
          </w:tcPr>
          <w:p>
            <w:pPr>
              <w:jc w:val="center"/>
              <w:rPr>
                <w:rFonts w:ascii="Times New Roman" w:hAnsi="Times New Roman"/>
                <w:bCs/>
                <w:color w:val="000000" w:themeColor="text1"/>
                <w:sz w:val="18"/>
                <w:szCs w:val="18"/>
              </w:rPr>
            </w:pPr>
          </w:p>
        </w:tc>
        <w:tc>
          <w:tcPr>
            <w:tcW w:w="1241" w:type="dxa"/>
            <w:vAlign w:val="center"/>
          </w:tcPr>
          <w:p>
            <w:pPr>
              <w:jc w:val="center"/>
              <w:rPr>
                <w:rFonts w:ascii="Times New Roman" w:hAnsi="Times New Roman"/>
                <w:bCs/>
                <w:color w:val="000000" w:themeColor="text1"/>
                <w:sz w:val="18"/>
                <w:szCs w:val="18"/>
              </w:rPr>
            </w:pPr>
          </w:p>
        </w:tc>
        <w:tc>
          <w:tcPr>
            <w:tcW w:w="1277"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20.00</w:t>
            </w:r>
          </w:p>
        </w:tc>
        <w:tc>
          <w:tcPr>
            <w:tcW w:w="1418"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20.00</w:t>
            </w:r>
          </w:p>
        </w:tc>
        <w:tc>
          <w:tcPr>
            <w:tcW w:w="2487" w:type="dxa"/>
            <w:vAlign w:val="center"/>
          </w:tcPr>
          <w:p>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0.2</w:t>
            </w:r>
          </w:p>
        </w:tc>
        <w:tc>
          <w:tcPr>
            <w:tcW w:w="1451" w:type="dxa"/>
            <w:vAlign w:val="center"/>
          </w:tcPr>
          <w:p>
            <w:pPr>
              <w:jc w:val="center"/>
              <w:rPr>
                <w:rFonts w:ascii="Times New Roman" w:hAnsi="Times New Roman"/>
                <w:bCs/>
                <w:color w:val="000000" w:themeColor="text1"/>
                <w:sz w:val="18"/>
                <w:szCs w:val="18"/>
              </w:rPr>
            </w:pPr>
          </w:p>
        </w:tc>
        <w:tc>
          <w:tcPr>
            <w:tcW w:w="1241" w:type="dxa"/>
            <w:vAlign w:val="center"/>
          </w:tcPr>
          <w:p>
            <w:pPr>
              <w:jc w:val="center"/>
              <w:rPr>
                <w:rFonts w:ascii="Times New Roman" w:hAnsi="Times New Roman"/>
                <w:bCs/>
                <w:color w:val="000000" w:themeColor="text1"/>
                <w:sz w:val="18"/>
                <w:szCs w:val="18"/>
              </w:rPr>
            </w:pPr>
          </w:p>
        </w:tc>
        <w:tc>
          <w:tcPr>
            <w:tcW w:w="1277"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20.00</w:t>
            </w:r>
          </w:p>
        </w:tc>
        <w:tc>
          <w:tcPr>
            <w:tcW w:w="1418"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20.02</w:t>
            </w:r>
          </w:p>
        </w:tc>
        <w:tc>
          <w:tcPr>
            <w:tcW w:w="2487" w:type="dxa"/>
            <w:vAlign w:val="center"/>
          </w:tcPr>
          <w:p>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0.3</w:t>
            </w:r>
          </w:p>
        </w:tc>
        <w:tc>
          <w:tcPr>
            <w:tcW w:w="1451" w:type="dxa"/>
            <w:vAlign w:val="center"/>
          </w:tcPr>
          <w:p>
            <w:pPr>
              <w:jc w:val="center"/>
              <w:rPr>
                <w:rFonts w:ascii="Times New Roman" w:hAnsi="Times New Roman"/>
                <w:bCs/>
                <w:color w:val="000000" w:themeColor="text1"/>
                <w:sz w:val="18"/>
                <w:szCs w:val="18"/>
              </w:rPr>
            </w:pPr>
          </w:p>
        </w:tc>
        <w:tc>
          <w:tcPr>
            <w:tcW w:w="1241" w:type="dxa"/>
            <w:vAlign w:val="center"/>
          </w:tcPr>
          <w:p>
            <w:pPr>
              <w:jc w:val="center"/>
              <w:rPr>
                <w:rFonts w:ascii="Times New Roman" w:hAnsi="Times New Roman"/>
                <w:bCs/>
                <w:color w:val="000000" w:themeColor="text1"/>
                <w:sz w:val="18"/>
                <w:szCs w:val="18"/>
              </w:rPr>
            </w:pPr>
          </w:p>
        </w:tc>
        <w:tc>
          <w:tcPr>
            <w:tcW w:w="1277"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20.00</w:t>
            </w:r>
          </w:p>
        </w:tc>
        <w:tc>
          <w:tcPr>
            <w:tcW w:w="1418" w:type="dxa"/>
            <w:vAlign w:val="center"/>
          </w:tcPr>
          <w:p>
            <w:pPr>
              <w:jc w:val="center"/>
              <w:rPr>
                <w:rFonts w:ascii="Times New Roman" w:hAnsi="Times New Roman"/>
                <w:bCs/>
                <w:color w:val="000000" w:themeColor="text1"/>
                <w:sz w:val="18"/>
                <w:szCs w:val="18"/>
              </w:rPr>
            </w:pPr>
            <w:r>
              <w:rPr>
                <w:rFonts w:ascii="Times New Roman" w:hAnsi="Times New Roman"/>
                <w:bCs/>
                <w:color w:val="000000" w:themeColor="text1"/>
                <w:sz w:val="18"/>
                <w:szCs w:val="18"/>
              </w:rPr>
              <w:t>19.98</w:t>
            </w:r>
          </w:p>
        </w:tc>
        <w:tc>
          <w:tcPr>
            <w:tcW w:w="2487" w:type="dxa"/>
            <w:vAlign w:val="center"/>
          </w:tcPr>
          <w:p>
            <w:pPr>
              <w:jc w:val="center"/>
              <w:rPr>
                <w:rFonts w:ascii="Times New Roman" w:hAnsi="Times New Roman"/>
                <w:color w:val="000000" w:themeColor="text1"/>
                <w:kern w:val="0"/>
                <w:sz w:val="18"/>
                <w:szCs w:val="18"/>
              </w:rPr>
            </w:pPr>
            <w:r>
              <w:rPr>
                <w:rFonts w:ascii="Times New Roman" w:hAnsi="Times New Roman"/>
                <w:color w:val="000000" w:themeColor="text1"/>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Align w:val="center"/>
          </w:tcPr>
          <w:p>
            <w:pPr>
              <w:jc w:val="center"/>
              <w:rPr>
                <w:rFonts w:ascii="Times New Roman" w:hAnsi="Times New Roman"/>
                <w:bCs/>
                <w:sz w:val="18"/>
                <w:szCs w:val="18"/>
              </w:rPr>
            </w:pPr>
            <w:r>
              <w:rPr>
                <w:rFonts w:ascii="Times New Roman" w:hAnsi="Times New Roman"/>
                <w:bCs/>
                <w:sz w:val="18"/>
                <w:szCs w:val="18"/>
              </w:rPr>
              <w:t>0.4</w:t>
            </w:r>
          </w:p>
        </w:tc>
        <w:tc>
          <w:tcPr>
            <w:tcW w:w="1451" w:type="dxa"/>
            <w:vAlign w:val="center"/>
          </w:tcPr>
          <w:p>
            <w:pPr>
              <w:jc w:val="center"/>
              <w:rPr>
                <w:rFonts w:ascii="Times New Roman" w:hAnsi="Times New Roman"/>
                <w:bCs/>
                <w:sz w:val="18"/>
                <w:szCs w:val="18"/>
              </w:rPr>
            </w:pPr>
          </w:p>
        </w:tc>
        <w:tc>
          <w:tcPr>
            <w:tcW w:w="1241" w:type="dxa"/>
            <w:vAlign w:val="center"/>
          </w:tcPr>
          <w:p>
            <w:pPr>
              <w:jc w:val="center"/>
              <w:rPr>
                <w:rFonts w:ascii="Times New Roman" w:hAnsi="Times New Roman"/>
                <w:bCs/>
                <w:sz w:val="18"/>
                <w:szCs w:val="18"/>
              </w:rPr>
            </w:pPr>
          </w:p>
        </w:tc>
        <w:tc>
          <w:tcPr>
            <w:tcW w:w="1277"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1418" w:type="dxa"/>
            <w:vAlign w:val="center"/>
          </w:tcPr>
          <w:p>
            <w:pPr>
              <w:jc w:val="center"/>
              <w:rPr>
                <w:rFonts w:ascii="Times New Roman" w:hAnsi="Times New Roman"/>
                <w:bCs/>
                <w:sz w:val="18"/>
                <w:szCs w:val="18"/>
              </w:rPr>
            </w:pPr>
            <w:r>
              <w:rPr>
                <w:rFonts w:ascii="Times New Roman" w:hAnsi="Times New Roman"/>
                <w:bCs/>
                <w:sz w:val="18"/>
                <w:szCs w:val="18"/>
              </w:rPr>
              <w:t>19.95</w:t>
            </w:r>
          </w:p>
        </w:tc>
        <w:tc>
          <w:tcPr>
            <w:tcW w:w="2487" w:type="dxa"/>
            <w:vAlign w:val="center"/>
          </w:tcPr>
          <w:p>
            <w:pPr>
              <w:jc w:val="center"/>
              <w:rPr>
                <w:rFonts w:ascii="Times New Roman" w:hAnsi="Times New Roman"/>
                <w:kern w:val="0"/>
                <w:sz w:val="18"/>
                <w:szCs w:val="18"/>
              </w:rPr>
            </w:pPr>
            <w:r>
              <w:rPr>
                <w:rFonts w:ascii="Times New Roman" w:hAnsi="Times New Roman"/>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Align w:val="center"/>
          </w:tcPr>
          <w:p>
            <w:pPr>
              <w:jc w:val="center"/>
              <w:rPr>
                <w:rFonts w:ascii="Times New Roman" w:hAnsi="Times New Roman"/>
                <w:bCs/>
                <w:sz w:val="18"/>
                <w:szCs w:val="18"/>
              </w:rPr>
            </w:pPr>
            <w:r>
              <w:rPr>
                <w:rFonts w:ascii="Times New Roman" w:hAnsi="Times New Roman"/>
                <w:bCs/>
                <w:sz w:val="18"/>
                <w:szCs w:val="18"/>
              </w:rPr>
              <w:t>0.1</w:t>
            </w:r>
          </w:p>
        </w:tc>
        <w:tc>
          <w:tcPr>
            <w:tcW w:w="1451" w:type="dxa"/>
            <w:vAlign w:val="center"/>
          </w:tcPr>
          <w:p>
            <w:pPr>
              <w:jc w:val="center"/>
              <w:rPr>
                <w:rFonts w:ascii="Times New Roman" w:hAnsi="Times New Roman"/>
                <w:bCs/>
                <w:sz w:val="18"/>
                <w:szCs w:val="18"/>
              </w:rPr>
            </w:pPr>
            <w:r>
              <w:rPr>
                <w:rFonts w:ascii="Times New Roman" w:hAnsi="Times New Roman"/>
                <w:bCs/>
                <w:sz w:val="18"/>
                <w:szCs w:val="18"/>
              </w:rPr>
              <w:t>20</w:t>
            </w:r>
          </w:p>
        </w:tc>
        <w:tc>
          <w:tcPr>
            <w:tcW w:w="1241" w:type="dxa"/>
            <w:vAlign w:val="center"/>
          </w:tcPr>
          <w:p>
            <w:pPr>
              <w:jc w:val="center"/>
              <w:rPr>
                <w:rFonts w:ascii="Times New Roman" w:hAnsi="Times New Roman"/>
                <w:bCs/>
                <w:sz w:val="18"/>
                <w:szCs w:val="18"/>
              </w:rPr>
            </w:pPr>
            <w:r>
              <w:rPr>
                <w:rFonts w:ascii="Times New Roman" w:hAnsi="Times New Roman"/>
                <w:bCs/>
                <w:sz w:val="18"/>
                <w:szCs w:val="18"/>
              </w:rPr>
              <w:t>10</w:t>
            </w:r>
          </w:p>
        </w:tc>
        <w:tc>
          <w:tcPr>
            <w:tcW w:w="1277"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1418"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487" w:type="dxa"/>
            <w:vAlign w:val="center"/>
          </w:tcPr>
          <w:p>
            <w:pPr>
              <w:jc w:val="center"/>
              <w:rPr>
                <w:rFonts w:ascii="Times New Roman" w:hAnsi="Times New Roman"/>
                <w:kern w:val="0"/>
                <w:sz w:val="18"/>
                <w:szCs w:val="18"/>
              </w:rPr>
            </w:pPr>
            <w:r>
              <w:rPr>
                <w:rFonts w:ascii="Times New Roman" w:hAnsi="Times New Roman"/>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Align w:val="center"/>
          </w:tcPr>
          <w:p>
            <w:pPr>
              <w:jc w:val="center"/>
              <w:rPr>
                <w:rFonts w:ascii="Times New Roman" w:hAnsi="Times New Roman"/>
                <w:bCs/>
                <w:sz w:val="18"/>
                <w:szCs w:val="18"/>
              </w:rPr>
            </w:pPr>
            <w:r>
              <w:rPr>
                <w:rFonts w:ascii="Times New Roman" w:hAnsi="Times New Roman"/>
                <w:bCs/>
                <w:sz w:val="18"/>
                <w:szCs w:val="18"/>
              </w:rPr>
              <w:t>0.2</w:t>
            </w:r>
          </w:p>
        </w:tc>
        <w:tc>
          <w:tcPr>
            <w:tcW w:w="1451" w:type="dxa"/>
            <w:vAlign w:val="center"/>
          </w:tcPr>
          <w:p>
            <w:pPr>
              <w:jc w:val="center"/>
              <w:rPr>
                <w:rFonts w:ascii="Times New Roman" w:hAnsi="Times New Roman"/>
                <w:bCs/>
                <w:sz w:val="18"/>
                <w:szCs w:val="18"/>
              </w:rPr>
            </w:pPr>
            <w:r>
              <w:rPr>
                <w:rFonts w:ascii="Times New Roman" w:hAnsi="Times New Roman"/>
                <w:bCs/>
                <w:sz w:val="18"/>
                <w:szCs w:val="18"/>
              </w:rPr>
              <w:t>20</w:t>
            </w:r>
          </w:p>
        </w:tc>
        <w:tc>
          <w:tcPr>
            <w:tcW w:w="1241" w:type="dxa"/>
            <w:vAlign w:val="center"/>
          </w:tcPr>
          <w:p>
            <w:pPr>
              <w:jc w:val="center"/>
              <w:rPr>
                <w:rFonts w:ascii="Times New Roman" w:hAnsi="Times New Roman"/>
                <w:bCs/>
                <w:sz w:val="18"/>
                <w:szCs w:val="18"/>
              </w:rPr>
            </w:pPr>
            <w:r>
              <w:rPr>
                <w:rFonts w:ascii="Times New Roman" w:hAnsi="Times New Roman"/>
                <w:bCs/>
                <w:sz w:val="18"/>
                <w:szCs w:val="18"/>
              </w:rPr>
              <w:t>10</w:t>
            </w:r>
          </w:p>
        </w:tc>
        <w:tc>
          <w:tcPr>
            <w:tcW w:w="1277"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1418" w:type="dxa"/>
            <w:vAlign w:val="center"/>
          </w:tcPr>
          <w:p>
            <w:pPr>
              <w:jc w:val="center"/>
              <w:rPr>
                <w:rFonts w:ascii="Times New Roman" w:hAnsi="Times New Roman"/>
                <w:bCs/>
                <w:sz w:val="18"/>
                <w:szCs w:val="18"/>
              </w:rPr>
            </w:pPr>
            <w:r>
              <w:rPr>
                <w:rFonts w:ascii="Times New Roman" w:hAnsi="Times New Roman"/>
                <w:bCs/>
                <w:sz w:val="18"/>
                <w:szCs w:val="18"/>
              </w:rPr>
              <w:t>20.04</w:t>
            </w:r>
          </w:p>
        </w:tc>
        <w:tc>
          <w:tcPr>
            <w:tcW w:w="2487" w:type="dxa"/>
            <w:vAlign w:val="center"/>
          </w:tcPr>
          <w:p>
            <w:pPr>
              <w:jc w:val="center"/>
              <w:rPr>
                <w:rFonts w:ascii="Times New Roman" w:hAnsi="Times New Roman"/>
                <w:kern w:val="0"/>
                <w:sz w:val="18"/>
                <w:szCs w:val="18"/>
              </w:rPr>
            </w:pPr>
            <w:r>
              <w:rPr>
                <w:rFonts w:ascii="Times New Roman" w:hAnsi="Times New Roman"/>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Align w:val="center"/>
          </w:tcPr>
          <w:p>
            <w:pPr>
              <w:jc w:val="center"/>
              <w:rPr>
                <w:rFonts w:ascii="Times New Roman" w:hAnsi="Times New Roman"/>
                <w:bCs/>
                <w:sz w:val="18"/>
                <w:szCs w:val="18"/>
              </w:rPr>
            </w:pPr>
            <w:r>
              <w:rPr>
                <w:rFonts w:ascii="Times New Roman" w:hAnsi="Times New Roman"/>
                <w:bCs/>
                <w:sz w:val="18"/>
                <w:szCs w:val="18"/>
              </w:rPr>
              <w:t>0.3</w:t>
            </w:r>
          </w:p>
        </w:tc>
        <w:tc>
          <w:tcPr>
            <w:tcW w:w="1451" w:type="dxa"/>
            <w:vAlign w:val="center"/>
          </w:tcPr>
          <w:p>
            <w:pPr>
              <w:jc w:val="center"/>
              <w:rPr>
                <w:rFonts w:ascii="Times New Roman" w:hAnsi="Times New Roman"/>
                <w:bCs/>
                <w:sz w:val="18"/>
                <w:szCs w:val="18"/>
              </w:rPr>
            </w:pPr>
            <w:r>
              <w:rPr>
                <w:rFonts w:ascii="Times New Roman" w:hAnsi="Times New Roman"/>
                <w:bCs/>
                <w:sz w:val="18"/>
                <w:szCs w:val="18"/>
              </w:rPr>
              <w:t>20</w:t>
            </w:r>
          </w:p>
        </w:tc>
        <w:tc>
          <w:tcPr>
            <w:tcW w:w="1241" w:type="dxa"/>
            <w:vAlign w:val="center"/>
          </w:tcPr>
          <w:p>
            <w:pPr>
              <w:jc w:val="center"/>
              <w:rPr>
                <w:rFonts w:ascii="Times New Roman" w:hAnsi="Times New Roman"/>
                <w:bCs/>
                <w:sz w:val="18"/>
                <w:szCs w:val="18"/>
              </w:rPr>
            </w:pPr>
            <w:r>
              <w:rPr>
                <w:rFonts w:ascii="Times New Roman" w:hAnsi="Times New Roman"/>
                <w:bCs/>
                <w:sz w:val="18"/>
                <w:szCs w:val="18"/>
              </w:rPr>
              <w:t>10</w:t>
            </w:r>
          </w:p>
        </w:tc>
        <w:tc>
          <w:tcPr>
            <w:tcW w:w="1277"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1418" w:type="dxa"/>
            <w:vAlign w:val="center"/>
          </w:tcPr>
          <w:p>
            <w:pPr>
              <w:jc w:val="center"/>
              <w:rPr>
                <w:rFonts w:ascii="Times New Roman" w:hAnsi="Times New Roman"/>
                <w:bCs/>
                <w:sz w:val="18"/>
                <w:szCs w:val="18"/>
              </w:rPr>
            </w:pPr>
            <w:r>
              <w:rPr>
                <w:rFonts w:ascii="Times New Roman" w:hAnsi="Times New Roman"/>
                <w:bCs/>
                <w:sz w:val="18"/>
                <w:szCs w:val="18"/>
              </w:rPr>
              <w:t>20.17</w:t>
            </w:r>
          </w:p>
        </w:tc>
        <w:tc>
          <w:tcPr>
            <w:tcW w:w="2487" w:type="dxa"/>
            <w:vAlign w:val="center"/>
          </w:tcPr>
          <w:p>
            <w:pPr>
              <w:jc w:val="center"/>
              <w:rPr>
                <w:rFonts w:ascii="Times New Roman" w:hAnsi="Times New Roman"/>
                <w:kern w:val="0"/>
                <w:sz w:val="18"/>
                <w:szCs w:val="18"/>
              </w:rPr>
            </w:pPr>
            <w:r>
              <w:rPr>
                <w:rFonts w:ascii="Times New Roman" w:hAnsi="Times New Roman"/>
                <w:kern w:val="0"/>
                <w:sz w:val="18"/>
                <w:szCs w:val="18"/>
              </w:rPr>
              <w:t>调</w:t>
            </w:r>
            <w:r>
              <w:rPr>
                <w:rFonts w:ascii="Times New Roman" w:hAnsi="Times New Roman"/>
                <w:sz w:val="18"/>
                <w:szCs w:val="18"/>
              </w:rPr>
              <w:t>pH值时溶液微红，不影响终点</w:t>
            </w:r>
            <w:r>
              <w:rPr>
                <w:rFonts w:ascii="Times New Roman" w:hAnsi="Times New Roman"/>
                <w:kern w:val="0"/>
                <w:sz w:val="18"/>
                <w:szCs w:val="18"/>
              </w:rPr>
              <w:t>辨认，回收率偏高。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Align w:val="center"/>
          </w:tcPr>
          <w:p>
            <w:pPr>
              <w:jc w:val="center"/>
              <w:rPr>
                <w:rFonts w:ascii="Times New Roman" w:hAnsi="Times New Roman"/>
                <w:bCs/>
                <w:sz w:val="18"/>
                <w:szCs w:val="18"/>
              </w:rPr>
            </w:pPr>
            <w:r>
              <w:rPr>
                <w:rFonts w:ascii="Times New Roman" w:hAnsi="Times New Roman"/>
                <w:bCs/>
                <w:sz w:val="18"/>
                <w:szCs w:val="18"/>
              </w:rPr>
              <w:t>0.4</w:t>
            </w:r>
          </w:p>
        </w:tc>
        <w:tc>
          <w:tcPr>
            <w:tcW w:w="1451" w:type="dxa"/>
            <w:vAlign w:val="center"/>
          </w:tcPr>
          <w:p>
            <w:pPr>
              <w:jc w:val="center"/>
              <w:rPr>
                <w:rFonts w:ascii="Times New Roman" w:hAnsi="Times New Roman"/>
                <w:bCs/>
                <w:sz w:val="18"/>
                <w:szCs w:val="18"/>
              </w:rPr>
            </w:pPr>
            <w:r>
              <w:rPr>
                <w:rFonts w:ascii="Times New Roman" w:hAnsi="Times New Roman"/>
                <w:bCs/>
                <w:sz w:val="18"/>
                <w:szCs w:val="18"/>
              </w:rPr>
              <w:t>20</w:t>
            </w:r>
          </w:p>
        </w:tc>
        <w:tc>
          <w:tcPr>
            <w:tcW w:w="1241" w:type="dxa"/>
            <w:vAlign w:val="center"/>
          </w:tcPr>
          <w:p>
            <w:pPr>
              <w:jc w:val="center"/>
              <w:rPr>
                <w:rFonts w:ascii="Times New Roman" w:hAnsi="Times New Roman"/>
                <w:bCs/>
                <w:sz w:val="18"/>
                <w:szCs w:val="18"/>
              </w:rPr>
            </w:pPr>
            <w:r>
              <w:rPr>
                <w:rFonts w:ascii="Times New Roman" w:hAnsi="Times New Roman"/>
                <w:bCs/>
                <w:sz w:val="18"/>
                <w:szCs w:val="18"/>
              </w:rPr>
              <w:t>10</w:t>
            </w:r>
          </w:p>
        </w:tc>
        <w:tc>
          <w:tcPr>
            <w:tcW w:w="1277"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1418" w:type="dxa"/>
            <w:vAlign w:val="center"/>
          </w:tcPr>
          <w:p>
            <w:pPr>
              <w:jc w:val="center"/>
              <w:rPr>
                <w:rFonts w:ascii="Times New Roman" w:hAnsi="Times New Roman"/>
                <w:bCs/>
                <w:sz w:val="18"/>
                <w:szCs w:val="18"/>
              </w:rPr>
            </w:pPr>
            <w:r>
              <w:rPr>
                <w:rFonts w:ascii="Times New Roman" w:hAnsi="Times New Roman"/>
                <w:bCs/>
                <w:sz w:val="18"/>
                <w:szCs w:val="18"/>
              </w:rPr>
              <w:t>20.11</w:t>
            </w:r>
          </w:p>
        </w:tc>
        <w:tc>
          <w:tcPr>
            <w:tcW w:w="2487" w:type="dxa"/>
            <w:vAlign w:val="center"/>
          </w:tcPr>
          <w:p>
            <w:pPr>
              <w:jc w:val="center"/>
              <w:rPr>
                <w:rFonts w:ascii="Times New Roman" w:hAnsi="Times New Roman"/>
                <w:kern w:val="0"/>
                <w:sz w:val="18"/>
                <w:szCs w:val="18"/>
              </w:rPr>
            </w:pPr>
            <w:r>
              <w:rPr>
                <w:rFonts w:ascii="Times New Roman" w:hAnsi="Times New Roman"/>
                <w:kern w:val="0"/>
                <w:sz w:val="18"/>
                <w:szCs w:val="18"/>
              </w:rPr>
              <w:t>调</w:t>
            </w:r>
            <w:r>
              <w:rPr>
                <w:rFonts w:ascii="Times New Roman" w:hAnsi="Times New Roman"/>
                <w:sz w:val="18"/>
                <w:szCs w:val="18"/>
              </w:rPr>
              <w:t>pH值时溶液微红，不影响</w:t>
            </w:r>
            <w:r>
              <w:rPr>
                <w:rFonts w:ascii="Times New Roman" w:hAnsi="Times New Roman"/>
                <w:kern w:val="0"/>
                <w:sz w:val="18"/>
                <w:szCs w:val="18"/>
              </w:rPr>
              <w:t>终</w:t>
            </w:r>
            <w:r>
              <w:rPr>
                <w:rFonts w:ascii="Times New Roman" w:hAnsi="Times New Roman"/>
                <w:sz w:val="18"/>
                <w:szCs w:val="18"/>
              </w:rPr>
              <w:t>点</w:t>
            </w:r>
            <w:r>
              <w:rPr>
                <w:rFonts w:ascii="Times New Roman" w:hAnsi="Times New Roman"/>
                <w:kern w:val="0"/>
                <w:sz w:val="18"/>
                <w:szCs w:val="18"/>
              </w:rPr>
              <w:t>辨认，回收率偏高。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Align w:val="center"/>
          </w:tcPr>
          <w:p>
            <w:pPr>
              <w:jc w:val="center"/>
              <w:rPr>
                <w:rFonts w:ascii="Times New Roman" w:hAnsi="Times New Roman"/>
                <w:bCs/>
                <w:sz w:val="18"/>
                <w:szCs w:val="18"/>
              </w:rPr>
            </w:pPr>
            <w:r>
              <w:rPr>
                <w:rFonts w:ascii="Times New Roman" w:hAnsi="Times New Roman"/>
                <w:bCs/>
                <w:sz w:val="18"/>
                <w:szCs w:val="18"/>
              </w:rPr>
              <w:t>0.5</w:t>
            </w:r>
          </w:p>
        </w:tc>
        <w:tc>
          <w:tcPr>
            <w:tcW w:w="1451"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1241" w:type="dxa"/>
            <w:vAlign w:val="center"/>
          </w:tcPr>
          <w:p>
            <w:pPr>
              <w:jc w:val="center"/>
              <w:rPr>
                <w:rFonts w:ascii="Times New Roman" w:hAnsi="Times New Roman"/>
                <w:bCs/>
                <w:sz w:val="18"/>
                <w:szCs w:val="18"/>
              </w:rPr>
            </w:pPr>
          </w:p>
        </w:tc>
        <w:tc>
          <w:tcPr>
            <w:tcW w:w="1277"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1418" w:type="dxa"/>
            <w:vAlign w:val="center"/>
          </w:tcPr>
          <w:p>
            <w:pPr>
              <w:jc w:val="center"/>
              <w:rPr>
                <w:rFonts w:ascii="Times New Roman" w:hAnsi="Times New Roman"/>
                <w:bCs/>
                <w:sz w:val="18"/>
                <w:szCs w:val="18"/>
              </w:rPr>
            </w:pPr>
            <w:r>
              <w:rPr>
                <w:rFonts w:ascii="Times New Roman" w:hAnsi="Times New Roman"/>
                <w:bCs/>
                <w:sz w:val="18"/>
                <w:szCs w:val="18"/>
              </w:rPr>
              <w:t>20.26</w:t>
            </w:r>
          </w:p>
        </w:tc>
        <w:tc>
          <w:tcPr>
            <w:tcW w:w="2487" w:type="dxa"/>
            <w:vAlign w:val="center"/>
          </w:tcPr>
          <w:p>
            <w:pPr>
              <w:jc w:val="center"/>
              <w:rPr>
                <w:rFonts w:ascii="Times New Roman" w:hAnsi="Times New Roman"/>
                <w:bCs/>
                <w:sz w:val="18"/>
                <w:szCs w:val="18"/>
              </w:rPr>
            </w:pPr>
            <w:r>
              <w:rPr>
                <w:rFonts w:ascii="Times New Roman" w:hAnsi="Times New Roman"/>
                <w:kern w:val="0"/>
                <w:sz w:val="18"/>
                <w:szCs w:val="18"/>
              </w:rPr>
              <w:t>调</w:t>
            </w:r>
            <w:r>
              <w:rPr>
                <w:rFonts w:ascii="Times New Roman" w:hAnsi="Times New Roman"/>
                <w:sz w:val="18"/>
                <w:szCs w:val="18"/>
              </w:rPr>
              <w:t>节pH值时溶液变为浅红色，影响</w:t>
            </w:r>
            <w:r>
              <w:rPr>
                <w:rFonts w:ascii="Times New Roman" w:hAnsi="Times New Roman"/>
                <w:kern w:val="0"/>
                <w:sz w:val="18"/>
                <w:szCs w:val="18"/>
              </w:rPr>
              <w:t>终点辨认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Align w:val="center"/>
          </w:tcPr>
          <w:p>
            <w:pPr>
              <w:jc w:val="center"/>
              <w:rPr>
                <w:rFonts w:ascii="Times New Roman" w:hAnsi="Times New Roman"/>
                <w:bCs/>
                <w:sz w:val="18"/>
                <w:szCs w:val="18"/>
              </w:rPr>
            </w:pPr>
            <w:r>
              <w:rPr>
                <w:rFonts w:ascii="Times New Roman" w:hAnsi="Times New Roman"/>
                <w:bCs/>
                <w:sz w:val="18"/>
                <w:szCs w:val="18"/>
              </w:rPr>
              <w:t>1</w:t>
            </w:r>
          </w:p>
        </w:tc>
        <w:tc>
          <w:tcPr>
            <w:tcW w:w="1451"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1241" w:type="dxa"/>
            <w:vAlign w:val="center"/>
          </w:tcPr>
          <w:p>
            <w:pPr>
              <w:jc w:val="center"/>
              <w:rPr>
                <w:rFonts w:ascii="Times New Roman" w:hAnsi="Times New Roman"/>
                <w:bCs/>
                <w:sz w:val="18"/>
                <w:szCs w:val="18"/>
              </w:rPr>
            </w:pPr>
          </w:p>
        </w:tc>
        <w:tc>
          <w:tcPr>
            <w:tcW w:w="1277"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1418" w:type="dxa"/>
            <w:vAlign w:val="center"/>
          </w:tcPr>
          <w:p>
            <w:pPr>
              <w:jc w:val="center"/>
              <w:rPr>
                <w:rFonts w:ascii="Times New Roman" w:hAnsi="Times New Roman"/>
                <w:bCs/>
                <w:sz w:val="18"/>
                <w:szCs w:val="18"/>
              </w:rPr>
            </w:pPr>
            <w:bookmarkStart w:id="26" w:name="OLE_LINK25"/>
            <w:bookmarkStart w:id="27" w:name="OLE_LINK26"/>
            <w:r>
              <w:rPr>
                <w:rFonts w:ascii="Times New Roman" w:hAnsi="Times New Roman"/>
                <w:bCs/>
                <w:sz w:val="18"/>
                <w:szCs w:val="18"/>
              </w:rPr>
              <w:t>－</w:t>
            </w:r>
            <w:bookmarkEnd w:id="26"/>
            <w:bookmarkEnd w:id="27"/>
          </w:p>
        </w:tc>
        <w:tc>
          <w:tcPr>
            <w:tcW w:w="2487" w:type="dxa"/>
            <w:vAlign w:val="center"/>
          </w:tcPr>
          <w:p>
            <w:pPr>
              <w:jc w:val="center"/>
              <w:rPr>
                <w:rFonts w:ascii="Times New Roman" w:hAnsi="Times New Roman"/>
                <w:bCs/>
                <w:sz w:val="18"/>
                <w:szCs w:val="18"/>
              </w:rPr>
            </w:pPr>
            <w:r>
              <w:rPr>
                <w:rFonts w:ascii="Times New Roman" w:hAnsi="Times New Roman"/>
                <w:kern w:val="0"/>
                <w:sz w:val="18"/>
                <w:szCs w:val="18"/>
              </w:rPr>
              <w:t>调</w:t>
            </w:r>
            <w:r>
              <w:rPr>
                <w:rFonts w:ascii="Times New Roman" w:hAnsi="Times New Roman"/>
                <w:sz w:val="18"/>
                <w:szCs w:val="18"/>
              </w:rPr>
              <w:t>节pH值时溶液变为红色，</w:t>
            </w:r>
            <w:r>
              <w:rPr>
                <w:rFonts w:ascii="Times New Roman" w:hAnsi="Times New Roman"/>
                <w:kern w:val="0"/>
                <w:sz w:val="18"/>
                <w:szCs w:val="18"/>
              </w:rPr>
              <w:t>终点无法辨认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vAlign w:val="center"/>
          </w:tcPr>
          <w:p>
            <w:pPr>
              <w:jc w:val="center"/>
              <w:rPr>
                <w:rFonts w:ascii="Times New Roman" w:hAnsi="Times New Roman"/>
                <w:bCs/>
                <w:sz w:val="18"/>
                <w:szCs w:val="18"/>
              </w:rPr>
            </w:pPr>
            <w:r>
              <w:rPr>
                <w:rFonts w:ascii="Times New Roman" w:hAnsi="Times New Roman"/>
                <w:bCs/>
                <w:sz w:val="18"/>
                <w:szCs w:val="18"/>
              </w:rPr>
              <w:t>2</w:t>
            </w:r>
          </w:p>
        </w:tc>
        <w:tc>
          <w:tcPr>
            <w:tcW w:w="1451"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1241" w:type="dxa"/>
            <w:vAlign w:val="center"/>
          </w:tcPr>
          <w:p>
            <w:pPr>
              <w:jc w:val="center"/>
              <w:rPr>
                <w:rFonts w:ascii="Times New Roman" w:hAnsi="Times New Roman"/>
                <w:bCs/>
                <w:sz w:val="18"/>
                <w:szCs w:val="18"/>
              </w:rPr>
            </w:pPr>
          </w:p>
        </w:tc>
        <w:tc>
          <w:tcPr>
            <w:tcW w:w="1277"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1418" w:type="dxa"/>
            <w:vAlign w:val="center"/>
          </w:tcPr>
          <w:p>
            <w:pPr>
              <w:jc w:val="center"/>
              <w:rPr>
                <w:rFonts w:ascii="Times New Roman" w:hAnsi="Times New Roman"/>
                <w:bCs/>
                <w:sz w:val="18"/>
                <w:szCs w:val="18"/>
              </w:rPr>
            </w:pPr>
            <w:r>
              <w:rPr>
                <w:rFonts w:ascii="Times New Roman" w:hAnsi="Times New Roman"/>
                <w:bCs/>
                <w:sz w:val="18"/>
                <w:szCs w:val="18"/>
              </w:rPr>
              <w:t>－</w:t>
            </w:r>
          </w:p>
        </w:tc>
        <w:tc>
          <w:tcPr>
            <w:tcW w:w="2487" w:type="dxa"/>
            <w:vAlign w:val="center"/>
          </w:tcPr>
          <w:p>
            <w:pPr>
              <w:jc w:val="center"/>
              <w:rPr>
                <w:rFonts w:ascii="Times New Roman" w:hAnsi="Times New Roman"/>
                <w:bCs/>
                <w:sz w:val="18"/>
                <w:szCs w:val="18"/>
              </w:rPr>
            </w:pPr>
            <w:r>
              <w:rPr>
                <w:rFonts w:ascii="Times New Roman" w:hAnsi="Times New Roman"/>
                <w:kern w:val="0"/>
                <w:sz w:val="18"/>
                <w:szCs w:val="18"/>
              </w:rPr>
              <w:t>调</w:t>
            </w:r>
            <w:r>
              <w:rPr>
                <w:rFonts w:ascii="Times New Roman" w:hAnsi="Times New Roman"/>
                <w:sz w:val="18"/>
                <w:szCs w:val="18"/>
              </w:rPr>
              <w:t>节pH值时溶液变为红色，</w:t>
            </w:r>
            <w:r>
              <w:rPr>
                <w:rFonts w:ascii="Times New Roman" w:hAnsi="Times New Roman"/>
                <w:kern w:val="0"/>
                <w:sz w:val="18"/>
                <w:szCs w:val="18"/>
              </w:rPr>
              <w:t>终点无法辨认</w:t>
            </w:r>
          </w:p>
        </w:tc>
      </w:tr>
    </w:tbl>
    <w:p>
      <w:pPr>
        <w:ind w:firstLine="420" w:firstLineChars="200"/>
        <w:rPr>
          <w:rFonts w:ascii="Times New Roman" w:hAnsi="Times New Roman"/>
          <w:szCs w:val="21"/>
        </w:rPr>
      </w:pPr>
    </w:p>
    <w:p>
      <w:pPr>
        <w:ind w:firstLine="420" w:firstLineChars="200"/>
        <w:rPr>
          <w:rFonts w:ascii="Times New Roman" w:hAnsi="Times New Roman"/>
          <w:color w:val="000000" w:themeColor="text1"/>
          <w:kern w:val="0"/>
          <w:szCs w:val="21"/>
        </w:rPr>
      </w:pPr>
      <w:r>
        <w:rPr>
          <w:rFonts w:ascii="Times New Roman" w:hAnsi="Times New Roman"/>
          <w:szCs w:val="21"/>
        </w:rPr>
        <w:t>由表9可见，</w:t>
      </w:r>
      <w:r>
        <w:rPr>
          <w:rFonts w:ascii="Times New Roman" w:hAnsi="Times New Roman"/>
        </w:rPr>
        <w:t>硒对</w:t>
      </w:r>
      <w:r>
        <w:rPr>
          <w:rFonts w:ascii="Times New Roman" w:hAnsi="Times New Roman"/>
          <w:szCs w:val="21"/>
        </w:rPr>
        <w:t>铋量的测定有干扰。按</w:t>
      </w:r>
      <w:r>
        <w:rPr>
          <w:rFonts w:hint="eastAsia" w:ascii="Times New Roman" w:hAnsi="Times New Roman"/>
          <w:szCs w:val="21"/>
        </w:rPr>
        <w:t>试</w:t>
      </w:r>
      <w:r>
        <w:rPr>
          <w:rFonts w:ascii="Times New Roman" w:hAnsi="Times New Roman"/>
          <w:bCs/>
          <w:szCs w:val="21"/>
        </w:rPr>
        <w:t>验</w:t>
      </w:r>
      <w:r>
        <w:rPr>
          <w:rFonts w:hint="eastAsia" w:ascii="Times New Roman" w:hAnsi="Times New Roman"/>
          <w:bCs/>
          <w:color w:val="000000" w:themeColor="text1"/>
          <w:szCs w:val="21"/>
        </w:rPr>
        <w:t>步骤</w:t>
      </w:r>
      <w:r>
        <w:rPr>
          <w:rFonts w:ascii="Times New Roman" w:hAnsi="Times New Roman"/>
          <w:bCs/>
          <w:color w:val="000000" w:themeColor="text1"/>
          <w:szCs w:val="21"/>
        </w:rPr>
        <w:t>（1.4.4.2）</w:t>
      </w:r>
      <w:r>
        <w:rPr>
          <w:rFonts w:ascii="Times New Roman" w:hAnsi="Times New Roman"/>
          <w:color w:val="000000" w:themeColor="text1"/>
          <w:szCs w:val="21"/>
        </w:rPr>
        <w:t>，试液中无锑、</w:t>
      </w:r>
      <w:r>
        <w:rPr>
          <w:rFonts w:ascii="Times New Roman" w:hAnsi="Times New Roman"/>
          <w:color w:val="000000" w:themeColor="text1"/>
        </w:rPr>
        <w:t>锡时，0.4</w:t>
      </w:r>
      <w:r>
        <w:rPr>
          <w:rFonts w:ascii="Times New Roman" w:hAnsi="Times New Roman"/>
          <w:color w:val="000000" w:themeColor="text1"/>
          <w:szCs w:val="21"/>
        </w:rPr>
        <w:t xml:space="preserve"> mg硒</w:t>
      </w:r>
      <w:r>
        <w:rPr>
          <w:rFonts w:ascii="Times New Roman" w:hAnsi="Times New Roman"/>
          <w:color w:val="000000" w:themeColor="text1"/>
        </w:rPr>
        <w:t>对测定铋量无干扰，</w:t>
      </w:r>
      <w:r>
        <w:rPr>
          <w:rFonts w:ascii="Times New Roman" w:hAnsi="Times New Roman"/>
          <w:color w:val="000000" w:themeColor="text1"/>
          <w:szCs w:val="21"/>
        </w:rPr>
        <w:t>当硒、锑、</w:t>
      </w:r>
      <w:r>
        <w:rPr>
          <w:rFonts w:ascii="Times New Roman" w:hAnsi="Times New Roman"/>
          <w:color w:val="000000" w:themeColor="text1"/>
        </w:rPr>
        <w:t>锡共存时 ，</w:t>
      </w:r>
      <w:r>
        <w:rPr>
          <w:rFonts w:ascii="Times New Roman" w:hAnsi="Times New Roman"/>
          <w:color w:val="000000" w:themeColor="text1"/>
          <w:szCs w:val="21"/>
        </w:rPr>
        <w:t>0.2 mg硒、20 mg 锑、10 mg</w:t>
      </w:r>
      <w:r>
        <w:rPr>
          <w:rFonts w:ascii="Times New Roman" w:hAnsi="Times New Roman"/>
          <w:color w:val="000000" w:themeColor="text1"/>
        </w:rPr>
        <w:t>锡对测定铋量无干扰。</w:t>
      </w:r>
    </w:p>
    <w:p>
      <w:pPr>
        <w:outlineLvl w:val="0"/>
        <w:rPr>
          <w:rFonts w:ascii="Times New Roman" w:hAnsi="Times New Roman"/>
          <w:color w:val="000000" w:themeColor="text1"/>
          <w:szCs w:val="21"/>
        </w:rPr>
      </w:pPr>
    </w:p>
    <w:p>
      <w:pPr>
        <w:outlineLvl w:val="0"/>
        <w:rPr>
          <w:rFonts w:ascii="Times New Roman" w:hAnsi="Times New Roman"/>
          <w:color w:val="000000" w:themeColor="text1"/>
        </w:rPr>
      </w:pPr>
      <w:r>
        <w:rPr>
          <w:rFonts w:ascii="Times New Roman" w:hAnsi="Times New Roman"/>
          <w:color w:val="000000" w:themeColor="text1"/>
          <w:szCs w:val="21"/>
        </w:rPr>
        <w:t xml:space="preserve">2.4.1.2.2  </w:t>
      </w:r>
      <w:r>
        <w:rPr>
          <w:rFonts w:ascii="黑体" w:hAnsi="黑体" w:eastAsia="黑体"/>
          <w:color w:val="000000" w:themeColor="text1"/>
          <w:szCs w:val="21"/>
        </w:rPr>
        <w:t>挥发</w:t>
      </w:r>
      <w:r>
        <w:rPr>
          <w:rFonts w:ascii="黑体" w:hAnsi="黑体" w:eastAsia="黑体"/>
          <w:color w:val="000000" w:themeColor="text1"/>
        </w:rPr>
        <w:t>除去硒干扰的试验</w:t>
      </w:r>
    </w:p>
    <w:p>
      <w:pPr>
        <w:ind w:firstLine="435"/>
        <w:outlineLvl w:val="0"/>
        <w:rPr>
          <w:rFonts w:ascii="Times New Roman" w:hAnsi="Times New Roman"/>
          <w:color w:val="000000" w:themeColor="text1"/>
        </w:rPr>
      </w:pPr>
      <w:r>
        <w:rPr>
          <w:rFonts w:ascii="Times New Roman" w:hAnsi="Times New Roman"/>
          <w:color w:val="000000" w:themeColor="text1"/>
        </w:rPr>
        <w:t>硒可以H</w:t>
      </w:r>
      <w:r>
        <w:rPr>
          <w:rFonts w:ascii="Times New Roman" w:hAnsi="Times New Roman"/>
          <w:color w:val="000000" w:themeColor="text1"/>
          <w:vertAlign w:val="subscript"/>
        </w:rPr>
        <w:t>2</w:t>
      </w:r>
      <w:r>
        <w:rPr>
          <w:rFonts w:ascii="Times New Roman" w:hAnsi="Times New Roman"/>
          <w:bCs/>
          <w:color w:val="000000" w:themeColor="text1"/>
          <w:szCs w:val="21"/>
        </w:rPr>
        <w:t>Se、SeBr</w:t>
      </w:r>
      <w:r>
        <w:rPr>
          <w:rFonts w:ascii="Times New Roman" w:hAnsi="Times New Roman"/>
          <w:bCs/>
          <w:color w:val="000000" w:themeColor="text1"/>
          <w:szCs w:val="21"/>
          <w:vertAlign w:val="subscript"/>
        </w:rPr>
        <w:t>4</w:t>
      </w:r>
      <w:r>
        <w:rPr>
          <w:rFonts w:ascii="Times New Roman" w:hAnsi="Times New Roman"/>
          <w:bCs/>
          <w:color w:val="000000" w:themeColor="text1"/>
          <w:szCs w:val="21"/>
        </w:rPr>
        <w:t>、SeF</w:t>
      </w:r>
      <w:r>
        <w:rPr>
          <w:rFonts w:ascii="Times New Roman" w:hAnsi="Times New Roman"/>
          <w:bCs/>
          <w:color w:val="000000" w:themeColor="text1"/>
          <w:szCs w:val="21"/>
          <w:vertAlign w:val="subscript"/>
        </w:rPr>
        <w:t>4</w:t>
      </w:r>
      <w:r>
        <w:rPr>
          <w:rFonts w:ascii="Times New Roman" w:hAnsi="Times New Roman"/>
          <w:bCs/>
          <w:color w:val="000000" w:themeColor="text1"/>
          <w:szCs w:val="21"/>
        </w:rPr>
        <w:t>、SeCl</w:t>
      </w:r>
      <w:r>
        <w:rPr>
          <w:rFonts w:ascii="Times New Roman" w:hAnsi="Times New Roman"/>
          <w:bCs/>
          <w:color w:val="000000" w:themeColor="text1"/>
          <w:szCs w:val="21"/>
          <w:vertAlign w:val="subscript"/>
        </w:rPr>
        <w:t>4</w:t>
      </w:r>
      <w:r>
        <w:rPr>
          <w:rFonts w:ascii="Times New Roman" w:hAnsi="Times New Roman"/>
          <w:bCs/>
          <w:color w:val="000000" w:themeColor="text1"/>
          <w:szCs w:val="21"/>
        </w:rPr>
        <w:t>形式挥法，</w:t>
      </w:r>
      <w:r>
        <w:rPr>
          <w:rFonts w:ascii="Times New Roman" w:hAnsi="Times New Roman"/>
          <w:color w:val="000000" w:themeColor="text1"/>
        </w:rPr>
        <w:t>硒的卤化物挥发性大。</w:t>
      </w:r>
      <w:r>
        <w:rPr>
          <w:rFonts w:ascii="Times New Roman" w:hAnsi="Times New Roman"/>
          <w:bCs/>
          <w:color w:val="000000" w:themeColor="text1"/>
          <w:szCs w:val="21"/>
        </w:rPr>
        <w:t>SeCl</w:t>
      </w:r>
      <w:r>
        <w:rPr>
          <w:rFonts w:ascii="Times New Roman" w:hAnsi="Times New Roman"/>
          <w:bCs/>
          <w:color w:val="000000" w:themeColor="text1"/>
          <w:szCs w:val="21"/>
          <w:vertAlign w:val="subscript"/>
        </w:rPr>
        <w:t>2</w:t>
      </w:r>
      <w:r>
        <w:rPr>
          <w:rFonts w:ascii="Times New Roman" w:hAnsi="Times New Roman"/>
          <w:bCs/>
          <w:color w:val="000000" w:themeColor="text1"/>
          <w:szCs w:val="21"/>
        </w:rPr>
        <w:t>沸点为133</w:t>
      </w:r>
      <w:r>
        <w:rPr>
          <w:rFonts w:ascii="Times New Roman" w:hAnsi="Times New Roman"/>
          <w:color w:val="000000" w:themeColor="text1"/>
        </w:rPr>
        <w:t>℃，</w:t>
      </w:r>
      <w:r>
        <w:rPr>
          <w:rFonts w:ascii="Times New Roman" w:hAnsi="Times New Roman"/>
          <w:bCs/>
          <w:color w:val="000000" w:themeColor="text1"/>
          <w:szCs w:val="21"/>
        </w:rPr>
        <w:t>SeCl</w:t>
      </w:r>
      <w:r>
        <w:rPr>
          <w:rFonts w:ascii="Times New Roman" w:hAnsi="Times New Roman"/>
          <w:bCs/>
          <w:color w:val="000000" w:themeColor="text1"/>
          <w:szCs w:val="21"/>
          <w:vertAlign w:val="subscript"/>
        </w:rPr>
        <w:t>4</w:t>
      </w:r>
      <w:r>
        <w:rPr>
          <w:rFonts w:ascii="Times New Roman" w:hAnsi="Times New Roman"/>
          <w:bCs/>
          <w:color w:val="000000" w:themeColor="text1"/>
          <w:szCs w:val="21"/>
        </w:rPr>
        <w:t>沸点为288</w:t>
      </w:r>
      <w:r>
        <w:rPr>
          <w:rFonts w:ascii="Times New Roman" w:hAnsi="Times New Roman"/>
          <w:color w:val="000000" w:themeColor="text1"/>
        </w:rPr>
        <w:t>℃，</w:t>
      </w:r>
      <w:r>
        <w:rPr>
          <w:rFonts w:ascii="Times New Roman" w:hAnsi="Times New Roman"/>
          <w:bCs/>
          <w:color w:val="000000" w:themeColor="text1"/>
          <w:szCs w:val="21"/>
        </w:rPr>
        <w:t>SeF</w:t>
      </w:r>
      <w:r>
        <w:rPr>
          <w:rFonts w:ascii="Times New Roman" w:hAnsi="Times New Roman"/>
          <w:bCs/>
          <w:color w:val="000000" w:themeColor="text1"/>
          <w:szCs w:val="21"/>
          <w:vertAlign w:val="subscript"/>
        </w:rPr>
        <w:t>4</w:t>
      </w:r>
      <w:r>
        <w:rPr>
          <w:rFonts w:ascii="Times New Roman" w:hAnsi="Times New Roman"/>
          <w:bCs/>
          <w:color w:val="000000" w:themeColor="text1"/>
          <w:szCs w:val="21"/>
        </w:rPr>
        <w:t>的沸点是106</w:t>
      </w:r>
      <w:r>
        <w:rPr>
          <w:rFonts w:ascii="Times New Roman" w:hAnsi="Times New Roman"/>
          <w:color w:val="000000" w:themeColor="text1"/>
        </w:rPr>
        <w:t>℃，</w:t>
      </w:r>
      <w:r>
        <w:rPr>
          <w:rFonts w:ascii="Times New Roman" w:hAnsi="Times New Roman"/>
          <w:bCs/>
          <w:color w:val="000000" w:themeColor="text1"/>
          <w:szCs w:val="21"/>
        </w:rPr>
        <w:t>SeBr</w:t>
      </w:r>
      <w:r>
        <w:rPr>
          <w:rFonts w:ascii="Times New Roman" w:hAnsi="Times New Roman"/>
          <w:bCs/>
          <w:color w:val="000000" w:themeColor="text1"/>
          <w:szCs w:val="21"/>
          <w:vertAlign w:val="subscript"/>
        </w:rPr>
        <w:t>4</w:t>
      </w:r>
      <w:r>
        <w:rPr>
          <w:rFonts w:ascii="Times New Roman" w:hAnsi="Times New Roman"/>
          <w:bCs/>
          <w:color w:val="000000" w:themeColor="text1"/>
          <w:szCs w:val="21"/>
        </w:rPr>
        <w:t>沸点125</w:t>
      </w:r>
      <w:r>
        <w:rPr>
          <w:rFonts w:ascii="Times New Roman" w:hAnsi="Times New Roman"/>
          <w:color w:val="000000" w:themeColor="text1"/>
        </w:rPr>
        <w:t>℃，</w:t>
      </w:r>
      <w:r>
        <w:rPr>
          <w:rFonts w:ascii="Times New Roman" w:hAnsi="Times New Roman"/>
          <w:color w:val="000000" w:themeColor="text1"/>
          <w:kern w:val="0"/>
        </w:rPr>
        <w:t>高氯酸</w:t>
      </w:r>
      <w:r>
        <w:rPr>
          <w:rFonts w:ascii="Times New Roman" w:hAnsi="Times New Roman"/>
          <w:bCs/>
          <w:color w:val="000000" w:themeColor="text1"/>
          <w:szCs w:val="21"/>
        </w:rPr>
        <w:t>沸点203</w:t>
      </w:r>
      <w:r>
        <w:rPr>
          <w:rFonts w:ascii="Times New Roman" w:hAnsi="Times New Roman"/>
          <w:color w:val="000000" w:themeColor="text1"/>
        </w:rPr>
        <w:t>℃，</w:t>
      </w:r>
      <w:r>
        <w:rPr>
          <w:rFonts w:ascii="Times New Roman" w:hAnsi="Times New Roman"/>
          <w:color w:val="000000" w:themeColor="text1"/>
          <w:szCs w:val="21"/>
        </w:rPr>
        <w:t>硒酸</w:t>
      </w:r>
      <w:r>
        <w:rPr>
          <w:rFonts w:ascii="Times New Roman" w:hAnsi="Times New Roman"/>
          <w:bCs/>
          <w:color w:val="000000" w:themeColor="text1"/>
          <w:szCs w:val="21"/>
        </w:rPr>
        <w:t>沸点260</w:t>
      </w:r>
      <w:r>
        <w:rPr>
          <w:rFonts w:ascii="Times New Roman" w:hAnsi="Times New Roman"/>
          <w:color w:val="000000" w:themeColor="text1"/>
        </w:rPr>
        <w:t>℃，硫酸</w:t>
      </w:r>
      <w:r>
        <w:rPr>
          <w:rFonts w:ascii="Times New Roman" w:hAnsi="Times New Roman"/>
          <w:bCs/>
          <w:color w:val="000000" w:themeColor="text1"/>
          <w:szCs w:val="21"/>
        </w:rPr>
        <w:t>沸点300</w:t>
      </w:r>
      <w:r>
        <w:rPr>
          <w:rFonts w:ascii="Times New Roman" w:hAnsi="Times New Roman"/>
          <w:color w:val="000000" w:themeColor="text1"/>
        </w:rPr>
        <w:t>℃，所以在</w:t>
      </w:r>
      <w:r>
        <w:rPr>
          <w:rFonts w:ascii="Times New Roman" w:hAnsi="Times New Roman"/>
          <w:color w:val="000000" w:themeColor="text1"/>
          <w:kern w:val="0"/>
        </w:rPr>
        <w:t>高氯酸冒</w:t>
      </w:r>
      <w:r>
        <w:rPr>
          <w:rFonts w:ascii="Times New Roman" w:hAnsi="Times New Roman"/>
          <w:color w:val="000000" w:themeColor="text1"/>
          <w:szCs w:val="21"/>
        </w:rPr>
        <w:t>烟时硒不会挥发，</w:t>
      </w:r>
      <w:r>
        <w:rPr>
          <w:rFonts w:ascii="Times New Roman" w:hAnsi="Times New Roman"/>
          <w:color w:val="000000" w:themeColor="text1"/>
          <w:kern w:val="0"/>
        </w:rPr>
        <w:t>高氯酸</w:t>
      </w:r>
      <w:r>
        <w:rPr>
          <w:rFonts w:ascii="Times New Roman" w:hAnsi="Times New Roman"/>
          <w:color w:val="000000" w:themeColor="text1"/>
          <w:szCs w:val="21"/>
        </w:rPr>
        <w:t>蒸干时会略有损失。</w:t>
      </w:r>
      <w:r>
        <w:rPr>
          <w:rFonts w:ascii="Times New Roman" w:hAnsi="Times New Roman"/>
          <w:color w:val="000000" w:themeColor="text1"/>
        </w:rPr>
        <w:t>可以利用硒的卤化物挥发性大的特点在</w:t>
      </w:r>
      <w:r>
        <w:rPr>
          <w:rFonts w:ascii="Times New Roman" w:hAnsi="Times New Roman"/>
          <w:color w:val="000000" w:themeColor="text1"/>
          <w:kern w:val="0"/>
        </w:rPr>
        <w:t>高氯酸冒</w:t>
      </w:r>
      <w:r>
        <w:rPr>
          <w:rFonts w:ascii="Times New Roman" w:hAnsi="Times New Roman"/>
          <w:color w:val="000000" w:themeColor="text1"/>
          <w:szCs w:val="21"/>
        </w:rPr>
        <w:t>烟时加入</w:t>
      </w:r>
      <w:r>
        <w:rPr>
          <w:rFonts w:ascii="Times New Roman" w:hAnsi="Times New Roman"/>
          <w:color w:val="000000" w:themeColor="text1"/>
        </w:rPr>
        <w:t>盐酸－氢溴酸来除去其干扰。</w:t>
      </w:r>
    </w:p>
    <w:p>
      <w:pPr>
        <w:ind w:firstLine="210" w:firstLineChars="100"/>
        <w:outlineLvl w:val="0"/>
        <w:rPr>
          <w:rFonts w:ascii="Times New Roman" w:hAnsi="Times New Roman"/>
        </w:rPr>
      </w:pPr>
      <w:r>
        <w:rPr>
          <w:rFonts w:ascii="Times New Roman" w:hAnsi="Times New Roman"/>
          <w:color w:val="000000" w:themeColor="text1"/>
          <w:szCs w:val="21"/>
        </w:rPr>
        <w:t xml:space="preserve"> 分别准确移取20.00 mL铋标准溶液（1.2.13），置于四个400 mL烧杯中，</w:t>
      </w:r>
      <w:r>
        <w:rPr>
          <w:rFonts w:ascii="Times New Roman" w:hAnsi="Times New Roman"/>
          <w:color w:val="000000" w:themeColor="text1"/>
        </w:rPr>
        <w:t>分别加入硒标准0.5，1.0，2.0，4.0</w:t>
      </w:r>
      <w:r>
        <w:rPr>
          <w:rFonts w:ascii="Times New Roman" w:hAnsi="Times New Roman"/>
          <w:color w:val="000000" w:themeColor="text1"/>
          <w:spacing w:val="6"/>
          <w:szCs w:val="21"/>
        </w:rPr>
        <w:t xml:space="preserve"> mg，加入5</w:t>
      </w:r>
      <w:r>
        <w:rPr>
          <w:rFonts w:ascii="Times New Roman" w:hAnsi="Times New Roman"/>
          <w:bCs/>
          <w:color w:val="000000" w:themeColor="text1"/>
          <w:szCs w:val="21"/>
        </w:rPr>
        <w:t>mL高氯酸（1.2.5）</w:t>
      </w:r>
      <w:r>
        <w:rPr>
          <w:rFonts w:ascii="Times New Roman" w:hAnsi="Times New Roman"/>
          <w:color w:val="000000" w:themeColor="text1"/>
          <w:szCs w:val="21"/>
        </w:rPr>
        <w:t>，</w:t>
      </w:r>
      <w:r>
        <w:rPr>
          <w:rFonts w:ascii="Times New Roman" w:hAnsi="Times New Roman"/>
          <w:color w:val="000000" w:themeColor="text1"/>
        </w:rPr>
        <w:t>加热至冒烟，</w:t>
      </w:r>
      <w:r>
        <w:rPr>
          <w:rFonts w:ascii="Times New Roman" w:hAnsi="Times New Roman"/>
          <w:color w:val="000000" w:themeColor="text1"/>
          <w:szCs w:val="21"/>
        </w:rPr>
        <w:t>取下稍</w:t>
      </w:r>
      <w:r>
        <w:rPr>
          <w:rFonts w:ascii="Times New Roman" w:hAnsi="Times New Roman"/>
          <w:color w:val="000000" w:themeColor="text1"/>
        </w:rPr>
        <w:t>冷，加入2 mL盐酸（1.2.2）2 mL氢溴酸（</w:t>
      </w:r>
      <w:r>
        <w:rPr>
          <w:rFonts w:ascii="Times New Roman" w:hAnsi="Times New Roman"/>
          <w:bCs/>
          <w:color w:val="000000" w:themeColor="text1"/>
          <w:szCs w:val="21"/>
        </w:rPr>
        <w:t>1.2</w:t>
      </w:r>
      <w:r>
        <w:rPr>
          <w:rFonts w:ascii="Times New Roman" w:hAnsi="Times New Roman"/>
          <w:color w:val="000000" w:themeColor="text1"/>
          <w:szCs w:val="21"/>
        </w:rPr>
        <w:t>.4）</w:t>
      </w:r>
      <w:r>
        <w:rPr>
          <w:rFonts w:ascii="Times New Roman" w:hAnsi="Times New Roman"/>
          <w:color w:val="000000" w:themeColor="text1"/>
        </w:rPr>
        <w:t>低温加热至冒烟，取下冷却，重复加入2 mL盐酸（1.2.2）及2 mL氢溴酸（</w:t>
      </w:r>
      <w:r>
        <w:rPr>
          <w:rFonts w:ascii="Times New Roman" w:hAnsi="Times New Roman"/>
          <w:bCs/>
          <w:color w:val="000000" w:themeColor="text1"/>
          <w:szCs w:val="21"/>
        </w:rPr>
        <w:t>1.2</w:t>
      </w:r>
      <w:r>
        <w:rPr>
          <w:rFonts w:ascii="Times New Roman" w:hAnsi="Times New Roman"/>
          <w:color w:val="000000" w:themeColor="text1"/>
          <w:szCs w:val="21"/>
        </w:rPr>
        <w:t>.4）</w:t>
      </w:r>
      <w:r>
        <w:rPr>
          <w:rFonts w:ascii="Times New Roman" w:hAnsi="Times New Roman"/>
          <w:color w:val="000000" w:themeColor="text1"/>
        </w:rPr>
        <w:t>继续低温加热冒烟至近干（</w:t>
      </w:r>
      <w:r>
        <w:rPr>
          <w:rFonts w:ascii="Times New Roman" w:hAnsi="Times New Roman"/>
          <w:color w:val="000000" w:themeColor="text1"/>
          <w:szCs w:val="21"/>
        </w:rPr>
        <w:t>湿盐状）</w:t>
      </w:r>
      <w:r>
        <w:rPr>
          <w:rFonts w:ascii="Times New Roman" w:hAnsi="Times New Roman"/>
          <w:color w:val="000000" w:themeColor="text1"/>
        </w:rPr>
        <w:t>，取下冷却，加入1.5 mL硝酸（1.2.3），轻轻摇动浸润盐类，加入5 mL酒石酸溶液（1.2.7）用少量水吹洗杯壁，以下</w:t>
      </w:r>
      <w:r>
        <w:rPr>
          <w:rFonts w:ascii="Times New Roman" w:hAnsi="Times New Roman"/>
          <w:color w:val="000000" w:themeColor="text1"/>
          <w:szCs w:val="21"/>
        </w:rPr>
        <w:t>按</w:t>
      </w:r>
      <w:r>
        <w:rPr>
          <w:rFonts w:hint="eastAsia" w:ascii="Times New Roman" w:hAnsi="Times New Roman"/>
          <w:color w:val="000000" w:themeColor="text1"/>
          <w:szCs w:val="21"/>
        </w:rPr>
        <w:t>试验步骤</w:t>
      </w:r>
      <w:r>
        <w:rPr>
          <w:rFonts w:ascii="Times New Roman" w:hAnsi="Times New Roman"/>
          <w:bCs/>
          <w:color w:val="000000" w:themeColor="text1"/>
          <w:szCs w:val="21"/>
        </w:rPr>
        <w:t>（1.4.4.2）</w:t>
      </w:r>
      <w:r>
        <w:rPr>
          <w:rFonts w:ascii="Times New Roman" w:hAnsi="Times New Roman"/>
          <w:color w:val="000000" w:themeColor="text1"/>
          <w:szCs w:val="21"/>
        </w:rPr>
        <w:t>。试验结果见表1</w:t>
      </w:r>
      <w:r>
        <w:rPr>
          <w:rFonts w:ascii="Times New Roman" w:hAnsi="Times New Roman"/>
          <w:szCs w:val="21"/>
        </w:rPr>
        <w:t>0。</w:t>
      </w:r>
    </w:p>
    <w:p>
      <w:pPr>
        <w:ind w:firstLine="435"/>
        <w:jc w:val="center"/>
        <w:outlineLvl w:val="0"/>
        <w:rPr>
          <w:rFonts w:ascii="Times New Roman" w:hAnsi="Times New Roman"/>
        </w:rPr>
      </w:pPr>
    </w:p>
    <w:p>
      <w:pPr>
        <w:ind w:firstLine="435"/>
        <w:jc w:val="center"/>
        <w:outlineLvl w:val="0"/>
        <w:rPr>
          <w:rFonts w:ascii="Times New Roman" w:hAnsi="Times New Roman"/>
          <w:szCs w:val="21"/>
        </w:rPr>
      </w:pPr>
      <w:r>
        <w:rPr>
          <w:rFonts w:ascii="Times New Roman" w:hAnsi="Times New Roman"/>
          <w:szCs w:val="21"/>
        </w:rPr>
        <w:t>表10 高氯酸挥发</w:t>
      </w:r>
      <w:r>
        <w:rPr>
          <w:rFonts w:ascii="Times New Roman" w:hAnsi="Times New Roman"/>
        </w:rPr>
        <w:t>除去</w:t>
      </w:r>
      <w:r>
        <w:rPr>
          <w:rFonts w:ascii="Times New Roman" w:hAnsi="Times New Roman"/>
          <w:szCs w:val="21"/>
        </w:rPr>
        <w:t>硒后铋量的回收试验</w:t>
      </w:r>
    </w:p>
    <w:p>
      <w:pPr>
        <w:ind w:firstLine="435"/>
        <w:jc w:val="center"/>
        <w:outlineLvl w:val="0"/>
        <w:rPr>
          <w:rFonts w:ascii="Times New Roman" w:hAnsi="Times New Roman"/>
          <w:szCs w:val="21"/>
        </w:rPr>
      </w:pPr>
    </w:p>
    <w:tbl>
      <w:tblPr>
        <w:tblStyle w:val="3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2632"/>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sz w:val="18"/>
                <w:szCs w:val="18"/>
              </w:rPr>
            </w:pPr>
            <w:r>
              <w:rPr>
                <w:rFonts w:ascii="Times New Roman" w:hAnsi="Times New Roman"/>
                <w:sz w:val="18"/>
                <w:szCs w:val="18"/>
              </w:rPr>
              <w:t>加入硒量mg</w:t>
            </w:r>
          </w:p>
        </w:tc>
        <w:tc>
          <w:tcPr>
            <w:tcW w:w="2126" w:type="dxa"/>
            <w:vAlign w:val="center"/>
          </w:tcPr>
          <w:p>
            <w:pPr>
              <w:jc w:val="center"/>
              <w:rPr>
                <w:rFonts w:ascii="Times New Roman" w:hAnsi="Times New Roman"/>
                <w:sz w:val="18"/>
                <w:szCs w:val="18"/>
              </w:rPr>
            </w:pPr>
            <w:r>
              <w:rPr>
                <w:rFonts w:ascii="Times New Roman" w:hAnsi="Times New Roman"/>
                <w:sz w:val="18"/>
                <w:szCs w:val="18"/>
              </w:rPr>
              <w:t>加入铋量mg</w:t>
            </w:r>
          </w:p>
        </w:tc>
        <w:tc>
          <w:tcPr>
            <w:tcW w:w="2632" w:type="dxa"/>
            <w:vAlign w:val="center"/>
          </w:tcPr>
          <w:p>
            <w:pPr>
              <w:jc w:val="center"/>
              <w:rPr>
                <w:rFonts w:ascii="Times New Roman" w:hAnsi="Times New Roman"/>
                <w:sz w:val="18"/>
                <w:szCs w:val="18"/>
              </w:rPr>
            </w:pPr>
            <w:r>
              <w:rPr>
                <w:rFonts w:ascii="Times New Roman" w:hAnsi="Times New Roman"/>
                <w:sz w:val="18"/>
                <w:szCs w:val="18"/>
              </w:rPr>
              <w:t>铋标准的</w:t>
            </w:r>
          </w:p>
          <w:p>
            <w:pPr>
              <w:jc w:val="center"/>
              <w:rPr>
                <w:rFonts w:ascii="Times New Roman" w:hAnsi="Times New Roman"/>
                <w:sz w:val="18"/>
                <w:szCs w:val="18"/>
              </w:rPr>
            </w:pPr>
            <w:r>
              <w:rPr>
                <w:rFonts w:ascii="Times New Roman" w:hAnsi="Times New Roman"/>
                <w:sz w:val="18"/>
                <w:szCs w:val="18"/>
              </w:rPr>
              <w:t>测定量mg</w:t>
            </w:r>
          </w:p>
        </w:tc>
        <w:tc>
          <w:tcPr>
            <w:tcW w:w="2632" w:type="dxa"/>
          </w:tcPr>
          <w:p>
            <w:pPr>
              <w:jc w:val="center"/>
              <w:rPr>
                <w:rFonts w:ascii="Times New Roman" w:hAnsi="Times New Roman"/>
                <w:sz w:val="18"/>
                <w:szCs w:val="18"/>
              </w:rPr>
            </w:pPr>
            <w:r>
              <w:rPr>
                <w:rFonts w:ascii="Times New Roman" w:hAnsi="Times New Roman"/>
                <w:kern w:val="0"/>
                <w:sz w:val="18"/>
                <w:szCs w:val="18"/>
              </w:rPr>
              <w:t>试验现象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sz w:val="18"/>
                <w:szCs w:val="18"/>
              </w:rPr>
            </w:pPr>
            <w:r>
              <w:rPr>
                <w:rFonts w:ascii="Times New Roman" w:hAnsi="Times New Roman"/>
                <w:bCs/>
                <w:sz w:val="18"/>
                <w:szCs w:val="18"/>
              </w:rPr>
              <w:t>0.5</w:t>
            </w:r>
          </w:p>
        </w:tc>
        <w:tc>
          <w:tcPr>
            <w:tcW w:w="2126"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tcPr>
          <w:p>
            <w:pPr>
              <w:jc w:val="center"/>
              <w:rPr>
                <w:rFonts w:ascii="Times New Roman" w:hAnsi="Times New Roman"/>
                <w:bCs/>
                <w:sz w:val="18"/>
                <w:szCs w:val="18"/>
              </w:rPr>
            </w:pPr>
            <w:r>
              <w:rPr>
                <w:rFonts w:ascii="Times New Roman" w:hAnsi="Times New Roman"/>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sz w:val="18"/>
                <w:szCs w:val="18"/>
              </w:rPr>
            </w:pPr>
            <w:r>
              <w:rPr>
                <w:rFonts w:ascii="Times New Roman" w:hAnsi="Times New Roman"/>
                <w:bCs/>
                <w:sz w:val="18"/>
                <w:szCs w:val="18"/>
              </w:rPr>
              <w:t>1</w:t>
            </w:r>
          </w:p>
        </w:tc>
        <w:tc>
          <w:tcPr>
            <w:tcW w:w="2126"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vAlign w:val="center"/>
          </w:tcPr>
          <w:p>
            <w:pPr>
              <w:jc w:val="center"/>
              <w:rPr>
                <w:rFonts w:ascii="Times New Roman" w:hAnsi="Times New Roman"/>
                <w:bCs/>
                <w:sz w:val="18"/>
                <w:szCs w:val="18"/>
              </w:rPr>
            </w:pPr>
            <w:r>
              <w:rPr>
                <w:rFonts w:ascii="Times New Roman" w:hAnsi="Times New Roman"/>
                <w:bCs/>
                <w:sz w:val="18"/>
                <w:szCs w:val="18"/>
              </w:rPr>
              <w:t>19.97</w:t>
            </w:r>
          </w:p>
        </w:tc>
        <w:tc>
          <w:tcPr>
            <w:tcW w:w="2632" w:type="dxa"/>
          </w:tcPr>
          <w:p>
            <w:pPr>
              <w:jc w:val="center"/>
              <w:rPr>
                <w:rFonts w:ascii="Times New Roman" w:hAnsi="Times New Roman"/>
                <w:bCs/>
                <w:sz w:val="18"/>
                <w:szCs w:val="18"/>
              </w:rPr>
            </w:pPr>
            <w:r>
              <w:rPr>
                <w:rFonts w:ascii="Times New Roman" w:hAnsi="Times New Roman"/>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sz w:val="18"/>
                <w:szCs w:val="18"/>
              </w:rPr>
            </w:pPr>
            <w:r>
              <w:rPr>
                <w:rFonts w:ascii="Times New Roman" w:hAnsi="Times New Roman"/>
                <w:bCs/>
                <w:sz w:val="18"/>
                <w:szCs w:val="18"/>
              </w:rPr>
              <w:t>2</w:t>
            </w:r>
          </w:p>
        </w:tc>
        <w:tc>
          <w:tcPr>
            <w:tcW w:w="2126"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tcPr>
          <w:p>
            <w:pPr>
              <w:jc w:val="center"/>
              <w:rPr>
                <w:rFonts w:ascii="Times New Roman" w:hAnsi="Times New Roman"/>
                <w:bCs/>
                <w:sz w:val="18"/>
                <w:szCs w:val="18"/>
              </w:rPr>
            </w:pPr>
            <w:r>
              <w:rPr>
                <w:rFonts w:ascii="Times New Roman" w:hAnsi="Times New Roman"/>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sz w:val="18"/>
                <w:szCs w:val="18"/>
              </w:rPr>
            </w:pPr>
            <w:r>
              <w:rPr>
                <w:rFonts w:ascii="Times New Roman" w:hAnsi="Times New Roman"/>
                <w:bCs/>
                <w:sz w:val="18"/>
                <w:szCs w:val="18"/>
              </w:rPr>
              <w:t>4</w:t>
            </w:r>
          </w:p>
        </w:tc>
        <w:tc>
          <w:tcPr>
            <w:tcW w:w="2126" w:type="dxa"/>
            <w:vAlign w:val="center"/>
          </w:tcPr>
          <w:p>
            <w:pPr>
              <w:jc w:val="center"/>
              <w:rPr>
                <w:rFonts w:ascii="Times New Roman" w:hAnsi="Times New Roman"/>
                <w:sz w:val="18"/>
                <w:szCs w:val="18"/>
              </w:rPr>
            </w:pPr>
            <w:r>
              <w:rPr>
                <w:rFonts w:ascii="Times New Roman" w:hAnsi="Times New Roman"/>
                <w:bCs/>
                <w:sz w:val="18"/>
                <w:szCs w:val="18"/>
              </w:rPr>
              <w:t>20.00</w:t>
            </w:r>
          </w:p>
        </w:tc>
        <w:tc>
          <w:tcPr>
            <w:tcW w:w="2632" w:type="dxa"/>
            <w:vAlign w:val="center"/>
          </w:tcPr>
          <w:p>
            <w:pPr>
              <w:jc w:val="center"/>
              <w:rPr>
                <w:rFonts w:ascii="Times New Roman" w:hAnsi="Times New Roman"/>
                <w:sz w:val="18"/>
                <w:szCs w:val="18"/>
              </w:rPr>
            </w:pPr>
            <w:r>
              <w:rPr>
                <w:rFonts w:ascii="Times New Roman" w:hAnsi="Times New Roman"/>
                <w:sz w:val="18"/>
                <w:szCs w:val="18"/>
              </w:rPr>
              <w:t>20.02</w:t>
            </w:r>
          </w:p>
        </w:tc>
        <w:tc>
          <w:tcPr>
            <w:tcW w:w="2632" w:type="dxa"/>
          </w:tcPr>
          <w:p>
            <w:pPr>
              <w:jc w:val="center"/>
              <w:rPr>
                <w:rFonts w:ascii="Times New Roman" w:hAnsi="Times New Roman"/>
                <w:sz w:val="18"/>
                <w:szCs w:val="18"/>
              </w:rPr>
            </w:pPr>
            <w:r>
              <w:rPr>
                <w:rFonts w:ascii="Times New Roman" w:hAnsi="Times New Roman"/>
                <w:kern w:val="0"/>
                <w:sz w:val="18"/>
                <w:szCs w:val="18"/>
              </w:rPr>
              <w:t>终点敏锐</w:t>
            </w:r>
          </w:p>
        </w:tc>
      </w:tr>
    </w:tbl>
    <w:p>
      <w:pPr>
        <w:ind w:firstLine="435"/>
        <w:outlineLvl w:val="0"/>
        <w:rPr>
          <w:rFonts w:ascii="Times New Roman" w:hAnsi="Times New Roman"/>
          <w:szCs w:val="21"/>
        </w:rPr>
      </w:pPr>
      <w:r>
        <w:rPr>
          <w:rFonts w:ascii="Times New Roman" w:hAnsi="Times New Roman"/>
          <w:szCs w:val="21"/>
        </w:rPr>
        <w:t xml:space="preserve"> </w:t>
      </w:r>
    </w:p>
    <w:p>
      <w:pPr>
        <w:ind w:firstLine="435"/>
        <w:outlineLvl w:val="0"/>
        <w:rPr>
          <w:rFonts w:ascii="Times New Roman" w:hAnsi="Times New Roman"/>
          <w:spacing w:val="6"/>
          <w:szCs w:val="21"/>
        </w:rPr>
      </w:pPr>
      <w:r>
        <w:rPr>
          <w:rFonts w:ascii="Times New Roman" w:hAnsi="Times New Roman"/>
          <w:szCs w:val="21"/>
        </w:rPr>
        <w:t xml:space="preserve"> 另外，按</w:t>
      </w:r>
      <w:r>
        <w:rPr>
          <w:rFonts w:ascii="Times New Roman" w:hAnsi="Times New Roman"/>
          <w:spacing w:val="6"/>
          <w:szCs w:val="21"/>
        </w:rPr>
        <w:t>试</w:t>
      </w:r>
      <w:r>
        <w:rPr>
          <w:rFonts w:ascii="Times New Roman" w:hAnsi="Times New Roman"/>
          <w:color w:val="000000" w:themeColor="text1"/>
          <w:spacing w:val="6"/>
          <w:szCs w:val="21"/>
        </w:rPr>
        <w:t>验</w:t>
      </w:r>
      <w:r>
        <w:rPr>
          <w:rFonts w:hint="eastAsia" w:ascii="Times New Roman" w:hAnsi="Times New Roman"/>
          <w:color w:val="000000" w:themeColor="text1"/>
          <w:spacing w:val="6"/>
          <w:szCs w:val="21"/>
        </w:rPr>
        <w:t>步骤</w:t>
      </w:r>
      <w:r>
        <w:rPr>
          <w:rFonts w:ascii="Times New Roman" w:hAnsi="Times New Roman"/>
          <w:color w:val="000000" w:themeColor="text1"/>
          <w:spacing w:val="6"/>
          <w:szCs w:val="21"/>
        </w:rPr>
        <w:t>（1.4）</w:t>
      </w:r>
      <w:r>
        <w:rPr>
          <w:rFonts w:ascii="Times New Roman" w:hAnsi="Times New Roman"/>
          <w:color w:val="000000" w:themeColor="text1"/>
          <w:szCs w:val="21"/>
        </w:rPr>
        <w:t>称取铜冶炼烟尘</w:t>
      </w:r>
      <w:r>
        <w:rPr>
          <w:rFonts w:ascii="Times New Roman" w:hAnsi="Times New Roman"/>
          <w:bCs/>
          <w:color w:val="000000" w:themeColor="text1"/>
          <w:szCs w:val="21"/>
        </w:rPr>
        <w:t>2</w:t>
      </w:r>
      <w:r>
        <w:rPr>
          <w:rFonts w:ascii="Times New Roman" w:hAnsi="Times New Roman"/>
          <w:bCs/>
          <w:color w:val="000000" w:themeColor="text1"/>
          <w:szCs w:val="21"/>
          <w:vertAlign w:val="superscript"/>
        </w:rPr>
        <w:t>#</w:t>
      </w:r>
      <w:r>
        <w:rPr>
          <w:rFonts w:ascii="Times New Roman" w:hAnsi="Times New Roman"/>
          <w:color w:val="000000" w:themeColor="text1"/>
          <w:kern w:val="0"/>
          <w:szCs w:val="21"/>
        </w:rPr>
        <w:t>Bi</w:t>
      </w:r>
      <w:r>
        <w:rPr>
          <w:rFonts w:ascii="Times New Roman" w:hAnsi="Times New Roman"/>
          <w:color w:val="000000" w:themeColor="text1"/>
        </w:rPr>
        <w:t>试样，分别加入</w:t>
      </w:r>
      <w:bookmarkStart w:id="28" w:name="OLE_LINK38"/>
      <w:bookmarkStart w:id="29" w:name="OLE_LINK37"/>
      <w:r>
        <w:rPr>
          <w:rFonts w:ascii="Times New Roman" w:hAnsi="Times New Roman"/>
          <w:color w:val="000000" w:themeColor="text1"/>
        </w:rPr>
        <w:t>硒</w:t>
      </w:r>
      <w:bookmarkEnd w:id="28"/>
      <w:bookmarkEnd w:id="29"/>
      <w:r>
        <w:rPr>
          <w:rFonts w:ascii="Times New Roman" w:hAnsi="Times New Roman"/>
          <w:color w:val="000000" w:themeColor="text1"/>
        </w:rPr>
        <w:t>标准0.5，1.0，2.0，4.0</w:t>
      </w:r>
      <w:r>
        <w:rPr>
          <w:rFonts w:ascii="Times New Roman" w:hAnsi="Times New Roman"/>
          <w:color w:val="000000" w:themeColor="text1"/>
          <w:spacing w:val="6"/>
          <w:szCs w:val="21"/>
        </w:rPr>
        <w:t xml:space="preserve"> mg，按样品</w:t>
      </w:r>
      <w:r>
        <w:rPr>
          <w:rFonts w:hint="eastAsia" w:ascii="Times New Roman" w:hAnsi="Times New Roman"/>
          <w:color w:val="000000" w:themeColor="text1"/>
          <w:spacing w:val="6"/>
          <w:szCs w:val="21"/>
        </w:rPr>
        <w:t>试验</w:t>
      </w:r>
      <w:r>
        <w:rPr>
          <w:rFonts w:ascii="Times New Roman" w:hAnsi="Times New Roman"/>
          <w:spacing w:val="6"/>
          <w:szCs w:val="21"/>
        </w:rPr>
        <w:t>步骤（1.4.1）操作，终点敏锐，结果稳定。</w:t>
      </w:r>
      <w:r>
        <w:rPr>
          <w:rFonts w:ascii="Times New Roman" w:hAnsi="Times New Roman"/>
          <w:kern w:val="0"/>
          <w:szCs w:val="21"/>
        </w:rPr>
        <w:t>铋的加标回收率在99.64 %～99.79%之间。</w:t>
      </w:r>
    </w:p>
    <w:p>
      <w:pPr>
        <w:ind w:firstLine="435"/>
        <w:outlineLvl w:val="0"/>
        <w:rPr>
          <w:rFonts w:ascii="Times New Roman" w:hAnsi="Times New Roman"/>
        </w:rPr>
      </w:pPr>
      <w:r>
        <w:rPr>
          <w:rFonts w:ascii="Times New Roman" w:hAnsi="Times New Roman"/>
        </w:rPr>
        <w:t>采用硫酸</w:t>
      </w:r>
      <w:r>
        <w:rPr>
          <w:rFonts w:ascii="Times New Roman" w:hAnsi="Times New Roman"/>
          <w:bCs/>
          <w:szCs w:val="21"/>
        </w:rPr>
        <w:t>冒</w:t>
      </w:r>
      <w:r>
        <w:rPr>
          <w:rFonts w:ascii="Times New Roman" w:hAnsi="Times New Roman"/>
          <w:szCs w:val="21"/>
        </w:rPr>
        <w:t>烟除去硒的方案时，</w:t>
      </w:r>
      <w:r>
        <w:rPr>
          <w:rFonts w:ascii="Times New Roman" w:hAnsi="Times New Roman"/>
        </w:rPr>
        <w:t>由于</w:t>
      </w:r>
      <w:r>
        <w:rPr>
          <w:rFonts w:ascii="Times New Roman" w:hAnsi="Times New Roman"/>
          <w:szCs w:val="21"/>
        </w:rPr>
        <w:t>铜冶炼烟尘</w:t>
      </w:r>
      <w:r>
        <w:rPr>
          <w:rFonts w:ascii="Times New Roman" w:hAnsi="Times New Roman"/>
        </w:rPr>
        <w:t>试样铅铜含量高时，在使用硫酸</w:t>
      </w:r>
      <w:r>
        <w:rPr>
          <w:rFonts w:ascii="Times New Roman" w:hAnsi="Times New Roman"/>
          <w:bCs/>
          <w:szCs w:val="21"/>
        </w:rPr>
        <w:t>冒</w:t>
      </w:r>
      <w:r>
        <w:rPr>
          <w:rFonts w:ascii="Times New Roman" w:hAnsi="Times New Roman"/>
          <w:szCs w:val="21"/>
        </w:rPr>
        <w:t>烟时，产生大量硫酸铅及硫酸铜沉淀，</w:t>
      </w:r>
      <w:r>
        <w:rPr>
          <w:rFonts w:ascii="Times New Roman" w:hAnsi="Times New Roman"/>
          <w:bCs/>
          <w:szCs w:val="21"/>
        </w:rPr>
        <w:t>冒</w:t>
      </w:r>
      <w:r>
        <w:rPr>
          <w:rFonts w:ascii="Times New Roman" w:hAnsi="Times New Roman"/>
          <w:szCs w:val="21"/>
        </w:rPr>
        <w:t>烟近干时，温度稍高时结果容易偏低，剩余1</w:t>
      </w:r>
      <w:r>
        <w:rPr>
          <w:rFonts w:ascii="Times New Roman" w:hAnsi="Times New Roman"/>
          <w:bCs/>
          <w:szCs w:val="21"/>
        </w:rPr>
        <w:t xml:space="preserve"> mL硫酸时</w:t>
      </w:r>
      <w:r>
        <w:rPr>
          <w:rFonts w:ascii="Times New Roman" w:hAnsi="Times New Roman"/>
        </w:rPr>
        <w:t>硒</w:t>
      </w:r>
      <w:r>
        <w:rPr>
          <w:rFonts w:ascii="Times New Roman" w:hAnsi="Times New Roman"/>
          <w:szCs w:val="21"/>
        </w:rPr>
        <w:t>挥发不完</w:t>
      </w:r>
      <w:r>
        <w:rPr>
          <w:rFonts w:ascii="Times New Roman" w:hAnsi="Times New Roman"/>
          <w:bCs/>
          <w:szCs w:val="21"/>
        </w:rPr>
        <w:t>，仍然产生干扰。</w:t>
      </w:r>
      <w:r>
        <w:rPr>
          <w:rFonts w:ascii="Times New Roman" w:hAnsi="Times New Roman"/>
          <w:szCs w:val="21"/>
        </w:rPr>
        <w:t>采用</w:t>
      </w:r>
      <w:r>
        <w:rPr>
          <w:rFonts w:ascii="Times New Roman" w:hAnsi="Times New Roman"/>
        </w:rPr>
        <w:t>在</w:t>
      </w:r>
      <w:r>
        <w:rPr>
          <w:rFonts w:ascii="Times New Roman" w:hAnsi="Times New Roman"/>
          <w:kern w:val="0"/>
        </w:rPr>
        <w:t>高氯酸冒</w:t>
      </w:r>
      <w:r>
        <w:rPr>
          <w:rFonts w:ascii="Times New Roman" w:hAnsi="Times New Roman"/>
          <w:szCs w:val="21"/>
        </w:rPr>
        <w:t>烟时加入</w:t>
      </w:r>
      <w:r>
        <w:rPr>
          <w:rFonts w:ascii="Times New Roman" w:hAnsi="Times New Roman"/>
        </w:rPr>
        <w:t>盐酸—氢溴酸</w:t>
      </w:r>
      <w:r>
        <w:rPr>
          <w:rFonts w:ascii="Times New Roman" w:hAnsi="Times New Roman"/>
          <w:szCs w:val="21"/>
        </w:rPr>
        <w:t>挥发除去硒</w:t>
      </w:r>
      <w:r>
        <w:rPr>
          <w:rFonts w:ascii="Times New Roman" w:hAnsi="Times New Roman"/>
        </w:rPr>
        <w:t>，近干时盐类少容易浸取，</w:t>
      </w:r>
      <w:r>
        <w:rPr>
          <w:rFonts w:ascii="Times New Roman" w:hAnsi="Times New Roman"/>
          <w:szCs w:val="21"/>
        </w:rPr>
        <w:t>剩余1</w:t>
      </w:r>
      <w:r>
        <w:rPr>
          <w:rFonts w:ascii="Times New Roman" w:hAnsi="Times New Roman"/>
          <w:bCs/>
          <w:szCs w:val="21"/>
        </w:rPr>
        <w:t xml:space="preserve"> mL</w:t>
      </w:r>
      <w:r>
        <w:rPr>
          <w:rFonts w:ascii="Times New Roman" w:hAnsi="Times New Roman"/>
          <w:kern w:val="0"/>
        </w:rPr>
        <w:t>高氯酸时，余温会使试液变为湿</w:t>
      </w:r>
      <w:r>
        <w:rPr>
          <w:rFonts w:ascii="Times New Roman" w:hAnsi="Times New Roman"/>
        </w:rPr>
        <w:t>盐状，残留</w:t>
      </w:r>
      <w:r>
        <w:rPr>
          <w:rFonts w:ascii="Times New Roman" w:hAnsi="Times New Roman"/>
          <w:kern w:val="0"/>
        </w:rPr>
        <w:t>高氯酸对测定铋无影响。试验</w:t>
      </w:r>
      <w:r>
        <w:rPr>
          <w:rFonts w:ascii="Times New Roman" w:hAnsi="Times New Roman"/>
          <w:bCs/>
          <w:szCs w:val="21"/>
        </w:rPr>
        <w:t>选择</w:t>
      </w:r>
      <w:r>
        <w:rPr>
          <w:rFonts w:ascii="Times New Roman" w:hAnsi="Times New Roman"/>
          <w:kern w:val="0"/>
        </w:rPr>
        <w:t>高氯酸－</w:t>
      </w:r>
      <w:r>
        <w:rPr>
          <w:rFonts w:ascii="Times New Roman" w:hAnsi="Times New Roman"/>
        </w:rPr>
        <w:t>盐酸—氢溴酸</w:t>
      </w:r>
      <w:r>
        <w:rPr>
          <w:rFonts w:ascii="Times New Roman" w:hAnsi="Times New Roman"/>
          <w:szCs w:val="21"/>
        </w:rPr>
        <w:t>挥发除去硒</w:t>
      </w:r>
      <w:r>
        <w:rPr>
          <w:rFonts w:ascii="Times New Roman" w:hAnsi="Times New Roman"/>
          <w:kern w:val="0"/>
          <w:szCs w:val="21"/>
        </w:rPr>
        <w:t>。</w:t>
      </w:r>
    </w:p>
    <w:p>
      <w:pPr>
        <w:rPr>
          <w:rFonts w:ascii="Times New Roman" w:hAnsi="Times New Roman"/>
        </w:rPr>
      </w:pPr>
      <w:r>
        <w:rPr>
          <w:rFonts w:ascii="Times New Roman" w:hAnsi="Times New Roman"/>
          <w:szCs w:val="21"/>
        </w:rPr>
        <w:t xml:space="preserve">2.4.1.3  </w:t>
      </w:r>
      <w:r>
        <w:rPr>
          <w:rFonts w:ascii="黑体" w:hAnsi="黑体" w:eastAsia="黑体"/>
          <w:szCs w:val="21"/>
        </w:rPr>
        <w:t>铟的</w:t>
      </w:r>
      <w:r>
        <w:rPr>
          <w:rFonts w:ascii="黑体" w:hAnsi="黑体" w:eastAsia="黑体"/>
        </w:rPr>
        <w:t>干扰试验</w:t>
      </w:r>
    </w:p>
    <w:p>
      <w:pPr>
        <w:ind w:firstLine="210" w:firstLineChars="100"/>
        <w:rPr>
          <w:rFonts w:ascii="Times New Roman" w:hAnsi="Times New Roman"/>
        </w:rPr>
      </w:pPr>
      <w:r>
        <w:rPr>
          <w:rFonts w:ascii="Times New Roman" w:hAnsi="Times New Roman"/>
          <w:szCs w:val="21"/>
        </w:rPr>
        <w:t>按试验</w:t>
      </w:r>
      <w:r>
        <w:rPr>
          <w:rFonts w:hint="eastAsia" w:ascii="Times New Roman" w:hAnsi="Times New Roman"/>
          <w:color w:val="000000" w:themeColor="text1"/>
          <w:szCs w:val="21"/>
        </w:rPr>
        <w:t>步骤</w:t>
      </w:r>
      <w:r>
        <w:rPr>
          <w:rFonts w:ascii="Times New Roman" w:hAnsi="Times New Roman"/>
          <w:bCs/>
          <w:color w:val="000000" w:themeColor="text1"/>
          <w:szCs w:val="21"/>
        </w:rPr>
        <w:t>（</w:t>
      </w:r>
      <w:r>
        <w:rPr>
          <w:rFonts w:ascii="Times New Roman" w:hAnsi="Times New Roman"/>
          <w:bCs/>
          <w:szCs w:val="21"/>
        </w:rPr>
        <w:t>1.4.4.2）</w:t>
      </w:r>
      <w:r>
        <w:rPr>
          <w:rFonts w:ascii="Times New Roman" w:hAnsi="Times New Roman"/>
          <w:szCs w:val="21"/>
        </w:rPr>
        <w:t>，进行了不同铟量对20.00 mg铋的测定影响试验。</w:t>
      </w:r>
    </w:p>
    <w:p>
      <w:pPr>
        <w:ind w:firstLine="435"/>
        <w:jc w:val="center"/>
        <w:outlineLvl w:val="0"/>
        <w:rPr>
          <w:rFonts w:ascii="Times New Roman" w:hAnsi="Times New Roman"/>
          <w:szCs w:val="21"/>
        </w:rPr>
      </w:pPr>
    </w:p>
    <w:p>
      <w:pPr>
        <w:ind w:firstLine="435"/>
        <w:jc w:val="center"/>
        <w:outlineLvl w:val="0"/>
        <w:rPr>
          <w:rFonts w:ascii="Times New Roman" w:hAnsi="Times New Roman"/>
          <w:szCs w:val="21"/>
        </w:rPr>
      </w:pPr>
      <w:r>
        <w:rPr>
          <w:rFonts w:ascii="Times New Roman" w:hAnsi="Times New Roman"/>
          <w:szCs w:val="21"/>
        </w:rPr>
        <w:t>表11铟量对铋的测定影响试验</w:t>
      </w:r>
    </w:p>
    <w:p>
      <w:pPr>
        <w:ind w:firstLine="435"/>
        <w:jc w:val="center"/>
        <w:outlineLvl w:val="0"/>
        <w:rPr>
          <w:rFonts w:ascii="Times New Roman" w:hAnsi="Times New Roman"/>
          <w:szCs w:val="21"/>
        </w:rPr>
      </w:pPr>
    </w:p>
    <w:tbl>
      <w:tblPr>
        <w:tblStyle w:val="3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2632"/>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sz w:val="18"/>
                <w:szCs w:val="18"/>
              </w:rPr>
            </w:pPr>
            <w:r>
              <w:rPr>
                <w:rFonts w:ascii="Times New Roman" w:hAnsi="Times New Roman"/>
                <w:sz w:val="18"/>
                <w:szCs w:val="18"/>
              </w:rPr>
              <w:t>加入铟量</w:t>
            </w:r>
            <w:r>
              <w:rPr>
                <w:rFonts w:ascii="Times New Roman" w:hAnsi="Times New Roman"/>
                <w:color w:val="333333"/>
                <w:sz w:val="18"/>
                <w:szCs w:val="18"/>
                <w:shd w:val="clear" w:color="auto" w:fill="FFFFFF"/>
              </w:rPr>
              <w:t>μg</w:t>
            </w:r>
          </w:p>
        </w:tc>
        <w:tc>
          <w:tcPr>
            <w:tcW w:w="2126" w:type="dxa"/>
            <w:vAlign w:val="center"/>
          </w:tcPr>
          <w:p>
            <w:pPr>
              <w:jc w:val="center"/>
              <w:rPr>
                <w:rFonts w:ascii="Times New Roman" w:hAnsi="Times New Roman"/>
                <w:sz w:val="18"/>
                <w:szCs w:val="18"/>
              </w:rPr>
            </w:pPr>
            <w:r>
              <w:rPr>
                <w:rFonts w:ascii="Times New Roman" w:hAnsi="Times New Roman"/>
                <w:sz w:val="18"/>
                <w:szCs w:val="18"/>
              </w:rPr>
              <w:t>加入铋量mg</w:t>
            </w:r>
          </w:p>
        </w:tc>
        <w:tc>
          <w:tcPr>
            <w:tcW w:w="2632" w:type="dxa"/>
            <w:vAlign w:val="center"/>
          </w:tcPr>
          <w:p>
            <w:pPr>
              <w:jc w:val="center"/>
              <w:rPr>
                <w:rFonts w:ascii="Times New Roman" w:hAnsi="Times New Roman"/>
                <w:sz w:val="18"/>
                <w:szCs w:val="18"/>
              </w:rPr>
            </w:pPr>
            <w:r>
              <w:rPr>
                <w:rFonts w:ascii="Times New Roman" w:hAnsi="Times New Roman"/>
                <w:sz w:val="18"/>
                <w:szCs w:val="18"/>
              </w:rPr>
              <w:t>铋标准的</w:t>
            </w:r>
          </w:p>
          <w:p>
            <w:pPr>
              <w:jc w:val="center"/>
              <w:rPr>
                <w:rFonts w:ascii="Times New Roman" w:hAnsi="Times New Roman"/>
                <w:sz w:val="18"/>
                <w:szCs w:val="18"/>
              </w:rPr>
            </w:pPr>
            <w:r>
              <w:rPr>
                <w:rFonts w:ascii="Times New Roman" w:hAnsi="Times New Roman"/>
                <w:sz w:val="18"/>
                <w:szCs w:val="18"/>
              </w:rPr>
              <w:t>测定量mg</w:t>
            </w:r>
          </w:p>
        </w:tc>
        <w:tc>
          <w:tcPr>
            <w:tcW w:w="2632" w:type="dxa"/>
          </w:tcPr>
          <w:p>
            <w:pPr>
              <w:jc w:val="center"/>
              <w:rPr>
                <w:rFonts w:ascii="Times New Roman" w:hAnsi="Times New Roman"/>
                <w:sz w:val="18"/>
                <w:szCs w:val="18"/>
              </w:rPr>
            </w:pPr>
            <w:r>
              <w:rPr>
                <w:rFonts w:ascii="Times New Roman" w:hAnsi="Times New Roman"/>
                <w:kern w:val="0"/>
                <w:sz w:val="18"/>
                <w:szCs w:val="18"/>
              </w:rPr>
              <w:t>试验现象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sz w:val="18"/>
                <w:szCs w:val="18"/>
              </w:rPr>
            </w:pPr>
            <w:r>
              <w:rPr>
                <w:rFonts w:ascii="Times New Roman" w:hAnsi="Times New Roman"/>
                <w:bCs/>
                <w:sz w:val="18"/>
                <w:szCs w:val="18"/>
              </w:rPr>
              <w:t>70</w:t>
            </w:r>
          </w:p>
        </w:tc>
        <w:tc>
          <w:tcPr>
            <w:tcW w:w="2126"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tcPr>
          <w:p>
            <w:pPr>
              <w:jc w:val="center"/>
              <w:rPr>
                <w:rFonts w:ascii="Times New Roman" w:hAnsi="Times New Roman"/>
                <w:bCs/>
                <w:sz w:val="18"/>
                <w:szCs w:val="18"/>
              </w:rPr>
            </w:pPr>
            <w:r>
              <w:rPr>
                <w:rFonts w:ascii="Times New Roman" w:hAnsi="Times New Roman"/>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sz w:val="18"/>
                <w:szCs w:val="18"/>
              </w:rPr>
            </w:pPr>
            <w:r>
              <w:rPr>
                <w:rFonts w:ascii="Times New Roman" w:hAnsi="Times New Roman"/>
                <w:bCs/>
                <w:sz w:val="18"/>
                <w:szCs w:val="18"/>
              </w:rPr>
              <w:t>80</w:t>
            </w:r>
          </w:p>
        </w:tc>
        <w:tc>
          <w:tcPr>
            <w:tcW w:w="2126"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vAlign w:val="center"/>
          </w:tcPr>
          <w:p>
            <w:pPr>
              <w:jc w:val="center"/>
              <w:rPr>
                <w:rFonts w:ascii="Times New Roman" w:hAnsi="Times New Roman"/>
                <w:bCs/>
                <w:sz w:val="18"/>
                <w:szCs w:val="18"/>
              </w:rPr>
            </w:pPr>
            <w:r>
              <w:rPr>
                <w:rFonts w:ascii="Times New Roman" w:hAnsi="Times New Roman"/>
                <w:bCs/>
                <w:sz w:val="18"/>
                <w:szCs w:val="18"/>
              </w:rPr>
              <w:t>20.02</w:t>
            </w:r>
          </w:p>
        </w:tc>
        <w:tc>
          <w:tcPr>
            <w:tcW w:w="2632" w:type="dxa"/>
          </w:tcPr>
          <w:p>
            <w:pPr>
              <w:jc w:val="center"/>
              <w:rPr>
                <w:rFonts w:ascii="Times New Roman" w:hAnsi="Times New Roman"/>
                <w:kern w:val="0"/>
                <w:sz w:val="18"/>
                <w:szCs w:val="18"/>
              </w:rPr>
            </w:pPr>
            <w:r>
              <w:rPr>
                <w:rFonts w:ascii="Times New Roman" w:hAnsi="Times New Roman"/>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sz w:val="18"/>
                <w:szCs w:val="18"/>
              </w:rPr>
            </w:pPr>
            <w:r>
              <w:rPr>
                <w:rFonts w:ascii="Times New Roman" w:hAnsi="Times New Roman"/>
                <w:bCs/>
                <w:sz w:val="18"/>
                <w:szCs w:val="18"/>
              </w:rPr>
              <w:t>90</w:t>
            </w:r>
          </w:p>
        </w:tc>
        <w:tc>
          <w:tcPr>
            <w:tcW w:w="2126"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vAlign w:val="center"/>
          </w:tcPr>
          <w:p>
            <w:pPr>
              <w:jc w:val="center"/>
              <w:rPr>
                <w:rFonts w:ascii="Times New Roman" w:hAnsi="Times New Roman"/>
                <w:bCs/>
                <w:sz w:val="18"/>
                <w:szCs w:val="18"/>
              </w:rPr>
            </w:pPr>
            <w:r>
              <w:rPr>
                <w:rFonts w:ascii="Times New Roman" w:hAnsi="Times New Roman"/>
                <w:bCs/>
                <w:sz w:val="18"/>
                <w:szCs w:val="18"/>
              </w:rPr>
              <w:t>19.97</w:t>
            </w:r>
          </w:p>
        </w:tc>
        <w:tc>
          <w:tcPr>
            <w:tcW w:w="2632" w:type="dxa"/>
          </w:tcPr>
          <w:p>
            <w:pPr>
              <w:jc w:val="center"/>
              <w:rPr>
                <w:rFonts w:ascii="Times New Roman" w:hAnsi="Times New Roman"/>
                <w:kern w:val="0"/>
                <w:sz w:val="18"/>
                <w:szCs w:val="18"/>
              </w:rPr>
            </w:pPr>
            <w:r>
              <w:rPr>
                <w:rFonts w:ascii="Times New Roman" w:hAnsi="Times New Roman"/>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sz w:val="18"/>
                <w:szCs w:val="18"/>
              </w:rPr>
            </w:pPr>
            <w:r>
              <w:rPr>
                <w:rFonts w:ascii="Times New Roman" w:hAnsi="Times New Roman"/>
                <w:bCs/>
                <w:sz w:val="18"/>
                <w:szCs w:val="18"/>
              </w:rPr>
              <w:t>100</w:t>
            </w:r>
          </w:p>
        </w:tc>
        <w:tc>
          <w:tcPr>
            <w:tcW w:w="2126"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vAlign w:val="center"/>
          </w:tcPr>
          <w:p>
            <w:pPr>
              <w:jc w:val="center"/>
              <w:rPr>
                <w:rFonts w:ascii="Times New Roman" w:hAnsi="Times New Roman"/>
                <w:bCs/>
                <w:sz w:val="18"/>
                <w:szCs w:val="18"/>
              </w:rPr>
            </w:pPr>
            <w:r>
              <w:rPr>
                <w:rFonts w:ascii="Times New Roman" w:hAnsi="Times New Roman"/>
                <w:bCs/>
                <w:sz w:val="18"/>
                <w:szCs w:val="18"/>
              </w:rPr>
              <w:t>20.03</w:t>
            </w:r>
          </w:p>
        </w:tc>
        <w:tc>
          <w:tcPr>
            <w:tcW w:w="2632" w:type="dxa"/>
          </w:tcPr>
          <w:p>
            <w:pPr>
              <w:jc w:val="center"/>
              <w:rPr>
                <w:rFonts w:ascii="Times New Roman" w:hAnsi="Times New Roman"/>
                <w:kern w:val="0"/>
                <w:sz w:val="18"/>
                <w:szCs w:val="18"/>
              </w:rPr>
            </w:pPr>
            <w:r>
              <w:rPr>
                <w:rFonts w:ascii="Times New Roman" w:hAnsi="Times New Roman"/>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sz w:val="18"/>
                <w:szCs w:val="18"/>
              </w:rPr>
            </w:pPr>
            <w:r>
              <w:rPr>
                <w:rFonts w:ascii="Times New Roman" w:hAnsi="Times New Roman"/>
                <w:bCs/>
                <w:sz w:val="18"/>
                <w:szCs w:val="18"/>
              </w:rPr>
              <w:t>110</w:t>
            </w:r>
          </w:p>
        </w:tc>
        <w:tc>
          <w:tcPr>
            <w:tcW w:w="2126"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vAlign w:val="center"/>
          </w:tcPr>
          <w:p>
            <w:pPr>
              <w:jc w:val="center"/>
              <w:rPr>
                <w:rFonts w:ascii="Times New Roman" w:hAnsi="Times New Roman"/>
                <w:bCs/>
                <w:sz w:val="18"/>
                <w:szCs w:val="18"/>
              </w:rPr>
            </w:pPr>
            <w:r>
              <w:rPr>
                <w:rFonts w:ascii="Times New Roman" w:hAnsi="Times New Roman"/>
                <w:bCs/>
                <w:sz w:val="18"/>
                <w:szCs w:val="18"/>
              </w:rPr>
              <w:t>20.02</w:t>
            </w:r>
          </w:p>
        </w:tc>
        <w:tc>
          <w:tcPr>
            <w:tcW w:w="2632" w:type="dxa"/>
          </w:tcPr>
          <w:p>
            <w:pPr>
              <w:jc w:val="center"/>
              <w:rPr>
                <w:rFonts w:ascii="Times New Roman" w:hAnsi="Times New Roman"/>
                <w:kern w:val="0"/>
                <w:sz w:val="18"/>
                <w:szCs w:val="18"/>
              </w:rPr>
            </w:pPr>
            <w:r>
              <w:rPr>
                <w:rFonts w:ascii="Times New Roman" w:hAnsi="Times New Roman"/>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sz w:val="18"/>
                <w:szCs w:val="18"/>
              </w:rPr>
            </w:pPr>
            <w:r>
              <w:rPr>
                <w:rFonts w:ascii="Times New Roman" w:hAnsi="Times New Roman"/>
                <w:bCs/>
                <w:sz w:val="18"/>
                <w:szCs w:val="18"/>
              </w:rPr>
              <w:t>120</w:t>
            </w:r>
          </w:p>
        </w:tc>
        <w:tc>
          <w:tcPr>
            <w:tcW w:w="2126"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vAlign w:val="center"/>
          </w:tcPr>
          <w:p>
            <w:pPr>
              <w:jc w:val="center"/>
              <w:rPr>
                <w:rFonts w:ascii="Times New Roman" w:hAnsi="Times New Roman"/>
                <w:bCs/>
                <w:sz w:val="18"/>
                <w:szCs w:val="18"/>
              </w:rPr>
            </w:pPr>
            <w:r>
              <w:rPr>
                <w:rFonts w:ascii="Times New Roman" w:hAnsi="Times New Roman"/>
                <w:bCs/>
                <w:sz w:val="18"/>
                <w:szCs w:val="18"/>
              </w:rPr>
              <w:t>19.98</w:t>
            </w:r>
          </w:p>
        </w:tc>
        <w:tc>
          <w:tcPr>
            <w:tcW w:w="2632" w:type="dxa"/>
          </w:tcPr>
          <w:p>
            <w:pPr>
              <w:jc w:val="center"/>
              <w:rPr>
                <w:rFonts w:ascii="Times New Roman" w:hAnsi="Times New Roman"/>
                <w:kern w:val="0"/>
                <w:sz w:val="18"/>
                <w:szCs w:val="18"/>
              </w:rPr>
            </w:pPr>
            <w:r>
              <w:rPr>
                <w:rFonts w:ascii="Times New Roman" w:hAnsi="Times New Roman"/>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sz w:val="18"/>
                <w:szCs w:val="18"/>
              </w:rPr>
            </w:pPr>
            <w:r>
              <w:rPr>
                <w:rFonts w:ascii="Times New Roman" w:hAnsi="Times New Roman"/>
                <w:bCs/>
                <w:sz w:val="18"/>
                <w:szCs w:val="18"/>
              </w:rPr>
              <w:t>130</w:t>
            </w:r>
          </w:p>
        </w:tc>
        <w:tc>
          <w:tcPr>
            <w:tcW w:w="2126"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vAlign w:val="center"/>
          </w:tcPr>
          <w:p>
            <w:pPr>
              <w:jc w:val="center"/>
              <w:rPr>
                <w:rFonts w:ascii="Times New Roman" w:hAnsi="Times New Roman"/>
                <w:bCs/>
                <w:sz w:val="18"/>
                <w:szCs w:val="18"/>
              </w:rPr>
            </w:pPr>
            <w:r>
              <w:rPr>
                <w:rFonts w:ascii="Times New Roman" w:hAnsi="Times New Roman"/>
                <w:bCs/>
                <w:sz w:val="18"/>
                <w:szCs w:val="18"/>
              </w:rPr>
              <w:t>20.17</w:t>
            </w:r>
          </w:p>
        </w:tc>
        <w:tc>
          <w:tcPr>
            <w:tcW w:w="2632" w:type="dxa"/>
          </w:tcPr>
          <w:p>
            <w:pPr>
              <w:jc w:val="center"/>
              <w:rPr>
                <w:rFonts w:ascii="Times New Roman" w:hAnsi="Times New Roman"/>
                <w:kern w:val="0"/>
                <w:sz w:val="18"/>
                <w:szCs w:val="18"/>
              </w:rPr>
            </w:pPr>
            <w:r>
              <w:rPr>
                <w:rFonts w:ascii="Times New Roman" w:hAnsi="Times New Roman"/>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sz w:val="18"/>
                <w:szCs w:val="18"/>
              </w:rPr>
            </w:pPr>
            <w:r>
              <w:rPr>
                <w:rFonts w:ascii="Times New Roman" w:hAnsi="Times New Roman"/>
                <w:bCs/>
                <w:sz w:val="18"/>
                <w:szCs w:val="18"/>
              </w:rPr>
              <w:t>140</w:t>
            </w:r>
          </w:p>
        </w:tc>
        <w:tc>
          <w:tcPr>
            <w:tcW w:w="2126"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vAlign w:val="center"/>
          </w:tcPr>
          <w:p>
            <w:pPr>
              <w:jc w:val="center"/>
              <w:rPr>
                <w:rFonts w:ascii="Times New Roman" w:hAnsi="Times New Roman"/>
                <w:bCs/>
                <w:sz w:val="18"/>
                <w:szCs w:val="18"/>
              </w:rPr>
            </w:pPr>
            <w:r>
              <w:rPr>
                <w:rFonts w:ascii="Times New Roman" w:hAnsi="Times New Roman"/>
                <w:bCs/>
                <w:sz w:val="18"/>
                <w:szCs w:val="18"/>
              </w:rPr>
              <w:t>20.24</w:t>
            </w:r>
          </w:p>
        </w:tc>
        <w:tc>
          <w:tcPr>
            <w:tcW w:w="2632" w:type="dxa"/>
          </w:tcPr>
          <w:p>
            <w:pPr>
              <w:jc w:val="center"/>
              <w:rPr>
                <w:rFonts w:ascii="Times New Roman" w:hAnsi="Times New Roman"/>
                <w:kern w:val="0"/>
                <w:sz w:val="18"/>
                <w:szCs w:val="18"/>
              </w:rPr>
            </w:pPr>
            <w:r>
              <w:rPr>
                <w:rFonts w:ascii="Times New Roman" w:hAnsi="Times New Roman"/>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sz w:val="18"/>
                <w:szCs w:val="18"/>
              </w:rPr>
            </w:pPr>
            <w:r>
              <w:rPr>
                <w:rFonts w:ascii="Times New Roman" w:hAnsi="Times New Roman"/>
                <w:bCs/>
                <w:sz w:val="18"/>
                <w:szCs w:val="18"/>
              </w:rPr>
              <w:t>150</w:t>
            </w:r>
          </w:p>
        </w:tc>
        <w:tc>
          <w:tcPr>
            <w:tcW w:w="2126"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vAlign w:val="center"/>
          </w:tcPr>
          <w:p>
            <w:pPr>
              <w:jc w:val="center"/>
              <w:rPr>
                <w:rFonts w:ascii="Times New Roman" w:hAnsi="Times New Roman"/>
                <w:bCs/>
                <w:sz w:val="18"/>
                <w:szCs w:val="18"/>
              </w:rPr>
            </w:pPr>
            <w:r>
              <w:rPr>
                <w:rFonts w:ascii="Times New Roman" w:hAnsi="Times New Roman"/>
                <w:bCs/>
                <w:sz w:val="18"/>
                <w:szCs w:val="18"/>
              </w:rPr>
              <w:t>20.21</w:t>
            </w:r>
          </w:p>
        </w:tc>
        <w:tc>
          <w:tcPr>
            <w:tcW w:w="2632" w:type="dxa"/>
          </w:tcPr>
          <w:p>
            <w:pPr>
              <w:jc w:val="center"/>
              <w:rPr>
                <w:rFonts w:ascii="Times New Roman" w:hAnsi="Times New Roman"/>
                <w:kern w:val="0"/>
                <w:sz w:val="18"/>
                <w:szCs w:val="18"/>
              </w:rPr>
            </w:pPr>
            <w:r>
              <w:rPr>
                <w:rFonts w:ascii="Times New Roman" w:hAnsi="Times New Roman"/>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sz w:val="18"/>
                <w:szCs w:val="18"/>
              </w:rPr>
            </w:pPr>
            <w:r>
              <w:rPr>
                <w:rFonts w:ascii="Times New Roman" w:hAnsi="Times New Roman"/>
                <w:bCs/>
                <w:sz w:val="18"/>
                <w:szCs w:val="18"/>
              </w:rPr>
              <w:t>200</w:t>
            </w:r>
          </w:p>
        </w:tc>
        <w:tc>
          <w:tcPr>
            <w:tcW w:w="2126"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vAlign w:val="center"/>
          </w:tcPr>
          <w:p>
            <w:pPr>
              <w:jc w:val="center"/>
              <w:rPr>
                <w:rFonts w:ascii="Times New Roman" w:hAnsi="Times New Roman"/>
                <w:bCs/>
                <w:sz w:val="18"/>
                <w:szCs w:val="18"/>
              </w:rPr>
            </w:pPr>
            <w:r>
              <w:rPr>
                <w:rFonts w:ascii="Times New Roman" w:hAnsi="Times New Roman"/>
                <w:bCs/>
                <w:sz w:val="18"/>
                <w:szCs w:val="18"/>
              </w:rPr>
              <w:t>20.31</w:t>
            </w:r>
          </w:p>
        </w:tc>
        <w:tc>
          <w:tcPr>
            <w:tcW w:w="2632" w:type="dxa"/>
          </w:tcPr>
          <w:p>
            <w:pPr>
              <w:jc w:val="center"/>
              <w:rPr>
                <w:rFonts w:ascii="Times New Roman" w:hAnsi="Times New Roman"/>
                <w:kern w:val="0"/>
                <w:sz w:val="18"/>
                <w:szCs w:val="18"/>
              </w:rPr>
            </w:pPr>
            <w:r>
              <w:rPr>
                <w:rFonts w:ascii="Times New Roman" w:hAnsi="Times New Roman"/>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sz w:val="18"/>
                <w:szCs w:val="18"/>
              </w:rPr>
            </w:pPr>
            <w:r>
              <w:rPr>
                <w:rFonts w:ascii="Times New Roman" w:hAnsi="Times New Roman"/>
                <w:bCs/>
                <w:sz w:val="18"/>
                <w:szCs w:val="18"/>
              </w:rPr>
              <w:t>250</w:t>
            </w:r>
          </w:p>
        </w:tc>
        <w:tc>
          <w:tcPr>
            <w:tcW w:w="2126"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vAlign w:val="center"/>
          </w:tcPr>
          <w:p>
            <w:pPr>
              <w:jc w:val="center"/>
              <w:rPr>
                <w:rFonts w:ascii="Times New Roman" w:hAnsi="Times New Roman"/>
                <w:bCs/>
                <w:sz w:val="18"/>
                <w:szCs w:val="18"/>
              </w:rPr>
            </w:pPr>
            <w:r>
              <w:rPr>
                <w:rFonts w:ascii="Times New Roman" w:hAnsi="Times New Roman"/>
                <w:bCs/>
                <w:sz w:val="18"/>
                <w:szCs w:val="18"/>
              </w:rPr>
              <w:t>20.41</w:t>
            </w:r>
          </w:p>
        </w:tc>
        <w:tc>
          <w:tcPr>
            <w:tcW w:w="2632" w:type="dxa"/>
          </w:tcPr>
          <w:p>
            <w:pPr>
              <w:jc w:val="center"/>
              <w:rPr>
                <w:rFonts w:ascii="Times New Roman" w:hAnsi="Times New Roman"/>
                <w:bCs/>
                <w:sz w:val="18"/>
                <w:szCs w:val="18"/>
              </w:rPr>
            </w:pPr>
            <w:r>
              <w:rPr>
                <w:rFonts w:ascii="Times New Roman" w:hAnsi="Times New Roman"/>
                <w:kern w:val="0"/>
                <w:sz w:val="18"/>
                <w:szCs w:val="18"/>
              </w:rPr>
              <w:t>终点暗黄</w:t>
            </w:r>
          </w:p>
        </w:tc>
      </w:tr>
    </w:tbl>
    <w:p>
      <w:pPr>
        <w:ind w:firstLine="420" w:firstLineChars="200"/>
        <w:rPr>
          <w:rFonts w:ascii="Times New Roman" w:hAnsi="Times New Roman"/>
          <w:kern w:val="0"/>
          <w:szCs w:val="21"/>
        </w:rPr>
      </w:pPr>
    </w:p>
    <w:p>
      <w:pPr>
        <w:ind w:firstLine="420" w:firstLineChars="200"/>
        <w:rPr>
          <w:rFonts w:ascii="Times New Roman" w:hAnsi="Times New Roman"/>
          <w:color w:val="000000" w:themeColor="text1"/>
          <w:szCs w:val="21"/>
        </w:rPr>
      </w:pPr>
      <w:r>
        <w:rPr>
          <w:rFonts w:ascii="Times New Roman" w:hAnsi="Times New Roman"/>
          <w:kern w:val="0"/>
          <w:szCs w:val="21"/>
        </w:rPr>
        <w:t>根据表11试验数据，当</w:t>
      </w:r>
      <w:r>
        <w:rPr>
          <w:rFonts w:ascii="Times New Roman" w:hAnsi="Times New Roman"/>
          <w:bCs/>
          <w:szCs w:val="21"/>
        </w:rPr>
        <w:t>In＞</w:t>
      </w:r>
      <w:r>
        <w:rPr>
          <w:rFonts w:ascii="Times New Roman" w:hAnsi="Times New Roman"/>
          <w:szCs w:val="21"/>
        </w:rPr>
        <w:t xml:space="preserve">120 </w:t>
      </w:r>
      <w:r>
        <w:rPr>
          <w:rFonts w:ascii="Times New Roman" w:hAnsi="Times New Roman"/>
        </w:rPr>
        <w:t>μg时，随着</w:t>
      </w:r>
      <w:r>
        <w:rPr>
          <w:rFonts w:ascii="Times New Roman" w:hAnsi="Times New Roman"/>
          <w:szCs w:val="21"/>
        </w:rPr>
        <w:t xml:space="preserve">铟量增加，铋量测定值增加，铟量为250 </w:t>
      </w:r>
      <w:r>
        <w:rPr>
          <w:rFonts w:ascii="Times New Roman" w:hAnsi="Times New Roman"/>
        </w:rPr>
        <w:t>μg时</w:t>
      </w:r>
      <w:r>
        <w:rPr>
          <w:rFonts w:ascii="Times New Roman" w:hAnsi="Times New Roman"/>
          <w:kern w:val="0"/>
          <w:szCs w:val="21"/>
        </w:rPr>
        <w:t>终点暗黄，微返终点。</w:t>
      </w:r>
      <w:r>
        <w:rPr>
          <w:rFonts w:ascii="Times New Roman" w:hAnsi="Times New Roman"/>
          <w:szCs w:val="21"/>
        </w:rPr>
        <w:t>称取6杯铜冶炼烟尘</w:t>
      </w:r>
      <w:r>
        <w:rPr>
          <w:rFonts w:ascii="Times New Roman" w:hAnsi="Times New Roman"/>
          <w:bCs/>
          <w:szCs w:val="21"/>
        </w:rPr>
        <w:t>2</w:t>
      </w:r>
      <w:r>
        <w:rPr>
          <w:rFonts w:ascii="Times New Roman" w:hAnsi="Times New Roman"/>
          <w:bCs/>
          <w:szCs w:val="21"/>
          <w:vertAlign w:val="superscript"/>
        </w:rPr>
        <w:t>#</w:t>
      </w:r>
      <w:r>
        <w:rPr>
          <w:rFonts w:ascii="Times New Roman" w:hAnsi="Times New Roman"/>
          <w:kern w:val="0"/>
          <w:szCs w:val="21"/>
        </w:rPr>
        <w:t>Bi</w:t>
      </w:r>
      <w:r>
        <w:rPr>
          <w:rFonts w:ascii="Times New Roman" w:hAnsi="Times New Roman"/>
        </w:rPr>
        <w:t>试样于400</w:t>
      </w:r>
      <w:r>
        <w:rPr>
          <w:rFonts w:ascii="Times New Roman" w:hAnsi="Times New Roman"/>
          <w:szCs w:val="21"/>
        </w:rPr>
        <w:t xml:space="preserve"> mL烧杯中</w:t>
      </w:r>
      <w:r>
        <w:rPr>
          <w:rFonts w:ascii="Times New Roman" w:hAnsi="Times New Roman"/>
        </w:rPr>
        <w:t>，分别加入20.00</w:t>
      </w:r>
      <w:r>
        <w:rPr>
          <w:rFonts w:ascii="Times New Roman" w:hAnsi="Times New Roman"/>
          <w:szCs w:val="21"/>
        </w:rPr>
        <w:t xml:space="preserve"> mL铋标准溶液（1.2.13），</w:t>
      </w:r>
      <w:r>
        <w:rPr>
          <w:rFonts w:ascii="Times New Roman" w:hAnsi="Times New Roman"/>
        </w:rPr>
        <w:t>加入铟标准0.09</w:t>
      </w:r>
      <w:r>
        <w:rPr>
          <w:rFonts w:ascii="Times New Roman" w:hAnsi="Times New Roman"/>
          <w:szCs w:val="21"/>
        </w:rPr>
        <w:t xml:space="preserve"> mg</w:t>
      </w:r>
      <w:r>
        <w:rPr>
          <w:rFonts w:ascii="Times New Roman" w:hAnsi="Times New Roman"/>
          <w:spacing w:val="6"/>
          <w:szCs w:val="21"/>
        </w:rPr>
        <w:t>、0.10</w:t>
      </w:r>
      <w:r>
        <w:rPr>
          <w:rFonts w:ascii="Times New Roman" w:hAnsi="Times New Roman"/>
          <w:szCs w:val="21"/>
        </w:rPr>
        <w:t xml:space="preserve"> mg</w:t>
      </w:r>
      <w:r>
        <w:rPr>
          <w:rFonts w:ascii="Times New Roman" w:hAnsi="Times New Roman"/>
          <w:spacing w:val="6"/>
          <w:szCs w:val="21"/>
        </w:rPr>
        <w:t>、0.11</w:t>
      </w:r>
      <w:r>
        <w:rPr>
          <w:rFonts w:ascii="Times New Roman" w:hAnsi="Times New Roman"/>
          <w:szCs w:val="21"/>
        </w:rPr>
        <w:t xml:space="preserve"> mg</w:t>
      </w:r>
      <w:r>
        <w:rPr>
          <w:rFonts w:ascii="Times New Roman" w:hAnsi="Times New Roman"/>
          <w:spacing w:val="6"/>
          <w:szCs w:val="21"/>
        </w:rPr>
        <w:t>按</w:t>
      </w:r>
      <w:r>
        <w:rPr>
          <w:rFonts w:hint="eastAsia" w:ascii="Times New Roman" w:hAnsi="Times New Roman"/>
          <w:spacing w:val="6"/>
          <w:szCs w:val="21"/>
        </w:rPr>
        <w:t>试</w:t>
      </w:r>
      <w:r>
        <w:rPr>
          <w:rFonts w:ascii="Times New Roman" w:hAnsi="Times New Roman"/>
          <w:spacing w:val="6"/>
          <w:szCs w:val="21"/>
        </w:rPr>
        <w:t>验</w:t>
      </w:r>
      <w:r>
        <w:rPr>
          <w:rFonts w:hint="eastAsia" w:ascii="Times New Roman" w:hAnsi="Times New Roman"/>
          <w:color w:val="000000" w:themeColor="text1"/>
          <w:spacing w:val="6"/>
          <w:szCs w:val="21"/>
        </w:rPr>
        <w:t>步骤</w:t>
      </w:r>
      <w:r>
        <w:rPr>
          <w:rFonts w:ascii="Times New Roman" w:hAnsi="Times New Roman"/>
          <w:color w:val="000000" w:themeColor="text1"/>
          <w:spacing w:val="6"/>
          <w:szCs w:val="21"/>
        </w:rPr>
        <w:t>（1.4）操作，终点敏锐，结果稳定。</w:t>
      </w:r>
      <w:r>
        <w:rPr>
          <w:rFonts w:ascii="Times New Roman" w:hAnsi="Times New Roman"/>
          <w:color w:val="000000" w:themeColor="text1"/>
          <w:kern w:val="0"/>
          <w:szCs w:val="21"/>
        </w:rPr>
        <w:t>铋的加标回收率在99.67 % ~ 99.78%之间。</w:t>
      </w:r>
    </w:p>
    <w:p>
      <w:pPr>
        <w:outlineLvl w:val="0"/>
        <w:rPr>
          <w:rFonts w:ascii="Times New Roman" w:hAnsi="Times New Roman"/>
          <w:color w:val="000000" w:themeColor="text1"/>
          <w:szCs w:val="21"/>
        </w:rPr>
      </w:pPr>
    </w:p>
    <w:p>
      <w:pPr>
        <w:outlineLvl w:val="0"/>
        <w:rPr>
          <w:rFonts w:ascii="Times New Roman" w:hAnsi="Times New Roman"/>
          <w:color w:val="000000" w:themeColor="text1"/>
          <w:kern w:val="0"/>
          <w:szCs w:val="21"/>
        </w:rPr>
      </w:pPr>
      <w:r>
        <w:rPr>
          <w:rFonts w:ascii="Times New Roman" w:hAnsi="Times New Roman"/>
          <w:color w:val="000000" w:themeColor="text1"/>
          <w:szCs w:val="21"/>
        </w:rPr>
        <w:t xml:space="preserve">2.4.2  </w:t>
      </w:r>
      <w:r>
        <w:rPr>
          <w:rFonts w:ascii="Times New Roman" w:hAnsi="Times New Roman" w:eastAsia="黑体"/>
          <w:color w:val="000000" w:themeColor="text1"/>
          <w:szCs w:val="21"/>
        </w:rPr>
        <w:t>混合干扰元素对测定铋的影响</w:t>
      </w:r>
    </w:p>
    <w:p>
      <w:pPr>
        <w:ind w:firstLine="435"/>
        <w:rPr>
          <w:rFonts w:ascii="Times New Roman" w:hAnsi="Times New Roman"/>
          <w:szCs w:val="21"/>
        </w:rPr>
      </w:pPr>
      <w:r>
        <w:rPr>
          <w:rFonts w:ascii="Times New Roman" w:hAnsi="Times New Roman"/>
          <w:color w:val="000000" w:themeColor="text1"/>
          <w:kern w:val="0"/>
          <w:szCs w:val="21"/>
        </w:rPr>
        <w:t>称取</w:t>
      </w:r>
      <w:r>
        <w:rPr>
          <w:rFonts w:ascii="Times New Roman" w:hAnsi="Times New Roman"/>
          <w:color w:val="000000" w:themeColor="text1"/>
          <w:szCs w:val="21"/>
        </w:rPr>
        <w:t>铜冶炼烟尘</w:t>
      </w:r>
      <w:r>
        <w:rPr>
          <w:rFonts w:ascii="Times New Roman" w:hAnsi="Times New Roman"/>
          <w:color w:val="000000" w:themeColor="text1"/>
        </w:rPr>
        <w:t>试样</w:t>
      </w:r>
      <w:r>
        <w:rPr>
          <w:rFonts w:ascii="Times New Roman" w:hAnsi="Times New Roman"/>
          <w:bCs/>
          <w:color w:val="000000" w:themeColor="text1"/>
          <w:szCs w:val="21"/>
        </w:rPr>
        <w:t>2</w:t>
      </w:r>
      <w:r>
        <w:rPr>
          <w:rFonts w:ascii="Times New Roman" w:hAnsi="Times New Roman"/>
          <w:bCs/>
          <w:color w:val="000000" w:themeColor="text1"/>
          <w:szCs w:val="21"/>
          <w:vertAlign w:val="superscript"/>
        </w:rPr>
        <w:t>#</w:t>
      </w:r>
      <w:r>
        <w:rPr>
          <w:rFonts w:ascii="Times New Roman" w:hAnsi="Times New Roman"/>
          <w:color w:val="000000" w:themeColor="text1"/>
          <w:kern w:val="0"/>
          <w:szCs w:val="21"/>
        </w:rPr>
        <w:t>Bi</w:t>
      </w:r>
      <w:r>
        <w:rPr>
          <w:rFonts w:ascii="Times New Roman" w:hAnsi="Times New Roman"/>
          <w:color w:val="000000" w:themeColor="text1"/>
          <w:szCs w:val="21"/>
        </w:rPr>
        <w:t>按试验</w:t>
      </w:r>
      <w:r>
        <w:rPr>
          <w:rFonts w:hint="eastAsia" w:ascii="Times New Roman" w:hAnsi="Times New Roman"/>
          <w:color w:val="000000" w:themeColor="text1"/>
          <w:szCs w:val="21"/>
        </w:rPr>
        <w:t>步骤</w:t>
      </w:r>
      <w:r>
        <w:rPr>
          <w:rFonts w:ascii="Times New Roman" w:hAnsi="Times New Roman"/>
          <w:color w:val="000000" w:themeColor="text1"/>
          <w:szCs w:val="21"/>
        </w:rPr>
        <w:t>（1.4），进行了混合共存元素</w:t>
      </w:r>
      <w:r>
        <w:rPr>
          <w:rFonts w:ascii="Times New Roman" w:hAnsi="Times New Roman"/>
          <w:szCs w:val="21"/>
        </w:rPr>
        <w:t>对20.00 mg铋的测定影响，</w:t>
      </w:r>
      <w:r>
        <w:rPr>
          <w:rFonts w:hint="eastAsia" w:ascii="Times New Roman" w:hAnsi="Times New Roman"/>
          <w:szCs w:val="21"/>
        </w:rPr>
        <w:t>试</w:t>
      </w:r>
      <w:r>
        <w:rPr>
          <w:rFonts w:ascii="Times New Roman" w:hAnsi="Times New Roman"/>
          <w:szCs w:val="21"/>
        </w:rPr>
        <w:t>验结果见表12。</w:t>
      </w:r>
    </w:p>
    <w:p>
      <w:pPr>
        <w:widowControl/>
        <w:jc w:val="left"/>
        <w:rPr>
          <w:rFonts w:ascii="Times New Roman" w:hAnsi="Times New Roman"/>
          <w:szCs w:val="21"/>
        </w:rPr>
      </w:pPr>
    </w:p>
    <w:p>
      <w:pPr>
        <w:adjustRightInd w:val="0"/>
        <w:snapToGrid w:val="0"/>
        <w:spacing w:before="50" w:after="50"/>
        <w:ind w:firstLine="2886" w:firstLineChars="1300"/>
        <w:rPr>
          <w:rFonts w:ascii="Times New Roman" w:hAnsi="Times New Roman"/>
          <w:spacing w:val="6"/>
          <w:szCs w:val="21"/>
        </w:rPr>
      </w:pPr>
      <w:r>
        <w:rPr>
          <w:rFonts w:ascii="Times New Roman" w:hAnsi="Times New Roman"/>
          <w:spacing w:val="6"/>
          <w:szCs w:val="21"/>
        </w:rPr>
        <w:t>表12 混合离子干扰</w:t>
      </w:r>
      <w:r>
        <w:rPr>
          <w:rFonts w:hint="eastAsia" w:ascii="Times New Roman" w:hAnsi="Times New Roman"/>
          <w:spacing w:val="6"/>
          <w:szCs w:val="21"/>
        </w:rPr>
        <w:t>试</w:t>
      </w:r>
      <w:r>
        <w:rPr>
          <w:rFonts w:ascii="Times New Roman" w:hAnsi="Times New Roman"/>
          <w:spacing w:val="6"/>
          <w:szCs w:val="21"/>
        </w:rPr>
        <w:t>验</w:t>
      </w:r>
    </w:p>
    <w:p>
      <w:pPr>
        <w:adjustRightInd w:val="0"/>
        <w:snapToGrid w:val="0"/>
        <w:spacing w:before="50" w:after="50"/>
        <w:ind w:firstLine="3774" w:firstLineChars="1700"/>
        <w:rPr>
          <w:rFonts w:ascii="Times New Roman" w:hAnsi="Times New Roman"/>
          <w:spacing w:val="6"/>
          <w:szCs w:val="21"/>
        </w:rPr>
      </w:pPr>
    </w:p>
    <w:tbl>
      <w:tblPr>
        <w:tblStyle w:val="32"/>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6"/>
        <w:gridCol w:w="284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6" w:type="dxa"/>
            <w:vAlign w:val="center"/>
          </w:tcPr>
          <w:p>
            <w:pPr>
              <w:jc w:val="center"/>
              <w:rPr>
                <w:rFonts w:ascii="Times New Roman" w:hAnsi="Times New Roman"/>
                <w:sz w:val="18"/>
                <w:szCs w:val="18"/>
              </w:rPr>
            </w:pPr>
            <w:r>
              <w:rPr>
                <w:rFonts w:ascii="Times New Roman" w:hAnsi="Times New Roman"/>
                <w:sz w:val="18"/>
                <w:szCs w:val="18"/>
              </w:rPr>
              <w:t>铋标准加入量mg</w:t>
            </w:r>
          </w:p>
        </w:tc>
        <w:tc>
          <w:tcPr>
            <w:tcW w:w="2841" w:type="dxa"/>
            <w:vAlign w:val="center"/>
          </w:tcPr>
          <w:p>
            <w:pPr>
              <w:jc w:val="center"/>
              <w:rPr>
                <w:rFonts w:ascii="Times New Roman" w:hAnsi="Times New Roman"/>
                <w:sz w:val="18"/>
                <w:szCs w:val="18"/>
              </w:rPr>
            </w:pPr>
            <w:r>
              <w:rPr>
                <w:rFonts w:ascii="Times New Roman" w:hAnsi="Times New Roman"/>
                <w:sz w:val="18"/>
                <w:szCs w:val="18"/>
              </w:rPr>
              <w:t>20.00</w:t>
            </w:r>
          </w:p>
        </w:tc>
        <w:tc>
          <w:tcPr>
            <w:tcW w:w="2909" w:type="dxa"/>
            <w:vAlign w:val="center"/>
          </w:tcPr>
          <w:p>
            <w:pPr>
              <w:jc w:val="center"/>
              <w:rPr>
                <w:rFonts w:ascii="Times New Roman" w:hAnsi="Times New Roman"/>
                <w:sz w:val="18"/>
                <w:szCs w:val="18"/>
              </w:rPr>
            </w:pPr>
            <w:r>
              <w:rPr>
                <w:rFonts w:ascii="Times New Roman" w:hAnsi="Times New Roman"/>
                <w:sz w:val="18"/>
                <w:szCs w:val="18"/>
              </w:rPr>
              <w:t xml:space="preserve">  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6" w:type="dxa"/>
            <w:vAlign w:val="center"/>
          </w:tcPr>
          <w:p>
            <w:pPr>
              <w:jc w:val="center"/>
              <w:rPr>
                <w:rFonts w:ascii="Times New Roman" w:hAnsi="Times New Roman"/>
                <w:sz w:val="18"/>
                <w:szCs w:val="18"/>
              </w:rPr>
            </w:pPr>
            <w:r>
              <w:rPr>
                <w:rFonts w:ascii="Times New Roman" w:hAnsi="Times New Roman"/>
                <w:spacing w:val="6"/>
                <w:sz w:val="18"/>
                <w:szCs w:val="18"/>
              </w:rPr>
              <w:t>共存元素混合加入量/mg</w:t>
            </w:r>
          </w:p>
        </w:tc>
        <w:tc>
          <w:tcPr>
            <w:tcW w:w="2841" w:type="dxa"/>
            <w:vAlign w:val="center"/>
          </w:tcPr>
          <w:p>
            <w:pPr>
              <w:jc w:val="center"/>
              <w:rPr>
                <w:rFonts w:ascii="Times New Roman" w:hAnsi="Times New Roman"/>
                <w:sz w:val="18"/>
                <w:szCs w:val="18"/>
              </w:rPr>
            </w:pPr>
            <w:r>
              <w:rPr>
                <w:rFonts w:ascii="Times New Roman" w:hAnsi="Times New Roman"/>
                <w:kern w:val="0"/>
                <w:sz w:val="18"/>
                <w:szCs w:val="18"/>
              </w:rPr>
              <w:t xml:space="preserve">75 </w:t>
            </w:r>
            <w:r>
              <w:rPr>
                <w:rFonts w:ascii="Times New Roman" w:hAnsi="Times New Roman"/>
                <w:sz w:val="18"/>
                <w:szCs w:val="18"/>
              </w:rPr>
              <w:t>Pb、70 Cu、</w:t>
            </w:r>
            <w:r>
              <w:rPr>
                <w:rFonts w:ascii="Times New Roman" w:hAnsi="Times New Roman"/>
                <w:bCs/>
                <w:sz w:val="18"/>
                <w:szCs w:val="18"/>
              </w:rPr>
              <w:t xml:space="preserve">10 </w:t>
            </w:r>
            <w:r>
              <w:rPr>
                <w:rFonts w:ascii="Times New Roman" w:hAnsi="Times New Roman"/>
                <w:sz w:val="18"/>
                <w:szCs w:val="18"/>
              </w:rPr>
              <w:t xml:space="preserve">Sb、5Sn、40 Zn、33 Fe、50 As、0.3 Ag、3 </w:t>
            </w:r>
            <w:r>
              <w:rPr>
                <w:rFonts w:ascii="Times New Roman" w:hAnsi="Times New Roman"/>
                <w:bCs/>
                <w:sz w:val="18"/>
                <w:szCs w:val="18"/>
              </w:rPr>
              <w:t>Ca、 2 Mg、 10 Al、 25 Cd、1.0 Te 、40 SiO</w:t>
            </w:r>
            <w:r>
              <w:rPr>
                <w:rFonts w:ascii="Times New Roman" w:hAnsi="Times New Roman"/>
                <w:bCs/>
                <w:sz w:val="18"/>
                <w:szCs w:val="18"/>
                <w:vertAlign w:val="subscript"/>
              </w:rPr>
              <w:t>2、</w:t>
            </w:r>
            <w:r>
              <w:rPr>
                <w:rFonts w:ascii="Times New Roman" w:hAnsi="Times New Roman"/>
                <w:bCs/>
                <w:sz w:val="18"/>
                <w:szCs w:val="18"/>
              </w:rPr>
              <w:t xml:space="preserve">0.1 In </w:t>
            </w:r>
            <w:r>
              <w:rPr>
                <w:rFonts w:ascii="Times New Roman" w:hAnsi="Times New Roman"/>
                <w:sz w:val="18"/>
                <w:szCs w:val="18"/>
              </w:rPr>
              <w:t xml:space="preserve"> 、0.05 Au</w:t>
            </w:r>
            <w:r>
              <w:rPr>
                <w:rFonts w:ascii="Times New Roman" w:hAnsi="Times New Roman"/>
                <w:bCs/>
                <w:sz w:val="18"/>
                <w:szCs w:val="18"/>
              </w:rPr>
              <w:t>、1.0 Se.</w:t>
            </w:r>
          </w:p>
        </w:tc>
        <w:tc>
          <w:tcPr>
            <w:tcW w:w="2909" w:type="dxa"/>
            <w:vAlign w:val="center"/>
          </w:tcPr>
          <w:p>
            <w:pPr>
              <w:jc w:val="center"/>
              <w:rPr>
                <w:rFonts w:ascii="Times New Roman" w:hAnsi="Times New Roman"/>
                <w:sz w:val="18"/>
                <w:szCs w:val="18"/>
              </w:rPr>
            </w:pPr>
            <w:r>
              <w:rPr>
                <w:rFonts w:ascii="Times New Roman" w:hAnsi="Times New Roman"/>
                <w:kern w:val="0"/>
                <w:sz w:val="18"/>
                <w:szCs w:val="18"/>
              </w:rPr>
              <w:t xml:space="preserve">75 </w:t>
            </w:r>
            <w:r>
              <w:rPr>
                <w:rFonts w:ascii="Times New Roman" w:hAnsi="Times New Roman"/>
                <w:sz w:val="18"/>
                <w:szCs w:val="18"/>
              </w:rPr>
              <w:t>Pb、70 Cu、</w:t>
            </w:r>
            <w:r>
              <w:rPr>
                <w:rFonts w:ascii="Times New Roman" w:hAnsi="Times New Roman"/>
                <w:bCs/>
                <w:sz w:val="18"/>
                <w:szCs w:val="18"/>
              </w:rPr>
              <w:t xml:space="preserve">10 </w:t>
            </w:r>
            <w:r>
              <w:rPr>
                <w:rFonts w:ascii="Times New Roman" w:hAnsi="Times New Roman"/>
                <w:sz w:val="18"/>
                <w:szCs w:val="18"/>
              </w:rPr>
              <w:t xml:space="preserve">Sb、5Sn、40 Zn、33 Fe、50 As、0.3 Ag、3 </w:t>
            </w:r>
            <w:r>
              <w:rPr>
                <w:rFonts w:ascii="Times New Roman" w:hAnsi="Times New Roman"/>
                <w:bCs/>
                <w:sz w:val="18"/>
                <w:szCs w:val="18"/>
              </w:rPr>
              <w:t>Ca、 2 Mg、 10 Al、 25 Cd、1.0 Te 、40 SiO</w:t>
            </w:r>
            <w:r>
              <w:rPr>
                <w:rFonts w:ascii="Times New Roman" w:hAnsi="Times New Roman"/>
                <w:bCs/>
                <w:sz w:val="18"/>
                <w:szCs w:val="18"/>
                <w:vertAlign w:val="subscript"/>
              </w:rPr>
              <w:t>2、</w:t>
            </w:r>
            <w:r>
              <w:rPr>
                <w:rFonts w:ascii="Times New Roman" w:hAnsi="Times New Roman"/>
                <w:bCs/>
                <w:sz w:val="18"/>
                <w:szCs w:val="18"/>
              </w:rPr>
              <w:t xml:space="preserve">0.1 In </w:t>
            </w:r>
            <w:r>
              <w:rPr>
                <w:rFonts w:ascii="Times New Roman" w:hAnsi="Times New Roman"/>
                <w:sz w:val="18"/>
                <w:szCs w:val="18"/>
              </w:rPr>
              <w:t xml:space="preserve"> 、0.05 Au</w:t>
            </w:r>
            <w:r>
              <w:rPr>
                <w:rFonts w:ascii="Times New Roman" w:hAnsi="Times New Roman"/>
                <w:bCs/>
                <w:sz w:val="18"/>
                <w:szCs w:val="18"/>
              </w:rPr>
              <w:t>、2.0 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6" w:type="dxa"/>
            <w:vAlign w:val="center"/>
          </w:tcPr>
          <w:p>
            <w:pPr>
              <w:jc w:val="center"/>
              <w:rPr>
                <w:rFonts w:ascii="Times New Roman" w:hAnsi="Times New Roman"/>
                <w:sz w:val="18"/>
                <w:szCs w:val="18"/>
              </w:rPr>
            </w:pPr>
            <w:r>
              <w:rPr>
                <w:rFonts w:ascii="Times New Roman" w:hAnsi="Times New Roman"/>
                <w:sz w:val="18"/>
                <w:szCs w:val="18"/>
              </w:rPr>
              <w:t>测定铋含量mg</w:t>
            </w:r>
          </w:p>
        </w:tc>
        <w:tc>
          <w:tcPr>
            <w:tcW w:w="2841" w:type="dxa"/>
            <w:vAlign w:val="center"/>
          </w:tcPr>
          <w:p>
            <w:pPr>
              <w:jc w:val="center"/>
              <w:rPr>
                <w:rFonts w:ascii="Times New Roman" w:hAnsi="Times New Roman"/>
                <w:sz w:val="18"/>
                <w:szCs w:val="18"/>
              </w:rPr>
            </w:pPr>
            <w:r>
              <w:rPr>
                <w:rFonts w:ascii="Times New Roman" w:hAnsi="Times New Roman"/>
                <w:sz w:val="18"/>
                <w:szCs w:val="18"/>
              </w:rPr>
              <w:t>19.97</w:t>
            </w:r>
          </w:p>
        </w:tc>
        <w:tc>
          <w:tcPr>
            <w:tcW w:w="2909" w:type="dxa"/>
            <w:vAlign w:val="center"/>
          </w:tcPr>
          <w:p>
            <w:pPr>
              <w:jc w:val="center"/>
              <w:rPr>
                <w:rFonts w:ascii="Times New Roman" w:hAnsi="Times New Roman"/>
                <w:sz w:val="18"/>
                <w:szCs w:val="18"/>
              </w:rPr>
            </w:pPr>
            <w:r>
              <w:rPr>
                <w:rFonts w:ascii="Times New Roman" w:hAnsi="Times New Roman"/>
                <w:sz w:val="18"/>
                <w:szCs w:val="18"/>
              </w:rPr>
              <w:t>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6" w:type="dxa"/>
            <w:vAlign w:val="center"/>
          </w:tcPr>
          <w:p>
            <w:pPr>
              <w:jc w:val="center"/>
              <w:rPr>
                <w:rFonts w:ascii="Times New Roman" w:hAnsi="Times New Roman"/>
                <w:sz w:val="18"/>
                <w:szCs w:val="18"/>
              </w:rPr>
            </w:pPr>
            <w:r>
              <w:rPr>
                <w:rFonts w:ascii="Times New Roman" w:hAnsi="Times New Roman"/>
                <w:sz w:val="18"/>
                <w:szCs w:val="18"/>
              </w:rPr>
              <w:t>回收率 %</w:t>
            </w:r>
          </w:p>
        </w:tc>
        <w:tc>
          <w:tcPr>
            <w:tcW w:w="2841" w:type="dxa"/>
            <w:vAlign w:val="center"/>
          </w:tcPr>
          <w:p>
            <w:pPr>
              <w:jc w:val="center"/>
              <w:rPr>
                <w:rFonts w:ascii="Times New Roman" w:hAnsi="Times New Roman"/>
                <w:sz w:val="18"/>
                <w:szCs w:val="18"/>
              </w:rPr>
            </w:pPr>
            <w:r>
              <w:rPr>
                <w:rFonts w:ascii="Times New Roman" w:hAnsi="Times New Roman"/>
                <w:sz w:val="18"/>
                <w:szCs w:val="18"/>
              </w:rPr>
              <w:t>99.85</w:t>
            </w:r>
          </w:p>
        </w:tc>
        <w:tc>
          <w:tcPr>
            <w:tcW w:w="2909" w:type="dxa"/>
            <w:vAlign w:val="center"/>
          </w:tcPr>
          <w:p>
            <w:pPr>
              <w:jc w:val="center"/>
              <w:rPr>
                <w:rFonts w:ascii="Times New Roman" w:hAnsi="Times New Roman"/>
                <w:sz w:val="18"/>
                <w:szCs w:val="18"/>
              </w:rPr>
            </w:pPr>
            <w:r>
              <w:rPr>
                <w:rFonts w:ascii="Times New Roman" w:hAnsi="Times New Roman"/>
                <w:sz w:val="18"/>
                <w:szCs w:val="18"/>
              </w:rPr>
              <w:t>99.59</w:t>
            </w:r>
          </w:p>
        </w:tc>
      </w:tr>
    </w:tbl>
    <w:p>
      <w:pPr>
        <w:ind w:firstLine="435"/>
        <w:rPr>
          <w:rFonts w:ascii="Times New Roman" w:hAnsi="Times New Roman"/>
        </w:rPr>
      </w:pPr>
    </w:p>
    <w:p>
      <w:pPr>
        <w:ind w:firstLine="435"/>
        <w:rPr>
          <w:rFonts w:ascii="Times New Roman" w:hAnsi="Times New Roman"/>
          <w:szCs w:val="21"/>
        </w:rPr>
      </w:pPr>
      <w:r>
        <w:rPr>
          <w:rFonts w:ascii="Times New Roman" w:hAnsi="Times New Roman"/>
          <w:szCs w:val="21"/>
        </w:rPr>
        <w:t>结果表明，本试验体系中上述共存元素在选定试验条件下对20</w:t>
      </w:r>
      <w:r>
        <w:rPr>
          <w:rFonts w:ascii="Times New Roman" w:hAnsi="Times New Roman"/>
          <w:spacing w:val="6"/>
          <w:szCs w:val="21"/>
        </w:rPr>
        <w:t xml:space="preserve"> mg</w:t>
      </w:r>
      <w:r>
        <w:rPr>
          <w:rFonts w:ascii="Times New Roman" w:hAnsi="Times New Roman"/>
          <w:szCs w:val="21"/>
        </w:rPr>
        <w:t>铋的测定基本没有影响。</w:t>
      </w:r>
    </w:p>
    <w:p>
      <w:pPr>
        <w:outlineLvl w:val="0"/>
        <w:rPr>
          <w:rFonts w:ascii="Times New Roman" w:hAnsi="Times New Roman"/>
          <w:b/>
          <w:szCs w:val="21"/>
        </w:rPr>
      </w:pPr>
    </w:p>
    <w:p>
      <w:pPr>
        <w:outlineLvl w:val="0"/>
        <w:rPr>
          <w:rFonts w:ascii="Times New Roman" w:hAnsi="Times New Roman" w:eastAsia="黑体"/>
          <w:szCs w:val="21"/>
        </w:rPr>
      </w:pPr>
      <w:r>
        <w:rPr>
          <w:rFonts w:ascii="Times New Roman" w:hAnsi="Times New Roman" w:eastAsia="黑体"/>
          <w:szCs w:val="21"/>
        </w:rPr>
        <w:t>2.5  试样加标回收试验</w:t>
      </w:r>
    </w:p>
    <w:p>
      <w:pPr>
        <w:ind w:firstLine="420" w:firstLineChars="200"/>
        <w:outlineLvl w:val="0"/>
        <w:rPr>
          <w:rFonts w:ascii="Times New Roman" w:hAnsi="Times New Roman"/>
          <w:color w:val="000000" w:themeColor="text1"/>
          <w:kern w:val="0"/>
          <w:szCs w:val="21"/>
        </w:rPr>
      </w:pPr>
      <w:r>
        <w:rPr>
          <w:rFonts w:ascii="Times New Roman" w:hAnsi="Times New Roman"/>
          <w:kern w:val="0"/>
          <w:szCs w:val="21"/>
        </w:rPr>
        <w:t>称取</w:t>
      </w:r>
      <w:r>
        <w:rPr>
          <w:rFonts w:ascii="Times New Roman" w:hAnsi="Times New Roman"/>
          <w:szCs w:val="21"/>
        </w:rPr>
        <w:t>铜冶炼烟尘</w:t>
      </w:r>
      <w:r>
        <w:rPr>
          <w:rFonts w:ascii="Times New Roman" w:hAnsi="Times New Roman"/>
        </w:rPr>
        <w:t>试样</w:t>
      </w:r>
      <w:r>
        <w:rPr>
          <w:rFonts w:ascii="Times New Roman" w:hAnsi="Times New Roman"/>
          <w:bCs/>
          <w:szCs w:val="21"/>
        </w:rPr>
        <w:t>2</w:t>
      </w:r>
      <w:r>
        <w:rPr>
          <w:rFonts w:ascii="Times New Roman" w:hAnsi="Times New Roman"/>
          <w:bCs/>
          <w:szCs w:val="21"/>
          <w:vertAlign w:val="superscript"/>
        </w:rPr>
        <w:t>#</w:t>
      </w:r>
      <w:r>
        <w:rPr>
          <w:rFonts w:ascii="Times New Roman" w:hAnsi="Times New Roman"/>
          <w:kern w:val="0"/>
          <w:szCs w:val="21"/>
        </w:rPr>
        <w:t>Bi及</w:t>
      </w:r>
      <w:r>
        <w:rPr>
          <w:rFonts w:ascii="Times New Roman" w:hAnsi="Times New Roman"/>
          <w:bCs/>
          <w:szCs w:val="21"/>
        </w:rPr>
        <w:t>4</w:t>
      </w:r>
      <w:r>
        <w:rPr>
          <w:rFonts w:ascii="Times New Roman" w:hAnsi="Times New Roman"/>
          <w:bCs/>
          <w:szCs w:val="21"/>
          <w:vertAlign w:val="superscript"/>
        </w:rPr>
        <w:t>#</w:t>
      </w:r>
      <w:r>
        <w:rPr>
          <w:rFonts w:ascii="Times New Roman" w:hAnsi="Times New Roman"/>
          <w:kern w:val="0"/>
          <w:szCs w:val="21"/>
        </w:rPr>
        <w:t>Bi试样，加入20.00</w:t>
      </w:r>
      <w:r>
        <w:rPr>
          <w:rFonts w:ascii="Times New Roman" w:hAnsi="Times New Roman"/>
          <w:spacing w:val="6"/>
          <w:szCs w:val="21"/>
        </w:rPr>
        <w:t xml:space="preserve"> mg</w:t>
      </w:r>
      <w:r>
        <w:rPr>
          <w:rFonts w:ascii="Times New Roman" w:hAnsi="Times New Roman"/>
          <w:kern w:val="0"/>
          <w:szCs w:val="21"/>
        </w:rPr>
        <w:t>铋标准溶液</w:t>
      </w:r>
      <w:r>
        <w:rPr>
          <w:rFonts w:ascii="Times New Roman" w:hAnsi="Times New Roman"/>
          <w:szCs w:val="21"/>
        </w:rPr>
        <w:t>（1.2.13）</w:t>
      </w:r>
      <w:r>
        <w:rPr>
          <w:rFonts w:ascii="Times New Roman" w:hAnsi="Times New Roman"/>
          <w:kern w:val="0"/>
          <w:szCs w:val="21"/>
        </w:rPr>
        <w:t>，按照</w:t>
      </w:r>
      <w:r>
        <w:rPr>
          <w:rFonts w:hint="eastAsia" w:ascii="Times New Roman" w:hAnsi="Times New Roman"/>
          <w:kern w:val="0"/>
          <w:szCs w:val="21"/>
        </w:rPr>
        <w:t>试</w:t>
      </w:r>
      <w:r>
        <w:rPr>
          <w:rFonts w:ascii="Times New Roman" w:hAnsi="Times New Roman"/>
          <w:spacing w:val="6"/>
          <w:szCs w:val="21"/>
        </w:rPr>
        <w:t>验</w:t>
      </w:r>
      <w:r>
        <w:rPr>
          <w:rFonts w:hint="eastAsia" w:ascii="Times New Roman" w:hAnsi="Times New Roman"/>
          <w:color w:val="000000" w:themeColor="text1"/>
          <w:spacing w:val="6"/>
          <w:szCs w:val="21"/>
        </w:rPr>
        <w:t>步骤</w:t>
      </w:r>
      <w:r>
        <w:rPr>
          <w:rFonts w:ascii="Times New Roman" w:hAnsi="Times New Roman"/>
          <w:color w:val="000000" w:themeColor="text1"/>
          <w:spacing w:val="6"/>
          <w:szCs w:val="21"/>
        </w:rPr>
        <w:t>（1.4）</w:t>
      </w:r>
      <w:r>
        <w:rPr>
          <w:rFonts w:ascii="Times New Roman" w:hAnsi="Times New Roman"/>
          <w:color w:val="000000" w:themeColor="text1"/>
          <w:kern w:val="0"/>
          <w:szCs w:val="21"/>
        </w:rPr>
        <w:t>进行操作。铋的加标回收率在100.20% ～ 99.95%之间。数据见表13。</w:t>
      </w:r>
    </w:p>
    <w:p>
      <w:pPr>
        <w:ind w:firstLine="420" w:firstLineChars="200"/>
        <w:jc w:val="center"/>
        <w:outlineLvl w:val="0"/>
        <w:rPr>
          <w:rFonts w:ascii="Times New Roman" w:hAnsi="Times New Roman"/>
          <w:color w:val="000000" w:themeColor="text1"/>
          <w:kern w:val="0"/>
          <w:szCs w:val="21"/>
        </w:rPr>
      </w:pPr>
    </w:p>
    <w:p>
      <w:pPr>
        <w:ind w:firstLine="420" w:firstLineChars="200"/>
        <w:jc w:val="center"/>
        <w:outlineLvl w:val="0"/>
        <w:rPr>
          <w:rFonts w:ascii="Times New Roman" w:hAnsi="Times New Roman"/>
          <w:kern w:val="0"/>
          <w:szCs w:val="21"/>
        </w:rPr>
      </w:pPr>
      <w:r>
        <w:rPr>
          <w:rFonts w:ascii="Times New Roman" w:hAnsi="Times New Roman"/>
          <w:color w:val="000000" w:themeColor="text1"/>
          <w:kern w:val="0"/>
          <w:szCs w:val="21"/>
        </w:rPr>
        <w:t>表13 加标回收</w:t>
      </w:r>
      <w:r>
        <w:rPr>
          <w:rFonts w:hint="eastAsia" w:ascii="Times New Roman" w:hAnsi="Times New Roman"/>
          <w:color w:val="000000" w:themeColor="text1"/>
          <w:kern w:val="0"/>
          <w:szCs w:val="21"/>
        </w:rPr>
        <w:t>试</w:t>
      </w:r>
      <w:r>
        <w:rPr>
          <w:rFonts w:ascii="Times New Roman" w:hAnsi="Times New Roman"/>
          <w:kern w:val="0"/>
          <w:szCs w:val="21"/>
        </w:rPr>
        <w:t>验</w:t>
      </w:r>
    </w:p>
    <w:p>
      <w:pPr>
        <w:ind w:firstLine="420" w:firstLineChars="200"/>
        <w:jc w:val="center"/>
        <w:outlineLvl w:val="0"/>
        <w:rPr>
          <w:rFonts w:ascii="Times New Roman" w:hAnsi="Times New Roman"/>
          <w:kern w:val="0"/>
          <w:szCs w:val="21"/>
        </w:rPr>
      </w:pPr>
    </w:p>
    <w:tbl>
      <w:tblPr>
        <w:tblStyle w:val="32"/>
        <w:tblW w:w="8946" w:type="dxa"/>
        <w:jc w:val="center"/>
        <w:tblLayout w:type="fixed"/>
        <w:tblCellMar>
          <w:top w:w="0" w:type="dxa"/>
          <w:left w:w="108" w:type="dxa"/>
          <w:bottom w:w="0" w:type="dxa"/>
          <w:right w:w="108" w:type="dxa"/>
        </w:tblCellMar>
      </w:tblPr>
      <w:tblGrid>
        <w:gridCol w:w="1103"/>
        <w:gridCol w:w="1337"/>
        <w:gridCol w:w="1689"/>
        <w:gridCol w:w="1689"/>
        <w:gridCol w:w="1632"/>
        <w:gridCol w:w="1496"/>
      </w:tblGrid>
      <w:tr>
        <w:trPr>
          <w:trHeight w:val="270"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样品编号</w:t>
            </w:r>
          </w:p>
        </w:tc>
        <w:tc>
          <w:tcPr>
            <w:tcW w:w="133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试样质量g</w:t>
            </w:r>
          </w:p>
        </w:tc>
        <w:tc>
          <w:tcPr>
            <w:tcW w:w="168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试样中铋量mg</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铋标准加入量mg</w:t>
            </w:r>
          </w:p>
        </w:tc>
        <w:tc>
          <w:tcPr>
            <w:tcW w:w="16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测定铋含量mg</w:t>
            </w:r>
          </w:p>
        </w:tc>
        <w:tc>
          <w:tcPr>
            <w:tcW w:w="149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回收率 %</w:t>
            </w:r>
          </w:p>
        </w:tc>
      </w:tr>
      <w:tr>
        <w:tblPrEx>
          <w:tblCellMar>
            <w:top w:w="0" w:type="dxa"/>
            <w:left w:w="108" w:type="dxa"/>
            <w:bottom w:w="0" w:type="dxa"/>
            <w:right w:w="108" w:type="dxa"/>
          </w:tblCellMar>
        </w:tblPrEx>
        <w:trPr>
          <w:trHeight w:val="270" w:hRule="atLeast"/>
          <w:jc w:val="center"/>
        </w:trPr>
        <w:tc>
          <w:tcPr>
            <w:tcW w:w="1103" w:type="dxa"/>
            <w:tcBorders>
              <w:top w:val="nil"/>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bCs/>
                <w:sz w:val="18"/>
                <w:szCs w:val="18"/>
              </w:rPr>
              <w:t>2</w:t>
            </w:r>
            <w:r>
              <w:rPr>
                <w:rFonts w:ascii="Times New Roman" w:hAnsi="Times New Roman"/>
                <w:bCs/>
                <w:sz w:val="18"/>
                <w:szCs w:val="18"/>
                <w:vertAlign w:val="superscript"/>
              </w:rPr>
              <w:t>#</w:t>
            </w:r>
            <w:r>
              <w:rPr>
                <w:rFonts w:ascii="Times New Roman" w:hAnsi="Times New Roman"/>
                <w:kern w:val="0"/>
                <w:sz w:val="18"/>
                <w:szCs w:val="18"/>
              </w:rPr>
              <w:t xml:space="preserve">Bi </w:t>
            </w:r>
          </w:p>
        </w:tc>
        <w:tc>
          <w:tcPr>
            <w:tcW w:w="1337" w:type="dxa"/>
            <w:tcBorders>
              <w:top w:val="nil"/>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0.1500</w:t>
            </w:r>
          </w:p>
        </w:tc>
        <w:tc>
          <w:tcPr>
            <w:tcW w:w="1689" w:type="dxa"/>
            <w:tcBorders>
              <w:top w:val="single" w:color="auto" w:sz="4" w:space="0"/>
              <w:left w:val="nil"/>
              <w:bottom w:val="single" w:color="auto" w:sz="4" w:space="0"/>
              <w:right w:val="single" w:color="auto" w:sz="4" w:space="0"/>
            </w:tcBorders>
          </w:tcPr>
          <w:p>
            <w:pPr>
              <w:jc w:val="center"/>
              <w:rPr>
                <w:rFonts w:ascii="Times New Roman" w:hAnsi="Times New Roman"/>
                <w:sz w:val="18"/>
                <w:szCs w:val="18"/>
              </w:rPr>
            </w:pPr>
            <w:r>
              <w:rPr>
                <w:rFonts w:ascii="Times New Roman" w:hAnsi="Times New Roman"/>
                <w:sz w:val="18"/>
                <w:szCs w:val="18"/>
              </w:rPr>
              <w:t>11.68</w:t>
            </w:r>
          </w:p>
        </w:tc>
        <w:tc>
          <w:tcPr>
            <w:tcW w:w="168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20.00</w:t>
            </w:r>
          </w:p>
        </w:tc>
        <w:tc>
          <w:tcPr>
            <w:tcW w:w="163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31.72</w:t>
            </w:r>
          </w:p>
        </w:tc>
        <w:tc>
          <w:tcPr>
            <w:tcW w:w="14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100.20</w:t>
            </w:r>
          </w:p>
        </w:tc>
      </w:tr>
      <w:tr>
        <w:tblPrEx>
          <w:tblCellMar>
            <w:top w:w="0" w:type="dxa"/>
            <w:left w:w="108" w:type="dxa"/>
            <w:bottom w:w="0" w:type="dxa"/>
            <w:right w:w="108" w:type="dxa"/>
          </w:tblCellMar>
        </w:tblPrEx>
        <w:trPr>
          <w:trHeight w:val="270" w:hRule="atLeast"/>
          <w:jc w:val="center"/>
        </w:trPr>
        <w:tc>
          <w:tcPr>
            <w:tcW w:w="1103" w:type="dxa"/>
            <w:tcBorders>
              <w:top w:val="nil"/>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bCs/>
                <w:sz w:val="18"/>
                <w:szCs w:val="18"/>
              </w:rPr>
              <w:t>4</w:t>
            </w:r>
            <w:r>
              <w:rPr>
                <w:rFonts w:ascii="Times New Roman" w:hAnsi="Times New Roman"/>
                <w:bCs/>
                <w:sz w:val="18"/>
                <w:szCs w:val="18"/>
                <w:vertAlign w:val="superscript"/>
              </w:rPr>
              <w:t>#</w:t>
            </w:r>
            <w:r>
              <w:rPr>
                <w:rFonts w:ascii="Times New Roman" w:hAnsi="Times New Roman"/>
                <w:kern w:val="0"/>
                <w:sz w:val="18"/>
                <w:szCs w:val="18"/>
              </w:rPr>
              <w:t xml:space="preserve">Bi </w:t>
            </w:r>
          </w:p>
        </w:tc>
        <w:tc>
          <w:tcPr>
            <w:tcW w:w="1337" w:type="dxa"/>
            <w:tcBorders>
              <w:top w:val="nil"/>
              <w:left w:val="nil"/>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0.1000</w:t>
            </w:r>
          </w:p>
        </w:tc>
        <w:tc>
          <w:tcPr>
            <w:tcW w:w="1689" w:type="dxa"/>
            <w:tcBorders>
              <w:top w:val="single" w:color="auto" w:sz="4" w:space="0"/>
              <w:left w:val="nil"/>
              <w:bottom w:val="single" w:color="auto" w:sz="4" w:space="0"/>
              <w:right w:val="single" w:color="auto" w:sz="4" w:space="0"/>
            </w:tcBorders>
          </w:tcPr>
          <w:p>
            <w:pPr>
              <w:jc w:val="center"/>
              <w:rPr>
                <w:rFonts w:ascii="Times New Roman" w:hAnsi="Times New Roman"/>
                <w:sz w:val="18"/>
                <w:szCs w:val="18"/>
              </w:rPr>
            </w:pPr>
            <w:r>
              <w:rPr>
                <w:rFonts w:ascii="Times New Roman" w:hAnsi="Times New Roman"/>
                <w:sz w:val="18"/>
                <w:szCs w:val="18"/>
              </w:rPr>
              <w:t>13.30</w:t>
            </w:r>
          </w:p>
        </w:tc>
        <w:tc>
          <w:tcPr>
            <w:tcW w:w="168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20.00</w:t>
            </w:r>
          </w:p>
        </w:tc>
        <w:tc>
          <w:tcPr>
            <w:tcW w:w="1632"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33.29</w:t>
            </w:r>
          </w:p>
        </w:tc>
        <w:tc>
          <w:tcPr>
            <w:tcW w:w="1496"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99.95</w:t>
            </w:r>
          </w:p>
        </w:tc>
      </w:tr>
    </w:tbl>
    <w:p>
      <w:pPr>
        <w:outlineLvl w:val="0"/>
        <w:rPr>
          <w:rFonts w:ascii="Times New Roman" w:hAnsi="Times New Roman"/>
          <w:b/>
          <w:szCs w:val="21"/>
        </w:rPr>
      </w:pPr>
    </w:p>
    <w:p>
      <w:pPr>
        <w:outlineLvl w:val="0"/>
        <w:rPr>
          <w:rFonts w:ascii="Times New Roman" w:hAnsi="Times New Roman" w:eastAsia="黑体"/>
          <w:szCs w:val="21"/>
        </w:rPr>
      </w:pPr>
      <w:r>
        <w:rPr>
          <w:rFonts w:ascii="Times New Roman" w:hAnsi="Times New Roman" w:eastAsia="黑体"/>
          <w:szCs w:val="21"/>
        </w:rPr>
        <w:t>2.6  精密度</w:t>
      </w:r>
      <w:r>
        <w:rPr>
          <w:rFonts w:hint="eastAsia" w:ascii="Times New Roman" w:hAnsi="Times New Roman" w:eastAsia="黑体"/>
          <w:szCs w:val="21"/>
        </w:rPr>
        <w:t>试</w:t>
      </w:r>
      <w:r>
        <w:rPr>
          <w:rFonts w:ascii="Times New Roman" w:hAnsi="Times New Roman" w:eastAsia="黑体"/>
          <w:szCs w:val="21"/>
        </w:rPr>
        <w:t>验</w:t>
      </w:r>
    </w:p>
    <w:p>
      <w:pPr>
        <w:ind w:firstLine="420"/>
        <w:outlineLvl w:val="0"/>
        <w:rPr>
          <w:rFonts w:ascii="Times New Roman" w:hAnsi="Times New Roman"/>
          <w:szCs w:val="21"/>
        </w:rPr>
      </w:pPr>
      <w:r>
        <w:rPr>
          <w:rFonts w:ascii="Times New Roman" w:hAnsi="Times New Roman"/>
          <w:szCs w:val="21"/>
        </w:rPr>
        <w:t>将5个铜冶炼烟尘试样分别称取10份，按照</w:t>
      </w:r>
      <w:r>
        <w:rPr>
          <w:rFonts w:hint="eastAsia" w:ascii="Times New Roman" w:hAnsi="Times New Roman"/>
          <w:szCs w:val="21"/>
        </w:rPr>
        <w:t>试</w:t>
      </w:r>
      <w:r>
        <w:rPr>
          <w:rFonts w:ascii="Times New Roman" w:hAnsi="Times New Roman"/>
          <w:szCs w:val="21"/>
        </w:rPr>
        <w:t>验</w:t>
      </w:r>
      <w:r>
        <w:rPr>
          <w:rFonts w:hint="eastAsia" w:ascii="Times New Roman" w:hAnsi="Times New Roman"/>
          <w:szCs w:val="21"/>
        </w:rPr>
        <w:t>步骤</w:t>
      </w:r>
      <w:r>
        <w:rPr>
          <w:rFonts w:ascii="Times New Roman" w:hAnsi="Times New Roman"/>
          <w:szCs w:val="21"/>
        </w:rPr>
        <w:t>（1.</w:t>
      </w:r>
      <w:r>
        <w:rPr>
          <w:rFonts w:hint="eastAsia" w:ascii="Times New Roman" w:hAnsi="Times New Roman"/>
          <w:szCs w:val="21"/>
        </w:rPr>
        <w:t>4</w:t>
      </w:r>
      <w:r>
        <w:rPr>
          <w:rFonts w:ascii="Times New Roman" w:hAnsi="Times New Roman"/>
          <w:szCs w:val="21"/>
        </w:rPr>
        <w:t>）测定铋量，结果见表14。</w:t>
      </w:r>
    </w:p>
    <w:p>
      <w:pPr>
        <w:jc w:val="center"/>
        <w:outlineLvl w:val="0"/>
        <w:rPr>
          <w:rFonts w:ascii="Times New Roman" w:hAnsi="Times New Roman"/>
          <w:szCs w:val="21"/>
        </w:rPr>
      </w:pPr>
    </w:p>
    <w:p>
      <w:pPr>
        <w:jc w:val="center"/>
        <w:outlineLvl w:val="0"/>
        <w:rPr>
          <w:rFonts w:ascii="Times New Roman" w:hAnsi="Times New Roman"/>
          <w:szCs w:val="21"/>
        </w:rPr>
      </w:pPr>
      <w:r>
        <w:rPr>
          <w:rFonts w:ascii="Times New Roman" w:hAnsi="Times New Roman"/>
          <w:szCs w:val="21"/>
        </w:rPr>
        <w:t>表14 样品测定结果及精密度（n=11）</w:t>
      </w:r>
    </w:p>
    <w:tbl>
      <w:tblPr>
        <w:tblStyle w:val="3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000"/>
        <w:gridCol w:w="3969"/>
        <w:gridCol w:w="936"/>
        <w:gridCol w:w="1141"/>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4" w:hRule="atLeast"/>
          <w:jc w:val="center"/>
        </w:trPr>
        <w:tc>
          <w:tcPr>
            <w:tcW w:w="2000" w:type="dxa"/>
            <w:vAlign w:val="center"/>
          </w:tcPr>
          <w:p>
            <w:pPr>
              <w:jc w:val="center"/>
              <w:rPr>
                <w:rFonts w:ascii="Times New Roman" w:hAnsi="Times New Roman"/>
                <w:kern w:val="0"/>
                <w:sz w:val="18"/>
                <w:szCs w:val="18"/>
              </w:rPr>
            </w:pPr>
            <w:r>
              <w:rPr>
                <w:rFonts w:ascii="Times New Roman" w:hAnsi="Times New Roman"/>
                <w:kern w:val="0"/>
                <w:sz w:val="18"/>
                <w:szCs w:val="18"/>
              </w:rPr>
              <w:t>样品编号</w:t>
            </w:r>
          </w:p>
        </w:tc>
        <w:tc>
          <w:tcPr>
            <w:tcW w:w="3969" w:type="dxa"/>
            <w:tcBorders>
              <w:bottom w:val="single" w:color="auto" w:sz="4" w:space="0"/>
            </w:tcBorders>
            <w:vAlign w:val="center"/>
          </w:tcPr>
          <w:p>
            <w:pPr>
              <w:jc w:val="center"/>
              <w:rPr>
                <w:rFonts w:ascii="Times New Roman" w:hAnsi="Times New Roman"/>
                <w:i/>
                <w:iCs/>
                <w:kern w:val="0"/>
                <w:sz w:val="18"/>
                <w:szCs w:val="18"/>
              </w:rPr>
            </w:pPr>
            <w:r>
              <w:rPr>
                <w:rFonts w:ascii="Times New Roman" w:hAnsi="Times New Roman"/>
                <w:i/>
                <w:iCs/>
                <w:kern w:val="0"/>
                <w:sz w:val="18"/>
                <w:szCs w:val="18"/>
              </w:rPr>
              <w:t>w</w:t>
            </w:r>
            <w:r>
              <w:rPr>
                <w:rFonts w:ascii="Times New Roman" w:hAnsi="Times New Roman"/>
                <w:kern w:val="0"/>
                <w:sz w:val="18"/>
                <w:szCs w:val="18"/>
                <w:vertAlign w:val="subscript"/>
              </w:rPr>
              <w:t>Bi</w:t>
            </w:r>
            <w:r>
              <w:rPr>
                <w:rFonts w:ascii="Times New Roman" w:hAnsi="Times New Roman"/>
                <w:kern w:val="0"/>
                <w:sz w:val="18"/>
                <w:szCs w:val="18"/>
              </w:rPr>
              <w:t xml:space="preserve"> % </w:t>
            </w:r>
          </w:p>
        </w:tc>
        <w:tc>
          <w:tcPr>
            <w:tcW w:w="936" w:type="dxa"/>
            <w:vAlign w:val="center"/>
          </w:tcPr>
          <w:p>
            <w:pPr>
              <w:jc w:val="center"/>
              <w:rPr>
                <w:rFonts w:ascii="Times New Roman" w:hAnsi="Times New Roman"/>
                <w:kern w:val="0"/>
                <w:sz w:val="18"/>
                <w:szCs w:val="18"/>
              </w:rPr>
            </w:pPr>
            <w:r>
              <w:rPr>
                <w:rFonts w:ascii="Times New Roman" w:hAnsi="Times New Roman"/>
                <w:kern w:val="0"/>
                <w:sz w:val="18"/>
                <w:szCs w:val="18"/>
              </w:rPr>
              <w:t>平均值 %</w:t>
            </w:r>
          </w:p>
        </w:tc>
        <w:tc>
          <w:tcPr>
            <w:tcW w:w="1141" w:type="dxa"/>
            <w:vAlign w:val="center"/>
          </w:tcPr>
          <w:p>
            <w:pPr>
              <w:jc w:val="center"/>
              <w:rPr>
                <w:rFonts w:ascii="Times New Roman" w:hAnsi="Times New Roman"/>
                <w:kern w:val="0"/>
                <w:sz w:val="18"/>
                <w:szCs w:val="18"/>
              </w:rPr>
            </w:pPr>
            <w:r>
              <w:rPr>
                <w:rFonts w:ascii="Times New Roman" w:hAnsi="Times New Roman"/>
                <w:kern w:val="0"/>
                <w:sz w:val="18"/>
                <w:szCs w:val="18"/>
              </w:rPr>
              <w:t>标准</w:t>
            </w:r>
          </w:p>
          <w:p>
            <w:pPr>
              <w:jc w:val="center"/>
              <w:rPr>
                <w:rFonts w:ascii="Times New Roman" w:hAnsi="Times New Roman"/>
                <w:kern w:val="0"/>
                <w:sz w:val="18"/>
                <w:szCs w:val="18"/>
              </w:rPr>
            </w:pPr>
            <w:r>
              <w:rPr>
                <w:rFonts w:ascii="Times New Roman" w:hAnsi="Times New Roman"/>
                <w:kern w:val="0"/>
                <w:sz w:val="18"/>
                <w:szCs w:val="18"/>
              </w:rPr>
              <w:t>偏差</w:t>
            </w:r>
          </w:p>
        </w:tc>
        <w:tc>
          <w:tcPr>
            <w:tcW w:w="1168" w:type="dxa"/>
            <w:vAlign w:val="center"/>
          </w:tcPr>
          <w:p>
            <w:pPr>
              <w:jc w:val="center"/>
              <w:rPr>
                <w:rFonts w:ascii="Times New Roman" w:hAnsi="Times New Roman"/>
                <w:kern w:val="0"/>
                <w:sz w:val="18"/>
                <w:szCs w:val="18"/>
              </w:rPr>
            </w:pPr>
            <w:r>
              <w:rPr>
                <w:rFonts w:ascii="Times New Roman" w:hAnsi="Times New Roman"/>
                <w:kern w:val="0"/>
                <w:sz w:val="18"/>
                <w:szCs w:val="18"/>
              </w:rPr>
              <w:t>RSD</w:t>
            </w:r>
          </w:p>
          <w:p>
            <w:pPr>
              <w:jc w:val="center"/>
              <w:rPr>
                <w:rFonts w:ascii="Times New Roman" w:hAnsi="Times New Roman"/>
                <w:kern w:val="0"/>
                <w:sz w:val="18"/>
                <w:szCs w:val="18"/>
              </w:rPr>
            </w:pPr>
            <w:r>
              <w:rPr>
                <w:rFonts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000" w:type="dxa"/>
            <w:tcBorders>
              <w:right w:val="single" w:color="auto" w:sz="4" w:space="0"/>
            </w:tcBorders>
            <w:vAlign w:val="center"/>
          </w:tcPr>
          <w:p>
            <w:pPr>
              <w:jc w:val="center"/>
              <w:rPr>
                <w:rFonts w:ascii="Times New Roman" w:hAnsi="Times New Roman"/>
                <w:kern w:val="0"/>
                <w:sz w:val="18"/>
                <w:szCs w:val="18"/>
              </w:rPr>
            </w:pPr>
            <w:bookmarkStart w:id="30" w:name="OLE_LINK1"/>
            <w:r>
              <w:rPr>
                <w:rFonts w:ascii="Times New Roman" w:hAnsi="Times New Roman"/>
                <w:bCs/>
                <w:sz w:val="18"/>
                <w:szCs w:val="18"/>
              </w:rPr>
              <w:t>1</w:t>
            </w:r>
            <w:r>
              <w:rPr>
                <w:rFonts w:ascii="Times New Roman" w:hAnsi="Times New Roman"/>
                <w:bCs/>
                <w:sz w:val="18"/>
                <w:szCs w:val="18"/>
                <w:vertAlign w:val="superscript"/>
              </w:rPr>
              <w:t>#</w:t>
            </w:r>
            <w:r>
              <w:rPr>
                <w:rFonts w:ascii="Times New Roman" w:hAnsi="Times New Roman"/>
                <w:kern w:val="0"/>
                <w:sz w:val="18"/>
                <w:szCs w:val="18"/>
              </w:rPr>
              <w:t>Bi （6.0% ~7.0%）</w:t>
            </w:r>
          </w:p>
        </w:tc>
        <w:tc>
          <w:tcPr>
            <w:tcW w:w="3969" w:type="dxa"/>
            <w:tcBorders>
              <w:top w:val="single" w:color="auto" w:sz="4" w:space="0"/>
              <w:left w:val="single" w:color="auto" w:sz="4" w:space="0"/>
              <w:bottom w:val="single" w:color="auto" w:sz="4" w:space="0"/>
              <w:right w:val="nil"/>
            </w:tcBorders>
            <w:vAlign w:val="center"/>
          </w:tcPr>
          <w:p>
            <w:pPr>
              <w:rPr>
                <w:rFonts w:ascii="Times New Roman" w:hAnsi="Times New Roman"/>
                <w:kern w:val="0"/>
                <w:sz w:val="18"/>
                <w:szCs w:val="18"/>
              </w:rPr>
            </w:pPr>
            <w:r>
              <w:rPr>
                <w:rFonts w:ascii="Times New Roman" w:hAnsi="Times New Roman"/>
                <w:kern w:val="0"/>
                <w:sz w:val="18"/>
                <w:szCs w:val="18"/>
              </w:rPr>
              <w:t xml:space="preserve">5.95   6.04   5.97   5.98   5.98  </w:t>
            </w:r>
          </w:p>
          <w:p>
            <w:pPr>
              <w:rPr>
                <w:rFonts w:ascii="Times New Roman" w:hAnsi="Times New Roman"/>
                <w:kern w:val="0"/>
                <w:sz w:val="18"/>
                <w:szCs w:val="18"/>
              </w:rPr>
            </w:pPr>
            <w:r>
              <w:rPr>
                <w:rFonts w:ascii="Times New Roman" w:hAnsi="Times New Roman"/>
                <w:kern w:val="0"/>
                <w:sz w:val="18"/>
                <w:szCs w:val="18"/>
              </w:rPr>
              <w:t xml:space="preserve">6.01   5.99    6.03   5.97   6.02  </w:t>
            </w:r>
          </w:p>
          <w:p>
            <w:pPr>
              <w:rPr>
                <w:rFonts w:ascii="Times New Roman" w:hAnsi="Times New Roman"/>
                <w:kern w:val="0"/>
                <w:sz w:val="18"/>
                <w:szCs w:val="18"/>
              </w:rPr>
            </w:pPr>
            <w:r>
              <w:rPr>
                <w:rFonts w:ascii="Times New Roman" w:hAnsi="Times New Roman"/>
                <w:kern w:val="0"/>
                <w:sz w:val="18"/>
                <w:szCs w:val="18"/>
              </w:rPr>
              <w:t>5.99</w:t>
            </w:r>
          </w:p>
        </w:tc>
        <w:tc>
          <w:tcPr>
            <w:tcW w:w="936" w:type="dxa"/>
            <w:tcBorders>
              <w:lef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5.99</w:t>
            </w:r>
          </w:p>
        </w:tc>
        <w:tc>
          <w:tcPr>
            <w:tcW w:w="1141" w:type="dxa"/>
            <w:vAlign w:val="center"/>
          </w:tcPr>
          <w:p>
            <w:pPr>
              <w:jc w:val="center"/>
              <w:rPr>
                <w:rFonts w:ascii="Times New Roman" w:hAnsi="Times New Roman"/>
                <w:kern w:val="0"/>
                <w:sz w:val="18"/>
                <w:szCs w:val="18"/>
              </w:rPr>
            </w:pPr>
            <w:r>
              <w:rPr>
                <w:rFonts w:ascii="Times New Roman" w:hAnsi="Times New Roman"/>
                <w:kern w:val="0"/>
                <w:sz w:val="18"/>
                <w:szCs w:val="18"/>
              </w:rPr>
              <w:t>0.028</w:t>
            </w:r>
          </w:p>
        </w:tc>
        <w:tc>
          <w:tcPr>
            <w:tcW w:w="1168" w:type="dxa"/>
            <w:vAlign w:val="center"/>
          </w:tcPr>
          <w:p>
            <w:pPr>
              <w:jc w:val="center"/>
              <w:rPr>
                <w:rFonts w:ascii="Times New Roman" w:hAnsi="Times New Roman"/>
                <w:kern w:val="0"/>
                <w:sz w:val="18"/>
                <w:szCs w:val="18"/>
              </w:rPr>
            </w:pPr>
            <w:r>
              <w:rPr>
                <w:rFonts w:ascii="Times New Roman" w:hAnsi="Times New Roman"/>
                <w:kern w:val="0"/>
                <w:sz w:val="18"/>
                <w:szCs w:val="18"/>
              </w:rPr>
              <w:t>0.47</w:t>
            </w:r>
          </w:p>
        </w:tc>
      </w:tr>
      <w:bookmark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000" w:type="dxa"/>
            <w:tcBorders>
              <w:right w:val="single" w:color="auto" w:sz="4" w:space="0"/>
            </w:tcBorders>
            <w:vAlign w:val="center"/>
          </w:tcPr>
          <w:p>
            <w:pPr>
              <w:jc w:val="center"/>
              <w:rPr>
                <w:rFonts w:ascii="Times New Roman" w:hAnsi="Times New Roman"/>
                <w:kern w:val="0"/>
                <w:sz w:val="18"/>
                <w:szCs w:val="18"/>
              </w:rPr>
            </w:pPr>
            <w:r>
              <w:rPr>
                <w:rFonts w:ascii="Times New Roman" w:hAnsi="Times New Roman"/>
                <w:bCs/>
                <w:sz w:val="18"/>
                <w:szCs w:val="18"/>
              </w:rPr>
              <w:t>2</w:t>
            </w:r>
            <w:r>
              <w:rPr>
                <w:rFonts w:ascii="Times New Roman" w:hAnsi="Times New Roman"/>
                <w:bCs/>
                <w:sz w:val="18"/>
                <w:szCs w:val="18"/>
                <w:vertAlign w:val="superscript"/>
              </w:rPr>
              <w:t>#</w:t>
            </w:r>
            <w:r>
              <w:rPr>
                <w:rFonts w:ascii="Times New Roman" w:hAnsi="Times New Roman"/>
                <w:kern w:val="0"/>
                <w:sz w:val="18"/>
                <w:szCs w:val="18"/>
              </w:rPr>
              <w:t>Bi （7.0% ~8.0%）</w:t>
            </w:r>
          </w:p>
        </w:tc>
        <w:tc>
          <w:tcPr>
            <w:tcW w:w="3969" w:type="dxa"/>
            <w:tcBorders>
              <w:top w:val="single" w:color="auto" w:sz="4" w:space="0"/>
              <w:left w:val="single" w:color="auto" w:sz="4" w:space="0"/>
              <w:bottom w:val="single" w:color="auto" w:sz="4" w:space="0"/>
              <w:right w:val="nil"/>
            </w:tcBorders>
            <w:vAlign w:val="center"/>
          </w:tcPr>
          <w:p>
            <w:pPr>
              <w:rPr>
                <w:rFonts w:ascii="Times New Roman" w:hAnsi="Times New Roman"/>
                <w:kern w:val="0"/>
                <w:sz w:val="18"/>
                <w:szCs w:val="18"/>
              </w:rPr>
            </w:pPr>
            <w:r>
              <w:rPr>
                <w:rFonts w:ascii="Times New Roman" w:hAnsi="Times New Roman"/>
                <w:kern w:val="0"/>
                <w:sz w:val="18"/>
                <w:szCs w:val="18"/>
              </w:rPr>
              <w:t xml:space="preserve">7.89   7.82   7.82   7.76    7.77 </w:t>
            </w:r>
          </w:p>
          <w:p>
            <w:pPr>
              <w:rPr>
                <w:rFonts w:ascii="Times New Roman" w:hAnsi="Times New Roman"/>
                <w:kern w:val="0"/>
                <w:sz w:val="18"/>
                <w:szCs w:val="18"/>
              </w:rPr>
            </w:pPr>
            <w:r>
              <w:rPr>
                <w:rFonts w:ascii="Times New Roman" w:hAnsi="Times New Roman"/>
                <w:kern w:val="0"/>
                <w:sz w:val="18"/>
                <w:szCs w:val="18"/>
              </w:rPr>
              <w:t xml:space="preserve">7.71   7.84   7.80   7.72    7.81  </w:t>
            </w:r>
          </w:p>
          <w:p>
            <w:pPr>
              <w:rPr>
                <w:rFonts w:ascii="Times New Roman" w:hAnsi="Times New Roman"/>
                <w:kern w:val="0"/>
                <w:sz w:val="18"/>
                <w:szCs w:val="18"/>
              </w:rPr>
            </w:pPr>
            <w:r>
              <w:rPr>
                <w:rFonts w:ascii="Times New Roman" w:hAnsi="Times New Roman"/>
                <w:kern w:val="0"/>
                <w:sz w:val="18"/>
                <w:szCs w:val="18"/>
              </w:rPr>
              <w:t>7.79</w:t>
            </w:r>
          </w:p>
        </w:tc>
        <w:tc>
          <w:tcPr>
            <w:tcW w:w="936" w:type="dxa"/>
            <w:tcBorders>
              <w:lef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7.79</w:t>
            </w:r>
          </w:p>
        </w:tc>
        <w:tc>
          <w:tcPr>
            <w:tcW w:w="1141" w:type="dxa"/>
            <w:vAlign w:val="center"/>
          </w:tcPr>
          <w:p>
            <w:pPr>
              <w:jc w:val="center"/>
              <w:rPr>
                <w:rFonts w:ascii="Times New Roman" w:hAnsi="Times New Roman"/>
                <w:kern w:val="0"/>
                <w:sz w:val="18"/>
                <w:szCs w:val="18"/>
              </w:rPr>
            </w:pPr>
            <w:r>
              <w:rPr>
                <w:rFonts w:ascii="Times New Roman" w:hAnsi="Times New Roman"/>
                <w:kern w:val="0"/>
                <w:sz w:val="18"/>
                <w:szCs w:val="18"/>
              </w:rPr>
              <w:t>0.052</w:t>
            </w:r>
          </w:p>
        </w:tc>
        <w:tc>
          <w:tcPr>
            <w:tcW w:w="1168" w:type="dxa"/>
            <w:vAlign w:val="center"/>
          </w:tcPr>
          <w:p>
            <w:pPr>
              <w:jc w:val="center"/>
              <w:rPr>
                <w:rFonts w:ascii="Times New Roman" w:hAnsi="Times New Roman"/>
                <w:kern w:val="0"/>
                <w:sz w:val="18"/>
                <w:szCs w:val="18"/>
              </w:rPr>
            </w:pPr>
            <w:r>
              <w:rPr>
                <w:rFonts w:ascii="Times New Roman" w:hAnsi="Times New Roman"/>
                <w:kern w:val="0"/>
                <w:sz w:val="18"/>
                <w:szCs w:val="18"/>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3" w:hRule="atLeast"/>
          <w:jc w:val="center"/>
        </w:trPr>
        <w:tc>
          <w:tcPr>
            <w:tcW w:w="2000" w:type="dxa"/>
            <w:tcBorders>
              <w:right w:val="single" w:color="auto" w:sz="4" w:space="0"/>
            </w:tcBorders>
            <w:vAlign w:val="center"/>
          </w:tcPr>
          <w:p>
            <w:pPr>
              <w:jc w:val="center"/>
              <w:rPr>
                <w:rFonts w:ascii="Times New Roman" w:hAnsi="Times New Roman"/>
                <w:kern w:val="0"/>
                <w:sz w:val="18"/>
                <w:szCs w:val="18"/>
              </w:rPr>
            </w:pPr>
            <w:r>
              <w:rPr>
                <w:rFonts w:ascii="Times New Roman" w:hAnsi="Times New Roman"/>
                <w:bCs/>
                <w:sz w:val="18"/>
                <w:szCs w:val="18"/>
              </w:rPr>
              <w:t>3</w:t>
            </w:r>
            <w:r>
              <w:rPr>
                <w:rFonts w:ascii="Times New Roman" w:hAnsi="Times New Roman"/>
                <w:bCs/>
                <w:sz w:val="18"/>
                <w:szCs w:val="18"/>
                <w:vertAlign w:val="superscript"/>
              </w:rPr>
              <w:t>#</w:t>
            </w:r>
            <w:r>
              <w:rPr>
                <w:rFonts w:ascii="Times New Roman" w:hAnsi="Times New Roman"/>
                <w:kern w:val="0"/>
                <w:sz w:val="18"/>
                <w:szCs w:val="18"/>
              </w:rPr>
              <w:t>Bi （9.0% ~10.0%）</w:t>
            </w:r>
          </w:p>
        </w:tc>
        <w:tc>
          <w:tcPr>
            <w:tcW w:w="3969" w:type="dxa"/>
            <w:tcBorders>
              <w:top w:val="single" w:color="auto" w:sz="4" w:space="0"/>
              <w:left w:val="single" w:color="auto" w:sz="4" w:space="0"/>
              <w:bottom w:val="single" w:color="auto" w:sz="4" w:space="0"/>
              <w:right w:val="nil"/>
            </w:tcBorders>
            <w:vAlign w:val="center"/>
          </w:tcPr>
          <w:p>
            <w:pPr>
              <w:rPr>
                <w:rFonts w:ascii="Times New Roman" w:hAnsi="Times New Roman"/>
                <w:kern w:val="0"/>
                <w:sz w:val="18"/>
                <w:szCs w:val="18"/>
              </w:rPr>
            </w:pPr>
            <w:r>
              <w:rPr>
                <w:rFonts w:ascii="Times New Roman" w:hAnsi="Times New Roman"/>
                <w:kern w:val="0"/>
                <w:sz w:val="18"/>
                <w:szCs w:val="18"/>
              </w:rPr>
              <w:t>10.33  10.37   10.38  10.27  10.28</w:t>
            </w:r>
          </w:p>
          <w:p>
            <w:pPr>
              <w:rPr>
                <w:rFonts w:ascii="Times New Roman" w:hAnsi="Times New Roman"/>
                <w:kern w:val="0"/>
                <w:sz w:val="18"/>
                <w:szCs w:val="18"/>
              </w:rPr>
            </w:pPr>
            <w:r>
              <w:rPr>
                <w:rFonts w:ascii="Times New Roman" w:hAnsi="Times New Roman"/>
                <w:kern w:val="0"/>
                <w:sz w:val="18"/>
                <w:szCs w:val="18"/>
              </w:rPr>
              <w:t>10.27  10.39   10.24  10.29  10.30</w:t>
            </w:r>
          </w:p>
          <w:p>
            <w:pPr>
              <w:rPr>
                <w:rFonts w:ascii="Times New Roman" w:hAnsi="Times New Roman"/>
                <w:kern w:val="0"/>
                <w:sz w:val="18"/>
                <w:szCs w:val="18"/>
              </w:rPr>
            </w:pPr>
            <w:r>
              <w:rPr>
                <w:rFonts w:ascii="Times New Roman" w:hAnsi="Times New Roman"/>
                <w:kern w:val="0"/>
                <w:sz w:val="18"/>
                <w:szCs w:val="18"/>
              </w:rPr>
              <w:t>10.31</w:t>
            </w:r>
          </w:p>
        </w:tc>
        <w:tc>
          <w:tcPr>
            <w:tcW w:w="936" w:type="dxa"/>
            <w:tcBorders>
              <w:lef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10.31</w:t>
            </w:r>
          </w:p>
        </w:tc>
        <w:tc>
          <w:tcPr>
            <w:tcW w:w="1141" w:type="dxa"/>
            <w:vAlign w:val="center"/>
          </w:tcPr>
          <w:p>
            <w:pPr>
              <w:jc w:val="center"/>
              <w:rPr>
                <w:rFonts w:ascii="Times New Roman" w:hAnsi="Times New Roman"/>
                <w:kern w:val="0"/>
                <w:sz w:val="18"/>
                <w:szCs w:val="18"/>
              </w:rPr>
            </w:pPr>
            <w:r>
              <w:rPr>
                <w:rFonts w:ascii="Times New Roman" w:hAnsi="Times New Roman"/>
                <w:kern w:val="0"/>
                <w:sz w:val="18"/>
                <w:szCs w:val="18"/>
              </w:rPr>
              <w:t>0.050</w:t>
            </w:r>
          </w:p>
        </w:tc>
        <w:tc>
          <w:tcPr>
            <w:tcW w:w="1168" w:type="dxa"/>
            <w:vAlign w:val="center"/>
          </w:tcPr>
          <w:p>
            <w:pPr>
              <w:jc w:val="center"/>
              <w:rPr>
                <w:rFonts w:ascii="Times New Roman" w:hAnsi="Times New Roman"/>
                <w:kern w:val="0"/>
                <w:sz w:val="18"/>
                <w:szCs w:val="18"/>
              </w:rPr>
            </w:pPr>
            <w:r>
              <w:rPr>
                <w:rFonts w:ascii="Times New Roman" w:hAnsi="Times New Roman"/>
                <w:kern w:val="0"/>
                <w:sz w:val="18"/>
                <w:szCs w:val="18"/>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2000" w:type="dxa"/>
            <w:tcBorders>
              <w:right w:val="single" w:color="auto" w:sz="4" w:space="0"/>
            </w:tcBorders>
            <w:vAlign w:val="center"/>
          </w:tcPr>
          <w:p>
            <w:pPr>
              <w:jc w:val="center"/>
              <w:rPr>
                <w:rFonts w:ascii="Times New Roman" w:hAnsi="Times New Roman"/>
                <w:kern w:val="0"/>
                <w:sz w:val="18"/>
                <w:szCs w:val="18"/>
              </w:rPr>
            </w:pPr>
            <w:r>
              <w:rPr>
                <w:rFonts w:ascii="Times New Roman" w:hAnsi="Times New Roman"/>
                <w:bCs/>
                <w:sz w:val="18"/>
                <w:szCs w:val="18"/>
              </w:rPr>
              <w:t xml:space="preserve"> 4</w:t>
            </w:r>
            <w:r>
              <w:rPr>
                <w:rFonts w:ascii="Times New Roman" w:hAnsi="Times New Roman"/>
                <w:bCs/>
                <w:sz w:val="18"/>
                <w:szCs w:val="18"/>
                <w:vertAlign w:val="superscript"/>
              </w:rPr>
              <w:t>#</w:t>
            </w:r>
            <w:r>
              <w:rPr>
                <w:rFonts w:ascii="Times New Roman" w:hAnsi="Times New Roman"/>
                <w:kern w:val="0"/>
                <w:sz w:val="18"/>
                <w:szCs w:val="18"/>
              </w:rPr>
              <w:t>Bi （12.0% ~13.0%）</w:t>
            </w:r>
          </w:p>
        </w:tc>
        <w:tc>
          <w:tcPr>
            <w:tcW w:w="3969" w:type="dxa"/>
            <w:tcBorders>
              <w:top w:val="single" w:color="auto" w:sz="4" w:space="0"/>
              <w:left w:val="single" w:color="auto" w:sz="4" w:space="0"/>
              <w:bottom w:val="single" w:color="auto" w:sz="4" w:space="0"/>
              <w:right w:val="nil"/>
            </w:tcBorders>
            <w:vAlign w:val="center"/>
          </w:tcPr>
          <w:p>
            <w:pPr>
              <w:rPr>
                <w:rFonts w:ascii="Times New Roman" w:hAnsi="Times New Roman"/>
                <w:kern w:val="0"/>
                <w:sz w:val="18"/>
                <w:szCs w:val="18"/>
              </w:rPr>
            </w:pPr>
            <w:r>
              <w:rPr>
                <w:rFonts w:ascii="Times New Roman" w:hAnsi="Times New Roman"/>
                <w:kern w:val="0"/>
                <w:sz w:val="18"/>
                <w:szCs w:val="18"/>
              </w:rPr>
              <w:t>13.29  13.40   13.33   13.34   13.24</w:t>
            </w:r>
          </w:p>
          <w:p>
            <w:pPr>
              <w:rPr>
                <w:rFonts w:ascii="Times New Roman" w:hAnsi="Times New Roman"/>
                <w:kern w:val="0"/>
                <w:sz w:val="18"/>
                <w:szCs w:val="18"/>
              </w:rPr>
            </w:pPr>
            <w:r>
              <w:rPr>
                <w:rFonts w:ascii="Times New Roman" w:hAnsi="Times New Roman"/>
                <w:kern w:val="0"/>
                <w:sz w:val="18"/>
                <w:szCs w:val="18"/>
              </w:rPr>
              <w:t>13.19   13.31   13.40   13.20  13.30</w:t>
            </w:r>
          </w:p>
          <w:p>
            <w:pPr>
              <w:rPr>
                <w:rFonts w:ascii="Times New Roman" w:hAnsi="Times New Roman"/>
                <w:kern w:val="0"/>
                <w:sz w:val="18"/>
                <w:szCs w:val="18"/>
              </w:rPr>
            </w:pPr>
            <w:r>
              <w:rPr>
                <w:rFonts w:ascii="Times New Roman" w:hAnsi="Times New Roman"/>
                <w:kern w:val="0"/>
                <w:sz w:val="18"/>
                <w:szCs w:val="18"/>
              </w:rPr>
              <w:t>13.32</w:t>
            </w:r>
          </w:p>
        </w:tc>
        <w:tc>
          <w:tcPr>
            <w:tcW w:w="936" w:type="dxa"/>
            <w:tcBorders>
              <w:lef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13.30</w:t>
            </w:r>
          </w:p>
        </w:tc>
        <w:tc>
          <w:tcPr>
            <w:tcW w:w="1141" w:type="dxa"/>
            <w:vAlign w:val="center"/>
          </w:tcPr>
          <w:p>
            <w:pPr>
              <w:jc w:val="center"/>
              <w:rPr>
                <w:rFonts w:ascii="Times New Roman" w:hAnsi="Times New Roman"/>
                <w:kern w:val="0"/>
                <w:sz w:val="18"/>
                <w:szCs w:val="18"/>
              </w:rPr>
            </w:pPr>
            <w:r>
              <w:rPr>
                <w:rFonts w:ascii="Times New Roman" w:hAnsi="Times New Roman"/>
                <w:kern w:val="0"/>
                <w:sz w:val="18"/>
                <w:szCs w:val="18"/>
              </w:rPr>
              <w:t>0.070</w:t>
            </w:r>
          </w:p>
        </w:tc>
        <w:tc>
          <w:tcPr>
            <w:tcW w:w="1168" w:type="dxa"/>
            <w:vAlign w:val="center"/>
          </w:tcPr>
          <w:p>
            <w:pPr>
              <w:jc w:val="center"/>
              <w:rPr>
                <w:rFonts w:ascii="Times New Roman" w:hAnsi="Times New Roman"/>
                <w:kern w:val="0"/>
                <w:sz w:val="18"/>
                <w:szCs w:val="18"/>
              </w:rPr>
            </w:pPr>
            <w:r>
              <w:rPr>
                <w:rFonts w:ascii="Times New Roman" w:hAnsi="Times New Roman"/>
                <w:kern w:val="0"/>
                <w:sz w:val="18"/>
                <w:szCs w:val="18"/>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5" w:hRule="atLeast"/>
          <w:jc w:val="center"/>
        </w:trPr>
        <w:tc>
          <w:tcPr>
            <w:tcW w:w="2000" w:type="dxa"/>
            <w:tcBorders>
              <w:right w:val="single" w:color="auto" w:sz="4" w:space="0"/>
            </w:tcBorders>
            <w:vAlign w:val="center"/>
          </w:tcPr>
          <w:p>
            <w:pPr>
              <w:jc w:val="center"/>
              <w:rPr>
                <w:rFonts w:ascii="Times New Roman" w:hAnsi="Times New Roman"/>
                <w:kern w:val="0"/>
                <w:sz w:val="18"/>
                <w:szCs w:val="18"/>
              </w:rPr>
            </w:pPr>
            <w:r>
              <w:rPr>
                <w:rFonts w:ascii="Times New Roman" w:hAnsi="Times New Roman"/>
                <w:bCs/>
                <w:sz w:val="18"/>
                <w:szCs w:val="18"/>
              </w:rPr>
              <w:t xml:space="preserve"> 5</w:t>
            </w:r>
            <w:r>
              <w:rPr>
                <w:rFonts w:ascii="Times New Roman" w:hAnsi="Times New Roman"/>
                <w:bCs/>
                <w:sz w:val="18"/>
                <w:szCs w:val="18"/>
                <w:vertAlign w:val="superscript"/>
              </w:rPr>
              <w:t>#</w:t>
            </w:r>
            <w:r>
              <w:rPr>
                <w:rFonts w:ascii="Times New Roman" w:hAnsi="Times New Roman"/>
                <w:kern w:val="0"/>
                <w:sz w:val="18"/>
                <w:szCs w:val="18"/>
              </w:rPr>
              <w:t>Bi （15.0% ~16.0%）</w:t>
            </w:r>
          </w:p>
        </w:tc>
        <w:tc>
          <w:tcPr>
            <w:tcW w:w="3969" w:type="dxa"/>
            <w:tcBorders>
              <w:top w:val="single" w:color="auto" w:sz="4" w:space="0"/>
              <w:left w:val="single" w:color="auto" w:sz="4" w:space="0"/>
              <w:bottom w:val="single" w:color="auto" w:sz="4" w:space="0"/>
              <w:right w:val="nil"/>
            </w:tcBorders>
            <w:vAlign w:val="center"/>
          </w:tcPr>
          <w:p>
            <w:pPr>
              <w:rPr>
                <w:rFonts w:ascii="Times New Roman" w:hAnsi="Times New Roman"/>
                <w:kern w:val="0"/>
                <w:sz w:val="18"/>
                <w:szCs w:val="18"/>
              </w:rPr>
            </w:pPr>
            <w:r>
              <w:rPr>
                <w:rFonts w:ascii="Times New Roman" w:hAnsi="Times New Roman"/>
                <w:kern w:val="0"/>
                <w:sz w:val="18"/>
                <w:szCs w:val="18"/>
              </w:rPr>
              <w:t>15.71   15.56  15.71   15.58   15.59</w:t>
            </w:r>
          </w:p>
          <w:p>
            <w:pPr>
              <w:rPr>
                <w:rFonts w:ascii="Times New Roman" w:hAnsi="Times New Roman"/>
                <w:kern w:val="0"/>
                <w:sz w:val="18"/>
                <w:szCs w:val="18"/>
              </w:rPr>
            </w:pPr>
            <w:r>
              <w:rPr>
                <w:rFonts w:ascii="Times New Roman" w:hAnsi="Times New Roman"/>
                <w:kern w:val="0"/>
                <w:sz w:val="18"/>
                <w:szCs w:val="18"/>
              </w:rPr>
              <w:t>15.66   15.74  15.60   15.64   15.65</w:t>
            </w:r>
          </w:p>
          <w:p>
            <w:pPr>
              <w:rPr>
                <w:rFonts w:ascii="Times New Roman" w:hAnsi="Times New Roman"/>
                <w:kern w:val="0"/>
                <w:sz w:val="18"/>
                <w:szCs w:val="18"/>
              </w:rPr>
            </w:pPr>
            <w:r>
              <w:rPr>
                <w:rFonts w:ascii="Times New Roman" w:hAnsi="Times New Roman"/>
                <w:kern w:val="0"/>
                <w:sz w:val="18"/>
                <w:szCs w:val="18"/>
              </w:rPr>
              <w:t>15.72</w:t>
            </w:r>
          </w:p>
        </w:tc>
        <w:tc>
          <w:tcPr>
            <w:tcW w:w="936" w:type="dxa"/>
            <w:tcBorders>
              <w:lef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15.65</w:t>
            </w:r>
          </w:p>
        </w:tc>
        <w:tc>
          <w:tcPr>
            <w:tcW w:w="1141" w:type="dxa"/>
            <w:vAlign w:val="center"/>
          </w:tcPr>
          <w:p>
            <w:pPr>
              <w:jc w:val="center"/>
              <w:rPr>
                <w:rFonts w:ascii="Times New Roman" w:hAnsi="Times New Roman"/>
                <w:kern w:val="0"/>
                <w:sz w:val="18"/>
                <w:szCs w:val="18"/>
              </w:rPr>
            </w:pPr>
            <w:r>
              <w:rPr>
                <w:rFonts w:ascii="Times New Roman" w:hAnsi="Times New Roman"/>
                <w:kern w:val="0"/>
                <w:sz w:val="18"/>
                <w:szCs w:val="18"/>
              </w:rPr>
              <w:t>0.063</w:t>
            </w:r>
          </w:p>
        </w:tc>
        <w:tc>
          <w:tcPr>
            <w:tcW w:w="1168" w:type="dxa"/>
            <w:vAlign w:val="center"/>
          </w:tcPr>
          <w:p>
            <w:pPr>
              <w:jc w:val="center"/>
              <w:rPr>
                <w:rFonts w:ascii="Times New Roman" w:hAnsi="Times New Roman"/>
                <w:kern w:val="0"/>
                <w:sz w:val="18"/>
                <w:szCs w:val="18"/>
              </w:rPr>
            </w:pPr>
            <w:r>
              <w:rPr>
                <w:rFonts w:ascii="Times New Roman" w:hAnsi="Times New Roman"/>
                <w:kern w:val="0"/>
                <w:sz w:val="18"/>
                <w:szCs w:val="18"/>
              </w:rPr>
              <w:t>0.40</w:t>
            </w:r>
          </w:p>
        </w:tc>
      </w:tr>
    </w:tbl>
    <w:p>
      <w:pPr>
        <w:ind w:firstLine="210" w:firstLineChars="100"/>
        <w:outlineLvl w:val="0"/>
        <w:rPr>
          <w:rFonts w:ascii="Times New Roman" w:hAnsi="Times New Roman"/>
          <w:szCs w:val="21"/>
        </w:rPr>
      </w:pPr>
    </w:p>
    <w:p>
      <w:pPr>
        <w:ind w:firstLine="210" w:firstLineChars="100"/>
        <w:outlineLvl w:val="0"/>
        <w:rPr>
          <w:rFonts w:ascii="Times New Roman" w:hAnsi="Times New Roman"/>
          <w:szCs w:val="21"/>
        </w:rPr>
      </w:pPr>
      <w:r>
        <w:rPr>
          <w:rFonts w:ascii="Times New Roman" w:hAnsi="Times New Roman"/>
          <w:szCs w:val="21"/>
        </w:rPr>
        <w:t>根据表14 样品测定结果及精密度数据，方法精密度及结果均为良好。</w:t>
      </w:r>
    </w:p>
    <w:p>
      <w:pPr>
        <w:outlineLvl w:val="0"/>
        <w:rPr>
          <w:rFonts w:ascii="Times New Roman" w:hAnsi="Times New Roman" w:eastAsia="黑体"/>
          <w:szCs w:val="21"/>
        </w:rPr>
      </w:pPr>
      <w:r>
        <w:rPr>
          <w:rFonts w:ascii="Times New Roman" w:hAnsi="Times New Roman" w:eastAsia="黑体"/>
          <w:szCs w:val="21"/>
        </w:rPr>
        <w:t>2.7  准确度</w:t>
      </w:r>
      <w:r>
        <w:rPr>
          <w:rFonts w:hint="eastAsia" w:ascii="Times New Roman" w:hAnsi="Times New Roman" w:eastAsia="黑体"/>
          <w:szCs w:val="21"/>
        </w:rPr>
        <w:t>试</w:t>
      </w:r>
      <w:r>
        <w:rPr>
          <w:rFonts w:ascii="Times New Roman" w:hAnsi="Times New Roman" w:eastAsia="黑体"/>
          <w:szCs w:val="21"/>
        </w:rPr>
        <w:t>验</w:t>
      </w:r>
    </w:p>
    <w:p>
      <w:pPr>
        <w:ind w:firstLine="420" w:firstLineChars="200"/>
        <w:outlineLvl w:val="0"/>
        <w:rPr>
          <w:rFonts w:ascii="Times New Roman" w:hAnsi="Times New Roman"/>
          <w:szCs w:val="21"/>
        </w:rPr>
      </w:pPr>
      <w:r>
        <w:rPr>
          <w:rFonts w:ascii="Times New Roman" w:hAnsi="Times New Roman"/>
          <w:szCs w:val="21"/>
        </w:rPr>
        <w:t>按照</w:t>
      </w:r>
      <w:r>
        <w:rPr>
          <w:rFonts w:hint="eastAsia" w:ascii="Times New Roman" w:hAnsi="Times New Roman"/>
          <w:szCs w:val="21"/>
        </w:rPr>
        <w:t>试</w:t>
      </w:r>
      <w:r>
        <w:rPr>
          <w:rFonts w:ascii="Times New Roman" w:hAnsi="Times New Roman"/>
          <w:szCs w:val="21"/>
        </w:rPr>
        <w:t>验</w:t>
      </w:r>
      <w:r>
        <w:rPr>
          <w:rFonts w:hint="eastAsia" w:ascii="Times New Roman" w:hAnsi="Times New Roman"/>
          <w:color w:val="000000" w:themeColor="text1"/>
          <w:szCs w:val="21"/>
        </w:rPr>
        <w:t>步骤</w:t>
      </w:r>
      <w:r>
        <w:rPr>
          <w:rFonts w:ascii="Times New Roman" w:hAnsi="Times New Roman"/>
          <w:szCs w:val="21"/>
        </w:rPr>
        <w:t>（1.4.4.1）的溶样方法对1</w:t>
      </w:r>
      <w:r>
        <w:rPr>
          <w:rFonts w:ascii="Times New Roman" w:hAnsi="Times New Roman"/>
          <w:bCs/>
          <w:szCs w:val="21"/>
          <w:vertAlign w:val="superscript"/>
        </w:rPr>
        <w:t>#</w:t>
      </w:r>
      <w:r>
        <w:rPr>
          <w:rFonts w:ascii="Times New Roman" w:hAnsi="Times New Roman"/>
          <w:szCs w:val="21"/>
        </w:rPr>
        <w:t>Bi 、2</w:t>
      </w:r>
      <w:r>
        <w:rPr>
          <w:rFonts w:ascii="Times New Roman" w:hAnsi="Times New Roman"/>
          <w:bCs/>
          <w:szCs w:val="21"/>
          <w:vertAlign w:val="superscript"/>
        </w:rPr>
        <w:t>#</w:t>
      </w:r>
      <w:r>
        <w:rPr>
          <w:rFonts w:ascii="Times New Roman" w:hAnsi="Times New Roman"/>
          <w:szCs w:val="21"/>
        </w:rPr>
        <w:t>Bi、</w:t>
      </w:r>
      <w:r>
        <w:rPr>
          <w:rFonts w:ascii="Times New Roman" w:hAnsi="Times New Roman"/>
          <w:bCs/>
          <w:szCs w:val="21"/>
        </w:rPr>
        <w:t>4</w:t>
      </w:r>
      <w:r>
        <w:rPr>
          <w:rFonts w:ascii="Times New Roman" w:hAnsi="Times New Roman"/>
          <w:bCs/>
          <w:szCs w:val="21"/>
          <w:vertAlign w:val="superscript"/>
        </w:rPr>
        <w:t>#</w:t>
      </w:r>
      <w:r>
        <w:rPr>
          <w:rFonts w:ascii="Times New Roman" w:hAnsi="Times New Roman"/>
          <w:kern w:val="0"/>
          <w:szCs w:val="21"/>
        </w:rPr>
        <w:t>Bi、</w:t>
      </w:r>
      <w:r>
        <w:rPr>
          <w:rFonts w:ascii="Times New Roman" w:hAnsi="Times New Roman"/>
          <w:bCs/>
          <w:szCs w:val="21"/>
        </w:rPr>
        <w:t>5</w:t>
      </w:r>
      <w:r>
        <w:rPr>
          <w:rFonts w:ascii="Times New Roman" w:hAnsi="Times New Roman"/>
          <w:bCs/>
          <w:szCs w:val="21"/>
          <w:vertAlign w:val="superscript"/>
        </w:rPr>
        <w:t>#</w:t>
      </w:r>
      <w:r>
        <w:rPr>
          <w:rFonts w:ascii="Times New Roman" w:hAnsi="Times New Roman"/>
          <w:kern w:val="0"/>
          <w:szCs w:val="21"/>
        </w:rPr>
        <w:t>Bi</w:t>
      </w:r>
      <w:r>
        <w:rPr>
          <w:rFonts w:ascii="Times New Roman" w:hAnsi="Times New Roman"/>
          <w:szCs w:val="21"/>
        </w:rPr>
        <w:t>试样进行处理，分别用</w:t>
      </w:r>
      <w:r>
        <w:rPr>
          <w:rFonts w:ascii="Times New Roman" w:hAnsi="Times New Roman"/>
          <w:kern w:val="0"/>
          <w:szCs w:val="21"/>
        </w:rPr>
        <w:t>Na</w:t>
      </w:r>
      <w:r>
        <w:rPr>
          <w:rFonts w:ascii="Times New Roman" w:hAnsi="Times New Roman"/>
          <w:kern w:val="0"/>
          <w:szCs w:val="21"/>
          <w:vertAlign w:val="subscript"/>
        </w:rPr>
        <w:t>2</w:t>
      </w:r>
      <w:r>
        <w:rPr>
          <w:rFonts w:ascii="Times New Roman" w:hAnsi="Times New Roman"/>
          <w:kern w:val="0"/>
          <w:szCs w:val="21"/>
        </w:rPr>
        <w:t>EDTA</w:t>
      </w:r>
      <w:r>
        <w:rPr>
          <w:rFonts w:ascii="Times New Roman" w:hAnsi="Times New Roman"/>
          <w:szCs w:val="21"/>
        </w:rPr>
        <w:t>滴定法与ICP-AES法测定铋量，测定值见表15。</w:t>
      </w:r>
    </w:p>
    <w:p>
      <w:pPr>
        <w:ind w:firstLine="420" w:firstLineChars="200"/>
        <w:outlineLvl w:val="0"/>
        <w:rPr>
          <w:rFonts w:ascii="Times New Roman" w:hAnsi="Times New Roman"/>
          <w:szCs w:val="21"/>
        </w:rPr>
      </w:pPr>
    </w:p>
    <w:p>
      <w:pPr>
        <w:jc w:val="center"/>
        <w:outlineLvl w:val="0"/>
        <w:rPr>
          <w:rFonts w:ascii="Times New Roman" w:hAnsi="Times New Roman"/>
          <w:szCs w:val="21"/>
        </w:rPr>
      </w:pPr>
      <w:r>
        <w:rPr>
          <w:rFonts w:ascii="Times New Roman" w:hAnsi="Times New Roman"/>
          <w:szCs w:val="21"/>
        </w:rPr>
        <w:t>表15样品准确度</w:t>
      </w:r>
      <w:r>
        <w:rPr>
          <w:rFonts w:hint="eastAsia" w:ascii="Times New Roman" w:hAnsi="Times New Roman"/>
          <w:szCs w:val="21"/>
        </w:rPr>
        <w:t>试</w:t>
      </w:r>
      <w:r>
        <w:rPr>
          <w:rFonts w:ascii="Times New Roman" w:hAnsi="Times New Roman"/>
          <w:szCs w:val="21"/>
        </w:rPr>
        <w:t>验</w:t>
      </w:r>
    </w:p>
    <w:tbl>
      <w:tblPr>
        <w:tblStyle w:val="3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3149"/>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52" w:type="dxa"/>
            <w:tcBorders>
              <w:left w:val="nil"/>
              <w:bottom w:val="single" w:color="auto" w:sz="4" w:space="0"/>
            </w:tcBorders>
            <w:vAlign w:val="center"/>
          </w:tcPr>
          <w:p>
            <w:pPr>
              <w:jc w:val="center"/>
              <w:outlineLvl w:val="0"/>
              <w:rPr>
                <w:rFonts w:ascii="Times New Roman" w:hAnsi="Times New Roman"/>
                <w:sz w:val="18"/>
                <w:szCs w:val="18"/>
              </w:rPr>
            </w:pPr>
            <w:r>
              <w:rPr>
                <w:rFonts w:ascii="Times New Roman" w:hAnsi="Times New Roman"/>
                <w:sz w:val="18"/>
                <w:szCs w:val="18"/>
              </w:rPr>
              <w:t>样品编号</w:t>
            </w:r>
          </w:p>
        </w:tc>
        <w:tc>
          <w:tcPr>
            <w:tcW w:w="3149" w:type="dxa"/>
            <w:tcBorders>
              <w:bottom w:val="single" w:color="auto" w:sz="4" w:space="0"/>
            </w:tcBorders>
            <w:vAlign w:val="center"/>
          </w:tcPr>
          <w:p>
            <w:pPr>
              <w:jc w:val="center"/>
              <w:outlineLvl w:val="0"/>
              <w:rPr>
                <w:rFonts w:ascii="Times New Roman" w:hAnsi="Times New Roman"/>
                <w:sz w:val="18"/>
                <w:szCs w:val="18"/>
              </w:rPr>
            </w:pPr>
            <w:r>
              <w:rPr>
                <w:rFonts w:ascii="Times New Roman" w:hAnsi="Times New Roman"/>
                <w:sz w:val="18"/>
                <w:szCs w:val="18"/>
              </w:rPr>
              <w:t>滴定分析</w:t>
            </w:r>
            <w:bookmarkStart w:id="31" w:name="OLE_LINK8"/>
            <w:bookmarkStart w:id="32" w:name="OLE_LINK7"/>
            <w:r>
              <w:rPr>
                <w:rFonts w:ascii="Times New Roman" w:hAnsi="Times New Roman"/>
                <w:sz w:val="18"/>
                <w:szCs w:val="18"/>
              </w:rPr>
              <w:t>测定值</w:t>
            </w:r>
            <w:bookmarkEnd w:id="31"/>
            <w:bookmarkEnd w:id="32"/>
            <w:r>
              <w:rPr>
                <w:rFonts w:ascii="Times New Roman" w:hAnsi="Times New Roman"/>
                <w:sz w:val="18"/>
                <w:szCs w:val="18"/>
              </w:rPr>
              <w:t xml:space="preserve"> %</w:t>
            </w:r>
          </w:p>
        </w:tc>
        <w:tc>
          <w:tcPr>
            <w:tcW w:w="2999" w:type="dxa"/>
            <w:tcBorders>
              <w:bottom w:val="single" w:color="auto" w:sz="4" w:space="0"/>
              <w:right w:val="nil"/>
            </w:tcBorders>
            <w:vAlign w:val="center"/>
          </w:tcPr>
          <w:p>
            <w:pPr>
              <w:jc w:val="center"/>
              <w:outlineLvl w:val="0"/>
              <w:rPr>
                <w:rFonts w:ascii="Times New Roman" w:hAnsi="Times New Roman"/>
                <w:sz w:val="18"/>
                <w:szCs w:val="18"/>
              </w:rPr>
            </w:pPr>
            <w:r>
              <w:rPr>
                <w:rFonts w:ascii="Times New Roman" w:hAnsi="Times New Roman"/>
                <w:sz w:val="18"/>
                <w:szCs w:val="18"/>
              </w:rPr>
              <w:t>ICP-AES测定值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252" w:type="dxa"/>
            <w:tcBorders>
              <w:left w:val="nil"/>
              <w:bottom w:val="nil"/>
            </w:tcBorders>
            <w:vAlign w:val="center"/>
          </w:tcPr>
          <w:p>
            <w:pPr>
              <w:jc w:val="center"/>
              <w:outlineLvl w:val="0"/>
              <w:rPr>
                <w:rFonts w:ascii="Times New Roman" w:hAnsi="Times New Roman"/>
                <w:sz w:val="18"/>
                <w:szCs w:val="18"/>
              </w:rPr>
            </w:pPr>
            <w:r>
              <w:rPr>
                <w:rFonts w:ascii="Times New Roman" w:hAnsi="Times New Roman"/>
                <w:sz w:val="18"/>
                <w:szCs w:val="18"/>
              </w:rPr>
              <w:t>1</w:t>
            </w:r>
            <w:r>
              <w:rPr>
                <w:rFonts w:ascii="Times New Roman" w:hAnsi="Times New Roman"/>
                <w:bCs/>
                <w:sz w:val="18"/>
                <w:szCs w:val="18"/>
                <w:vertAlign w:val="superscript"/>
              </w:rPr>
              <w:t>#</w:t>
            </w:r>
            <w:r>
              <w:rPr>
                <w:rFonts w:ascii="Times New Roman" w:hAnsi="Times New Roman"/>
                <w:sz w:val="18"/>
                <w:szCs w:val="18"/>
              </w:rPr>
              <w:t>Bi</w:t>
            </w:r>
          </w:p>
        </w:tc>
        <w:tc>
          <w:tcPr>
            <w:tcW w:w="3149" w:type="dxa"/>
            <w:tcBorders>
              <w:bottom w:val="nil"/>
            </w:tcBorders>
            <w:vAlign w:val="center"/>
          </w:tcPr>
          <w:p>
            <w:pPr>
              <w:jc w:val="center"/>
              <w:outlineLvl w:val="0"/>
              <w:rPr>
                <w:rFonts w:ascii="Times New Roman" w:hAnsi="Times New Roman"/>
                <w:sz w:val="18"/>
                <w:szCs w:val="18"/>
              </w:rPr>
            </w:pPr>
            <w:r>
              <w:rPr>
                <w:rFonts w:ascii="Times New Roman" w:hAnsi="Times New Roman"/>
                <w:sz w:val="18"/>
                <w:szCs w:val="18"/>
              </w:rPr>
              <w:t>5.99</w:t>
            </w:r>
          </w:p>
        </w:tc>
        <w:tc>
          <w:tcPr>
            <w:tcW w:w="2999" w:type="dxa"/>
            <w:tcBorders>
              <w:bottom w:val="nil"/>
              <w:right w:val="nil"/>
            </w:tcBorders>
            <w:vAlign w:val="center"/>
          </w:tcPr>
          <w:p>
            <w:pPr>
              <w:jc w:val="center"/>
              <w:outlineLvl w:val="0"/>
              <w:rPr>
                <w:rFonts w:ascii="Times New Roman" w:hAnsi="Times New Roman"/>
                <w:sz w:val="18"/>
                <w:szCs w:val="18"/>
              </w:rPr>
            </w:pPr>
            <w:r>
              <w:rPr>
                <w:rFonts w:ascii="Times New Roman" w:hAnsi="Times New Roman"/>
                <w:sz w:val="18"/>
                <w:szCs w:val="18"/>
              </w:rP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252" w:type="dxa"/>
            <w:tcBorders>
              <w:top w:val="nil"/>
              <w:left w:val="nil"/>
              <w:bottom w:val="nil"/>
            </w:tcBorders>
            <w:vAlign w:val="center"/>
          </w:tcPr>
          <w:p>
            <w:pPr>
              <w:jc w:val="center"/>
              <w:outlineLvl w:val="0"/>
              <w:rPr>
                <w:rFonts w:ascii="Times New Roman" w:hAnsi="Times New Roman"/>
                <w:sz w:val="18"/>
                <w:szCs w:val="18"/>
              </w:rPr>
            </w:pPr>
            <w:r>
              <w:rPr>
                <w:rFonts w:ascii="Times New Roman" w:hAnsi="Times New Roman"/>
                <w:sz w:val="18"/>
                <w:szCs w:val="18"/>
              </w:rPr>
              <w:t>2</w:t>
            </w:r>
            <w:r>
              <w:rPr>
                <w:rFonts w:ascii="Times New Roman" w:hAnsi="Times New Roman"/>
                <w:bCs/>
                <w:sz w:val="18"/>
                <w:szCs w:val="18"/>
                <w:vertAlign w:val="superscript"/>
              </w:rPr>
              <w:t>#</w:t>
            </w:r>
            <w:r>
              <w:rPr>
                <w:rFonts w:ascii="Times New Roman" w:hAnsi="Times New Roman"/>
                <w:sz w:val="18"/>
                <w:szCs w:val="18"/>
              </w:rPr>
              <w:t>Bi</w:t>
            </w:r>
          </w:p>
        </w:tc>
        <w:tc>
          <w:tcPr>
            <w:tcW w:w="3149" w:type="dxa"/>
            <w:tcBorders>
              <w:top w:val="nil"/>
              <w:bottom w:val="nil"/>
            </w:tcBorders>
            <w:vAlign w:val="center"/>
          </w:tcPr>
          <w:p>
            <w:pPr>
              <w:jc w:val="center"/>
              <w:outlineLvl w:val="0"/>
              <w:rPr>
                <w:rFonts w:ascii="Times New Roman" w:hAnsi="Times New Roman"/>
                <w:sz w:val="18"/>
                <w:szCs w:val="18"/>
              </w:rPr>
            </w:pPr>
            <w:r>
              <w:rPr>
                <w:rFonts w:ascii="Times New Roman" w:hAnsi="Times New Roman"/>
                <w:sz w:val="18"/>
                <w:szCs w:val="18"/>
              </w:rPr>
              <w:t>7.79</w:t>
            </w:r>
          </w:p>
        </w:tc>
        <w:tc>
          <w:tcPr>
            <w:tcW w:w="2999" w:type="dxa"/>
            <w:tcBorders>
              <w:top w:val="nil"/>
              <w:bottom w:val="nil"/>
              <w:right w:val="nil"/>
            </w:tcBorders>
            <w:vAlign w:val="center"/>
          </w:tcPr>
          <w:p>
            <w:pPr>
              <w:jc w:val="center"/>
              <w:outlineLvl w:val="0"/>
              <w:rPr>
                <w:rFonts w:ascii="Times New Roman" w:hAnsi="Times New Roman"/>
                <w:sz w:val="18"/>
                <w:szCs w:val="18"/>
              </w:rPr>
            </w:pPr>
            <w:r>
              <w:rPr>
                <w:rFonts w:ascii="Times New Roman" w:hAnsi="Times New Roman"/>
                <w:sz w:val="18"/>
                <w:szCs w:val="18"/>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252" w:type="dxa"/>
            <w:tcBorders>
              <w:top w:val="nil"/>
              <w:left w:val="nil"/>
              <w:bottom w:val="nil"/>
            </w:tcBorders>
            <w:vAlign w:val="center"/>
          </w:tcPr>
          <w:p>
            <w:pPr>
              <w:jc w:val="center"/>
              <w:outlineLvl w:val="0"/>
              <w:rPr>
                <w:rFonts w:ascii="Times New Roman" w:hAnsi="Times New Roman"/>
                <w:sz w:val="18"/>
                <w:szCs w:val="18"/>
              </w:rPr>
            </w:pPr>
            <w:r>
              <w:rPr>
                <w:rFonts w:ascii="Times New Roman" w:hAnsi="Times New Roman"/>
                <w:bCs/>
                <w:sz w:val="18"/>
                <w:szCs w:val="18"/>
              </w:rPr>
              <w:t>4</w:t>
            </w:r>
            <w:r>
              <w:rPr>
                <w:rFonts w:ascii="Times New Roman" w:hAnsi="Times New Roman"/>
                <w:bCs/>
                <w:sz w:val="18"/>
                <w:szCs w:val="18"/>
                <w:vertAlign w:val="superscript"/>
              </w:rPr>
              <w:t>#</w:t>
            </w:r>
            <w:r>
              <w:rPr>
                <w:rFonts w:ascii="Times New Roman" w:hAnsi="Times New Roman"/>
                <w:kern w:val="0"/>
                <w:sz w:val="18"/>
                <w:szCs w:val="18"/>
              </w:rPr>
              <w:t>Bi</w:t>
            </w:r>
          </w:p>
        </w:tc>
        <w:tc>
          <w:tcPr>
            <w:tcW w:w="3149" w:type="dxa"/>
            <w:tcBorders>
              <w:top w:val="nil"/>
              <w:bottom w:val="nil"/>
            </w:tcBorders>
            <w:vAlign w:val="center"/>
          </w:tcPr>
          <w:p>
            <w:pPr>
              <w:jc w:val="center"/>
              <w:outlineLvl w:val="0"/>
              <w:rPr>
                <w:rFonts w:ascii="Times New Roman" w:hAnsi="Times New Roman"/>
                <w:sz w:val="18"/>
                <w:szCs w:val="18"/>
              </w:rPr>
            </w:pPr>
            <w:r>
              <w:rPr>
                <w:rFonts w:ascii="Times New Roman" w:hAnsi="Times New Roman"/>
                <w:sz w:val="18"/>
                <w:szCs w:val="18"/>
              </w:rPr>
              <w:t>13.30</w:t>
            </w:r>
          </w:p>
        </w:tc>
        <w:tc>
          <w:tcPr>
            <w:tcW w:w="2999" w:type="dxa"/>
            <w:tcBorders>
              <w:top w:val="nil"/>
              <w:bottom w:val="nil"/>
              <w:right w:val="nil"/>
            </w:tcBorders>
            <w:vAlign w:val="center"/>
          </w:tcPr>
          <w:p>
            <w:pPr>
              <w:jc w:val="center"/>
              <w:outlineLvl w:val="0"/>
              <w:rPr>
                <w:rFonts w:ascii="Times New Roman" w:hAnsi="Times New Roman"/>
                <w:sz w:val="18"/>
                <w:szCs w:val="18"/>
              </w:rPr>
            </w:pPr>
            <w:r>
              <w:rPr>
                <w:rFonts w:ascii="Times New Roman" w:hAnsi="Times New Roman"/>
                <w:sz w:val="18"/>
                <w:szCs w:val="18"/>
              </w:rPr>
              <w:t>13.34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252" w:type="dxa"/>
            <w:tcBorders>
              <w:top w:val="nil"/>
              <w:left w:val="nil"/>
            </w:tcBorders>
            <w:vAlign w:val="center"/>
          </w:tcPr>
          <w:p>
            <w:pPr>
              <w:jc w:val="center"/>
              <w:outlineLvl w:val="0"/>
              <w:rPr>
                <w:rFonts w:ascii="Times New Roman" w:hAnsi="Times New Roman"/>
                <w:sz w:val="18"/>
                <w:szCs w:val="18"/>
              </w:rPr>
            </w:pPr>
            <w:r>
              <w:rPr>
                <w:rFonts w:ascii="Times New Roman" w:hAnsi="Times New Roman"/>
                <w:bCs/>
                <w:sz w:val="18"/>
                <w:szCs w:val="18"/>
              </w:rPr>
              <w:t>5</w:t>
            </w:r>
            <w:r>
              <w:rPr>
                <w:rFonts w:ascii="Times New Roman" w:hAnsi="Times New Roman"/>
                <w:bCs/>
                <w:sz w:val="18"/>
                <w:szCs w:val="18"/>
                <w:vertAlign w:val="superscript"/>
              </w:rPr>
              <w:t>#</w:t>
            </w:r>
            <w:r>
              <w:rPr>
                <w:rFonts w:ascii="Times New Roman" w:hAnsi="Times New Roman"/>
                <w:kern w:val="0"/>
                <w:sz w:val="18"/>
                <w:szCs w:val="18"/>
              </w:rPr>
              <w:t>Bi</w:t>
            </w:r>
          </w:p>
        </w:tc>
        <w:tc>
          <w:tcPr>
            <w:tcW w:w="3149" w:type="dxa"/>
            <w:tcBorders>
              <w:top w:val="nil"/>
            </w:tcBorders>
            <w:vAlign w:val="center"/>
          </w:tcPr>
          <w:p>
            <w:pPr>
              <w:jc w:val="center"/>
              <w:outlineLvl w:val="0"/>
              <w:rPr>
                <w:rFonts w:ascii="Times New Roman" w:hAnsi="Times New Roman"/>
                <w:sz w:val="18"/>
                <w:szCs w:val="18"/>
              </w:rPr>
            </w:pPr>
            <w:r>
              <w:rPr>
                <w:rFonts w:ascii="Times New Roman" w:hAnsi="Times New Roman"/>
                <w:sz w:val="18"/>
                <w:szCs w:val="18"/>
              </w:rPr>
              <w:t>15.65</w:t>
            </w:r>
          </w:p>
        </w:tc>
        <w:tc>
          <w:tcPr>
            <w:tcW w:w="2999" w:type="dxa"/>
            <w:tcBorders>
              <w:top w:val="nil"/>
              <w:right w:val="nil"/>
            </w:tcBorders>
            <w:vAlign w:val="center"/>
          </w:tcPr>
          <w:p>
            <w:pPr>
              <w:jc w:val="center"/>
              <w:outlineLvl w:val="0"/>
              <w:rPr>
                <w:rFonts w:ascii="Times New Roman" w:hAnsi="Times New Roman"/>
                <w:sz w:val="18"/>
                <w:szCs w:val="18"/>
              </w:rPr>
            </w:pPr>
            <w:r>
              <w:rPr>
                <w:rFonts w:ascii="Times New Roman" w:hAnsi="Times New Roman"/>
                <w:sz w:val="18"/>
                <w:szCs w:val="18"/>
              </w:rPr>
              <w:t>15.51</w:t>
            </w:r>
          </w:p>
        </w:tc>
      </w:tr>
    </w:tbl>
    <w:p>
      <w:pPr>
        <w:ind w:firstLine="210" w:firstLineChars="100"/>
        <w:outlineLvl w:val="0"/>
        <w:rPr>
          <w:rFonts w:ascii="Times New Roman" w:hAnsi="Times New Roman"/>
          <w:szCs w:val="21"/>
        </w:rPr>
      </w:pPr>
    </w:p>
    <w:p>
      <w:pPr>
        <w:ind w:firstLine="210" w:firstLineChars="100"/>
        <w:outlineLvl w:val="0"/>
        <w:rPr>
          <w:rFonts w:ascii="Times New Roman" w:hAnsi="Times New Roman"/>
          <w:szCs w:val="21"/>
        </w:rPr>
      </w:pPr>
      <w:r>
        <w:rPr>
          <w:rFonts w:ascii="Times New Roman" w:hAnsi="Times New Roman"/>
          <w:szCs w:val="21"/>
        </w:rPr>
        <w:t xml:space="preserve">  表15样品准确度</w:t>
      </w:r>
      <w:r>
        <w:rPr>
          <w:rFonts w:hint="eastAsia" w:ascii="Times New Roman" w:hAnsi="Times New Roman"/>
          <w:szCs w:val="21"/>
        </w:rPr>
        <w:t>试</w:t>
      </w:r>
      <w:r>
        <w:rPr>
          <w:rFonts w:ascii="Times New Roman" w:hAnsi="Times New Roman"/>
          <w:szCs w:val="21"/>
        </w:rPr>
        <w:t>验数据可见，拟定的 Na</w:t>
      </w:r>
      <w:r>
        <w:rPr>
          <w:rFonts w:ascii="Times New Roman" w:hAnsi="Times New Roman"/>
          <w:szCs w:val="21"/>
          <w:vertAlign w:val="subscript"/>
        </w:rPr>
        <w:t>2</w:t>
      </w:r>
      <w:r>
        <w:rPr>
          <w:rFonts w:ascii="Times New Roman" w:hAnsi="Times New Roman"/>
          <w:szCs w:val="21"/>
        </w:rPr>
        <w:t>EDTA络合滴定方法与ICP-AES法测定铋量符合分析误差要求。</w:t>
      </w:r>
    </w:p>
    <w:p>
      <w:pPr>
        <w:jc w:val="center"/>
        <w:rPr>
          <w:rFonts w:ascii="Times New Roman" w:hAnsi="Times New Roman"/>
          <w:b/>
          <w:sz w:val="24"/>
        </w:rPr>
      </w:pPr>
    </w:p>
    <w:p>
      <w:pPr>
        <w:rPr>
          <w:rFonts w:ascii="Times New Roman" w:hAnsi="Times New Roman" w:eastAsia="黑体"/>
          <w:szCs w:val="21"/>
        </w:rPr>
      </w:pPr>
      <w:r>
        <w:rPr>
          <w:rFonts w:ascii="Times New Roman" w:hAnsi="Times New Roman" w:eastAsia="黑体"/>
          <w:szCs w:val="21"/>
        </w:rPr>
        <w:t>3  样品分析</w:t>
      </w:r>
    </w:p>
    <w:p>
      <w:pPr>
        <w:ind w:firstLine="210" w:firstLineChars="100"/>
        <w:rPr>
          <w:rFonts w:ascii="Times New Roman" w:hAnsi="Times New Roman"/>
          <w:szCs w:val="21"/>
        </w:rPr>
      </w:pPr>
    </w:p>
    <w:p>
      <w:pPr>
        <w:ind w:firstLine="420" w:firstLineChars="200"/>
        <w:rPr>
          <w:rFonts w:ascii="Times New Roman" w:hAnsi="Times New Roman"/>
          <w:color w:val="000000" w:themeColor="text1"/>
          <w:szCs w:val="21"/>
        </w:rPr>
      </w:pPr>
      <w:r>
        <w:rPr>
          <w:rFonts w:ascii="Times New Roman" w:hAnsi="Times New Roman"/>
          <w:szCs w:val="21"/>
        </w:rPr>
        <w:t>按</w:t>
      </w:r>
      <w:r>
        <w:rPr>
          <w:rFonts w:hint="eastAsia" w:ascii="Times New Roman" w:hAnsi="Times New Roman"/>
          <w:color w:val="000000" w:themeColor="text1"/>
          <w:szCs w:val="21"/>
        </w:rPr>
        <w:t>试</w:t>
      </w:r>
      <w:r>
        <w:rPr>
          <w:rFonts w:ascii="Times New Roman" w:hAnsi="Times New Roman"/>
          <w:color w:val="000000" w:themeColor="text1"/>
          <w:szCs w:val="21"/>
        </w:rPr>
        <w:t>验</w:t>
      </w:r>
      <w:r>
        <w:rPr>
          <w:rFonts w:hint="eastAsia" w:ascii="Times New Roman" w:hAnsi="Times New Roman"/>
          <w:color w:val="000000" w:themeColor="text1"/>
          <w:szCs w:val="21"/>
        </w:rPr>
        <w:t>步骤</w:t>
      </w:r>
      <w:r>
        <w:rPr>
          <w:rFonts w:ascii="Times New Roman" w:hAnsi="Times New Roman"/>
          <w:color w:val="000000" w:themeColor="text1"/>
          <w:szCs w:val="21"/>
        </w:rPr>
        <w:t>（1.</w:t>
      </w:r>
      <w:r>
        <w:rPr>
          <w:rFonts w:hint="eastAsia" w:ascii="Times New Roman" w:hAnsi="Times New Roman"/>
          <w:color w:val="000000" w:themeColor="text1"/>
          <w:szCs w:val="21"/>
        </w:rPr>
        <w:t>4</w:t>
      </w:r>
      <w:r>
        <w:rPr>
          <w:rFonts w:ascii="Times New Roman" w:hAnsi="Times New Roman"/>
          <w:color w:val="000000" w:themeColor="text1"/>
          <w:szCs w:val="21"/>
        </w:rPr>
        <w:t>）</w:t>
      </w:r>
    </w:p>
    <w:p>
      <w:pPr>
        <w:rPr>
          <w:rFonts w:ascii="Times New Roman" w:hAnsi="Times New Roman" w:eastAsia="黑体"/>
          <w:szCs w:val="21"/>
        </w:rPr>
      </w:pPr>
    </w:p>
    <w:p>
      <w:pPr>
        <w:rPr>
          <w:rFonts w:ascii="Times New Roman" w:hAnsi="Times New Roman" w:eastAsia="黑体"/>
          <w:szCs w:val="21"/>
        </w:rPr>
      </w:pPr>
      <w:r>
        <w:rPr>
          <w:rFonts w:ascii="Times New Roman" w:hAnsi="Times New Roman" w:eastAsia="黑体"/>
          <w:szCs w:val="21"/>
        </w:rPr>
        <w:t>4  结论</w:t>
      </w:r>
    </w:p>
    <w:p>
      <w:pPr>
        <w:spacing w:beforeLines="50" w:line="480" w:lineRule="exact"/>
        <w:rPr>
          <w:rFonts w:ascii="Times New Roman" w:hAnsi="Times New Roman"/>
          <w:sz w:val="24"/>
          <w:szCs w:val="24"/>
          <w:lang w:bidi="he-IL"/>
        </w:rPr>
      </w:pPr>
      <w:r>
        <w:rPr>
          <w:rFonts w:ascii="Times New Roman" w:hAnsi="Times New Roman"/>
          <w:spacing w:val="6"/>
        </w:rPr>
        <w:t xml:space="preserve">   经过大量试验结果表明：</w:t>
      </w:r>
      <w:r>
        <w:rPr>
          <w:rFonts w:ascii="Times New Roman" w:hAnsi="Times New Roman"/>
          <w:szCs w:val="21"/>
        </w:rPr>
        <w:t>用拟定的 Na</w:t>
      </w:r>
      <w:r>
        <w:rPr>
          <w:rFonts w:ascii="Times New Roman" w:hAnsi="Times New Roman"/>
          <w:szCs w:val="21"/>
          <w:vertAlign w:val="subscript"/>
        </w:rPr>
        <w:t>2</w:t>
      </w:r>
      <w:r>
        <w:rPr>
          <w:rFonts w:ascii="Times New Roman" w:hAnsi="Times New Roman"/>
          <w:szCs w:val="21"/>
        </w:rPr>
        <w:t>EDTA络合滴定方法</w:t>
      </w:r>
      <w:r>
        <w:rPr>
          <w:rFonts w:ascii="Times New Roman" w:hAnsi="Times New Roman"/>
          <w:spacing w:val="6"/>
        </w:rPr>
        <w:t>测定</w:t>
      </w:r>
      <w:r>
        <w:rPr>
          <w:rFonts w:ascii="Times New Roman" w:hAnsi="Times New Roman"/>
          <w:szCs w:val="21"/>
        </w:rPr>
        <w:t>铜冶炼烟尘试样</w:t>
      </w:r>
      <w:r>
        <w:rPr>
          <w:rFonts w:ascii="Times New Roman" w:hAnsi="Times New Roman"/>
          <w:spacing w:val="6"/>
        </w:rPr>
        <w:t>中5.00% ~16.00%的铋含量，共存元素</w:t>
      </w:r>
      <w:r>
        <w:rPr>
          <w:rFonts w:ascii="Times New Roman" w:hAnsi="Times New Roman"/>
          <w:kern w:val="0"/>
          <w:szCs w:val="21"/>
        </w:rPr>
        <w:t>100 mg</w:t>
      </w:r>
      <w:r>
        <w:rPr>
          <w:rFonts w:ascii="Times New Roman" w:hAnsi="Times New Roman"/>
          <w:szCs w:val="21"/>
        </w:rPr>
        <w:t xml:space="preserve"> Pb、70 mg Cu、50 mg Zn、33 mg Fe、</w:t>
      </w:r>
      <w:r>
        <w:rPr>
          <w:rFonts w:ascii="Times New Roman" w:hAnsi="Times New Roman"/>
          <w:bCs/>
          <w:szCs w:val="21"/>
        </w:rPr>
        <w:t>100 mg Cd</w:t>
      </w:r>
      <w:r>
        <w:rPr>
          <w:rFonts w:ascii="Times New Roman" w:hAnsi="Times New Roman"/>
          <w:szCs w:val="21"/>
        </w:rPr>
        <w:t>、</w:t>
      </w:r>
      <w:r>
        <w:rPr>
          <w:rFonts w:ascii="Times New Roman" w:hAnsi="Times New Roman"/>
          <w:bCs/>
          <w:szCs w:val="21"/>
        </w:rPr>
        <w:t>50 mg</w:t>
      </w:r>
      <w:r>
        <w:rPr>
          <w:rFonts w:ascii="Times New Roman" w:hAnsi="Times New Roman"/>
          <w:szCs w:val="21"/>
        </w:rPr>
        <w:t xml:space="preserve"> As、0.10</w:t>
      </w:r>
      <w:r>
        <w:rPr>
          <w:rFonts w:ascii="Times New Roman" w:hAnsi="Times New Roman"/>
          <w:bCs/>
          <w:szCs w:val="21"/>
        </w:rPr>
        <w:t xml:space="preserve"> mg In、0.30 mg</w:t>
      </w:r>
      <w:r>
        <w:rPr>
          <w:rFonts w:ascii="Times New Roman" w:hAnsi="Times New Roman"/>
          <w:szCs w:val="21"/>
        </w:rPr>
        <w:t xml:space="preserve"> Ag、</w:t>
      </w:r>
      <w:r>
        <w:rPr>
          <w:rFonts w:ascii="Times New Roman" w:hAnsi="Times New Roman"/>
          <w:bCs/>
          <w:szCs w:val="21"/>
        </w:rPr>
        <w:t xml:space="preserve">1.0 </w:t>
      </w:r>
      <w:r>
        <w:rPr>
          <w:rFonts w:ascii="Times New Roman" w:hAnsi="Times New Roman"/>
          <w:szCs w:val="21"/>
        </w:rPr>
        <w:t>mg</w:t>
      </w:r>
      <w:r>
        <w:rPr>
          <w:rFonts w:ascii="Times New Roman" w:hAnsi="Times New Roman"/>
          <w:bCs/>
          <w:szCs w:val="21"/>
        </w:rPr>
        <w:t xml:space="preserve"> Se、1.0 </w:t>
      </w:r>
      <w:r>
        <w:rPr>
          <w:rFonts w:ascii="Times New Roman" w:hAnsi="Times New Roman"/>
          <w:szCs w:val="21"/>
        </w:rPr>
        <w:t>mg</w:t>
      </w:r>
      <w:r>
        <w:rPr>
          <w:rFonts w:ascii="Times New Roman" w:hAnsi="Times New Roman"/>
          <w:bCs/>
          <w:szCs w:val="21"/>
        </w:rPr>
        <w:t xml:space="preserve"> Te</w:t>
      </w:r>
      <w:r>
        <w:rPr>
          <w:rFonts w:ascii="Times New Roman" w:hAnsi="Times New Roman"/>
          <w:szCs w:val="21"/>
        </w:rPr>
        <w:t>、</w:t>
      </w:r>
      <w:r>
        <w:rPr>
          <w:rFonts w:ascii="Times New Roman" w:hAnsi="Times New Roman"/>
          <w:bCs/>
          <w:szCs w:val="21"/>
        </w:rPr>
        <w:t>0.05 mg</w:t>
      </w:r>
      <w:r>
        <w:rPr>
          <w:rFonts w:ascii="Times New Roman" w:hAnsi="Times New Roman"/>
          <w:szCs w:val="21"/>
        </w:rPr>
        <w:t xml:space="preserve"> Au</w:t>
      </w:r>
      <w:r>
        <w:rPr>
          <w:rFonts w:ascii="Times New Roman" w:hAnsi="Times New Roman"/>
          <w:bCs/>
          <w:szCs w:val="21"/>
        </w:rPr>
        <w:t>、8</w:t>
      </w:r>
      <w:r>
        <w:rPr>
          <w:rFonts w:ascii="Times New Roman" w:hAnsi="Times New Roman"/>
          <w:szCs w:val="21"/>
        </w:rPr>
        <w:t xml:space="preserve"> mg</w:t>
      </w:r>
      <w:r>
        <w:rPr>
          <w:rFonts w:ascii="Times New Roman" w:hAnsi="Times New Roman"/>
          <w:bCs/>
          <w:szCs w:val="21"/>
        </w:rPr>
        <w:t xml:space="preserve"> Mg</w:t>
      </w:r>
      <w:r>
        <w:rPr>
          <w:rFonts w:ascii="Times New Roman" w:hAnsi="Times New Roman"/>
          <w:szCs w:val="21"/>
        </w:rPr>
        <w:t>、</w:t>
      </w:r>
      <w:r>
        <w:rPr>
          <w:rFonts w:ascii="Times New Roman" w:hAnsi="Times New Roman"/>
          <w:bCs/>
          <w:szCs w:val="21"/>
        </w:rPr>
        <w:t>18</w:t>
      </w:r>
      <w:r>
        <w:rPr>
          <w:rFonts w:ascii="Times New Roman" w:hAnsi="Times New Roman"/>
          <w:szCs w:val="21"/>
        </w:rPr>
        <w:t xml:space="preserve"> mg</w:t>
      </w:r>
      <w:r>
        <w:rPr>
          <w:rFonts w:ascii="Times New Roman" w:hAnsi="Times New Roman"/>
          <w:bCs/>
          <w:szCs w:val="21"/>
        </w:rPr>
        <w:t xml:space="preserve"> Ca、10</w:t>
      </w:r>
      <w:r>
        <w:rPr>
          <w:rFonts w:ascii="Times New Roman" w:hAnsi="Times New Roman"/>
          <w:szCs w:val="21"/>
        </w:rPr>
        <w:t xml:space="preserve"> mg</w:t>
      </w:r>
      <w:r>
        <w:rPr>
          <w:rFonts w:ascii="Times New Roman" w:hAnsi="Times New Roman"/>
          <w:bCs/>
          <w:szCs w:val="21"/>
        </w:rPr>
        <w:t xml:space="preserve"> Al</w:t>
      </w:r>
      <w:r>
        <w:rPr>
          <w:rFonts w:ascii="Times New Roman" w:hAnsi="Times New Roman"/>
          <w:szCs w:val="21"/>
        </w:rPr>
        <w:t>对测定铋无影响。</w:t>
      </w:r>
      <w:r>
        <w:rPr>
          <w:rFonts w:ascii="Times New Roman" w:hAnsi="Times New Roman"/>
          <w:spacing w:val="6"/>
        </w:rPr>
        <w:t>方法标准偏差SD在0.028</w:t>
      </w:r>
      <w:bookmarkStart w:id="33" w:name="OLE_LINK27"/>
      <w:bookmarkStart w:id="34" w:name="OLE_LINK28"/>
      <w:r>
        <w:rPr>
          <w:rFonts w:ascii="Times New Roman" w:hAnsi="Times New Roman"/>
          <w:spacing w:val="6"/>
        </w:rPr>
        <w:t xml:space="preserve"> ~ 0.07</w:t>
      </w:r>
      <w:bookmarkEnd w:id="33"/>
      <w:bookmarkEnd w:id="34"/>
      <w:r>
        <w:rPr>
          <w:rFonts w:ascii="Times New Roman" w:hAnsi="Times New Roman"/>
          <w:spacing w:val="6"/>
        </w:rPr>
        <w:t>0之间，相对标准偏差RSD为</w:t>
      </w:r>
      <w:r>
        <w:rPr>
          <w:rFonts w:ascii="Times New Roman" w:hAnsi="Times New Roman"/>
          <w:kern w:val="0"/>
          <w:szCs w:val="21"/>
        </w:rPr>
        <w:t>0.40 %</w:t>
      </w:r>
      <w:r>
        <w:rPr>
          <w:rFonts w:ascii="Times New Roman" w:hAnsi="Times New Roman"/>
          <w:spacing w:val="6"/>
        </w:rPr>
        <w:t xml:space="preserve"> ~ </w:t>
      </w:r>
      <w:r>
        <w:rPr>
          <w:rFonts w:ascii="Times New Roman" w:hAnsi="Times New Roman"/>
          <w:kern w:val="0"/>
          <w:szCs w:val="21"/>
        </w:rPr>
        <w:t>0.67 %</w:t>
      </w:r>
      <w:r>
        <w:rPr>
          <w:rFonts w:ascii="Times New Roman" w:hAnsi="Times New Roman"/>
          <w:szCs w:val="21"/>
        </w:rPr>
        <w:t>。</w:t>
      </w:r>
      <w:r>
        <w:rPr>
          <w:rFonts w:ascii="Times New Roman" w:hAnsi="Times New Roman"/>
          <w:kern w:val="0"/>
          <w:szCs w:val="21"/>
        </w:rPr>
        <w:t>铋的加标回收在99.95%</w:t>
      </w:r>
      <w:r>
        <w:rPr>
          <w:rFonts w:ascii="Times New Roman" w:hAnsi="Times New Roman"/>
          <w:spacing w:val="6"/>
        </w:rPr>
        <w:t xml:space="preserve"> ~ </w:t>
      </w:r>
      <w:r>
        <w:rPr>
          <w:rFonts w:ascii="Times New Roman" w:hAnsi="Times New Roman"/>
          <w:kern w:val="0"/>
          <w:szCs w:val="21"/>
        </w:rPr>
        <w:t>100.20%之间</w:t>
      </w:r>
      <w:r>
        <w:rPr>
          <w:rFonts w:ascii="Times New Roman" w:hAnsi="Times New Roman"/>
          <w:spacing w:val="6"/>
        </w:rPr>
        <w:t>。</w:t>
      </w:r>
      <w:r>
        <w:rPr>
          <w:rFonts w:ascii="Times New Roman" w:hAnsi="Times New Roman"/>
          <w:szCs w:val="21"/>
        </w:rPr>
        <w:t>该方法稳定，精密度高、准确，适合铜冶炼烟尘试样中铋含量</w:t>
      </w:r>
      <w:r>
        <w:rPr>
          <w:rFonts w:ascii="Times New Roman" w:hAnsi="Times New Roman"/>
          <w:spacing w:val="6"/>
        </w:rPr>
        <w:t>5.00% ~16.00%的测定</w:t>
      </w:r>
      <w:r>
        <w:rPr>
          <w:rFonts w:ascii="Times New Roman" w:hAnsi="Times New Roman"/>
          <w:szCs w:val="21"/>
        </w:rPr>
        <w:t>，</w:t>
      </w:r>
      <w:r>
        <w:rPr>
          <w:rFonts w:ascii="Times New Roman" w:hAnsi="Times New Roman"/>
          <w:spacing w:val="6"/>
        </w:rPr>
        <w:t>可作为行业标准进行推广。</w:t>
      </w:r>
    </w:p>
    <w:p>
      <w:pPr>
        <w:spacing w:beforeLines="50" w:line="480" w:lineRule="exact"/>
        <w:rPr>
          <w:rFonts w:ascii="Times New Roman" w:hAnsi="Times New Roman" w:eastAsia="黑体"/>
          <w:sz w:val="24"/>
          <w:szCs w:val="24"/>
          <w:lang w:bidi="he-IL"/>
        </w:rPr>
      </w:pPr>
    </w:p>
    <w:p>
      <w:pPr>
        <w:jc w:val="center"/>
        <w:rPr>
          <w:rFonts w:ascii="Times New Roman" w:hAnsiTheme="minorEastAsia" w:eastAsiaTheme="minorEastAsia"/>
          <w:b/>
          <w:sz w:val="30"/>
          <w:szCs w:val="30"/>
        </w:rPr>
      </w:pPr>
    </w:p>
    <w:p>
      <w:pPr>
        <w:jc w:val="center"/>
        <w:rPr>
          <w:rFonts w:ascii="Times New Roman" w:hAnsiTheme="minorEastAsia" w:eastAsiaTheme="minorEastAsia"/>
          <w:b/>
          <w:sz w:val="30"/>
          <w:szCs w:val="30"/>
        </w:rPr>
      </w:pPr>
    </w:p>
    <w:p>
      <w:pPr>
        <w:jc w:val="center"/>
        <w:rPr>
          <w:rFonts w:ascii="Times New Roman" w:hAnsiTheme="minorEastAsia" w:eastAsiaTheme="minorEastAsia"/>
          <w:b/>
          <w:sz w:val="30"/>
          <w:szCs w:val="30"/>
        </w:rPr>
      </w:pPr>
    </w:p>
    <w:p>
      <w:pPr>
        <w:jc w:val="center"/>
        <w:rPr>
          <w:rFonts w:ascii="Times New Roman" w:hAnsiTheme="minorEastAsia" w:eastAsiaTheme="minorEastAsia"/>
          <w:b/>
          <w:sz w:val="30"/>
          <w:szCs w:val="30"/>
        </w:rPr>
      </w:pPr>
    </w:p>
    <w:p>
      <w:pPr>
        <w:jc w:val="center"/>
        <w:rPr>
          <w:rFonts w:ascii="Times New Roman" w:hAnsiTheme="minorEastAsia" w:eastAsiaTheme="minorEastAsia"/>
          <w:b/>
          <w:sz w:val="30"/>
          <w:szCs w:val="30"/>
        </w:rPr>
      </w:pPr>
    </w:p>
    <w:p>
      <w:pPr>
        <w:jc w:val="center"/>
        <w:rPr>
          <w:rFonts w:ascii="Times New Roman" w:hAnsiTheme="minorEastAsia" w:eastAsiaTheme="minorEastAsia"/>
          <w:b/>
          <w:sz w:val="30"/>
          <w:szCs w:val="30"/>
        </w:rPr>
      </w:pPr>
    </w:p>
    <w:p>
      <w:pPr>
        <w:jc w:val="center"/>
        <w:rPr>
          <w:rFonts w:ascii="Times New Roman" w:hAnsiTheme="minorEastAsia" w:eastAsiaTheme="minorEastAsia"/>
          <w:b/>
          <w:sz w:val="30"/>
          <w:szCs w:val="30"/>
        </w:rPr>
      </w:pPr>
    </w:p>
    <w:p>
      <w:pPr>
        <w:jc w:val="center"/>
        <w:rPr>
          <w:rFonts w:ascii="Times New Roman" w:hAnsiTheme="minorEastAsia" w:eastAsiaTheme="minorEastAsia"/>
          <w:b/>
          <w:sz w:val="30"/>
          <w:szCs w:val="30"/>
        </w:rPr>
      </w:pPr>
    </w:p>
    <w:p>
      <w:pPr>
        <w:jc w:val="center"/>
        <w:rPr>
          <w:rFonts w:ascii="Times New Roman" w:hAnsiTheme="minorEastAsia" w:eastAsiaTheme="minorEastAsia"/>
          <w:b/>
          <w:sz w:val="30"/>
          <w:szCs w:val="30"/>
        </w:rPr>
      </w:pPr>
    </w:p>
    <w:p>
      <w:pPr>
        <w:rPr>
          <w:rFonts w:ascii="Times New Roman" w:hAnsiTheme="minorEastAsia" w:eastAsiaTheme="minorEastAsia"/>
          <w:b/>
          <w:sz w:val="30"/>
          <w:szCs w:val="30"/>
        </w:rPr>
      </w:pPr>
    </w:p>
    <w:p>
      <w:pPr>
        <w:jc w:val="center"/>
        <w:rPr>
          <w:rFonts w:ascii="Times New Roman" w:hAnsiTheme="minorEastAsia" w:eastAsiaTheme="minorEastAsia"/>
          <w:b/>
          <w:sz w:val="30"/>
          <w:szCs w:val="30"/>
        </w:rPr>
      </w:pPr>
    </w:p>
    <w:p>
      <w:pPr>
        <w:rPr>
          <w:rFonts w:ascii="Times New Roman" w:hAnsiTheme="minorEastAsia" w:eastAsiaTheme="minorEastAsia"/>
          <w:b/>
          <w:sz w:val="30"/>
          <w:szCs w:val="30"/>
        </w:rPr>
      </w:pPr>
    </w:p>
    <w:p>
      <w:pPr>
        <w:jc w:val="center"/>
        <w:rPr>
          <w:rFonts w:ascii="Times New Roman" w:hAnsi="Times New Roman"/>
          <w:b/>
          <w:szCs w:val="21"/>
        </w:rPr>
      </w:pPr>
      <w:r>
        <w:rPr>
          <w:rFonts w:ascii="Times New Roman" w:hAnsi="Times New Roman"/>
          <w:b/>
          <w:szCs w:val="21"/>
        </w:rPr>
        <w:t>铋含量的测定 Na</w:t>
      </w:r>
      <w:r>
        <w:rPr>
          <w:rFonts w:ascii="Times New Roman" w:hAnsi="Times New Roman"/>
          <w:b/>
          <w:szCs w:val="21"/>
          <w:vertAlign w:val="subscript"/>
        </w:rPr>
        <w:t>2</w:t>
      </w:r>
      <w:r>
        <w:rPr>
          <w:rFonts w:ascii="Times New Roman" w:hAnsi="Times New Roman"/>
          <w:b/>
          <w:szCs w:val="21"/>
        </w:rPr>
        <w:t>EDTA滴定法 - 补充试验</w:t>
      </w:r>
    </w:p>
    <w:p>
      <w:pPr>
        <w:numPr>
          <w:ilvl w:val="0"/>
          <w:numId w:val="6"/>
        </w:numPr>
        <w:spacing w:line="360" w:lineRule="auto"/>
        <w:ind w:firstLine="420" w:firstLineChars="200"/>
        <w:outlineLvl w:val="0"/>
        <w:rPr>
          <w:rFonts w:ascii="Times New Roman" w:hAnsi="Times New Roman"/>
          <w:szCs w:val="21"/>
        </w:rPr>
      </w:pPr>
      <w:r>
        <w:rPr>
          <w:rFonts w:ascii="Times New Roman" w:hAnsi="Times New Roman"/>
          <w:szCs w:val="21"/>
        </w:rPr>
        <w:t>硝酸用量对样品浸出结果影响</w:t>
      </w:r>
    </w:p>
    <w:p>
      <w:pPr>
        <w:spacing w:line="360" w:lineRule="auto"/>
        <w:ind w:firstLine="420" w:firstLineChars="200"/>
        <w:outlineLvl w:val="0"/>
        <w:rPr>
          <w:rFonts w:ascii="Times New Roman" w:hAnsi="Times New Roman"/>
          <w:b/>
          <w:szCs w:val="21"/>
        </w:rPr>
      </w:pPr>
      <w:r>
        <w:rPr>
          <w:rFonts w:ascii="Times New Roman" w:hAnsi="Times New Roman"/>
          <w:bCs/>
          <w:szCs w:val="21"/>
        </w:rPr>
        <w:t>按试验方法(2.3.1)，用2#样品进行</w:t>
      </w:r>
      <w:r>
        <w:rPr>
          <w:rFonts w:ascii="Times New Roman" w:hAnsi="Times New Roman"/>
          <w:szCs w:val="21"/>
        </w:rPr>
        <w:t>试验报告中增加硝酸用量条件；铋量测定结果的影响见表16。</w:t>
      </w:r>
    </w:p>
    <w:p>
      <w:pPr>
        <w:ind w:firstLine="2100" w:firstLineChars="1000"/>
        <w:rPr>
          <w:rFonts w:ascii="Times New Roman" w:hAnsi="Times New Roman"/>
          <w:bCs/>
          <w:szCs w:val="21"/>
        </w:rPr>
      </w:pPr>
      <w:r>
        <w:rPr>
          <w:rFonts w:ascii="Times New Roman" w:hAnsi="Times New Roman"/>
          <w:szCs w:val="21"/>
        </w:rPr>
        <w:t>表16</w:t>
      </w:r>
      <w:r>
        <w:rPr>
          <w:rFonts w:ascii="Times New Roman" w:hAnsi="Times New Roman"/>
          <w:bCs/>
          <w:szCs w:val="21"/>
        </w:rPr>
        <w:t>硝酸、</w:t>
      </w:r>
      <w:r>
        <w:rPr>
          <w:rFonts w:ascii="Times New Roman" w:hAnsi="Times New Roman"/>
          <w:szCs w:val="21"/>
        </w:rPr>
        <w:t>盐酸</w:t>
      </w:r>
      <w:r>
        <w:rPr>
          <w:rFonts w:ascii="Times New Roman" w:hAnsi="Times New Roman"/>
          <w:bCs/>
          <w:szCs w:val="21"/>
        </w:rPr>
        <w:t>浸取</w:t>
      </w:r>
      <w:r>
        <w:rPr>
          <w:rFonts w:hint="eastAsia" w:ascii="Times New Roman" w:hAnsi="Times New Roman"/>
          <w:bCs/>
          <w:szCs w:val="21"/>
        </w:rPr>
        <w:t>试</w:t>
      </w:r>
      <w:r>
        <w:rPr>
          <w:rFonts w:ascii="Times New Roman" w:hAnsi="Times New Roman"/>
          <w:szCs w:val="21"/>
        </w:rPr>
        <w:t>验现象</w:t>
      </w:r>
    </w:p>
    <w:p>
      <w:pPr>
        <w:ind w:firstLine="205" w:firstLineChars="98"/>
        <w:rPr>
          <w:rFonts w:ascii="Times New Roman" w:hAnsi="Times New Roman"/>
          <w:szCs w:val="21"/>
        </w:rPr>
      </w:pPr>
    </w:p>
    <w:tbl>
      <w:tblPr>
        <w:tblStyle w:val="32"/>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805"/>
        <w:gridCol w:w="1418"/>
        <w:gridCol w:w="2268"/>
        <w:gridCol w:w="954"/>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jc w:val="center"/>
              <w:rPr>
                <w:rFonts w:ascii="Times New Roman" w:hAnsi="Times New Roman"/>
                <w:sz w:val="18"/>
                <w:szCs w:val="18"/>
              </w:rPr>
            </w:pPr>
            <w:r>
              <w:rPr>
                <w:rFonts w:ascii="Times New Roman" w:hAnsi="Times New Roman"/>
                <w:sz w:val="18"/>
                <w:szCs w:val="18"/>
              </w:rPr>
              <w:t>样品名称</w:t>
            </w:r>
          </w:p>
        </w:tc>
        <w:tc>
          <w:tcPr>
            <w:tcW w:w="1805" w:type="dxa"/>
            <w:vAlign w:val="center"/>
          </w:tcPr>
          <w:p>
            <w:pPr>
              <w:spacing w:line="340" w:lineRule="exact"/>
              <w:jc w:val="center"/>
              <w:rPr>
                <w:rFonts w:ascii="Times New Roman" w:hAnsi="Times New Roman"/>
                <w:sz w:val="18"/>
                <w:szCs w:val="18"/>
              </w:rPr>
            </w:pPr>
            <w:r>
              <w:rPr>
                <w:rFonts w:ascii="Times New Roman" w:hAnsi="Times New Roman"/>
                <w:sz w:val="18"/>
                <w:szCs w:val="18"/>
              </w:rPr>
              <w:t>硝酸mL</w:t>
            </w:r>
          </w:p>
        </w:tc>
        <w:tc>
          <w:tcPr>
            <w:tcW w:w="1418" w:type="dxa"/>
            <w:vAlign w:val="center"/>
          </w:tcPr>
          <w:p>
            <w:pPr>
              <w:spacing w:line="340" w:lineRule="exact"/>
              <w:jc w:val="center"/>
              <w:rPr>
                <w:rFonts w:ascii="Times New Roman" w:hAnsi="Times New Roman"/>
                <w:sz w:val="18"/>
                <w:szCs w:val="18"/>
              </w:rPr>
            </w:pPr>
            <w:r>
              <w:rPr>
                <w:rFonts w:ascii="Times New Roman" w:hAnsi="Times New Roman"/>
                <w:sz w:val="18"/>
                <w:szCs w:val="18"/>
              </w:rPr>
              <w:t>盐酸mL</w:t>
            </w:r>
          </w:p>
        </w:tc>
        <w:tc>
          <w:tcPr>
            <w:tcW w:w="2268" w:type="dxa"/>
            <w:vAlign w:val="center"/>
          </w:tcPr>
          <w:p>
            <w:pPr>
              <w:spacing w:line="340" w:lineRule="exact"/>
              <w:jc w:val="center"/>
              <w:rPr>
                <w:rFonts w:ascii="Times New Roman" w:hAnsi="Times New Roman"/>
                <w:sz w:val="18"/>
                <w:szCs w:val="18"/>
              </w:rPr>
            </w:pPr>
            <w:r>
              <w:rPr>
                <w:rFonts w:ascii="Times New Roman" w:hAnsi="Times New Roman"/>
                <w:sz w:val="18"/>
                <w:szCs w:val="18"/>
              </w:rPr>
              <w:t>试验现象</w:t>
            </w:r>
          </w:p>
        </w:tc>
        <w:tc>
          <w:tcPr>
            <w:tcW w:w="954" w:type="dxa"/>
            <w:vAlign w:val="center"/>
          </w:tcPr>
          <w:p>
            <w:pPr>
              <w:spacing w:line="340" w:lineRule="exact"/>
              <w:jc w:val="center"/>
              <w:rPr>
                <w:rFonts w:ascii="Times New Roman" w:hAnsi="Times New Roman"/>
                <w:sz w:val="18"/>
                <w:szCs w:val="18"/>
              </w:rPr>
            </w:pPr>
            <w:r>
              <w:rPr>
                <w:rFonts w:ascii="Times New Roman" w:hAnsi="Times New Roman"/>
                <w:color w:val="000000"/>
                <w:kern w:val="0"/>
                <w:sz w:val="18"/>
                <w:szCs w:val="18"/>
              </w:rPr>
              <w:t>测得铋量%</w:t>
            </w:r>
          </w:p>
        </w:tc>
        <w:tc>
          <w:tcPr>
            <w:tcW w:w="954" w:type="dxa"/>
            <w:vAlign w:val="center"/>
          </w:tcPr>
          <w:p>
            <w:pPr>
              <w:spacing w:line="340" w:lineRule="exact"/>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590" w:type="dxa"/>
            <w:vAlign w:val="center"/>
          </w:tcPr>
          <w:p>
            <w:pPr>
              <w:spacing w:line="340" w:lineRule="exact"/>
              <w:jc w:val="center"/>
              <w:rPr>
                <w:rFonts w:ascii="Times New Roman" w:hAnsi="Times New Roman"/>
                <w:sz w:val="18"/>
                <w:szCs w:val="18"/>
              </w:rPr>
            </w:pPr>
            <w:r>
              <w:rPr>
                <w:rFonts w:ascii="Times New Roman" w:hAnsi="Times New Roman"/>
                <w:bCs/>
                <w:sz w:val="18"/>
                <w:szCs w:val="18"/>
              </w:rPr>
              <w:t>2</w:t>
            </w:r>
            <w:r>
              <w:rPr>
                <w:rFonts w:ascii="Times New Roman" w:hAnsi="Times New Roman"/>
                <w:bCs/>
                <w:sz w:val="18"/>
                <w:szCs w:val="18"/>
                <w:vertAlign w:val="superscript"/>
              </w:rPr>
              <w:t>#</w:t>
            </w:r>
            <w:r>
              <w:rPr>
                <w:rFonts w:ascii="Times New Roman" w:hAnsi="Times New Roman"/>
                <w:kern w:val="0"/>
                <w:sz w:val="18"/>
                <w:szCs w:val="18"/>
              </w:rPr>
              <w:t>Bi</w:t>
            </w:r>
          </w:p>
        </w:tc>
        <w:tc>
          <w:tcPr>
            <w:tcW w:w="180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1</w:t>
            </w:r>
          </w:p>
        </w:tc>
        <w:tc>
          <w:tcPr>
            <w:tcW w:w="1418"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1</w:t>
            </w:r>
          </w:p>
        </w:tc>
        <w:tc>
          <w:tcPr>
            <w:tcW w:w="2268"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终点不敏锐，结果偏低</w:t>
            </w:r>
          </w:p>
        </w:tc>
        <w:tc>
          <w:tcPr>
            <w:tcW w:w="954" w:type="dxa"/>
          </w:tcPr>
          <w:p>
            <w:pPr>
              <w:spacing w:line="340" w:lineRule="exact"/>
              <w:jc w:val="center"/>
              <w:rPr>
                <w:rFonts w:ascii="Times New Roman" w:hAnsi="Times New Roman"/>
                <w:kern w:val="0"/>
                <w:sz w:val="18"/>
                <w:szCs w:val="18"/>
              </w:rPr>
            </w:pPr>
            <w:r>
              <w:rPr>
                <w:rFonts w:ascii="Times New Roman" w:hAnsi="Times New Roman"/>
                <w:kern w:val="0"/>
                <w:sz w:val="18"/>
                <w:szCs w:val="18"/>
              </w:rPr>
              <w:t>7.60</w:t>
            </w:r>
          </w:p>
        </w:tc>
        <w:tc>
          <w:tcPr>
            <w:tcW w:w="954" w:type="dxa"/>
          </w:tcPr>
          <w:p>
            <w:pPr>
              <w:spacing w:line="340" w:lineRule="exac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590" w:type="dxa"/>
            <w:vAlign w:val="center"/>
          </w:tcPr>
          <w:p>
            <w:pPr>
              <w:spacing w:line="340" w:lineRule="exact"/>
              <w:jc w:val="center"/>
              <w:rPr>
                <w:rFonts w:ascii="Times New Roman" w:hAnsi="Times New Roman"/>
                <w:sz w:val="18"/>
                <w:szCs w:val="18"/>
              </w:rPr>
            </w:pPr>
            <w:r>
              <w:rPr>
                <w:rFonts w:ascii="Times New Roman" w:hAnsi="Times New Roman"/>
                <w:bCs/>
                <w:sz w:val="18"/>
                <w:szCs w:val="18"/>
              </w:rPr>
              <w:t>2</w:t>
            </w:r>
            <w:r>
              <w:rPr>
                <w:rFonts w:ascii="Times New Roman" w:hAnsi="Times New Roman"/>
                <w:bCs/>
                <w:sz w:val="18"/>
                <w:szCs w:val="18"/>
                <w:vertAlign w:val="superscript"/>
              </w:rPr>
              <w:t>#</w:t>
            </w:r>
            <w:r>
              <w:rPr>
                <w:rFonts w:ascii="Times New Roman" w:hAnsi="Times New Roman"/>
                <w:kern w:val="0"/>
                <w:sz w:val="18"/>
                <w:szCs w:val="18"/>
              </w:rPr>
              <w:t>Bi</w:t>
            </w:r>
          </w:p>
        </w:tc>
        <w:tc>
          <w:tcPr>
            <w:tcW w:w="180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0.5</w:t>
            </w:r>
          </w:p>
        </w:tc>
        <w:tc>
          <w:tcPr>
            <w:tcW w:w="1418"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1.5</w:t>
            </w:r>
          </w:p>
        </w:tc>
        <w:tc>
          <w:tcPr>
            <w:tcW w:w="2268"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终点不敏锐，结果偏低</w:t>
            </w:r>
          </w:p>
        </w:tc>
        <w:tc>
          <w:tcPr>
            <w:tcW w:w="954" w:type="dxa"/>
          </w:tcPr>
          <w:p>
            <w:pPr>
              <w:spacing w:line="340" w:lineRule="exact"/>
              <w:jc w:val="center"/>
              <w:rPr>
                <w:rFonts w:ascii="Times New Roman" w:hAnsi="Times New Roman"/>
                <w:kern w:val="0"/>
                <w:sz w:val="18"/>
                <w:szCs w:val="18"/>
              </w:rPr>
            </w:pPr>
            <w:r>
              <w:rPr>
                <w:rFonts w:ascii="Times New Roman" w:hAnsi="Times New Roman"/>
                <w:kern w:val="0"/>
                <w:sz w:val="18"/>
                <w:szCs w:val="18"/>
              </w:rPr>
              <w:t>7.55</w:t>
            </w:r>
          </w:p>
        </w:tc>
        <w:tc>
          <w:tcPr>
            <w:tcW w:w="954" w:type="dxa"/>
          </w:tcPr>
          <w:p>
            <w:pPr>
              <w:spacing w:line="340" w:lineRule="exac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jc w:val="center"/>
              <w:rPr>
                <w:rFonts w:ascii="Times New Roman" w:hAnsi="Times New Roman"/>
                <w:sz w:val="18"/>
                <w:szCs w:val="18"/>
              </w:rPr>
            </w:pPr>
            <w:r>
              <w:rPr>
                <w:rFonts w:ascii="Times New Roman" w:hAnsi="Times New Roman"/>
                <w:bCs/>
                <w:sz w:val="18"/>
                <w:szCs w:val="18"/>
              </w:rPr>
              <w:t>2</w:t>
            </w:r>
            <w:r>
              <w:rPr>
                <w:rFonts w:ascii="Times New Roman" w:hAnsi="Times New Roman"/>
                <w:bCs/>
                <w:sz w:val="18"/>
                <w:szCs w:val="18"/>
                <w:vertAlign w:val="superscript"/>
              </w:rPr>
              <w:t>#</w:t>
            </w:r>
            <w:r>
              <w:rPr>
                <w:rFonts w:ascii="Times New Roman" w:hAnsi="Times New Roman"/>
                <w:kern w:val="0"/>
                <w:sz w:val="18"/>
                <w:szCs w:val="18"/>
              </w:rPr>
              <w:t>Bi</w:t>
            </w:r>
          </w:p>
        </w:tc>
        <w:tc>
          <w:tcPr>
            <w:tcW w:w="180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1.5</w:t>
            </w:r>
          </w:p>
        </w:tc>
        <w:tc>
          <w:tcPr>
            <w:tcW w:w="1418"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0</w:t>
            </w:r>
          </w:p>
        </w:tc>
        <w:tc>
          <w:tcPr>
            <w:tcW w:w="2268" w:type="dxa"/>
            <w:vAlign w:val="center"/>
          </w:tcPr>
          <w:p>
            <w:pPr>
              <w:spacing w:line="340" w:lineRule="exact"/>
              <w:rPr>
                <w:rFonts w:ascii="Times New Roman" w:hAnsi="Times New Roman"/>
                <w:kern w:val="0"/>
                <w:sz w:val="18"/>
                <w:szCs w:val="18"/>
              </w:rPr>
            </w:pPr>
            <w:r>
              <w:rPr>
                <w:rFonts w:ascii="Times New Roman" w:hAnsi="Times New Roman"/>
                <w:kern w:val="0"/>
                <w:sz w:val="18"/>
                <w:szCs w:val="18"/>
              </w:rPr>
              <w:t>终点敏锐，稳定</w:t>
            </w:r>
          </w:p>
        </w:tc>
        <w:tc>
          <w:tcPr>
            <w:tcW w:w="954" w:type="dxa"/>
          </w:tcPr>
          <w:p>
            <w:pPr>
              <w:spacing w:line="340" w:lineRule="exact"/>
              <w:jc w:val="center"/>
              <w:rPr>
                <w:rFonts w:ascii="Times New Roman" w:hAnsi="Times New Roman"/>
                <w:kern w:val="0"/>
                <w:sz w:val="18"/>
                <w:szCs w:val="18"/>
              </w:rPr>
            </w:pPr>
            <w:r>
              <w:rPr>
                <w:rFonts w:ascii="Times New Roman" w:hAnsi="Times New Roman"/>
                <w:kern w:val="0"/>
                <w:sz w:val="18"/>
                <w:szCs w:val="18"/>
              </w:rPr>
              <w:t>7.82</w:t>
            </w:r>
          </w:p>
        </w:tc>
        <w:tc>
          <w:tcPr>
            <w:tcW w:w="954" w:type="dxa"/>
          </w:tcPr>
          <w:p>
            <w:pPr>
              <w:spacing w:line="340" w:lineRule="exac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ind w:firstLine="540" w:firstLineChars="300"/>
              <w:rPr>
                <w:rFonts w:ascii="Times New Roman" w:hAnsi="Times New Roman"/>
                <w:sz w:val="18"/>
                <w:szCs w:val="18"/>
              </w:rPr>
            </w:pPr>
            <w:r>
              <w:rPr>
                <w:rFonts w:ascii="Times New Roman" w:hAnsi="Times New Roman"/>
                <w:bCs/>
                <w:sz w:val="18"/>
                <w:szCs w:val="18"/>
              </w:rPr>
              <w:t>2</w:t>
            </w:r>
            <w:r>
              <w:rPr>
                <w:rFonts w:ascii="Times New Roman" w:hAnsi="Times New Roman"/>
                <w:bCs/>
                <w:sz w:val="18"/>
                <w:szCs w:val="18"/>
                <w:vertAlign w:val="superscript"/>
              </w:rPr>
              <w:t>#</w:t>
            </w:r>
            <w:r>
              <w:rPr>
                <w:rFonts w:ascii="Times New Roman" w:hAnsi="Times New Roman"/>
                <w:kern w:val="0"/>
                <w:sz w:val="18"/>
                <w:szCs w:val="18"/>
              </w:rPr>
              <w:t>Bi</w:t>
            </w:r>
          </w:p>
        </w:tc>
        <w:tc>
          <w:tcPr>
            <w:tcW w:w="180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0.5</w:t>
            </w:r>
          </w:p>
        </w:tc>
        <w:tc>
          <w:tcPr>
            <w:tcW w:w="1418"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0</w:t>
            </w:r>
          </w:p>
        </w:tc>
        <w:tc>
          <w:tcPr>
            <w:tcW w:w="2268" w:type="dxa"/>
            <w:vAlign w:val="center"/>
          </w:tcPr>
          <w:p>
            <w:pPr>
              <w:spacing w:line="340" w:lineRule="exact"/>
              <w:jc w:val="center"/>
              <w:rPr>
                <w:rFonts w:ascii="Times New Roman" w:hAnsi="Times New Roman"/>
                <w:kern w:val="0"/>
                <w:sz w:val="18"/>
                <w:szCs w:val="18"/>
              </w:rPr>
            </w:pPr>
            <w:r>
              <w:rPr>
                <w:rFonts w:ascii="Times New Roman" w:hAnsi="Times New Roman"/>
                <w:sz w:val="18"/>
                <w:szCs w:val="18"/>
              </w:rPr>
              <w:t>浸出时沉淀粘烧杯，结果偏低。</w:t>
            </w:r>
          </w:p>
        </w:tc>
        <w:tc>
          <w:tcPr>
            <w:tcW w:w="954" w:type="dxa"/>
          </w:tcPr>
          <w:p>
            <w:pPr>
              <w:spacing w:line="340" w:lineRule="exact"/>
              <w:jc w:val="center"/>
              <w:rPr>
                <w:rFonts w:ascii="Times New Roman" w:hAnsi="Times New Roman"/>
                <w:kern w:val="0"/>
                <w:sz w:val="18"/>
                <w:szCs w:val="18"/>
              </w:rPr>
            </w:pPr>
            <w:r>
              <w:rPr>
                <w:rFonts w:ascii="Times New Roman" w:hAnsi="Times New Roman"/>
                <w:kern w:val="0"/>
                <w:sz w:val="18"/>
                <w:szCs w:val="18"/>
              </w:rPr>
              <w:t>7.47</w:t>
            </w:r>
          </w:p>
        </w:tc>
        <w:tc>
          <w:tcPr>
            <w:tcW w:w="954" w:type="dxa"/>
          </w:tcPr>
          <w:p>
            <w:pPr>
              <w:spacing w:line="340" w:lineRule="exac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ind w:firstLine="540" w:firstLineChars="300"/>
              <w:rPr>
                <w:rFonts w:ascii="Times New Roman" w:hAnsi="Times New Roman"/>
                <w:sz w:val="18"/>
                <w:szCs w:val="18"/>
              </w:rPr>
            </w:pPr>
            <w:r>
              <w:rPr>
                <w:rFonts w:ascii="Times New Roman" w:hAnsi="Times New Roman"/>
                <w:bCs/>
                <w:sz w:val="18"/>
                <w:szCs w:val="18"/>
              </w:rPr>
              <w:t>2</w:t>
            </w:r>
            <w:r>
              <w:rPr>
                <w:rFonts w:ascii="Times New Roman" w:hAnsi="Times New Roman"/>
                <w:bCs/>
                <w:sz w:val="18"/>
                <w:szCs w:val="18"/>
                <w:vertAlign w:val="superscript"/>
              </w:rPr>
              <w:t>#</w:t>
            </w:r>
            <w:r>
              <w:rPr>
                <w:rFonts w:ascii="Times New Roman" w:hAnsi="Times New Roman"/>
                <w:kern w:val="0"/>
                <w:sz w:val="18"/>
                <w:szCs w:val="18"/>
              </w:rPr>
              <w:t>Bi</w:t>
            </w:r>
          </w:p>
        </w:tc>
        <w:tc>
          <w:tcPr>
            <w:tcW w:w="180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1.0</w:t>
            </w:r>
          </w:p>
        </w:tc>
        <w:tc>
          <w:tcPr>
            <w:tcW w:w="1418"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0</w:t>
            </w:r>
          </w:p>
        </w:tc>
        <w:tc>
          <w:tcPr>
            <w:tcW w:w="2268" w:type="dxa"/>
            <w:vAlign w:val="center"/>
          </w:tcPr>
          <w:p>
            <w:pPr>
              <w:spacing w:line="340" w:lineRule="exact"/>
              <w:jc w:val="center"/>
              <w:rPr>
                <w:rFonts w:ascii="Times New Roman" w:hAnsi="Times New Roman"/>
                <w:kern w:val="0"/>
                <w:sz w:val="18"/>
                <w:szCs w:val="18"/>
              </w:rPr>
            </w:pPr>
            <w:r>
              <w:rPr>
                <w:rFonts w:ascii="Times New Roman" w:hAnsi="Times New Roman"/>
                <w:sz w:val="18"/>
                <w:szCs w:val="18"/>
              </w:rPr>
              <w:t>浸出时少量沉淀粘烧杯，结果偏低。</w:t>
            </w:r>
          </w:p>
        </w:tc>
        <w:tc>
          <w:tcPr>
            <w:tcW w:w="954" w:type="dxa"/>
          </w:tcPr>
          <w:p>
            <w:pPr>
              <w:spacing w:line="340" w:lineRule="exact"/>
              <w:jc w:val="center"/>
              <w:rPr>
                <w:rFonts w:ascii="Times New Roman" w:hAnsi="Times New Roman"/>
                <w:kern w:val="0"/>
                <w:sz w:val="18"/>
                <w:szCs w:val="18"/>
              </w:rPr>
            </w:pPr>
            <w:r>
              <w:rPr>
                <w:rFonts w:ascii="Times New Roman" w:hAnsi="Times New Roman"/>
                <w:kern w:val="0"/>
                <w:sz w:val="18"/>
                <w:szCs w:val="18"/>
              </w:rPr>
              <w:t>7.54</w:t>
            </w:r>
          </w:p>
        </w:tc>
        <w:tc>
          <w:tcPr>
            <w:tcW w:w="954" w:type="dxa"/>
          </w:tcPr>
          <w:p>
            <w:pPr>
              <w:spacing w:line="340" w:lineRule="exac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ind w:firstLine="540" w:firstLineChars="300"/>
              <w:rPr>
                <w:rFonts w:ascii="Times New Roman" w:hAnsi="Times New Roman"/>
                <w:sz w:val="18"/>
                <w:szCs w:val="18"/>
              </w:rPr>
            </w:pPr>
            <w:r>
              <w:rPr>
                <w:rFonts w:ascii="Times New Roman" w:hAnsi="Times New Roman"/>
                <w:bCs/>
                <w:sz w:val="18"/>
                <w:szCs w:val="18"/>
              </w:rPr>
              <w:t>2</w:t>
            </w:r>
            <w:r>
              <w:rPr>
                <w:rFonts w:ascii="Times New Roman" w:hAnsi="Times New Roman"/>
                <w:bCs/>
                <w:sz w:val="18"/>
                <w:szCs w:val="18"/>
                <w:vertAlign w:val="superscript"/>
              </w:rPr>
              <w:t>#</w:t>
            </w:r>
            <w:r>
              <w:rPr>
                <w:rFonts w:ascii="Times New Roman" w:hAnsi="Times New Roman"/>
                <w:kern w:val="0"/>
                <w:sz w:val="18"/>
                <w:szCs w:val="18"/>
              </w:rPr>
              <w:t>Bi</w:t>
            </w:r>
          </w:p>
        </w:tc>
        <w:tc>
          <w:tcPr>
            <w:tcW w:w="180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1.5</w:t>
            </w:r>
          </w:p>
        </w:tc>
        <w:tc>
          <w:tcPr>
            <w:tcW w:w="1418"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0</w:t>
            </w:r>
          </w:p>
        </w:tc>
        <w:tc>
          <w:tcPr>
            <w:tcW w:w="2268" w:type="dxa"/>
            <w:vAlign w:val="center"/>
          </w:tcPr>
          <w:p>
            <w:pPr>
              <w:spacing w:line="340" w:lineRule="exact"/>
              <w:jc w:val="center"/>
              <w:rPr>
                <w:rFonts w:ascii="Times New Roman" w:hAnsi="Times New Roman"/>
                <w:kern w:val="0"/>
                <w:sz w:val="18"/>
                <w:szCs w:val="18"/>
              </w:rPr>
            </w:pPr>
            <w:r>
              <w:rPr>
                <w:rFonts w:ascii="Times New Roman" w:hAnsi="Times New Roman"/>
                <w:sz w:val="18"/>
                <w:szCs w:val="18"/>
              </w:rPr>
              <w:t>浸取完全，测定结果稳定</w:t>
            </w:r>
          </w:p>
        </w:tc>
        <w:tc>
          <w:tcPr>
            <w:tcW w:w="954" w:type="dxa"/>
          </w:tcPr>
          <w:p>
            <w:pPr>
              <w:spacing w:line="340" w:lineRule="exact"/>
              <w:jc w:val="center"/>
              <w:rPr>
                <w:rFonts w:ascii="Times New Roman" w:hAnsi="Times New Roman"/>
                <w:kern w:val="0"/>
                <w:sz w:val="18"/>
                <w:szCs w:val="18"/>
              </w:rPr>
            </w:pPr>
            <w:r>
              <w:rPr>
                <w:rFonts w:ascii="Times New Roman" w:hAnsi="Times New Roman"/>
                <w:kern w:val="0"/>
                <w:sz w:val="18"/>
                <w:szCs w:val="18"/>
              </w:rPr>
              <w:t>7.76</w:t>
            </w:r>
          </w:p>
        </w:tc>
        <w:tc>
          <w:tcPr>
            <w:tcW w:w="954" w:type="dxa"/>
          </w:tcPr>
          <w:p>
            <w:pPr>
              <w:spacing w:line="340" w:lineRule="exac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90" w:type="dxa"/>
            <w:vAlign w:val="center"/>
          </w:tcPr>
          <w:p>
            <w:pPr>
              <w:spacing w:line="340" w:lineRule="exact"/>
              <w:ind w:firstLine="540" w:firstLineChars="300"/>
              <w:rPr>
                <w:rFonts w:ascii="Times New Roman" w:hAnsi="Times New Roman"/>
                <w:bCs/>
                <w:sz w:val="18"/>
                <w:szCs w:val="18"/>
              </w:rPr>
            </w:pPr>
            <w:r>
              <w:rPr>
                <w:rFonts w:ascii="Times New Roman" w:hAnsi="Times New Roman"/>
                <w:bCs/>
                <w:sz w:val="18"/>
                <w:szCs w:val="18"/>
              </w:rPr>
              <w:t>2</w:t>
            </w:r>
            <w:r>
              <w:rPr>
                <w:rFonts w:ascii="Times New Roman" w:hAnsi="Times New Roman"/>
                <w:bCs/>
                <w:sz w:val="18"/>
                <w:szCs w:val="18"/>
                <w:vertAlign w:val="superscript"/>
              </w:rPr>
              <w:t>#</w:t>
            </w:r>
            <w:r>
              <w:rPr>
                <w:rFonts w:ascii="Times New Roman" w:hAnsi="Times New Roman"/>
                <w:kern w:val="0"/>
                <w:sz w:val="18"/>
                <w:szCs w:val="18"/>
              </w:rPr>
              <w:t>Bi</w:t>
            </w:r>
          </w:p>
        </w:tc>
        <w:tc>
          <w:tcPr>
            <w:tcW w:w="1805"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2.0</w:t>
            </w:r>
          </w:p>
        </w:tc>
        <w:tc>
          <w:tcPr>
            <w:tcW w:w="1418" w:type="dxa"/>
            <w:vAlign w:val="center"/>
          </w:tcPr>
          <w:p>
            <w:pPr>
              <w:spacing w:line="340" w:lineRule="exact"/>
              <w:jc w:val="center"/>
              <w:rPr>
                <w:rFonts w:ascii="Times New Roman" w:hAnsi="Times New Roman"/>
                <w:kern w:val="0"/>
                <w:sz w:val="18"/>
                <w:szCs w:val="18"/>
              </w:rPr>
            </w:pPr>
            <w:r>
              <w:rPr>
                <w:rFonts w:ascii="Times New Roman" w:hAnsi="Times New Roman"/>
                <w:kern w:val="0"/>
                <w:sz w:val="18"/>
                <w:szCs w:val="18"/>
              </w:rPr>
              <w:t>0</w:t>
            </w:r>
          </w:p>
        </w:tc>
        <w:tc>
          <w:tcPr>
            <w:tcW w:w="2268" w:type="dxa"/>
            <w:vAlign w:val="center"/>
          </w:tcPr>
          <w:p>
            <w:pPr>
              <w:spacing w:line="340" w:lineRule="exact"/>
              <w:jc w:val="center"/>
              <w:rPr>
                <w:rFonts w:ascii="Times New Roman" w:hAnsi="Times New Roman"/>
                <w:kern w:val="0"/>
                <w:sz w:val="18"/>
                <w:szCs w:val="18"/>
              </w:rPr>
            </w:pPr>
            <w:r>
              <w:rPr>
                <w:rFonts w:ascii="Times New Roman" w:hAnsi="Times New Roman"/>
                <w:sz w:val="18"/>
                <w:szCs w:val="18"/>
              </w:rPr>
              <w:t>浸取完全，测定结果稳定</w:t>
            </w:r>
          </w:p>
        </w:tc>
        <w:tc>
          <w:tcPr>
            <w:tcW w:w="954" w:type="dxa"/>
          </w:tcPr>
          <w:p>
            <w:pPr>
              <w:spacing w:line="340" w:lineRule="exact"/>
              <w:jc w:val="center"/>
              <w:rPr>
                <w:rFonts w:ascii="Times New Roman" w:hAnsi="Times New Roman"/>
                <w:kern w:val="0"/>
                <w:sz w:val="18"/>
                <w:szCs w:val="18"/>
              </w:rPr>
            </w:pPr>
            <w:r>
              <w:rPr>
                <w:rFonts w:ascii="Times New Roman" w:hAnsi="Times New Roman"/>
                <w:kern w:val="0"/>
                <w:sz w:val="18"/>
                <w:szCs w:val="18"/>
              </w:rPr>
              <w:t>7.74</w:t>
            </w:r>
          </w:p>
        </w:tc>
        <w:tc>
          <w:tcPr>
            <w:tcW w:w="954" w:type="dxa"/>
          </w:tcPr>
          <w:p>
            <w:pPr>
              <w:spacing w:line="340" w:lineRule="exact"/>
              <w:jc w:val="center"/>
              <w:rPr>
                <w:rFonts w:ascii="Times New Roman" w:hAnsi="Times New Roman"/>
                <w:kern w:val="0"/>
                <w:sz w:val="18"/>
                <w:szCs w:val="18"/>
              </w:rPr>
            </w:pPr>
          </w:p>
        </w:tc>
      </w:tr>
    </w:tbl>
    <w:p>
      <w:pPr>
        <w:ind w:firstLine="210" w:firstLineChars="100"/>
        <w:rPr>
          <w:rFonts w:ascii="Times New Roman" w:hAnsi="Times New Roman"/>
          <w:szCs w:val="21"/>
        </w:rPr>
      </w:pPr>
      <w:r>
        <w:rPr>
          <w:rFonts w:ascii="Times New Roman" w:hAnsi="Times New Roman"/>
          <w:szCs w:val="21"/>
        </w:rPr>
        <w:t xml:space="preserve">  由表1</w:t>
      </w:r>
      <w:r>
        <w:rPr>
          <w:rFonts w:hint="eastAsia" w:ascii="Times New Roman" w:hAnsi="Times New Roman"/>
          <w:szCs w:val="21"/>
        </w:rPr>
        <w:t>6</w:t>
      </w:r>
      <w:r>
        <w:rPr>
          <w:rFonts w:ascii="Times New Roman" w:hAnsi="Times New Roman"/>
          <w:szCs w:val="21"/>
        </w:rPr>
        <w:t xml:space="preserve"> 可以看出，经试验加入硝酸1.5 mL </w:t>
      </w:r>
      <w:r>
        <w:rPr>
          <w:rFonts w:ascii="Times New Roman" w:hAnsi="Times New Roman"/>
          <w:kern w:val="0"/>
          <w:szCs w:val="21"/>
        </w:rPr>
        <w:t>~ 2</w:t>
      </w:r>
      <w:r>
        <w:rPr>
          <w:rFonts w:ascii="Times New Roman" w:hAnsi="Times New Roman"/>
          <w:szCs w:val="21"/>
        </w:rPr>
        <w:t xml:space="preserve"> mL可以使浸取完全，测定结果稳定。试验选择加入1.5 mL硝酸（</w:t>
      </w:r>
      <w:r>
        <w:rPr>
          <w:rFonts w:ascii="Times New Roman" w:hAnsi="Times New Roman"/>
          <w:bCs/>
          <w:szCs w:val="21"/>
        </w:rPr>
        <w:t>1.2</w:t>
      </w:r>
      <w:r>
        <w:rPr>
          <w:rFonts w:ascii="Times New Roman" w:hAnsi="Times New Roman"/>
          <w:szCs w:val="21"/>
        </w:rPr>
        <w:t>.3）浸取，滴定终点敏锐，结果精密度好，准确度高。</w:t>
      </w:r>
    </w:p>
    <w:p>
      <w:pPr>
        <w:rPr>
          <w:rFonts w:ascii="Times New Roman" w:hAnsi="Times New Roman"/>
          <w:szCs w:val="21"/>
        </w:rPr>
      </w:pPr>
    </w:p>
    <w:p>
      <w:pPr>
        <w:numPr>
          <w:ilvl w:val="0"/>
          <w:numId w:val="6"/>
        </w:numPr>
        <w:ind w:firstLine="420" w:firstLineChars="200"/>
        <w:rPr>
          <w:rFonts w:ascii="Times New Roman" w:hAnsi="Times New Roman"/>
          <w:szCs w:val="21"/>
        </w:rPr>
      </w:pPr>
      <w:r>
        <w:rPr>
          <w:rFonts w:ascii="Times New Roman" w:hAnsi="Times New Roman"/>
          <w:szCs w:val="21"/>
        </w:rPr>
        <w:t>高氯酸除硒后铋的回收率试验。</w:t>
      </w:r>
    </w:p>
    <w:p>
      <w:pPr>
        <w:ind w:firstLine="420" w:firstLineChars="200"/>
        <w:rPr>
          <w:rFonts w:ascii="Times New Roman" w:hAnsi="Times New Roman"/>
          <w:szCs w:val="21"/>
        </w:rPr>
      </w:pPr>
      <w:r>
        <w:rPr>
          <w:rFonts w:ascii="Times New Roman" w:hAnsi="Times New Roman"/>
          <w:bCs/>
          <w:szCs w:val="21"/>
        </w:rPr>
        <w:t>按试验方法(</w:t>
      </w:r>
      <w:r>
        <w:rPr>
          <w:rFonts w:ascii="Times New Roman" w:hAnsi="Times New Roman"/>
          <w:szCs w:val="21"/>
        </w:rPr>
        <w:t xml:space="preserve">2.4.1.2.2 </w:t>
      </w:r>
      <w:r>
        <w:rPr>
          <w:rFonts w:ascii="Times New Roman" w:hAnsi="Times New Roman"/>
          <w:bCs/>
          <w:szCs w:val="21"/>
        </w:rPr>
        <w:t>)，用2#样品进行</w:t>
      </w:r>
      <w:r>
        <w:rPr>
          <w:rFonts w:ascii="Times New Roman" w:hAnsi="Times New Roman"/>
          <w:szCs w:val="21"/>
        </w:rPr>
        <w:t>试验报告中增加，高氯酸除硒后铋的回收率试验，铋量测定结果的影响见表</w:t>
      </w:r>
      <w:r>
        <w:rPr>
          <w:rFonts w:hint="eastAsia" w:ascii="Times New Roman" w:hAnsi="Times New Roman"/>
          <w:szCs w:val="21"/>
        </w:rPr>
        <w:t>17</w:t>
      </w:r>
      <w:r>
        <w:rPr>
          <w:rFonts w:ascii="Times New Roman" w:hAnsi="Times New Roman"/>
          <w:szCs w:val="21"/>
        </w:rPr>
        <w:t>。</w:t>
      </w:r>
    </w:p>
    <w:p>
      <w:pPr>
        <w:ind w:firstLine="420" w:firstLineChars="200"/>
        <w:rPr>
          <w:rFonts w:ascii="Times New Roman" w:hAnsi="Times New Roman"/>
          <w:szCs w:val="21"/>
        </w:rPr>
      </w:pPr>
    </w:p>
    <w:p>
      <w:pPr>
        <w:ind w:firstLine="435"/>
        <w:jc w:val="center"/>
        <w:outlineLvl w:val="0"/>
        <w:rPr>
          <w:rFonts w:ascii="Times New Roman" w:hAnsi="Times New Roman"/>
          <w:szCs w:val="21"/>
        </w:rPr>
      </w:pPr>
      <w:r>
        <w:rPr>
          <w:rFonts w:ascii="Times New Roman" w:hAnsi="Times New Roman"/>
          <w:szCs w:val="21"/>
        </w:rPr>
        <w:t>表</w:t>
      </w:r>
      <w:r>
        <w:rPr>
          <w:rFonts w:hint="eastAsia" w:ascii="Times New Roman" w:hAnsi="Times New Roman"/>
          <w:szCs w:val="21"/>
        </w:rPr>
        <w:t>17</w:t>
      </w:r>
      <w:r>
        <w:rPr>
          <w:rFonts w:ascii="Times New Roman" w:hAnsi="Times New Roman"/>
          <w:szCs w:val="21"/>
        </w:rPr>
        <w:t xml:space="preserve"> 高氯酸挥发除去硒后铋量的回收试验</w:t>
      </w:r>
    </w:p>
    <w:p>
      <w:pPr>
        <w:ind w:firstLine="435"/>
        <w:jc w:val="center"/>
        <w:outlineLvl w:val="0"/>
        <w:rPr>
          <w:rFonts w:ascii="Times New Roman" w:hAnsi="Times New Roman"/>
          <w:szCs w:val="21"/>
        </w:rPr>
      </w:pPr>
    </w:p>
    <w:tbl>
      <w:tblPr>
        <w:tblStyle w:val="32"/>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26"/>
        <w:gridCol w:w="2632"/>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sz w:val="18"/>
                <w:szCs w:val="18"/>
              </w:rPr>
            </w:pPr>
            <w:r>
              <w:rPr>
                <w:rFonts w:ascii="Times New Roman" w:hAnsi="Times New Roman"/>
                <w:sz w:val="18"/>
                <w:szCs w:val="18"/>
              </w:rPr>
              <w:t>加入硒量mg</w:t>
            </w:r>
          </w:p>
        </w:tc>
        <w:tc>
          <w:tcPr>
            <w:tcW w:w="2126" w:type="dxa"/>
            <w:vAlign w:val="center"/>
          </w:tcPr>
          <w:p>
            <w:pPr>
              <w:jc w:val="center"/>
              <w:rPr>
                <w:rFonts w:ascii="Times New Roman" w:hAnsi="Times New Roman"/>
                <w:sz w:val="18"/>
                <w:szCs w:val="18"/>
              </w:rPr>
            </w:pPr>
            <w:r>
              <w:rPr>
                <w:rFonts w:ascii="Times New Roman" w:hAnsi="Times New Roman"/>
                <w:sz w:val="18"/>
                <w:szCs w:val="18"/>
              </w:rPr>
              <w:t>加入铋量mg</w:t>
            </w:r>
          </w:p>
        </w:tc>
        <w:tc>
          <w:tcPr>
            <w:tcW w:w="2632" w:type="dxa"/>
            <w:vAlign w:val="center"/>
          </w:tcPr>
          <w:p>
            <w:pPr>
              <w:jc w:val="center"/>
              <w:rPr>
                <w:rFonts w:ascii="Times New Roman" w:hAnsi="Times New Roman"/>
                <w:sz w:val="18"/>
                <w:szCs w:val="18"/>
              </w:rPr>
            </w:pPr>
            <w:r>
              <w:rPr>
                <w:rFonts w:ascii="Times New Roman" w:hAnsi="Times New Roman"/>
                <w:sz w:val="18"/>
                <w:szCs w:val="18"/>
              </w:rPr>
              <w:t>铋标准的</w:t>
            </w:r>
          </w:p>
          <w:p>
            <w:pPr>
              <w:jc w:val="center"/>
              <w:rPr>
                <w:rFonts w:ascii="Times New Roman" w:hAnsi="Times New Roman"/>
                <w:sz w:val="18"/>
                <w:szCs w:val="18"/>
              </w:rPr>
            </w:pPr>
            <w:r>
              <w:rPr>
                <w:rFonts w:ascii="Times New Roman" w:hAnsi="Times New Roman"/>
                <w:sz w:val="18"/>
                <w:szCs w:val="18"/>
              </w:rPr>
              <w:t>测定量mg</w:t>
            </w:r>
          </w:p>
        </w:tc>
        <w:tc>
          <w:tcPr>
            <w:tcW w:w="2632" w:type="dxa"/>
          </w:tcPr>
          <w:p>
            <w:pPr>
              <w:jc w:val="center"/>
              <w:rPr>
                <w:rFonts w:ascii="Times New Roman" w:hAnsi="Times New Roman"/>
                <w:sz w:val="18"/>
                <w:szCs w:val="18"/>
              </w:rPr>
            </w:pPr>
            <w:r>
              <w:rPr>
                <w:rFonts w:ascii="Times New Roman" w:hAnsi="Times New Roman"/>
                <w:kern w:val="0"/>
                <w:sz w:val="18"/>
                <w:szCs w:val="18"/>
              </w:rPr>
              <w:t>试验现象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sz w:val="18"/>
                <w:szCs w:val="18"/>
              </w:rPr>
            </w:pPr>
            <w:r>
              <w:rPr>
                <w:rFonts w:ascii="Times New Roman" w:hAnsi="Times New Roman"/>
                <w:bCs/>
                <w:sz w:val="18"/>
                <w:szCs w:val="18"/>
              </w:rPr>
              <w:t>0.5</w:t>
            </w:r>
          </w:p>
        </w:tc>
        <w:tc>
          <w:tcPr>
            <w:tcW w:w="2126"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tcPr>
          <w:p>
            <w:pPr>
              <w:jc w:val="center"/>
              <w:rPr>
                <w:rFonts w:ascii="Times New Roman" w:hAnsi="Times New Roman"/>
                <w:bCs/>
                <w:sz w:val="18"/>
                <w:szCs w:val="18"/>
              </w:rPr>
            </w:pPr>
            <w:r>
              <w:rPr>
                <w:rFonts w:ascii="Times New Roman" w:hAnsi="Times New Roman"/>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sz w:val="18"/>
                <w:szCs w:val="18"/>
              </w:rPr>
            </w:pPr>
            <w:r>
              <w:rPr>
                <w:rFonts w:ascii="Times New Roman" w:hAnsi="Times New Roman"/>
                <w:bCs/>
                <w:sz w:val="18"/>
                <w:szCs w:val="18"/>
              </w:rPr>
              <w:t>1</w:t>
            </w:r>
          </w:p>
        </w:tc>
        <w:tc>
          <w:tcPr>
            <w:tcW w:w="2126"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vAlign w:val="center"/>
          </w:tcPr>
          <w:p>
            <w:pPr>
              <w:jc w:val="center"/>
              <w:rPr>
                <w:rFonts w:ascii="Times New Roman" w:hAnsi="Times New Roman"/>
                <w:bCs/>
                <w:sz w:val="18"/>
                <w:szCs w:val="18"/>
              </w:rPr>
            </w:pPr>
            <w:r>
              <w:rPr>
                <w:rFonts w:ascii="Times New Roman" w:hAnsi="Times New Roman"/>
                <w:bCs/>
                <w:sz w:val="18"/>
                <w:szCs w:val="18"/>
              </w:rPr>
              <w:t>19.97</w:t>
            </w:r>
          </w:p>
        </w:tc>
        <w:tc>
          <w:tcPr>
            <w:tcW w:w="2632" w:type="dxa"/>
          </w:tcPr>
          <w:p>
            <w:pPr>
              <w:jc w:val="center"/>
              <w:rPr>
                <w:rFonts w:ascii="Times New Roman" w:hAnsi="Times New Roman"/>
                <w:bCs/>
                <w:sz w:val="18"/>
                <w:szCs w:val="18"/>
              </w:rPr>
            </w:pPr>
            <w:r>
              <w:rPr>
                <w:rFonts w:ascii="Times New Roman" w:hAnsi="Times New Roman"/>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sz w:val="18"/>
                <w:szCs w:val="18"/>
              </w:rPr>
            </w:pPr>
            <w:r>
              <w:rPr>
                <w:rFonts w:ascii="Times New Roman" w:hAnsi="Times New Roman"/>
                <w:bCs/>
                <w:sz w:val="18"/>
                <w:szCs w:val="18"/>
              </w:rPr>
              <w:t>2</w:t>
            </w:r>
          </w:p>
        </w:tc>
        <w:tc>
          <w:tcPr>
            <w:tcW w:w="2126"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vAlign w:val="center"/>
          </w:tcPr>
          <w:p>
            <w:pPr>
              <w:jc w:val="center"/>
              <w:rPr>
                <w:rFonts w:ascii="Times New Roman" w:hAnsi="Times New Roman"/>
                <w:bCs/>
                <w:sz w:val="18"/>
                <w:szCs w:val="18"/>
              </w:rPr>
            </w:pPr>
            <w:r>
              <w:rPr>
                <w:rFonts w:ascii="Times New Roman" w:hAnsi="Times New Roman"/>
                <w:bCs/>
                <w:sz w:val="18"/>
                <w:szCs w:val="18"/>
              </w:rPr>
              <w:t>20.00</w:t>
            </w:r>
          </w:p>
        </w:tc>
        <w:tc>
          <w:tcPr>
            <w:tcW w:w="2632" w:type="dxa"/>
          </w:tcPr>
          <w:p>
            <w:pPr>
              <w:jc w:val="center"/>
              <w:rPr>
                <w:rFonts w:ascii="Times New Roman" w:hAnsi="Times New Roman"/>
                <w:bCs/>
                <w:sz w:val="18"/>
                <w:szCs w:val="18"/>
              </w:rPr>
            </w:pPr>
            <w:r>
              <w:rPr>
                <w:rFonts w:ascii="Times New Roman" w:hAnsi="Times New Roman"/>
                <w:kern w:val="0"/>
                <w:sz w:val="18"/>
                <w:szCs w:val="18"/>
              </w:rPr>
              <w:t>终点敏锐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bCs/>
                <w:sz w:val="18"/>
                <w:szCs w:val="18"/>
              </w:rPr>
            </w:pPr>
            <w:r>
              <w:rPr>
                <w:rFonts w:ascii="Times New Roman" w:hAnsi="Times New Roman"/>
                <w:bCs/>
                <w:sz w:val="18"/>
                <w:szCs w:val="18"/>
              </w:rPr>
              <w:t>4</w:t>
            </w:r>
          </w:p>
        </w:tc>
        <w:tc>
          <w:tcPr>
            <w:tcW w:w="2126" w:type="dxa"/>
            <w:vAlign w:val="center"/>
          </w:tcPr>
          <w:p>
            <w:pPr>
              <w:jc w:val="center"/>
              <w:rPr>
                <w:rFonts w:ascii="Times New Roman" w:hAnsi="Times New Roman"/>
                <w:sz w:val="18"/>
                <w:szCs w:val="18"/>
              </w:rPr>
            </w:pPr>
            <w:r>
              <w:rPr>
                <w:rFonts w:ascii="Times New Roman" w:hAnsi="Times New Roman"/>
                <w:bCs/>
                <w:sz w:val="18"/>
                <w:szCs w:val="18"/>
              </w:rPr>
              <w:t>20.00</w:t>
            </w:r>
          </w:p>
        </w:tc>
        <w:tc>
          <w:tcPr>
            <w:tcW w:w="2632" w:type="dxa"/>
            <w:vAlign w:val="center"/>
          </w:tcPr>
          <w:p>
            <w:pPr>
              <w:jc w:val="center"/>
              <w:rPr>
                <w:rFonts w:ascii="Times New Roman" w:hAnsi="Times New Roman"/>
                <w:sz w:val="18"/>
                <w:szCs w:val="18"/>
              </w:rPr>
            </w:pPr>
            <w:r>
              <w:rPr>
                <w:rFonts w:ascii="Times New Roman" w:hAnsi="Times New Roman"/>
                <w:sz w:val="18"/>
                <w:szCs w:val="18"/>
              </w:rPr>
              <w:t>20.02</w:t>
            </w:r>
          </w:p>
        </w:tc>
        <w:tc>
          <w:tcPr>
            <w:tcW w:w="2632" w:type="dxa"/>
          </w:tcPr>
          <w:p>
            <w:pPr>
              <w:jc w:val="center"/>
              <w:rPr>
                <w:rFonts w:ascii="Times New Roman" w:hAnsi="Times New Roman"/>
                <w:sz w:val="18"/>
                <w:szCs w:val="18"/>
              </w:rPr>
            </w:pPr>
            <w:r>
              <w:rPr>
                <w:rFonts w:ascii="Times New Roman" w:hAnsi="Times New Roman"/>
                <w:kern w:val="0"/>
                <w:sz w:val="18"/>
                <w:szCs w:val="18"/>
              </w:rPr>
              <w:t>终点敏锐</w:t>
            </w:r>
          </w:p>
        </w:tc>
      </w:tr>
    </w:tbl>
    <w:p>
      <w:pPr>
        <w:ind w:firstLine="435"/>
        <w:outlineLvl w:val="0"/>
        <w:rPr>
          <w:rFonts w:ascii="Times New Roman" w:hAnsi="Times New Roman"/>
          <w:szCs w:val="21"/>
        </w:rPr>
      </w:pPr>
      <w:r>
        <w:rPr>
          <w:rFonts w:ascii="Times New Roman" w:hAnsi="Times New Roman"/>
          <w:szCs w:val="21"/>
        </w:rPr>
        <w:t xml:space="preserve"> </w:t>
      </w:r>
    </w:p>
    <w:p>
      <w:pPr>
        <w:ind w:firstLine="435"/>
        <w:jc w:val="left"/>
        <w:outlineLvl w:val="0"/>
        <w:rPr>
          <w:rFonts w:ascii="Times New Roman" w:hAnsi="Times New Roman"/>
          <w:szCs w:val="21"/>
        </w:rPr>
      </w:pPr>
      <w:r>
        <w:rPr>
          <w:rFonts w:ascii="Times New Roman" w:hAnsi="Times New Roman"/>
          <w:szCs w:val="21"/>
        </w:rPr>
        <w:t>由表</w:t>
      </w:r>
      <w:r>
        <w:rPr>
          <w:rFonts w:hint="eastAsia" w:ascii="Times New Roman" w:hAnsi="Times New Roman"/>
          <w:szCs w:val="21"/>
        </w:rPr>
        <w:t>17</w:t>
      </w:r>
      <w:r>
        <w:rPr>
          <w:rFonts w:ascii="Times New Roman" w:hAnsi="Times New Roman"/>
          <w:szCs w:val="21"/>
        </w:rPr>
        <w:t xml:space="preserve"> 可以看出，采用在</w:t>
      </w:r>
      <w:r>
        <w:rPr>
          <w:rFonts w:ascii="Times New Roman" w:hAnsi="Times New Roman"/>
          <w:kern w:val="0"/>
          <w:szCs w:val="21"/>
        </w:rPr>
        <w:t>高氯酸冒</w:t>
      </w:r>
      <w:r>
        <w:rPr>
          <w:rFonts w:ascii="Times New Roman" w:hAnsi="Times New Roman"/>
          <w:szCs w:val="21"/>
        </w:rPr>
        <w:t>烟时加入盐酸—氢溴酸挥发除去硒，近干时盐类少容易浸取，剩余1</w:t>
      </w:r>
      <w:r>
        <w:rPr>
          <w:rFonts w:ascii="Times New Roman" w:hAnsi="Times New Roman"/>
          <w:bCs/>
          <w:szCs w:val="21"/>
        </w:rPr>
        <w:t xml:space="preserve"> mL</w:t>
      </w:r>
      <w:r>
        <w:rPr>
          <w:rFonts w:ascii="Times New Roman" w:hAnsi="Times New Roman"/>
          <w:kern w:val="0"/>
          <w:szCs w:val="21"/>
        </w:rPr>
        <w:t>高氯酸时，余温会使试液变为湿</w:t>
      </w:r>
      <w:r>
        <w:rPr>
          <w:rFonts w:ascii="Times New Roman" w:hAnsi="Times New Roman"/>
          <w:szCs w:val="21"/>
        </w:rPr>
        <w:t>盐状，残留</w:t>
      </w:r>
      <w:r>
        <w:rPr>
          <w:rFonts w:ascii="Times New Roman" w:hAnsi="Times New Roman"/>
          <w:kern w:val="0"/>
          <w:szCs w:val="21"/>
        </w:rPr>
        <w:t>高氯酸对测定铋无影响。试验</w:t>
      </w:r>
      <w:r>
        <w:rPr>
          <w:rFonts w:ascii="Times New Roman" w:hAnsi="Times New Roman"/>
          <w:bCs/>
          <w:szCs w:val="21"/>
        </w:rPr>
        <w:t>选择</w:t>
      </w:r>
      <w:r>
        <w:rPr>
          <w:rFonts w:ascii="Times New Roman" w:hAnsi="Times New Roman"/>
          <w:kern w:val="0"/>
          <w:szCs w:val="21"/>
        </w:rPr>
        <w:t>高氯酸－</w:t>
      </w:r>
      <w:r>
        <w:rPr>
          <w:rFonts w:ascii="Times New Roman" w:hAnsi="Times New Roman"/>
          <w:szCs w:val="21"/>
        </w:rPr>
        <w:t>盐酸—氢溴酸挥发除去硒</w:t>
      </w:r>
      <w:r>
        <w:rPr>
          <w:rFonts w:ascii="Times New Roman" w:hAnsi="Times New Roman"/>
          <w:kern w:val="0"/>
          <w:szCs w:val="21"/>
        </w:rPr>
        <w:t>。</w:t>
      </w:r>
    </w:p>
    <w:p>
      <w:pPr>
        <w:ind w:firstLine="435"/>
        <w:jc w:val="left"/>
        <w:outlineLvl w:val="0"/>
        <w:rPr>
          <w:rFonts w:ascii="Times New Roman" w:hAnsi="Times New Roman"/>
          <w:szCs w:val="21"/>
        </w:rPr>
      </w:pPr>
    </w:p>
    <w:p>
      <w:pPr>
        <w:jc w:val="left"/>
        <w:outlineLvl w:val="0"/>
        <w:rPr>
          <w:rFonts w:ascii="Times New Roman" w:hAnsi="Times New Roman" w:eastAsia="黑体"/>
          <w:sz w:val="24"/>
          <w:szCs w:val="24"/>
          <w:lang w:bidi="he-IL"/>
        </w:rPr>
      </w:pPr>
    </w:p>
    <w:p>
      <w:pPr>
        <w:jc w:val="left"/>
        <w:outlineLvl w:val="0"/>
        <w:rPr>
          <w:rFonts w:ascii="Times New Roman" w:hAnsi="Times New Roman" w:eastAsia="黑体"/>
          <w:sz w:val="24"/>
          <w:szCs w:val="24"/>
          <w:lang w:bidi="he-IL"/>
        </w:rPr>
      </w:pPr>
    </w:p>
    <w:p>
      <w:pPr>
        <w:jc w:val="left"/>
        <w:outlineLvl w:val="0"/>
        <w:rPr>
          <w:rFonts w:ascii="Times New Roman" w:hAnsi="Times New Roman" w:eastAsia="黑体"/>
          <w:sz w:val="24"/>
          <w:szCs w:val="24"/>
          <w:lang w:bidi="he-IL"/>
        </w:rPr>
      </w:pPr>
    </w:p>
    <w:p>
      <w:pPr>
        <w:jc w:val="left"/>
        <w:outlineLvl w:val="0"/>
        <w:rPr>
          <w:rFonts w:ascii="Times New Roman" w:hAnsi="Times New Roman"/>
          <w:szCs w:val="21"/>
        </w:rPr>
      </w:pPr>
      <w:r>
        <w:rPr>
          <w:rFonts w:ascii="Times New Roman" w:hAnsi="Times New Roman" w:eastAsia="黑体"/>
          <w:sz w:val="24"/>
          <w:szCs w:val="24"/>
          <w:lang w:bidi="he-IL"/>
        </w:rPr>
        <w:t>附件2 数据处理汇总表</w:t>
      </w:r>
    </w:p>
    <w:p>
      <w:pPr>
        <w:spacing w:line="360" w:lineRule="auto"/>
        <w:jc w:val="center"/>
        <w:rPr>
          <w:b/>
          <w:sz w:val="32"/>
          <w:szCs w:val="32"/>
        </w:rPr>
      </w:pPr>
      <w:r>
        <w:rPr>
          <w:rFonts w:hint="eastAsia"/>
          <w:b/>
          <w:sz w:val="32"/>
          <w:szCs w:val="32"/>
        </w:rPr>
        <w:t>铜冶炼烟尘化学分析方法</w:t>
      </w:r>
    </w:p>
    <w:p>
      <w:pPr>
        <w:spacing w:line="360" w:lineRule="auto"/>
        <w:jc w:val="center"/>
        <w:rPr>
          <w:b/>
          <w:sz w:val="32"/>
          <w:szCs w:val="32"/>
        </w:rPr>
      </w:pPr>
      <w:r>
        <w:rPr>
          <w:rFonts w:hint="eastAsia"/>
          <w:b/>
          <w:sz w:val="32"/>
          <w:szCs w:val="32"/>
        </w:rPr>
        <w:t>第</w:t>
      </w:r>
      <w:r>
        <w:rPr>
          <w:rFonts w:ascii="Times New Roman" w:hAnsi="Times New Roman"/>
          <w:b/>
          <w:sz w:val="32"/>
          <w:szCs w:val="32"/>
        </w:rPr>
        <w:t>4</w:t>
      </w:r>
      <w:r>
        <w:rPr>
          <w:rFonts w:hint="eastAsia"/>
          <w:b/>
          <w:sz w:val="32"/>
          <w:szCs w:val="32"/>
        </w:rPr>
        <w:t>部分</w:t>
      </w:r>
      <w:r>
        <w:rPr>
          <w:b/>
          <w:sz w:val="32"/>
          <w:szCs w:val="32"/>
        </w:rPr>
        <w:t xml:space="preserve"> </w:t>
      </w:r>
      <w:r>
        <w:rPr>
          <w:rFonts w:hint="eastAsia"/>
          <w:b/>
          <w:sz w:val="32"/>
          <w:szCs w:val="32"/>
        </w:rPr>
        <w:t>铋含量的测定</w:t>
      </w:r>
    </w:p>
    <w:p>
      <w:pPr>
        <w:spacing w:line="360" w:lineRule="auto"/>
        <w:jc w:val="center"/>
        <w:rPr>
          <w:b/>
          <w:sz w:val="32"/>
          <w:szCs w:val="32"/>
        </w:rPr>
      </w:pPr>
      <w:r>
        <w:rPr>
          <w:rFonts w:hint="eastAsia"/>
          <w:b/>
          <w:sz w:val="32"/>
          <w:szCs w:val="32"/>
        </w:rPr>
        <w:t>方法</w:t>
      </w:r>
      <w:r>
        <w:rPr>
          <w:rFonts w:ascii="Times New Roman" w:hAnsi="Times New Roman"/>
          <w:b/>
          <w:sz w:val="32"/>
          <w:szCs w:val="32"/>
        </w:rPr>
        <w:t>1</w:t>
      </w:r>
      <w:r>
        <w:rPr>
          <w:rFonts w:hint="eastAsia"/>
          <w:b/>
          <w:sz w:val="32"/>
          <w:szCs w:val="32"/>
        </w:rPr>
        <w:t>火焰原子吸收光谱法</w:t>
      </w:r>
    </w:p>
    <w:p>
      <w:pPr>
        <w:spacing w:line="360" w:lineRule="auto"/>
        <w:jc w:val="center"/>
        <w:rPr>
          <w:b/>
          <w:sz w:val="32"/>
          <w:szCs w:val="32"/>
        </w:rPr>
      </w:pPr>
      <w:r>
        <w:rPr>
          <w:rFonts w:hint="eastAsia"/>
          <w:b/>
          <w:sz w:val="32"/>
          <w:szCs w:val="32"/>
        </w:rPr>
        <w:t>精密度试验数据处理</w:t>
      </w:r>
    </w:p>
    <w:p>
      <w:pPr>
        <w:spacing w:line="360" w:lineRule="auto"/>
        <w:rPr>
          <w:bCs/>
        </w:rPr>
      </w:pPr>
      <w:r>
        <w:rPr>
          <w:rFonts w:ascii="Times New Roman" w:hAnsi="Times New Roman"/>
          <w:bCs/>
        </w:rPr>
        <w:t xml:space="preserve">1 </w:t>
      </w:r>
      <w:r>
        <w:rPr>
          <w:bCs/>
        </w:rPr>
        <w:t xml:space="preserve"> </w:t>
      </w:r>
      <w:r>
        <w:rPr>
          <w:rFonts w:hint="eastAsia"/>
          <w:bCs/>
        </w:rPr>
        <w:t>背景</w:t>
      </w:r>
    </w:p>
    <w:p>
      <w:pPr>
        <w:spacing w:line="360" w:lineRule="auto"/>
        <w:rPr>
          <w:bCs/>
        </w:rPr>
      </w:pPr>
      <w:r>
        <w:rPr>
          <w:rFonts w:hint="eastAsia"/>
          <w:bCs/>
        </w:rPr>
        <w:t xml:space="preserve">  </w:t>
      </w:r>
      <w:r>
        <w:rPr>
          <w:bCs/>
        </w:rPr>
        <w:t xml:space="preserve"> </w:t>
      </w:r>
      <w:r>
        <w:rPr>
          <w:rFonts w:hint="eastAsia"/>
          <w:bCs/>
        </w:rPr>
        <w:t>为了确定《铜冶炼烟尘化学分析方法 第</w:t>
      </w:r>
      <w:r>
        <w:rPr>
          <w:rFonts w:ascii="Times New Roman" w:hAnsi="Times New Roman"/>
          <w:bCs/>
        </w:rPr>
        <w:t>4</w:t>
      </w:r>
      <w:r>
        <w:rPr>
          <w:rFonts w:hint="eastAsia"/>
          <w:bCs/>
        </w:rPr>
        <w:t>部分 铋含量的测定 火焰原子吸收光谱法》测定方法的重复性和再现性，</w:t>
      </w:r>
      <w:r>
        <w:rPr>
          <w:rFonts w:ascii="Times New Roman" w:hAnsi="Times New Roman"/>
          <w:bCs/>
        </w:rPr>
        <w:t>9</w:t>
      </w:r>
      <w:r>
        <w:rPr>
          <w:rFonts w:hint="eastAsia"/>
          <w:bCs/>
        </w:rPr>
        <w:t>个实验室对</w:t>
      </w:r>
      <w:r>
        <w:rPr>
          <w:rFonts w:ascii="Times New Roman" w:hAnsi="Times New Roman"/>
          <w:bCs/>
        </w:rPr>
        <w:t>5</w:t>
      </w:r>
      <w:r>
        <w:rPr>
          <w:rFonts w:hint="eastAsia"/>
          <w:bCs/>
        </w:rPr>
        <w:t>个水平的铜冶炼烟尘样品进行了协同试验。根据国家标准GB/T6379.2-2004确定标准测量方法的重复性和再现性的基本方法</w:t>
      </w:r>
      <w:r>
        <w:rPr>
          <w:rFonts w:ascii="Times New Roman" w:hAnsi="Times New Roman"/>
          <w:bCs/>
        </w:rPr>
        <w:t>（ISO 5725-2：1994，ITD）</w:t>
      </w:r>
      <w:r>
        <w:rPr>
          <w:rFonts w:hint="eastAsia"/>
          <w:bCs/>
        </w:rPr>
        <w:t>的规定，对收到的全部数据进行了统计分析。</w:t>
      </w:r>
    </w:p>
    <w:p>
      <w:pPr>
        <w:spacing w:line="360" w:lineRule="auto"/>
        <w:rPr>
          <w:bCs/>
        </w:rPr>
      </w:pPr>
      <w:r>
        <w:rPr>
          <w:rFonts w:ascii="Times New Roman" w:hAnsi="Times New Roman"/>
          <w:bCs/>
        </w:rPr>
        <w:t>2</w:t>
      </w:r>
      <w:r>
        <w:rPr>
          <w:rFonts w:hint="eastAsia"/>
          <w:bCs/>
        </w:rPr>
        <w:t xml:space="preserve"> </w:t>
      </w:r>
      <w:r>
        <w:rPr>
          <w:bCs/>
        </w:rPr>
        <w:t xml:space="preserve"> </w:t>
      </w:r>
      <w:r>
        <w:rPr>
          <w:rFonts w:hint="eastAsia"/>
          <w:bCs/>
        </w:rPr>
        <w:t>数据及统计结果</w:t>
      </w:r>
    </w:p>
    <w:p>
      <w:pPr>
        <w:spacing w:line="360" w:lineRule="auto"/>
        <w:rPr>
          <w:bCs/>
        </w:rPr>
      </w:pPr>
      <w:r>
        <w:rPr>
          <w:rFonts w:ascii="Times New Roman" w:hAnsi="Times New Roman"/>
          <w:bCs/>
        </w:rPr>
        <w:t xml:space="preserve">2.1 </w:t>
      </w:r>
      <w:r>
        <w:rPr>
          <w:rFonts w:hint="eastAsia"/>
          <w:bCs/>
        </w:rPr>
        <w:t xml:space="preserve"> 各实验室的试验数据</w:t>
      </w:r>
    </w:p>
    <w:p>
      <w:pPr>
        <w:spacing w:line="360" w:lineRule="auto"/>
        <w:jc w:val="center"/>
        <w:rPr>
          <w:bCs/>
        </w:rPr>
      </w:pPr>
      <w:r>
        <w:rPr>
          <w:rFonts w:hint="eastAsia"/>
          <w:bCs/>
        </w:rPr>
        <w:t>表</w:t>
      </w:r>
      <w:r>
        <w:rPr>
          <w:rFonts w:ascii="Times New Roman" w:hAnsi="Times New Roman"/>
          <w:bCs/>
        </w:rPr>
        <w:t>1</w:t>
      </w:r>
      <w:r>
        <w:rPr>
          <w:rFonts w:hint="eastAsia"/>
          <w:bCs/>
        </w:rPr>
        <w:t xml:space="preserve"> 数据及统计结果</w:t>
      </w:r>
      <w:r>
        <w:rPr>
          <w:rFonts w:ascii="Times New Roman" w:hAnsi="Times New Roman"/>
          <w:bCs/>
        </w:rPr>
        <w:t>（%）</w:t>
      </w:r>
    </w:p>
    <w:tbl>
      <w:tblPr>
        <w:tblStyle w:val="32"/>
        <w:tblW w:w="8430"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480"/>
        <w:gridCol w:w="795"/>
        <w:gridCol w:w="795"/>
        <w:gridCol w:w="795"/>
        <w:gridCol w:w="795"/>
        <w:gridCol w:w="795"/>
        <w:gridCol w:w="795"/>
        <w:gridCol w:w="795"/>
        <w:gridCol w:w="795"/>
        <w:gridCol w:w="795"/>
        <w:gridCol w:w="79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restart"/>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样品编号</w:t>
            </w:r>
          </w:p>
        </w:tc>
        <w:tc>
          <w:tcPr>
            <w:tcW w:w="795" w:type="dxa"/>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起草单位</w:t>
            </w:r>
          </w:p>
        </w:tc>
        <w:tc>
          <w:tcPr>
            <w:tcW w:w="7155" w:type="dxa"/>
            <w:gridSpan w:val="9"/>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验证单位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480" w:type="dxa"/>
            <w:vMerge w:val="continue"/>
            <w:tcMar>
              <w:top w:w="15" w:type="dxa"/>
              <w:left w:w="15" w:type="dxa"/>
              <w:right w:w="15" w:type="dxa"/>
            </w:tcMar>
          </w:tcPr>
          <w:p>
            <w:pPr>
              <w:jc w:val="center"/>
              <w:rPr>
                <w:rFonts w:ascii="宋体" w:hAnsi="宋体" w:cs="宋体"/>
                <w:color w:val="000000"/>
                <w:sz w:val="18"/>
                <w:szCs w:val="18"/>
              </w:rPr>
            </w:pPr>
          </w:p>
        </w:tc>
        <w:tc>
          <w:tcPr>
            <w:tcW w:w="795" w:type="dxa"/>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富民薪冶工贸有限公司</w:t>
            </w:r>
          </w:p>
        </w:tc>
        <w:tc>
          <w:tcPr>
            <w:tcW w:w="795" w:type="dxa"/>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广东先导稀材</w:t>
            </w:r>
            <w:r>
              <w:rPr>
                <w:rStyle w:val="56"/>
                <w:rFonts w:hint="default"/>
              </w:rPr>
              <w:t>股份有限公司</w:t>
            </w:r>
          </w:p>
        </w:tc>
        <w:tc>
          <w:tcPr>
            <w:tcW w:w="795" w:type="dxa"/>
            <w:tcMar>
              <w:top w:w="15" w:type="dxa"/>
              <w:left w:w="15" w:type="dxa"/>
              <w:right w:w="15" w:type="dxa"/>
            </w:tcMar>
          </w:tcPr>
          <w:p>
            <w:pPr>
              <w:widowControl/>
              <w:jc w:val="center"/>
              <w:textAlignment w:val="top"/>
              <w:rPr>
                <w:rFonts w:ascii="宋体" w:hAnsi="宋体" w:cs="宋体"/>
                <w:sz w:val="16"/>
                <w:szCs w:val="16"/>
              </w:rPr>
            </w:pPr>
            <w:r>
              <w:rPr>
                <w:rFonts w:hint="eastAsia" w:ascii="宋体" w:hAnsi="宋体" w:cs="宋体"/>
                <w:kern w:val="0"/>
                <w:sz w:val="16"/>
                <w:szCs w:val="16"/>
              </w:rPr>
              <w:t>云南锡业股份</w:t>
            </w:r>
            <w:r>
              <w:rPr>
                <w:rStyle w:val="56"/>
                <w:rFonts w:hint="default"/>
                <w:color w:val="auto"/>
              </w:rPr>
              <w:t>有限公司铜业分公司</w:t>
            </w:r>
          </w:p>
        </w:tc>
        <w:tc>
          <w:tcPr>
            <w:tcW w:w="795" w:type="dxa"/>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河南豫光金铅股份</w:t>
            </w:r>
            <w:r>
              <w:rPr>
                <w:rStyle w:val="56"/>
                <w:rFonts w:hint="default"/>
              </w:rPr>
              <w:t>有限公司</w:t>
            </w:r>
          </w:p>
        </w:tc>
        <w:tc>
          <w:tcPr>
            <w:tcW w:w="795" w:type="dxa"/>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江西铜业</w:t>
            </w:r>
            <w:r>
              <w:rPr>
                <w:rStyle w:val="56"/>
                <w:rFonts w:hint="default"/>
              </w:rPr>
              <w:t>股份有限公司</w:t>
            </w:r>
          </w:p>
        </w:tc>
        <w:tc>
          <w:tcPr>
            <w:tcW w:w="795" w:type="dxa"/>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五矿铜业（湖南）有限公司</w:t>
            </w:r>
          </w:p>
        </w:tc>
        <w:tc>
          <w:tcPr>
            <w:tcW w:w="795" w:type="dxa"/>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山东恒邦冶炼股份</w:t>
            </w:r>
            <w:r>
              <w:rPr>
                <w:rStyle w:val="56"/>
                <w:rFonts w:hint="default"/>
              </w:rPr>
              <w:t>有限公司</w:t>
            </w:r>
          </w:p>
        </w:tc>
        <w:tc>
          <w:tcPr>
            <w:tcW w:w="795" w:type="dxa"/>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阳谷祥光铜业有限</w:t>
            </w:r>
            <w:r>
              <w:rPr>
                <w:rStyle w:val="56"/>
                <w:rFonts w:hint="default"/>
              </w:rPr>
              <w:t>公司</w:t>
            </w:r>
          </w:p>
        </w:tc>
        <w:tc>
          <w:tcPr>
            <w:tcW w:w="795" w:type="dxa"/>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郴州市金贵银业股份有限公司</w:t>
            </w:r>
          </w:p>
        </w:tc>
        <w:tc>
          <w:tcPr>
            <w:tcW w:w="795" w:type="dxa"/>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长沙矿冶研究院有限责任公司</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480" w:type="dxa"/>
            <w:vMerge w:val="restart"/>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1#</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0.091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0.087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0.091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0.089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0.084 </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0.087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0.092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0.095 </w:t>
            </w:r>
          </w:p>
        </w:tc>
        <w:tc>
          <w:tcPr>
            <w:tcW w:w="795" w:type="dxa"/>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0.092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0.088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Mar>
              <w:top w:w="15" w:type="dxa"/>
              <w:left w:w="15" w:type="dxa"/>
              <w:right w:w="15" w:type="dxa"/>
            </w:tcMar>
            <w:vAlign w:val="center"/>
          </w:tcPr>
          <w:p>
            <w:pPr>
              <w:rPr>
                <w:rFonts w:ascii="Times New Roman" w:hAnsi="Times New Roman"/>
                <w:color w:val="000000"/>
                <w:sz w:val="18"/>
                <w:szCs w:val="18"/>
              </w:rPr>
            </w:pP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0.090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0.089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0.091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0.086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0.083 </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0.088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0.094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0.090 </w:t>
            </w:r>
          </w:p>
        </w:tc>
        <w:tc>
          <w:tcPr>
            <w:tcW w:w="795" w:type="dxa"/>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0.093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0.091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Mar>
              <w:top w:w="15" w:type="dxa"/>
              <w:left w:w="15" w:type="dxa"/>
              <w:right w:w="15" w:type="dxa"/>
            </w:tcMar>
            <w:vAlign w:val="center"/>
          </w:tcPr>
          <w:p>
            <w:pPr>
              <w:rPr>
                <w:rFonts w:ascii="Times New Roman" w:hAnsi="Times New Roman"/>
                <w:color w:val="000000"/>
                <w:sz w:val="18"/>
                <w:szCs w:val="18"/>
              </w:rPr>
            </w:pP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0.092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0.091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0.092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0.091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0.083 </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0.088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0.094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0.092 </w:t>
            </w:r>
          </w:p>
        </w:tc>
        <w:tc>
          <w:tcPr>
            <w:tcW w:w="795" w:type="dxa"/>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0.095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0.089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Mar>
              <w:top w:w="15" w:type="dxa"/>
              <w:left w:w="15" w:type="dxa"/>
              <w:right w:w="15" w:type="dxa"/>
            </w:tcMar>
            <w:vAlign w:val="center"/>
          </w:tcPr>
          <w:p>
            <w:pPr>
              <w:rPr>
                <w:rFonts w:ascii="Times New Roman" w:hAnsi="Times New Roman"/>
                <w:color w:val="000000"/>
                <w:sz w:val="18"/>
                <w:szCs w:val="18"/>
              </w:rPr>
            </w:pP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0.092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0.088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0.091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0.092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0.082 </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0.086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0.092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0.093 </w:t>
            </w:r>
          </w:p>
        </w:tc>
        <w:tc>
          <w:tcPr>
            <w:tcW w:w="795" w:type="dxa"/>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0.091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0.090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Mar>
              <w:top w:w="15" w:type="dxa"/>
              <w:left w:w="15" w:type="dxa"/>
              <w:right w:w="15" w:type="dxa"/>
            </w:tcMar>
            <w:vAlign w:val="center"/>
          </w:tcPr>
          <w:p>
            <w:pPr>
              <w:rPr>
                <w:rFonts w:ascii="Times New Roman" w:hAnsi="Times New Roman"/>
                <w:color w:val="000000"/>
                <w:sz w:val="18"/>
                <w:szCs w:val="18"/>
              </w:rPr>
            </w:pP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0.093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0.087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0.092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0.089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0.081 </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0.086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0.094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0.091 </w:t>
            </w:r>
          </w:p>
        </w:tc>
        <w:tc>
          <w:tcPr>
            <w:tcW w:w="795" w:type="dxa"/>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0.090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0.092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Mar>
              <w:top w:w="15" w:type="dxa"/>
              <w:left w:w="15" w:type="dxa"/>
              <w:right w:w="15" w:type="dxa"/>
            </w:tcMar>
            <w:vAlign w:val="center"/>
          </w:tcPr>
          <w:p>
            <w:pPr>
              <w:rPr>
                <w:rFonts w:ascii="Times New Roman" w:hAnsi="Times New Roman"/>
                <w:color w:val="000000"/>
                <w:sz w:val="18"/>
                <w:szCs w:val="18"/>
              </w:rPr>
            </w:pP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0.090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0.084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0.091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0.088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0.083 </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0.087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0.092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0.092 </w:t>
            </w:r>
          </w:p>
        </w:tc>
        <w:tc>
          <w:tcPr>
            <w:tcW w:w="795" w:type="dxa"/>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0.093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0.089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Mar>
              <w:top w:w="15" w:type="dxa"/>
              <w:left w:w="15" w:type="dxa"/>
              <w:right w:w="15" w:type="dxa"/>
            </w:tcMar>
            <w:vAlign w:val="center"/>
          </w:tcPr>
          <w:p>
            <w:pPr>
              <w:rPr>
                <w:rFonts w:ascii="Times New Roman" w:hAnsi="Times New Roman"/>
                <w:color w:val="000000"/>
                <w:sz w:val="18"/>
                <w:szCs w:val="18"/>
              </w:rPr>
            </w:pP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0.089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0.089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0.090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0.086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0.081 </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0.087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0.094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0.094 </w:t>
            </w:r>
          </w:p>
        </w:tc>
        <w:tc>
          <w:tcPr>
            <w:tcW w:w="795" w:type="dxa"/>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0.089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0.088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Mar>
              <w:top w:w="15" w:type="dxa"/>
              <w:left w:w="15" w:type="dxa"/>
              <w:right w:w="15" w:type="dxa"/>
            </w:tcMar>
            <w:vAlign w:val="center"/>
          </w:tcPr>
          <w:p>
            <w:pPr>
              <w:rPr>
                <w:rFonts w:ascii="Times New Roman" w:hAnsi="Times New Roman"/>
                <w:color w:val="000000"/>
                <w:sz w:val="18"/>
                <w:szCs w:val="18"/>
              </w:rPr>
            </w:pP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0.089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0.084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0.090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0.087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0.081 </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0.087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0.093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0.090 </w:t>
            </w:r>
          </w:p>
        </w:tc>
        <w:tc>
          <w:tcPr>
            <w:tcW w:w="795" w:type="dxa"/>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0.088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0.090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480" w:type="dxa"/>
            <w:vMerge w:val="continue"/>
            <w:tcMar>
              <w:top w:w="15" w:type="dxa"/>
              <w:left w:w="15" w:type="dxa"/>
              <w:right w:w="15" w:type="dxa"/>
            </w:tcMar>
            <w:vAlign w:val="center"/>
          </w:tcPr>
          <w:p>
            <w:pPr>
              <w:rPr>
                <w:rFonts w:ascii="Times New Roman" w:hAnsi="Times New Roman"/>
                <w:color w:val="000000"/>
                <w:sz w:val="18"/>
                <w:szCs w:val="18"/>
              </w:rPr>
            </w:pP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0.092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0.085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0.091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0.086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0.081 </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0.086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0.092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0.091 </w:t>
            </w:r>
          </w:p>
        </w:tc>
        <w:tc>
          <w:tcPr>
            <w:tcW w:w="795" w:type="dxa"/>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0.089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0.091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480" w:type="dxa"/>
            <w:vMerge w:val="continue"/>
            <w:tcMar>
              <w:top w:w="15" w:type="dxa"/>
              <w:left w:w="15" w:type="dxa"/>
              <w:right w:w="15" w:type="dxa"/>
            </w:tcMar>
            <w:vAlign w:val="center"/>
          </w:tcPr>
          <w:p>
            <w:pPr>
              <w:rPr>
                <w:rFonts w:ascii="Times New Roman" w:hAnsi="Times New Roman"/>
                <w:color w:val="000000"/>
                <w:sz w:val="18"/>
                <w:szCs w:val="18"/>
              </w:rPr>
            </w:pP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0.090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0.089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0.090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0.092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0.081 </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0.086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0.092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0.093 </w:t>
            </w:r>
          </w:p>
        </w:tc>
        <w:tc>
          <w:tcPr>
            <w:tcW w:w="795" w:type="dxa"/>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0.091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0.092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80" w:type="dxa"/>
            <w:vMerge w:val="continue"/>
            <w:tcMar>
              <w:top w:w="15" w:type="dxa"/>
              <w:left w:w="15" w:type="dxa"/>
              <w:right w:w="15" w:type="dxa"/>
            </w:tcMar>
            <w:vAlign w:val="center"/>
          </w:tcPr>
          <w:p>
            <w:pPr>
              <w:rPr>
                <w:rFonts w:ascii="Times New Roman" w:hAnsi="Times New Roman"/>
                <w:color w:val="000000"/>
                <w:sz w:val="18"/>
                <w:szCs w:val="18"/>
              </w:rPr>
            </w:pP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0.090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0.087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0.090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0.093 </w:t>
            </w:r>
          </w:p>
        </w:tc>
        <w:tc>
          <w:tcPr>
            <w:tcW w:w="795" w:type="dxa"/>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0.083 </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0.087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0.092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0.093 </w:t>
            </w:r>
          </w:p>
        </w:tc>
        <w:tc>
          <w:tcPr>
            <w:tcW w:w="795" w:type="dxa"/>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0.092 </w:t>
            </w:r>
          </w:p>
        </w:tc>
        <w:tc>
          <w:tcPr>
            <w:tcW w:w="795" w:type="dxa"/>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0.093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480" w:type="dxa"/>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平均值</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0.0907</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0.0873</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0.0908</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0.0890</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0.0821</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0.0868</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0.0928</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0.0922</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0.0912</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0.0903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480" w:type="dxa"/>
            <w:tcMar>
              <w:top w:w="15" w:type="dxa"/>
              <w:left w:w="15" w:type="dxa"/>
              <w:right w:w="15" w:type="dxa"/>
            </w:tcMar>
          </w:tcPr>
          <w:p>
            <w:pPr>
              <w:widowControl/>
              <w:jc w:val="center"/>
              <w:textAlignment w:val="top"/>
              <w:rPr>
                <w:rFonts w:ascii="Times New Roman" w:hAnsi="Times New Roman"/>
                <w:color w:val="000000"/>
                <w:sz w:val="18"/>
                <w:szCs w:val="18"/>
              </w:rPr>
            </w:pPr>
            <w:r>
              <w:rPr>
                <w:rFonts w:ascii="Times New Roman" w:hAnsi="Times New Roman"/>
                <w:color w:val="000000"/>
                <w:kern w:val="0"/>
                <w:sz w:val="18"/>
                <w:szCs w:val="18"/>
              </w:rPr>
              <w:t>s</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0.0013</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0.0022</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0.0008</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0.0026</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0.0011</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0.0008</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0.0010</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0.0016</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0.0021</w:t>
            </w:r>
          </w:p>
        </w:tc>
        <w:tc>
          <w:tcPr>
            <w:tcW w:w="795" w:type="dxa"/>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0.0017</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80" w:type="dxa"/>
            <w:tcBorders>
              <w:bottom w:val="single" w:color="000000" w:sz="6" w:space="0"/>
            </w:tcBorders>
            <w:tcMar>
              <w:top w:w="15" w:type="dxa"/>
              <w:left w:w="15" w:type="dxa"/>
              <w:right w:w="15" w:type="dxa"/>
            </w:tcMar>
          </w:tcPr>
          <w:p>
            <w:pPr>
              <w:widowControl/>
              <w:jc w:val="center"/>
              <w:textAlignment w:val="top"/>
              <w:rPr>
                <w:rFonts w:ascii="Times New Roman" w:hAnsi="Times New Roman"/>
                <w:color w:val="000000"/>
                <w:sz w:val="18"/>
                <w:szCs w:val="18"/>
              </w:rPr>
            </w:pPr>
            <w:r>
              <w:rPr>
                <w:rFonts w:ascii="Times New Roman" w:hAnsi="Times New Roman"/>
                <w:color w:val="000000"/>
                <w:kern w:val="0"/>
                <w:sz w:val="18"/>
                <w:szCs w:val="18"/>
              </w:rPr>
              <w:t>RSD</w:t>
            </w:r>
          </w:p>
        </w:tc>
        <w:tc>
          <w:tcPr>
            <w:tcW w:w="795" w:type="dxa"/>
            <w:tcBorders>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1.486</w:t>
            </w:r>
          </w:p>
        </w:tc>
        <w:tc>
          <w:tcPr>
            <w:tcW w:w="795" w:type="dxa"/>
            <w:tcBorders>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2.567</w:t>
            </w:r>
          </w:p>
        </w:tc>
        <w:tc>
          <w:tcPr>
            <w:tcW w:w="795" w:type="dxa"/>
            <w:tcBorders>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0.827</w:t>
            </w:r>
          </w:p>
        </w:tc>
        <w:tc>
          <w:tcPr>
            <w:tcW w:w="795" w:type="dxa"/>
            <w:tcBorders>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2.973</w:t>
            </w:r>
          </w:p>
        </w:tc>
        <w:tc>
          <w:tcPr>
            <w:tcW w:w="795" w:type="dxa"/>
            <w:tcBorders>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1.384</w:t>
            </w:r>
          </w:p>
        </w:tc>
        <w:tc>
          <w:tcPr>
            <w:tcW w:w="795" w:type="dxa"/>
            <w:tcBorders>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0.865</w:t>
            </w:r>
          </w:p>
        </w:tc>
        <w:tc>
          <w:tcPr>
            <w:tcW w:w="795" w:type="dxa"/>
            <w:tcBorders>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1.058</w:t>
            </w:r>
          </w:p>
        </w:tc>
        <w:tc>
          <w:tcPr>
            <w:tcW w:w="795" w:type="dxa"/>
            <w:tcBorders>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1.737</w:t>
            </w:r>
          </w:p>
        </w:tc>
        <w:tc>
          <w:tcPr>
            <w:tcW w:w="795" w:type="dxa"/>
            <w:tcBorders>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2.291</w:t>
            </w:r>
          </w:p>
        </w:tc>
        <w:tc>
          <w:tcPr>
            <w:tcW w:w="795" w:type="dxa"/>
            <w:tcBorders>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1.860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80" w:type="dxa"/>
            <w:vMerge w:val="restart"/>
            <w:tcBorders>
              <w:top w:val="single" w:color="000000" w:sz="6" w:space="0"/>
              <w:left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样品编号</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起草单位</w:t>
            </w:r>
          </w:p>
        </w:tc>
        <w:tc>
          <w:tcPr>
            <w:tcW w:w="7155" w:type="dxa"/>
            <w:gridSpan w:val="9"/>
            <w:tcBorders>
              <w:top w:val="single" w:color="000000" w:sz="6" w:space="0"/>
              <w:bottom w:val="single" w:color="000000" w:sz="6" w:space="0"/>
              <w:right w:val="single" w:color="000000" w:sz="6" w:space="0"/>
            </w:tcBorders>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验证单位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tcPr>
          <w:p>
            <w:pPr>
              <w:jc w:val="center"/>
              <w:rPr>
                <w:rFonts w:ascii="宋体" w:hAnsi="宋体" w:cs="宋体"/>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富民薪冶工贸有限公司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广东先导稀材</w:t>
            </w:r>
            <w:r>
              <w:rPr>
                <w:rStyle w:val="56"/>
                <w:rFonts w:hint="default"/>
              </w:rPr>
              <w:t>股份有限公司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sz w:val="16"/>
                <w:szCs w:val="16"/>
              </w:rPr>
            </w:pPr>
            <w:r>
              <w:rPr>
                <w:rFonts w:hint="eastAsia" w:ascii="宋体" w:hAnsi="宋体" w:cs="宋体"/>
                <w:kern w:val="0"/>
                <w:sz w:val="16"/>
                <w:szCs w:val="16"/>
              </w:rPr>
              <w:t>云南锡业股份</w:t>
            </w:r>
            <w:r>
              <w:rPr>
                <w:rStyle w:val="56"/>
                <w:rFonts w:hint="default"/>
                <w:color w:val="auto"/>
              </w:rPr>
              <w:t>有限公司铜业分公司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河南豫光金铅股份</w:t>
            </w:r>
            <w:r>
              <w:rPr>
                <w:rStyle w:val="56"/>
                <w:rFonts w:hint="default"/>
              </w:rPr>
              <w:t>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江西铜业</w:t>
            </w:r>
            <w:r>
              <w:rPr>
                <w:rStyle w:val="56"/>
                <w:rFonts w:hint="default"/>
              </w:rPr>
              <w:t>股份有限公司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五矿铜业（湖南）有限公司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山东恒邦冶炼股份</w:t>
            </w:r>
            <w:r>
              <w:rPr>
                <w:rStyle w:val="56"/>
                <w:rFonts w:hint="default"/>
              </w:rPr>
              <w:t>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阳谷祥光铜业有限</w:t>
            </w:r>
            <w:r>
              <w:rPr>
                <w:rStyle w:val="56"/>
                <w:rFonts w:hint="default"/>
              </w:rPr>
              <w:t>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郴州市金贵银业股份有限公司</w:t>
            </w:r>
          </w:p>
        </w:tc>
        <w:tc>
          <w:tcPr>
            <w:tcW w:w="795" w:type="dxa"/>
            <w:tcBorders>
              <w:top w:val="single" w:color="000000" w:sz="6" w:space="0"/>
              <w:bottom w:val="single" w:color="000000" w:sz="6" w:space="0"/>
              <w:right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长沙矿冶研究院有限责任公司</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restart"/>
            <w:tcBorders>
              <w:top w:val="single" w:color="000000" w:sz="6" w:space="0"/>
              <w:left w:val="single" w:color="000000" w:sz="6" w:space="0"/>
              <w:bottom w:val="single" w:color="000000" w:sz="6" w:space="0"/>
            </w:tcBorders>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2#</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0.95</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0.96</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0.92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0.94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0.97</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0.97</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0.97</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0.98</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0.96</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0.92</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0.96</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0.95</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0.93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0.94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0.96</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0.98</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0.94</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0.97</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0.97</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0.91</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0.97</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0.93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0.94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0.93</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0.99</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0.95</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0.96</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0.92</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0.96</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0.96</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0.93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0.97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0.94</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0.99</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0.96</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0.97</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0.96</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0.93</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0.96</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0.94</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0.92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0.96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1.00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0.97</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0.93</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0.96</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0.94</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0.94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0.97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0.94</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1.00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0.92</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0.96</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0.92</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0.97</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0.95</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0.94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0.98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0.94</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0.96</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0.93</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0.98</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0.91</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0.96</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0.95</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0.93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0.95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0.93</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0.93</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0.97</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0.96</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0.95</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0.96</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0.96</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0.93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0.95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0.96</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0.94</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0.96</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0.96</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0.93</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0.96</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0.95</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0.93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0.94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0.96</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0.98</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0.95</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0.97</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0.94</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0.95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0.95</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0.92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0.94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0.97</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0.97</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0.97</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tcBorders>
              <w:top w:val="single" w:color="000000" w:sz="6" w:space="0"/>
              <w:left w:val="single" w:color="000000" w:sz="6" w:space="0"/>
              <w:bottom w:val="single" w:color="000000" w:sz="6" w:space="0"/>
            </w:tcBorders>
            <w:tcMar>
              <w:top w:w="15" w:type="dxa"/>
              <w:left w:w="15" w:type="dxa"/>
              <w:right w:w="15" w:type="dxa"/>
            </w:tcMa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平均值</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0.957</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0.928</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0.958</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0.953</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0.929</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0.953</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0.949</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0.975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0.948</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0.965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480" w:type="dxa"/>
            <w:tcBorders>
              <w:top w:val="single" w:color="000000" w:sz="6" w:space="0"/>
              <w:left w:val="single" w:color="000000" w:sz="6" w:space="0"/>
              <w:bottom w:val="single" w:color="000000" w:sz="6" w:space="0"/>
            </w:tcBorders>
            <w:tcMar>
              <w:top w:w="15" w:type="dxa"/>
              <w:left w:w="15" w:type="dxa"/>
              <w:right w:w="15" w:type="dxa"/>
            </w:tcMar>
          </w:tcPr>
          <w:p>
            <w:pPr>
              <w:widowControl/>
              <w:jc w:val="center"/>
              <w:textAlignment w:val="top"/>
              <w:rPr>
                <w:rFonts w:ascii="Times New Roman" w:hAnsi="Times New Roman"/>
                <w:color w:val="000000"/>
                <w:sz w:val="18"/>
                <w:szCs w:val="18"/>
              </w:rPr>
            </w:pPr>
            <w:r>
              <w:rPr>
                <w:rFonts w:ascii="Times New Roman" w:hAnsi="Times New Roman"/>
                <w:color w:val="000000"/>
                <w:kern w:val="0"/>
                <w:sz w:val="18"/>
                <w:szCs w:val="18"/>
              </w:rPr>
              <w:t>s</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0.0079</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0.0140</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0.0060</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0.0090</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0.0070</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0.0149</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0.0114</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0.0207</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0.0178</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0.0104</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480" w:type="dxa"/>
            <w:tcBorders>
              <w:top w:val="single" w:color="000000" w:sz="6" w:space="0"/>
              <w:left w:val="single" w:color="000000" w:sz="6" w:space="0"/>
              <w:bottom w:val="single" w:color="000000" w:sz="6" w:space="0"/>
            </w:tcBorders>
            <w:tcMar>
              <w:top w:w="15" w:type="dxa"/>
              <w:left w:w="15" w:type="dxa"/>
              <w:right w:w="15" w:type="dxa"/>
            </w:tcMar>
          </w:tcPr>
          <w:p>
            <w:pPr>
              <w:widowControl/>
              <w:jc w:val="center"/>
              <w:textAlignment w:val="top"/>
              <w:rPr>
                <w:rFonts w:ascii="Times New Roman" w:hAnsi="Times New Roman"/>
                <w:color w:val="000000"/>
                <w:sz w:val="18"/>
                <w:szCs w:val="18"/>
              </w:rPr>
            </w:pPr>
            <w:r>
              <w:rPr>
                <w:rFonts w:ascii="Times New Roman" w:hAnsi="Times New Roman"/>
                <w:color w:val="000000"/>
                <w:kern w:val="0"/>
                <w:sz w:val="18"/>
                <w:szCs w:val="18"/>
              </w:rPr>
              <w:t>RSD</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0.821</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1.510</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0.629</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0.949</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0.754</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1.563</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1.197</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2.119</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1.876</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1.073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80" w:type="dxa"/>
            <w:vMerge w:val="restart"/>
            <w:tcBorders>
              <w:top w:val="single" w:color="000000" w:sz="6" w:space="0"/>
              <w:left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样品编号</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起草单位</w:t>
            </w:r>
          </w:p>
        </w:tc>
        <w:tc>
          <w:tcPr>
            <w:tcW w:w="7155" w:type="dxa"/>
            <w:gridSpan w:val="9"/>
            <w:tcBorders>
              <w:top w:val="single" w:color="000000" w:sz="6" w:space="0"/>
              <w:bottom w:val="single" w:color="000000" w:sz="6" w:space="0"/>
              <w:right w:val="single" w:color="000000" w:sz="6" w:space="0"/>
            </w:tcBorders>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验证单位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tcPr>
          <w:p>
            <w:pPr>
              <w:jc w:val="center"/>
              <w:rPr>
                <w:rFonts w:ascii="宋体" w:hAnsi="宋体" w:cs="宋体"/>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富民薪冶工贸有限公司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广东先导稀材</w:t>
            </w:r>
            <w:r>
              <w:rPr>
                <w:rStyle w:val="56"/>
                <w:rFonts w:hint="default"/>
              </w:rPr>
              <w:t>股份有限公司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sz w:val="16"/>
                <w:szCs w:val="16"/>
              </w:rPr>
            </w:pPr>
            <w:r>
              <w:rPr>
                <w:rFonts w:hint="eastAsia" w:ascii="宋体" w:hAnsi="宋体" w:cs="宋体"/>
                <w:kern w:val="0"/>
                <w:sz w:val="16"/>
                <w:szCs w:val="16"/>
              </w:rPr>
              <w:t>云南锡业股份</w:t>
            </w:r>
            <w:r>
              <w:rPr>
                <w:rStyle w:val="56"/>
                <w:rFonts w:hint="default"/>
                <w:color w:val="auto"/>
              </w:rPr>
              <w:t>有限公司铜业分公司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河南豫光金铅股份</w:t>
            </w:r>
            <w:r>
              <w:rPr>
                <w:rStyle w:val="56"/>
                <w:rFonts w:hint="default"/>
              </w:rPr>
              <w:t>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江西铜业</w:t>
            </w:r>
            <w:r>
              <w:rPr>
                <w:rStyle w:val="56"/>
                <w:rFonts w:hint="default"/>
              </w:rPr>
              <w:t>股份有限公司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五矿铜业（湖南）有限公司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山东恒邦冶炼股份</w:t>
            </w:r>
            <w:r>
              <w:rPr>
                <w:rStyle w:val="56"/>
                <w:rFonts w:hint="default"/>
              </w:rPr>
              <w:t>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阳谷祥光铜业有限</w:t>
            </w:r>
            <w:r>
              <w:rPr>
                <w:rStyle w:val="56"/>
                <w:rFonts w:hint="default"/>
              </w:rPr>
              <w:t>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郴州市金贵银业股份有限公司</w:t>
            </w:r>
          </w:p>
        </w:tc>
        <w:tc>
          <w:tcPr>
            <w:tcW w:w="795" w:type="dxa"/>
            <w:tcBorders>
              <w:top w:val="single" w:color="000000" w:sz="6" w:space="0"/>
              <w:bottom w:val="single" w:color="000000" w:sz="6" w:space="0"/>
              <w:right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长沙矿冶研究院有限责任公司</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restart"/>
            <w:tcBorders>
              <w:top w:val="single" w:color="000000" w:sz="6" w:space="0"/>
              <w:left w:val="single" w:color="000000" w:sz="6" w:space="0"/>
              <w:bottom w:val="single" w:color="000000" w:sz="6" w:space="0"/>
            </w:tcBorders>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3#</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1.97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 xml:space="preserve">2.08 </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2.03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2.08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1.99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1.98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2.03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2.07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 xml:space="preserve">2.03 </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2.01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1.98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 xml:space="preserve">1.95 </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2.00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2.05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1.98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1.97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2.00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2.08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 xml:space="preserve">2.11 </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2.02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1.99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 xml:space="preserve">1.97 </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2.03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2.06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2.00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1.97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2.05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2.06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 xml:space="preserve">2.10 </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1.98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2.01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 xml:space="preserve">1.95 </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2.04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2.02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1.99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1.97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2.04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2.05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2.17</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1.99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2.04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 xml:space="preserve">2.03 </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2.02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2.06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2.01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1.98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2.03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2.07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2.01</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2.03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2.02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 xml:space="preserve">2.02 </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2.03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2.01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2.00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1.98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2.02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2.01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1.98</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2.02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1.98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 xml:space="preserve">1.95 </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2.01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2.06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2.00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2.04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2.01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2.04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 xml:space="preserve">2.12 </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2.01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2.00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 xml:space="preserve">1.95 </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2.02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2.07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1.99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2.01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2.02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2.09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 xml:space="preserve">2.04 </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1.98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1.99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 xml:space="preserve">1.97 </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2.04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2.03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1.99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1.99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2.02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2.06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 xml:space="preserve">2.01 </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1.97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1.98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 xml:space="preserve">1.89 </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2.01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2.05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1.99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1.99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2.01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2.02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 xml:space="preserve">1.99 </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2.02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1.99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2.01</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2.01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2.08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2.01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1.99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2.03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2.05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shd w:val="pct10" w:color="auto" w:fill="FFFFFF"/>
              </w:rPr>
            </w:pPr>
            <w:r>
              <w:rPr>
                <w:rFonts w:ascii="Times New Roman" w:hAnsi="Times New Roman"/>
                <w:sz w:val="18"/>
                <w:szCs w:val="18"/>
                <w:shd w:val="pct10" w:color="auto" w:fill="FFFFFF"/>
              </w:rPr>
              <w:t xml:space="preserve">2.12 </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2.01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480" w:type="dxa"/>
            <w:tcBorders>
              <w:top w:val="single" w:color="000000" w:sz="6" w:space="0"/>
              <w:left w:val="single" w:color="000000" w:sz="6" w:space="0"/>
              <w:bottom w:val="single" w:color="000000" w:sz="6" w:space="0"/>
            </w:tcBorders>
            <w:tcMar>
              <w:top w:w="15" w:type="dxa"/>
              <w:left w:w="15" w:type="dxa"/>
              <w:right w:w="15" w:type="dxa"/>
            </w:tcMar>
          </w:tcPr>
          <w:p>
            <w:pPr>
              <w:jc w:val="center"/>
              <w:rPr>
                <w:sz w:val="18"/>
                <w:szCs w:val="18"/>
              </w:rPr>
            </w:pPr>
            <w:r>
              <w:rPr>
                <w:rFonts w:hint="eastAsia"/>
                <w:sz w:val="18"/>
                <w:szCs w:val="18"/>
              </w:rPr>
              <w:t>平均值</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1.995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1.979</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2.022</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2.052</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1.995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1.988</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2.024</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2.055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2.062</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2.004</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tcBorders>
              <w:top w:val="single" w:color="000000" w:sz="6" w:space="0"/>
              <w:left w:val="single" w:color="000000" w:sz="6" w:space="0"/>
              <w:bottom w:val="single" w:color="000000" w:sz="6" w:space="0"/>
            </w:tcBorders>
            <w:tcMar>
              <w:top w:w="15" w:type="dxa"/>
              <w:left w:w="15" w:type="dxa"/>
              <w:right w:w="15" w:type="dxa"/>
            </w:tcMar>
          </w:tcPr>
          <w:p>
            <w:pPr>
              <w:widowControl/>
              <w:jc w:val="center"/>
              <w:textAlignment w:val="top"/>
              <w:rPr>
                <w:rFonts w:ascii="Times New Roman" w:hAnsi="Times New Roman"/>
                <w:color w:val="000000"/>
                <w:sz w:val="18"/>
                <w:szCs w:val="18"/>
              </w:rPr>
            </w:pPr>
            <w:r>
              <w:rPr>
                <w:rFonts w:ascii="Times New Roman" w:hAnsi="Times New Roman"/>
                <w:color w:val="000000"/>
                <w:kern w:val="0"/>
                <w:sz w:val="18"/>
                <w:szCs w:val="18"/>
              </w:rPr>
              <w:t>s</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0.0207</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0.0519</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0.0133</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0.0232</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0.0093</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0.0209</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0.0143</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0.0242</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0.0640</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0.0201</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tcBorders>
              <w:top w:val="single" w:color="000000" w:sz="6" w:space="0"/>
              <w:left w:val="single" w:color="000000" w:sz="6" w:space="0"/>
              <w:bottom w:val="single" w:color="000000" w:sz="6" w:space="0"/>
            </w:tcBorders>
            <w:tcMar>
              <w:top w:w="15" w:type="dxa"/>
              <w:left w:w="15" w:type="dxa"/>
              <w:right w:w="15" w:type="dxa"/>
            </w:tcMar>
          </w:tcPr>
          <w:p>
            <w:pPr>
              <w:widowControl/>
              <w:jc w:val="center"/>
              <w:textAlignment w:val="top"/>
              <w:rPr>
                <w:rFonts w:ascii="Times New Roman" w:hAnsi="Times New Roman"/>
                <w:color w:val="000000"/>
                <w:sz w:val="18"/>
                <w:szCs w:val="18"/>
              </w:rPr>
            </w:pPr>
            <w:r>
              <w:rPr>
                <w:rFonts w:ascii="Times New Roman" w:hAnsi="Times New Roman"/>
                <w:color w:val="000000"/>
                <w:kern w:val="0"/>
                <w:sz w:val="18"/>
                <w:szCs w:val="18"/>
              </w:rPr>
              <w:t>RSD</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1.036</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2.620</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0.657</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1.129</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0.468</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1.051</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0.708</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1.180</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3.104</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0.020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80" w:type="dxa"/>
            <w:vMerge w:val="restart"/>
            <w:tcBorders>
              <w:top w:val="single" w:color="000000" w:sz="6" w:space="0"/>
              <w:left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样品编号</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起草单位</w:t>
            </w:r>
          </w:p>
        </w:tc>
        <w:tc>
          <w:tcPr>
            <w:tcW w:w="7155" w:type="dxa"/>
            <w:gridSpan w:val="9"/>
            <w:tcBorders>
              <w:top w:val="single" w:color="000000" w:sz="6" w:space="0"/>
              <w:bottom w:val="single" w:color="000000" w:sz="6" w:space="0"/>
              <w:right w:val="single" w:color="000000" w:sz="6" w:space="0"/>
            </w:tcBorders>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验证单位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tcPr>
          <w:p>
            <w:pPr>
              <w:jc w:val="center"/>
              <w:rPr>
                <w:rFonts w:ascii="宋体" w:hAnsi="宋体" w:cs="宋体"/>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富民薪冶工贸有限公司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广东先导稀材</w:t>
            </w:r>
            <w:r>
              <w:rPr>
                <w:rStyle w:val="56"/>
                <w:rFonts w:hint="default"/>
              </w:rPr>
              <w:t>股份有限公司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sz w:val="16"/>
                <w:szCs w:val="16"/>
              </w:rPr>
            </w:pPr>
            <w:r>
              <w:rPr>
                <w:rFonts w:hint="eastAsia" w:ascii="宋体" w:hAnsi="宋体" w:cs="宋体"/>
                <w:kern w:val="0"/>
                <w:sz w:val="16"/>
                <w:szCs w:val="16"/>
              </w:rPr>
              <w:t>云南锡业股份</w:t>
            </w:r>
            <w:r>
              <w:rPr>
                <w:rStyle w:val="56"/>
                <w:rFonts w:hint="default"/>
                <w:color w:val="auto"/>
              </w:rPr>
              <w:t>有限公司铜业分公司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河南豫光金铅股份</w:t>
            </w:r>
            <w:r>
              <w:rPr>
                <w:rStyle w:val="56"/>
                <w:rFonts w:hint="default"/>
              </w:rPr>
              <w:t>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江西铜业</w:t>
            </w:r>
            <w:r>
              <w:rPr>
                <w:rStyle w:val="56"/>
                <w:rFonts w:hint="default"/>
              </w:rPr>
              <w:t>股份有限公司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五矿铜业（湖南）有限公司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山东恒邦冶炼股份</w:t>
            </w:r>
            <w:r>
              <w:rPr>
                <w:rStyle w:val="56"/>
                <w:rFonts w:hint="default"/>
              </w:rPr>
              <w:t>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阳谷祥光铜业有限</w:t>
            </w:r>
            <w:r>
              <w:rPr>
                <w:rStyle w:val="56"/>
                <w:rFonts w:hint="default"/>
              </w:rPr>
              <w:t>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郴州市金贵银业股份有限公司</w:t>
            </w:r>
          </w:p>
        </w:tc>
        <w:tc>
          <w:tcPr>
            <w:tcW w:w="795" w:type="dxa"/>
            <w:tcBorders>
              <w:top w:val="single" w:color="000000" w:sz="6" w:space="0"/>
              <w:bottom w:val="single" w:color="000000" w:sz="6" w:space="0"/>
              <w:right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长沙矿冶研究院有限责任公司</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restart"/>
            <w:tcBorders>
              <w:top w:val="single" w:color="000000" w:sz="6" w:space="0"/>
              <w:left w:val="single" w:color="000000" w:sz="6" w:space="0"/>
              <w:bottom w:val="single" w:color="000000" w:sz="6" w:space="0"/>
            </w:tcBorders>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4#</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3.46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3.56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3.51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3.58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3.60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3.45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3.50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3.49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3.61 </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3.56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3.46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3.53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3.53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3.44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3.49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3.49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3.48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3.53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3.55 </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3.57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3.51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3.57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3.58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3.51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3.56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3.43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B050"/>
                <w:sz w:val="18"/>
                <w:szCs w:val="18"/>
              </w:rPr>
            </w:pPr>
            <w:r>
              <w:rPr>
                <w:rFonts w:ascii="Times New Roman" w:hAnsi="Times New Roman"/>
                <w:color w:val="00B050"/>
                <w:sz w:val="18"/>
                <w:szCs w:val="18"/>
                <w:shd w:val="pct10" w:color="auto" w:fill="FFFFFF"/>
              </w:rPr>
              <w:t>3.75</w:t>
            </w:r>
            <w:r>
              <w:rPr>
                <w:rFonts w:ascii="Times New Roman" w:hAnsi="Times New Roman"/>
                <w:color w:val="000000"/>
                <w:kern w:val="0"/>
                <w:shd w:val="clear" w:color="FFFFFF" w:fill="D9D9D9"/>
              </w:rPr>
              <w:t>**</w:t>
            </w:r>
            <w:r>
              <w:rPr>
                <w:rFonts w:ascii="Times New Roman" w:hAnsi="Times New Roman"/>
                <w:color w:val="00B050"/>
                <w:sz w:val="18"/>
                <w:szCs w:val="18"/>
              </w:rPr>
              <w:t xml:space="preserve">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3.55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3.59 </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3.48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3.43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3.49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3.56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3.46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3.56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3.46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3.56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3.60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3.62 </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3.49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3.49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3.65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3.54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3.56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3.59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3.43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3.52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3.50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3.61 </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3.50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3.44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3.65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3.52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3.58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3.57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3.49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3.58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3.46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3.66 </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3.53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3.50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3.58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3.52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3.57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3.59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3.50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3.58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3.52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3.64 </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3.54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3.50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3.53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3.54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3.58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3.52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3.50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3.55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3.59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3.59 </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3.52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3.46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3.49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3.53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3.55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3.51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3.49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3.53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3.51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3.57 </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3.54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3.50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3.63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3.58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3.39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3.53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3.48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3.51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3.48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3.55 </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3.53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3.48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3.59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3.59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3.55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3.57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3.47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3.57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3.51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18"/>
                <w:szCs w:val="18"/>
              </w:rPr>
            </w:pPr>
            <w:r>
              <w:rPr>
                <w:rFonts w:ascii="Times New Roman" w:hAnsi="Times New Roman"/>
                <w:sz w:val="18"/>
                <w:szCs w:val="18"/>
              </w:rPr>
              <w:t xml:space="preserve">3.62 </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3.50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480" w:type="dxa"/>
            <w:tcBorders>
              <w:top w:val="single" w:color="000000" w:sz="6" w:space="0"/>
              <w:left w:val="single" w:color="000000" w:sz="6" w:space="0"/>
              <w:bottom w:val="single" w:color="000000" w:sz="6" w:space="0"/>
            </w:tcBorders>
            <w:tcMar>
              <w:top w:w="15" w:type="dxa"/>
              <w:left w:w="15" w:type="dxa"/>
              <w:right w:w="15" w:type="dxa"/>
            </w:tcMar>
          </w:tcPr>
          <w:p>
            <w:pPr>
              <w:widowControl/>
              <w:jc w:val="left"/>
              <w:textAlignment w:val="top"/>
              <w:rPr>
                <w:rFonts w:ascii="Times New Roman" w:hAnsi="Times New Roman"/>
                <w:color w:val="000000"/>
                <w:sz w:val="18"/>
                <w:szCs w:val="18"/>
              </w:rPr>
            </w:pPr>
            <w:r>
              <w:rPr>
                <w:rFonts w:ascii="Times New Roman" w:hAnsi="Times New Roman"/>
                <w:color w:val="000000"/>
                <w:kern w:val="0"/>
                <w:sz w:val="18"/>
                <w:szCs w:val="18"/>
              </w:rPr>
              <w:t>平均值</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3.475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3.570</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3.545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3.525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3.554</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3.472</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3.538</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3.522</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3.601</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3.524</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tcBorders>
              <w:top w:val="single" w:color="000000" w:sz="6" w:space="0"/>
              <w:left w:val="single" w:color="000000" w:sz="6" w:space="0"/>
              <w:bottom w:val="single" w:color="000000" w:sz="6" w:space="0"/>
            </w:tcBorders>
            <w:tcMar>
              <w:top w:w="15" w:type="dxa"/>
              <w:left w:w="15" w:type="dxa"/>
              <w:right w:w="15" w:type="dxa"/>
            </w:tcMar>
          </w:tcPr>
          <w:p>
            <w:pPr>
              <w:widowControl/>
              <w:jc w:val="center"/>
              <w:textAlignment w:val="top"/>
              <w:rPr>
                <w:rFonts w:ascii="Times New Roman" w:hAnsi="Times New Roman"/>
                <w:color w:val="000000"/>
                <w:sz w:val="18"/>
                <w:szCs w:val="18"/>
              </w:rPr>
            </w:pPr>
            <w:r>
              <w:rPr>
                <w:rFonts w:ascii="Times New Roman" w:hAnsi="Times New Roman"/>
                <w:color w:val="000000"/>
                <w:kern w:val="0"/>
                <w:sz w:val="18"/>
                <w:szCs w:val="18"/>
              </w:rPr>
              <w:t>s</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0.0270</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0.0574</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0.0277</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0.0659</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0.0361</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0.0260</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0.0352</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0.0435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0.0351</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0.0287</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tcBorders>
              <w:top w:val="single" w:color="000000" w:sz="6" w:space="0"/>
              <w:left w:val="single" w:color="000000" w:sz="6" w:space="0"/>
              <w:bottom w:val="single" w:color="000000" w:sz="6" w:space="0"/>
            </w:tcBorders>
            <w:tcMar>
              <w:top w:w="15" w:type="dxa"/>
              <w:left w:w="15" w:type="dxa"/>
              <w:right w:w="15" w:type="dxa"/>
            </w:tcMar>
          </w:tcPr>
          <w:p>
            <w:pPr>
              <w:widowControl/>
              <w:jc w:val="center"/>
              <w:textAlignment w:val="top"/>
              <w:rPr>
                <w:rFonts w:ascii="Times New Roman" w:hAnsi="Times New Roman"/>
                <w:color w:val="000000"/>
                <w:sz w:val="18"/>
                <w:szCs w:val="18"/>
              </w:rPr>
            </w:pPr>
            <w:r>
              <w:rPr>
                <w:rFonts w:ascii="Times New Roman" w:hAnsi="Times New Roman"/>
                <w:color w:val="000000"/>
                <w:kern w:val="0"/>
                <w:sz w:val="18"/>
                <w:szCs w:val="18"/>
              </w:rPr>
              <w:t>RSD</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0.776</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1.609</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0.781</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1.871</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1.017</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0.749</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0.995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1.236</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0.974</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0.815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480" w:type="dxa"/>
            <w:vMerge w:val="restart"/>
            <w:tcBorders>
              <w:top w:val="single" w:color="000000" w:sz="6" w:space="0"/>
              <w:left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样品编号</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起草单位</w:t>
            </w:r>
          </w:p>
        </w:tc>
        <w:tc>
          <w:tcPr>
            <w:tcW w:w="7155" w:type="dxa"/>
            <w:gridSpan w:val="9"/>
            <w:tcBorders>
              <w:top w:val="single" w:color="000000" w:sz="6" w:space="0"/>
              <w:bottom w:val="single" w:color="000000" w:sz="6" w:space="0"/>
              <w:right w:val="single" w:color="000000" w:sz="6" w:space="0"/>
            </w:tcBorders>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验证单位</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tcPr>
          <w:p>
            <w:pPr>
              <w:jc w:val="center"/>
              <w:rPr>
                <w:rFonts w:ascii="宋体" w:hAnsi="宋体" w:cs="宋体"/>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富民薪冶工贸有限公司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广东先导稀材</w:t>
            </w:r>
            <w:r>
              <w:rPr>
                <w:rStyle w:val="56"/>
                <w:rFonts w:hint="default"/>
              </w:rPr>
              <w:t>股份有限公司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sz w:val="16"/>
                <w:szCs w:val="16"/>
              </w:rPr>
            </w:pPr>
            <w:r>
              <w:rPr>
                <w:rFonts w:hint="eastAsia" w:ascii="宋体" w:hAnsi="宋体" w:cs="宋体"/>
                <w:kern w:val="0"/>
                <w:sz w:val="16"/>
                <w:szCs w:val="16"/>
              </w:rPr>
              <w:t>云南锡业股份</w:t>
            </w:r>
            <w:r>
              <w:rPr>
                <w:rStyle w:val="56"/>
                <w:rFonts w:hint="default"/>
                <w:color w:val="auto"/>
              </w:rPr>
              <w:t>有限公司铜业分公司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河南豫光金铅股份</w:t>
            </w:r>
            <w:r>
              <w:rPr>
                <w:rStyle w:val="56"/>
                <w:rFonts w:hint="default"/>
              </w:rPr>
              <w:t>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江西铜业</w:t>
            </w:r>
            <w:r>
              <w:rPr>
                <w:rStyle w:val="56"/>
                <w:rFonts w:hint="default"/>
              </w:rPr>
              <w:t>股份有限公司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五矿铜业（湖南）有限公司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山东恒邦冶炼股份</w:t>
            </w:r>
            <w:r>
              <w:rPr>
                <w:rStyle w:val="56"/>
                <w:rFonts w:hint="default"/>
              </w:rPr>
              <w:t>有限公司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阳谷祥光铜业有限</w:t>
            </w:r>
            <w:r>
              <w:rPr>
                <w:rStyle w:val="56"/>
                <w:rFonts w:hint="default"/>
              </w:rPr>
              <w:t>公司</w:t>
            </w:r>
          </w:p>
        </w:tc>
        <w:tc>
          <w:tcPr>
            <w:tcW w:w="795" w:type="dxa"/>
            <w:tcBorders>
              <w:top w:val="single" w:color="000000" w:sz="6" w:space="0"/>
              <w:bottom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郴州市金贵银业股份有限公司</w:t>
            </w:r>
          </w:p>
        </w:tc>
        <w:tc>
          <w:tcPr>
            <w:tcW w:w="795" w:type="dxa"/>
            <w:tcBorders>
              <w:top w:val="single" w:color="000000" w:sz="6" w:space="0"/>
              <w:bottom w:val="single" w:color="000000" w:sz="6" w:space="0"/>
              <w:right w:val="single" w:color="000000" w:sz="6" w:space="0"/>
            </w:tcBorders>
            <w:tcMar>
              <w:top w:w="15" w:type="dxa"/>
              <w:left w:w="15" w:type="dxa"/>
              <w:right w:w="15" w:type="dxa"/>
            </w:tcMar>
          </w:tcPr>
          <w:p>
            <w:pPr>
              <w:widowControl/>
              <w:jc w:val="center"/>
              <w:textAlignment w:val="top"/>
              <w:rPr>
                <w:rFonts w:ascii="宋体" w:hAnsi="宋体" w:cs="宋体"/>
                <w:color w:val="000000"/>
                <w:sz w:val="16"/>
                <w:szCs w:val="16"/>
              </w:rPr>
            </w:pPr>
            <w:r>
              <w:rPr>
                <w:rFonts w:hint="eastAsia" w:ascii="宋体" w:hAnsi="宋体" w:cs="宋体"/>
                <w:color w:val="000000"/>
                <w:kern w:val="0"/>
                <w:sz w:val="16"/>
                <w:szCs w:val="16"/>
              </w:rPr>
              <w:t>长沙矿冶研究院有限责任公司</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restart"/>
            <w:tcBorders>
              <w:top w:val="single" w:color="000000" w:sz="6" w:space="0"/>
              <w:left w:val="single" w:color="000000" w:sz="6" w:space="0"/>
              <w:bottom w:val="single" w:color="000000" w:sz="6" w:space="0"/>
            </w:tcBorders>
            <w:tcMar>
              <w:top w:w="15" w:type="dxa"/>
              <w:left w:w="15" w:type="dxa"/>
              <w:right w:w="15" w:type="dxa"/>
            </w:tcMar>
            <w:vAlign w:val="center"/>
          </w:tcPr>
          <w:p>
            <w:pPr>
              <w:widowControl/>
              <w:jc w:val="left"/>
              <w:textAlignment w:val="center"/>
              <w:rPr>
                <w:rFonts w:ascii="Times New Roman" w:hAnsi="Times New Roman"/>
                <w:color w:val="000000"/>
                <w:sz w:val="18"/>
                <w:szCs w:val="18"/>
              </w:rPr>
            </w:pPr>
            <w:r>
              <w:rPr>
                <w:rFonts w:ascii="Times New Roman" w:hAnsi="Times New Roman"/>
                <w:color w:val="000000"/>
                <w:kern w:val="0"/>
                <w:sz w:val="18"/>
                <w:szCs w:val="18"/>
              </w:rPr>
              <w:t>5#</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4.68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4.67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4.74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4.68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4.70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4.70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4.79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4.86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20"/>
                <w:szCs w:val="20"/>
              </w:rPr>
            </w:pPr>
            <w:r>
              <w:rPr>
                <w:rFonts w:ascii="Times New Roman" w:hAnsi="Times New Roman"/>
                <w:sz w:val="20"/>
                <w:szCs w:val="20"/>
              </w:rPr>
              <w:t>4.72</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4.80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4.77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4.72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4.77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4.72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4.67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4.70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4.77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4.84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20"/>
                <w:szCs w:val="20"/>
              </w:rPr>
            </w:pPr>
            <w:r>
              <w:rPr>
                <w:rFonts w:ascii="Times New Roman" w:hAnsi="Times New Roman"/>
                <w:sz w:val="20"/>
                <w:szCs w:val="20"/>
              </w:rPr>
              <w:t>4.8</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4.77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4.70</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4.69</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4.81</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4.75</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4.65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4.68</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B050"/>
                <w:sz w:val="18"/>
                <w:szCs w:val="18"/>
              </w:rPr>
            </w:pPr>
            <w:r>
              <w:rPr>
                <w:rFonts w:ascii="Times New Roman" w:hAnsi="Times New Roman"/>
                <w:color w:val="00B050"/>
                <w:sz w:val="18"/>
                <w:szCs w:val="18"/>
                <w:shd w:val="pct10" w:color="auto" w:fill="FFFFFF"/>
              </w:rPr>
              <w:t>4.86</w:t>
            </w:r>
            <w:r>
              <w:rPr>
                <w:rFonts w:ascii="Times New Roman" w:hAnsi="Times New Roman"/>
                <w:color w:val="000000"/>
                <w:kern w:val="0"/>
                <w:shd w:val="clear" w:color="FFFFFF" w:fill="D9D9D9"/>
              </w:rPr>
              <w:t>**</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4.75</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20"/>
                <w:szCs w:val="20"/>
              </w:rPr>
            </w:pPr>
            <w:r>
              <w:rPr>
                <w:rFonts w:ascii="Times New Roman" w:hAnsi="Times New Roman"/>
                <w:sz w:val="20"/>
                <w:szCs w:val="20"/>
              </w:rPr>
              <w:t>4.69</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4.80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4.78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4.67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4.74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4.79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4.64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4.82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4.79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4.69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20"/>
                <w:szCs w:val="20"/>
              </w:rPr>
            </w:pPr>
            <w:r>
              <w:rPr>
                <w:rFonts w:ascii="Times New Roman" w:hAnsi="Times New Roman"/>
                <w:sz w:val="20"/>
                <w:szCs w:val="20"/>
              </w:rPr>
              <w:t>4.72</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4.78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4.74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4.70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4.71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4.84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4.66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4.83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4.82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4.79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20"/>
                <w:szCs w:val="20"/>
              </w:rPr>
            </w:pPr>
            <w:r>
              <w:rPr>
                <w:rFonts w:ascii="Times New Roman" w:hAnsi="Times New Roman"/>
                <w:sz w:val="20"/>
                <w:szCs w:val="20"/>
              </w:rPr>
              <w:t>4.71</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4.79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4.75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4.59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4.72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4.88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4.71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4.84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4.79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4.67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20"/>
                <w:szCs w:val="20"/>
              </w:rPr>
            </w:pPr>
            <w:r>
              <w:rPr>
                <w:rFonts w:ascii="Times New Roman" w:hAnsi="Times New Roman"/>
                <w:sz w:val="20"/>
                <w:szCs w:val="20"/>
              </w:rPr>
              <w:t>4.81</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4.82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4.83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4.74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4.71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4.75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4.67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4.72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4.78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4.83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20"/>
                <w:szCs w:val="20"/>
              </w:rPr>
            </w:pPr>
            <w:r>
              <w:rPr>
                <w:rFonts w:ascii="Times New Roman" w:hAnsi="Times New Roman"/>
                <w:sz w:val="20"/>
                <w:szCs w:val="20"/>
              </w:rPr>
              <w:t>4.75</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4.79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4.74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4.74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4.68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4.76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4.67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4.80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4.80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4.81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20"/>
                <w:szCs w:val="20"/>
              </w:rPr>
            </w:pPr>
            <w:r>
              <w:rPr>
                <w:rFonts w:ascii="Times New Roman" w:hAnsi="Times New Roman"/>
                <w:sz w:val="20"/>
                <w:szCs w:val="20"/>
              </w:rPr>
              <w:t>4.76</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4.78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4.83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4.73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4.71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4.88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4.68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4.80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4.80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4.82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20"/>
                <w:szCs w:val="20"/>
              </w:rPr>
            </w:pPr>
            <w:r>
              <w:rPr>
                <w:rFonts w:ascii="Times New Roman" w:hAnsi="Times New Roman"/>
                <w:sz w:val="20"/>
                <w:szCs w:val="20"/>
              </w:rPr>
              <w:t>4.72</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4.76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4.78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4.69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4.73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4.70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4.68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4.78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4.79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4.91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20"/>
                <w:szCs w:val="20"/>
              </w:rPr>
            </w:pPr>
            <w:r>
              <w:rPr>
                <w:rFonts w:ascii="Times New Roman" w:hAnsi="Times New Roman"/>
                <w:sz w:val="20"/>
                <w:szCs w:val="20"/>
              </w:rPr>
              <w:t>4.71</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4.78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vMerge w:val="continue"/>
            <w:tcBorders>
              <w:top w:val="single" w:color="000000" w:sz="6" w:space="0"/>
              <w:left w:val="single" w:color="000000" w:sz="6" w:space="0"/>
              <w:bottom w:val="single" w:color="000000" w:sz="6" w:space="0"/>
            </w:tcBorders>
            <w:tcMar>
              <w:top w:w="15" w:type="dxa"/>
              <w:left w:w="15" w:type="dxa"/>
              <w:right w:w="15" w:type="dxa"/>
            </w:tcMar>
            <w:vAlign w:val="center"/>
          </w:tcPr>
          <w:p>
            <w:pPr>
              <w:rPr>
                <w:rFonts w:ascii="Times New Roman" w:hAnsi="Times New Roman"/>
                <w:color w:val="000000"/>
                <w:sz w:val="18"/>
                <w:szCs w:val="18"/>
              </w:rPr>
            </w:pP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4.87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4.65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4.76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4.68 </w:t>
            </w:r>
          </w:p>
        </w:tc>
        <w:tc>
          <w:tcPr>
            <w:tcW w:w="795" w:type="dxa"/>
            <w:tcBorders>
              <w:top w:val="single" w:color="000000" w:sz="6" w:space="0"/>
              <w:bottom w:val="single" w:color="000000" w:sz="6" w:space="0"/>
            </w:tcBorders>
            <w:tcMar>
              <w:top w:w="15" w:type="dxa"/>
              <w:left w:w="15" w:type="dxa"/>
              <w:right w:w="15" w:type="dxa"/>
            </w:tcMar>
          </w:tcPr>
          <w:p>
            <w:pPr>
              <w:jc w:val="center"/>
              <w:rPr>
                <w:rFonts w:ascii="Times New Roman" w:hAnsi="Times New Roman"/>
                <w:sz w:val="18"/>
                <w:szCs w:val="18"/>
              </w:rPr>
            </w:pPr>
            <w:r>
              <w:rPr>
                <w:rFonts w:ascii="Times New Roman" w:hAnsi="Times New Roman"/>
                <w:sz w:val="18"/>
                <w:szCs w:val="18"/>
              </w:rPr>
              <w:t xml:space="preserve">4.68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 xml:space="preserve">4.79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4.79 </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4.78 </w:t>
            </w:r>
          </w:p>
        </w:tc>
        <w:tc>
          <w:tcPr>
            <w:tcW w:w="795" w:type="dxa"/>
            <w:tcBorders>
              <w:top w:val="single" w:color="000000" w:sz="6" w:space="0"/>
              <w:bottom w:val="single" w:color="000000" w:sz="6" w:space="0"/>
            </w:tcBorders>
            <w:tcMar>
              <w:top w:w="15" w:type="dxa"/>
              <w:left w:w="15" w:type="dxa"/>
              <w:right w:w="15" w:type="dxa"/>
            </w:tcMar>
            <w:vAlign w:val="bottom"/>
          </w:tcPr>
          <w:p>
            <w:pPr>
              <w:jc w:val="center"/>
              <w:rPr>
                <w:rFonts w:ascii="Times New Roman" w:hAnsi="Times New Roman"/>
                <w:sz w:val="20"/>
                <w:szCs w:val="20"/>
              </w:rPr>
            </w:pPr>
            <w:r>
              <w:rPr>
                <w:rFonts w:ascii="Times New Roman" w:hAnsi="Times New Roman"/>
                <w:sz w:val="20"/>
                <w:szCs w:val="20"/>
              </w:rPr>
              <w:t>4.73</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 xml:space="preserve">4.78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480" w:type="dxa"/>
            <w:tcBorders>
              <w:top w:val="single" w:color="000000" w:sz="6" w:space="0"/>
              <w:left w:val="single" w:color="000000" w:sz="6" w:space="0"/>
              <w:bottom w:val="single" w:color="000000" w:sz="6" w:space="0"/>
            </w:tcBorders>
            <w:tcMar>
              <w:top w:w="15" w:type="dxa"/>
              <w:left w:w="15" w:type="dxa"/>
              <w:right w:w="15" w:type="dxa"/>
            </w:tcMar>
          </w:tcPr>
          <w:p>
            <w:pPr>
              <w:widowControl/>
              <w:jc w:val="left"/>
              <w:textAlignment w:val="top"/>
              <w:rPr>
                <w:rFonts w:ascii="Times New Roman" w:hAnsi="Times New Roman"/>
                <w:color w:val="000000"/>
                <w:sz w:val="18"/>
                <w:szCs w:val="18"/>
              </w:rPr>
            </w:pPr>
            <w:r>
              <w:rPr>
                <w:rFonts w:ascii="Times New Roman" w:hAnsi="Times New Roman"/>
                <w:color w:val="000000"/>
                <w:kern w:val="0"/>
                <w:sz w:val="18"/>
                <w:szCs w:val="18"/>
              </w:rPr>
              <w:t>平均值</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4.770</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4.690</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4.735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4.766</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4.674</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4.769</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4.792</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4.795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4.738</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4.786</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tcBorders>
              <w:top w:val="single" w:color="000000" w:sz="6" w:space="0"/>
              <w:left w:val="single" w:color="000000" w:sz="6" w:space="0"/>
              <w:bottom w:val="single" w:color="000000" w:sz="6" w:space="0"/>
            </w:tcBorders>
            <w:tcMar>
              <w:top w:w="15" w:type="dxa"/>
              <w:left w:w="15" w:type="dxa"/>
              <w:right w:w="15" w:type="dxa"/>
            </w:tcMar>
          </w:tcPr>
          <w:p>
            <w:pPr>
              <w:widowControl/>
              <w:jc w:val="center"/>
              <w:textAlignment w:val="top"/>
              <w:rPr>
                <w:rFonts w:ascii="Times New Roman" w:hAnsi="Times New Roman"/>
                <w:color w:val="000000"/>
                <w:sz w:val="18"/>
                <w:szCs w:val="18"/>
              </w:rPr>
            </w:pPr>
            <w:r>
              <w:rPr>
                <w:rFonts w:ascii="Times New Roman" w:hAnsi="Times New Roman"/>
                <w:color w:val="000000"/>
                <w:kern w:val="0"/>
                <w:sz w:val="18"/>
                <w:szCs w:val="18"/>
              </w:rPr>
              <w:t>s</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0.0571</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0.0447</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0.0356</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0.0734</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0.0201</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0.0580</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0.0132</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0.0710</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0.0382</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0.0163</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480" w:type="dxa"/>
            <w:tcBorders>
              <w:top w:val="single" w:color="000000" w:sz="6" w:space="0"/>
              <w:left w:val="single" w:color="000000" w:sz="6" w:space="0"/>
              <w:bottom w:val="single" w:color="000000" w:sz="6" w:space="0"/>
            </w:tcBorders>
            <w:tcMar>
              <w:top w:w="15" w:type="dxa"/>
              <w:left w:w="15" w:type="dxa"/>
              <w:right w:w="15" w:type="dxa"/>
            </w:tcMar>
          </w:tcPr>
          <w:p>
            <w:pPr>
              <w:widowControl/>
              <w:jc w:val="center"/>
              <w:textAlignment w:val="top"/>
              <w:rPr>
                <w:rFonts w:ascii="Times New Roman" w:hAnsi="Times New Roman"/>
                <w:color w:val="000000"/>
                <w:sz w:val="18"/>
                <w:szCs w:val="18"/>
              </w:rPr>
            </w:pPr>
            <w:r>
              <w:rPr>
                <w:rFonts w:ascii="Times New Roman" w:hAnsi="Times New Roman"/>
                <w:color w:val="000000"/>
                <w:kern w:val="0"/>
                <w:sz w:val="18"/>
                <w:szCs w:val="18"/>
              </w:rPr>
              <w:t>RSD</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1.197</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0.954</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0.752</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1.540</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0.431</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1.217</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0.275</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1.481</w:t>
            </w:r>
          </w:p>
        </w:tc>
        <w:tc>
          <w:tcPr>
            <w:tcW w:w="795" w:type="dxa"/>
            <w:tcBorders>
              <w:top w:val="single" w:color="000000" w:sz="6" w:space="0"/>
              <w:bottom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0.805</w:t>
            </w:r>
          </w:p>
        </w:tc>
        <w:tc>
          <w:tcPr>
            <w:tcW w:w="795" w:type="dxa"/>
            <w:tcBorders>
              <w:top w:val="single" w:color="000000" w:sz="6" w:space="0"/>
              <w:bottom w:val="single" w:color="000000" w:sz="6" w:space="0"/>
              <w:right w:val="single" w:color="000000" w:sz="6" w:space="0"/>
            </w:tcBorders>
            <w:tcMar>
              <w:top w:w="15" w:type="dxa"/>
              <w:left w:w="15" w:type="dxa"/>
              <w:right w:w="15" w:type="dxa"/>
            </w:tcMar>
            <w:vAlign w:val="center"/>
          </w:tcPr>
          <w:p>
            <w:pPr>
              <w:jc w:val="center"/>
              <w:rPr>
                <w:rFonts w:ascii="Times New Roman" w:hAnsi="Times New Roman"/>
                <w:sz w:val="18"/>
                <w:szCs w:val="18"/>
              </w:rPr>
            </w:pPr>
            <w:r>
              <w:rPr>
                <w:rFonts w:ascii="Times New Roman" w:hAnsi="Times New Roman"/>
                <w:sz w:val="18"/>
                <w:szCs w:val="18"/>
              </w:rPr>
              <w:t>0.340</w:t>
            </w:r>
          </w:p>
        </w:tc>
      </w:tr>
    </w:tbl>
    <w:p>
      <w:pPr>
        <w:spacing w:line="360" w:lineRule="auto"/>
        <w:rPr>
          <w:bCs/>
        </w:rPr>
      </w:pPr>
      <w:r>
        <w:rPr>
          <w:rFonts w:ascii="Times New Roman" w:hAnsi="Times New Roman"/>
          <w:bCs/>
        </w:rPr>
        <w:t>3</w:t>
      </w:r>
      <w:r>
        <w:rPr>
          <w:rFonts w:hint="eastAsia"/>
          <w:bCs/>
        </w:rPr>
        <w:t xml:space="preserve"> </w:t>
      </w:r>
      <w:r>
        <w:rPr>
          <w:bCs/>
        </w:rPr>
        <w:t xml:space="preserve"> </w:t>
      </w:r>
      <w:r>
        <w:rPr>
          <w:rFonts w:hint="eastAsia"/>
          <w:bCs/>
        </w:rPr>
        <w:t>一致性和离群值</w:t>
      </w:r>
    </w:p>
    <w:p>
      <w:pPr>
        <w:spacing w:line="360" w:lineRule="auto"/>
        <w:rPr>
          <w:bCs/>
        </w:rPr>
      </w:pPr>
      <w:r>
        <w:rPr>
          <w:rFonts w:ascii="Times New Roman" w:hAnsi="Times New Roman"/>
          <w:bCs/>
        </w:rPr>
        <w:t xml:space="preserve">3.1 </w:t>
      </w:r>
      <w:r>
        <w:rPr>
          <w:bCs/>
        </w:rPr>
        <w:t xml:space="preserve"> </w:t>
      </w:r>
      <w:r>
        <w:rPr>
          <w:rFonts w:hint="eastAsia"/>
          <w:bCs/>
        </w:rPr>
        <w:t>格拉布斯检验</w:t>
      </w:r>
    </w:p>
    <w:p>
      <w:pPr>
        <w:spacing w:line="360" w:lineRule="auto"/>
        <w:rPr>
          <w:bCs/>
        </w:rPr>
      </w:pPr>
      <w:r>
        <w:rPr>
          <w:rFonts w:ascii="Times New Roman" w:hAnsi="Times New Roman"/>
          <w:bCs/>
        </w:rPr>
        <w:t xml:space="preserve">3.1.1 </w:t>
      </w:r>
      <w:r>
        <w:rPr>
          <w:bCs/>
        </w:rPr>
        <w:t xml:space="preserve"> </w:t>
      </w:r>
      <w:r>
        <w:rPr>
          <w:rFonts w:hint="eastAsia"/>
          <w:bCs/>
        </w:rPr>
        <w:t>分别对每家的每一个水平样进行格拉布斯检验，查表，</w:t>
      </w:r>
      <w:r>
        <w:rPr>
          <w:rFonts w:ascii="Times New Roman" w:hAnsi="Times New Roman"/>
          <w:bCs/>
        </w:rPr>
        <w:t>n=11，1%</w:t>
      </w:r>
      <w:r>
        <w:rPr>
          <w:rFonts w:hint="eastAsia"/>
          <w:bCs/>
        </w:rPr>
        <w:t>临界值为</w:t>
      </w:r>
      <w:r>
        <w:rPr>
          <w:rFonts w:ascii="Times New Roman" w:hAnsi="Times New Roman"/>
          <w:bCs/>
        </w:rPr>
        <w:t>2.564，5%</w:t>
      </w:r>
      <w:r>
        <w:rPr>
          <w:rFonts w:hint="eastAsia"/>
          <w:bCs/>
        </w:rPr>
        <w:t>临界值为</w:t>
      </w:r>
      <w:r>
        <w:rPr>
          <w:rFonts w:ascii="Times New Roman" w:hAnsi="Times New Roman"/>
          <w:bCs/>
        </w:rPr>
        <w:t>2.355，n=10</w:t>
      </w:r>
      <w:r>
        <w:rPr>
          <w:rFonts w:hint="eastAsia"/>
          <w:bCs/>
        </w:rPr>
        <w:t>时，</w:t>
      </w:r>
      <w:r>
        <w:rPr>
          <w:rFonts w:ascii="Times New Roman" w:hAnsi="Times New Roman"/>
          <w:bCs/>
        </w:rPr>
        <w:t>1%</w:t>
      </w:r>
      <w:r>
        <w:rPr>
          <w:rFonts w:hint="eastAsia"/>
          <w:bCs/>
        </w:rPr>
        <w:t>临界值为2.482，5%临界值为2.290，根据国家标准</w:t>
      </w:r>
      <w:r>
        <w:rPr>
          <w:rFonts w:ascii="Times New Roman" w:hAnsi="Times New Roman"/>
          <w:bCs/>
        </w:rPr>
        <w:t>GB/T6379.2-2004</w:t>
      </w:r>
      <w:r>
        <w:rPr>
          <w:rFonts w:hint="eastAsia"/>
          <w:bCs/>
        </w:rPr>
        <w:t>规定，检验统计量大于</w:t>
      </w:r>
      <w:r>
        <w:rPr>
          <w:rFonts w:ascii="Times New Roman" w:hAnsi="Times New Roman"/>
          <w:bCs/>
        </w:rPr>
        <w:t>1%</w:t>
      </w:r>
      <w:r>
        <w:rPr>
          <w:rFonts w:hint="eastAsia"/>
          <w:bCs/>
        </w:rPr>
        <w:t>临界值时，为统计离群值，需要舍弃，异常值用“</w:t>
      </w:r>
      <w:r>
        <w:rPr>
          <w:rFonts w:ascii="Times New Roman" w:hAnsi="Times New Roman"/>
          <w:bCs/>
        </w:rPr>
        <w:t>**</w:t>
      </w:r>
      <w:r>
        <w:rPr>
          <w:rFonts w:hint="eastAsia"/>
          <w:bCs/>
        </w:rPr>
        <w:t>”标出；大于</w:t>
      </w:r>
      <w:r>
        <w:rPr>
          <w:rFonts w:ascii="Times New Roman" w:hAnsi="Times New Roman"/>
          <w:bCs/>
        </w:rPr>
        <w:t>5%</w:t>
      </w:r>
      <w:r>
        <w:rPr>
          <w:rFonts w:hint="eastAsia"/>
          <w:bCs/>
        </w:rPr>
        <w:t>临界值，小于</w:t>
      </w:r>
      <w:r>
        <w:rPr>
          <w:rFonts w:ascii="Times New Roman" w:hAnsi="Times New Roman"/>
          <w:bCs/>
        </w:rPr>
        <w:t>1%</w:t>
      </w:r>
      <w:r>
        <w:rPr>
          <w:rFonts w:hint="eastAsia"/>
          <w:bCs/>
        </w:rPr>
        <w:t>临界值时，为统计歧离值，异常值用“</w:t>
      </w:r>
      <w:r>
        <w:rPr>
          <w:rFonts w:ascii="Times New Roman" w:hAnsi="Times New Roman"/>
          <w:bCs/>
        </w:rPr>
        <w:t>*</w:t>
      </w:r>
      <w:r>
        <w:rPr>
          <w:rFonts w:hint="eastAsia"/>
          <w:bCs/>
        </w:rPr>
        <w:t>”标出。数据统计发现，对于水平</w:t>
      </w:r>
      <w:r>
        <w:rPr>
          <w:rFonts w:ascii="Times New Roman" w:hAnsi="Times New Roman"/>
          <w:bCs/>
        </w:rPr>
        <w:t>3</w:t>
      </w:r>
      <w:r>
        <w:rPr>
          <w:rFonts w:hint="eastAsia"/>
          <w:bCs/>
        </w:rPr>
        <w:t>，五铜矿业（湖南）有限公司的</w:t>
      </w:r>
      <w:r>
        <w:rPr>
          <w:rFonts w:ascii="Times New Roman" w:hAnsi="Times New Roman"/>
          <w:bCs/>
        </w:rPr>
        <w:t>2.04</w:t>
      </w:r>
      <w:r>
        <w:rPr>
          <w:rFonts w:hint="eastAsia"/>
          <w:bCs/>
        </w:rPr>
        <w:t>为歧离值；对于水平</w:t>
      </w:r>
      <w:r>
        <w:rPr>
          <w:rFonts w:ascii="Times New Roman" w:hAnsi="Times New Roman"/>
          <w:bCs/>
        </w:rPr>
        <w:t>4</w:t>
      </w:r>
      <w:r>
        <w:rPr>
          <w:rFonts w:hint="eastAsia"/>
          <w:bCs/>
        </w:rPr>
        <w:t>，山东恒邦冶炼股份有限公司的</w:t>
      </w:r>
      <w:r>
        <w:rPr>
          <w:rFonts w:ascii="Times New Roman" w:hAnsi="Times New Roman"/>
          <w:bCs/>
        </w:rPr>
        <w:t>3.75</w:t>
      </w:r>
      <w:r>
        <w:rPr>
          <w:rFonts w:hint="eastAsia"/>
          <w:bCs/>
        </w:rPr>
        <w:t>为离群值，</w:t>
      </w:r>
      <w:r>
        <w:rPr>
          <w:rFonts w:ascii="Times New Roman" w:hAnsi="Times New Roman"/>
          <w:bCs/>
        </w:rPr>
        <w:t>Gmax</w:t>
      </w:r>
      <w:r>
        <w:rPr>
          <w:rFonts w:hint="eastAsia"/>
          <w:bCs/>
        </w:rPr>
        <w:t>为</w:t>
      </w:r>
      <w:r>
        <w:rPr>
          <w:rFonts w:ascii="Times New Roman" w:hAnsi="Times New Roman"/>
          <w:bCs/>
        </w:rPr>
        <w:t>2.6722</w:t>
      </w:r>
      <w:r>
        <w:rPr>
          <w:rFonts w:hint="eastAsia"/>
          <w:bCs/>
        </w:rPr>
        <w:t>，不参与后续计算；对于水平</w:t>
      </w:r>
      <w:r>
        <w:rPr>
          <w:rFonts w:ascii="Times New Roman" w:hAnsi="Times New Roman"/>
          <w:bCs/>
        </w:rPr>
        <w:t>5</w:t>
      </w:r>
      <w:r>
        <w:rPr>
          <w:rFonts w:hint="eastAsia"/>
          <w:bCs/>
        </w:rPr>
        <w:t>，山东恒邦冶炼股份有限公司的</w:t>
      </w:r>
      <w:r>
        <w:rPr>
          <w:rFonts w:ascii="Times New Roman" w:hAnsi="Times New Roman"/>
          <w:bCs/>
        </w:rPr>
        <w:t>4.86</w:t>
      </w:r>
      <w:r>
        <w:rPr>
          <w:rFonts w:hint="eastAsia"/>
          <w:bCs/>
        </w:rPr>
        <w:t>为离群值，</w:t>
      </w:r>
      <w:r>
        <w:rPr>
          <w:rFonts w:ascii="Times New Roman" w:hAnsi="Times New Roman"/>
          <w:bCs/>
        </w:rPr>
        <w:t>Gmax</w:t>
      </w:r>
      <w:r>
        <w:rPr>
          <w:rFonts w:hint="eastAsia"/>
          <w:bCs/>
        </w:rPr>
        <w:t>为</w:t>
      </w:r>
      <w:r>
        <w:rPr>
          <w:rFonts w:ascii="Times New Roman" w:hAnsi="Times New Roman"/>
          <w:bCs/>
        </w:rPr>
        <w:t>2.5749</w:t>
      </w:r>
      <w:r>
        <w:rPr>
          <w:rFonts w:hint="eastAsia"/>
          <w:bCs/>
        </w:rPr>
        <w:t>，不参与后续计算。</w:t>
      </w:r>
      <w:r>
        <w:t>对剩下数据进行</w:t>
      </w:r>
      <w:r>
        <w:rPr>
          <w:rFonts w:hint="eastAsia"/>
        </w:rPr>
        <w:t>格拉布斯</w:t>
      </w:r>
      <w:r>
        <w:t>检验</w:t>
      </w:r>
      <w:r>
        <w:rPr>
          <w:rFonts w:hint="eastAsia"/>
        </w:rPr>
        <w:t>，</w:t>
      </w:r>
      <w:r>
        <w:t>均符合要求。</w:t>
      </w:r>
      <w:r>
        <w:rPr>
          <w:rFonts w:hint="eastAsia"/>
          <w:bCs/>
        </w:rPr>
        <w:t xml:space="preserve"> </w:t>
      </w:r>
    </w:p>
    <w:p>
      <w:pPr>
        <w:spacing w:line="360" w:lineRule="auto"/>
        <w:rPr>
          <w:bCs/>
        </w:rPr>
      </w:pPr>
      <w:r>
        <w:rPr>
          <w:rFonts w:ascii="Times New Roman" w:hAnsi="Times New Roman"/>
          <w:bCs/>
        </w:rPr>
        <w:t xml:space="preserve">3.1.2  </w:t>
      </w:r>
      <w:r>
        <w:rPr>
          <w:rFonts w:hint="eastAsia"/>
          <w:bCs/>
        </w:rPr>
        <w:t>对</w:t>
      </w:r>
      <w:r>
        <w:rPr>
          <w:rFonts w:ascii="Times New Roman" w:hAnsi="Times New Roman"/>
          <w:bCs/>
        </w:rPr>
        <w:t>10</w:t>
      </w:r>
      <w:r>
        <w:rPr>
          <w:rFonts w:hint="eastAsia"/>
          <w:bCs/>
        </w:rPr>
        <w:t>个实验室的平均值进行格拉布斯检验，结果见表2：</w:t>
      </w:r>
    </w:p>
    <w:p>
      <w:pPr>
        <w:spacing w:line="360" w:lineRule="auto"/>
        <w:ind w:firstLine="1575" w:firstLineChars="750"/>
        <w:rPr>
          <w:bCs/>
        </w:rPr>
      </w:pPr>
      <w:r>
        <w:rPr>
          <w:rFonts w:hint="eastAsia"/>
          <w:bCs/>
        </w:rPr>
        <w:t>表</w:t>
      </w:r>
      <w:r>
        <w:rPr>
          <w:rFonts w:ascii="Times New Roman" w:hAnsi="Times New Roman"/>
          <w:bCs/>
        </w:rPr>
        <w:t xml:space="preserve">2 </w:t>
      </w:r>
      <w:r>
        <w:rPr>
          <w:rFonts w:hint="eastAsia"/>
          <w:bCs/>
        </w:rPr>
        <w:t xml:space="preserve"> 对各家平均值进行格拉布斯检验</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47"/>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rPr>
                <w:rFonts w:ascii="Times New Roman" w:hAnsi="Times New Roman"/>
                <w:bCs/>
                <w:sz w:val="18"/>
                <w:szCs w:val="18"/>
              </w:rPr>
            </w:pPr>
            <w:r>
              <w:rPr>
                <w:rFonts w:ascii="Times New Roman" w:hAnsi="Times New Roman"/>
                <w:bCs/>
                <w:sz w:val="18"/>
                <w:szCs w:val="18"/>
              </w:rPr>
              <w:t>统计量</w:t>
            </w:r>
          </w:p>
        </w:tc>
        <w:tc>
          <w:tcPr>
            <w:tcW w:w="1247" w:type="dxa"/>
          </w:tcPr>
          <w:p>
            <w:pPr>
              <w:spacing w:line="360" w:lineRule="auto"/>
              <w:jc w:val="center"/>
              <w:rPr>
                <w:rFonts w:ascii="Times New Roman" w:hAnsi="Times New Roman"/>
                <w:bCs/>
                <w:sz w:val="18"/>
                <w:szCs w:val="18"/>
              </w:rPr>
            </w:pPr>
            <w:r>
              <w:rPr>
                <w:rFonts w:ascii="Times New Roman" w:hAnsi="Times New Roman"/>
                <w:bCs/>
                <w:sz w:val="18"/>
                <w:szCs w:val="18"/>
              </w:rPr>
              <w:t>水平1</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水平2</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水平3</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水平4</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rPr>
                <w:rFonts w:ascii="Times New Roman" w:hAnsi="Times New Roman"/>
                <w:bCs/>
                <w:sz w:val="18"/>
                <w:szCs w:val="18"/>
              </w:rPr>
            </w:pPr>
            <w:r>
              <w:rPr>
                <w:rFonts w:ascii="Times New Roman" w:hAnsi="Times New Roman"/>
                <w:bCs/>
                <w:sz w:val="18"/>
                <w:szCs w:val="18"/>
              </w:rPr>
              <w:t>均值的平均值</w:t>
            </w:r>
          </w:p>
        </w:tc>
        <w:tc>
          <w:tcPr>
            <w:tcW w:w="1247" w:type="dxa"/>
          </w:tcPr>
          <w:p>
            <w:pPr>
              <w:spacing w:line="360" w:lineRule="auto"/>
              <w:jc w:val="center"/>
              <w:rPr>
                <w:rFonts w:ascii="Times New Roman" w:hAnsi="Times New Roman"/>
                <w:bCs/>
                <w:sz w:val="18"/>
                <w:szCs w:val="18"/>
              </w:rPr>
            </w:pPr>
            <w:r>
              <w:rPr>
                <w:rFonts w:ascii="Times New Roman" w:hAnsi="Times New Roman"/>
                <w:bCs/>
                <w:sz w:val="18"/>
                <w:szCs w:val="18"/>
              </w:rPr>
              <w:t>0.0893</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0.952</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2.018</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3.532</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rPr>
                <w:rFonts w:ascii="Times New Roman" w:hAnsi="Times New Roman"/>
                <w:bCs/>
                <w:sz w:val="18"/>
                <w:szCs w:val="18"/>
              </w:rPr>
            </w:pPr>
            <w:r>
              <w:rPr>
                <w:rFonts w:ascii="Times New Roman" w:hAnsi="Times New Roman"/>
                <w:bCs/>
                <w:sz w:val="18"/>
                <w:szCs w:val="18"/>
              </w:rPr>
              <w:t>均值的标准差</w:t>
            </w:r>
          </w:p>
        </w:tc>
        <w:tc>
          <w:tcPr>
            <w:tcW w:w="1247" w:type="dxa"/>
          </w:tcPr>
          <w:p>
            <w:pPr>
              <w:spacing w:line="360" w:lineRule="auto"/>
              <w:jc w:val="center"/>
              <w:rPr>
                <w:rFonts w:ascii="Times New Roman" w:hAnsi="Times New Roman"/>
                <w:bCs/>
                <w:sz w:val="18"/>
                <w:szCs w:val="18"/>
              </w:rPr>
            </w:pPr>
            <w:r>
              <w:rPr>
                <w:rFonts w:ascii="Times New Roman" w:hAnsi="Times New Roman"/>
                <w:bCs/>
                <w:sz w:val="18"/>
                <w:szCs w:val="18"/>
              </w:rPr>
              <w:t>0.0032</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0.0145</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0.0302</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0.0393</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0.0419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rPr>
                <w:rFonts w:ascii="Times New Roman" w:hAnsi="Times New Roman"/>
                <w:bCs/>
                <w:sz w:val="18"/>
                <w:szCs w:val="18"/>
              </w:rPr>
            </w:pPr>
            <w:r>
              <w:rPr>
                <w:rFonts w:ascii="Times New Roman" w:hAnsi="Times New Roman"/>
                <w:bCs/>
                <w:sz w:val="18"/>
                <w:szCs w:val="18"/>
              </w:rPr>
              <w:t>最大均值</w:t>
            </w:r>
          </w:p>
        </w:tc>
        <w:tc>
          <w:tcPr>
            <w:tcW w:w="1247" w:type="dxa"/>
          </w:tcPr>
          <w:p>
            <w:pPr>
              <w:spacing w:line="360" w:lineRule="auto"/>
              <w:jc w:val="center"/>
              <w:rPr>
                <w:rFonts w:ascii="Times New Roman" w:hAnsi="Times New Roman"/>
                <w:bCs/>
                <w:sz w:val="18"/>
                <w:szCs w:val="18"/>
              </w:rPr>
            </w:pPr>
            <w:r>
              <w:rPr>
                <w:rFonts w:ascii="Times New Roman" w:hAnsi="Times New Roman"/>
                <w:bCs/>
                <w:sz w:val="18"/>
                <w:szCs w:val="18"/>
              </w:rPr>
              <w:t>0.0928</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0.975</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2.062</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3.601</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4.795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rPr>
                <w:rFonts w:ascii="Times New Roman" w:hAnsi="Times New Roman"/>
                <w:bCs/>
                <w:sz w:val="18"/>
                <w:szCs w:val="18"/>
              </w:rPr>
            </w:pPr>
            <w:r>
              <w:rPr>
                <w:rFonts w:ascii="Times New Roman" w:hAnsi="Times New Roman"/>
                <w:bCs/>
                <w:sz w:val="18"/>
                <w:szCs w:val="18"/>
              </w:rPr>
              <w:t>最小均值</w:t>
            </w:r>
          </w:p>
        </w:tc>
        <w:tc>
          <w:tcPr>
            <w:tcW w:w="1247" w:type="dxa"/>
          </w:tcPr>
          <w:p>
            <w:pPr>
              <w:spacing w:line="360" w:lineRule="auto"/>
              <w:jc w:val="center"/>
              <w:rPr>
                <w:rFonts w:ascii="Times New Roman" w:hAnsi="Times New Roman"/>
                <w:bCs/>
                <w:sz w:val="18"/>
                <w:szCs w:val="18"/>
              </w:rPr>
            </w:pPr>
            <w:r>
              <w:rPr>
                <w:rFonts w:ascii="Times New Roman" w:hAnsi="Times New Roman"/>
                <w:bCs/>
                <w:sz w:val="18"/>
                <w:szCs w:val="18"/>
              </w:rPr>
              <w:t>0.0821</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0.928</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1.979</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3.472</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4.674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rPr>
                <w:rFonts w:ascii="Times New Roman" w:hAnsi="Times New Roman"/>
                <w:bCs/>
                <w:sz w:val="18"/>
                <w:szCs w:val="18"/>
              </w:rPr>
            </w:pPr>
            <w:r>
              <w:rPr>
                <w:rFonts w:ascii="Times New Roman" w:hAnsi="Times New Roman"/>
                <w:bCs/>
                <w:sz w:val="18"/>
                <w:szCs w:val="18"/>
              </w:rPr>
              <w:t>Gmax</w:t>
            </w:r>
          </w:p>
        </w:tc>
        <w:tc>
          <w:tcPr>
            <w:tcW w:w="1247" w:type="dxa"/>
          </w:tcPr>
          <w:p>
            <w:pPr>
              <w:spacing w:line="360" w:lineRule="auto"/>
              <w:jc w:val="center"/>
              <w:rPr>
                <w:rFonts w:ascii="Times New Roman" w:hAnsi="Times New Roman"/>
                <w:bCs/>
                <w:sz w:val="18"/>
                <w:szCs w:val="18"/>
              </w:rPr>
            </w:pPr>
            <w:r>
              <w:rPr>
                <w:rFonts w:ascii="Times New Roman" w:hAnsi="Times New Roman"/>
                <w:bCs/>
                <w:sz w:val="18"/>
                <w:szCs w:val="18"/>
              </w:rPr>
              <w:t>1.0905</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1.6223</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1.4722</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1.7452</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1.0374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rPr>
                <w:rFonts w:ascii="Times New Roman" w:hAnsi="Times New Roman"/>
                <w:bCs/>
                <w:sz w:val="18"/>
                <w:szCs w:val="18"/>
              </w:rPr>
            </w:pPr>
            <w:r>
              <w:rPr>
                <w:rFonts w:ascii="Times New Roman" w:hAnsi="Times New Roman"/>
                <w:bCs/>
                <w:sz w:val="18"/>
                <w:szCs w:val="18"/>
              </w:rPr>
              <w:t>Gmin</w:t>
            </w:r>
          </w:p>
        </w:tc>
        <w:tc>
          <w:tcPr>
            <w:tcW w:w="1247" w:type="dxa"/>
          </w:tcPr>
          <w:p>
            <w:pPr>
              <w:spacing w:line="360" w:lineRule="auto"/>
              <w:jc w:val="center"/>
              <w:rPr>
                <w:rFonts w:ascii="Times New Roman" w:hAnsi="Times New Roman"/>
                <w:bCs/>
                <w:sz w:val="18"/>
                <w:szCs w:val="18"/>
              </w:rPr>
            </w:pPr>
            <w:r>
              <w:rPr>
                <w:rFonts w:ascii="Times New Roman" w:hAnsi="Times New Roman"/>
                <w:bCs/>
                <w:sz w:val="18"/>
                <w:szCs w:val="18"/>
              </w:rPr>
              <w:t>2.2624</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1.6223</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1.2798</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1.5366</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1.8482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rPr>
                <w:rFonts w:ascii="Times New Roman" w:hAnsi="Times New Roman"/>
                <w:bCs/>
                <w:sz w:val="18"/>
                <w:szCs w:val="18"/>
              </w:rPr>
            </w:pPr>
            <w:r>
              <w:rPr>
                <w:rFonts w:ascii="Times New Roman" w:hAnsi="Times New Roman"/>
                <w:bCs/>
                <w:sz w:val="18"/>
                <w:szCs w:val="18"/>
              </w:rPr>
              <w:t>歧离值（Y/N）</w:t>
            </w:r>
          </w:p>
        </w:tc>
        <w:tc>
          <w:tcPr>
            <w:tcW w:w="1247"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60" w:lineRule="auto"/>
              <w:jc w:val="center"/>
              <w:rPr>
                <w:rFonts w:ascii="Times New Roman" w:hAnsi="Times New Roman"/>
                <w:bCs/>
                <w:sz w:val="18"/>
                <w:szCs w:val="18"/>
              </w:rPr>
            </w:pPr>
            <w:r>
              <w:rPr>
                <w:rFonts w:ascii="Times New Roman" w:hAnsi="Times New Roman"/>
                <w:bCs/>
                <w:sz w:val="18"/>
                <w:szCs w:val="18"/>
              </w:rPr>
              <w:t>离群值（Y/N）</w:t>
            </w:r>
          </w:p>
        </w:tc>
        <w:tc>
          <w:tcPr>
            <w:tcW w:w="1247"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N</w:t>
            </w:r>
          </w:p>
        </w:tc>
      </w:tr>
    </w:tbl>
    <w:p>
      <w:pPr>
        <w:spacing w:line="360" w:lineRule="auto"/>
        <w:ind w:firstLine="420" w:firstLineChars="200"/>
        <w:rPr>
          <w:bCs/>
        </w:rPr>
      </w:pPr>
      <w:r>
        <w:rPr>
          <w:rFonts w:hint="eastAsia"/>
          <w:bCs/>
        </w:rPr>
        <w:t>查表，</w:t>
      </w:r>
      <w:r>
        <w:rPr>
          <w:rFonts w:ascii="Times New Roman" w:hAnsi="Times New Roman"/>
          <w:bCs/>
        </w:rPr>
        <w:t>n=11，1%</w:t>
      </w:r>
      <w:r>
        <w:rPr>
          <w:rFonts w:hint="eastAsia"/>
          <w:bCs/>
        </w:rPr>
        <w:t>临界值为</w:t>
      </w:r>
      <w:r>
        <w:rPr>
          <w:rFonts w:ascii="Times New Roman" w:hAnsi="Times New Roman"/>
          <w:bCs/>
        </w:rPr>
        <w:t>2.564，5%</w:t>
      </w:r>
      <w:r>
        <w:rPr>
          <w:rFonts w:hint="eastAsia"/>
          <w:bCs/>
        </w:rPr>
        <w:t>临界值为</w:t>
      </w:r>
      <w:r>
        <w:rPr>
          <w:rFonts w:ascii="Times New Roman" w:hAnsi="Times New Roman"/>
          <w:bCs/>
        </w:rPr>
        <w:t>2.355，n=10</w:t>
      </w:r>
      <w:r>
        <w:rPr>
          <w:rFonts w:hint="eastAsia"/>
          <w:bCs/>
        </w:rPr>
        <w:t>时，</w:t>
      </w:r>
      <w:r>
        <w:rPr>
          <w:rFonts w:ascii="Times New Roman" w:hAnsi="Times New Roman"/>
          <w:bCs/>
        </w:rPr>
        <w:t>1%</w:t>
      </w:r>
      <w:r>
        <w:rPr>
          <w:rFonts w:hint="eastAsia"/>
          <w:bCs/>
        </w:rPr>
        <w:t>临界值为</w:t>
      </w:r>
      <w:r>
        <w:rPr>
          <w:rFonts w:ascii="Times New Roman" w:hAnsi="Times New Roman"/>
          <w:bCs/>
        </w:rPr>
        <w:t>2.482，5%</w:t>
      </w:r>
      <w:r>
        <w:rPr>
          <w:rFonts w:hint="eastAsia"/>
          <w:bCs/>
        </w:rPr>
        <w:t>临界值为</w:t>
      </w:r>
      <w:r>
        <w:rPr>
          <w:rFonts w:ascii="Times New Roman" w:hAnsi="Times New Roman"/>
          <w:bCs/>
        </w:rPr>
        <w:t>2.290</w:t>
      </w:r>
      <w:r>
        <w:rPr>
          <w:rFonts w:hint="eastAsia"/>
          <w:bCs/>
        </w:rPr>
        <w:t>，数据统计发现，未发现离群值，数据均符合要求。</w:t>
      </w:r>
    </w:p>
    <w:p>
      <w:pPr>
        <w:spacing w:line="360" w:lineRule="auto"/>
        <w:rPr>
          <w:bCs/>
        </w:rPr>
      </w:pPr>
    </w:p>
    <w:p>
      <w:pPr>
        <w:spacing w:line="360" w:lineRule="auto"/>
        <w:rPr>
          <w:bCs/>
        </w:rPr>
      </w:pPr>
      <w:r>
        <w:rPr>
          <w:rFonts w:ascii="Times New Roman" w:hAnsi="Times New Roman"/>
          <w:bCs/>
        </w:rPr>
        <w:t>3.1.3</w:t>
      </w:r>
      <w:r>
        <w:rPr>
          <w:bCs/>
        </w:rPr>
        <w:t xml:space="preserve"> </w:t>
      </w:r>
      <w:r>
        <w:rPr>
          <w:rFonts w:hint="eastAsia"/>
          <w:bCs/>
        </w:rPr>
        <w:t xml:space="preserve"> 柯克伦检验</w:t>
      </w:r>
    </w:p>
    <w:p>
      <w:pPr>
        <w:ind w:firstLine="420" w:firstLineChars="200"/>
        <w:rPr>
          <w:rFonts w:ascii="Times New Roman" w:hAnsi="Times New Roman"/>
          <w:sz w:val="15"/>
          <w:szCs w:val="15"/>
        </w:rPr>
      </w:pPr>
      <w:r>
        <w:rPr>
          <w:rFonts w:hint="eastAsia"/>
          <w:bCs/>
        </w:rPr>
        <w:t>对</w:t>
      </w:r>
      <w:r>
        <w:rPr>
          <w:rFonts w:ascii="Times New Roman" w:hAnsi="Times New Roman"/>
          <w:bCs/>
        </w:rPr>
        <w:t>10</w:t>
      </w:r>
      <w:r>
        <w:rPr>
          <w:rFonts w:hint="eastAsia"/>
          <w:bCs/>
        </w:rPr>
        <w:t>个实验室方差进行柯克伦检验，查表，</w:t>
      </w:r>
      <w:r>
        <w:t>对</w:t>
      </w:r>
      <w:r>
        <w:rPr>
          <w:rFonts w:ascii="Times New Roman" w:hAnsi="Times New Roman"/>
        </w:rPr>
        <w:t>n=11</w:t>
      </w:r>
      <w:r>
        <w:t>（柯克伦检验没有</w:t>
      </w:r>
      <w:r>
        <w:rPr>
          <w:rFonts w:ascii="Times New Roman" w:hAnsi="Times New Roman"/>
        </w:rPr>
        <w:t>n=11</w:t>
      </w:r>
      <w:r>
        <w:t>时的临界</w:t>
      </w:r>
      <w:r>
        <w:rPr>
          <w:rFonts w:ascii="Times New Roman" w:hAnsi="Times New Roman"/>
        </w:rPr>
        <w:t>值可查询，按n=6的临界值进行离群值的排除），</w:t>
      </w:r>
      <w:r>
        <w:rPr>
          <w:rFonts w:ascii="Times New Roman" w:hAnsi="Times New Roman"/>
          <w:color w:val="000000"/>
          <w:kern w:val="0"/>
        </w:rPr>
        <w:t>P=10，n=6，柯克伦检验1%临界值为0.357，5%临界值为0.303，</w:t>
      </w:r>
      <w:r>
        <w:rPr>
          <w:rFonts w:ascii="Times New Roman" w:hAnsi="Times New Roman"/>
        </w:rPr>
        <w:t>各统计量</w:t>
      </w:r>
      <w:r>
        <w:rPr>
          <w:rFonts w:ascii="Times New Roman" w:hAnsi="Times New Roman"/>
          <w:color w:val="000000"/>
          <w:kern w:val="0"/>
        </w:rPr>
        <w:t>见表3。</w:t>
      </w:r>
      <w:r>
        <w:rPr>
          <w:rFonts w:ascii="Times New Roman" w:hAnsi="Times New Roman"/>
          <w:sz w:val="15"/>
          <w:szCs w:val="15"/>
        </w:rPr>
        <w:t xml:space="preserve"> </w:t>
      </w:r>
    </w:p>
    <w:p>
      <w:pPr>
        <w:rPr>
          <w:rFonts w:ascii="Times New Roman" w:hAnsi="Times New Roman"/>
          <w:sz w:val="15"/>
          <w:szCs w:val="15"/>
        </w:rPr>
      </w:pPr>
    </w:p>
    <w:p>
      <w:pPr>
        <w:ind w:firstLine="420" w:firstLineChars="200"/>
        <w:rPr>
          <w:rFonts w:ascii="宋体" w:hAnsi="宋体" w:cs="宋体"/>
          <w:color w:val="000000"/>
          <w:kern w:val="0"/>
        </w:rPr>
      </w:pPr>
    </w:p>
    <w:p>
      <w:pPr>
        <w:spacing w:line="360" w:lineRule="auto"/>
        <w:rPr>
          <w:bCs/>
        </w:rPr>
      </w:pPr>
      <w:r>
        <w:rPr>
          <w:rFonts w:hint="eastAsia"/>
          <w:bCs/>
        </w:rPr>
        <w:t xml:space="preserve">                           </w:t>
      </w:r>
    </w:p>
    <w:p>
      <w:pPr>
        <w:spacing w:line="360" w:lineRule="auto"/>
        <w:jc w:val="center"/>
        <w:rPr>
          <w:rFonts w:ascii="Times New Roman" w:hAnsi="Times New Roman"/>
          <w:bCs/>
        </w:rPr>
      </w:pPr>
      <w:r>
        <w:rPr>
          <w:rFonts w:ascii="Times New Roman" w:hAnsi="Times New Roman"/>
          <w:bCs/>
        </w:rPr>
        <w:t>表3 柯克伦检验</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276"/>
        <w:gridCol w:w="1276"/>
        <w:gridCol w:w="1276"/>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360" w:lineRule="auto"/>
              <w:jc w:val="center"/>
              <w:rPr>
                <w:rFonts w:ascii="Times New Roman" w:hAnsi="Times New Roman"/>
                <w:bCs/>
                <w:sz w:val="18"/>
                <w:szCs w:val="18"/>
              </w:rPr>
            </w:pPr>
            <w:r>
              <w:rPr>
                <w:rFonts w:ascii="Times New Roman" w:hAnsi="Times New Roman"/>
                <w:bCs/>
                <w:sz w:val="18"/>
                <w:szCs w:val="18"/>
              </w:rPr>
              <w:t>实验室i</w:t>
            </w:r>
          </w:p>
        </w:tc>
        <w:tc>
          <w:tcPr>
            <w:tcW w:w="1276" w:type="dxa"/>
          </w:tcPr>
          <w:p>
            <w:pPr>
              <w:spacing w:line="360" w:lineRule="auto"/>
              <w:rPr>
                <w:rFonts w:ascii="Times New Roman" w:hAnsi="Times New Roman"/>
                <w:bCs/>
                <w:sz w:val="18"/>
                <w:szCs w:val="18"/>
              </w:rPr>
            </w:pPr>
            <w:r>
              <w:rPr>
                <w:rFonts w:ascii="Times New Roman" w:hAnsi="Times New Roman"/>
                <w:bCs/>
                <w:sz w:val="18"/>
                <w:szCs w:val="18"/>
              </w:rPr>
              <w:t>水平1</w:t>
            </w:r>
          </w:p>
        </w:tc>
        <w:tc>
          <w:tcPr>
            <w:tcW w:w="1276" w:type="dxa"/>
          </w:tcPr>
          <w:p>
            <w:pPr>
              <w:spacing w:line="360" w:lineRule="auto"/>
              <w:rPr>
                <w:rFonts w:ascii="Times New Roman" w:hAnsi="Times New Roman"/>
                <w:bCs/>
                <w:sz w:val="18"/>
                <w:szCs w:val="18"/>
              </w:rPr>
            </w:pPr>
            <w:r>
              <w:rPr>
                <w:rFonts w:ascii="Times New Roman" w:hAnsi="Times New Roman"/>
                <w:bCs/>
                <w:sz w:val="18"/>
                <w:szCs w:val="18"/>
              </w:rPr>
              <w:t>水平2</w:t>
            </w:r>
          </w:p>
        </w:tc>
        <w:tc>
          <w:tcPr>
            <w:tcW w:w="1276" w:type="dxa"/>
          </w:tcPr>
          <w:p>
            <w:pPr>
              <w:spacing w:line="360" w:lineRule="auto"/>
              <w:rPr>
                <w:rFonts w:ascii="Times New Roman" w:hAnsi="Times New Roman"/>
                <w:bCs/>
                <w:sz w:val="18"/>
                <w:szCs w:val="18"/>
              </w:rPr>
            </w:pPr>
            <w:r>
              <w:rPr>
                <w:rFonts w:ascii="Times New Roman" w:hAnsi="Times New Roman"/>
                <w:bCs/>
                <w:sz w:val="18"/>
                <w:szCs w:val="18"/>
              </w:rPr>
              <w:t>水平3</w:t>
            </w:r>
          </w:p>
        </w:tc>
        <w:tc>
          <w:tcPr>
            <w:tcW w:w="1134" w:type="dxa"/>
          </w:tcPr>
          <w:p>
            <w:pPr>
              <w:spacing w:line="360" w:lineRule="auto"/>
              <w:rPr>
                <w:rFonts w:ascii="Times New Roman" w:hAnsi="Times New Roman"/>
                <w:bCs/>
                <w:sz w:val="18"/>
                <w:szCs w:val="18"/>
              </w:rPr>
            </w:pPr>
            <w:r>
              <w:rPr>
                <w:rFonts w:ascii="Times New Roman" w:hAnsi="Times New Roman"/>
                <w:bCs/>
                <w:sz w:val="18"/>
                <w:szCs w:val="18"/>
              </w:rPr>
              <w:t>水平4</w:t>
            </w:r>
          </w:p>
        </w:tc>
        <w:tc>
          <w:tcPr>
            <w:tcW w:w="1275" w:type="dxa"/>
          </w:tcPr>
          <w:p>
            <w:pPr>
              <w:spacing w:line="360" w:lineRule="auto"/>
              <w:rPr>
                <w:rFonts w:ascii="Times New Roman" w:hAnsi="Times New Roman"/>
                <w:bCs/>
                <w:sz w:val="18"/>
                <w:szCs w:val="18"/>
              </w:rPr>
            </w:pPr>
            <w:r>
              <w:rPr>
                <w:rFonts w:ascii="Times New Roman" w:hAnsi="Times New Roman"/>
                <w:bCs/>
                <w:sz w:val="18"/>
                <w:szCs w:val="18"/>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360" w:lineRule="auto"/>
              <w:jc w:val="center"/>
              <w:rPr>
                <w:rFonts w:ascii="Times New Roman" w:hAnsi="Times New Roman"/>
                <w:bCs/>
                <w:sz w:val="18"/>
                <w:szCs w:val="18"/>
              </w:rPr>
            </w:pPr>
            <w:r>
              <w:rPr>
                <w:rFonts w:ascii="Times New Roman" w:hAnsi="Times New Roman"/>
                <w:bCs/>
                <w:sz w:val="18"/>
                <w:szCs w:val="18"/>
              </w:rPr>
              <w:t>Smax</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0.00260</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0.0207</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0.0640</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0.0659</w:t>
            </w:r>
          </w:p>
        </w:tc>
        <w:tc>
          <w:tcPr>
            <w:tcW w:w="1275" w:type="dxa"/>
          </w:tcPr>
          <w:p>
            <w:pPr>
              <w:spacing w:line="360" w:lineRule="auto"/>
              <w:jc w:val="center"/>
              <w:rPr>
                <w:rFonts w:ascii="Times New Roman" w:hAnsi="Times New Roman"/>
                <w:bCs/>
                <w:sz w:val="18"/>
                <w:szCs w:val="18"/>
              </w:rPr>
            </w:pPr>
            <w:r>
              <w:rPr>
                <w:rFonts w:ascii="Times New Roman" w:hAnsi="Times New Roman"/>
                <w:bCs/>
                <w:sz w:val="18"/>
                <w:szCs w:val="18"/>
              </w:rPr>
              <w:t>0.0734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360" w:lineRule="auto"/>
              <w:jc w:val="center"/>
              <w:rPr>
                <w:rFonts w:ascii="Times New Roman" w:hAnsi="Times New Roman"/>
                <w:bCs/>
                <w:sz w:val="18"/>
                <w:szCs w:val="18"/>
              </w:rPr>
            </w:pPr>
            <w:r>
              <w:rPr>
                <w:rFonts w:ascii="Times New Roman" w:hAnsi="Times New Roman"/>
                <w:bCs/>
                <w:sz w:val="18"/>
                <w:szCs w:val="18"/>
              </w:rPr>
              <w:object>
                <v:shape id="_x0000_i1027" o:spt="75" type="#_x0000_t75" style="height:38.35pt;width:30.8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0.0000266</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0.00163</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0.00965</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0.0163</w:t>
            </w:r>
          </w:p>
        </w:tc>
        <w:tc>
          <w:tcPr>
            <w:tcW w:w="1275" w:type="dxa"/>
          </w:tcPr>
          <w:p>
            <w:pPr>
              <w:spacing w:line="360" w:lineRule="auto"/>
              <w:jc w:val="center"/>
              <w:rPr>
                <w:rFonts w:ascii="Times New Roman" w:hAnsi="Times New Roman"/>
                <w:bCs/>
                <w:sz w:val="18"/>
                <w:szCs w:val="18"/>
              </w:rPr>
            </w:pPr>
            <w:r>
              <w:rPr>
                <w:rFonts w:ascii="Times New Roman" w:hAnsi="Times New Roman"/>
                <w:bCs/>
                <w:sz w:val="18"/>
                <w:szCs w:val="18"/>
              </w:rPr>
              <w:t>0.0226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360" w:lineRule="auto"/>
              <w:jc w:val="center"/>
              <w:rPr>
                <w:rFonts w:ascii="Times New Roman" w:hAnsi="Times New Roman"/>
                <w:bCs/>
                <w:sz w:val="18"/>
                <w:szCs w:val="18"/>
              </w:rPr>
            </w:pPr>
            <w:r>
              <w:rPr>
                <w:rFonts w:ascii="Times New Roman" w:hAnsi="Times New Roman"/>
                <w:bCs/>
                <w:sz w:val="18"/>
                <w:szCs w:val="18"/>
              </w:rPr>
              <w:t>统计量C</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0.2537</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0.2629</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shd w:val="pct10" w:color="auto" w:fill="FFFFFF"/>
              </w:rPr>
              <w:t>0.4244</w:t>
            </w:r>
            <w:r>
              <w:rPr>
                <w:rFonts w:ascii="Times New Roman" w:hAnsi="Times New Roman"/>
                <w:color w:val="000000"/>
                <w:kern w:val="0"/>
                <w:sz w:val="18"/>
                <w:szCs w:val="18"/>
                <w:shd w:val="clear" w:color="FFFFFF" w:fill="D9D9D9"/>
              </w:rPr>
              <w:t>**</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0.2664</w:t>
            </w:r>
          </w:p>
        </w:tc>
        <w:tc>
          <w:tcPr>
            <w:tcW w:w="1275" w:type="dxa"/>
          </w:tcPr>
          <w:p>
            <w:pPr>
              <w:spacing w:line="360" w:lineRule="auto"/>
              <w:jc w:val="center"/>
              <w:rPr>
                <w:rFonts w:ascii="Times New Roman" w:hAnsi="Times New Roman"/>
                <w:bCs/>
                <w:sz w:val="18"/>
                <w:szCs w:val="18"/>
              </w:rPr>
            </w:pPr>
            <w:r>
              <w:rPr>
                <w:rFonts w:ascii="Times New Roman" w:hAnsi="Times New Roman"/>
                <w:bCs/>
                <w:sz w:val="18"/>
                <w:szCs w:val="18"/>
              </w:rPr>
              <w:t>0.2382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360" w:lineRule="auto"/>
              <w:jc w:val="center"/>
              <w:rPr>
                <w:rFonts w:ascii="Times New Roman" w:hAnsi="Times New Roman"/>
                <w:bCs/>
                <w:sz w:val="18"/>
                <w:szCs w:val="18"/>
              </w:rPr>
            </w:pPr>
            <w:r>
              <w:rPr>
                <w:rFonts w:ascii="Times New Roman" w:hAnsi="Times New Roman"/>
                <w:bCs/>
                <w:sz w:val="18"/>
                <w:szCs w:val="18"/>
              </w:rPr>
              <w:t>歧离值（Y/N）</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275" w:type="dxa"/>
          </w:tcPr>
          <w:p>
            <w:pPr>
              <w:spacing w:line="360" w:lineRule="auto"/>
              <w:jc w:val="center"/>
              <w:rPr>
                <w:rFonts w:ascii="Times New Roman" w:hAnsi="Times New Roman"/>
                <w:bCs/>
                <w:sz w:val="18"/>
                <w:szCs w:val="18"/>
              </w:rPr>
            </w:pPr>
            <w:r>
              <w:rPr>
                <w:rFonts w:ascii="Times New Roman" w:hAnsi="Times New Roman"/>
                <w:bCs/>
                <w:sz w:val="18"/>
                <w:szCs w:val="18"/>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360" w:lineRule="auto"/>
              <w:jc w:val="center"/>
              <w:rPr>
                <w:rFonts w:ascii="Times New Roman" w:hAnsi="Times New Roman"/>
                <w:bCs/>
                <w:sz w:val="18"/>
                <w:szCs w:val="18"/>
              </w:rPr>
            </w:pPr>
            <w:r>
              <w:rPr>
                <w:rFonts w:ascii="Times New Roman" w:hAnsi="Times New Roman"/>
                <w:bCs/>
                <w:sz w:val="18"/>
                <w:szCs w:val="18"/>
              </w:rPr>
              <w:t>离群值（Y/N）</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Y</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275" w:type="dxa"/>
          </w:tcPr>
          <w:p>
            <w:pPr>
              <w:spacing w:line="360" w:lineRule="auto"/>
              <w:jc w:val="center"/>
              <w:rPr>
                <w:rFonts w:ascii="Times New Roman" w:hAnsi="Times New Roman"/>
                <w:bCs/>
                <w:sz w:val="18"/>
                <w:szCs w:val="18"/>
              </w:rPr>
            </w:pPr>
            <w:r>
              <w:rPr>
                <w:rFonts w:ascii="Times New Roman" w:hAnsi="Times New Roman"/>
                <w:bCs/>
                <w:sz w:val="18"/>
                <w:szCs w:val="18"/>
              </w:rPr>
              <w:t>N</w:t>
            </w:r>
          </w:p>
        </w:tc>
      </w:tr>
    </w:tbl>
    <w:p>
      <w:pPr>
        <w:ind w:firstLine="420" w:firstLineChars="200"/>
        <w:rPr>
          <w:rFonts w:ascii="Times New Roman" w:hAnsi="Times New Roman"/>
        </w:rPr>
      </w:pPr>
    </w:p>
    <w:p>
      <w:pPr>
        <w:ind w:firstLine="420" w:firstLineChars="200"/>
        <w:rPr>
          <w:rFonts w:ascii="Times New Roman" w:hAnsi="Times New Roman"/>
          <w:color w:val="000000"/>
          <w:kern w:val="0"/>
          <w:sz w:val="18"/>
          <w:szCs w:val="18"/>
        </w:rPr>
      </w:pPr>
      <w:r>
        <w:rPr>
          <w:rFonts w:ascii="Times New Roman" w:hAnsi="Times New Roman"/>
        </w:rPr>
        <w:t>通过检验发现，</w:t>
      </w:r>
      <w:r>
        <w:rPr>
          <w:rFonts w:ascii="Times New Roman" w:hAnsi="Times New Roman"/>
          <w:bCs/>
        </w:rPr>
        <w:t>对于水平3，郴州市金贵银业股份有限公司的水平3</w:t>
      </w:r>
      <w:r>
        <w:rPr>
          <w:rFonts w:ascii="Times New Roman" w:hAnsi="Times New Roman"/>
        </w:rPr>
        <w:t>结果C值为</w:t>
      </w:r>
      <w:r>
        <w:rPr>
          <w:rFonts w:ascii="Times New Roman" w:hAnsi="Times New Roman"/>
          <w:bCs/>
        </w:rPr>
        <w:t>0.4262</w:t>
      </w:r>
      <w:r>
        <w:rPr>
          <w:rFonts w:ascii="Times New Roman" w:hAnsi="Times New Roman"/>
        </w:rPr>
        <w:t>，为离群值，不参与后续计算。对剩下数据进行柯克伦检验，</w:t>
      </w:r>
      <w:r>
        <w:rPr>
          <w:rFonts w:ascii="Times New Roman" w:hAnsi="Times New Roman"/>
          <w:bCs/>
        </w:rPr>
        <w:t>对9个实验室方差进行柯克伦检验，查表，</w:t>
      </w:r>
      <w:r>
        <w:rPr>
          <w:rFonts w:ascii="Times New Roman" w:hAnsi="Times New Roman"/>
        </w:rPr>
        <w:t>对n=11（柯克伦检验没有n=11时的临界值可查询，按n=6的临界值进行离群值的排除），</w:t>
      </w:r>
      <w:r>
        <w:rPr>
          <w:rFonts w:ascii="Times New Roman" w:hAnsi="Times New Roman"/>
          <w:color w:val="000000"/>
          <w:kern w:val="0"/>
        </w:rPr>
        <w:t>P=9，n=6，1%时，临界值为0.387，5%时，临界值为0.329，</w:t>
      </w:r>
      <w:r>
        <w:rPr>
          <w:rFonts w:ascii="Times New Roman" w:hAnsi="Times New Roman"/>
        </w:rPr>
        <w:t>各统计量</w:t>
      </w:r>
      <w:r>
        <w:rPr>
          <w:rFonts w:ascii="Times New Roman" w:hAnsi="Times New Roman"/>
          <w:color w:val="000000"/>
          <w:kern w:val="0"/>
        </w:rPr>
        <w:t>见表4。</w:t>
      </w:r>
    </w:p>
    <w:p>
      <w:pPr>
        <w:spacing w:line="360" w:lineRule="auto"/>
        <w:jc w:val="center"/>
        <w:rPr>
          <w:rFonts w:ascii="Times New Roman" w:hAnsi="Times New Roman"/>
          <w:bCs/>
        </w:rPr>
      </w:pPr>
      <w:r>
        <w:rPr>
          <w:rFonts w:ascii="Times New Roman" w:hAnsi="Times New Roman"/>
          <w:bCs/>
        </w:rPr>
        <w:t>表4柯克伦检验</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276"/>
        <w:gridCol w:w="1276"/>
        <w:gridCol w:w="1276"/>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360" w:lineRule="auto"/>
              <w:jc w:val="center"/>
              <w:rPr>
                <w:rFonts w:ascii="Times New Roman" w:hAnsi="Times New Roman"/>
                <w:bCs/>
                <w:sz w:val="18"/>
                <w:szCs w:val="18"/>
              </w:rPr>
            </w:pPr>
            <w:r>
              <w:rPr>
                <w:rFonts w:ascii="Times New Roman" w:hAnsi="Times New Roman"/>
                <w:bCs/>
                <w:sz w:val="18"/>
                <w:szCs w:val="18"/>
              </w:rPr>
              <w:t>实验室i</w:t>
            </w:r>
          </w:p>
        </w:tc>
        <w:tc>
          <w:tcPr>
            <w:tcW w:w="1276" w:type="dxa"/>
          </w:tcPr>
          <w:p>
            <w:pPr>
              <w:spacing w:line="360" w:lineRule="auto"/>
              <w:rPr>
                <w:rFonts w:ascii="Times New Roman" w:hAnsi="Times New Roman"/>
                <w:bCs/>
                <w:sz w:val="18"/>
                <w:szCs w:val="18"/>
              </w:rPr>
            </w:pPr>
            <w:r>
              <w:rPr>
                <w:rFonts w:ascii="Times New Roman" w:hAnsi="Times New Roman"/>
                <w:bCs/>
                <w:sz w:val="18"/>
                <w:szCs w:val="18"/>
              </w:rPr>
              <w:t>水平1</w:t>
            </w:r>
          </w:p>
        </w:tc>
        <w:tc>
          <w:tcPr>
            <w:tcW w:w="1276" w:type="dxa"/>
          </w:tcPr>
          <w:p>
            <w:pPr>
              <w:spacing w:line="360" w:lineRule="auto"/>
              <w:rPr>
                <w:rFonts w:ascii="Times New Roman" w:hAnsi="Times New Roman"/>
                <w:bCs/>
                <w:sz w:val="18"/>
                <w:szCs w:val="18"/>
              </w:rPr>
            </w:pPr>
            <w:r>
              <w:rPr>
                <w:rFonts w:ascii="Times New Roman" w:hAnsi="Times New Roman"/>
                <w:bCs/>
                <w:sz w:val="18"/>
                <w:szCs w:val="18"/>
              </w:rPr>
              <w:t>水平2</w:t>
            </w:r>
          </w:p>
        </w:tc>
        <w:tc>
          <w:tcPr>
            <w:tcW w:w="1276" w:type="dxa"/>
          </w:tcPr>
          <w:p>
            <w:pPr>
              <w:spacing w:line="360" w:lineRule="auto"/>
              <w:rPr>
                <w:rFonts w:ascii="Times New Roman" w:hAnsi="Times New Roman"/>
                <w:bCs/>
                <w:sz w:val="18"/>
                <w:szCs w:val="18"/>
              </w:rPr>
            </w:pPr>
            <w:r>
              <w:rPr>
                <w:rFonts w:ascii="Times New Roman" w:hAnsi="Times New Roman"/>
                <w:bCs/>
                <w:sz w:val="18"/>
                <w:szCs w:val="18"/>
              </w:rPr>
              <w:t>水平3</w:t>
            </w:r>
          </w:p>
        </w:tc>
        <w:tc>
          <w:tcPr>
            <w:tcW w:w="1134" w:type="dxa"/>
          </w:tcPr>
          <w:p>
            <w:pPr>
              <w:spacing w:line="360" w:lineRule="auto"/>
              <w:rPr>
                <w:rFonts w:ascii="Times New Roman" w:hAnsi="Times New Roman"/>
                <w:bCs/>
                <w:sz w:val="18"/>
                <w:szCs w:val="18"/>
              </w:rPr>
            </w:pPr>
            <w:r>
              <w:rPr>
                <w:rFonts w:ascii="Times New Roman" w:hAnsi="Times New Roman"/>
                <w:bCs/>
                <w:sz w:val="18"/>
                <w:szCs w:val="18"/>
              </w:rPr>
              <w:t>水平4</w:t>
            </w:r>
          </w:p>
        </w:tc>
        <w:tc>
          <w:tcPr>
            <w:tcW w:w="1275" w:type="dxa"/>
          </w:tcPr>
          <w:p>
            <w:pPr>
              <w:spacing w:line="360" w:lineRule="auto"/>
              <w:rPr>
                <w:rFonts w:ascii="Times New Roman" w:hAnsi="Times New Roman"/>
                <w:bCs/>
                <w:sz w:val="18"/>
                <w:szCs w:val="18"/>
              </w:rPr>
            </w:pPr>
            <w:r>
              <w:rPr>
                <w:rFonts w:ascii="Times New Roman" w:hAnsi="Times New Roman"/>
                <w:bCs/>
                <w:sz w:val="18"/>
                <w:szCs w:val="18"/>
              </w:rPr>
              <w:t>水平5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360" w:lineRule="auto"/>
              <w:jc w:val="center"/>
              <w:rPr>
                <w:rFonts w:ascii="Times New Roman" w:hAnsi="Times New Roman"/>
                <w:bCs/>
                <w:sz w:val="18"/>
                <w:szCs w:val="18"/>
              </w:rPr>
            </w:pPr>
            <w:r>
              <w:rPr>
                <w:rFonts w:ascii="Times New Roman" w:hAnsi="Times New Roman"/>
                <w:bCs/>
                <w:sz w:val="18"/>
                <w:szCs w:val="18"/>
              </w:rPr>
              <w:t>Smax</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0.0026</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0.021</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0.052</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0.0659</w:t>
            </w:r>
          </w:p>
        </w:tc>
        <w:tc>
          <w:tcPr>
            <w:tcW w:w="1275" w:type="dxa"/>
          </w:tcPr>
          <w:p>
            <w:pPr>
              <w:spacing w:line="360" w:lineRule="auto"/>
              <w:jc w:val="center"/>
              <w:rPr>
                <w:rFonts w:ascii="Times New Roman" w:hAnsi="Times New Roman"/>
                <w:bCs/>
                <w:sz w:val="18"/>
                <w:szCs w:val="18"/>
              </w:rPr>
            </w:pPr>
            <w:r>
              <w:rPr>
                <w:rFonts w:ascii="Times New Roman" w:hAnsi="Times New Roman"/>
                <w:bCs/>
                <w:sz w:val="18"/>
                <w:szCs w:val="18"/>
              </w:rPr>
              <w:t>0.0734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360" w:lineRule="auto"/>
              <w:jc w:val="center"/>
              <w:rPr>
                <w:rFonts w:ascii="Times New Roman" w:hAnsi="Times New Roman"/>
                <w:bCs/>
                <w:sz w:val="18"/>
                <w:szCs w:val="18"/>
              </w:rPr>
            </w:pPr>
            <w:r>
              <w:rPr>
                <w:rFonts w:ascii="Times New Roman" w:hAnsi="Times New Roman"/>
                <w:bCs/>
                <w:sz w:val="18"/>
                <w:szCs w:val="18"/>
              </w:rPr>
              <w:object>
                <v:shape id="_x0000_i1028" o:spt="75" type="#_x0000_t75" style="height:38.35pt;width:30.8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2">
                  <o:LockedField>false</o:LockedField>
                </o:OLEObject>
              </w:objec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0.0000266</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0.00163</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0.00555</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0.0163</w:t>
            </w:r>
          </w:p>
        </w:tc>
        <w:tc>
          <w:tcPr>
            <w:tcW w:w="1275" w:type="dxa"/>
          </w:tcPr>
          <w:p>
            <w:pPr>
              <w:spacing w:line="360" w:lineRule="auto"/>
              <w:jc w:val="center"/>
              <w:rPr>
                <w:rFonts w:ascii="Times New Roman" w:hAnsi="Times New Roman"/>
                <w:bCs/>
                <w:sz w:val="18"/>
                <w:szCs w:val="18"/>
              </w:rPr>
            </w:pPr>
            <w:r>
              <w:rPr>
                <w:rFonts w:ascii="Times New Roman" w:hAnsi="Times New Roman"/>
                <w:bCs/>
                <w:sz w:val="18"/>
                <w:szCs w:val="18"/>
              </w:rPr>
              <w:t>0.0226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360" w:lineRule="auto"/>
              <w:jc w:val="center"/>
              <w:rPr>
                <w:rFonts w:ascii="Times New Roman" w:hAnsi="Times New Roman"/>
                <w:bCs/>
                <w:sz w:val="18"/>
                <w:szCs w:val="18"/>
              </w:rPr>
            </w:pPr>
            <w:r>
              <w:rPr>
                <w:rFonts w:ascii="Times New Roman" w:hAnsi="Times New Roman"/>
                <w:bCs/>
                <w:sz w:val="18"/>
                <w:szCs w:val="18"/>
              </w:rPr>
              <w:t>统计量C</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0.2537</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0.2629</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shd w:val="pct10" w:color="auto" w:fill="FFFFFF"/>
              </w:rPr>
              <w:t>0.4849</w:t>
            </w:r>
            <w:r>
              <w:rPr>
                <w:rFonts w:ascii="Times New Roman" w:hAnsi="Times New Roman"/>
                <w:color w:val="000000"/>
                <w:kern w:val="0"/>
                <w:sz w:val="18"/>
                <w:szCs w:val="18"/>
                <w:shd w:val="clear" w:color="FFFFFF" w:fill="D9D9D9"/>
              </w:rPr>
              <w:t>**</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0.2664</w:t>
            </w:r>
          </w:p>
        </w:tc>
        <w:tc>
          <w:tcPr>
            <w:tcW w:w="1275" w:type="dxa"/>
          </w:tcPr>
          <w:p>
            <w:pPr>
              <w:spacing w:line="360" w:lineRule="auto"/>
              <w:jc w:val="center"/>
              <w:rPr>
                <w:rFonts w:ascii="Times New Roman" w:hAnsi="Times New Roman"/>
                <w:bCs/>
                <w:sz w:val="18"/>
                <w:szCs w:val="18"/>
              </w:rPr>
            </w:pPr>
            <w:r>
              <w:rPr>
                <w:rFonts w:ascii="Times New Roman" w:hAnsi="Times New Roman"/>
                <w:bCs/>
                <w:sz w:val="18"/>
                <w:szCs w:val="18"/>
              </w:rPr>
              <w:t>0.2382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360" w:lineRule="auto"/>
              <w:jc w:val="center"/>
              <w:rPr>
                <w:rFonts w:ascii="Times New Roman" w:hAnsi="Times New Roman"/>
                <w:bCs/>
                <w:sz w:val="18"/>
                <w:szCs w:val="18"/>
              </w:rPr>
            </w:pPr>
            <w:r>
              <w:rPr>
                <w:rFonts w:ascii="Times New Roman" w:hAnsi="Times New Roman"/>
                <w:bCs/>
                <w:sz w:val="18"/>
                <w:szCs w:val="18"/>
              </w:rPr>
              <w:t>歧离值（Y/N）</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275" w:type="dxa"/>
          </w:tcPr>
          <w:p>
            <w:pPr>
              <w:spacing w:line="360" w:lineRule="auto"/>
              <w:jc w:val="center"/>
              <w:rPr>
                <w:rFonts w:ascii="Times New Roman" w:hAnsi="Times New Roman"/>
                <w:bCs/>
                <w:sz w:val="18"/>
                <w:szCs w:val="18"/>
              </w:rPr>
            </w:pPr>
            <w:r>
              <w:rPr>
                <w:rFonts w:ascii="Times New Roman" w:hAnsi="Times New Roman"/>
                <w:bCs/>
                <w:sz w:val="18"/>
                <w:szCs w:val="18"/>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360" w:lineRule="auto"/>
              <w:jc w:val="center"/>
              <w:rPr>
                <w:rFonts w:ascii="Times New Roman" w:hAnsi="Times New Roman"/>
                <w:bCs/>
                <w:sz w:val="18"/>
                <w:szCs w:val="18"/>
              </w:rPr>
            </w:pPr>
            <w:r>
              <w:rPr>
                <w:rFonts w:ascii="Times New Roman" w:hAnsi="Times New Roman"/>
                <w:bCs/>
                <w:sz w:val="18"/>
                <w:szCs w:val="18"/>
              </w:rPr>
              <w:t>离群值（Y/N）</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276" w:type="dxa"/>
          </w:tcPr>
          <w:p>
            <w:pPr>
              <w:spacing w:line="360" w:lineRule="auto"/>
              <w:jc w:val="center"/>
              <w:rPr>
                <w:rFonts w:ascii="Times New Roman" w:hAnsi="Times New Roman"/>
                <w:bCs/>
                <w:sz w:val="18"/>
                <w:szCs w:val="18"/>
              </w:rPr>
            </w:pPr>
            <w:r>
              <w:rPr>
                <w:rFonts w:ascii="Times New Roman" w:hAnsi="Times New Roman"/>
                <w:bCs/>
                <w:sz w:val="18"/>
                <w:szCs w:val="18"/>
              </w:rPr>
              <w:t>Y</w:t>
            </w:r>
          </w:p>
        </w:tc>
        <w:tc>
          <w:tcPr>
            <w:tcW w:w="1134" w:type="dxa"/>
          </w:tcPr>
          <w:p>
            <w:pPr>
              <w:spacing w:line="360" w:lineRule="auto"/>
              <w:jc w:val="center"/>
              <w:rPr>
                <w:rFonts w:ascii="Times New Roman" w:hAnsi="Times New Roman"/>
                <w:bCs/>
                <w:sz w:val="18"/>
                <w:szCs w:val="18"/>
              </w:rPr>
            </w:pPr>
            <w:r>
              <w:rPr>
                <w:rFonts w:ascii="Times New Roman" w:hAnsi="Times New Roman"/>
                <w:bCs/>
                <w:sz w:val="18"/>
                <w:szCs w:val="18"/>
              </w:rPr>
              <w:t>N</w:t>
            </w:r>
          </w:p>
        </w:tc>
        <w:tc>
          <w:tcPr>
            <w:tcW w:w="1275" w:type="dxa"/>
          </w:tcPr>
          <w:p>
            <w:pPr>
              <w:spacing w:line="360" w:lineRule="auto"/>
              <w:jc w:val="center"/>
              <w:rPr>
                <w:rFonts w:ascii="Times New Roman" w:hAnsi="Times New Roman"/>
                <w:bCs/>
                <w:sz w:val="18"/>
                <w:szCs w:val="18"/>
              </w:rPr>
            </w:pPr>
            <w:r>
              <w:rPr>
                <w:rFonts w:ascii="Times New Roman" w:hAnsi="Times New Roman"/>
                <w:bCs/>
                <w:sz w:val="18"/>
                <w:szCs w:val="18"/>
              </w:rPr>
              <w:t>N</w:t>
            </w:r>
          </w:p>
        </w:tc>
      </w:tr>
    </w:tbl>
    <w:p>
      <w:pPr>
        <w:ind w:firstLine="300" w:firstLineChars="200"/>
        <w:rPr>
          <w:rFonts w:ascii="Times New Roman" w:hAnsi="Times New Roman"/>
          <w:sz w:val="15"/>
          <w:szCs w:val="15"/>
        </w:rPr>
      </w:pPr>
    </w:p>
    <w:p>
      <w:pPr>
        <w:ind w:firstLine="420" w:firstLineChars="200"/>
        <w:rPr>
          <w:rFonts w:ascii="Times New Roman" w:hAnsi="Times New Roman"/>
        </w:rPr>
      </w:pPr>
    </w:p>
    <w:p>
      <w:pPr>
        <w:ind w:firstLine="420" w:firstLineChars="200"/>
        <w:rPr>
          <w:rFonts w:ascii="Times New Roman" w:hAnsi="Times New Roman"/>
        </w:rPr>
      </w:pPr>
      <w:r>
        <w:rPr>
          <w:rFonts w:ascii="Times New Roman" w:hAnsi="Times New Roman"/>
        </w:rPr>
        <w:t>通过检验发现，</w:t>
      </w:r>
      <w:r>
        <w:rPr>
          <w:rFonts w:ascii="Times New Roman" w:hAnsi="Times New Roman"/>
          <w:bCs/>
        </w:rPr>
        <w:t>对于水平3，广东先导稀材股份有限公司的水平3</w:t>
      </w:r>
      <w:r>
        <w:rPr>
          <w:rFonts w:ascii="Times New Roman" w:hAnsi="Times New Roman"/>
        </w:rPr>
        <w:t>结果C值为</w:t>
      </w:r>
      <w:r>
        <w:rPr>
          <w:rFonts w:ascii="Times New Roman" w:hAnsi="Times New Roman"/>
          <w:bCs/>
        </w:rPr>
        <w:t>0.4903</w:t>
      </w:r>
      <w:r>
        <w:rPr>
          <w:rFonts w:ascii="Times New Roman" w:hAnsi="Times New Roman"/>
        </w:rPr>
        <w:t>，为离群值，不参与后续计算。对剩下数据进行柯克伦检验，均符合要求。</w:t>
      </w:r>
    </w:p>
    <w:p>
      <w:pPr>
        <w:ind w:firstLine="420" w:firstLineChars="200"/>
        <w:rPr>
          <w:rFonts w:ascii="Times New Roman" w:hAnsi="Times New Roman"/>
        </w:rPr>
      </w:pPr>
    </w:p>
    <w:p>
      <w:pPr>
        <w:ind w:firstLine="420" w:firstLineChars="200"/>
        <w:rPr>
          <w:rFonts w:ascii="Times New Roman" w:hAnsi="Times New Roman"/>
        </w:rPr>
      </w:pPr>
    </w:p>
    <w:p>
      <w:pPr>
        <w:rPr>
          <w:rFonts w:ascii="Times New Roman" w:hAnsi="Times New Roman" w:eastAsia="黑体"/>
        </w:rPr>
      </w:pPr>
      <w:r>
        <w:rPr>
          <w:rFonts w:ascii="Times New Roman" w:hAnsi="Times New Roman" w:eastAsia="黑体"/>
        </w:rPr>
        <w:t>4  重复性及再现性</w:t>
      </w:r>
    </w:p>
    <w:p>
      <w:pPr>
        <w:adjustRightInd w:val="0"/>
        <w:snapToGrid w:val="0"/>
        <w:spacing w:beforeLines="50" w:afterLines="50" w:line="300" w:lineRule="auto"/>
        <w:ind w:firstLine="420" w:firstLineChars="200"/>
        <w:jc w:val="left"/>
        <w:rPr>
          <w:rFonts w:ascii="Times New Roman" w:hAnsi="Times New Roman"/>
        </w:rPr>
      </w:pPr>
      <w:r>
        <w:rPr>
          <w:rFonts w:ascii="Times New Roman" w:hAnsi="Times New Roman"/>
        </w:rPr>
        <w:t>铜冶炼烟尘中铋含量测定的原始数据及原始数据统计检验过程见《实验数据及处理》第1部分至第5部分。剔除离群值后，重复性、再现性计算结果见表5。</w:t>
      </w:r>
    </w:p>
    <w:p>
      <w:pPr>
        <w:spacing w:line="360" w:lineRule="auto"/>
        <w:ind w:firstLine="480"/>
        <w:jc w:val="center"/>
        <w:rPr>
          <w:rFonts w:ascii="Times New Roman" w:hAnsi="Times New Roman"/>
        </w:rPr>
      </w:pPr>
    </w:p>
    <w:p>
      <w:pPr>
        <w:spacing w:line="360" w:lineRule="auto"/>
        <w:ind w:firstLine="480"/>
        <w:jc w:val="center"/>
        <w:rPr>
          <w:rFonts w:ascii="Times New Roman" w:hAnsi="Times New Roman"/>
        </w:rPr>
      </w:pPr>
    </w:p>
    <w:p>
      <w:pPr>
        <w:spacing w:line="360" w:lineRule="auto"/>
        <w:ind w:firstLine="480"/>
        <w:jc w:val="center"/>
        <w:rPr>
          <w:rFonts w:ascii="Times New Roman" w:hAnsi="Times New Roman"/>
        </w:rPr>
      </w:pPr>
    </w:p>
    <w:p>
      <w:pPr>
        <w:spacing w:line="360" w:lineRule="auto"/>
        <w:ind w:firstLine="480"/>
        <w:jc w:val="center"/>
        <w:rPr>
          <w:rFonts w:ascii="Times New Roman" w:hAnsi="Times New Roman"/>
        </w:rPr>
      </w:pPr>
      <w:r>
        <w:rPr>
          <w:rFonts w:ascii="Times New Roman" w:hAnsi="Times New Roman"/>
        </w:rPr>
        <w:t>表5重复性</w:t>
      </w:r>
      <w:r>
        <w:rPr>
          <w:rFonts w:hint="eastAsia" w:ascii="Times New Roman" w:hAnsi="Times New Roman"/>
        </w:rPr>
        <w:t>及</w:t>
      </w:r>
      <w:r>
        <w:rPr>
          <w:rFonts w:ascii="Times New Roman" w:hAnsi="Times New Roman"/>
        </w:rPr>
        <w:t>再现性</w:t>
      </w:r>
    </w:p>
    <w:tbl>
      <w:tblPr>
        <w:tblStyle w:val="32"/>
        <w:tblW w:w="0" w:type="auto"/>
        <w:tblInd w:w="0" w:type="dxa"/>
        <w:tblLayout w:type="fixed"/>
        <w:tblCellMar>
          <w:top w:w="0" w:type="dxa"/>
          <w:left w:w="0" w:type="dxa"/>
          <w:bottom w:w="0" w:type="dxa"/>
          <w:right w:w="0" w:type="dxa"/>
        </w:tblCellMar>
      </w:tblPr>
      <w:tblGrid>
        <w:gridCol w:w="1080"/>
        <w:gridCol w:w="1650"/>
        <w:gridCol w:w="1650"/>
        <w:gridCol w:w="1650"/>
        <w:gridCol w:w="1650"/>
        <w:gridCol w:w="1650"/>
      </w:tblGrid>
      <w:tr>
        <w:tblPrEx>
          <w:tblCellMar>
            <w:top w:w="0" w:type="dxa"/>
            <w:left w:w="0" w:type="dxa"/>
            <w:bottom w:w="0" w:type="dxa"/>
            <w:right w:w="0"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rPr>
                <w:rFonts w:ascii="Times New Roman" w:hAnsi="Times New Roman"/>
                <w:color w:val="000000"/>
                <w:sz w:val="18"/>
                <w:szCs w:val="18"/>
              </w:rPr>
            </w:pPr>
          </w:p>
        </w:tc>
        <w:tc>
          <w:tcPr>
            <w:tcW w:w="165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水平1</w:t>
            </w:r>
          </w:p>
        </w:tc>
        <w:tc>
          <w:tcPr>
            <w:tcW w:w="165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水平2</w:t>
            </w:r>
          </w:p>
        </w:tc>
        <w:tc>
          <w:tcPr>
            <w:tcW w:w="165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水平3</w:t>
            </w:r>
          </w:p>
        </w:tc>
        <w:tc>
          <w:tcPr>
            <w:tcW w:w="165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水平4</w:t>
            </w:r>
          </w:p>
        </w:tc>
        <w:tc>
          <w:tcPr>
            <w:tcW w:w="165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水平5</w:t>
            </w:r>
          </w:p>
        </w:tc>
      </w:tr>
      <w:tr>
        <w:tblPrEx>
          <w:tblCellMar>
            <w:top w:w="0" w:type="dxa"/>
            <w:left w:w="0" w:type="dxa"/>
            <w:bottom w:w="0" w:type="dxa"/>
            <w:right w:w="0" w:type="dxa"/>
          </w:tblCellMar>
        </w:tblPrEx>
        <w:trPr>
          <w:trHeight w:val="33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总平均值</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0.0893</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0.952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2.017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3.533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4.752 </w:t>
            </w:r>
          </w:p>
        </w:tc>
      </w:tr>
      <w:tr>
        <w:tblPrEx>
          <w:tblCellMar>
            <w:top w:w="0" w:type="dxa"/>
            <w:left w:w="0" w:type="dxa"/>
            <w:bottom w:w="0" w:type="dxa"/>
            <w:right w:w="0" w:type="dxa"/>
          </w:tblCellMar>
        </w:tblPrEx>
        <w:trPr>
          <w:trHeight w:val="33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T1</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9.825</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104.68</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177.48</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385.04</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517.88</w:t>
            </w:r>
          </w:p>
        </w:tc>
      </w:tr>
      <w:tr>
        <w:tblPrEx>
          <w:tblCellMar>
            <w:top w:w="0" w:type="dxa"/>
            <w:left w:w="0" w:type="dxa"/>
            <w:bottom w:w="0" w:type="dxa"/>
            <w:right w:w="0" w:type="dxa"/>
          </w:tblCellMar>
        </w:tblPrEx>
        <w:trPr>
          <w:trHeight w:val="33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T2</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0.8786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99.6383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357.9958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1360.2981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2460.7217 </w:t>
            </w:r>
          </w:p>
        </w:tc>
      </w:tr>
      <w:tr>
        <w:tblPrEx>
          <w:tblCellMar>
            <w:top w:w="0" w:type="dxa"/>
            <w:left w:w="0" w:type="dxa"/>
            <w:bottom w:w="0" w:type="dxa"/>
            <w:right w:w="0" w:type="dxa"/>
          </w:tblCellMar>
        </w:tblPrEx>
        <w:trPr>
          <w:trHeight w:val="33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T3</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110</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110</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88</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109</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109</w:t>
            </w:r>
          </w:p>
        </w:tc>
      </w:tr>
      <w:tr>
        <w:tblPrEx>
          <w:tblCellMar>
            <w:top w:w="0" w:type="dxa"/>
            <w:left w:w="0" w:type="dxa"/>
            <w:bottom w:w="0" w:type="dxa"/>
            <w:right w:w="0" w:type="dxa"/>
          </w:tblCellMar>
        </w:tblPrEx>
        <w:trPr>
          <w:trHeight w:val="33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T4</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1210</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1210</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968</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1099</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1099</w:t>
            </w:r>
          </w:p>
        </w:tc>
      </w:tr>
      <w:tr>
        <w:tblPrEx>
          <w:tblCellMar>
            <w:top w:w="0" w:type="dxa"/>
            <w:left w:w="0" w:type="dxa"/>
            <w:bottom w:w="0" w:type="dxa"/>
            <w:right w:w="0" w:type="dxa"/>
          </w:tblCellMar>
        </w:tblPrEx>
        <w:trPr>
          <w:trHeight w:val="33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T5</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sz w:val="18"/>
                <w:szCs w:val="18"/>
              </w:rPr>
              <w:t>0.0002696</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sz w:val="18"/>
                <w:szCs w:val="18"/>
              </w:rPr>
              <w:t>0.01627</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sz w:val="18"/>
                <w:szCs w:val="18"/>
              </w:rPr>
              <w:t>0.02862</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sz w:val="18"/>
                <w:szCs w:val="18"/>
              </w:rPr>
              <w:t>0.1615</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sz w:val="18"/>
                <w:szCs w:val="18"/>
              </w:rPr>
              <w:t>0.2240</w:t>
            </w:r>
          </w:p>
        </w:tc>
      </w:tr>
      <w:tr>
        <w:tblPrEx>
          <w:tblCellMar>
            <w:top w:w="0" w:type="dxa"/>
            <w:left w:w="0" w:type="dxa"/>
            <w:bottom w:w="0" w:type="dxa"/>
            <w:right w:w="0" w:type="dxa"/>
          </w:tblCellMar>
        </w:tblPrEx>
        <w:trPr>
          <w:trHeight w:val="345"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s</w:t>
            </w:r>
            <w:r>
              <w:rPr>
                <w:rFonts w:ascii="Times New Roman" w:hAnsi="Times New Roman"/>
                <w:color w:val="000000"/>
                <w:kern w:val="0"/>
                <w:sz w:val="18"/>
                <w:szCs w:val="18"/>
                <w:vertAlign w:val="subscript"/>
              </w:rPr>
              <w:t>r</w:t>
            </w:r>
            <w:r>
              <w:rPr>
                <w:rFonts w:ascii="Times New Roman" w:hAnsi="Times New Roman"/>
                <w:color w:val="000000"/>
                <w:kern w:val="0"/>
                <w:sz w:val="18"/>
                <w:szCs w:val="18"/>
                <w:vertAlign w:val="superscript"/>
              </w:rPr>
              <w:t>2</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2.6964E-06</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0.0001627</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0.0003577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0.001631</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0.002263</w:t>
            </w:r>
          </w:p>
        </w:tc>
      </w:tr>
      <w:tr>
        <w:tblPrEx>
          <w:tblCellMar>
            <w:top w:w="0" w:type="dxa"/>
            <w:left w:w="0" w:type="dxa"/>
            <w:bottom w:w="0" w:type="dxa"/>
            <w:right w:w="0" w:type="dxa"/>
          </w:tblCellMar>
        </w:tblPrEx>
        <w:trPr>
          <w:trHeight w:val="345"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s</w:t>
            </w:r>
            <w:r>
              <w:rPr>
                <w:rFonts w:ascii="Times New Roman" w:hAnsi="Times New Roman"/>
                <w:color w:val="000000"/>
                <w:kern w:val="0"/>
                <w:sz w:val="18"/>
                <w:szCs w:val="18"/>
                <w:vertAlign w:val="subscript"/>
              </w:rPr>
              <w:t>L</w:t>
            </w:r>
            <w:r>
              <w:rPr>
                <w:rFonts w:ascii="Times New Roman" w:hAnsi="Times New Roman"/>
                <w:color w:val="000000"/>
                <w:kern w:val="0"/>
                <w:sz w:val="18"/>
                <w:szCs w:val="18"/>
                <w:vertAlign w:val="superscript"/>
              </w:rPr>
              <w:t>2</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9.7549E-06</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0.0001853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0.0006013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0.001276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0.001397 </w:t>
            </w:r>
          </w:p>
        </w:tc>
      </w:tr>
      <w:tr>
        <w:tblPrEx>
          <w:tblCellMar>
            <w:top w:w="0" w:type="dxa"/>
            <w:left w:w="0" w:type="dxa"/>
            <w:bottom w:w="0" w:type="dxa"/>
            <w:right w:w="0" w:type="dxa"/>
          </w:tblCellMar>
        </w:tblPrEx>
        <w:trPr>
          <w:trHeight w:val="345"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s</w:t>
            </w:r>
            <w:r>
              <w:rPr>
                <w:rFonts w:ascii="Times New Roman" w:hAnsi="Times New Roman"/>
                <w:color w:val="000000"/>
                <w:kern w:val="0"/>
                <w:sz w:val="18"/>
                <w:szCs w:val="18"/>
                <w:vertAlign w:val="subscript"/>
              </w:rPr>
              <w:t>R</w:t>
            </w:r>
            <w:r>
              <w:rPr>
                <w:rFonts w:ascii="Times New Roman" w:hAnsi="Times New Roman"/>
                <w:color w:val="000000"/>
                <w:kern w:val="0"/>
                <w:sz w:val="18"/>
                <w:szCs w:val="18"/>
                <w:vertAlign w:val="superscript"/>
              </w:rPr>
              <w:t>2</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1.2451E-06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0.0003480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0.0009590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0.002906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0.003660</w:t>
            </w:r>
          </w:p>
        </w:tc>
      </w:tr>
      <w:tr>
        <w:tblPrEx>
          <w:tblCellMar>
            <w:top w:w="0" w:type="dxa"/>
            <w:left w:w="0" w:type="dxa"/>
            <w:bottom w:w="0" w:type="dxa"/>
            <w:right w:w="0" w:type="dxa"/>
          </w:tblCellMar>
        </w:tblPrEx>
        <w:trPr>
          <w:trHeight w:val="345"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s</w:t>
            </w:r>
            <w:r>
              <w:rPr>
                <w:rFonts w:ascii="Times New Roman" w:hAnsi="Times New Roman"/>
                <w:color w:val="000000"/>
                <w:kern w:val="0"/>
                <w:sz w:val="18"/>
                <w:szCs w:val="18"/>
                <w:vertAlign w:val="subscript"/>
              </w:rPr>
              <w:t>r</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0.001642</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0.01276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0.01891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0.04039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0.04757 </w:t>
            </w:r>
          </w:p>
        </w:tc>
      </w:tr>
      <w:tr>
        <w:tblPrEx>
          <w:tblCellMar>
            <w:top w:w="0" w:type="dxa"/>
            <w:left w:w="0" w:type="dxa"/>
            <w:bottom w:w="0" w:type="dxa"/>
            <w:right w:w="0" w:type="dxa"/>
          </w:tblCellMar>
        </w:tblPrEx>
        <w:trPr>
          <w:trHeight w:val="345"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s</w:t>
            </w:r>
            <w:r>
              <w:rPr>
                <w:rFonts w:ascii="Times New Roman" w:hAnsi="Times New Roman"/>
                <w:color w:val="000000"/>
                <w:kern w:val="0"/>
                <w:sz w:val="18"/>
                <w:szCs w:val="18"/>
                <w:vertAlign w:val="subscript"/>
              </w:rPr>
              <w:t>R</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0.003529</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0.01866</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0.03097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0.0539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0.06050 </w:t>
            </w:r>
          </w:p>
        </w:tc>
      </w:tr>
      <w:tr>
        <w:tblPrEx>
          <w:tblCellMar>
            <w:top w:w="0" w:type="dxa"/>
            <w:left w:w="0" w:type="dxa"/>
            <w:bottom w:w="0" w:type="dxa"/>
            <w:right w:w="0" w:type="dxa"/>
          </w:tblCellMar>
        </w:tblPrEx>
        <w:trPr>
          <w:trHeight w:val="33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r</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0.004598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0.03572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0.05296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0.1131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0.1332</w:t>
            </w:r>
          </w:p>
        </w:tc>
      </w:tr>
      <w:tr>
        <w:tblPrEx>
          <w:tblCellMar>
            <w:top w:w="0" w:type="dxa"/>
            <w:left w:w="0" w:type="dxa"/>
            <w:bottom w:w="0" w:type="dxa"/>
            <w:right w:w="0" w:type="dxa"/>
          </w:tblCellMar>
        </w:tblPrEx>
        <w:trPr>
          <w:trHeight w:val="330"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R</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0.009881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0.05224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0.08671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0.1509 </w:t>
            </w:r>
          </w:p>
        </w:tc>
        <w:tc>
          <w:tcPr>
            <w:tcW w:w="1650" w:type="dxa"/>
            <w:tcBorders>
              <w:top w:val="nil"/>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0.1694 </w:t>
            </w:r>
          </w:p>
        </w:tc>
      </w:tr>
    </w:tbl>
    <w:p>
      <w:pPr>
        <w:ind w:firstLine="300" w:firstLineChars="200"/>
        <w:rPr>
          <w:rFonts w:ascii="Times New Roman" w:hAnsi="Times New Roman"/>
          <w:sz w:val="15"/>
          <w:szCs w:val="15"/>
        </w:rPr>
      </w:pPr>
    </w:p>
    <w:p>
      <w:pPr>
        <w:rPr>
          <w:rFonts w:ascii="Times New Roman" w:hAnsi="Times New Roman" w:eastAsia="黑体"/>
          <w:bCs/>
          <w:sz w:val="18"/>
          <w:szCs w:val="18"/>
        </w:rPr>
      </w:pPr>
    </w:p>
    <w:p>
      <w:pPr>
        <w:rPr>
          <w:rFonts w:ascii="宋体" w:cs="黑体"/>
          <w:bCs/>
        </w:rPr>
      </w:pPr>
    </w:p>
    <w:p>
      <w:pPr>
        <w:rPr>
          <w:rFonts w:ascii="宋体" w:cs="黑体"/>
          <w:bCs/>
        </w:rPr>
      </w:pPr>
    </w:p>
    <w:p>
      <w:pPr>
        <w:ind w:firstLine="420" w:firstLineChars="200"/>
        <w:rPr>
          <w:rFonts w:eastAsiaTheme="minorEastAsia"/>
          <w:szCs w:val="21"/>
        </w:rPr>
      </w:pPr>
    </w:p>
    <w:p>
      <w:pPr>
        <w:ind w:firstLine="420" w:firstLineChars="200"/>
        <w:rPr>
          <w:rFonts w:ascii="Times New Roman" w:hAnsi="Times New Roman"/>
          <w:color w:val="000000"/>
          <w:kern w:val="0"/>
          <w:szCs w:val="21"/>
        </w:rPr>
      </w:pPr>
    </w:p>
    <w:p>
      <w:pPr>
        <w:ind w:firstLine="420" w:firstLineChars="200"/>
        <w:rPr>
          <w:rFonts w:ascii="Times New Roman" w:hAnsi="Times New Roman"/>
          <w:color w:val="000000"/>
          <w:kern w:val="0"/>
          <w:szCs w:val="21"/>
        </w:rPr>
      </w:pPr>
    </w:p>
    <w:p>
      <w:pPr>
        <w:ind w:firstLine="420" w:firstLineChars="200"/>
        <w:rPr>
          <w:rFonts w:ascii="Times New Roman" w:hAnsi="Times New Roman"/>
          <w:color w:val="000000"/>
          <w:kern w:val="0"/>
          <w:szCs w:val="21"/>
        </w:rPr>
      </w:pPr>
    </w:p>
    <w:p>
      <w:pPr>
        <w:ind w:firstLine="420" w:firstLineChars="200"/>
        <w:rPr>
          <w:rFonts w:ascii="Times New Roman" w:hAnsi="Times New Roman"/>
          <w:color w:val="000000"/>
          <w:kern w:val="0"/>
          <w:szCs w:val="21"/>
        </w:rPr>
      </w:pPr>
    </w:p>
    <w:p>
      <w:pPr>
        <w:ind w:firstLine="420" w:firstLineChars="200"/>
        <w:rPr>
          <w:rFonts w:ascii="Times New Roman" w:hAnsi="Times New Roman"/>
          <w:color w:val="000000"/>
          <w:kern w:val="0"/>
          <w:szCs w:val="21"/>
        </w:rPr>
      </w:pPr>
    </w:p>
    <w:p>
      <w:pPr>
        <w:ind w:firstLine="420" w:firstLineChars="200"/>
        <w:rPr>
          <w:rFonts w:ascii="Times New Roman" w:hAnsi="Times New Roman"/>
          <w:color w:val="000000"/>
          <w:kern w:val="0"/>
          <w:szCs w:val="21"/>
        </w:rPr>
      </w:pPr>
    </w:p>
    <w:p>
      <w:pPr>
        <w:ind w:firstLine="420" w:firstLineChars="200"/>
        <w:rPr>
          <w:rFonts w:ascii="Times New Roman" w:hAnsi="Times New Roman"/>
          <w:color w:val="000000"/>
          <w:kern w:val="0"/>
          <w:szCs w:val="21"/>
        </w:rPr>
      </w:pPr>
    </w:p>
    <w:p>
      <w:pPr>
        <w:ind w:firstLine="420" w:firstLineChars="200"/>
        <w:rPr>
          <w:rFonts w:ascii="Times New Roman" w:hAnsi="Times New Roman"/>
          <w:color w:val="000000"/>
          <w:kern w:val="0"/>
          <w:szCs w:val="21"/>
        </w:rPr>
      </w:pPr>
    </w:p>
    <w:p>
      <w:pPr>
        <w:ind w:firstLine="420" w:firstLineChars="200"/>
        <w:rPr>
          <w:rFonts w:ascii="Times New Roman" w:hAnsi="Times New Roman"/>
          <w:color w:val="000000"/>
          <w:kern w:val="0"/>
          <w:szCs w:val="21"/>
        </w:rPr>
      </w:pPr>
    </w:p>
    <w:p>
      <w:pPr>
        <w:ind w:firstLine="420" w:firstLineChars="200"/>
        <w:rPr>
          <w:rFonts w:ascii="Times New Roman" w:hAnsi="Times New Roman"/>
          <w:color w:val="000000"/>
          <w:kern w:val="0"/>
          <w:szCs w:val="21"/>
        </w:rPr>
      </w:pPr>
    </w:p>
    <w:p>
      <w:pPr>
        <w:ind w:firstLine="420" w:firstLineChars="200"/>
        <w:rPr>
          <w:rFonts w:ascii="Times New Roman" w:hAnsi="Times New Roman"/>
          <w:color w:val="000000"/>
          <w:kern w:val="0"/>
          <w:szCs w:val="21"/>
        </w:rPr>
      </w:pPr>
    </w:p>
    <w:p>
      <w:pPr>
        <w:ind w:firstLine="420" w:firstLineChars="200"/>
        <w:rPr>
          <w:rFonts w:ascii="Times New Roman" w:hAnsi="Times New Roman"/>
          <w:color w:val="000000"/>
          <w:kern w:val="0"/>
          <w:szCs w:val="21"/>
        </w:rPr>
      </w:pPr>
    </w:p>
    <w:p>
      <w:pPr>
        <w:ind w:firstLine="420" w:firstLineChars="200"/>
        <w:rPr>
          <w:rFonts w:ascii="Times New Roman" w:hAnsi="Times New Roman"/>
          <w:color w:val="000000"/>
          <w:kern w:val="0"/>
          <w:szCs w:val="21"/>
        </w:rPr>
      </w:pPr>
    </w:p>
    <w:p>
      <w:pPr>
        <w:ind w:firstLine="420" w:firstLineChars="200"/>
        <w:rPr>
          <w:rFonts w:ascii="Times New Roman" w:hAnsi="Times New Roman"/>
          <w:color w:val="000000"/>
          <w:kern w:val="0"/>
          <w:szCs w:val="21"/>
        </w:rPr>
      </w:pPr>
    </w:p>
    <w:p>
      <w:pPr>
        <w:ind w:firstLine="420" w:firstLineChars="200"/>
        <w:rPr>
          <w:rFonts w:ascii="Times New Roman" w:hAnsi="Times New Roman"/>
          <w:color w:val="000000"/>
          <w:kern w:val="0"/>
          <w:szCs w:val="21"/>
        </w:rPr>
      </w:pPr>
    </w:p>
    <w:p>
      <w:pPr>
        <w:ind w:firstLine="420" w:firstLineChars="200"/>
        <w:rPr>
          <w:rFonts w:ascii="Times New Roman" w:hAnsi="Times New Roman"/>
          <w:color w:val="000000"/>
          <w:kern w:val="0"/>
          <w:szCs w:val="21"/>
        </w:rPr>
      </w:pPr>
    </w:p>
    <w:p>
      <w:pPr>
        <w:ind w:firstLine="420" w:firstLineChars="200"/>
        <w:rPr>
          <w:rFonts w:ascii="Times New Roman" w:hAnsi="Times New Roman"/>
          <w:color w:val="000000"/>
          <w:kern w:val="0"/>
          <w:szCs w:val="21"/>
        </w:rPr>
      </w:pPr>
    </w:p>
    <w:p>
      <w:pPr>
        <w:spacing w:line="360" w:lineRule="auto"/>
        <w:jc w:val="center"/>
        <w:rPr>
          <w:rFonts w:ascii="Times New Roman" w:hAnsi="Times New Roman" w:eastAsia="黑体"/>
          <w:sz w:val="32"/>
          <w:szCs w:val="24"/>
        </w:rPr>
      </w:pPr>
    </w:p>
    <w:p>
      <w:pPr>
        <w:spacing w:line="360" w:lineRule="auto"/>
        <w:jc w:val="center"/>
        <w:rPr>
          <w:rFonts w:ascii="Times New Roman" w:hAnsi="Times New Roman" w:eastAsia="黑体"/>
          <w:sz w:val="32"/>
          <w:szCs w:val="24"/>
        </w:rPr>
      </w:pPr>
    </w:p>
    <w:p>
      <w:pPr>
        <w:spacing w:line="360" w:lineRule="auto"/>
        <w:jc w:val="center"/>
        <w:rPr>
          <w:rFonts w:ascii="Times New Roman" w:hAnsi="Times New Roman" w:eastAsia="黑体"/>
          <w:sz w:val="32"/>
          <w:szCs w:val="24"/>
        </w:rPr>
      </w:pPr>
      <w:r>
        <w:rPr>
          <w:rFonts w:ascii="Times New Roman" w:hAnsi="Times New Roman" w:eastAsia="黑体"/>
          <w:sz w:val="32"/>
          <w:szCs w:val="24"/>
        </w:rPr>
        <w:t>铜冶炼烟尘化学分析方法</w:t>
      </w:r>
    </w:p>
    <w:p>
      <w:pPr>
        <w:spacing w:line="360" w:lineRule="auto"/>
        <w:jc w:val="center"/>
        <w:rPr>
          <w:rFonts w:ascii="Times New Roman" w:hAnsi="Times New Roman" w:eastAsia="黑体"/>
          <w:sz w:val="32"/>
          <w:szCs w:val="24"/>
        </w:rPr>
      </w:pPr>
      <w:r>
        <w:rPr>
          <w:rFonts w:ascii="Times New Roman" w:hAnsi="Times New Roman" w:eastAsia="黑体"/>
          <w:sz w:val="32"/>
          <w:szCs w:val="24"/>
        </w:rPr>
        <w:t>第4部分 铋含量的测定</w:t>
      </w:r>
    </w:p>
    <w:p>
      <w:pPr>
        <w:spacing w:line="360" w:lineRule="auto"/>
        <w:jc w:val="center"/>
        <w:rPr>
          <w:rFonts w:ascii="Times New Roman" w:hAnsi="Times New Roman" w:eastAsia="黑体"/>
          <w:sz w:val="32"/>
          <w:szCs w:val="24"/>
        </w:rPr>
      </w:pPr>
      <w:r>
        <w:rPr>
          <w:rFonts w:ascii="Times New Roman" w:hAnsi="Times New Roman" w:eastAsia="黑体"/>
          <w:sz w:val="32"/>
          <w:szCs w:val="24"/>
        </w:rPr>
        <w:t>方法2 Na</w:t>
      </w:r>
      <w:r>
        <w:rPr>
          <w:rFonts w:ascii="Times New Roman" w:hAnsi="Times New Roman" w:eastAsia="黑体"/>
          <w:sz w:val="32"/>
          <w:szCs w:val="24"/>
          <w:vertAlign w:val="subscript"/>
        </w:rPr>
        <w:t>2</w:t>
      </w:r>
      <w:r>
        <w:rPr>
          <w:rFonts w:ascii="Times New Roman" w:hAnsi="Times New Roman" w:eastAsia="黑体"/>
          <w:sz w:val="32"/>
          <w:szCs w:val="24"/>
        </w:rPr>
        <w:t>EDTA滴定法</w:t>
      </w:r>
    </w:p>
    <w:p>
      <w:pPr>
        <w:spacing w:line="360" w:lineRule="auto"/>
        <w:jc w:val="center"/>
        <w:rPr>
          <w:rFonts w:ascii="Times New Roman" w:hAnsi="Times New Roman" w:eastAsia="黑体"/>
          <w:sz w:val="32"/>
          <w:szCs w:val="24"/>
        </w:rPr>
      </w:pPr>
      <w:r>
        <w:rPr>
          <w:rFonts w:ascii="Times New Roman" w:hAnsi="Times New Roman" w:eastAsia="黑体"/>
          <w:sz w:val="32"/>
          <w:szCs w:val="24"/>
        </w:rPr>
        <w:t>精密度试验数据处理</w:t>
      </w:r>
    </w:p>
    <w:p>
      <w:pPr>
        <w:spacing w:line="360" w:lineRule="auto"/>
        <w:rPr>
          <w:rFonts w:ascii="Times New Roman" w:hAnsi="Times New Roman"/>
          <w:szCs w:val="24"/>
        </w:rPr>
      </w:pPr>
      <w:r>
        <w:rPr>
          <w:rFonts w:ascii="Times New Roman" w:hAnsi="Times New Roman"/>
          <w:szCs w:val="24"/>
        </w:rPr>
        <w:t>1</w:t>
      </w:r>
      <w:r>
        <w:rPr>
          <w:szCs w:val="24"/>
        </w:rPr>
        <w:t xml:space="preserve">  </w:t>
      </w:r>
      <w:r>
        <w:rPr>
          <w:rFonts w:ascii="Times New Roman" w:hAnsi="Times New Roman"/>
          <w:szCs w:val="24"/>
        </w:rPr>
        <w:t>背景</w:t>
      </w:r>
    </w:p>
    <w:p>
      <w:pPr>
        <w:spacing w:line="360" w:lineRule="auto"/>
        <w:jc w:val="center"/>
        <w:rPr>
          <w:rFonts w:ascii="Times New Roman" w:hAnsi="Times New Roman"/>
          <w:b/>
          <w:sz w:val="32"/>
          <w:szCs w:val="24"/>
        </w:rPr>
      </w:pPr>
      <w:r>
        <w:rPr>
          <w:rFonts w:ascii="Times New Roman" w:hAnsi="Times New Roman"/>
          <w:szCs w:val="24"/>
        </w:rPr>
        <w:t xml:space="preserve">  为了确定《铜冶炼烟尘化学分析方法 第4部分 铋含量的测定 Na2EDTA滴定法</w:t>
      </w:r>
    </w:p>
    <w:p>
      <w:pPr>
        <w:spacing w:line="360" w:lineRule="auto"/>
        <w:rPr>
          <w:rFonts w:ascii="Times New Roman" w:hAnsi="Times New Roman"/>
          <w:szCs w:val="24"/>
        </w:rPr>
      </w:pPr>
      <w:r>
        <w:rPr>
          <w:rFonts w:ascii="Times New Roman" w:hAnsi="Times New Roman"/>
          <w:szCs w:val="24"/>
        </w:rPr>
        <w:t>》测定方法的重复性和再现性，10个实验室对5个水平的铜冶炼烟尘样品进行了协同试验。根据国家标准GB/T6379.2-2004确定标准测量方法的重复性和再现性的基本方法（ISO 5725-2：1994，ITD）的规定，对收到的全部数据进行了统计分析。</w:t>
      </w:r>
    </w:p>
    <w:p>
      <w:pPr>
        <w:spacing w:line="360" w:lineRule="auto"/>
        <w:rPr>
          <w:rFonts w:ascii="Times New Roman" w:hAnsi="Times New Roman"/>
          <w:szCs w:val="24"/>
        </w:rPr>
      </w:pPr>
      <w:r>
        <w:rPr>
          <w:rFonts w:ascii="Times New Roman" w:hAnsi="Times New Roman"/>
          <w:szCs w:val="24"/>
        </w:rPr>
        <w:t xml:space="preserve">2 </w:t>
      </w:r>
      <w:r>
        <w:rPr>
          <w:szCs w:val="24"/>
        </w:rPr>
        <w:t xml:space="preserve"> </w:t>
      </w:r>
      <w:r>
        <w:rPr>
          <w:rFonts w:ascii="Times New Roman" w:hAnsi="Times New Roman"/>
          <w:szCs w:val="24"/>
        </w:rPr>
        <w:t>数据及统计结果</w:t>
      </w:r>
    </w:p>
    <w:p>
      <w:pPr>
        <w:spacing w:line="360" w:lineRule="auto"/>
        <w:rPr>
          <w:rFonts w:ascii="Times New Roman" w:hAnsi="Times New Roman"/>
          <w:szCs w:val="24"/>
        </w:rPr>
      </w:pPr>
      <w:r>
        <w:rPr>
          <w:rFonts w:ascii="Times New Roman" w:hAnsi="Times New Roman"/>
          <w:szCs w:val="24"/>
        </w:rPr>
        <w:t xml:space="preserve">2.1 </w:t>
      </w:r>
      <w:r>
        <w:rPr>
          <w:szCs w:val="24"/>
        </w:rPr>
        <w:t xml:space="preserve"> </w:t>
      </w:r>
      <w:r>
        <w:rPr>
          <w:rFonts w:ascii="Times New Roman" w:hAnsi="Times New Roman"/>
          <w:szCs w:val="24"/>
        </w:rPr>
        <w:t>各实验室的实验数据</w:t>
      </w:r>
    </w:p>
    <w:p>
      <w:pPr>
        <w:spacing w:line="360" w:lineRule="auto"/>
        <w:ind w:firstLine="3990" w:firstLineChars="1900"/>
        <w:rPr>
          <w:rFonts w:ascii="Times New Roman" w:hAnsi="Times New Roman"/>
          <w:szCs w:val="24"/>
        </w:rPr>
      </w:pPr>
      <w:r>
        <w:rPr>
          <w:rFonts w:ascii="Times New Roman" w:hAnsi="Times New Roman"/>
          <w:szCs w:val="24"/>
        </w:rPr>
        <w:t>表1 数据及统计结果（%）</w:t>
      </w:r>
      <w:r>
        <w:rPr>
          <w:rFonts w:hint="eastAsia" w:ascii="Times New Roman" w:hAnsi="Times New Roman"/>
          <w:szCs w:val="24"/>
        </w:rPr>
        <w:t xml:space="preserve"> </w:t>
      </w:r>
      <w:r>
        <w:rPr>
          <w:rFonts w:ascii="Times New Roman" w:hAnsi="Times New Roman"/>
          <w:szCs w:val="24"/>
        </w:rPr>
        <w:t xml:space="preserve">                                   </w:t>
      </w:r>
    </w:p>
    <w:tbl>
      <w:tblPr>
        <w:tblStyle w:val="32"/>
        <w:tblW w:w="9630" w:type="dxa"/>
        <w:tblInd w:w="0" w:type="dxa"/>
        <w:tblLayout w:type="autofit"/>
        <w:tblCellMar>
          <w:top w:w="0" w:type="dxa"/>
          <w:left w:w="0" w:type="dxa"/>
          <w:bottom w:w="0" w:type="dxa"/>
          <w:right w:w="0" w:type="dxa"/>
        </w:tblCellMar>
      </w:tblPr>
      <w:tblGrid>
        <w:gridCol w:w="510"/>
        <w:gridCol w:w="855"/>
        <w:gridCol w:w="900"/>
        <w:gridCol w:w="855"/>
        <w:gridCol w:w="900"/>
        <w:gridCol w:w="810"/>
        <w:gridCol w:w="825"/>
        <w:gridCol w:w="825"/>
        <w:gridCol w:w="795"/>
        <w:gridCol w:w="795"/>
        <w:gridCol w:w="795"/>
        <w:gridCol w:w="765"/>
      </w:tblGrid>
      <w:tr>
        <w:tblPrEx>
          <w:tblCellMar>
            <w:top w:w="0" w:type="dxa"/>
            <w:left w:w="0" w:type="dxa"/>
            <w:bottom w:w="0" w:type="dxa"/>
            <w:right w:w="0" w:type="dxa"/>
          </w:tblCellMar>
        </w:tblPrEx>
        <w:trPr>
          <w:trHeight w:val="285" w:hRule="atLeast"/>
        </w:trPr>
        <w:tc>
          <w:tcPr>
            <w:tcW w:w="5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样品编号</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起草单位</w:t>
            </w:r>
          </w:p>
        </w:tc>
        <w:tc>
          <w:tcPr>
            <w:tcW w:w="826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验证单位</w:t>
            </w:r>
          </w:p>
        </w:tc>
      </w:tr>
      <w:tr>
        <w:tblPrEx>
          <w:tblCellMar>
            <w:top w:w="0" w:type="dxa"/>
            <w:left w:w="0" w:type="dxa"/>
            <w:bottom w:w="0" w:type="dxa"/>
            <w:right w:w="0" w:type="dxa"/>
          </w:tblCellMar>
        </w:tblPrEx>
        <w:trPr>
          <w:trHeight w:val="67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富民薪冶工贸有限公司</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江西铜业股份有限公司</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广东先导稀材股份有限公司</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sz w:val="18"/>
                <w:szCs w:val="18"/>
              </w:rPr>
            </w:pPr>
            <w:r>
              <w:rPr>
                <w:rFonts w:ascii="Times New Roman" w:hAnsi="Times New Roman"/>
                <w:kern w:val="0"/>
                <w:sz w:val="18"/>
                <w:szCs w:val="18"/>
              </w:rPr>
              <w:t>紫金矿</w:t>
            </w:r>
            <w:r>
              <w:rPr>
                <w:rFonts w:hint="eastAsia" w:ascii="Times New Roman" w:hAnsi="Times New Roman"/>
                <w:kern w:val="0"/>
                <w:sz w:val="18"/>
                <w:szCs w:val="18"/>
              </w:rPr>
              <w:t>业集团股份</w:t>
            </w:r>
            <w:r>
              <w:rPr>
                <w:rFonts w:ascii="Times New Roman" w:hAnsi="Times New Roman"/>
                <w:kern w:val="0"/>
                <w:sz w:val="18"/>
                <w:szCs w:val="18"/>
              </w:rPr>
              <w:t>有限公司</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textAlignment w:val="top"/>
              <w:rPr>
                <w:rFonts w:ascii="Times New Roman" w:hAnsi="Times New Roman"/>
                <w:color w:val="000000"/>
                <w:sz w:val="18"/>
                <w:szCs w:val="18"/>
              </w:rPr>
            </w:pPr>
            <w:r>
              <w:rPr>
                <w:rFonts w:ascii="Times New Roman" w:hAnsi="Times New Roman"/>
                <w:color w:val="000000"/>
                <w:kern w:val="0"/>
                <w:sz w:val="18"/>
                <w:szCs w:val="18"/>
              </w:rPr>
              <w:t>河南豫光金铅股份有限公司</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深圳清华大学研究院</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北矿检测技术有限公司</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sz w:val="18"/>
                <w:szCs w:val="18"/>
              </w:rPr>
            </w:pPr>
            <w:r>
              <w:rPr>
                <w:rFonts w:ascii="Times New Roman" w:hAnsi="Times New Roman"/>
                <w:kern w:val="0"/>
                <w:sz w:val="18"/>
                <w:szCs w:val="18"/>
              </w:rPr>
              <w:t>大冶有色</w:t>
            </w:r>
            <w:r>
              <w:rPr>
                <w:rFonts w:hint="eastAsia" w:ascii="Times New Roman" w:hAnsi="Times New Roman"/>
                <w:kern w:val="0"/>
                <w:sz w:val="18"/>
                <w:szCs w:val="18"/>
              </w:rPr>
              <w:t>设计研究院有限</w:t>
            </w:r>
            <w:r>
              <w:rPr>
                <w:rFonts w:ascii="Times New Roman" w:hAnsi="Times New Roman"/>
                <w:kern w:val="0"/>
                <w:sz w:val="18"/>
                <w:szCs w:val="18"/>
              </w:rPr>
              <w:t>公司</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铜陵有色金属集团控股有限公司</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山东恒邦冶炼股份有限公司</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textAlignment w:val="top"/>
              <w:rPr>
                <w:rFonts w:ascii="Times New Roman" w:hAnsi="Times New Roman"/>
                <w:color w:val="000000"/>
                <w:sz w:val="18"/>
                <w:szCs w:val="18"/>
              </w:rPr>
            </w:pPr>
            <w:r>
              <w:rPr>
                <w:rFonts w:ascii="Times New Roman" w:hAnsi="Times New Roman"/>
                <w:color w:val="000000"/>
                <w:kern w:val="0"/>
                <w:sz w:val="18"/>
                <w:szCs w:val="18"/>
              </w:rPr>
              <w:t>紫金铜业有限公司</w:t>
            </w:r>
          </w:p>
        </w:tc>
      </w:tr>
      <w:tr>
        <w:tblPrEx>
          <w:tblCellMar>
            <w:top w:w="0" w:type="dxa"/>
            <w:left w:w="0" w:type="dxa"/>
            <w:bottom w:w="0" w:type="dxa"/>
            <w:right w:w="0" w:type="dxa"/>
          </w:tblCellMar>
        </w:tblPrEx>
        <w:trPr>
          <w:trHeight w:val="285" w:hRule="atLeast"/>
        </w:trPr>
        <w:tc>
          <w:tcPr>
            <w:tcW w:w="5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ascii="Times New Roman" w:hAnsi="Times New Roman"/>
                <w:color w:val="000000"/>
                <w:sz w:val="18"/>
                <w:szCs w:val="18"/>
              </w:rPr>
            </w:pPr>
            <w:r>
              <w:rPr>
                <w:rFonts w:ascii="Times New Roman" w:hAnsi="Times New Roman"/>
                <w:color w:val="000000"/>
                <w:kern w:val="0"/>
                <w:sz w:val="18"/>
                <w:szCs w:val="18"/>
              </w:rPr>
              <w:t>1#</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5.95</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5.79</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5.97</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5.96</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5.94</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5.93</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5.96</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5.92</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5.83</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6.05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6.04</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5.92</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5.94</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5.95</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5.97</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6.05</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5.94</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5.79</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5.94</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5.87</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6.01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5.97</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5.85</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6.03</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5.97</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6.00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5.98</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5.94</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5.78</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5.97</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5.86</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6.03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5.98</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5.95</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5.97</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5.97</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5.99</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6.01</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6.1</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5.88</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6.04</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5.96</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6.05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5.98</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5.90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5.89</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5.97</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5.98</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5.96</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6.01</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5.92</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5.93</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5.89</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6.00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6.01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5.86</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6.03</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5.97</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6.00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6.00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6.14</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5.85</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5.97</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5.94</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6.04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5.99</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5.98</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5.99</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5.89</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5.98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6.00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5.93</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5.92</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6.02</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5.93</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6.06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6.03</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5.98</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5.92</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5.93</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6.01</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6.08</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5.96</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5.98</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6.05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5.97</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5.97</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5.89</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5.96</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6.01</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5.98</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5.76</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5.92</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6.08</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6.02</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5.97</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6.01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5.96</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5.99</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6.02</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5.78</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5.91</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6.07</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5.99</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5.87</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5.98</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5.99</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5.93</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6.1</w:t>
            </w:r>
          </w:p>
        </w:tc>
      </w:tr>
      <w:tr>
        <w:tblPrEx>
          <w:tblCellMar>
            <w:top w:w="0" w:type="dxa"/>
            <w:left w:w="0" w:type="dxa"/>
            <w:bottom w:w="0" w:type="dxa"/>
            <w:right w:w="0" w:type="dxa"/>
          </w:tblCellMar>
        </w:tblPrEx>
        <w:trPr>
          <w:trHeight w:val="465" w:hRule="atLeast"/>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textAlignment w:val="top"/>
              <w:rPr>
                <w:rFonts w:ascii="Times New Roman" w:hAnsi="Times New Roman"/>
                <w:color w:val="000000"/>
                <w:sz w:val="18"/>
                <w:szCs w:val="18"/>
              </w:rPr>
            </w:pPr>
            <w:r>
              <w:rPr>
                <w:rFonts w:ascii="Times New Roman" w:hAnsi="Times New Roman"/>
                <w:color w:val="000000"/>
                <w:kern w:val="0"/>
                <w:sz w:val="18"/>
                <w:szCs w:val="18"/>
              </w:rPr>
              <w:t>平均值</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5.99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5.91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5.96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5.95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5.99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6.00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6.00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5.86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5.97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5.91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6.05 </w:t>
            </w:r>
          </w:p>
        </w:tc>
      </w:tr>
      <w:tr>
        <w:tblPrEx>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kern w:val="0"/>
                <w:sz w:val="18"/>
                <w:szCs w:val="18"/>
              </w:rPr>
            </w:pPr>
          </w:p>
          <w:p>
            <w:pPr>
              <w:jc w:val="center"/>
              <w:textAlignment w:val="top"/>
              <w:rPr>
                <w:rFonts w:ascii="Times New Roman" w:hAnsi="Times New Roman"/>
                <w:color w:val="000000"/>
                <w:sz w:val="18"/>
                <w:szCs w:val="18"/>
              </w:rPr>
            </w:pPr>
            <w:r>
              <w:rPr>
                <w:rFonts w:ascii="Times New Roman" w:hAnsi="Times New Roman"/>
                <w:color w:val="000000"/>
                <w:kern w:val="0"/>
                <w:sz w:val="18"/>
                <w:szCs w:val="18"/>
              </w:rPr>
              <w:t>s</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0.028</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0.064</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0.053</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0.026</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0.016</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0.039</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0.088</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0.078</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0.045</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0.045</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0.029</w:t>
            </w:r>
          </w:p>
        </w:tc>
      </w:tr>
      <w:tr>
        <w:tblPrEx>
          <w:tblCellMar>
            <w:top w:w="0" w:type="dxa"/>
            <w:left w:w="0" w:type="dxa"/>
            <w:bottom w:w="0" w:type="dxa"/>
            <w:right w:w="0" w:type="dxa"/>
          </w:tblCellMar>
        </w:tblPrEx>
        <w:trPr>
          <w:trHeight w:val="867" w:hRule="atLeast"/>
        </w:trPr>
        <w:tc>
          <w:tcPr>
            <w:tcW w:w="5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tcPr>
          <w:p>
            <w:pPr>
              <w:jc w:val="center"/>
              <w:textAlignment w:val="top"/>
              <w:rPr>
                <w:rFonts w:ascii="Times New Roman" w:hAnsi="Times New Roman"/>
                <w:color w:val="000000"/>
                <w:kern w:val="0"/>
                <w:sz w:val="18"/>
                <w:szCs w:val="18"/>
              </w:rPr>
            </w:pPr>
          </w:p>
          <w:p>
            <w:pPr>
              <w:jc w:val="center"/>
              <w:textAlignment w:val="top"/>
              <w:rPr>
                <w:rFonts w:ascii="Times New Roman" w:hAnsi="Times New Roman"/>
                <w:color w:val="000000"/>
                <w:sz w:val="18"/>
                <w:szCs w:val="18"/>
              </w:rPr>
            </w:pPr>
            <w:r>
              <w:rPr>
                <w:rFonts w:ascii="Times New Roman" w:hAnsi="Times New Roman"/>
                <w:color w:val="000000"/>
                <w:kern w:val="0"/>
                <w:sz w:val="18"/>
                <w:szCs w:val="18"/>
              </w:rPr>
              <w:t>RSD</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0.468</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1.081</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0.884</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0.435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0.267</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0.656</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1.471</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1.339</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0.761</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0.758</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0.482</w:t>
            </w:r>
          </w:p>
        </w:tc>
      </w:tr>
      <w:tr>
        <w:tblPrEx>
          <w:tblCellMar>
            <w:top w:w="0" w:type="dxa"/>
            <w:left w:w="0" w:type="dxa"/>
            <w:bottom w:w="0" w:type="dxa"/>
            <w:right w:w="0" w:type="dxa"/>
          </w:tblCellMar>
        </w:tblPrEx>
        <w:trPr>
          <w:trHeight w:val="285" w:hRule="atLeast"/>
        </w:trPr>
        <w:tc>
          <w:tcPr>
            <w:tcW w:w="5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样品编号</w:t>
            </w:r>
          </w:p>
        </w:tc>
        <w:tc>
          <w:tcPr>
            <w:tcW w:w="85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起草单位</w:t>
            </w:r>
          </w:p>
        </w:tc>
        <w:tc>
          <w:tcPr>
            <w:tcW w:w="8265" w:type="dxa"/>
            <w:gridSpan w:val="10"/>
            <w:tcBorders>
              <w:top w:val="single" w:color="auto"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验证单位</w:t>
            </w:r>
          </w:p>
        </w:tc>
      </w:tr>
      <w:tr>
        <w:tblPrEx>
          <w:tblCellMar>
            <w:top w:w="0" w:type="dxa"/>
            <w:left w:w="0" w:type="dxa"/>
            <w:bottom w:w="0" w:type="dxa"/>
            <w:right w:w="0" w:type="dxa"/>
          </w:tblCellMar>
        </w:tblPrEx>
        <w:trPr>
          <w:trHeight w:val="900"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富民薪冶工贸有限公司</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江西铜业股份有限公司</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广东先导稀材股份有限公司</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sz w:val="18"/>
                <w:szCs w:val="18"/>
              </w:rPr>
            </w:pPr>
            <w:r>
              <w:rPr>
                <w:rFonts w:ascii="Times New Roman" w:hAnsi="Times New Roman"/>
                <w:kern w:val="0"/>
                <w:sz w:val="18"/>
                <w:szCs w:val="18"/>
              </w:rPr>
              <w:t>紫金矿</w:t>
            </w:r>
            <w:r>
              <w:rPr>
                <w:rFonts w:hint="eastAsia" w:ascii="Times New Roman" w:hAnsi="Times New Roman"/>
                <w:kern w:val="0"/>
                <w:sz w:val="18"/>
                <w:szCs w:val="18"/>
              </w:rPr>
              <w:t>业集团股份</w:t>
            </w:r>
            <w:r>
              <w:rPr>
                <w:rFonts w:ascii="Times New Roman" w:hAnsi="Times New Roman"/>
                <w:kern w:val="0"/>
                <w:sz w:val="18"/>
                <w:szCs w:val="18"/>
              </w:rPr>
              <w:t>有限公司</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textAlignment w:val="top"/>
              <w:rPr>
                <w:rFonts w:ascii="Times New Roman" w:hAnsi="Times New Roman"/>
                <w:sz w:val="18"/>
                <w:szCs w:val="18"/>
              </w:rPr>
            </w:pPr>
            <w:r>
              <w:rPr>
                <w:rFonts w:ascii="Times New Roman" w:hAnsi="Times New Roman"/>
                <w:kern w:val="0"/>
                <w:sz w:val="18"/>
                <w:szCs w:val="18"/>
              </w:rPr>
              <w:t>河南豫光金铅股份有限公司</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sz w:val="18"/>
                <w:szCs w:val="18"/>
              </w:rPr>
            </w:pPr>
            <w:r>
              <w:rPr>
                <w:rFonts w:ascii="Times New Roman" w:hAnsi="Times New Roman"/>
                <w:kern w:val="0"/>
                <w:sz w:val="18"/>
                <w:szCs w:val="18"/>
              </w:rPr>
              <w:t>深圳清华大学研究院</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sz w:val="18"/>
                <w:szCs w:val="18"/>
              </w:rPr>
            </w:pPr>
            <w:r>
              <w:rPr>
                <w:rFonts w:ascii="Times New Roman" w:hAnsi="Times New Roman"/>
                <w:kern w:val="0"/>
                <w:sz w:val="18"/>
                <w:szCs w:val="18"/>
              </w:rPr>
              <w:t>北矿检测技术有限公司</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sz w:val="18"/>
                <w:szCs w:val="18"/>
              </w:rPr>
            </w:pPr>
            <w:r>
              <w:rPr>
                <w:rFonts w:ascii="Times New Roman" w:hAnsi="Times New Roman"/>
                <w:kern w:val="0"/>
                <w:sz w:val="18"/>
                <w:szCs w:val="18"/>
              </w:rPr>
              <w:t>大冶有色</w:t>
            </w:r>
            <w:r>
              <w:rPr>
                <w:rFonts w:hint="eastAsia" w:ascii="Times New Roman" w:hAnsi="Times New Roman"/>
                <w:kern w:val="0"/>
                <w:sz w:val="18"/>
                <w:szCs w:val="18"/>
              </w:rPr>
              <w:t>设计研究院有限</w:t>
            </w:r>
            <w:r>
              <w:rPr>
                <w:rFonts w:ascii="Times New Roman" w:hAnsi="Times New Roman"/>
                <w:kern w:val="0"/>
                <w:sz w:val="18"/>
                <w:szCs w:val="18"/>
              </w:rPr>
              <w:t>公司</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铜陵有色金属集团控股有限公司</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山东恒邦冶炼股份有限公司</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textAlignment w:val="top"/>
              <w:rPr>
                <w:rFonts w:ascii="Times New Roman" w:hAnsi="Times New Roman"/>
                <w:color w:val="000000"/>
                <w:sz w:val="18"/>
                <w:szCs w:val="18"/>
              </w:rPr>
            </w:pPr>
            <w:r>
              <w:rPr>
                <w:rFonts w:ascii="Times New Roman" w:hAnsi="Times New Roman"/>
                <w:color w:val="000000"/>
                <w:kern w:val="0"/>
                <w:sz w:val="18"/>
                <w:szCs w:val="18"/>
              </w:rPr>
              <w:t>紫金铜业有限公司</w:t>
            </w:r>
          </w:p>
        </w:tc>
      </w:tr>
      <w:tr>
        <w:tblPrEx>
          <w:tblCellMar>
            <w:top w:w="0" w:type="dxa"/>
            <w:left w:w="0" w:type="dxa"/>
            <w:bottom w:w="0" w:type="dxa"/>
            <w:right w:w="0" w:type="dxa"/>
          </w:tblCellMar>
        </w:tblPrEx>
        <w:trPr>
          <w:trHeight w:val="285" w:hRule="atLeast"/>
        </w:trPr>
        <w:tc>
          <w:tcPr>
            <w:tcW w:w="5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ascii="Times New Roman" w:hAnsi="Times New Roman"/>
                <w:color w:val="000000"/>
                <w:sz w:val="18"/>
                <w:szCs w:val="18"/>
              </w:rPr>
            </w:pPr>
            <w:r>
              <w:rPr>
                <w:rFonts w:ascii="Times New Roman" w:hAnsi="Times New Roman"/>
                <w:color w:val="000000"/>
                <w:kern w:val="0"/>
                <w:sz w:val="18"/>
                <w:szCs w:val="18"/>
              </w:rPr>
              <w:t>2#</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7.89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7.87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7.84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7.59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7.70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7.94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7.67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7.81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7.74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7.62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7.73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7.82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7.84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7.85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7.57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7.71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7.71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7.73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7.72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7.70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7.70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7.74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7.82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7.74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7.79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7.67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7.70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7.84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7.72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7.59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7.80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7.57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7.72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7.76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7.68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7.86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7.61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7.68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7.78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7.65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7.55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7.78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7.55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7.68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7.77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7.73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7.78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7.63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7.76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7.83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7.75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7.65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7.82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7.53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7.66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7.71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7.87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7.85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7.60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7.72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7.79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7.79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7.75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7.84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7.59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7.71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7.84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7.70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7.75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7.67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7.72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7.90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7.67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7.82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7.78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7.50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7.72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7.80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7.63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7.85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7.65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7.78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7.75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7.62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7.63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7.68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7.72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7.67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7.84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7.61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7.75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7.88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7.86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7.57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7.77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7.81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7.69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7.89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7.59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7.72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7.76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7.89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7.60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7.75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7.79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7.75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7.73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7.80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7.65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7.76 </w:t>
            </w:r>
          </w:p>
        </w:tc>
      </w:tr>
      <w:tr>
        <w:tblPrEx>
          <w:tblCellMar>
            <w:top w:w="0" w:type="dxa"/>
            <w:left w:w="0" w:type="dxa"/>
            <w:bottom w:w="0" w:type="dxa"/>
            <w:right w:w="0" w:type="dxa"/>
          </w:tblCellMar>
        </w:tblPrEx>
        <w:trPr>
          <w:trHeight w:val="475" w:hRule="atLeast"/>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textAlignment w:val="top"/>
              <w:rPr>
                <w:rFonts w:ascii="Times New Roman" w:hAnsi="Times New Roman"/>
                <w:color w:val="000000"/>
                <w:sz w:val="18"/>
                <w:szCs w:val="18"/>
              </w:rPr>
            </w:pPr>
            <w:r>
              <w:rPr>
                <w:rFonts w:ascii="Times New Roman" w:hAnsi="Times New Roman"/>
                <w:color w:val="000000"/>
                <w:kern w:val="0"/>
                <w:sz w:val="18"/>
                <w:szCs w:val="18"/>
              </w:rPr>
              <w:t>平均值</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7.79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7.74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7.83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7.62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7.72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7.82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7.71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7.73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7.78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7.59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7.72 </w:t>
            </w:r>
          </w:p>
        </w:tc>
      </w:tr>
      <w:tr>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S</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0.052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0.083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0.043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0.035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0.029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0.069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0.050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0.119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0.048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0.057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0.035 </w:t>
            </w:r>
          </w:p>
        </w:tc>
      </w:tr>
      <w:tr>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RSD</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0.670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1.070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0.545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0.457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0.377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0.889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0.670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1.540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0.612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0.749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0.456 </w:t>
            </w:r>
          </w:p>
        </w:tc>
      </w:tr>
      <w:tr>
        <w:tblPrEx>
          <w:tblCellMar>
            <w:top w:w="0" w:type="dxa"/>
            <w:left w:w="0" w:type="dxa"/>
            <w:bottom w:w="0" w:type="dxa"/>
            <w:right w:w="0" w:type="dxa"/>
          </w:tblCellMar>
        </w:tblPrEx>
        <w:trPr>
          <w:trHeight w:val="285" w:hRule="atLeast"/>
        </w:trPr>
        <w:tc>
          <w:tcPr>
            <w:tcW w:w="5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样品编号</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起草单位</w:t>
            </w:r>
          </w:p>
        </w:tc>
        <w:tc>
          <w:tcPr>
            <w:tcW w:w="826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验证单位</w:t>
            </w:r>
          </w:p>
        </w:tc>
      </w:tr>
      <w:tr>
        <w:tblPrEx>
          <w:tblCellMar>
            <w:top w:w="0" w:type="dxa"/>
            <w:left w:w="0" w:type="dxa"/>
            <w:bottom w:w="0" w:type="dxa"/>
            <w:right w:w="0" w:type="dxa"/>
          </w:tblCellMar>
        </w:tblPrEx>
        <w:trPr>
          <w:trHeight w:val="900"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富民薪冶工贸有限公司</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江西铜业股份有限公司</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广东先导稀材股份有限公司</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sz w:val="18"/>
                <w:szCs w:val="18"/>
              </w:rPr>
            </w:pPr>
            <w:r>
              <w:rPr>
                <w:rFonts w:ascii="Times New Roman" w:hAnsi="Times New Roman"/>
                <w:kern w:val="0"/>
                <w:sz w:val="18"/>
                <w:szCs w:val="18"/>
              </w:rPr>
              <w:t>紫金矿</w:t>
            </w:r>
            <w:r>
              <w:rPr>
                <w:rFonts w:hint="eastAsia" w:ascii="Times New Roman" w:hAnsi="Times New Roman"/>
                <w:kern w:val="0"/>
                <w:sz w:val="18"/>
                <w:szCs w:val="18"/>
              </w:rPr>
              <w:t>业集团股份</w:t>
            </w:r>
            <w:r>
              <w:rPr>
                <w:rFonts w:ascii="Times New Roman" w:hAnsi="Times New Roman"/>
                <w:kern w:val="0"/>
                <w:sz w:val="18"/>
                <w:szCs w:val="18"/>
              </w:rPr>
              <w:t>有限公司</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textAlignment w:val="top"/>
              <w:rPr>
                <w:rFonts w:ascii="Times New Roman" w:hAnsi="Times New Roman"/>
                <w:sz w:val="18"/>
                <w:szCs w:val="18"/>
              </w:rPr>
            </w:pPr>
            <w:r>
              <w:rPr>
                <w:rFonts w:ascii="Times New Roman" w:hAnsi="Times New Roman"/>
                <w:kern w:val="0"/>
                <w:sz w:val="18"/>
                <w:szCs w:val="18"/>
              </w:rPr>
              <w:t>河南豫光金铅股份有限公司</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sz w:val="18"/>
                <w:szCs w:val="18"/>
              </w:rPr>
            </w:pPr>
            <w:r>
              <w:rPr>
                <w:rFonts w:ascii="Times New Roman" w:hAnsi="Times New Roman"/>
                <w:kern w:val="0"/>
                <w:sz w:val="18"/>
                <w:szCs w:val="18"/>
              </w:rPr>
              <w:t>深圳清华大学研究院</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sz w:val="18"/>
                <w:szCs w:val="18"/>
              </w:rPr>
            </w:pPr>
            <w:r>
              <w:rPr>
                <w:rFonts w:ascii="Times New Roman" w:hAnsi="Times New Roman"/>
                <w:kern w:val="0"/>
                <w:sz w:val="18"/>
                <w:szCs w:val="18"/>
              </w:rPr>
              <w:t>北矿检测技术有限公司</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sz w:val="18"/>
                <w:szCs w:val="18"/>
              </w:rPr>
            </w:pPr>
            <w:r>
              <w:rPr>
                <w:rFonts w:ascii="Times New Roman" w:hAnsi="Times New Roman"/>
                <w:kern w:val="0"/>
                <w:sz w:val="18"/>
                <w:szCs w:val="18"/>
              </w:rPr>
              <w:t>大冶有色</w:t>
            </w:r>
            <w:r>
              <w:rPr>
                <w:rFonts w:hint="eastAsia" w:ascii="Times New Roman" w:hAnsi="Times New Roman"/>
                <w:kern w:val="0"/>
                <w:sz w:val="18"/>
                <w:szCs w:val="18"/>
              </w:rPr>
              <w:t>设计研究院有限</w:t>
            </w:r>
            <w:r>
              <w:rPr>
                <w:rFonts w:ascii="Times New Roman" w:hAnsi="Times New Roman"/>
                <w:kern w:val="0"/>
                <w:sz w:val="18"/>
                <w:szCs w:val="18"/>
              </w:rPr>
              <w:t>公司</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铜陵有色金属集团控股有限公司</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山东恒邦冶炼股份有限公司</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textAlignment w:val="top"/>
              <w:rPr>
                <w:rFonts w:ascii="Times New Roman" w:hAnsi="Times New Roman"/>
                <w:color w:val="000000"/>
                <w:sz w:val="18"/>
                <w:szCs w:val="18"/>
              </w:rPr>
            </w:pPr>
            <w:r>
              <w:rPr>
                <w:rFonts w:ascii="Times New Roman" w:hAnsi="Times New Roman"/>
                <w:color w:val="000000"/>
                <w:kern w:val="0"/>
                <w:sz w:val="18"/>
                <w:szCs w:val="18"/>
              </w:rPr>
              <w:t>紫金铜业有限公司</w:t>
            </w:r>
          </w:p>
        </w:tc>
      </w:tr>
      <w:tr>
        <w:tblPrEx>
          <w:tblCellMar>
            <w:top w:w="0" w:type="dxa"/>
            <w:left w:w="0" w:type="dxa"/>
            <w:bottom w:w="0" w:type="dxa"/>
            <w:right w:w="0" w:type="dxa"/>
          </w:tblCellMar>
        </w:tblPrEx>
        <w:trPr>
          <w:trHeight w:val="285" w:hRule="atLeast"/>
        </w:trPr>
        <w:tc>
          <w:tcPr>
            <w:tcW w:w="5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textAlignment w:val="center"/>
              <w:rPr>
                <w:rFonts w:ascii="Times New Roman" w:hAnsi="Times New Roman"/>
                <w:color w:val="000000"/>
                <w:sz w:val="18"/>
                <w:szCs w:val="18"/>
              </w:rPr>
            </w:pPr>
            <w:r>
              <w:rPr>
                <w:rFonts w:ascii="Times New Roman" w:hAnsi="Times New Roman"/>
                <w:color w:val="000000"/>
                <w:kern w:val="0"/>
                <w:sz w:val="18"/>
                <w:szCs w:val="18"/>
              </w:rPr>
              <w:t>3#</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10.33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10.22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10.21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10.33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10.36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10.48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10.39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10.32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10.45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10.19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10.40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10.37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10.31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10.23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10.32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10.38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10.38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10.28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10.21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10.32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10.19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10.37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10.38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10.24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10.29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10.37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10.37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10.32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10.54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10.28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10.46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10.15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10.44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10.27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10.23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10.21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10.24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10.34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10.36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10.60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10.23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10.30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10.17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10.34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10.28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10.41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10.25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10.26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10.35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10.36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10.62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10.35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10.32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10.27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10.33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10.27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10.35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10.30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10.22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10.32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10.34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10.35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10.35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10.39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10.20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10.38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10.39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10.26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10.25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10.27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10.32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10.35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10.39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10.29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10.35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10.17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10.35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10.24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10.22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10.23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10.27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10.36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10.37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10.36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10.25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10.38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10.29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10.34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10.27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10.24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10.32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10.39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10.19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10.24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10.40 </w:t>
            </w:r>
          </w:p>
        </w:tc>
      </w:tr>
      <w:tr>
        <w:tblPrEx>
          <w:tblCellMar>
            <w:top w:w="0" w:type="dxa"/>
            <w:left w:w="0" w:type="dxa"/>
            <w:bottom w:w="0" w:type="dxa"/>
            <w:right w:w="0" w:type="dxa"/>
          </w:tblCellMar>
        </w:tblPrEx>
        <w:trPr>
          <w:trHeight w:val="28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10.30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10.40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10.30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10.23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10.36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10.40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10.38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10.24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10.42 </w:t>
            </w:r>
          </w:p>
        </w:tc>
      </w:tr>
      <w:tr>
        <w:tblPrEx>
          <w:tblCellMar>
            <w:top w:w="0" w:type="dxa"/>
            <w:left w:w="0" w:type="dxa"/>
            <w:bottom w:w="0" w:type="dxa"/>
            <w:right w:w="0" w:type="dxa"/>
          </w:tblCellMar>
        </w:tblPrEx>
        <w:trPr>
          <w:trHeight w:val="400"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10.31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10.39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10.33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10.33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10.13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10.39 </w:t>
            </w:r>
          </w:p>
        </w:tc>
      </w:tr>
      <w:tr>
        <w:tblPrEx>
          <w:tblCellMar>
            <w:top w:w="0" w:type="dxa"/>
            <w:left w:w="0" w:type="dxa"/>
            <w:bottom w:w="0" w:type="dxa"/>
            <w:right w:w="0" w:type="dxa"/>
          </w:tblCellMar>
        </w:tblPrEx>
        <w:trPr>
          <w:trHeight w:val="606" w:hRule="atLeast"/>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textAlignment w:val="top"/>
              <w:rPr>
                <w:rFonts w:ascii="Times New Roman" w:hAnsi="Times New Roman"/>
                <w:color w:val="000000"/>
                <w:sz w:val="18"/>
                <w:szCs w:val="18"/>
              </w:rPr>
            </w:pPr>
            <w:r>
              <w:rPr>
                <w:rFonts w:ascii="Times New Roman" w:hAnsi="Times New Roman"/>
                <w:color w:val="000000"/>
                <w:kern w:val="0"/>
                <w:sz w:val="18"/>
                <w:szCs w:val="18"/>
              </w:rPr>
              <w:t>平均值</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10.31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10.31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10.25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10.28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10.35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10.37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10.45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10.30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10.37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10.20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10.38 </w:t>
            </w:r>
          </w:p>
        </w:tc>
      </w:tr>
      <w:tr>
        <w:tblPrEx>
          <w:tblCellMar>
            <w:top w:w="0" w:type="dxa"/>
            <w:left w:w="0" w:type="dxa"/>
            <w:bottom w:w="0" w:type="dxa"/>
            <w:right w:w="0" w:type="dxa"/>
          </w:tblCellMar>
        </w:tblPrEx>
        <w:trPr>
          <w:trHeight w:val="518" w:hRule="atLeast"/>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kern w:val="0"/>
                <w:sz w:val="18"/>
                <w:szCs w:val="18"/>
              </w:rPr>
            </w:pPr>
          </w:p>
          <w:p>
            <w:pPr>
              <w:jc w:val="center"/>
              <w:textAlignment w:val="top"/>
              <w:rPr>
                <w:rFonts w:ascii="Times New Roman" w:hAnsi="Times New Roman"/>
                <w:color w:val="000000"/>
                <w:sz w:val="18"/>
                <w:szCs w:val="18"/>
              </w:rPr>
            </w:pPr>
            <w:r>
              <w:rPr>
                <w:rFonts w:ascii="Times New Roman" w:hAnsi="Times New Roman"/>
                <w:color w:val="000000"/>
                <w:kern w:val="0"/>
                <w:sz w:val="18"/>
                <w:szCs w:val="18"/>
              </w:rPr>
              <w:t>s</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0.050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0.075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0.035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0.049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0.022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0.044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0.133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0.067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0.065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0.045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0.033 </w:t>
            </w:r>
          </w:p>
        </w:tc>
      </w:tr>
      <w:tr>
        <w:tblPrEx>
          <w:tblCellMar>
            <w:top w:w="0" w:type="dxa"/>
            <w:left w:w="0" w:type="dxa"/>
            <w:bottom w:w="0" w:type="dxa"/>
            <w:right w:w="0" w:type="dxa"/>
          </w:tblCellMar>
        </w:tblPrEx>
        <w:trPr>
          <w:trHeight w:val="975" w:hRule="atLeast"/>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kern w:val="0"/>
                <w:sz w:val="18"/>
                <w:szCs w:val="18"/>
              </w:rPr>
            </w:pPr>
          </w:p>
          <w:p>
            <w:pPr>
              <w:jc w:val="center"/>
              <w:textAlignment w:val="top"/>
              <w:rPr>
                <w:rFonts w:ascii="Times New Roman" w:hAnsi="Times New Roman"/>
                <w:color w:val="000000"/>
                <w:kern w:val="0"/>
                <w:sz w:val="18"/>
                <w:szCs w:val="18"/>
              </w:rPr>
            </w:pPr>
          </w:p>
          <w:p>
            <w:pPr>
              <w:jc w:val="center"/>
              <w:textAlignment w:val="top"/>
              <w:rPr>
                <w:rFonts w:ascii="Times New Roman" w:hAnsi="Times New Roman"/>
                <w:color w:val="000000"/>
                <w:sz w:val="18"/>
                <w:szCs w:val="18"/>
              </w:rPr>
            </w:pPr>
            <w:r>
              <w:rPr>
                <w:rFonts w:ascii="Times New Roman" w:hAnsi="Times New Roman"/>
                <w:color w:val="000000"/>
                <w:kern w:val="0"/>
                <w:sz w:val="18"/>
                <w:szCs w:val="18"/>
              </w:rPr>
              <w:t>RSD</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0.480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0.730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0.340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0.480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0.210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0.420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1.270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0.650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0.620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0.440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0.320 </w:t>
            </w:r>
          </w:p>
        </w:tc>
      </w:tr>
      <w:tr>
        <w:tblPrEx>
          <w:tblCellMar>
            <w:top w:w="0" w:type="dxa"/>
            <w:left w:w="0" w:type="dxa"/>
            <w:bottom w:w="0" w:type="dxa"/>
            <w:right w:w="0" w:type="dxa"/>
          </w:tblCellMar>
        </w:tblPrEx>
        <w:trPr>
          <w:trHeight w:val="285" w:hRule="atLeast"/>
        </w:trPr>
        <w:tc>
          <w:tcPr>
            <w:tcW w:w="5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样品编号</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起草单位</w:t>
            </w:r>
          </w:p>
        </w:tc>
        <w:tc>
          <w:tcPr>
            <w:tcW w:w="8265"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验证单位</w:t>
            </w:r>
          </w:p>
        </w:tc>
      </w:tr>
      <w:tr>
        <w:tblPrEx>
          <w:tblCellMar>
            <w:top w:w="0" w:type="dxa"/>
            <w:left w:w="0" w:type="dxa"/>
            <w:bottom w:w="0" w:type="dxa"/>
            <w:right w:w="0" w:type="dxa"/>
          </w:tblCellMar>
        </w:tblPrEx>
        <w:trPr>
          <w:trHeight w:val="67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富民薪冶工贸有限公司</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textAlignment w:val="top"/>
              <w:rPr>
                <w:rFonts w:ascii="Times New Roman" w:hAnsi="Times New Roman"/>
                <w:color w:val="000000"/>
                <w:sz w:val="18"/>
                <w:szCs w:val="18"/>
              </w:rPr>
            </w:pPr>
            <w:r>
              <w:rPr>
                <w:rFonts w:ascii="Times New Roman" w:hAnsi="Times New Roman"/>
                <w:color w:val="000000"/>
                <w:kern w:val="0"/>
                <w:sz w:val="18"/>
                <w:szCs w:val="18"/>
              </w:rPr>
              <w:t>江西铜业股份有限公司</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广东先导稀材股份有限公司</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textAlignment w:val="top"/>
              <w:rPr>
                <w:rFonts w:ascii="Times New Roman" w:hAnsi="Times New Roman"/>
                <w:sz w:val="18"/>
                <w:szCs w:val="18"/>
              </w:rPr>
            </w:pPr>
            <w:r>
              <w:rPr>
                <w:rFonts w:ascii="Times New Roman" w:hAnsi="Times New Roman"/>
                <w:kern w:val="0"/>
                <w:sz w:val="18"/>
                <w:szCs w:val="18"/>
              </w:rPr>
              <w:t>紫金矿</w:t>
            </w:r>
            <w:r>
              <w:rPr>
                <w:rFonts w:hint="eastAsia" w:ascii="Times New Roman" w:hAnsi="Times New Roman"/>
                <w:kern w:val="0"/>
                <w:sz w:val="18"/>
                <w:szCs w:val="18"/>
              </w:rPr>
              <w:t>业集团股份</w:t>
            </w:r>
            <w:r>
              <w:rPr>
                <w:rFonts w:ascii="Times New Roman" w:hAnsi="Times New Roman"/>
                <w:kern w:val="0"/>
                <w:sz w:val="18"/>
                <w:szCs w:val="18"/>
              </w:rPr>
              <w:t>有限公司</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textAlignment w:val="top"/>
              <w:rPr>
                <w:rFonts w:ascii="Times New Roman" w:hAnsi="Times New Roman"/>
                <w:sz w:val="18"/>
                <w:szCs w:val="18"/>
              </w:rPr>
            </w:pPr>
            <w:r>
              <w:rPr>
                <w:rFonts w:ascii="Times New Roman" w:hAnsi="Times New Roman"/>
                <w:kern w:val="0"/>
                <w:sz w:val="18"/>
                <w:szCs w:val="18"/>
              </w:rPr>
              <w:t>河南豫光金铅股份有限公司</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sz w:val="18"/>
                <w:szCs w:val="18"/>
              </w:rPr>
            </w:pPr>
            <w:r>
              <w:rPr>
                <w:rFonts w:ascii="Times New Roman" w:hAnsi="Times New Roman"/>
                <w:kern w:val="0"/>
                <w:sz w:val="18"/>
                <w:szCs w:val="18"/>
              </w:rPr>
              <w:t>深圳清华大学研究院</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sz w:val="18"/>
                <w:szCs w:val="18"/>
              </w:rPr>
            </w:pPr>
            <w:r>
              <w:rPr>
                <w:rFonts w:ascii="Times New Roman" w:hAnsi="Times New Roman"/>
                <w:kern w:val="0"/>
                <w:sz w:val="18"/>
                <w:szCs w:val="18"/>
              </w:rPr>
              <w:t>北矿检测技术有限公司</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sz w:val="18"/>
                <w:szCs w:val="18"/>
              </w:rPr>
            </w:pPr>
            <w:r>
              <w:rPr>
                <w:rFonts w:ascii="Times New Roman" w:hAnsi="Times New Roman"/>
                <w:kern w:val="0"/>
                <w:sz w:val="18"/>
                <w:szCs w:val="18"/>
              </w:rPr>
              <w:t>大冶有色</w:t>
            </w:r>
            <w:r>
              <w:rPr>
                <w:rFonts w:hint="eastAsia" w:ascii="Times New Roman" w:hAnsi="Times New Roman"/>
                <w:kern w:val="0"/>
                <w:sz w:val="18"/>
                <w:szCs w:val="18"/>
              </w:rPr>
              <w:t>设计研究院有限</w:t>
            </w:r>
            <w:r>
              <w:rPr>
                <w:rFonts w:ascii="Times New Roman" w:hAnsi="Times New Roman"/>
                <w:kern w:val="0"/>
                <w:sz w:val="18"/>
                <w:szCs w:val="18"/>
              </w:rPr>
              <w:t>公司</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铜陵有色金属集团控股有限公司</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山东恒邦冶炼股份有限公司</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textAlignment w:val="top"/>
              <w:rPr>
                <w:rFonts w:ascii="Times New Roman" w:hAnsi="Times New Roman"/>
                <w:color w:val="000000"/>
                <w:sz w:val="18"/>
                <w:szCs w:val="18"/>
              </w:rPr>
            </w:pPr>
            <w:r>
              <w:rPr>
                <w:rFonts w:ascii="Times New Roman" w:hAnsi="Times New Roman"/>
                <w:color w:val="000000"/>
                <w:kern w:val="0"/>
                <w:sz w:val="18"/>
                <w:szCs w:val="18"/>
              </w:rPr>
              <w:t>紫金铜业有限公司</w:t>
            </w:r>
          </w:p>
        </w:tc>
      </w:tr>
      <w:tr>
        <w:tblPrEx>
          <w:tblCellMar>
            <w:top w:w="0" w:type="dxa"/>
            <w:left w:w="0" w:type="dxa"/>
            <w:bottom w:w="0" w:type="dxa"/>
            <w:right w:w="0"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Times New Roman" w:hAnsi="Times New Roman"/>
                <w:color w:val="000000"/>
                <w:sz w:val="18"/>
                <w:szCs w:val="18"/>
              </w:rPr>
            </w:pPr>
            <w:r>
              <w:rPr>
                <w:rFonts w:ascii="Times New Roman" w:hAnsi="Times New Roman"/>
                <w:color w:val="000000"/>
                <w:kern w:val="0"/>
                <w:sz w:val="18"/>
                <w:szCs w:val="18"/>
              </w:rPr>
              <w:t>4#</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13.29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13.25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13.29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12.96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13.09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13.10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13.26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13.07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13.29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13.10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13.16 </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13.40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13.34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13.21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13.01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13.16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13.68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13.21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13.09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13.14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13.05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13.12 </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13.33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13.17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13.19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13.05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13.14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13.44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13.23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13.01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13.20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13.01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13.24 </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13.34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13.26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13.24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13.00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13.16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13.42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13.41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13.13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13.30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12.98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13.20 </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13.24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13.24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13.25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13.06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13.05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13.36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13.47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13.20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13.19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13.14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13.31 </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13.19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13.25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13.32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13.05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13.05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13.39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13.34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13.28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13.26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12.98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13.16 </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13.31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13.26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13.22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13.03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13.12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13.37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13.26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13.08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13.18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12.90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13.11 </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13.40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13.21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13.26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13.05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13.18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13.38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13.15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12.90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13.16 </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13.20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13.27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13.20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13.04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13.10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13.41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13.19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12.98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13.17 </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13.30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13.28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13.20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13.03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13.12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13.40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13.25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12.96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13.27 </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13.32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13.43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18"/>
                <w:szCs w:val="18"/>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13.09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 xml:space="preserve">13.39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12.88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13.18 </w:t>
            </w:r>
          </w:p>
        </w:tc>
      </w:tr>
      <w:tr>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textAlignment w:val="top"/>
              <w:rPr>
                <w:rFonts w:ascii="Times New Roman" w:hAnsi="Times New Roman"/>
                <w:color w:val="000000"/>
                <w:sz w:val="18"/>
                <w:szCs w:val="18"/>
              </w:rPr>
            </w:pPr>
            <w:r>
              <w:rPr>
                <w:rFonts w:ascii="Times New Roman" w:hAnsi="Times New Roman"/>
                <w:color w:val="000000"/>
                <w:kern w:val="0"/>
                <w:sz w:val="18"/>
                <w:szCs w:val="18"/>
              </w:rPr>
              <w:t>平均值</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13.30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13.27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13.24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13.03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13.11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13.39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13.31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13.15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13.22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12.99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13.19</w:t>
            </w:r>
          </w:p>
        </w:tc>
      </w:tr>
      <w:tr>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s</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0.070</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0.068</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0.043</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0.030</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0.043</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0.132</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0.098</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0.085</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0.061</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0.083</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0.062</w:t>
            </w:r>
          </w:p>
        </w:tc>
      </w:tr>
      <w:tr>
        <w:tblPrEx>
          <w:tblCellMar>
            <w:top w:w="0" w:type="dxa"/>
            <w:left w:w="0" w:type="dxa"/>
            <w:bottom w:w="0" w:type="dxa"/>
            <w:right w:w="0" w:type="dxa"/>
          </w:tblCellMar>
        </w:tblPrEx>
        <w:trPr>
          <w:trHeight w:val="400" w:hRule="atLeast"/>
        </w:trPr>
        <w:tc>
          <w:tcPr>
            <w:tcW w:w="51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tcPr>
          <w:p>
            <w:pPr>
              <w:textAlignment w:val="top"/>
              <w:rPr>
                <w:rFonts w:ascii="Times New Roman" w:hAnsi="Times New Roman"/>
                <w:color w:val="000000"/>
                <w:sz w:val="18"/>
                <w:szCs w:val="18"/>
              </w:rPr>
            </w:pPr>
            <w:r>
              <w:rPr>
                <w:rFonts w:ascii="Times New Roman" w:hAnsi="Times New Roman"/>
                <w:color w:val="000000"/>
                <w:kern w:val="0"/>
                <w:sz w:val="18"/>
                <w:szCs w:val="18"/>
              </w:rPr>
              <w:t>RSD</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0.525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0.512</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0.322</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0.234</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0.331</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0.983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0.738</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sz w:val="18"/>
                <w:szCs w:val="18"/>
              </w:rPr>
            </w:pPr>
            <w:r>
              <w:rPr>
                <w:rFonts w:ascii="Times New Roman" w:hAnsi="Times New Roman"/>
                <w:kern w:val="0"/>
                <w:sz w:val="18"/>
                <w:szCs w:val="18"/>
              </w:rPr>
              <w:t>0.650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0.459</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0.635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0.467</w:t>
            </w:r>
          </w:p>
        </w:tc>
      </w:tr>
      <w:tr>
        <w:tblPrEx>
          <w:tblCellMar>
            <w:top w:w="0" w:type="dxa"/>
            <w:left w:w="0" w:type="dxa"/>
            <w:bottom w:w="0" w:type="dxa"/>
            <w:right w:w="0" w:type="dxa"/>
          </w:tblCellMar>
        </w:tblPrEx>
        <w:trPr>
          <w:trHeight w:val="285" w:hRule="atLeast"/>
        </w:trPr>
        <w:tc>
          <w:tcPr>
            <w:tcW w:w="5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样品编号</w:t>
            </w:r>
          </w:p>
        </w:tc>
        <w:tc>
          <w:tcPr>
            <w:tcW w:w="85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起草单位</w:t>
            </w:r>
          </w:p>
        </w:tc>
        <w:tc>
          <w:tcPr>
            <w:tcW w:w="8265" w:type="dxa"/>
            <w:gridSpan w:val="10"/>
            <w:tcBorders>
              <w:top w:val="single" w:color="auto"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sz w:val="18"/>
                <w:szCs w:val="18"/>
              </w:rPr>
            </w:pPr>
            <w:r>
              <w:rPr>
                <w:rFonts w:ascii="Times New Roman" w:hAnsi="Times New Roman"/>
                <w:kern w:val="0"/>
                <w:sz w:val="18"/>
                <w:szCs w:val="18"/>
              </w:rPr>
              <w:t>验证单位</w:t>
            </w:r>
          </w:p>
        </w:tc>
      </w:tr>
      <w:tr>
        <w:tblPrEx>
          <w:tblCellMar>
            <w:top w:w="0" w:type="dxa"/>
            <w:left w:w="0" w:type="dxa"/>
            <w:bottom w:w="0" w:type="dxa"/>
            <w:right w:w="0" w:type="dxa"/>
          </w:tblCellMar>
        </w:tblPrEx>
        <w:trPr>
          <w:trHeight w:val="675"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富民薪冶工贸有限公司</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textAlignment w:val="top"/>
              <w:rPr>
                <w:rFonts w:ascii="Times New Roman" w:hAnsi="Times New Roman"/>
                <w:color w:val="000000"/>
                <w:sz w:val="18"/>
                <w:szCs w:val="18"/>
              </w:rPr>
            </w:pPr>
            <w:r>
              <w:rPr>
                <w:rFonts w:ascii="Times New Roman" w:hAnsi="Times New Roman"/>
                <w:color w:val="000000"/>
                <w:kern w:val="0"/>
                <w:sz w:val="18"/>
                <w:szCs w:val="18"/>
              </w:rPr>
              <w:t>江西铜业股份有限公司</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广东先导稀材股份有限公司</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textAlignment w:val="top"/>
              <w:rPr>
                <w:rFonts w:ascii="Times New Roman" w:hAnsi="Times New Roman"/>
                <w:sz w:val="18"/>
                <w:szCs w:val="18"/>
              </w:rPr>
            </w:pPr>
            <w:r>
              <w:rPr>
                <w:rFonts w:ascii="Times New Roman" w:hAnsi="Times New Roman"/>
                <w:kern w:val="0"/>
                <w:sz w:val="18"/>
                <w:szCs w:val="18"/>
              </w:rPr>
              <w:t>紫金矿</w:t>
            </w:r>
            <w:r>
              <w:rPr>
                <w:rFonts w:hint="eastAsia" w:ascii="Times New Roman" w:hAnsi="Times New Roman"/>
                <w:kern w:val="0"/>
                <w:sz w:val="18"/>
                <w:szCs w:val="18"/>
              </w:rPr>
              <w:t>业集团股份</w:t>
            </w:r>
            <w:r>
              <w:rPr>
                <w:rFonts w:ascii="Times New Roman" w:hAnsi="Times New Roman"/>
                <w:kern w:val="0"/>
                <w:sz w:val="18"/>
                <w:szCs w:val="18"/>
              </w:rPr>
              <w:t>有限公司</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textAlignment w:val="top"/>
              <w:rPr>
                <w:rFonts w:ascii="Times New Roman" w:hAnsi="Times New Roman"/>
                <w:sz w:val="18"/>
                <w:szCs w:val="18"/>
              </w:rPr>
            </w:pPr>
            <w:r>
              <w:rPr>
                <w:rFonts w:ascii="Times New Roman" w:hAnsi="Times New Roman"/>
                <w:kern w:val="0"/>
                <w:sz w:val="18"/>
                <w:szCs w:val="18"/>
              </w:rPr>
              <w:t>河南豫光金铅股份有限公司</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sz w:val="18"/>
                <w:szCs w:val="18"/>
              </w:rPr>
            </w:pPr>
            <w:r>
              <w:rPr>
                <w:rFonts w:ascii="Times New Roman" w:hAnsi="Times New Roman"/>
                <w:kern w:val="0"/>
                <w:sz w:val="18"/>
                <w:szCs w:val="18"/>
              </w:rPr>
              <w:t>深圳清华大学研究院</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sz w:val="18"/>
                <w:szCs w:val="18"/>
              </w:rPr>
            </w:pPr>
            <w:r>
              <w:rPr>
                <w:rFonts w:ascii="Times New Roman" w:hAnsi="Times New Roman"/>
                <w:kern w:val="0"/>
                <w:sz w:val="18"/>
                <w:szCs w:val="18"/>
              </w:rPr>
              <w:t>北矿检测技术有限公司</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sz w:val="18"/>
                <w:szCs w:val="18"/>
              </w:rPr>
            </w:pPr>
            <w:r>
              <w:rPr>
                <w:rFonts w:ascii="Times New Roman" w:hAnsi="Times New Roman"/>
                <w:kern w:val="0"/>
                <w:sz w:val="18"/>
                <w:szCs w:val="18"/>
              </w:rPr>
              <w:t>大冶有色</w:t>
            </w:r>
            <w:r>
              <w:rPr>
                <w:rFonts w:hint="eastAsia" w:ascii="Times New Roman" w:hAnsi="Times New Roman"/>
                <w:kern w:val="0"/>
                <w:sz w:val="18"/>
                <w:szCs w:val="18"/>
              </w:rPr>
              <w:t>设计研究院有限</w:t>
            </w:r>
            <w:r>
              <w:rPr>
                <w:rFonts w:ascii="Times New Roman" w:hAnsi="Times New Roman"/>
                <w:kern w:val="0"/>
                <w:sz w:val="18"/>
                <w:szCs w:val="18"/>
              </w:rPr>
              <w:t>公司</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铜陵有色金属集团控股有限公司</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sz w:val="18"/>
                <w:szCs w:val="18"/>
              </w:rPr>
            </w:pPr>
            <w:r>
              <w:rPr>
                <w:rFonts w:ascii="Times New Roman" w:hAnsi="Times New Roman"/>
                <w:color w:val="000000"/>
                <w:kern w:val="0"/>
                <w:sz w:val="18"/>
                <w:szCs w:val="18"/>
              </w:rPr>
              <w:t>山东恒邦冶炼股份有限公司</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textAlignment w:val="top"/>
              <w:rPr>
                <w:rFonts w:ascii="Times New Roman" w:hAnsi="Times New Roman"/>
                <w:color w:val="000000"/>
                <w:sz w:val="18"/>
                <w:szCs w:val="18"/>
              </w:rPr>
            </w:pPr>
            <w:r>
              <w:rPr>
                <w:rFonts w:ascii="Times New Roman" w:hAnsi="Times New Roman"/>
                <w:color w:val="000000"/>
                <w:kern w:val="0"/>
                <w:sz w:val="18"/>
                <w:szCs w:val="18"/>
              </w:rPr>
              <w:t>紫金铜业有限公司</w:t>
            </w:r>
          </w:p>
        </w:tc>
      </w:tr>
      <w:tr>
        <w:tblPrEx>
          <w:tblCellMar>
            <w:top w:w="0" w:type="dxa"/>
            <w:left w:w="0" w:type="dxa"/>
            <w:bottom w:w="0" w:type="dxa"/>
            <w:right w:w="0"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Times New Roman" w:hAnsi="Times New Roman"/>
                <w:color w:val="000000"/>
                <w:sz w:val="18"/>
                <w:szCs w:val="18"/>
              </w:rPr>
            </w:pPr>
            <w:r>
              <w:rPr>
                <w:rFonts w:ascii="Times New Roman" w:hAnsi="Times New Roman"/>
                <w:color w:val="000000"/>
                <w:kern w:val="0"/>
                <w:sz w:val="18"/>
                <w:szCs w:val="18"/>
              </w:rPr>
              <w:t>5#</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15.71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15.61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15.50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15.56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15.70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15.60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15.84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15.84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15.69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15.42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15.68 </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15.56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15.53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15.48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15.55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15.69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15.59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15.82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15.58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15.63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15.46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15.72 </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15.71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15.53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15.51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15.58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15.63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15.55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15.85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15.56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15.76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15.56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15.56** </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15.58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15.83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15.51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15.58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15.67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15.56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15.79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15.52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15.60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15.36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15.72 </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15.59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15.68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15.55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15.57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15.65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15.64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16.12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15.62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15.78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15.42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15.41** </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15.66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15.73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15.56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15.53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15.68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15.44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16.05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15.78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15.70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15.40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15.76 </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15.74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15.59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15.60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15.52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15.65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15.68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15.84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15.62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15.68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15.35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15.73 </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15.60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15.84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15.64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15.54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15.68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15.48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15.59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15.27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15.71 </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15.64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15.56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15.56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15.47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15.69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15.41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15.75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15.43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15.75 </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15.65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15.76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15.69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15.55 </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15.62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15.65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15.55 </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15.40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15.71 </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15.72 </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15.64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15.67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15.50 </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15.26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15.69 </w:t>
            </w:r>
          </w:p>
        </w:tc>
      </w:tr>
      <w:tr>
        <w:tblPrEx>
          <w:tblCellMar>
            <w:top w:w="0" w:type="dxa"/>
            <w:left w:w="0" w:type="dxa"/>
            <w:bottom w:w="0" w:type="dxa"/>
            <w:right w:w="0" w:type="dxa"/>
          </w:tblCellMar>
        </w:tblPrEx>
        <w:trPr>
          <w:trHeight w:val="285" w:hRule="atLeast"/>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textAlignment w:val="top"/>
              <w:rPr>
                <w:rFonts w:ascii="Times New Roman" w:hAnsi="Times New Roman"/>
                <w:color w:val="000000"/>
                <w:sz w:val="18"/>
                <w:szCs w:val="18"/>
              </w:rPr>
            </w:pPr>
            <w:r>
              <w:rPr>
                <w:rFonts w:ascii="Times New Roman" w:hAnsi="Times New Roman"/>
                <w:color w:val="000000"/>
                <w:kern w:val="0"/>
                <w:sz w:val="18"/>
                <w:szCs w:val="18"/>
              </w:rPr>
              <w:t>平均值</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15.65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15.66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15.56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15.55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15.67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15.55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15.90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15.64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15.69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15.39 </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15.680 </w:t>
            </w:r>
          </w:p>
        </w:tc>
      </w:tr>
      <w:tr>
        <w:tblPrEx>
          <w:tblCellMar>
            <w:top w:w="0" w:type="dxa"/>
            <w:left w:w="0" w:type="dxa"/>
            <w:bottom w:w="0" w:type="dxa"/>
            <w:right w:w="0" w:type="dxa"/>
          </w:tblCellMar>
        </w:tblPrEx>
        <w:trPr>
          <w:trHeight w:val="41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90" w:firstLineChars="50"/>
              <w:jc w:val="left"/>
              <w:textAlignment w:val="center"/>
              <w:rPr>
                <w:rFonts w:ascii="Times New Roman" w:hAnsi="Times New Roman"/>
                <w:color w:val="000000"/>
                <w:sz w:val="18"/>
                <w:szCs w:val="18"/>
              </w:rPr>
            </w:pPr>
            <w:r>
              <w:rPr>
                <w:rFonts w:ascii="Times New Roman" w:hAnsi="Times New Roman"/>
                <w:color w:val="000000"/>
                <w:kern w:val="0"/>
                <w:sz w:val="18"/>
                <w:szCs w:val="18"/>
              </w:rPr>
              <w:t>s</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0.063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0.113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0.067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0.033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0.026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0.088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0.129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0.109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0.064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0.084</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0.100 </w:t>
            </w:r>
          </w:p>
        </w:tc>
      </w:tr>
      <w:tr>
        <w:tblPrEx>
          <w:tblCellMar>
            <w:top w:w="0" w:type="dxa"/>
            <w:left w:w="0" w:type="dxa"/>
            <w:bottom w:w="0" w:type="dxa"/>
            <w:right w:w="0" w:type="dxa"/>
          </w:tblCellMar>
        </w:tblPrEx>
        <w:trPr>
          <w:trHeight w:val="630" w:hRule="atLeast"/>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color w:val="000000"/>
                <w:kern w:val="0"/>
                <w:sz w:val="18"/>
                <w:szCs w:val="18"/>
              </w:rPr>
            </w:pPr>
          </w:p>
          <w:p>
            <w:pPr>
              <w:jc w:val="center"/>
              <w:textAlignment w:val="top"/>
              <w:rPr>
                <w:rFonts w:ascii="Times New Roman" w:hAnsi="Times New Roman"/>
                <w:color w:val="000000"/>
                <w:sz w:val="18"/>
                <w:szCs w:val="18"/>
              </w:rPr>
            </w:pPr>
            <w:r>
              <w:rPr>
                <w:rFonts w:ascii="Times New Roman" w:hAnsi="Times New Roman"/>
                <w:color w:val="000000"/>
                <w:kern w:val="0"/>
                <w:sz w:val="18"/>
                <w:szCs w:val="18"/>
              </w:rPr>
              <w:t>RSD</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0.402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0.722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0.428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0.213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0.165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0.568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0.808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0.699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0.410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0.548</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1"/>
                <w:numId w:val="7"/>
              </w:numPr>
              <w:jc w:val="center"/>
              <w:textAlignment w:val="center"/>
              <w:rPr>
                <w:rFonts w:ascii="Times New Roman" w:hAnsi="Times New Roman"/>
                <w:color w:val="000000"/>
                <w:sz w:val="18"/>
                <w:szCs w:val="18"/>
              </w:rPr>
            </w:pPr>
          </w:p>
        </w:tc>
      </w:tr>
    </w:tbl>
    <w:p>
      <w:pPr>
        <w:spacing w:line="360" w:lineRule="auto"/>
        <w:rPr>
          <w:szCs w:val="24"/>
        </w:rPr>
      </w:pPr>
    </w:p>
    <w:p>
      <w:pPr>
        <w:spacing w:line="360" w:lineRule="auto"/>
        <w:rPr>
          <w:szCs w:val="24"/>
        </w:rPr>
      </w:pPr>
    </w:p>
    <w:p>
      <w:pPr>
        <w:tabs>
          <w:tab w:val="left" w:pos="420"/>
        </w:tabs>
        <w:rPr>
          <w:rFonts w:ascii="Times New Roman" w:hAnsi="Times New Roman"/>
          <w:szCs w:val="21"/>
        </w:rPr>
      </w:pPr>
      <w:r>
        <w:rPr>
          <w:rFonts w:ascii="Times New Roman" w:hAnsi="Times New Roman"/>
          <w:szCs w:val="21"/>
        </w:rPr>
        <w:t>3  一致性和离群值得检验</w:t>
      </w:r>
    </w:p>
    <w:p>
      <w:pPr>
        <w:rPr>
          <w:rFonts w:ascii="Times New Roman" w:hAnsi="Times New Roman"/>
          <w:szCs w:val="21"/>
        </w:rPr>
      </w:pPr>
      <w:r>
        <w:rPr>
          <w:rFonts w:ascii="Times New Roman" w:hAnsi="Times New Roman"/>
          <w:szCs w:val="21"/>
        </w:rPr>
        <w:t>3.1  格拉布斯检验</w:t>
      </w:r>
    </w:p>
    <w:p>
      <w:pPr>
        <w:rPr>
          <w:rFonts w:ascii="Times New Roman" w:hAnsi="Times New Roman"/>
          <w:szCs w:val="21"/>
        </w:rPr>
      </w:pPr>
      <w:r>
        <w:rPr>
          <w:rFonts w:ascii="Times New Roman" w:hAnsi="Times New Roman"/>
          <w:szCs w:val="21"/>
        </w:rPr>
        <w:t>3.1.1  分别对每一家的每一个水平样进行格拉布斯检验，查表，n=11</w:t>
      </w:r>
      <w:r>
        <w:rPr>
          <w:rFonts w:ascii="宋体" w:hAnsi="宋体"/>
          <w:szCs w:val="21"/>
        </w:rPr>
        <w:t>,</w:t>
      </w:r>
      <w:r>
        <w:rPr>
          <w:rFonts w:ascii="Times New Roman" w:hAnsi="Times New Roman"/>
          <w:szCs w:val="21"/>
        </w:rPr>
        <w:t>1%临界值为2.564</w:t>
      </w:r>
      <w:r>
        <w:rPr>
          <w:rFonts w:ascii="宋体" w:hAnsi="宋体"/>
          <w:szCs w:val="21"/>
        </w:rPr>
        <w:t>,</w:t>
      </w:r>
      <w:r>
        <w:rPr>
          <w:rFonts w:ascii="Times New Roman" w:hAnsi="Times New Roman"/>
          <w:szCs w:val="21"/>
        </w:rPr>
        <w:t>5%临界值2.355，n=10 ，1%临界值为2.482</w:t>
      </w:r>
      <w:r>
        <w:rPr>
          <w:rFonts w:ascii="宋体" w:hAnsi="宋体"/>
          <w:szCs w:val="21"/>
        </w:rPr>
        <w:t>,</w:t>
      </w:r>
      <w:r>
        <w:rPr>
          <w:rFonts w:ascii="Times New Roman" w:hAnsi="Times New Roman"/>
          <w:szCs w:val="21"/>
        </w:rPr>
        <w:t>5%临界值2.290，n=7</w:t>
      </w:r>
      <w:r>
        <w:rPr>
          <w:rFonts w:ascii="宋体" w:hAnsi="宋体"/>
          <w:szCs w:val="21"/>
        </w:rPr>
        <w:t>,</w:t>
      </w:r>
      <w:r>
        <w:rPr>
          <w:rFonts w:ascii="Times New Roman" w:hAnsi="Times New Roman"/>
          <w:szCs w:val="21"/>
        </w:rPr>
        <w:t>1%临界值为2.139</w:t>
      </w:r>
      <w:r>
        <w:rPr>
          <w:rFonts w:ascii="宋体" w:hAnsi="宋体"/>
          <w:szCs w:val="21"/>
        </w:rPr>
        <w:t>,</w:t>
      </w:r>
      <w:r>
        <w:rPr>
          <w:rFonts w:ascii="Times New Roman" w:hAnsi="Times New Roman"/>
          <w:szCs w:val="21"/>
        </w:rPr>
        <w:t>5%临界值2.020，根据国家标准GBT6379-2004规定，检验统计量大于1%临界值时，为统计离群值，需要舍弃，异常值用“**”标出；大于5%临界值，小于1%临界值时，为统计歧离值，异常值用“*”标出。数据统计发现，对于水平5，紫金铜业有限公司检验发现G min2.586为离群值，又继续进行检验发现 G min2.563为离群值，后续不参与后续计算。</w:t>
      </w:r>
    </w:p>
    <w:p>
      <w:pPr>
        <w:rPr>
          <w:rFonts w:ascii="Times New Roman" w:hAnsi="Times New Roman"/>
          <w:szCs w:val="21"/>
        </w:rPr>
      </w:pPr>
    </w:p>
    <w:p>
      <w:pPr>
        <w:rPr>
          <w:rFonts w:ascii="Times New Roman" w:hAnsi="Times New Roman"/>
          <w:szCs w:val="21"/>
        </w:rPr>
      </w:pPr>
      <w:r>
        <w:rPr>
          <w:rFonts w:ascii="Times New Roman" w:hAnsi="Times New Roman"/>
          <w:szCs w:val="21"/>
        </w:rPr>
        <w:t>3.1.2  对11个实验室的平均值进行格拉布斯检验，结果见表2</w:t>
      </w:r>
    </w:p>
    <w:tbl>
      <w:tblPr>
        <w:tblStyle w:val="32"/>
        <w:tblW w:w="8280" w:type="dxa"/>
        <w:tblInd w:w="0" w:type="dxa"/>
        <w:tblLayout w:type="autofit"/>
        <w:tblCellMar>
          <w:top w:w="0" w:type="dxa"/>
          <w:left w:w="0" w:type="dxa"/>
          <w:bottom w:w="0" w:type="dxa"/>
          <w:right w:w="0" w:type="dxa"/>
        </w:tblCellMar>
      </w:tblPr>
      <w:tblGrid>
        <w:gridCol w:w="2461"/>
        <w:gridCol w:w="1164"/>
        <w:gridCol w:w="1164"/>
        <w:gridCol w:w="1164"/>
        <w:gridCol w:w="1164"/>
        <w:gridCol w:w="1163"/>
      </w:tblGrid>
      <w:tr>
        <w:tblPrEx>
          <w:tblCellMar>
            <w:top w:w="0" w:type="dxa"/>
            <w:left w:w="0" w:type="dxa"/>
            <w:bottom w:w="0" w:type="dxa"/>
            <w:right w:w="0" w:type="dxa"/>
          </w:tblCellMar>
        </w:tblPrEx>
        <w:trPr>
          <w:trHeight w:val="285" w:hRule="atLeast"/>
        </w:trPr>
        <w:tc>
          <w:tcPr>
            <w:tcW w:w="8280" w:type="dxa"/>
            <w:gridSpan w:val="6"/>
            <w:tcBorders>
              <w:top w:val="nil"/>
              <w:left w:val="nil"/>
              <w:bottom w:val="nil"/>
              <w:right w:val="nil"/>
            </w:tcBorders>
            <w:noWrap/>
            <w:tcMar>
              <w:top w:w="15" w:type="dxa"/>
              <w:left w:w="15" w:type="dxa"/>
              <w:right w:w="15" w:type="dxa"/>
            </w:tcMar>
            <w:vAlign w:val="center"/>
          </w:tcPr>
          <w:p>
            <w:pPr>
              <w:jc w:val="center"/>
              <w:textAlignment w:val="center"/>
              <w:rPr>
                <w:rFonts w:ascii="Times New Roman" w:hAnsi="Times New Roman"/>
                <w:color w:val="000000"/>
                <w:szCs w:val="21"/>
              </w:rPr>
            </w:pPr>
            <w:r>
              <w:rPr>
                <w:rFonts w:ascii="Times New Roman" w:hAnsi="Times New Roman"/>
                <w:color w:val="000000"/>
                <w:kern w:val="0"/>
                <w:szCs w:val="21"/>
              </w:rPr>
              <w:t>表2 对各家平均值进行格拉布斯检验</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统计量</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水平1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水平2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水平3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水平4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水平5</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平值的平均值</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5.96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7.73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10.32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15.64</w:t>
            </w:r>
          </w:p>
        </w:tc>
      </w:tr>
      <w:tr>
        <w:tblPrEx>
          <w:tblCellMar>
            <w:top w:w="0" w:type="dxa"/>
            <w:left w:w="0" w:type="dxa"/>
            <w:bottom w:w="0" w:type="dxa"/>
            <w:right w:w="0"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平值的标准差</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0.053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0.075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0.069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0.122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0.13</w:t>
            </w:r>
          </w:p>
        </w:tc>
      </w:tr>
      <w:tr>
        <w:tblPrEx>
          <w:tblCellMar>
            <w:top w:w="0" w:type="dxa"/>
            <w:left w:w="0" w:type="dxa"/>
            <w:bottom w:w="0" w:type="dxa"/>
            <w:right w:w="0"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最大均值</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6.05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7.83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10.46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13.39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15.91</w:t>
            </w:r>
          </w:p>
        </w:tc>
      </w:tr>
      <w:tr>
        <w:tblPrEx>
          <w:tblCellMar>
            <w:top w:w="0" w:type="dxa"/>
            <w:left w:w="0" w:type="dxa"/>
            <w:bottom w:w="0" w:type="dxa"/>
            <w:right w:w="0"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最小均值</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5.86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7.59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10.20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12.99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15.39</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Gmax</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1.643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1.305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1.817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1.558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2.118</w:t>
            </w: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gmin</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1.994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1.886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1.804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1.721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1.893</w:t>
            </w:r>
          </w:p>
        </w:tc>
      </w:tr>
      <w:tr>
        <w:tblPrEx>
          <w:tblCellMar>
            <w:top w:w="0" w:type="dxa"/>
            <w:left w:w="0" w:type="dxa"/>
            <w:bottom w:w="0" w:type="dxa"/>
            <w:right w:w="0" w:type="dxa"/>
          </w:tblCellMar>
        </w:tblPrEx>
        <w:trPr>
          <w:trHeight w:val="285" w:hRule="atLeast"/>
        </w:trPr>
        <w:tc>
          <w:tcPr>
            <w:tcW w:w="0" w:type="auto"/>
            <w:gridSpan w:val="6"/>
            <w:tcBorders>
              <w:top w:val="nil"/>
              <w:left w:val="nil"/>
              <w:bottom w:val="nil"/>
              <w:right w:val="nil"/>
            </w:tcBorders>
            <w:noWrap/>
            <w:tcMar>
              <w:top w:w="15" w:type="dxa"/>
              <w:left w:w="15" w:type="dxa"/>
              <w:right w:w="15" w:type="dxa"/>
            </w:tcMar>
            <w:vAlign w:val="center"/>
          </w:tcPr>
          <w:p>
            <w:pPr>
              <w:jc w:val="left"/>
              <w:textAlignment w:val="center"/>
              <w:rPr>
                <w:rFonts w:ascii="Times New Roman" w:hAnsi="Times New Roman"/>
                <w:color w:val="000000"/>
                <w:szCs w:val="21"/>
              </w:rPr>
            </w:pPr>
            <w:r>
              <w:rPr>
                <w:rFonts w:ascii="Times New Roman" w:hAnsi="Times New Roman"/>
                <w:color w:val="000000"/>
                <w:kern w:val="0"/>
                <w:szCs w:val="21"/>
              </w:rPr>
              <w:t>p=11 时临界值为2.564，数据统计发现，均符合要求</w:t>
            </w:r>
          </w:p>
        </w:tc>
      </w:tr>
    </w:tbl>
    <w:p>
      <w:pPr>
        <w:jc w:val="left"/>
        <w:rPr>
          <w:rFonts w:ascii="Times New Roman" w:hAnsi="Times New Roman"/>
          <w:szCs w:val="21"/>
        </w:rPr>
      </w:pPr>
    </w:p>
    <w:p>
      <w:pPr>
        <w:jc w:val="left"/>
        <w:rPr>
          <w:rFonts w:ascii="Times New Roman" w:hAnsi="Times New Roman"/>
          <w:szCs w:val="21"/>
        </w:rPr>
      </w:pPr>
      <w:r>
        <w:rPr>
          <w:rFonts w:ascii="Times New Roman" w:hAnsi="Times New Roman"/>
          <w:szCs w:val="21"/>
        </w:rPr>
        <w:t>3.2 柯克伦检验</w:t>
      </w:r>
    </w:p>
    <w:tbl>
      <w:tblPr>
        <w:tblStyle w:val="32"/>
        <w:tblW w:w="8670" w:type="dxa"/>
        <w:tblInd w:w="15" w:type="dxa"/>
        <w:tblLayout w:type="autofit"/>
        <w:tblCellMar>
          <w:top w:w="0" w:type="dxa"/>
          <w:left w:w="0" w:type="dxa"/>
          <w:bottom w:w="0" w:type="dxa"/>
          <w:right w:w="0" w:type="dxa"/>
        </w:tblCellMar>
      </w:tblPr>
      <w:tblGrid>
        <w:gridCol w:w="3801"/>
        <w:gridCol w:w="872"/>
        <w:gridCol w:w="999"/>
        <w:gridCol w:w="999"/>
        <w:gridCol w:w="999"/>
        <w:gridCol w:w="1000"/>
      </w:tblGrid>
      <w:tr>
        <w:tblPrEx>
          <w:tblCellMar>
            <w:top w:w="0" w:type="dxa"/>
            <w:left w:w="0" w:type="dxa"/>
            <w:bottom w:w="0" w:type="dxa"/>
            <w:right w:w="0" w:type="dxa"/>
          </w:tblCellMar>
        </w:tblPrEx>
        <w:trPr>
          <w:trHeight w:val="285" w:hRule="atLeast"/>
        </w:trPr>
        <w:tc>
          <w:tcPr>
            <w:tcW w:w="8670" w:type="dxa"/>
            <w:gridSpan w:val="6"/>
            <w:tcBorders>
              <w:top w:val="nil"/>
              <w:left w:val="nil"/>
              <w:bottom w:val="nil"/>
              <w:right w:val="nil"/>
            </w:tcBorders>
            <w:noWrap/>
            <w:tcMar>
              <w:top w:w="15" w:type="dxa"/>
              <w:left w:w="15" w:type="dxa"/>
              <w:right w:w="15" w:type="dxa"/>
            </w:tcMar>
            <w:vAlign w:val="center"/>
          </w:tcPr>
          <w:p>
            <w:pPr>
              <w:jc w:val="center"/>
              <w:textAlignment w:val="center"/>
              <w:rPr>
                <w:rFonts w:ascii="Times New Roman" w:hAnsi="Times New Roman"/>
                <w:color w:val="000000"/>
                <w:szCs w:val="21"/>
              </w:rPr>
            </w:pPr>
            <w:r>
              <w:rPr>
                <w:rFonts w:ascii="Times New Roman" w:hAnsi="Times New Roman"/>
                <w:color w:val="000000"/>
                <w:kern w:val="0"/>
                <w:szCs w:val="21"/>
              </w:rPr>
              <w:t>表3柯克伦检验</w:t>
            </w:r>
          </w:p>
        </w:tc>
      </w:tr>
      <w:tr>
        <w:tblPrEx>
          <w:tblCellMar>
            <w:top w:w="0" w:type="dxa"/>
            <w:left w:w="0" w:type="dxa"/>
            <w:bottom w:w="0" w:type="dxa"/>
            <w:right w:w="0" w:type="dxa"/>
          </w:tblCellMar>
        </w:tblPrEx>
        <w:trPr>
          <w:trHeight w:val="440" w:hRule="atLeast"/>
        </w:trPr>
        <w:tc>
          <w:tcPr>
            <w:tcW w:w="26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实验室i</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水平1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水2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水平3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水平4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水平5</w:t>
            </w:r>
          </w:p>
        </w:tc>
      </w:tr>
      <w:tr>
        <w:tblPrEx>
          <w:tblCellMar>
            <w:top w:w="0" w:type="dxa"/>
            <w:left w:w="0" w:type="dxa"/>
            <w:bottom w:w="0" w:type="dxa"/>
            <w:right w:w="0" w:type="dxa"/>
          </w:tblCellMar>
        </w:tblPrEx>
        <w:trPr>
          <w:trHeight w:val="420" w:hRule="atLeast"/>
        </w:trPr>
        <w:tc>
          <w:tcPr>
            <w:tcW w:w="26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Smax值</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0.00744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0.014161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0.017689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0.017424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0.014161</w:t>
            </w:r>
          </w:p>
        </w:tc>
      </w:tr>
      <w:tr>
        <w:tblPrEx>
          <w:tblCellMar>
            <w:top w:w="0" w:type="dxa"/>
            <w:left w:w="0" w:type="dxa"/>
            <w:bottom w:w="0" w:type="dxa"/>
            <w:right w:w="0" w:type="dxa"/>
          </w:tblCellMar>
        </w:tblPrEx>
        <w:trPr>
          <w:trHeight w:val="380" w:hRule="atLeast"/>
        </w:trPr>
        <w:tc>
          <w:tcPr>
            <w:tcW w:w="26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FF0000"/>
                <w:sz w:val="18"/>
                <w:szCs w:val="18"/>
              </w:rPr>
            </w:pPr>
            <w:r>
              <w:rPr>
                <w:rFonts w:ascii="Times New Roman" w:hAnsi="Times New Roman"/>
                <w:bCs/>
                <w:sz w:val="18"/>
                <w:szCs w:val="18"/>
              </w:rPr>
              <w:object>
                <v:shape id="_x0000_i1029" o:spt="75" type="#_x0000_t75" style="height:38.35pt;width:30.85pt;" o:ole="t" filled="f" o:preferrelative="t" stroked="f" coordsize="21600,21600">
                  <v:path/>
                  <v:fill on="f" focussize="0,0"/>
                  <v:stroke on="f" joinstyle="miter"/>
                  <v:imagedata r:id="rId11" o:title=""/>
                  <o:lock v:ext="edit" aspectratio="t"/>
                  <w10:wrap type="none"/>
                  <w10:anchorlock/>
                </v:shape>
                <o:OLEObject Type="Embed" ProgID="Equation.3" ShapeID="_x0000_i1029" DrawAspect="Content" ObjectID="_1468075729" r:id="rId13">
                  <o:LockedField>false</o:LockedField>
                </o:OLEObject>
              </w:objec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0.0289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0.0417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0.0437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0.0628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0.0417</w:t>
            </w:r>
          </w:p>
        </w:tc>
      </w:tr>
      <w:tr>
        <w:tblPrEx>
          <w:tblCellMar>
            <w:top w:w="0" w:type="dxa"/>
            <w:left w:w="0" w:type="dxa"/>
            <w:bottom w:w="0" w:type="dxa"/>
            <w:right w:w="0" w:type="dxa"/>
          </w:tblCellMar>
        </w:tblPrEx>
        <w:trPr>
          <w:trHeight w:val="400" w:hRule="atLeast"/>
        </w:trPr>
        <w:tc>
          <w:tcPr>
            <w:tcW w:w="26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themeColor="text1"/>
                <w:sz w:val="18"/>
                <w:szCs w:val="18"/>
              </w:rPr>
            </w:pPr>
            <w:r>
              <w:rPr>
                <w:rFonts w:ascii="Times New Roman" w:hAnsi="Times New Roman"/>
                <w:color w:val="000000" w:themeColor="text1"/>
                <w:kern w:val="0"/>
                <w:sz w:val="18"/>
                <w:szCs w:val="18"/>
              </w:rPr>
              <w:t>C</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0.2108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0.1652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0.1288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0.1529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0.1652 </w:t>
            </w:r>
          </w:p>
        </w:tc>
      </w:tr>
      <w:tr>
        <w:tblPrEx>
          <w:tblCellMar>
            <w:top w:w="0" w:type="dxa"/>
            <w:left w:w="0" w:type="dxa"/>
            <w:bottom w:w="0" w:type="dxa"/>
            <w:right w:w="0" w:type="dxa"/>
          </w:tblCellMar>
        </w:tblPrEx>
        <w:trPr>
          <w:trHeight w:val="520" w:hRule="atLeast"/>
        </w:trPr>
        <w:tc>
          <w:tcPr>
            <w:tcW w:w="26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离群值（Y/N）</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N</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N</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N</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N</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N</w:t>
            </w:r>
          </w:p>
        </w:tc>
      </w:tr>
      <w:tr>
        <w:tblPrEx>
          <w:tblCellMar>
            <w:top w:w="0" w:type="dxa"/>
            <w:left w:w="0" w:type="dxa"/>
            <w:bottom w:w="0" w:type="dxa"/>
            <w:right w:w="0" w:type="dxa"/>
          </w:tblCellMar>
        </w:tblPrEx>
        <w:trPr>
          <w:trHeight w:val="480" w:hRule="atLeast"/>
        </w:trPr>
        <w:tc>
          <w:tcPr>
            <w:tcW w:w="26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歧离值 (Y/N)</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N</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N</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N</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N</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N</w:t>
            </w:r>
          </w:p>
        </w:tc>
      </w:tr>
    </w:tbl>
    <w:p>
      <w:pPr>
        <w:jc w:val="left"/>
        <w:rPr>
          <w:rFonts w:ascii="宋体" w:hAnsi="宋体"/>
          <w:szCs w:val="21"/>
        </w:rPr>
      </w:pPr>
      <w:r>
        <w:rPr>
          <w:rFonts w:ascii="宋体" w:hAnsi="宋体"/>
          <w:szCs w:val="21"/>
        </w:rPr>
        <w:t>查表，n=6,P=11,1%临界值为0.332,5%临界值为0.281，P=10,1%临界值为0.357,5%临界值为0.303，数据均符合要求。</w:t>
      </w:r>
    </w:p>
    <w:p>
      <w:pPr>
        <w:jc w:val="left"/>
        <w:rPr>
          <w:szCs w:val="24"/>
        </w:rPr>
      </w:pPr>
    </w:p>
    <w:p>
      <w:pPr>
        <w:jc w:val="left"/>
        <w:rPr>
          <w:rFonts w:ascii="Times New Roman" w:hAnsi="Times New Roman"/>
          <w:color w:val="000000"/>
          <w:kern w:val="0"/>
          <w:szCs w:val="21"/>
        </w:rPr>
      </w:pPr>
      <w:r>
        <w:rPr>
          <w:rFonts w:ascii="Times New Roman" w:hAnsi="Times New Roman"/>
          <w:szCs w:val="21"/>
        </w:rPr>
        <w:t>3.3</w:t>
      </w:r>
      <w:r>
        <w:rPr>
          <w:rFonts w:ascii="Times New Roman" w:hAnsi="Times New Roman"/>
          <w:color w:val="000000"/>
          <w:kern w:val="0"/>
          <w:szCs w:val="21"/>
        </w:rPr>
        <w:t xml:space="preserve">  S</w:t>
      </w:r>
      <w:r>
        <w:rPr>
          <w:rFonts w:ascii="Times New Roman" w:hAnsi="Times New Roman"/>
          <w:color w:val="000000"/>
          <w:kern w:val="0"/>
          <w:szCs w:val="21"/>
          <w:vertAlign w:val="subscript"/>
        </w:rPr>
        <w:t>r</w:t>
      </w:r>
      <w:r>
        <w:rPr>
          <w:rFonts w:ascii="Times New Roman" w:hAnsi="Times New Roman"/>
          <w:color w:val="000000"/>
          <w:kern w:val="0"/>
          <w:szCs w:val="21"/>
        </w:rPr>
        <w:t>、S</w:t>
      </w:r>
      <w:r>
        <w:rPr>
          <w:rStyle w:val="85"/>
          <w:rFonts w:ascii="Times New Roman" w:hAnsi="Times New Roman"/>
          <w:szCs w:val="21"/>
        </w:rPr>
        <w:t>R、</w:t>
      </w:r>
      <w:r>
        <w:rPr>
          <w:rFonts w:ascii="Times New Roman" w:hAnsi="Times New Roman"/>
          <w:color w:val="000000"/>
          <w:kern w:val="0"/>
          <w:szCs w:val="21"/>
        </w:rPr>
        <w:t>R、r的计算</w:t>
      </w:r>
    </w:p>
    <w:p>
      <w:pPr>
        <w:jc w:val="left"/>
        <w:rPr>
          <w:rFonts w:ascii="Times New Roman" w:hAnsi="Times New Roman"/>
          <w:szCs w:val="21"/>
        </w:rPr>
      </w:pPr>
    </w:p>
    <w:tbl>
      <w:tblPr>
        <w:tblStyle w:val="32"/>
        <w:tblW w:w="9214" w:type="dxa"/>
        <w:tblInd w:w="0" w:type="dxa"/>
        <w:tblLayout w:type="autofit"/>
        <w:tblCellMar>
          <w:top w:w="0" w:type="dxa"/>
          <w:left w:w="0" w:type="dxa"/>
          <w:bottom w:w="0" w:type="dxa"/>
          <w:right w:w="0" w:type="dxa"/>
        </w:tblCellMar>
      </w:tblPr>
      <w:tblGrid>
        <w:gridCol w:w="1206"/>
        <w:gridCol w:w="1301"/>
        <w:gridCol w:w="1301"/>
        <w:gridCol w:w="1492"/>
        <w:gridCol w:w="1492"/>
        <w:gridCol w:w="2422"/>
      </w:tblGrid>
      <w:tr>
        <w:tblPrEx>
          <w:tblCellMar>
            <w:top w:w="0" w:type="dxa"/>
            <w:left w:w="0" w:type="dxa"/>
            <w:bottom w:w="0" w:type="dxa"/>
            <w:right w:w="0" w:type="dxa"/>
          </w:tblCellMar>
        </w:tblPrEx>
        <w:trPr>
          <w:trHeight w:val="285" w:hRule="atLeast"/>
        </w:trPr>
        <w:tc>
          <w:tcPr>
            <w:tcW w:w="9214" w:type="dxa"/>
            <w:gridSpan w:val="6"/>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Times New Roman" w:hAnsi="Times New Roman"/>
                <w:color w:val="000000"/>
                <w:szCs w:val="21"/>
              </w:rPr>
            </w:pPr>
            <w:r>
              <w:rPr>
                <w:rFonts w:ascii="Times New Roman" w:hAnsi="Times New Roman"/>
                <w:color w:val="000000"/>
                <w:kern w:val="0"/>
                <w:szCs w:val="21"/>
              </w:rPr>
              <w:t>重复性和再现性</w:t>
            </w:r>
          </w:p>
        </w:tc>
      </w:tr>
      <w:tr>
        <w:tblPrEx>
          <w:tblCellMar>
            <w:top w:w="0" w:type="dxa"/>
            <w:left w:w="0" w:type="dxa"/>
            <w:bottom w:w="0" w:type="dxa"/>
            <w:right w:w="0"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ascii="Times New Roman" w:hAnsi="Times New Roman"/>
                <w:color w:val="000000"/>
                <w:sz w:val="18"/>
                <w:szCs w:val="18"/>
              </w:rPr>
            </w:pP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水平1</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水平2</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水平3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水平4</w:t>
            </w:r>
          </w:p>
        </w:tc>
        <w:tc>
          <w:tcPr>
            <w:tcW w:w="11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水平5</w:t>
            </w:r>
          </w:p>
        </w:tc>
      </w:tr>
      <w:tr>
        <w:tblPrEx>
          <w:tblCellMar>
            <w:top w:w="0" w:type="dxa"/>
            <w:left w:w="0" w:type="dxa"/>
            <w:bottom w:w="0" w:type="dxa"/>
            <w:right w:w="0" w:type="dxa"/>
          </w:tblCellMar>
        </w:tblPrEx>
        <w:trPr>
          <w:trHeight w:val="360" w:hRule="atLeast"/>
        </w:trPr>
        <w:tc>
          <w:tcPr>
            <w:tcW w:w="0" w:type="auto"/>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平均值</w:t>
            </w:r>
          </w:p>
        </w:tc>
        <w:tc>
          <w:tcPr>
            <w:tcW w:w="0" w:type="auto"/>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5.640 </w:t>
            </w:r>
          </w:p>
        </w:tc>
        <w:tc>
          <w:tcPr>
            <w:tcW w:w="0" w:type="auto"/>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7.732 </w:t>
            </w:r>
          </w:p>
        </w:tc>
        <w:tc>
          <w:tcPr>
            <w:tcW w:w="0" w:type="auto"/>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10.324 </w:t>
            </w:r>
          </w:p>
        </w:tc>
        <w:tc>
          <w:tcPr>
            <w:tcW w:w="0" w:type="auto"/>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13.200 </w:t>
            </w:r>
          </w:p>
        </w:tc>
        <w:tc>
          <w:tcPr>
            <w:tcW w:w="114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15.635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655.96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850.47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1135.10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1451.69</w:t>
            </w:r>
          </w:p>
        </w:tc>
        <w:tc>
          <w:tcPr>
            <w:tcW w:w="1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1687.30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3911.96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6576.03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11713.65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19159.80 </w:t>
            </w:r>
          </w:p>
        </w:tc>
        <w:tc>
          <w:tcPr>
            <w:tcW w:w="1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26362.38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100</w:t>
            </w:r>
          </w:p>
        </w:tc>
        <w:tc>
          <w:tcPr>
            <w:tcW w:w="1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108</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1124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1124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1124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1124</w:t>
            </w:r>
          </w:p>
        </w:tc>
        <w:tc>
          <w:tcPr>
            <w:tcW w:w="1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1084</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0.26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0.25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0.39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0.56 </w:t>
            </w:r>
          </w:p>
        </w:tc>
        <w:tc>
          <w:tcPr>
            <w:tcW w:w="1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0.63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S</w:t>
            </w:r>
            <w:r>
              <w:rPr>
                <w:rFonts w:ascii="Times New Roman" w:hAnsi="Times New Roman"/>
                <w:color w:val="000000"/>
                <w:kern w:val="0"/>
                <w:sz w:val="18"/>
                <w:szCs w:val="18"/>
                <w:vertAlign w:val="subscript"/>
              </w:rPr>
              <w:t>r</w:t>
            </w:r>
            <w:r>
              <w:rPr>
                <w:rStyle w:val="86"/>
                <w:rFonts w:ascii="Times New Roman" w:hAnsi="Times New Roman"/>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0.0026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0.0038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0.0040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0.0057 </w:t>
            </w:r>
          </w:p>
        </w:tc>
        <w:tc>
          <w:tcPr>
            <w:tcW w:w="1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0.0065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S</w:t>
            </w:r>
            <w:r>
              <w:rPr>
                <w:rStyle w:val="85"/>
                <w:rFonts w:ascii="Times New Roman" w:hAnsi="Times New Roman"/>
                <w:sz w:val="18"/>
                <w:szCs w:val="18"/>
              </w:rPr>
              <w:t>L</w:t>
            </w:r>
            <w:r>
              <w:rPr>
                <w:rStyle w:val="86"/>
                <w:rFonts w:ascii="Times New Roman" w:hAnsi="Times New Roman"/>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0.0023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0.0050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0.0042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0.014 </w:t>
            </w:r>
          </w:p>
        </w:tc>
        <w:tc>
          <w:tcPr>
            <w:tcW w:w="1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0.015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S</w:t>
            </w:r>
            <w:r>
              <w:rPr>
                <w:rStyle w:val="85"/>
                <w:rFonts w:ascii="Times New Roman" w:hAnsi="Times New Roman"/>
                <w:sz w:val="18"/>
                <w:szCs w:val="18"/>
              </w:rPr>
              <w:t>R</w:t>
            </w:r>
            <w:r>
              <w:rPr>
                <w:rStyle w:val="86"/>
                <w:rFonts w:ascii="Times New Roman" w:hAnsi="Times New Roman"/>
                <w:sz w:val="18"/>
                <w:szCs w:val="18"/>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0.0050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0.0088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0.0082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0.020 </w:t>
            </w:r>
          </w:p>
        </w:tc>
        <w:tc>
          <w:tcPr>
            <w:tcW w:w="1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0.022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S</w:t>
            </w:r>
            <w:r>
              <w:rPr>
                <w:rFonts w:ascii="Times New Roman" w:hAnsi="Times New Roman"/>
                <w:color w:val="000000"/>
                <w:kern w:val="0"/>
                <w:sz w:val="18"/>
                <w:szCs w:val="18"/>
                <w:vertAlign w:val="subscript"/>
              </w:rPr>
              <w:t>r</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0.051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0.062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0.063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0.075 </w:t>
            </w:r>
          </w:p>
        </w:tc>
        <w:tc>
          <w:tcPr>
            <w:tcW w:w="1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0.080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S</w:t>
            </w:r>
            <w:r>
              <w:rPr>
                <w:rStyle w:val="85"/>
                <w:rFonts w:ascii="Times New Roman" w:hAnsi="Times New Roman"/>
                <w:sz w:val="18"/>
                <w:szCs w:val="18"/>
              </w:rPr>
              <w:t>R</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0.070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0.094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0.090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0.14 </w:t>
            </w:r>
          </w:p>
        </w:tc>
        <w:tc>
          <w:tcPr>
            <w:tcW w:w="1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0.15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r</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0.14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0.17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0.18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0.21 </w:t>
            </w:r>
          </w:p>
        </w:tc>
        <w:tc>
          <w:tcPr>
            <w:tcW w:w="1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0.23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R</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0.20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0.26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0.25 </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0.40 </w:t>
            </w:r>
          </w:p>
        </w:tc>
        <w:tc>
          <w:tcPr>
            <w:tcW w:w="11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Times New Roman" w:hAnsi="Times New Roman"/>
                <w:color w:val="000000"/>
                <w:sz w:val="18"/>
                <w:szCs w:val="18"/>
              </w:rPr>
            </w:pPr>
            <w:r>
              <w:rPr>
                <w:rFonts w:ascii="Times New Roman" w:hAnsi="Times New Roman"/>
                <w:color w:val="000000"/>
                <w:kern w:val="0"/>
                <w:sz w:val="18"/>
                <w:szCs w:val="18"/>
              </w:rPr>
              <w:t xml:space="preserve">0.41 </w:t>
            </w:r>
          </w:p>
        </w:tc>
      </w:tr>
    </w:tbl>
    <w:p>
      <w:pPr>
        <w:ind w:firstLine="420" w:firstLineChars="200"/>
        <w:rPr>
          <w:rFonts w:ascii="Times New Roman" w:hAnsi="Times New Roman"/>
          <w:color w:val="000000"/>
          <w:kern w:val="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A066B"/>
    <w:multiLevelType w:val="multilevel"/>
    <w:tmpl w:val="114A066B"/>
    <w:lvl w:ilvl="0" w:tentative="0">
      <w:start w:val="2"/>
      <w:numFmt w:val="decimal"/>
      <w:pStyle w:val="73"/>
      <w:lvlText w:val="%1"/>
      <w:lvlJc w:val="left"/>
      <w:pPr>
        <w:tabs>
          <w:tab w:val="left" w:pos="420"/>
        </w:tabs>
        <w:ind w:left="420" w:hanging="420"/>
      </w:pPr>
      <w:rPr>
        <w:rFonts w:hint="default"/>
      </w:rPr>
    </w:lvl>
    <w:lvl w:ilvl="1" w:tentative="0">
      <w:start w:val="1"/>
      <w:numFmt w:val="lowerLetter"/>
      <w:pStyle w:val="3"/>
      <w:lvlText w:val="%2)"/>
      <w:lvlJc w:val="left"/>
      <w:pPr>
        <w:tabs>
          <w:tab w:val="left" w:pos="840"/>
        </w:tabs>
        <w:ind w:left="840" w:hanging="420"/>
      </w:pPr>
    </w:lvl>
    <w:lvl w:ilvl="2" w:tentative="0">
      <w:start w:val="1"/>
      <w:numFmt w:val="lowerRoman"/>
      <w:pStyle w:val="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4081F3"/>
    <w:multiLevelType w:val="singleLevel"/>
    <w:tmpl w:val="1D4081F3"/>
    <w:lvl w:ilvl="0" w:tentative="0">
      <w:start w:val="1"/>
      <w:numFmt w:val="chineseCounting"/>
      <w:suff w:val="nothing"/>
      <w:lvlText w:val="%1、"/>
      <w:lvlJc w:val="left"/>
      <w:rPr>
        <w:rFonts w:hint="eastAsia"/>
      </w:rPr>
    </w:lvl>
  </w:abstractNum>
  <w:abstractNum w:abstractNumId="2">
    <w:nsid w:val="4CCB5804"/>
    <w:multiLevelType w:val="multilevel"/>
    <w:tmpl w:val="4CCB5804"/>
    <w:lvl w:ilvl="0" w:tentative="0">
      <w:start w:val="0"/>
      <w:numFmt w:val="decimal"/>
      <w:lvlText w:val="%1"/>
      <w:lvlJc w:val="left"/>
      <w:pPr>
        <w:ind w:left="480" w:hanging="480"/>
      </w:pPr>
      <w:rPr>
        <w:rFonts w:hint="default"/>
      </w:rPr>
    </w:lvl>
    <w:lvl w:ilvl="1" w:tentative="0">
      <w:start w:val="4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6CEA2025"/>
    <w:multiLevelType w:val="multilevel"/>
    <w:tmpl w:val="6CEA2025"/>
    <w:lvl w:ilvl="0" w:tentative="0">
      <w:start w:val="1"/>
      <w:numFmt w:val="none"/>
      <w:pStyle w:val="70"/>
      <w:suff w:val="nothing"/>
      <w:lvlText w:val="%1"/>
      <w:lvlJc w:val="left"/>
      <w:rPr>
        <w:rFonts w:hint="default" w:ascii="Times New Roman" w:hAnsi="Times New Roman" w:cs="Times New Roman"/>
        <w:b/>
        <w:bCs/>
        <w:i w:val="0"/>
        <w:iCs w:val="0"/>
        <w:sz w:val="21"/>
        <w:szCs w:val="21"/>
      </w:rPr>
    </w:lvl>
    <w:lvl w:ilvl="1" w:tentative="0">
      <w:start w:val="1"/>
      <w:numFmt w:val="decimal"/>
      <w:pStyle w:val="68"/>
      <w:suff w:val="nothing"/>
      <w:lvlText w:val="%1%2　"/>
      <w:lvlJc w:val="left"/>
      <w:rPr>
        <w:rFonts w:hint="eastAsia" w:ascii="黑体" w:hAnsi="Times New Roman" w:eastAsia="黑体"/>
        <w:b w:val="0"/>
        <w:bCs w:val="0"/>
        <w:i w:val="0"/>
        <w:iCs w:val="0"/>
        <w:sz w:val="21"/>
        <w:szCs w:val="21"/>
      </w:rPr>
    </w:lvl>
    <w:lvl w:ilvl="2" w:tentative="0">
      <w:start w:val="1"/>
      <w:numFmt w:val="decimal"/>
      <w:pStyle w:val="67"/>
      <w:suff w:val="nothing"/>
      <w:lvlText w:val="%1%2.%3　"/>
      <w:lvlJc w:val="left"/>
      <w:rPr>
        <w:rFonts w:hint="eastAsia" w:ascii="黑体" w:hAnsi="Times New Roman" w:eastAsia="黑体"/>
        <w:b w:val="0"/>
        <w:bCs w:val="0"/>
        <w:i w:val="0"/>
        <w:iCs w:val="0"/>
        <w:sz w:val="21"/>
        <w:szCs w:val="21"/>
      </w:rPr>
    </w:lvl>
    <w:lvl w:ilvl="3" w:tentative="0">
      <w:start w:val="1"/>
      <w:numFmt w:val="decimal"/>
      <w:pStyle w:val="5"/>
      <w:suff w:val="nothing"/>
      <w:lvlText w:val="%1%2.%3.%4　"/>
      <w:lvlJc w:val="left"/>
      <w:rPr>
        <w:rFonts w:hint="eastAsia" w:ascii="黑体" w:hAnsi="Times New Roman" w:eastAsia="黑体"/>
        <w:b w:val="0"/>
        <w:bCs w:val="0"/>
        <w:i w:val="0"/>
        <w:iCs w:val="0"/>
        <w:sz w:val="21"/>
        <w:szCs w:val="21"/>
      </w:rPr>
    </w:lvl>
    <w:lvl w:ilvl="4" w:tentative="0">
      <w:start w:val="1"/>
      <w:numFmt w:val="decimal"/>
      <w:pStyle w:val="65"/>
      <w:suff w:val="nothing"/>
      <w:lvlText w:val="%1%2.%3.%4.%5　"/>
      <w:lvlJc w:val="left"/>
      <w:rPr>
        <w:rFonts w:hint="eastAsia" w:ascii="黑体" w:hAnsi="Times New Roman" w:eastAsia="黑体"/>
        <w:b w:val="0"/>
        <w:bCs w:val="0"/>
        <w:i w:val="0"/>
        <w:iCs w:val="0"/>
        <w:sz w:val="21"/>
        <w:szCs w:val="21"/>
      </w:rPr>
    </w:lvl>
    <w:lvl w:ilvl="5" w:tentative="0">
      <w:start w:val="1"/>
      <w:numFmt w:val="decimal"/>
      <w:pStyle w:val="64"/>
      <w:suff w:val="nothing"/>
      <w:lvlText w:val="%1%2.%3.%4.%5.%6　"/>
      <w:lvlJc w:val="left"/>
      <w:rPr>
        <w:rFonts w:hint="eastAsia" w:ascii="黑体" w:hAnsi="Times New Roman" w:eastAsia="黑体"/>
        <w:b w:val="0"/>
        <w:bCs w:val="0"/>
        <w:i w:val="0"/>
        <w:iCs w:val="0"/>
        <w:sz w:val="21"/>
        <w:szCs w:val="21"/>
      </w:rPr>
    </w:lvl>
    <w:lvl w:ilvl="6" w:tentative="0">
      <w:start w:val="1"/>
      <w:numFmt w:val="decimal"/>
      <w:pStyle w:val="76"/>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ascii="Times New Roman" w:hAnsi="Times New Roman" w:cs="Times New Roman"/>
      </w:rPr>
    </w:lvl>
    <w:lvl w:ilvl="8" w:tentative="0">
      <w:start w:val="1"/>
      <w:numFmt w:val="decimal"/>
      <w:lvlText w:val="%1.%2.%3.%4.%5.%6.%7.%8.%9"/>
      <w:lvlJc w:val="left"/>
      <w:pPr>
        <w:tabs>
          <w:tab w:val="left" w:pos="4777"/>
        </w:tabs>
        <w:ind w:left="4677" w:hanging="1700"/>
      </w:pPr>
      <w:rPr>
        <w:rFonts w:hint="eastAsia" w:ascii="Times New Roman" w:hAnsi="Times New Roman" w:cs="Times New Roman"/>
      </w:rPr>
    </w:lvl>
  </w:abstractNum>
  <w:abstractNum w:abstractNumId="4">
    <w:nsid w:val="76933334"/>
    <w:multiLevelType w:val="multilevel"/>
    <w:tmpl w:val="76933334"/>
    <w:lvl w:ilvl="0" w:tentative="0">
      <w:start w:val="1"/>
      <w:numFmt w:val="none"/>
      <w:pStyle w:val="8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7030114"/>
    <w:multiLevelType w:val="multilevel"/>
    <w:tmpl w:val="77030114"/>
    <w:lvl w:ilvl="0" w:tentative="0">
      <w:start w:val="0"/>
      <w:numFmt w:val="decimal"/>
      <w:lvlText w:val="%1"/>
      <w:lvlJc w:val="left"/>
      <w:pPr>
        <w:ind w:left="410" w:hanging="410"/>
      </w:pPr>
      <w:rPr>
        <w:rFonts w:hint="default"/>
      </w:rPr>
    </w:lvl>
    <w:lvl w:ilvl="1" w:tentative="0">
      <w:start w:val="660"/>
      <w:numFmt w:val="decimal"/>
      <w:lvlText w:val="%1.%2"/>
      <w:lvlJc w:val="left"/>
      <w:pPr>
        <w:ind w:left="410" w:hanging="41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6">
    <w:nsid w:val="7F0541D2"/>
    <w:multiLevelType w:val="multilevel"/>
    <w:tmpl w:val="7F0541D2"/>
    <w:lvl w:ilvl="0" w:tentative="0">
      <w:start w:val="11"/>
      <w:numFmt w:val="decimal"/>
      <w:pStyle w:val="78"/>
      <w:lvlText w:val="%1"/>
      <w:lvlJc w:val="left"/>
      <w:pPr>
        <w:tabs>
          <w:tab w:val="left" w:pos="630"/>
        </w:tabs>
        <w:ind w:left="630" w:hanging="630"/>
      </w:pPr>
      <w:rPr>
        <w:rFonts w:hint="eastAsia"/>
      </w:rPr>
    </w:lvl>
    <w:lvl w:ilvl="1" w:tentative="0">
      <w:start w:val="2"/>
      <w:numFmt w:val="decimal"/>
      <w:lvlText w:val="%1.%2"/>
      <w:lvlJc w:val="left"/>
      <w:pPr>
        <w:tabs>
          <w:tab w:val="left" w:pos="630"/>
        </w:tabs>
        <w:ind w:left="630" w:hanging="63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num w:numId="1">
    <w:abstractNumId w:val="0"/>
  </w:num>
  <w:num w:numId="2">
    <w:abstractNumId w:val="3"/>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B65E17"/>
    <w:rsid w:val="000031D7"/>
    <w:rsid w:val="000051E7"/>
    <w:rsid w:val="000052F3"/>
    <w:rsid w:val="00005342"/>
    <w:rsid w:val="00011CE2"/>
    <w:rsid w:val="0002425A"/>
    <w:rsid w:val="0003208D"/>
    <w:rsid w:val="000366EB"/>
    <w:rsid w:val="00036F5C"/>
    <w:rsid w:val="00045BD6"/>
    <w:rsid w:val="00045E48"/>
    <w:rsid w:val="00052085"/>
    <w:rsid w:val="00053E78"/>
    <w:rsid w:val="000561E4"/>
    <w:rsid w:val="0006088C"/>
    <w:rsid w:val="00060B45"/>
    <w:rsid w:val="00064F93"/>
    <w:rsid w:val="00067DA7"/>
    <w:rsid w:val="000829D3"/>
    <w:rsid w:val="00085075"/>
    <w:rsid w:val="00086A9B"/>
    <w:rsid w:val="00090F40"/>
    <w:rsid w:val="00097DF0"/>
    <w:rsid w:val="000A198E"/>
    <w:rsid w:val="000B12B4"/>
    <w:rsid w:val="000B2FCB"/>
    <w:rsid w:val="000C0618"/>
    <w:rsid w:val="000C0FA0"/>
    <w:rsid w:val="000C273D"/>
    <w:rsid w:val="000C2B73"/>
    <w:rsid w:val="000C3256"/>
    <w:rsid w:val="000C39A5"/>
    <w:rsid w:val="000C3A15"/>
    <w:rsid w:val="000C6400"/>
    <w:rsid w:val="000D0F3A"/>
    <w:rsid w:val="000D38C9"/>
    <w:rsid w:val="000D435C"/>
    <w:rsid w:val="000E4E5C"/>
    <w:rsid w:val="000E637D"/>
    <w:rsid w:val="000E769D"/>
    <w:rsid w:val="000F3B44"/>
    <w:rsid w:val="000F72F3"/>
    <w:rsid w:val="000F76C4"/>
    <w:rsid w:val="00101F90"/>
    <w:rsid w:val="001033AB"/>
    <w:rsid w:val="00104ED7"/>
    <w:rsid w:val="00112270"/>
    <w:rsid w:val="00112A47"/>
    <w:rsid w:val="00113519"/>
    <w:rsid w:val="001135D8"/>
    <w:rsid w:val="00113CC5"/>
    <w:rsid w:val="0011405E"/>
    <w:rsid w:val="001140DD"/>
    <w:rsid w:val="001178C5"/>
    <w:rsid w:val="00121B14"/>
    <w:rsid w:val="001222FF"/>
    <w:rsid w:val="001228F3"/>
    <w:rsid w:val="001254FB"/>
    <w:rsid w:val="001329D6"/>
    <w:rsid w:val="001340A9"/>
    <w:rsid w:val="00137E37"/>
    <w:rsid w:val="00142E78"/>
    <w:rsid w:val="00151DD2"/>
    <w:rsid w:val="0015387D"/>
    <w:rsid w:val="00154BA8"/>
    <w:rsid w:val="00160BD0"/>
    <w:rsid w:val="0016197A"/>
    <w:rsid w:val="00163F10"/>
    <w:rsid w:val="00166461"/>
    <w:rsid w:val="00173F0C"/>
    <w:rsid w:val="00175695"/>
    <w:rsid w:val="00180504"/>
    <w:rsid w:val="00182C79"/>
    <w:rsid w:val="00194B33"/>
    <w:rsid w:val="00196BBE"/>
    <w:rsid w:val="001A0166"/>
    <w:rsid w:val="001A4334"/>
    <w:rsid w:val="001A69BD"/>
    <w:rsid w:val="001B3E2A"/>
    <w:rsid w:val="001B7739"/>
    <w:rsid w:val="001B7742"/>
    <w:rsid w:val="001C041A"/>
    <w:rsid w:val="001C0B9B"/>
    <w:rsid w:val="001C3DD1"/>
    <w:rsid w:val="001C424D"/>
    <w:rsid w:val="001C5F93"/>
    <w:rsid w:val="001D2C1D"/>
    <w:rsid w:val="001D62B1"/>
    <w:rsid w:val="001E0985"/>
    <w:rsid w:val="001E0D7F"/>
    <w:rsid w:val="001E3DB1"/>
    <w:rsid w:val="001E73D9"/>
    <w:rsid w:val="001F493A"/>
    <w:rsid w:val="001F4AA3"/>
    <w:rsid w:val="0020447F"/>
    <w:rsid w:val="002051BE"/>
    <w:rsid w:val="00207218"/>
    <w:rsid w:val="00210616"/>
    <w:rsid w:val="002140B8"/>
    <w:rsid w:val="00223FAD"/>
    <w:rsid w:val="002302F7"/>
    <w:rsid w:val="00231237"/>
    <w:rsid w:val="0024798F"/>
    <w:rsid w:val="00260452"/>
    <w:rsid w:val="00262F04"/>
    <w:rsid w:val="00271F43"/>
    <w:rsid w:val="00275CC0"/>
    <w:rsid w:val="00276AF1"/>
    <w:rsid w:val="002829C3"/>
    <w:rsid w:val="002A00AD"/>
    <w:rsid w:val="002A3B81"/>
    <w:rsid w:val="002A71F2"/>
    <w:rsid w:val="002A7E99"/>
    <w:rsid w:val="002B2CBC"/>
    <w:rsid w:val="002B3DC7"/>
    <w:rsid w:val="002B4591"/>
    <w:rsid w:val="002C3A02"/>
    <w:rsid w:val="002D2B01"/>
    <w:rsid w:val="002D49EE"/>
    <w:rsid w:val="002D7024"/>
    <w:rsid w:val="002E1C61"/>
    <w:rsid w:val="002E30FD"/>
    <w:rsid w:val="002E542B"/>
    <w:rsid w:val="002F2C50"/>
    <w:rsid w:val="002F45D2"/>
    <w:rsid w:val="002F63CF"/>
    <w:rsid w:val="00301A40"/>
    <w:rsid w:val="00303D78"/>
    <w:rsid w:val="00304849"/>
    <w:rsid w:val="00307FD8"/>
    <w:rsid w:val="00310E33"/>
    <w:rsid w:val="003131D1"/>
    <w:rsid w:val="0031443E"/>
    <w:rsid w:val="00316F1A"/>
    <w:rsid w:val="00321D7E"/>
    <w:rsid w:val="00324A11"/>
    <w:rsid w:val="00332D74"/>
    <w:rsid w:val="00333535"/>
    <w:rsid w:val="00335324"/>
    <w:rsid w:val="00335B6C"/>
    <w:rsid w:val="00336146"/>
    <w:rsid w:val="00342FFE"/>
    <w:rsid w:val="00344472"/>
    <w:rsid w:val="00351130"/>
    <w:rsid w:val="00355DCA"/>
    <w:rsid w:val="0036140D"/>
    <w:rsid w:val="00361520"/>
    <w:rsid w:val="0036254E"/>
    <w:rsid w:val="00364FA3"/>
    <w:rsid w:val="00365210"/>
    <w:rsid w:val="003700EE"/>
    <w:rsid w:val="00381A0C"/>
    <w:rsid w:val="00383A7B"/>
    <w:rsid w:val="003874E8"/>
    <w:rsid w:val="00392214"/>
    <w:rsid w:val="003966EB"/>
    <w:rsid w:val="003A1209"/>
    <w:rsid w:val="003A2416"/>
    <w:rsid w:val="003A3F3A"/>
    <w:rsid w:val="003A7E22"/>
    <w:rsid w:val="003B6204"/>
    <w:rsid w:val="003D72E9"/>
    <w:rsid w:val="003D751E"/>
    <w:rsid w:val="003E295A"/>
    <w:rsid w:val="003E3009"/>
    <w:rsid w:val="003E341A"/>
    <w:rsid w:val="003E5580"/>
    <w:rsid w:val="003E7399"/>
    <w:rsid w:val="003E74D7"/>
    <w:rsid w:val="003F038B"/>
    <w:rsid w:val="003F0817"/>
    <w:rsid w:val="003F09B6"/>
    <w:rsid w:val="003F4CB7"/>
    <w:rsid w:val="003F7978"/>
    <w:rsid w:val="00403A46"/>
    <w:rsid w:val="0040639B"/>
    <w:rsid w:val="0040780B"/>
    <w:rsid w:val="00412CF2"/>
    <w:rsid w:val="00413D8E"/>
    <w:rsid w:val="004160A4"/>
    <w:rsid w:val="004160ED"/>
    <w:rsid w:val="004242AA"/>
    <w:rsid w:val="00431D6F"/>
    <w:rsid w:val="004423C0"/>
    <w:rsid w:val="00444713"/>
    <w:rsid w:val="00445532"/>
    <w:rsid w:val="00446F9E"/>
    <w:rsid w:val="004501C5"/>
    <w:rsid w:val="00450A2A"/>
    <w:rsid w:val="004517D6"/>
    <w:rsid w:val="004526EB"/>
    <w:rsid w:val="00452B8C"/>
    <w:rsid w:val="004530C4"/>
    <w:rsid w:val="00453D80"/>
    <w:rsid w:val="00456FE5"/>
    <w:rsid w:val="0045751B"/>
    <w:rsid w:val="004576E8"/>
    <w:rsid w:val="0046268C"/>
    <w:rsid w:val="00465C5C"/>
    <w:rsid w:val="00466016"/>
    <w:rsid w:val="0047250E"/>
    <w:rsid w:val="00476F1B"/>
    <w:rsid w:val="00482DD7"/>
    <w:rsid w:val="00483BE9"/>
    <w:rsid w:val="00486AA8"/>
    <w:rsid w:val="00490B81"/>
    <w:rsid w:val="00492780"/>
    <w:rsid w:val="00494EAB"/>
    <w:rsid w:val="004954C3"/>
    <w:rsid w:val="00496A94"/>
    <w:rsid w:val="004B355C"/>
    <w:rsid w:val="004B4AD7"/>
    <w:rsid w:val="004B51F0"/>
    <w:rsid w:val="004C20C7"/>
    <w:rsid w:val="004C280B"/>
    <w:rsid w:val="004D10CA"/>
    <w:rsid w:val="004D2952"/>
    <w:rsid w:val="004D3C48"/>
    <w:rsid w:val="004D4AD6"/>
    <w:rsid w:val="004D5047"/>
    <w:rsid w:val="004E5049"/>
    <w:rsid w:val="004F09F6"/>
    <w:rsid w:val="004F12DC"/>
    <w:rsid w:val="004F1926"/>
    <w:rsid w:val="00502BFE"/>
    <w:rsid w:val="00506342"/>
    <w:rsid w:val="005078E8"/>
    <w:rsid w:val="00513022"/>
    <w:rsid w:val="00515A68"/>
    <w:rsid w:val="00517866"/>
    <w:rsid w:val="005206CD"/>
    <w:rsid w:val="00524B47"/>
    <w:rsid w:val="00526721"/>
    <w:rsid w:val="005313F4"/>
    <w:rsid w:val="00532BD4"/>
    <w:rsid w:val="00534FA7"/>
    <w:rsid w:val="0053696B"/>
    <w:rsid w:val="00536D13"/>
    <w:rsid w:val="00545622"/>
    <w:rsid w:val="00554B07"/>
    <w:rsid w:val="00557187"/>
    <w:rsid w:val="005631E4"/>
    <w:rsid w:val="00580B9A"/>
    <w:rsid w:val="005810DE"/>
    <w:rsid w:val="00587136"/>
    <w:rsid w:val="0059091B"/>
    <w:rsid w:val="00591D14"/>
    <w:rsid w:val="00593F15"/>
    <w:rsid w:val="005947C4"/>
    <w:rsid w:val="00594D4D"/>
    <w:rsid w:val="005951F2"/>
    <w:rsid w:val="00596752"/>
    <w:rsid w:val="005A3BAE"/>
    <w:rsid w:val="005A4594"/>
    <w:rsid w:val="005A4B79"/>
    <w:rsid w:val="005A7B75"/>
    <w:rsid w:val="005B008E"/>
    <w:rsid w:val="005B017A"/>
    <w:rsid w:val="005B039F"/>
    <w:rsid w:val="005B2B36"/>
    <w:rsid w:val="005C2083"/>
    <w:rsid w:val="005E0A2A"/>
    <w:rsid w:val="005E2140"/>
    <w:rsid w:val="005E5E6D"/>
    <w:rsid w:val="005F05DC"/>
    <w:rsid w:val="005F1F87"/>
    <w:rsid w:val="005F3504"/>
    <w:rsid w:val="005F608F"/>
    <w:rsid w:val="005F79FB"/>
    <w:rsid w:val="005F7E81"/>
    <w:rsid w:val="0060065D"/>
    <w:rsid w:val="006010E5"/>
    <w:rsid w:val="00601C50"/>
    <w:rsid w:val="00606655"/>
    <w:rsid w:val="00611663"/>
    <w:rsid w:val="00614595"/>
    <w:rsid w:val="0061769A"/>
    <w:rsid w:val="00621D27"/>
    <w:rsid w:val="00625B14"/>
    <w:rsid w:val="00626D8B"/>
    <w:rsid w:val="00630959"/>
    <w:rsid w:val="0063185C"/>
    <w:rsid w:val="006359EB"/>
    <w:rsid w:val="00645EB1"/>
    <w:rsid w:val="00647F35"/>
    <w:rsid w:val="00653410"/>
    <w:rsid w:val="006566AB"/>
    <w:rsid w:val="00656723"/>
    <w:rsid w:val="00663433"/>
    <w:rsid w:val="006668B4"/>
    <w:rsid w:val="00676C5A"/>
    <w:rsid w:val="0068502F"/>
    <w:rsid w:val="00686E2F"/>
    <w:rsid w:val="00690B30"/>
    <w:rsid w:val="006921E1"/>
    <w:rsid w:val="006A1EC3"/>
    <w:rsid w:val="006A2CAF"/>
    <w:rsid w:val="006A3C91"/>
    <w:rsid w:val="006B1976"/>
    <w:rsid w:val="006B5357"/>
    <w:rsid w:val="006C0D17"/>
    <w:rsid w:val="006C200B"/>
    <w:rsid w:val="006C4318"/>
    <w:rsid w:val="006C457F"/>
    <w:rsid w:val="006C5B2F"/>
    <w:rsid w:val="006C7428"/>
    <w:rsid w:val="006D5442"/>
    <w:rsid w:val="006E0D9B"/>
    <w:rsid w:val="006E5676"/>
    <w:rsid w:val="006E57FE"/>
    <w:rsid w:val="006E72AC"/>
    <w:rsid w:val="006F12A0"/>
    <w:rsid w:val="006F3626"/>
    <w:rsid w:val="006F5C7F"/>
    <w:rsid w:val="006F6C1A"/>
    <w:rsid w:val="0070068A"/>
    <w:rsid w:val="00701BAB"/>
    <w:rsid w:val="00704F0E"/>
    <w:rsid w:val="00705D13"/>
    <w:rsid w:val="00707A54"/>
    <w:rsid w:val="00717D19"/>
    <w:rsid w:val="00723BFF"/>
    <w:rsid w:val="007266A5"/>
    <w:rsid w:val="00731A89"/>
    <w:rsid w:val="00732F41"/>
    <w:rsid w:val="0073355C"/>
    <w:rsid w:val="00735640"/>
    <w:rsid w:val="00744637"/>
    <w:rsid w:val="00756B3A"/>
    <w:rsid w:val="00757AA2"/>
    <w:rsid w:val="00764F27"/>
    <w:rsid w:val="00771FBA"/>
    <w:rsid w:val="00773580"/>
    <w:rsid w:val="00780A35"/>
    <w:rsid w:val="00780FD1"/>
    <w:rsid w:val="0078114A"/>
    <w:rsid w:val="00784B0B"/>
    <w:rsid w:val="007918A4"/>
    <w:rsid w:val="00791E95"/>
    <w:rsid w:val="00797522"/>
    <w:rsid w:val="007A0445"/>
    <w:rsid w:val="007A2D03"/>
    <w:rsid w:val="007B0FFA"/>
    <w:rsid w:val="007B1AD3"/>
    <w:rsid w:val="007B20F5"/>
    <w:rsid w:val="007C2630"/>
    <w:rsid w:val="007D5D88"/>
    <w:rsid w:val="007D5FBC"/>
    <w:rsid w:val="007D7A3C"/>
    <w:rsid w:val="007E0C14"/>
    <w:rsid w:val="007E3007"/>
    <w:rsid w:val="007E3B04"/>
    <w:rsid w:val="007E4965"/>
    <w:rsid w:val="007E7F9D"/>
    <w:rsid w:val="007F2881"/>
    <w:rsid w:val="008019DD"/>
    <w:rsid w:val="00813331"/>
    <w:rsid w:val="0081647A"/>
    <w:rsid w:val="00821C9A"/>
    <w:rsid w:val="00823576"/>
    <w:rsid w:val="008265E7"/>
    <w:rsid w:val="00827820"/>
    <w:rsid w:val="00830870"/>
    <w:rsid w:val="00831EFE"/>
    <w:rsid w:val="00833547"/>
    <w:rsid w:val="008351BB"/>
    <w:rsid w:val="008376D4"/>
    <w:rsid w:val="00843A45"/>
    <w:rsid w:val="00846BC8"/>
    <w:rsid w:val="00850E15"/>
    <w:rsid w:val="00854091"/>
    <w:rsid w:val="00860892"/>
    <w:rsid w:val="00860DB5"/>
    <w:rsid w:val="0086517B"/>
    <w:rsid w:val="00866224"/>
    <w:rsid w:val="00870081"/>
    <w:rsid w:val="00875645"/>
    <w:rsid w:val="00875831"/>
    <w:rsid w:val="0088158F"/>
    <w:rsid w:val="0088445A"/>
    <w:rsid w:val="00893083"/>
    <w:rsid w:val="00897880"/>
    <w:rsid w:val="008B369D"/>
    <w:rsid w:val="008B66C9"/>
    <w:rsid w:val="008B7888"/>
    <w:rsid w:val="008C1881"/>
    <w:rsid w:val="008C383E"/>
    <w:rsid w:val="008C3F99"/>
    <w:rsid w:val="008D158B"/>
    <w:rsid w:val="008D1E37"/>
    <w:rsid w:val="008D2892"/>
    <w:rsid w:val="008D3272"/>
    <w:rsid w:val="008D5E14"/>
    <w:rsid w:val="008E1255"/>
    <w:rsid w:val="008E4C9B"/>
    <w:rsid w:val="008F0C96"/>
    <w:rsid w:val="008F1337"/>
    <w:rsid w:val="008F161D"/>
    <w:rsid w:val="008F1D71"/>
    <w:rsid w:val="008F540D"/>
    <w:rsid w:val="008F60CE"/>
    <w:rsid w:val="008F7EAB"/>
    <w:rsid w:val="009032BC"/>
    <w:rsid w:val="00904ABE"/>
    <w:rsid w:val="00905CF5"/>
    <w:rsid w:val="009105D4"/>
    <w:rsid w:val="009106ED"/>
    <w:rsid w:val="00911B92"/>
    <w:rsid w:val="0092079F"/>
    <w:rsid w:val="00924695"/>
    <w:rsid w:val="00941B74"/>
    <w:rsid w:val="00942936"/>
    <w:rsid w:val="009432E9"/>
    <w:rsid w:val="00943F0A"/>
    <w:rsid w:val="00953B26"/>
    <w:rsid w:val="00957DCE"/>
    <w:rsid w:val="00966265"/>
    <w:rsid w:val="00967E88"/>
    <w:rsid w:val="009713BF"/>
    <w:rsid w:val="00971921"/>
    <w:rsid w:val="00973C75"/>
    <w:rsid w:val="00976697"/>
    <w:rsid w:val="009818FD"/>
    <w:rsid w:val="00986693"/>
    <w:rsid w:val="00987428"/>
    <w:rsid w:val="00993D99"/>
    <w:rsid w:val="00993EE6"/>
    <w:rsid w:val="009A3DCD"/>
    <w:rsid w:val="009A68B3"/>
    <w:rsid w:val="009A6A54"/>
    <w:rsid w:val="009B1B9D"/>
    <w:rsid w:val="009B50A4"/>
    <w:rsid w:val="009B7EAB"/>
    <w:rsid w:val="009C1F20"/>
    <w:rsid w:val="009C6627"/>
    <w:rsid w:val="009D218E"/>
    <w:rsid w:val="009D6D4A"/>
    <w:rsid w:val="009E2671"/>
    <w:rsid w:val="009E3605"/>
    <w:rsid w:val="009F7E5A"/>
    <w:rsid w:val="00A00991"/>
    <w:rsid w:val="00A01CF0"/>
    <w:rsid w:val="00A0282D"/>
    <w:rsid w:val="00A04944"/>
    <w:rsid w:val="00A057DF"/>
    <w:rsid w:val="00A05DE7"/>
    <w:rsid w:val="00A068F5"/>
    <w:rsid w:val="00A10DE4"/>
    <w:rsid w:val="00A127AB"/>
    <w:rsid w:val="00A12820"/>
    <w:rsid w:val="00A14558"/>
    <w:rsid w:val="00A1731D"/>
    <w:rsid w:val="00A246ED"/>
    <w:rsid w:val="00A249FA"/>
    <w:rsid w:val="00A24C03"/>
    <w:rsid w:val="00A302E7"/>
    <w:rsid w:val="00A30D73"/>
    <w:rsid w:val="00A30E3F"/>
    <w:rsid w:val="00A363D6"/>
    <w:rsid w:val="00A41F66"/>
    <w:rsid w:val="00A4709B"/>
    <w:rsid w:val="00A47F14"/>
    <w:rsid w:val="00A50EA8"/>
    <w:rsid w:val="00A5276E"/>
    <w:rsid w:val="00A55DEC"/>
    <w:rsid w:val="00A6156A"/>
    <w:rsid w:val="00A62446"/>
    <w:rsid w:val="00A63ED5"/>
    <w:rsid w:val="00A64506"/>
    <w:rsid w:val="00A649FB"/>
    <w:rsid w:val="00A65316"/>
    <w:rsid w:val="00A6673D"/>
    <w:rsid w:val="00A6746C"/>
    <w:rsid w:val="00A67CDF"/>
    <w:rsid w:val="00A73970"/>
    <w:rsid w:val="00A741FA"/>
    <w:rsid w:val="00A8159D"/>
    <w:rsid w:val="00A81D22"/>
    <w:rsid w:val="00A8724F"/>
    <w:rsid w:val="00A96AAF"/>
    <w:rsid w:val="00AA074D"/>
    <w:rsid w:val="00AA0B56"/>
    <w:rsid w:val="00AA2736"/>
    <w:rsid w:val="00AA424C"/>
    <w:rsid w:val="00AB78E4"/>
    <w:rsid w:val="00AC0965"/>
    <w:rsid w:val="00AC1B70"/>
    <w:rsid w:val="00AC441D"/>
    <w:rsid w:val="00AD2D91"/>
    <w:rsid w:val="00AD43B7"/>
    <w:rsid w:val="00AD5597"/>
    <w:rsid w:val="00AE2811"/>
    <w:rsid w:val="00AE4A76"/>
    <w:rsid w:val="00AE5F41"/>
    <w:rsid w:val="00AF1706"/>
    <w:rsid w:val="00AF19D6"/>
    <w:rsid w:val="00B016F6"/>
    <w:rsid w:val="00B108BE"/>
    <w:rsid w:val="00B11C93"/>
    <w:rsid w:val="00B16748"/>
    <w:rsid w:val="00B24D32"/>
    <w:rsid w:val="00B30BFF"/>
    <w:rsid w:val="00B3163B"/>
    <w:rsid w:val="00B3261D"/>
    <w:rsid w:val="00B46635"/>
    <w:rsid w:val="00B47336"/>
    <w:rsid w:val="00B479D3"/>
    <w:rsid w:val="00B502F2"/>
    <w:rsid w:val="00B56A04"/>
    <w:rsid w:val="00B60C9B"/>
    <w:rsid w:val="00B65E17"/>
    <w:rsid w:val="00B749C8"/>
    <w:rsid w:val="00B76366"/>
    <w:rsid w:val="00B7793D"/>
    <w:rsid w:val="00B804D5"/>
    <w:rsid w:val="00B83C4E"/>
    <w:rsid w:val="00B840B1"/>
    <w:rsid w:val="00B91167"/>
    <w:rsid w:val="00B9778D"/>
    <w:rsid w:val="00BA0E80"/>
    <w:rsid w:val="00BA2E1E"/>
    <w:rsid w:val="00BB6E7A"/>
    <w:rsid w:val="00BC1D0B"/>
    <w:rsid w:val="00BC2F12"/>
    <w:rsid w:val="00BC3215"/>
    <w:rsid w:val="00BD26A4"/>
    <w:rsid w:val="00BD2CA7"/>
    <w:rsid w:val="00BD2D15"/>
    <w:rsid w:val="00BD324B"/>
    <w:rsid w:val="00BD7444"/>
    <w:rsid w:val="00BE0C44"/>
    <w:rsid w:val="00BE3B7E"/>
    <w:rsid w:val="00BE6755"/>
    <w:rsid w:val="00BF33EF"/>
    <w:rsid w:val="00BF5430"/>
    <w:rsid w:val="00BF5F2F"/>
    <w:rsid w:val="00BF615D"/>
    <w:rsid w:val="00BF795D"/>
    <w:rsid w:val="00C020F7"/>
    <w:rsid w:val="00C047DE"/>
    <w:rsid w:val="00C07C33"/>
    <w:rsid w:val="00C07CDB"/>
    <w:rsid w:val="00C1219A"/>
    <w:rsid w:val="00C1494E"/>
    <w:rsid w:val="00C16375"/>
    <w:rsid w:val="00C211FA"/>
    <w:rsid w:val="00C22E17"/>
    <w:rsid w:val="00C25362"/>
    <w:rsid w:val="00C262D0"/>
    <w:rsid w:val="00C304AE"/>
    <w:rsid w:val="00C329A5"/>
    <w:rsid w:val="00C32B63"/>
    <w:rsid w:val="00C347C2"/>
    <w:rsid w:val="00C374D7"/>
    <w:rsid w:val="00C51DEC"/>
    <w:rsid w:val="00C5243D"/>
    <w:rsid w:val="00C53A0A"/>
    <w:rsid w:val="00C57C29"/>
    <w:rsid w:val="00C60530"/>
    <w:rsid w:val="00C6147A"/>
    <w:rsid w:val="00C6369B"/>
    <w:rsid w:val="00C729A0"/>
    <w:rsid w:val="00C80D51"/>
    <w:rsid w:val="00C81622"/>
    <w:rsid w:val="00C81E07"/>
    <w:rsid w:val="00C8272E"/>
    <w:rsid w:val="00C857CB"/>
    <w:rsid w:val="00C87382"/>
    <w:rsid w:val="00C90A45"/>
    <w:rsid w:val="00C90DBF"/>
    <w:rsid w:val="00C9276E"/>
    <w:rsid w:val="00CB000F"/>
    <w:rsid w:val="00CB0FB6"/>
    <w:rsid w:val="00CB1B6D"/>
    <w:rsid w:val="00CB31F1"/>
    <w:rsid w:val="00CC3ACC"/>
    <w:rsid w:val="00CC4A24"/>
    <w:rsid w:val="00CC4C1D"/>
    <w:rsid w:val="00CC4CC2"/>
    <w:rsid w:val="00CC5B4E"/>
    <w:rsid w:val="00CC7DDF"/>
    <w:rsid w:val="00CD1518"/>
    <w:rsid w:val="00CD4E01"/>
    <w:rsid w:val="00CD577B"/>
    <w:rsid w:val="00CE6EDD"/>
    <w:rsid w:val="00CF0C39"/>
    <w:rsid w:val="00CF2303"/>
    <w:rsid w:val="00CF2B07"/>
    <w:rsid w:val="00CF3381"/>
    <w:rsid w:val="00CF4A88"/>
    <w:rsid w:val="00D048AB"/>
    <w:rsid w:val="00D059EA"/>
    <w:rsid w:val="00D0732F"/>
    <w:rsid w:val="00D1489A"/>
    <w:rsid w:val="00D14A6D"/>
    <w:rsid w:val="00D15664"/>
    <w:rsid w:val="00D260F4"/>
    <w:rsid w:val="00D31636"/>
    <w:rsid w:val="00D32355"/>
    <w:rsid w:val="00D32E2A"/>
    <w:rsid w:val="00D444DB"/>
    <w:rsid w:val="00D51A8B"/>
    <w:rsid w:val="00D56493"/>
    <w:rsid w:val="00D56509"/>
    <w:rsid w:val="00D56542"/>
    <w:rsid w:val="00D56BA9"/>
    <w:rsid w:val="00D57E66"/>
    <w:rsid w:val="00D60635"/>
    <w:rsid w:val="00D63E35"/>
    <w:rsid w:val="00D643B6"/>
    <w:rsid w:val="00D71440"/>
    <w:rsid w:val="00D71BB8"/>
    <w:rsid w:val="00D734AC"/>
    <w:rsid w:val="00D74C39"/>
    <w:rsid w:val="00D76947"/>
    <w:rsid w:val="00D831BD"/>
    <w:rsid w:val="00D86008"/>
    <w:rsid w:val="00D862EB"/>
    <w:rsid w:val="00D87121"/>
    <w:rsid w:val="00D91159"/>
    <w:rsid w:val="00D944B7"/>
    <w:rsid w:val="00DA0446"/>
    <w:rsid w:val="00DB337F"/>
    <w:rsid w:val="00DB36AB"/>
    <w:rsid w:val="00DC219C"/>
    <w:rsid w:val="00DC2C6A"/>
    <w:rsid w:val="00DC4B8D"/>
    <w:rsid w:val="00DC62FF"/>
    <w:rsid w:val="00DD49EA"/>
    <w:rsid w:val="00DF22FD"/>
    <w:rsid w:val="00DF288D"/>
    <w:rsid w:val="00DF3F1E"/>
    <w:rsid w:val="00DF670B"/>
    <w:rsid w:val="00DF7F03"/>
    <w:rsid w:val="00E02370"/>
    <w:rsid w:val="00E030D9"/>
    <w:rsid w:val="00E0427D"/>
    <w:rsid w:val="00E04925"/>
    <w:rsid w:val="00E05C02"/>
    <w:rsid w:val="00E106C7"/>
    <w:rsid w:val="00E10F5D"/>
    <w:rsid w:val="00E11553"/>
    <w:rsid w:val="00E11771"/>
    <w:rsid w:val="00E133A1"/>
    <w:rsid w:val="00E15621"/>
    <w:rsid w:val="00E21887"/>
    <w:rsid w:val="00E315BD"/>
    <w:rsid w:val="00E36892"/>
    <w:rsid w:val="00E36C09"/>
    <w:rsid w:val="00E37F03"/>
    <w:rsid w:val="00E451A8"/>
    <w:rsid w:val="00E47FD5"/>
    <w:rsid w:val="00E52C9B"/>
    <w:rsid w:val="00E579F7"/>
    <w:rsid w:val="00E600D3"/>
    <w:rsid w:val="00E61E55"/>
    <w:rsid w:val="00E62A46"/>
    <w:rsid w:val="00E66765"/>
    <w:rsid w:val="00E72AC8"/>
    <w:rsid w:val="00E739E8"/>
    <w:rsid w:val="00E75150"/>
    <w:rsid w:val="00E76CED"/>
    <w:rsid w:val="00E82C06"/>
    <w:rsid w:val="00E86E3C"/>
    <w:rsid w:val="00E95E4B"/>
    <w:rsid w:val="00EA0438"/>
    <w:rsid w:val="00EA12DF"/>
    <w:rsid w:val="00EA22F6"/>
    <w:rsid w:val="00EB033F"/>
    <w:rsid w:val="00EB1370"/>
    <w:rsid w:val="00EB1421"/>
    <w:rsid w:val="00EB3A94"/>
    <w:rsid w:val="00EB4163"/>
    <w:rsid w:val="00EB458C"/>
    <w:rsid w:val="00EB5020"/>
    <w:rsid w:val="00EC42C6"/>
    <w:rsid w:val="00EC4948"/>
    <w:rsid w:val="00EC719C"/>
    <w:rsid w:val="00ED1381"/>
    <w:rsid w:val="00ED221A"/>
    <w:rsid w:val="00ED2D68"/>
    <w:rsid w:val="00ED2FDB"/>
    <w:rsid w:val="00ED30B1"/>
    <w:rsid w:val="00EE5054"/>
    <w:rsid w:val="00EE5547"/>
    <w:rsid w:val="00EF061B"/>
    <w:rsid w:val="00EF6B42"/>
    <w:rsid w:val="00F00136"/>
    <w:rsid w:val="00F0083D"/>
    <w:rsid w:val="00F0121E"/>
    <w:rsid w:val="00F04314"/>
    <w:rsid w:val="00F06FB1"/>
    <w:rsid w:val="00F124ED"/>
    <w:rsid w:val="00F15D82"/>
    <w:rsid w:val="00F17346"/>
    <w:rsid w:val="00F2344C"/>
    <w:rsid w:val="00F23B0B"/>
    <w:rsid w:val="00F23DA5"/>
    <w:rsid w:val="00F30F1C"/>
    <w:rsid w:val="00F355D6"/>
    <w:rsid w:val="00F40BC5"/>
    <w:rsid w:val="00F40C9A"/>
    <w:rsid w:val="00F43D61"/>
    <w:rsid w:val="00F5244A"/>
    <w:rsid w:val="00F543EB"/>
    <w:rsid w:val="00F56CB3"/>
    <w:rsid w:val="00F6222A"/>
    <w:rsid w:val="00F66681"/>
    <w:rsid w:val="00F66D45"/>
    <w:rsid w:val="00F746A0"/>
    <w:rsid w:val="00F747DA"/>
    <w:rsid w:val="00F74F1B"/>
    <w:rsid w:val="00F769EB"/>
    <w:rsid w:val="00F77E5E"/>
    <w:rsid w:val="00F82B78"/>
    <w:rsid w:val="00F85EC9"/>
    <w:rsid w:val="00FA0022"/>
    <w:rsid w:val="00FA66AC"/>
    <w:rsid w:val="00FB6A7E"/>
    <w:rsid w:val="00FC1025"/>
    <w:rsid w:val="00FC1D86"/>
    <w:rsid w:val="00FC494C"/>
    <w:rsid w:val="00FC509B"/>
    <w:rsid w:val="00FC53B5"/>
    <w:rsid w:val="00FC65D0"/>
    <w:rsid w:val="00FD1554"/>
    <w:rsid w:val="00FD1D0F"/>
    <w:rsid w:val="00FD3253"/>
    <w:rsid w:val="00FD6080"/>
    <w:rsid w:val="00FF0F8E"/>
    <w:rsid w:val="00FF3BEE"/>
    <w:rsid w:val="00FF3D9B"/>
    <w:rsid w:val="020E7B6E"/>
    <w:rsid w:val="038844CC"/>
    <w:rsid w:val="06FD4B72"/>
    <w:rsid w:val="08904B30"/>
    <w:rsid w:val="08C051D6"/>
    <w:rsid w:val="09826588"/>
    <w:rsid w:val="09877907"/>
    <w:rsid w:val="0E6B2BD4"/>
    <w:rsid w:val="0F3D06F9"/>
    <w:rsid w:val="0FA56244"/>
    <w:rsid w:val="10566F1A"/>
    <w:rsid w:val="10716F1C"/>
    <w:rsid w:val="107A3003"/>
    <w:rsid w:val="11270E13"/>
    <w:rsid w:val="11527E2A"/>
    <w:rsid w:val="11F72C05"/>
    <w:rsid w:val="122117EB"/>
    <w:rsid w:val="12CA622F"/>
    <w:rsid w:val="13764211"/>
    <w:rsid w:val="13C6337B"/>
    <w:rsid w:val="174E792B"/>
    <w:rsid w:val="17741D80"/>
    <w:rsid w:val="177B14D0"/>
    <w:rsid w:val="17D01526"/>
    <w:rsid w:val="17F20DA1"/>
    <w:rsid w:val="1A0E12FE"/>
    <w:rsid w:val="1B18161E"/>
    <w:rsid w:val="1BA76358"/>
    <w:rsid w:val="1D50531E"/>
    <w:rsid w:val="1D611F39"/>
    <w:rsid w:val="20424D85"/>
    <w:rsid w:val="20FB0C77"/>
    <w:rsid w:val="217375C7"/>
    <w:rsid w:val="21E9415F"/>
    <w:rsid w:val="22F74B6F"/>
    <w:rsid w:val="25171B2E"/>
    <w:rsid w:val="27152BCE"/>
    <w:rsid w:val="27951E80"/>
    <w:rsid w:val="295C14C4"/>
    <w:rsid w:val="2A0A08AC"/>
    <w:rsid w:val="2BEE2B45"/>
    <w:rsid w:val="2C6C5D53"/>
    <w:rsid w:val="2C71745F"/>
    <w:rsid w:val="2D495B31"/>
    <w:rsid w:val="2E3E2A56"/>
    <w:rsid w:val="2F1922A1"/>
    <w:rsid w:val="30CD5858"/>
    <w:rsid w:val="31F00D37"/>
    <w:rsid w:val="32A64C56"/>
    <w:rsid w:val="338E3221"/>
    <w:rsid w:val="33CB5B84"/>
    <w:rsid w:val="34CB12E1"/>
    <w:rsid w:val="376A579F"/>
    <w:rsid w:val="38506AE7"/>
    <w:rsid w:val="3CD21D3B"/>
    <w:rsid w:val="3E4E1366"/>
    <w:rsid w:val="3EBB08D7"/>
    <w:rsid w:val="3FD62285"/>
    <w:rsid w:val="3FE455CB"/>
    <w:rsid w:val="40CB6636"/>
    <w:rsid w:val="412D77A1"/>
    <w:rsid w:val="42B527EF"/>
    <w:rsid w:val="44A924BD"/>
    <w:rsid w:val="44B34663"/>
    <w:rsid w:val="44FC449F"/>
    <w:rsid w:val="45794FD5"/>
    <w:rsid w:val="476211C1"/>
    <w:rsid w:val="479C13EB"/>
    <w:rsid w:val="485E0BA4"/>
    <w:rsid w:val="49961A50"/>
    <w:rsid w:val="49E041CD"/>
    <w:rsid w:val="4A647F3B"/>
    <w:rsid w:val="4AEA22A4"/>
    <w:rsid w:val="4D335281"/>
    <w:rsid w:val="4D8705A3"/>
    <w:rsid w:val="53786E5C"/>
    <w:rsid w:val="54180C15"/>
    <w:rsid w:val="548B0752"/>
    <w:rsid w:val="553B648F"/>
    <w:rsid w:val="56B04C8A"/>
    <w:rsid w:val="58BE49BD"/>
    <w:rsid w:val="5AD23149"/>
    <w:rsid w:val="5B76595D"/>
    <w:rsid w:val="5B8B0E1F"/>
    <w:rsid w:val="5C8674A7"/>
    <w:rsid w:val="5CDF727B"/>
    <w:rsid w:val="5D2539AD"/>
    <w:rsid w:val="5EAC14C3"/>
    <w:rsid w:val="5F7E37A9"/>
    <w:rsid w:val="609F46EF"/>
    <w:rsid w:val="624D00E9"/>
    <w:rsid w:val="62681568"/>
    <w:rsid w:val="64BA550B"/>
    <w:rsid w:val="680C5E40"/>
    <w:rsid w:val="683D34CB"/>
    <w:rsid w:val="697E45AC"/>
    <w:rsid w:val="69CC64D0"/>
    <w:rsid w:val="69E41FF1"/>
    <w:rsid w:val="6AEF59BA"/>
    <w:rsid w:val="6C0B4C53"/>
    <w:rsid w:val="6D69111C"/>
    <w:rsid w:val="6DAA6832"/>
    <w:rsid w:val="6DF87E85"/>
    <w:rsid w:val="6EE55AD3"/>
    <w:rsid w:val="70942F6F"/>
    <w:rsid w:val="74392C51"/>
    <w:rsid w:val="75DD731B"/>
    <w:rsid w:val="77C1487D"/>
    <w:rsid w:val="79F32E8B"/>
    <w:rsid w:val="7A052111"/>
    <w:rsid w:val="7A9A046D"/>
    <w:rsid w:val="7BD5382E"/>
    <w:rsid w:val="7C1A06DA"/>
    <w:rsid w:val="7C943BBF"/>
    <w:rsid w:val="7CEC4630"/>
    <w:rsid w:val="7D7A17CE"/>
    <w:rsid w:val="7DD90B39"/>
    <w:rsid w:val="7F006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0"/>
    <w:qFormat/>
    <w:uiPriority w:val="0"/>
    <w:pPr>
      <w:spacing w:line="360" w:lineRule="auto"/>
      <w:jc w:val="left"/>
      <w:outlineLvl w:val="0"/>
    </w:pPr>
    <w:rPr>
      <w:rFonts w:ascii="Times New Roman" w:hAnsi="Times New Roman"/>
      <w:b/>
      <w:bCs/>
      <w:kern w:val="44"/>
      <w:sz w:val="28"/>
      <w:szCs w:val="44"/>
    </w:rPr>
  </w:style>
  <w:style w:type="paragraph" w:styleId="3">
    <w:name w:val="heading 2"/>
    <w:basedOn w:val="1"/>
    <w:next w:val="1"/>
    <w:link w:val="41"/>
    <w:qFormat/>
    <w:uiPriority w:val="9"/>
    <w:pPr>
      <w:keepNext/>
      <w:keepLines/>
      <w:numPr>
        <w:ilvl w:val="1"/>
        <w:numId w:val="1"/>
      </w:numPr>
      <w:spacing w:before="260" w:after="260" w:line="413" w:lineRule="auto"/>
      <w:outlineLvl w:val="1"/>
    </w:pPr>
    <w:rPr>
      <w:rFonts w:ascii="Arial" w:hAnsi="Arial" w:eastAsia="黑体"/>
      <w:b/>
      <w:bCs/>
      <w:sz w:val="32"/>
      <w:szCs w:val="32"/>
    </w:rPr>
  </w:style>
  <w:style w:type="paragraph" w:styleId="4">
    <w:name w:val="heading 3"/>
    <w:basedOn w:val="1"/>
    <w:next w:val="1"/>
    <w:link w:val="42"/>
    <w:qFormat/>
    <w:uiPriority w:val="9"/>
    <w:pPr>
      <w:keepNext/>
      <w:keepLines/>
      <w:numPr>
        <w:ilvl w:val="2"/>
        <w:numId w:val="1"/>
      </w:numPr>
      <w:spacing w:before="260" w:after="260" w:line="413" w:lineRule="auto"/>
      <w:outlineLvl w:val="2"/>
    </w:pPr>
    <w:rPr>
      <w:rFonts w:ascii="Times New Roman" w:hAnsi="Times New Roman"/>
      <w:b/>
      <w:bCs/>
      <w:sz w:val="32"/>
      <w:szCs w:val="32"/>
    </w:rPr>
  </w:style>
  <w:style w:type="paragraph" w:styleId="5">
    <w:name w:val="heading 4"/>
    <w:basedOn w:val="1"/>
    <w:next w:val="1"/>
    <w:link w:val="43"/>
    <w:qFormat/>
    <w:uiPriority w:val="0"/>
    <w:pPr>
      <w:widowControl/>
      <w:numPr>
        <w:ilvl w:val="3"/>
        <w:numId w:val="2"/>
      </w:numPr>
      <w:spacing w:line="312" w:lineRule="auto"/>
      <w:jc w:val="left"/>
      <w:outlineLvl w:val="3"/>
    </w:pPr>
    <w:rPr>
      <w:rFonts w:ascii="Times New Roman" w:hAnsi="Times New Roman"/>
      <w:b/>
      <w:kern w:val="28"/>
      <w:sz w:val="24"/>
      <w:szCs w:val="20"/>
    </w:rPr>
  </w:style>
  <w:style w:type="paragraph" w:styleId="6">
    <w:name w:val="heading 5"/>
    <w:basedOn w:val="1"/>
    <w:next w:val="1"/>
    <w:link w:val="44"/>
    <w:qFormat/>
    <w:uiPriority w:val="9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45"/>
    <w:qFormat/>
    <w:uiPriority w:val="9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46"/>
    <w:qFormat/>
    <w:uiPriority w:val="99"/>
    <w:pPr>
      <w:keepNext/>
      <w:keepLines/>
      <w:spacing w:before="240" w:after="64" w:line="320" w:lineRule="auto"/>
      <w:outlineLvl w:val="6"/>
    </w:pPr>
    <w:rPr>
      <w:rFonts w:ascii="Times New Roman" w:hAnsi="Times New Roman"/>
      <w:b/>
      <w:bCs/>
      <w:sz w:val="24"/>
      <w:szCs w:val="24"/>
    </w:rPr>
  </w:style>
  <w:style w:type="paragraph" w:styleId="9">
    <w:name w:val="heading 8"/>
    <w:basedOn w:val="1"/>
    <w:next w:val="1"/>
    <w:link w:val="47"/>
    <w:qFormat/>
    <w:uiPriority w:val="99"/>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48"/>
    <w:qFormat/>
    <w:uiPriority w:val="99"/>
    <w:pPr>
      <w:keepNext/>
      <w:keepLines/>
      <w:spacing w:before="240" w:after="64" w:line="320" w:lineRule="auto"/>
      <w:outlineLvl w:val="8"/>
    </w:pPr>
    <w:rPr>
      <w:rFonts w:ascii="Arial" w:hAnsi="Arial" w:eastAsia="黑体"/>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adjustRightInd w:val="0"/>
      <w:spacing w:line="360" w:lineRule="atLeast"/>
      <w:ind w:firstLine="420"/>
      <w:jc w:val="left"/>
      <w:textAlignment w:val="baseline"/>
    </w:pPr>
    <w:rPr>
      <w:rFonts w:ascii="Times New Roman" w:hAnsi="Times New Roman"/>
      <w:kern w:val="0"/>
      <w:sz w:val="24"/>
      <w:szCs w:val="20"/>
    </w:rPr>
  </w:style>
  <w:style w:type="paragraph" w:styleId="12">
    <w:name w:val="annotation text"/>
    <w:basedOn w:val="1"/>
    <w:link w:val="49"/>
    <w:qFormat/>
    <w:uiPriority w:val="0"/>
    <w:pPr>
      <w:jc w:val="left"/>
    </w:pPr>
  </w:style>
  <w:style w:type="paragraph" w:styleId="13">
    <w:name w:val="Body Text"/>
    <w:basedOn w:val="1"/>
    <w:link w:val="50"/>
    <w:qFormat/>
    <w:uiPriority w:val="0"/>
    <w:pPr>
      <w:widowControl/>
      <w:spacing w:after="220" w:line="180" w:lineRule="atLeast"/>
      <w:ind w:firstLine="476"/>
      <w:jc w:val="center"/>
    </w:pPr>
    <w:rPr>
      <w:rFonts w:ascii="Times New Roman" w:hAnsi="Times New Roman"/>
      <w:spacing w:val="-5"/>
      <w:kern w:val="0"/>
      <w:sz w:val="30"/>
      <w:szCs w:val="20"/>
    </w:rPr>
  </w:style>
  <w:style w:type="paragraph" w:styleId="14">
    <w:name w:val="Body Text Indent"/>
    <w:basedOn w:val="1"/>
    <w:link w:val="96"/>
    <w:qFormat/>
    <w:uiPriority w:val="0"/>
    <w:pPr>
      <w:ind w:firstLine="472" w:firstLineChars="200"/>
    </w:pPr>
    <w:rPr>
      <w:rFonts w:ascii="Times New Roman" w:hAnsi="Times New Roman"/>
      <w:spacing w:val="-2"/>
      <w:sz w:val="24"/>
      <w:szCs w:val="24"/>
    </w:rPr>
  </w:style>
  <w:style w:type="paragraph" w:styleId="15">
    <w:name w:val="List 2"/>
    <w:basedOn w:val="1"/>
    <w:qFormat/>
    <w:uiPriority w:val="99"/>
    <w:pPr>
      <w:ind w:left="100" w:leftChars="200" w:hanging="200" w:hangingChars="200"/>
    </w:pPr>
    <w:rPr>
      <w:rFonts w:ascii="Times New Roman" w:hAnsi="Times New Roman"/>
      <w:szCs w:val="21"/>
    </w:rPr>
  </w:style>
  <w:style w:type="paragraph" w:styleId="16">
    <w:name w:val="toc 3"/>
    <w:basedOn w:val="1"/>
    <w:next w:val="1"/>
    <w:unhideWhenUsed/>
    <w:qFormat/>
    <w:uiPriority w:val="39"/>
    <w:pPr>
      <w:widowControl/>
      <w:spacing w:after="100" w:line="276" w:lineRule="auto"/>
      <w:ind w:left="440"/>
      <w:jc w:val="left"/>
    </w:pPr>
    <w:rPr>
      <w:kern w:val="0"/>
      <w:sz w:val="22"/>
    </w:rPr>
  </w:style>
  <w:style w:type="paragraph" w:styleId="17">
    <w:name w:val="Plain Text"/>
    <w:basedOn w:val="1"/>
    <w:link w:val="51"/>
    <w:qFormat/>
    <w:uiPriority w:val="0"/>
    <w:rPr>
      <w:rFonts w:ascii="宋体" w:hAnsi="Courier New" w:cs="宋体"/>
      <w:szCs w:val="21"/>
    </w:rPr>
  </w:style>
  <w:style w:type="paragraph" w:styleId="18">
    <w:name w:val="Date"/>
    <w:basedOn w:val="1"/>
    <w:next w:val="1"/>
    <w:link w:val="52"/>
    <w:qFormat/>
    <w:uiPriority w:val="0"/>
    <w:pPr>
      <w:ind w:left="100" w:leftChars="2500"/>
    </w:pPr>
  </w:style>
  <w:style w:type="paragraph" w:styleId="19">
    <w:name w:val="Body Text Indent 2"/>
    <w:basedOn w:val="1"/>
    <w:link w:val="97"/>
    <w:qFormat/>
    <w:uiPriority w:val="0"/>
    <w:pPr>
      <w:ind w:firstLine="508" w:firstLineChars="242"/>
    </w:pPr>
    <w:rPr>
      <w:rFonts w:ascii="Times New Roman" w:hAnsi="Times New Roman"/>
      <w:szCs w:val="24"/>
    </w:rPr>
  </w:style>
  <w:style w:type="paragraph" w:styleId="20">
    <w:name w:val="Balloon Text"/>
    <w:basedOn w:val="1"/>
    <w:link w:val="53"/>
    <w:qFormat/>
    <w:uiPriority w:val="0"/>
    <w:rPr>
      <w:sz w:val="18"/>
      <w:szCs w:val="18"/>
    </w:rPr>
  </w:style>
  <w:style w:type="paragraph" w:styleId="21">
    <w:name w:val="footer"/>
    <w:basedOn w:val="1"/>
    <w:link w:val="54"/>
    <w:qFormat/>
    <w:uiPriority w:val="99"/>
    <w:pPr>
      <w:tabs>
        <w:tab w:val="center" w:pos="4153"/>
        <w:tab w:val="right" w:pos="8306"/>
      </w:tabs>
      <w:snapToGrid w:val="0"/>
      <w:jc w:val="left"/>
    </w:pPr>
    <w:rPr>
      <w:sz w:val="18"/>
      <w:szCs w:val="18"/>
    </w:rPr>
  </w:style>
  <w:style w:type="paragraph" w:styleId="22">
    <w:name w:val="header"/>
    <w:basedOn w:val="1"/>
    <w:link w:val="55"/>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Body Text Indent 3"/>
    <w:basedOn w:val="1"/>
    <w:link w:val="98"/>
    <w:qFormat/>
    <w:uiPriority w:val="0"/>
    <w:pPr>
      <w:ind w:firstLine="405" w:firstLineChars="193"/>
    </w:pPr>
    <w:rPr>
      <w:rFonts w:ascii="Times New Roman" w:hAnsi="Times New Roman"/>
      <w:szCs w:val="24"/>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Body Text 2"/>
    <w:basedOn w:val="1"/>
    <w:link w:val="99"/>
    <w:qFormat/>
    <w:uiPriority w:val="0"/>
    <w:pPr>
      <w:spacing w:line="480" w:lineRule="exact"/>
      <w:jc w:val="left"/>
    </w:pPr>
    <w:rPr>
      <w:rFonts w:ascii="Times New Roman" w:hAnsi="Times New Roman"/>
      <w:spacing w:val="-10"/>
      <w:kern w:val="0"/>
      <w:sz w:val="24"/>
      <w:szCs w:val="24"/>
    </w:rPr>
  </w:style>
  <w:style w:type="paragraph" w:styleId="27">
    <w:name w:val="HTML Preformatted"/>
    <w:basedOn w:val="1"/>
    <w:link w:val="8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kern w:val="0"/>
      <w:sz w:val="24"/>
      <w:szCs w:val="24"/>
    </w:rPr>
  </w:style>
  <w:style w:type="paragraph" w:styleId="28">
    <w:name w:val="Normal (Web)"/>
    <w:basedOn w:val="1"/>
    <w:qFormat/>
    <w:uiPriority w:val="0"/>
    <w:pPr>
      <w:spacing w:before="100" w:beforeAutospacing="1" w:after="100" w:afterAutospacing="1"/>
      <w:jc w:val="left"/>
    </w:pPr>
    <w:rPr>
      <w:kern w:val="0"/>
      <w:sz w:val="24"/>
    </w:rPr>
  </w:style>
  <w:style w:type="paragraph" w:styleId="29">
    <w:name w:val="Title"/>
    <w:basedOn w:val="1"/>
    <w:link w:val="90"/>
    <w:qFormat/>
    <w:uiPriority w:val="99"/>
    <w:pPr>
      <w:spacing w:before="240" w:after="60"/>
      <w:jc w:val="center"/>
      <w:outlineLvl w:val="0"/>
    </w:pPr>
    <w:rPr>
      <w:rFonts w:ascii="Arial" w:hAnsi="Arial"/>
      <w:b/>
      <w:bCs/>
      <w:sz w:val="32"/>
      <w:szCs w:val="32"/>
    </w:rPr>
  </w:style>
  <w:style w:type="paragraph" w:styleId="30">
    <w:name w:val="annotation subject"/>
    <w:basedOn w:val="12"/>
    <w:next w:val="12"/>
    <w:link w:val="91"/>
    <w:qFormat/>
    <w:uiPriority w:val="99"/>
    <w:rPr>
      <w:rFonts w:ascii="Times New Roman" w:hAnsi="Times New Roman"/>
      <w:b/>
      <w:bCs/>
      <w:sz w:val="24"/>
      <w:szCs w:val="24"/>
    </w:rPr>
  </w:style>
  <w:style w:type="paragraph" w:styleId="31">
    <w:name w:val="Body Text First Indent 2"/>
    <w:basedOn w:val="14"/>
    <w:link w:val="100"/>
    <w:qFormat/>
    <w:uiPriority w:val="0"/>
    <w:pPr>
      <w:spacing w:after="120"/>
      <w:ind w:left="420" w:firstLine="210" w:firstLineChars="0"/>
    </w:pPr>
    <w:rPr>
      <w:rFonts w:hint="eastAsia" w:ascii="宋体" w:hAnsi="宋体"/>
      <w:spacing w:val="0"/>
      <w:sz w:val="21"/>
      <w:szCs w:val="20"/>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unhideWhenUsed/>
    <w:qFormat/>
    <w:uiPriority w:val="99"/>
    <w:rPr>
      <w:color w:val="0000FF"/>
      <w:u w:val="single"/>
    </w:rPr>
  </w:style>
  <w:style w:type="character" w:styleId="39">
    <w:name w:val="annotation reference"/>
    <w:basedOn w:val="34"/>
    <w:qFormat/>
    <w:uiPriority w:val="99"/>
    <w:rPr>
      <w:rFonts w:cs="Times New Roman"/>
      <w:sz w:val="21"/>
    </w:rPr>
  </w:style>
  <w:style w:type="character" w:customStyle="1" w:styleId="40">
    <w:name w:val="标题 1 Char"/>
    <w:link w:val="2"/>
    <w:qFormat/>
    <w:locked/>
    <w:uiPriority w:val="0"/>
    <w:rPr>
      <w:rFonts w:eastAsia="宋体"/>
      <w:b/>
      <w:bCs/>
      <w:kern w:val="44"/>
      <w:sz w:val="28"/>
      <w:szCs w:val="44"/>
      <w:lang w:val="en-US" w:eastAsia="zh-CN" w:bidi="ar-SA"/>
    </w:rPr>
  </w:style>
  <w:style w:type="character" w:customStyle="1" w:styleId="41">
    <w:name w:val="标题 2 Char1"/>
    <w:link w:val="3"/>
    <w:qFormat/>
    <w:uiPriority w:val="9"/>
    <w:rPr>
      <w:rFonts w:ascii="Arial" w:hAnsi="Arial" w:eastAsia="黑体"/>
      <w:b/>
      <w:bCs/>
      <w:kern w:val="2"/>
      <w:sz w:val="32"/>
      <w:szCs w:val="32"/>
    </w:rPr>
  </w:style>
  <w:style w:type="character" w:customStyle="1" w:styleId="42">
    <w:name w:val="标题 3 Char"/>
    <w:link w:val="4"/>
    <w:qFormat/>
    <w:uiPriority w:val="9"/>
    <w:rPr>
      <w:b/>
      <w:bCs/>
      <w:kern w:val="2"/>
      <w:sz w:val="32"/>
      <w:szCs w:val="32"/>
    </w:rPr>
  </w:style>
  <w:style w:type="character" w:customStyle="1" w:styleId="43">
    <w:name w:val="标题 4 Char"/>
    <w:link w:val="5"/>
    <w:qFormat/>
    <w:uiPriority w:val="99"/>
    <w:rPr>
      <w:b/>
      <w:kern w:val="28"/>
      <w:sz w:val="24"/>
    </w:rPr>
  </w:style>
  <w:style w:type="character" w:customStyle="1" w:styleId="44">
    <w:name w:val="标题 5 Char"/>
    <w:basedOn w:val="34"/>
    <w:link w:val="6"/>
    <w:qFormat/>
    <w:uiPriority w:val="99"/>
    <w:rPr>
      <w:rFonts w:ascii="Times New Roman" w:hAnsi="Times New Roman"/>
      <w:b/>
      <w:bCs/>
      <w:kern w:val="2"/>
      <w:sz w:val="28"/>
      <w:szCs w:val="28"/>
    </w:rPr>
  </w:style>
  <w:style w:type="character" w:customStyle="1" w:styleId="45">
    <w:name w:val="标题 6 Char"/>
    <w:basedOn w:val="34"/>
    <w:link w:val="7"/>
    <w:qFormat/>
    <w:uiPriority w:val="99"/>
    <w:rPr>
      <w:rFonts w:ascii="Arial" w:hAnsi="Arial" w:eastAsia="黑体"/>
      <w:b/>
      <w:bCs/>
      <w:kern w:val="2"/>
      <w:sz w:val="24"/>
      <w:szCs w:val="24"/>
    </w:rPr>
  </w:style>
  <w:style w:type="character" w:customStyle="1" w:styleId="46">
    <w:name w:val="标题 7 Char"/>
    <w:basedOn w:val="34"/>
    <w:link w:val="8"/>
    <w:qFormat/>
    <w:uiPriority w:val="99"/>
    <w:rPr>
      <w:rFonts w:ascii="Times New Roman" w:hAnsi="Times New Roman"/>
      <w:b/>
      <w:bCs/>
      <w:kern w:val="2"/>
      <w:sz w:val="24"/>
      <w:szCs w:val="24"/>
    </w:rPr>
  </w:style>
  <w:style w:type="character" w:customStyle="1" w:styleId="47">
    <w:name w:val="标题 8 Char"/>
    <w:basedOn w:val="34"/>
    <w:link w:val="9"/>
    <w:qFormat/>
    <w:uiPriority w:val="99"/>
    <w:rPr>
      <w:rFonts w:ascii="Arial" w:hAnsi="Arial" w:eastAsia="黑体"/>
      <w:kern w:val="2"/>
      <w:sz w:val="24"/>
      <w:szCs w:val="24"/>
    </w:rPr>
  </w:style>
  <w:style w:type="character" w:customStyle="1" w:styleId="48">
    <w:name w:val="标题 9 Char"/>
    <w:basedOn w:val="34"/>
    <w:link w:val="10"/>
    <w:qFormat/>
    <w:uiPriority w:val="99"/>
    <w:rPr>
      <w:rFonts w:ascii="Arial" w:hAnsi="Arial" w:eastAsia="黑体"/>
      <w:kern w:val="2"/>
      <w:sz w:val="21"/>
      <w:szCs w:val="21"/>
    </w:rPr>
  </w:style>
  <w:style w:type="character" w:customStyle="1" w:styleId="49">
    <w:name w:val="批注文字 Char1"/>
    <w:link w:val="12"/>
    <w:qFormat/>
    <w:uiPriority w:val="99"/>
    <w:rPr>
      <w:rFonts w:ascii="Calibri" w:hAnsi="Calibri"/>
      <w:kern w:val="2"/>
      <w:sz w:val="21"/>
      <w:szCs w:val="22"/>
    </w:rPr>
  </w:style>
  <w:style w:type="character" w:customStyle="1" w:styleId="50">
    <w:name w:val="正文文本 Char"/>
    <w:link w:val="13"/>
    <w:qFormat/>
    <w:uiPriority w:val="0"/>
    <w:rPr>
      <w:spacing w:val="-5"/>
      <w:sz w:val="30"/>
    </w:rPr>
  </w:style>
  <w:style w:type="character" w:customStyle="1" w:styleId="51">
    <w:name w:val="纯文本 Char"/>
    <w:link w:val="17"/>
    <w:qFormat/>
    <w:uiPriority w:val="0"/>
    <w:rPr>
      <w:rFonts w:ascii="宋体" w:hAnsi="Courier New" w:cs="宋体"/>
      <w:kern w:val="2"/>
      <w:sz w:val="21"/>
      <w:szCs w:val="21"/>
    </w:rPr>
  </w:style>
  <w:style w:type="character" w:customStyle="1" w:styleId="52">
    <w:name w:val="日期 Char"/>
    <w:basedOn w:val="34"/>
    <w:link w:val="18"/>
    <w:qFormat/>
    <w:locked/>
    <w:uiPriority w:val="0"/>
    <w:rPr>
      <w:kern w:val="2"/>
      <w:sz w:val="21"/>
      <w:szCs w:val="22"/>
    </w:rPr>
  </w:style>
  <w:style w:type="character" w:customStyle="1" w:styleId="53">
    <w:name w:val="批注框文本 Char"/>
    <w:link w:val="20"/>
    <w:qFormat/>
    <w:uiPriority w:val="0"/>
    <w:rPr>
      <w:rFonts w:ascii="Calibri" w:hAnsi="Calibri"/>
      <w:kern w:val="2"/>
      <w:sz w:val="18"/>
      <w:szCs w:val="18"/>
    </w:rPr>
  </w:style>
  <w:style w:type="character" w:customStyle="1" w:styleId="54">
    <w:name w:val="页脚 Char"/>
    <w:link w:val="21"/>
    <w:qFormat/>
    <w:uiPriority w:val="99"/>
    <w:rPr>
      <w:rFonts w:ascii="Calibri" w:hAnsi="Calibri"/>
      <w:kern w:val="2"/>
      <w:sz w:val="18"/>
      <w:szCs w:val="18"/>
    </w:rPr>
  </w:style>
  <w:style w:type="character" w:customStyle="1" w:styleId="55">
    <w:name w:val="页眉 Char"/>
    <w:link w:val="22"/>
    <w:qFormat/>
    <w:uiPriority w:val="99"/>
    <w:rPr>
      <w:rFonts w:ascii="Calibri" w:hAnsi="Calibri"/>
      <w:kern w:val="2"/>
      <w:sz w:val="18"/>
      <w:szCs w:val="18"/>
    </w:rPr>
  </w:style>
  <w:style w:type="character" w:customStyle="1" w:styleId="56">
    <w:name w:val="font01"/>
    <w:qFormat/>
    <w:uiPriority w:val="0"/>
    <w:rPr>
      <w:rFonts w:hint="eastAsia" w:ascii="宋体" w:hAnsi="宋体" w:eastAsia="宋体" w:cs="宋体"/>
      <w:color w:val="000000"/>
      <w:sz w:val="15"/>
      <w:szCs w:val="15"/>
      <w:u w:val="none"/>
    </w:rPr>
  </w:style>
  <w:style w:type="character" w:customStyle="1" w:styleId="57">
    <w:name w:val="font71"/>
    <w:qFormat/>
    <w:uiPriority w:val="0"/>
    <w:rPr>
      <w:rFonts w:hint="default" w:ascii="Times New Roman" w:hAnsi="Times New Roman" w:cs="Times New Roman"/>
      <w:color w:val="000000"/>
      <w:sz w:val="18"/>
      <w:szCs w:val="18"/>
      <w:u w:val="none"/>
    </w:rPr>
  </w:style>
  <w:style w:type="character" w:customStyle="1" w:styleId="58">
    <w:name w:val="段 Char"/>
    <w:link w:val="59"/>
    <w:qFormat/>
    <w:uiPriority w:val="99"/>
    <w:rPr>
      <w:rFonts w:ascii="宋体" w:cs="宋体"/>
      <w:sz w:val="21"/>
      <w:szCs w:val="21"/>
    </w:rPr>
  </w:style>
  <w:style w:type="paragraph" w:customStyle="1" w:styleId="59">
    <w:name w:val="段"/>
    <w:link w:val="58"/>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60">
    <w:name w:val="font51"/>
    <w:qFormat/>
    <w:uiPriority w:val="0"/>
    <w:rPr>
      <w:rFonts w:hint="default" w:ascii="Times New Roman" w:hAnsi="Times New Roman" w:cs="Times New Roman"/>
      <w:color w:val="000000"/>
      <w:sz w:val="18"/>
      <w:szCs w:val="18"/>
      <w:u w:val="none"/>
    </w:rPr>
  </w:style>
  <w:style w:type="character" w:customStyle="1" w:styleId="61">
    <w:name w:val="font31"/>
    <w:qFormat/>
    <w:uiPriority w:val="0"/>
    <w:rPr>
      <w:rFonts w:hint="eastAsia" w:ascii="宋体" w:hAnsi="宋体" w:eastAsia="宋体" w:cs="宋体"/>
      <w:color w:val="000000"/>
      <w:sz w:val="15"/>
      <w:szCs w:val="15"/>
      <w:u w:val="none"/>
    </w:rPr>
  </w:style>
  <w:style w:type="character" w:customStyle="1" w:styleId="62">
    <w:name w:val="apple-converted-space"/>
    <w:basedOn w:val="34"/>
    <w:qFormat/>
    <w:uiPriority w:val="99"/>
  </w:style>
  <w:style w:type="paragraph" w:customStyle="1" w:styleId="63">
    <w:name w:val="列表段落1"/>
    <w:basedOn w:val="1"/>
    <w:qFormat/>
    <w:uiPriority w:val="99"/>
    <w:pPr>
      <w:ind w:firstLine="420" w:firstLineChars="200"/>
    </w:pPr>
  </w:style>
  <w:style w:type="paragraph" w:customStyle="1" w:styleId="64">
    <w:name w:val="四级条标题"/>
    <w:basedOn w:val="65"/>
    <w:next w:val="59"/>
    <w:qFormat/>
    <w:uiPriority w:val="99"/>
    <w:pPr>
      <w:numPr>
        <w:ilvl w:val="5"/>
      </w:numPr>
      <w:outlineLvl w:val="5"/>
    </w:pPr>
  </w:style>
  <w:style w:type="paragraph" w:customStyle="1" w:styleId="65">
    <w:name w:val="三级条标题"/>
    <w:basedOn w:val="66"/>
    <w:next w:val="59"/>
    <w:qFormat/>
    <w:uiPriority w:val="99"/>
    <w:pPr>
      <w:numPr>
        <w:ilvl w:val="4"/>
        <w:numId w:val="2"/>
      </w:numPr>
      <w:outlineLvl w:val="4"/>
    </w:pPr>
  </w:style>
  <w:style w:type="paragraph" w:customStyle="1" w:styleId="66">
    <w:name w:val="二级条标题"/>
    <w:basedOn w:val="67"/>
    <w:next w:val="59"/>
    <w:qFormat/>
    <w:uiPriority w:val="99"/>
    <w:pPr>
      <w:numPr>
        <w:ilvl w:val="0"/>
        <w:numId w:val="0"/>
      </w:numPr>
      <w:outlineLvl w:val="3"/>
    </w:pPr>
  </w:style>
  <w:style w:type="paragraph" w:customStyle="1" w:styleId="67">
    <w:name w:val="一级条标题"/>
    <w:basedOn w:val="68"/>
    <w:next w:val="59"/>
    <w:qFormat/>
    <w:uiPriority w:val="99"/>
    <w:pPr>
      <w:numPr>
        <w:ilvl w:val="2"/>
      </w:numPr>
      <w:spacing w:beforeLines="0" w:afterLines="0"/>
      <w:outlineLvl w:val="2"/>
    </w:pPr>
  </w:style>
  <w:style w:type="paragraph" w:customStyle="1" w:styleId="68">
    <w:name w:val="章标题"/>
    <w:next w:val="59"/>
    <w:link w:val="69"/>
    <w:qFormat/>
    <w:uiPriority w:val="99"/>
    <w:pPr>
      <w:numPr>
        <w:ilvl w:val="1"/>
        <w:numId w:val="2"/>
      </w:numPr>
      <w:spacing w:beforeLines="50" w:afterLines="50"/>
      <w:jc w:val="both"/>
      <w:outlineLvl w:val="1"/>
    </w:pPr>
    <w:rPr>
      <w:rFonts w:ascii="黑体" w:hAnsi="Times New Roman" w:eastAsia="黑体" w:cs="黑体"/>
      <w:sz w:val="21"/>
      <w:szCs w:val="21"/>
      <w:lang w:val="en-US" w:eastAsia="zh-CN" w:bidi="ar-SA"/>
    </w:rPr>
  </w:style>
  <w:style w:type="character" w:customStyle="1" w:styleId="69">
    <w:name w:val="章标题 Char Char"/>
    <w:link w:val="68"/>
    <w:qFormat/>
    <w:locked/>
    <w:uiPriority w:val="0"/>
    <w:rPr>
      <w:rFonts w:ascii="黑体" w:hAnsi="Times New Roman" w:eastAsia="黑体" w:cs="黑体"/>
      <w:sz w:val="21"/>
      <w:szCs w:val="21"/>
    </w:rPr>
  </w:style>
  <w:style w:type="paragraph" w:customStyle="1" w:styleId="70">
    <w:name w:val="前言、引言标题"/>
    <w:next w:val="1"/>
    <w:qFormat/>
    <w:uiPriority w:val="99"/>
    <w:pPr>
      <w:numPr>
        <w:ilvl w:val="0"/>
        <w:numId w:val="2"/>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71">
    <w:name w:val="样式1"/>
    <w:basedOn w:val="1"/>
    <w:qFormat/>
    <w:uiPriority w:val="0"/>
    <w:pPr>
      <w:tabs>
        <w:tab w:val="left" w:pos="525"/>
      </w:tabs>
    </w:pPr>
    <w:rPr>
      <w:rFonts w:ascii="宋体" w:hAnsi="宋体" w:cs="宋体"/>
      <w:szCs w:val="21"/>
    </w:rPr>
  </w:style>
  <w:style w:type="paragraph" w:styleId="72">
    <w:name w:val="No Spacing"/>
    <w:qFormat/>
    <w:uiPriority w:val="99"/>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73">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 w:type="paragraph" w:customStyle="1" w:styleId="74">
    <w:name w:val="Char Char Char1 Char Char Char Char 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75">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6">
    <w:name w:val="五级条标题"/>
    <w:basedOn w:val="64"/>
    <w:next w:val="59"/>
    <w:qFormat/>
    <w:uiPriority w:val="99"/>
    <w:pPr>
      <w:numPr>
        <w:ilvl w:val="6"/>
      </w:numPr>
      <w:outlineLvl w:val="6"/>
    </w:pPr>
  </w:style>
  <w:style w:type="paragraph" w:customStyle="1" w:styleId="7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正文表标题"/>
    <w:next w:val="59"/>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79">
    <w:name w:val="基准页眉样式"/>
    <w:basedOn w:val="13"/>
    <w:qFormat/>
    <w:uiPriority w:val="0"/>
    <w:pPr>
      <w:keepLines/>
      <w:tabs>
        <w:tab w:val="center" w:pos="4320"/>
        <w:tab w:val="right" w:pos="8640"/>
      </w:tabs>
      <w:spacing w:after="0"/>
    </w:p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封面标准号2"/>
    <w:basedOn w:val="1"/>
    <w:qFormat/>
    <w:uiPriority w:val="0"/>
  </w:style>
  <w:style w:type="character" w:customStyle="1" w:styleId="82">
    <w:name w:val="标题 2 Char"/>
    <w:qFormat/>
    <w:uiPriority w:val="9"/>
    <w:rPr>
      <w:rFonts w:ascii="Cambria" w:hAnsi="Cambria" w:eastAsia="宋体" w:cs="Times New Roman"/>
      <w:b/>
      <w:bCs/>
      <w:kern w:val="2"/>
      <w:sz w:val="32"/>
      <w:szCs w:val="32"/>
    </w:rPr>
  </w:style>
  <w:style w:type="paragraph" w:customStyle="1" w:styleId="83">
    <w:name w:val="列出段落1"/>
    <w:basedOn w:val="1"/>
    <w:qFormat/>
    <w:uiPriority w:val="99"/>
    <w:pPr>
      <w:ind w:firstLine="420" w:firstLineChars="200"/>
    </w:pPr>
    <w:rPr>
      <w:rFonts w:ascii="Times New Roman" w:hAnsi="Times New Roman"/>
      <w:szCs w:val="24"/>
    </w:rPr>
  </w:style>
  <w:style w:type="paragraph" w:styleId="84">
    <w:name w:val="List Paragraph"/>
    <w:basedOn w:val="1"/>
    <w:unhideWhenUsed/>
    <w:qFormat/>
    <w:uiPriority w:val="34"/>
    <w:pPr>
      <w:ind w:firstLine="420" w:firstLineChars="200"/>
    </w:pPr>
  </w:style>
  <w:style w:type="character" w:customStyle="1" w:styleId="85">
    <w:name w:val="font11"/>
    <w:basedOn w:val="34"/>
    <w:qFormat/>
    <w:uiPriority w:val="0"/>
    <w:rPr>
      <w:rFonts w:ascii="宋体" w:hAnsi="宋体"/>
      <w:color w:val="000000"/>
      <w:vertAlign w:val="subscript"/>
    </w:rPr>
  </w:style>
  <w:style w:type="character" w:customStyle="1" w:styleId="86">
    <w:name w:val="font21"/>
    <w:basedOn w:val="34"/>
    <w:qFormat/>
    <w:uiPriority w:val="0"/>
    <w:rPr>
      <w:rFonts w:ascii="宋体" w:hAnsi="宋体"/>
      <w:color w:val="000000"/>
      <w:vertAlign w:val="superscript"/>
    </w:rPr>
  </w:style>
  <w:style w:type="paragraph" w:customStyle="1" w:styleId="87">
    <w:name w:val="列项——（一级）"/>
    <w:link w:val="88"/>
    <w:qFormat/>
    <w:uiPriority w:val="99"/>
    <w:pPr>
      <w:widowControl w:val="0"/>
      <w:numPr>
        <w:ilvl w:val="0"/>
        <w:numId w:val="4"/>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character" w:customStyle="1" w:styleId="88">
    <w:name w:val="列项——（一级） Char"/>
    <w:link w:val="87"/>
    <w:qFormat/>
    <w:locked/>
    <w:uiPriority w:val="99"/>
    <w:rPr>
      <w:rFonts w:ascii="宋体" w:hAnsi="Times New Roman"/>
      <w:sz w:val="21"/>
    </w:rPr>
  </w:style>
  <w:style w:type="character" w:customStyle="1" w:styleId="89">
    <w:name w:val="HTML 预设格式 Char"/>
    <w:basedOn w:val="34"/>
    <w:link w:val="27"/>
    <w:qFormat/>
    <w:uiPriority w:val="99"/>
    <w:rPr>
      <w:rFonts w:ascii="宋体" w:hAnsi="Times New Roman"/>
      <w:sz w:val="24"/>
      <w:szCs w:val="24"/>
    </w:rPr>
  </w:style>
  <w:style w:type="character" w:customStyle="1" w:styleId="90">
    <w:name w:val="标题 Char"/>
    <w:basedOn w:val="34"/>
    <w:link w:val="29"/>
    <w:qFormat/>
    <w:uiPriority w:val="99"/>
    <w:rPr>
      <w:rFonts w:ascii="Arial" w:hAnsi="Arial"/>
      <w:b/>
      <w:bCs/>
      <w:kern w:val="2"/>
      <w:sz w:val="32"/>
      <w:szCs w:val="32"/>
    </w:rPr>
  </w:style>
  <w:style w:type="character" w:customStyle="1" w:styleId="91">
    <w:name w:val="批注主题 Char"/>
    <w:basedOn w:val="49"/>
    <w:link w:val="30"/>
    <w:qFormat/>
    <w:uiPriority w:val="99"/>
    <w:rPr>
      <w:rFonts w:ascii="Times New Roman" w:hAnsi="Times New Roman"/>
      <w:b/>
      <w:bCs/>
      <w:kern w:val="2"/>
      <w:sz w:val="24"/>
      <w:szCs w:val="24"/>
    </w:rPr>
  </w:style>
  <w:style w:type="character" w:customStyle="1" w:styleId="92">
    <w:name w:val="t_tag"/>
    <w:basedOn w:val="34"/>
    <w:qFormat/>
    <w:uiPriority w:val="99"/>
    <w:rPr>
      <w:rFonts w:cs="Times New Roman"/>
    </w:rPr>
  </w:style>
  <w:style w:type="character" w:customStyle="1" w:styleId="93">
    <w:name w:val="apple-style-span"/>
    <w:basedOn w:val="34"/>
    <w:qFormat/>
    <w:uiPriority w:val="99"/>
    <w:rPr>
      <w:rFonts w:cs="Times New Roman"/>
    </w:rPr>
  </w:style>
  <w:style w:type="character" w:styleId="94">
    <w:name w:val="Placeholder Text"/>
    <w:basedOn w:val="34"/>
    <w:qFormat/>
    <w:uiPriority w:val="99"/>
    <w:rPr>
      <w:rFonts w:cs="Times New Roman"/>
      <w:color w:val="808080"/>
    </w:rPr>
  </w:style>
  <w:style w:type="paragraph" w:customStyle="1" w:styleId="95">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96">
    <w:name w:val="正文文本缩进 Char"/>
    <w:basedOn w:val="34"/>
    <w:link w:val="14"/>
    <w:qFormat/>
    <w:uiPriority w:val="0"/>
    <w:rPr>
      <w:rFonts w:ascii="Times New Roman" w:hAnsi="Times New Roman"/>
      <w:spacing w:val="-2"/>
      <w:kern w:val="2"/>
      <w:sz w:val="24"/>
      <w:szCs w:val="24"/>
    </w:rPr>
  </w:style>
  <w:style w:type="character" w:customStyle="1" w:styleId="97">
    <w:name w:val="正文文本缩进 2 Char"/>
    <w:basedOn w:val="34"/>
    <w:link w:val="19"/>
    <w:uiPriority w:val="0"/>
    <w:rPr>
      <w:rFonts w:ascii="Times New Roman" w:hAnsi="Times New Roman"/>
      <w:kern w:val="2"/>
      <w:sz w:val="21"/>
      <w:szCs w:val="24"/>
    </w:rPr>
  </w:style>
  <w:style w:type="character" w:customStyle="1" w:styleId="98">
    <w:name w:val="正文文本缩进 3 Char"/>
    <w:basedOn w:val="34"/>
    <w:link w:val="24"/>
    <w:qFormat/>
    <w:uiPriority w:val="0"/>
    <w:rPr>
      <w:rFonts w:ascii="Times New Roman" w:hAnsi="Times New Roman"/>
      <w:kern w:val="2"/>
      <w:sz w:val="21"/>
      <w:szCs w:val="24"/>
    </w:rPr>
  </w:style>
  <w:style w:type="character" w:customStyle="1" w:styleId="99">
    <w:name w:val="正文文本 2 Char"/>
    <w:basedOn w:val="34"/>
    <w:link w:val="26"/>
    <w:uiPriority w:val="0"/>
    <w:rPr>
      <w:rFonts w:ascii="Times New Roman" w:hAnsi="Times New Roman"/>
      <w:spacing w:val="-10"/>
      <w:sz w:val="24"/>
      <w:szCs w:val="24"/>
    </w:rPr>
  </w:style>
  <w:style w:type="character" w:customStyle="1" w:styleId="100">
    <w:name w:val="正文首行缩进 2 Char"/>
    <w:basedOn w:val="96"/>
    <w:link w:val="31"/>
    <w:uiPriority w:val="0"/>
    <w:rPr>
      <w:rFonts w:ascii="宋体" w:hAnsi="宋体"/>
      <w:spacing w:val="-2"/>
      <w:kern w:val="2"/>
      <w:sz w:val="21"/>
      <w:szCs w:val="24"/>
    </w:rPr>
  </w:style>
  <w:style w:type="character" w:customStyle="1" w:styleId="101">
    <w:name w:val="Char Char1"/>
    <w:qFormat/>
    <w:locked/>
    <w:uiPriority w:val="0"/>
    <w:rPr>
      <w:rFonts w:ascii="宋体" w:hAnsi="宋体" w:eastAsia="宋体"/>
      <w:kern w:val="2"/>
      <w:sz w:val="21"/>
      <w:szCs w:val="24"/>
      <w:lang w:val="en-US" w:eastAsia="zh-CN" w:bidi="ar-SA"/>
    </w:rPr>
  </w:style>
  <w:style w:type="character" w:customStyle="1" w:styleId="102">
    <w:name w:val="Char Char2"/>
    <w:qFormat/>
    <w:locked/>
    <w:uiPriority w:val="0"/>
    <w:rPr>
      <w:rFonts w:ascii="宋体" w:hAnsi="宋体" w:eastAsia="宋体"/>
      <w:kern w:val="2"/>
      <w:sz w:val="24"/>
      <w:szCs w:val="24"/>
      <w:lang w:val="en-US" w:eastAsia="zh-CN" w:bidi="ar-SA"/>
    </w:rPr>
  </w:style>
  <w:style w:type="character" w:customStyle="1" w:styleId="103">
    <w:name w:val="Char Char12"/>
    <w:qFormat/>
    <w:uiPriority w:val="0"/>
    <w:rPr>
      <w:rFonts w:hint="default" w:ascii="Arial" w:hAnsi="Arial" w:eastAsia="黑体" w:cs="Arial"/>
      <w:b/>
      <w:kern w:val="2"/>
      <w:sz w:val="32"/>
      <w:szCs w:val="24"/>
      <w:lang w:val="en-US" w:eastAsia="zh-CN" w:bidi="ar-SA"/>
    </w:rPr>
  </w:style>
  <w:style w:type="character" w:customStyle="1" w:styleId="104">
    <w:name w:val="Char Char13"/>
    <w:qFormat/>
    <w:uiPriority w:val="0"/>
    <w:rPr>
      <w:rFonts w:hint="eastAsia" w:ascii="宋体" w:hAnsi="宋体" w:eastAsia="宋体"/>
      <w:b/>
      <w:kern w:val="44"/>
      <w:sz w:val="44"/>
      <w:szCs w:val="24"/>
      <w:lang w:val="en-US" w:eastAsia="zh-CN" w:bidi="ar-SA"/>
    </w:rPr>
  </w:style>
  <w:style w:type="character" w:customStyle="1" w:styleId="105">
    <w:name w:val="Char Char3"/>
    <w:qFormat/>
    <w:locked/>
    <w:uiPriority w:val="0"/>
    <w:rPr>
      <w:rFonts w:ascii="宋体" w:hAnsi="宋体" w:eastAsia="宋体"/>
      <w:spacing w:val="-2"/>
      <w:kern w:val="2"/>
      <w:sz w:val="24"/>
      <w:szCs w:val="24"/>
      <w:lang w:val="en-US" w:eastAsia="zh-CN" w:bidi="ar-SA"/>
    </w:rPr>
  </w:style>
  <w:style w:type="character" w:customStyle="1" w:styleId="106">
    <w:name w:val="Char Char4"/>
    <w:qFormat/>
    <w:locked/>
    <w:uiPriority w:val="0"/>
    <w:rPr>
      <w:rFonts w:ascii="宋体" w:hAnsi="Courier New" w:eastAsia="宋体"/>
      <w:kern w:val="2"/>
      <w:sz w:val="21"/>
      <w:szCs w:val="21"/>
      <w:lang w:val="en-US" w:eastAsia="zh-CN" w:bidi="ar-SA"/>
    </w:rPr>
  </w:style>
  <w:style w:type="character" w:customStyle="1" w:styleId="107">
    <w:name w:val="Char Char11"/>
    <w:qFormat/>
    <w:locked/>
    <w:uiPriority w:val="0"/>
    <w:rPr>
      <w:rFonts w:eastAsia="宋体"/>
      <w:b/>
      <w:bCs/>
      <w:kern w:val="2"/>
      <w:sz w:val="32"/>
      <w:szCs w:val="24"/>
      <w:lang w:val="en-US" w:eastAsia="zh-CN" w:bidi="ar-SA"/>
    </w:rPr>
  </w:style>
  <w:style w:type="character" w:customStyle="1" w:styleId="108">
    <w:name w:val="Char Char7"/>
    <w:qFormat/>
    <w:locked/>
    <w:uiPriority w:val="0"/>
    <w:rPr>
      <w:rFonts w:ascii="Calibri" w:hAnsi="Calibri" w:eastAsia="宋体"/>
      <w:kern w:val="2"/>
      <w:sz w:val="18"/>
      <w:szCs w:val="18"/>
      <w:lang w:val="en-US" w:eastAsia="zh-CN" w:bidi="ar-SA"/>
    </w:rPr>
  </w:style>
  <w:style w:type="character" w:customStyle="1" w:styleId="109">
    <w:name w:val="Char Char10"/>
    <w:qFormat/>
    <w:locked/>
    <w:uiPriority w:val="0"/>
    <w:rPr>
      <w:rFonts w:ascii="Cambria" w:hAnsi="Cambria" w:eastAsia="宋体" w:cs="宋体"/>
      <w:b/>
      <w:bCs/>
      <w:kern w:val="2"/>
      <w:sz w:val="21"/>
      <w:szCs w:val="32"/>
      <w:lang w:val="en-US" w:eastAsia="zh-CN" w:bidi="ar-SA"/>
    </w:rPr>
  </w:style>
  <w:style w:type="character" w:customStyle="1" w:styleId="110">
    <w:name w:val="Char Char"/>
    <w:locked/>
    <w:uiPriority w:val="0"/>
    <w:rPr>
      <w:rFonts w:ascii="宋体" w:hAnsi="宋体" w:eastAsia="宋体"/>
      <w:kern w:val="2"/>
      <w:sz w:val="21"/>
      <w:szCs w:val="24"/>
      <w:lang w:val="en-US" w:eastAsia="zh-CN" w:bidi="ar-SA"/>
    </w:rPr>
  </w:style>
  <w:style w:type="character" w:customStyle="1" w:styleId="111">
    <w:name w:val="发布"/>
    <w:qFormat/>
    <w:uiPriority w:val="0"/>
    <w:rPr>
      <w:rFonts w:hint="eastAsia" w:ascii="黑体" w:eastAsia="黑体"/>
      <w:spacing w:val="22"/>
      <w:w w:val="100"/>
      <w:position w:val="3"/>
      <w:sz w:val="28"/>
    </w:rPr>
  </w:style>
  <w:style w:type="character" w:customStyle="1" w:styleId="112">
    <w:name w:val="Char Char8"/>
    <w:qFormat/>
    <w:locked/>
    <w:uiPriority w:val="0"/>
    <w:rPr>
      <w:rFonts w:ascii="Calibri" w:hAnsi="Calibri" w:eastAsia="宋体"/>
      <w:kern w:val="2"/>
      <w:sz w:val="18"/>
      <w:szCs w:val="18"/>
      <w:lang w:val="en-US" w:eastAsia="zh-CN" w:bidi="ar-SA"/>
    </w:rPr>
  </w:style>
  <w:style w:type="character" w:customStyle="1" w:styleId="113">
    <w:name w:val="Char Char9"/>
    <w:qFormat/>
    <w:locked/>
    <w:uiPriority w:val="0"/>
    <w:rPr>
      <w:rFonts w:ascii="Calibri" w:hAnsi="Calibri" w:eastAsia="宋体" w:cs="宋体"/>
      <w:b/>
      <w:bCs/>
      <w:kern w:val="2"/>
      <w:sz w:val="21"/>
      <w:szCs w:val="32"/>
      <w:lang w:val="en-US" w:eastAsia="zh-CN" w:bidi="ar-SA"/>
    </w:rPr>
  </w:style>
  <w:style w:type="paragraph" w:customStyle="1" w:styleId="114">
    <w:name w:val="文献分类号"/>
    <w:qFormat/>
    <w:uiPriority w:val="99"/>
    <w:pPr>
      <w:framePr w:hSpace="180" w:vSpace="180" w:wrap="around" w:vAnchor="margin" w:hAnchor="margin" w:y="1" w:anchorLock="1"/>
      <w:widowControl w:val="0"/>
    </w:pPr>
    <w:rPr>
      <w:rFonts w:ascii="Times New Roman" w:hAnsi="Times New Roman" w:eastAsia="黑体" w:cs="Times New Roman"/>
      <w:sz w:val="21"/>
      <w:lang w:val="en-US" w:eastAsia="zh-CN" w:bidi="ar-SA"/>
    </w:rPr>
  </w:style>
  <w:style w:type="paragraph" w:customStyle="1" w:styleId="11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1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17">
    <w:name w:val="标准称谓"/>
    <w:next w:val="1"/>
    <w:qFormat/>
    <w:uiPriority w:val="0"/>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9">
    <w:name w:val="标准书眉一"/>
    <w:qFormat/>
    <w:uiPriority w:val="0"/>
    <w:pPr>
      <w:jc w:val="both"/>
    </w:pPr>
    <w:rPr>
      <w:rFonts w:ascii="Times New Roman" w:hAnsi="Times New Roman" w:eastAsia="宋体" w:cs="Times New Roman"/>
      <w:lang w:val="en-US" w:eastAsia="zh-CN" w:bidi="ar-SA"/>
    </w:rPr>
  </w:style>
  <w:style w:type="paragraph" w:customStyle="1" w:styleId="120">
    <w:name w:val="实施日期"/>
    <w:basedOn w:val="115"/>
    <w:qFormat/>
    <w:uiPriority w:val="0"/>
    <w:pPr>
      <w:framePr w:hSpace="0" w:xAlign="right"/>
      <w:jc w:val="right"/>
    </w:pPr>
  </w:style>
  <w:style w:type="paragraph" w:customStyle="1" w:styleId="121">
    <w:name w:val="封面正文"/>
    <w:qFormat/>
    <w:uiPriority w:val="0"/>
    <w:pPr>
      <w:jc w:val="both"/>
    </w:pPr>
    <w:rPr>
      <w:rFonts w:ascii="Times New Roman" w:hAnsi="Times New Roman" w:eastAsia="宋体" w:cs="Times New Roman"/>
      <w:lang w:val="en-US" w:eastAsia="zh-CN" w:bidi="ar-SA"/>
    </w:rPr>
  </w:style>
  <w:style w:type="paragraph" w:customStyle="1" w:styleId="122">
    <w:name w:val="TOC 标题1"/>
    <w:basedOn w:val="2"/>
    <w:next w:val="1"/>
    <w:qFormat/>
    <w:uiPriority w:val="39"/>
    <w:pPr>
      <w:keepNext/>
      <w:keepLines/>
      <w:widowControl/>
      <w:spacing w:before="480" w:line="276" w:lineRule="auto"/>
      <w:outlineLvl w:val="9"/>
    </w:pPr>
    <w:rPr>
      <w:rFonts w:ascii="Cambria" w:hAnsi="Cambria"/>
      <w:color w:val="365F91"/>
      <w:kern w:val="0"/>
      <w:szCs w:val="28"/>
    </w:rPr>
  </w:style>
  <w:style w:type="paragraph" w:customStyle="1" w:styleId="12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25">
    <w:name w:val="1"/>
    <w:basedOn w:val="1"/>
    <w:qFormat/>
    <w:uiPriority w:val="0"/>
    <w:pPr>
      <w:widowControl/>
      <w:spacing w:after="160" w:line="240" w:lineRule="exact"/>
      <w:jc w:val="left"/>
    </w:pPr>
    <w:rPr>
      <w:rFonts w:ascii="Verdana" w:hAnsi="Verdana"/>
      <w:kern w:val="0"/>
      <w:sz w:val="18"/>
      <w:szCs w:val="20"/>
      <w:lang w:eastAsia="en-US"/>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28">
    <w:name w:val="封面标准代替信息"/>
    <w:basedOn w:val="81"/>
    <w:qFormat/>
    <w:uiPriority w:val="0"/>
    <w:pPr>
      <w:framePr w:w="9138" w:h="1244" w:hRule="exact" w:wrap="around" w:vAnchor="page" w:hAnchor="margin" w:y="2908" w:anchorLock="1"/>
      <w:kinsoku w:val="0"/>
      <w:overflowPunct w:val="0"/>
      <w:autoSpaceDE w:val="0"/>
      <w:autoSpaceDN w:val="0"/>
      <w:adjustRightInd w:val="0"/>
      <w:spacing w:before="57" w:line="280" w:lineRule="exact"/>
      <w:jc w:val="right"/>
      <w:textAlignment w:val="center"/>
    </w:pPr>
    <w:rPr>
      <w:rFonts w:ascii="宋体" w:hAnsi="Times New Roman"/>
      <w:kern w:val="0"/>
      <w:szCs w:val="20"/>
    </w:rPr>
  </w:style>
  <w:style w:type="paragraph" w:customStyle="1" w:styleId="129">
    <w:name w:val="图表脚注"/>
    <w:next w:val="5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30">
    <w:name w:val="目次、标准名称标题"/>
    <w:basedOn w:val="70"/>
    <w:next w:val="1"/>
    <w:qFormat/>
    <w:uiPriority w:val="0"/>
    <w:pPr>
      <w:shd w:val="clear" w:color="auto" w:fill="FFFFFF"/>
      <w:spacing w:line="460" w:lineRule="exact"/>
    </w:pPr>
    <w:rPr>
      <w:rFonts w:cs="Times New Roman"/>
      <w:szCs w:val="20"/>
    </w:rPr>
  </w:style>
  <w:style w:type="character" w:customStyle="1" w:styleId="131">
    <w:name w:val="批注文字 Char"/>
    <w:qFormat/>
    <w:uiPriority w:val="0"/>
    <w:rPr>
      <w:rFonts w:ascii="Times New Roman" w:hAnsi="Times New Roman"/>
      <w:kern w:val="2"/>
      <w:sz w:val="21"/>
      <w:szCs w:val="21"/>
    </w:rPr>
  </w:style>
  <w:style w:type="character" w:customStyle="1" w:styleId="132">
    <w:name w:val="font61"/>
    <w:basedOn w:val="34"/>
    <w:uiPriority w:val="0"/>
    <w:rPr>
      <w:rFonts w:hint="default" w:ascii="Times New Roman" w:hAnsi="Times New Roman" w:eastAsia="宋体" w:cs="Times New Roman"/>
      <w:color w:val="000000"/>
      <w:sz w:val="18"/>
      <w:szCs w:val="18"/>
      <w:u w:val="none"/>
    </w:rPr>
  </w:style>
  <w:style w:type="character" w:customStyle="1" w:styleId="133">
    <w:name w:val="font41"/>
    <w:uiPriority w:val="0"/>
    <w:rPr>
      <w:rFonts w:hint="default" w:ascii="Times New Roman" w:hAnsi="Times New Roman" w:eastAsia="宋体"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image" Target="media/image5.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03186-9237-49A2-A735-559456EDE0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6954</Words>
  <Characters>39643</Characters>
  <Lines>330</Lines>
  <Paragraphs>93</Paragraphs>
  <TotalTime>15</TotalTime>
  <ScaleCrop>false</ScaleCrop>
  <LinksUpToDate>false</LinksUpToDate>
  <CharactersWithSpaces>46504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2020-09-14T02:41:00Z</dcterms:created>
  <dc:creator>ThinkPad</dc:creator>
  <cp:lastModifiedBy>WPS_1505917521</cp:lastModifiedBy>
  <cp:lastPrinted>2019-11-26T11:16:00Z</cp:lastPrinted>
  <dcterms:modified xsi:type="dcterms:W3CDTF">2020-09-14T08:19:03Z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