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jc w:val="center"/>
        <w:rPr>
          <w:bCs/>
          <w:sz w:val="52"/>
          <w:szCs w:val="52"/>
        </w:rPr>
      </w:pPr>
      <w:r>
        <w:rPr>
          <w:rFonts w:hint="eastAsia"/>
          <w:bCs/>
          <w:sz w:val="52"/>
          <w:szCs w:val="52"/>
        </w:rPr>
        <w:t>铜冶炼烟尘化学分析方法</w:t>
      </w:r>
    </w:p>
    <w:p>
      <w:pPr>
        <w:spacing w:line="360" w:lineRule="auto"/>
        <w:jc w:val="center"/>
        <w:rPr>
          <w:bCs/>
          <w:sz w:val="52"/>
          <w:szCs w:val="52"/>
        </w:rPr>
      </w:pPr>
      <w:r>
        <w:rPr>
          <w:rFonts w:hint="eastAsia"/>
          <w:bCs/>
          <w:sz w:val="52"/>
          <w:szCs w:val="52"/>
        </w:rPr>
        <w:t xml:space="preserve">第6部分：铟含量的测定 </w:t>
      </w:r>
    </w:p>
    <w:p>
      <w:pPr>
        <w:spacing w:line="360" w:lineRule="auto"/>
        <w:jc w:val="center"/>
        <w:rPr>
          <w:bCs/>
          <w:sz w:val="52"/>
          <w:szCs w:val="52"/>
        </w:rPr>
      </w:pPr>
      <w:r>
        <w:rPr>
          <w:rFonts w:hint="eastAsia"/>
          <w:bCs/>
          <w:sz w:val="52"/>
          <w:szCs w:val="52"/>
        </w:rPr>
        <w:t>火焰原子吸收光谱法</w:t>
      </w:r>
    </w:p>
    <w:p>
      <w:pPr>
        <w:spacing w:line="360" w:lineRule="auto"/>
        <w:rPr>
          <w:bCs/>
          <w:color w:val="000000"/>
          <w:sz w:val="28"/>
          <w:szCs w:val="28"/>
        </w:rPr>
      </w:pPr>
    </w:p>
    <w:p>
      <w:pPr>
        <w:spacing w:line="360" w:lineRule="auto"/>
        <w:rPr>
          <w:bCs/>
          <w:color w:val="000000"/>
          <w:sz w:val="28"/>
          <w:szCs w:val="28"/>
        </w:rPr>
      </w:pPr>
    </w:p>
    <w:p>
      <w:pPr>
        <w:spacing w:line="360" w:lineRule="auto"/>
        <w:jc w:val="center"/>
        <w:rPr>
          <w:bCs/>
          <w:sz w:val="52"/>
          <w:szCs w:val="72"/>
        </w:rPr>
      </w:pPr>
      <w:r>
        <w:rPr>
          <w:bCs/>
          <w:sz w:val="52"/>
          <w:szCs w:val="72"/>
        </w:rPr>
        <w:t>编制说明</w:t>
      </w: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jc w:val="center"/>
        <w:rPr>
          <w:bCs/>
          <w:color w:val="000000"/>
          <w:sz w:val="32"/>
          <w:szCs w:val="32"/>
        </w:rPr>
      </w:pPr>
      <w:r>
        <w:rPr>
          <w:bCs/>
          <w:color w:val="000000"/>
          <w:sz w:val="32"/>
          <w:szCs w:val="32"/>
        </w:rPr>
        <w:t>北矿检测技术有限公司</w:t>
      </w:r>
    </w:p>
    <w:p>
      <w:pPr>
        <w:spacing w:line="360" w:lineRule="auto"/>
        <w:jc w:val="center"/>
        <w:rPr>
          <w:bCs/>
          <w:color w:val="000000"/>
          <w:sz w:val="28"/>
          <w:szCs w:val="28"/>
        </w:rPr>
      </w:pPr>
      <w:r>
        <w:rPr>
          <w:rFonts w:hint="eastAsia"/>
          <w:bCs/>
          <w:color w:val="000000"/>
          <w:sz w:val="32"/>
          <w:szCs w:val="32"/>
        </w:rPr>
        <w:t>苏春风</w:t>
      </w:r>
      <w:r>
        <w:rPr>
          <w:bCs/>
          <w:color w:val="000000"/>
          <w:sz w:val="32"/>
          <w:szCs w:val="32"/>
        </w:rPr>
        <w:t xml:space="preserve"> </w:t>
      </w:r>
      <w:r>
        <w:rPr>
          <w:rFonts w:hint="eastAsia"/>
          <w:bCs/>
          <w:color w:val="000000"/>
          <w:sz w:val="32"/>
          <w:szCs w:val="32"/>
        </w:rPr>
        <w:t>罗海霞 阮桂色</w:t>
      </w:r>
      <w:r>
        <w:rPr>
          <w:bCs/>
          <w:color w:val="000000"/>
          <w:sz w:val="28"/>
          <w:szCs w:val="28"/>
        </w:rPr>
        <w:t xml:space="preserve">  </w:t>
      </w:r>
    </w:p>
    <w:p>
      <w:pPr>
        <w:spacing w:line="360" w:lineRule="auto"/>
        <w:jc w:val="center"/>
        <w:rPr>
          <w:bCs/>
          <w:color w:val="000000"/>
          <w:sz w:val="28"/>
          <w:szCs w:val="28"/>
        </w:rPr>
      </w:pPr>
    </w:p>
    <w:p>
      <w:pPr>
        <w:spacing w:line="360" w:lineRule="auto"/>
        <w:jc w:val="center"/>
        <w:rPr>
          <w:bCs/>
          <w:color w:val="000000"/>
          <w:sz w:val="28"/>
          <w:szCs w:val="28"/>
        </w:rPr>
      </w:pPr>
    </w:p>
    <w:p>
      <w:pPr>
        <w:spacing w:line="360" w:lineRule="auto"/>
        <w:jc w:val="center"/>
        <w:rPr>
          <w:sz w:val="32"/>
          <w:szCs w:val="32"/>
        </w:rPr>
      </w:pPr>
      <w:r>
        <w:rPr>
          <w:rFonts w:hint="eastAsia"/>
          <w:sz w:val="32"/>
          <w:szCs w:val="32"/>
        </w:rPr>
        <w:t>铜冶炼烟尘化学分析方法</w:t>
      </w:r>
    </w:p>
    <w:p>
      <w:pPr>
        <w:spacing w:line="360" w:lineRule="auto"/>
        <w:jc w:val="center"/>
        <w:rPr>
          <w:sz w:val="32"/>
          <w:szCs w:val="32"/>
        </w:rPr>
      </w:pPr>
      <w:r>
        <w:rPr>
          <w:rFonts w:hint="eastAsia"/>
          <w:sz w:val="32"/>
          <w:szCs w:val="32"/>
        </w:rPr>
        <w:t>第6部分：铟含量的测定 火焰原子吸收光谱法</w:t>
      </w:r>
    </w:p>
    <w:p>
      <w:pPr>
        <w:spacing w:line="360" w:lineRule="auto"/>
        <w:jc w:val="center"/>
        <w:rPr>
          <w:sz w:val="32"/>
          <w:szCs w:val="32"/>
        </w:rPr>
      </w:pPr>
      <w:r>
        <w:rPr>
          <w:sz w:val="32"/>
          <w:szCs w:val="32"/>
        </w:rPr>
        <w:t>编制说明</w:t>
      </w:r>
    </w:p>
    <w:p>
      <w:pPr>
        <w:spacing w:line="360" w:lineRule="auto"/>
        <w:rPr>
          <w:rFonts w:ascii="宋体" w:hAnsi="宋体"/>
          <w:b/>
          <w:sz w:val="24"/>
        </w:rPr>
      </w:pPr>
      <w:r>
        <w:rPr>
          <w:rFonts w:hint="eastAsia" w:ascii="宋体" w:hAnsi="宋体"/>
          <w:b/>
          <w:sz w:val="24"/>
        </w:rPr>
        <w:t>一、工作简况</w:t>
      </w:r>
    </w:p>
    <w:p>
      <w:pPr>
        <w:spacing w:line="360" w:lineRule="auto"/>
        <w:rPr>
          <w:rFonts w:ascii="黑体" w:hAnsi="黑体" w:eastAsia="黑体"/>
          <w:color w:val="000000"/>
          <w:szCs w:val="21"/>
        </w:rPr>
      </w:pPr>
      <w:r>
        <w:rPr>
          <w:rFonts w:hint="eastAsia" w:ascii="黑体" w:hAnsi="黑体" w:eastAsia="黑体"/>
          <w:color w:val="000000"/>
          <w:szCs w:val="21"/>
        </w:rPr>
        <w:t>1.1 方法概况</w:t>
      </w:r>
    </w:p>
    <w:p>
      <w:pPr>
        <w:spacing w:line="360" w:lineRule="auto"/>
        <w:rPr>
          <w:rFonts w:ascii="黑体" w:hAnsi="黑体" w:eastAsia="黑体"/>
          <w:szCs w:val="21"/>
        </w:rPr>
      </w:pPr>
      <w:r>
        <w:rPr>
          <w:rFonts w:ascii="黑体" w:hAnsi="黑体" w:eastAsia="黑体"/>
          <w:szCs w:val="21"/>
        </w:rPr>
        <w:t>1</w:t>
      </w:r>
      <w:r>
        <w:rPr>
          <w:rFonts w:hint="eastAsia" w:ascii="黑体" w:hAnsi="黑体" w:eastAsia="黑体"/>
          <w:szCs w:val="21"/>
        </w:rPr>
        <w:t>.1.1</w:t>
      </w:r>
      <w:r>
        <w:rPr>
          <w:rFonts w:ascii="黑体" w:hAnsi="黑体" w:eastAsia="黑体"/>
          <w:szCs w:val="21"/>
        </w:rPr>
        <w:t xml:space="preserve"> </w:t>
      </w:r>
      <w:r>
        <w:rPr>
          <w:rFonts w:hint="eastAsia" w:ascii="黑体" w:hAnsi="黑体" w:eastAsia="黑体"/>
          <w:szCs w:val="21"/>
        </w:rPr>
        <w:t>项目的必要性</w:t>
      </w:r>
    </w:p>
    <w:p>
      <w:pPr>
        <w:pStyle w:val="19"/>
        <w:ind w:left="214" w:leftChars="102"/>
        <w:rPr>
          <w:rFonts w:ascii="Times New Roman" w:hAnsi="Times New Roman"/>
          <w:color w:val="000000"/>
          <w:szCs w:val="21"/>
        </w:rPr>
      </w:pPr>
      <w:r>
        <w:rPr>
          <w:rFonts w:ascii="Times New Roman" w:hAnsi="Times New Roman"/>
          <w:color w:val="000000"/>
          <w:szCs w:val="21"/>
        </w:rPr>
        <w:t>在铜冶炼生产中，原料制备和火法冶炼各作业中，由于燃料的燃烧、气流对物料的携带作用以及高温下金属的挥发和氧化等物理化学作用，不可避免地产生大量烟气和烟尘。冶炼过程产生的烟尘，是某些金属在高温下挥发、氧化和冷凝形成的，烟尘中含有</w:t>
      </w:r>
      <w:r>
        <w:rPr>
          <w:rFonts w:hint="eastAsia" w:ascii="Times New Roman" w:hAnsi="Times New Roman"/>
          <w:color w:val="000000"/>
          <w:szCs w:val="21"/>
        </w:rPr>
        <w:t>铜、铅、锌、铋</w:t>
      </w:r>
      <w:r>
        <w:rPr>
          <w:rFonts w:ascii="Times New Roman" w:hAnsi="Times New Roman"/>
          <w:color w:val="000000"/>
          <w:szCs w:val="21"/>
        </w:rPr>
        <w:t>等多种金属及其化合物，并含有</w:t>
      </w:r>
      <w:r>
        <w:rPr>
          <w:rFonts w:hint="eastAsia" w:ascii="Times New Roman" w:hAnsi="Times New Roman"/>
          <w:color w:val="000000"/>
          <w:szCs w:val="21"/>
        </w:rPr>
        <w:t>铟、</w:t>
      </w:r>
      <w:r>
        <w:rPr>
          <w:rFonts w:ascii="Times New Roman" w:hAnsi="Times New Roman"/>
          <w:color w:val="000000"/>
          <w:szCs w:val="21"/>
        </w:rPr>
        <w:t>硒、碲、金、银等稀贵金属，它们皆是宝贵的综合利用原料</w:t>
      </w:r>
      <w:r>
        <w:rPr>
          <w:rFonts w:hint="eastAsia" w:ascii="宋体" w:hAnsi="宋体" w:cs="宋体"/>
          <w:szCs w:val="21"/>
        </w:rPr>
        <w:t>，而且铜烟尘中还含有砷、镉等有害元素，还会造成严重的环境污染</w:t>
      </w:r>
      <w:r>
        <w:rPr>
          <w:rFonts w:ascii="Times New Roman" w:hAnsi="Times New Roman"/>
          <w:color w:val="000000"/>
          <w:szCs w:val="21"/>
        </w:rPr>
        <w:t>。因此，对铜冶炼烟</w:t>
      </w:r>
      <w:r>
        <w:rPr>
          <w:rFonts w:hint="eastAsia" w:ascii="Times New Roman" w:hAnsi="Times New Roman"/>
          <w:color w:val="000000"/>
          <w:szCs w:val="21"/>
        </w:rPr>
        <w:t>尘</w:t>
      </w:r>
      <w:r>
        <w:rPr>
          <w:rFonts w:ascii="Times New Roman" w:hAnsi="Times New Roman"/>
          <w:color w:val="000000"/>
          <w:szCs w:val="21"/>
        </w:rPr>
        <w:t>若不加以净化回收，不仅会严重污染大气，而且也是资源的严重浪费。</w:t>
      </w:r>
    </w:p>
    <w:p>
      <w:pPr>
        <w:pStyle w:val="19"/>
        <w:ind w:left="214" w:leftChars="102"/>
        <w:rPr>
          <w:rFonts w:ascii="Times New Roman" w:hAnsi="Times New Roman"/>
          <w:color w:val="000000"/>
          <w:szCs w:val="21"/>
        </w:rPr>
      </w:pPr>
      <w:r>
        <w:rPr>
          <w:rFonts w:hint="eastAsia" w:ascii="Times New Roman" w:hAnsi="Times New Roman"/>
          <w:color w:val="000000"/>
          <w:szCs w:val="21"/>
        </w:rPr>
        <w:t>目前国内铜冶炼企业烟尘的年产量在</w:t>
      </w:r>
      <w:r>
        <w:rPr>
          <w:rFonts w:ascii="Times New Roman" w:hAnsi="Times New Roman"/>
          <w:color w:val="000000"/>
          <w:szCs w:val="21"/>
        </w:rPr>
        <w:t>20</w:t>
      </w:r>
      <w:r>
        <w:rPr>
          <w:rFonts w:hint="eastAsia" w:ascii="Times New Roman" w:hAnsi="Times New Roman"/>
          <w:color w:val="000000"/>
          <w:szCs w:val="21"/>
        </w:rPr>
        <w:t>万吨以上。在精矿资源紧张的环境下，各铜冶炼企业纷纷把烟尘作为新的原料提取其中有价金属。做到既增加经济效益，又保护环境的“双赢”局面。伴随着铜冶炼烟尘的综合回收工艺越来越成熟与相关</w:t>
      </w:r>
      <w:r>
        <w:rPr>
          <w:rFonts w:ascii="Times New Roman" w:hAnsi="Times New Roman"/>
          <w:color w:val="000000"/>
          <w:szCs w:val="21"/>
        </w:rPr>
        <w:t>市场需求</w:t>
      </w:r>
      <w:r>
        <w:rPr>
          <w:rFonts w:hint="eastAsia" w:ascii="Times New Roman" w:hAnsi="Times New Roman"/>
          <w:color w:val="000000"/>
          <w:szCs w:val="21"/>
        </w:rPr>
        <w:t>，铜冶炼烟尘的贸易也越来越频繁。</w:t>
      </w:r>
    </w:p>
    <w:p>
      <w:pPr>
        <w:ind w:firstLine="437"/>
        <w:rPr>
          <w:color w:val="000000"/>
          <w:szCs w:val="21"/>
        </w:rPr>
      </w:pPr>
      <w:r>
        <w:rPr>
          <w:rFonts w:hint="eastAsia"/>
          <w:color w:val="000000"/>
          <w:szCs w:val="21"/>
        </w:rPr>
        <w:t>因此，准确、快速测定出铜冶炼烟尘中各种成分，对铜冶炼烟尘的回收利用与治理、指导后续冶炼生产，均具有很重要的现实性和必要性。</w:t>
      </w:r>
    </w:p>
    <w:p>
      <w:pPr>
        <w:spacing w:line="360" w:lineRule="auto"/>
        <w:rPr>
          <w:rFonts w:ascii="黑体" w:hAnsi="黑体" w:eastAsia="黑体"/>
          <w:szCs w:val="21"/>
        </w:rPr>
      </w:pPr>
      <w:r>
        <w:rPr>
          <w:rFonts w:hint="eastAsia" w:ascii="黑体" w:hAnsi="黑体" w:eastAsia="黑体"/>
          <w:szCs w:val="21"/>
        </w:rPr>
        <w:t>1.1.2 适用范围</w:t>
      </w:r>
    </w:p>
    <w:p>
      <w:pPr>
        <w:rPr>
          <w:color w:val="000000"/>
          <w:szCs w:val="21"/>
        </w:rPr>
      </w:pPr>
      <w:r>
        <w:rPr>
          <w:rFonts w:hint="eastAsia"/>
          <w:color w:val="000000"/>
          <w:szCs w:val="21"/>
        </w:rPr>
        <w:t xml:space="preserve">    本标准适用于铜冶炼烟尘中铟含量的测定。测定范围：</w:t>
      </w:r>
      <w:r>
        <w:rPr>
          <w:spacing w:val="6"/>
          <w:sz w:val="24"/>
        </w:rPr>
        <w:t>0.0200%～0.100%</w:t>
      </w:r>
      <w:r>
        <w:rPr>
          <w:rFonts w:hint="eastAsia"/>
          <w:color w:val="000000"/>
          <w:szCs w:val="21"/>
        </w:rPr>
        <w:t>。</w:t>
      </w:r>
    </w:p>
    <w:p>
      <w:pPr>
        <w:spacing w:line="360" w:lineRule="auto"/>
        <w:rPr>
          <w:rFonts w:ascii="黑体" w:hAnsi="黑体" w:eastAsia="黑体"/>
          <w:szCs w:val="21"/>
        </w:rPr>
      </w:pPr>
      <w:r>
        <w:rPr>
          <w:rFonts w:hint="eastAsia" w:ascii="黑体" w:hAnsi="黑体" w:eastAsia="黑体"/>
          <w:szCs w:val="21"/>
        </w:rPr>
        <w:t>1.1.3可行性</w:t>
      </w:r>
    </w:p>
    <w:p>
      <w:pPr>
        <w:ind w:firstLine="435"/>
        <w:rPr>
          <w:color w:val="000000"/>
          <w:szCs w:val="21"/>
        </w:rPr>
      </w:pPr>
      <w:r>
        <w:rPr>
          <w:rFonts w:hint="eastAsia"/>
          <w:color w:val="000000"/>
          <w:szCs w:val="21"/>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公司拥有多台火焰原子吸收光谱仪、电感耦合等离子体原子发射光谱仪、电感耦合等离子体质谱仪，具备项目研究所需的仪器设备。标准起草人员多次参与有色行业标准的起草、验证等工作，具有丰富的方法研究经验。</w:t>
      </w:r>
    </w:p>
    <w:p>
      <w:pPr>
        <w:ind w:firstLine="435"/>
        <w:rPr>
          <w:color w:val="000000"/>
          <w:szCs w:val="21"/>
        </w:rPr>
      </w:pPr>
      <w:r>
        <w:rPr>
          <w:rFonts w:hint="eastAsia"/>
          <w:szCs w:val="21"/>
        </w:rPr>
        <w:t>目前国内市场上铜冶炼烟尘年产量达数万吨，本标准的建立对企业在后续生产及市场交易提供有力的指导。</w:t>
      </w:r>
      <w:r>
        <w:rPr>
          <w:rFonts w:hint="eastAsia"/>
          <w:color w:val="000000"/>
          <w:szCs w:val="21"/>
        </w:rPr>
        <w:t>本标准在起草、调研中得到了铜陵有色金属集团控股有限公司、紫金铜业有限公司、富民薪冶工贸有限公司等冶炼企业的积极响应。</w:t>
      </w:r>
    </w:p>
    <w:p>
      <w:pPr>
        <w:spacing w:line="360" w:lineRule="auto"/>
        <w:rPr>
          <w:rFonts w:ascii="黑体" w:hAnsi="黑体" w:eastAsia="黑体"/>
          <w:szCs w:val="21"/>
        </w:rPr>
      </w:pPr>
      <w:r>
        <w:rPr>
          <w:rFonts w:hint="eastAsia" w:ascii="黑体" w:hAnsi="黑体" w:eastAsia="黑体"/>
          <w:szCs w:val="21"/>
        </w:rPr>
        <w:t>1.1.4 要解决的主要问题</w:t>
      </w:r>
    </w:p>
    <w:p>
      <w:pPr>
        <w:rPr>
          <w:color w:val="000000"/>
          <w:szCs w:val="21"/>
        </w:rPr>
      </w:pPr>
      <w:r>
        <w:rPr>
          <w:rFonts w:hint="eastAsia"/>
          <w:color w:val="000000"/>
          <w:szCs w:val="21"/>
        </w:rPr>
        <w:t xml:space="preserve">  </w:t>
      </w:r>
      <w:r>
        <w:rPr>
          <w:rFonts w:hint="eastAsia"/>
          <w:szCs w:val="21"/>
        </w:rPr>
        <w:t xml:space="preserve">  目前国内尚无统一的铜冶炼烟尘化学分析方法。铜冶炼烟尘中含有计价元素铟，可以作为二次资源回收利用。准确测定铜冶炼烟尘中铟的含量，建立铟的检测分析方法，可为烟尘中回收有价金属提供重要依据。</w:t>
      </w:r>
    </w:p>
    <w:p>
      <w:pPr>
        <w:spacing w:line="360" w:lineRule="auto"/>
        <w:rPr>
          <w:rFonts w:ascii="黑体" w:hAnsi="黑体" w:eastAsia="黑体"/>
          <w:color w:val="000000"/>
          <w:szCs w:val="21"/>
        </w:rPr>
      </w:pPr>
      <w:r>
        <w:rPr>
          <w:rFonts w:hint="eastAsia" w:ascii="黑体" w:hAnsi="黑体" w:eastAsia="黑体"/>
          <w:color w:val="000000"/>
          <w:szCs w:val="21"/>
        </w:rPr>
        <w:t>1.2 任务来源</w:t>
      </w:r>
    </w:p>
    <w:p>
      <w:pPr>
        <w:ind w:firstLine="435"/>
        <w:rPr>
          <w:szCs w:val="21"/>
        </w:rPr>
      </w:pPr>
      <w:r>
        <w:rPr>
          <w:rFonts w:hint="eastAsia"/>
          <w:szCs w:val="21"/>
        </w:rPr>
        <w:t>根据国家标准化管理委员会及工业和信息化部标准计划项目的安排要求，全国有色金属标准化技术委员会“关于印发</w:t>
      </w:r>
      <w:r>
        <w:rPr>
          <w:rFonts w:hint="eastAsia"/>
          <w:color w:val="000000"/>
          <w:szCs w:val="21"/>
        </w:rPr>
        <w:t>对《铜冶炼烟尘化学分析方法》（共9个部分）、《粗锡化学分析方法》（共5个部分）、《铅冰铜》等25项行业标准进行了任务落实</w:t>
      </w:r>
      <w:r>
        <w:rPr>
          <w:rFonts w:hint="eastAsia"/>
          <w:szCs w:val="21"/>
        </w:rPr>
        <w:t>会会议的通知”（有色标委[2018]41号）及相关会议纪要的文件精神</w:t>
      </w:r>
      <w:r>
        <w:rPr>
          <w:szCs w:val="21"/>
        </w:rPr>
        <w:t>，确定《</w:t>
      </w:r>
      <w:r>
        <w:rPr>
          <w:rFonts w:hint="eastAsia"/>
          <w:szCs w:val="21"/>
        </w:rPr>
        <w:t xml:space="preserve">铜冶炼烟尘化学分析方法 </w:t>
      </w:r>
      <w:r>
        <w:rPr>
          <w:szCs w:val="21"/>
        </w:rPr>
        <w:t>第</w:t>
      </w:r>
      <w:r>
        <w:rPr>
          <w:rFonts w:hint="eastAsia"/>
          <w:szCs w:val="21"/>
        </w:rPr>
        <w:t>6</w:t>
      </w:r>
      <w:r>
        <w:rPr>
          <w:szCs w:val="21"/>
        </w:rPr>
        <w:t>部分：</w:t>
      </w:r>
      <w:r>
        <w:rPr>
          <w:rFonts w:hint="eastAsia"/>
          <w:szCs w:val="21"/>
        </w:rPr>
        <w:t>铟含</w:t>
      </w:r>
      <w:r>
        <w:rPr>
          <w:szCs w:val="21"/>
        </w:rPr>
        <w:t xml:space="preserve">量的测定  </w:t>
      </w:r>
      <w:r>
        <w:rPr>
          <w:rFonts w:hint="eastAsia"/>
          <w:szCs w:val="21"/>
        </w:rPr>
        <w:t>火焰原子吸收光谱法</w:t>
      </w:r>
      <w:r>
        <w:rPr>
          <w:szCs w:val="21"/>
        </w:rPr>
        <w:t>》由</w:t>
      </w:r>
      <w:r>
        <w:rPr>
          <w:rFonts w:hint="eastAsia"/>
          <w:szCs w:val="21"/>
        </w:rPr>
        <w:t>北矿检测技术有限公司</w:t>
      </w:r>
      <w:r>
        <w:rPr>
          <w:szCs w:val="21"/>
        </w:rPr>
        <w:t>负责起草</w:t>
      </w:r>
      <w:r>
        <w:rPr>
          <w:rFonts w:hint="eastAsia"/>
          <w:szCs w:val="21"/>
        </w:rPr>
        <w:t>。</w:t>
      </w:r>
      <w:r>
        <w:rPr>
          <w:szCs w:val="21"/>
        </w:rPr>
        <w:t>项目计划编号为2018-053</w:t>
      </w:r>
      <w:r>
        <w:rPr>
          <w:rFonts w:hint="eastAsia"/>
          <w:szCs w:val="21"/>
        </w:rPr>
        <w:t>2</w:t>
      </w:r>
      <w:r>
        <w:rPr>
          <w:szCs w:val="21"/>
        </w:rPr>
        <w:t>T-YS，完成时间为2020年</w:t>
      </w:r>
      <w:r>
        <w:rPr>
          <w:rFonts w:hint="eastAsia"/>
          <w:szCs w:val="21"/>
        </w:rPr>
        <w:t xml:space="preserve">  </w:t>
      </w:r>
    </w:p>
    <w:p>
      <w:pPr>
        <w:ind w:firstLine="435"/>
        <w:rPr>
          <w:color w:val="000000"/>
          <w:szCs w:val="21"/>
        </w:rPr>
      </w:pPr>
      <w:r>
        <w:rPr>
          <w:rFonts w:hint="eastAsia"/>
          <w:szCs w:val="21"/>
        </w:rPr>
        <w:t>协助起草单位包括</w:t>
      </w:r>
      <w:r>
        <w:rPr>
          <w:szCs w:val="21"/>
        </w:rPr>
        <w:t>深圳市中金岭南有色金属股份有限公司</w:t>
      </w:r>
      <w:r>
        <w:rPr>
          <w:rFonts w:hint="eastAsia"/>
          <w:szCs w:val="21"/>
        </w:rPr>
        <w:t>、广西</w:t>
      </w:r>
      <w:r>
        <w:rPr>
          <w:szCs w:val="21"/>
        </w:rPr>
        <w:t>中检</w:t>
      </w:r>
      <w:r>
        <w:rPr>
          <w:rFonts w:hint="eastAsia"/>
          <w:szCs w:val="21"/>
        </w:rPr>
        <w:t>检测技术服务</w:t>
      </w:r>
      <w:r>
        <w:rPr>
          <w:szCs w:val="21"/>
        </w:rPr>
        <w:t>有限公司、</w:t>
      </w:r>
      <w:r>
        <w:rPr>
          <w:rFonts w:hint="eastAsia"/>
          <w:szCs w:val="21"/>
        </w:rPr>
        <w:t>北</w:t>
      </w:r>
      <w:r>
        <w:rPr>
          <w:rFonts w:hint="eastAsia"/>
          <w:color w:val="000000"/>
          <w:szCs w:val="21"/>
        </w:rPr>
        <w:t>方铜业股份</w:t>
      </w:r>
      <w:r>
        <w:rPr>
          <w:color w:val="000000"/>
          <w:szCs w:val="21"/>
        </w:rPr>
        <w:t>有限公司、西北有色金属研究院、中</w:t>
      </w:r>
      <w:r>
        <w:rPr>
          <w:rFonts w:hint="eastAsia"/>
          <w:color w:val="000000"/>
          <w:szCs w:val="21"/>
        </w:rPr>
        <w:t>国有</w:t>
      </w:r>
      <w:r>
        <w:rPr>
          <w:color w:val="000000"/>
          <w:szCs w:val="21"/>
        </w:rPr>
        <w:t>色桂林矿产地质研究院有限公司</w:t>
      </w:r>
      <w:r>
        <w:rPr>
          <w:rFonts w:hint="eastAsia"/>
          <w:color w:val="000000"/>
          <w:szCs w:val="21"/>
        </w:rPr>
        <w:t>、</w:t>
      </w:r>
      <w:r>
        <w:rPr>
          <w:color w:val="000000"/>
          <w:szCs w:val="21"/>
        </w:rPr>
        <w:t>广东先导稀材股份有限公司</w:t>
      </w:r>
      <w:r>
        <w:rPr>
          <w:rFonts w:hint="eastAsia"/>
          <w:color w:val="000000"/>
          <w:szCs w:val="21"/>
        </w:rPr>
        <w:t>、</w:t>
      </w:r>
      <w:r>
        <w:rPr>
          <w:color w:val="000000"/>
          <w:szCs w:val="21"/>
        </w:rPr>
        <w:t>铜陵有色金属集团控股有限公司、株洲冶炼集团</w:t>
      </w:r>
      <w:r>
        <w:rPr>
          <w:rFonts w:hint="eastAsia"/>
          <w:color w:val="000000"/>
          <w:szCs w:val="21"/>
        </w:rPr>
        <w:t>股份</w:t>
      </w:r>
      <w:r>
        <w:rPr>
          <w:color w:val="000000"/>
          <w:szCs w:val="21"/>
        </w:rPr>
        <w:t>有限公司、紫金矿业集团股份有限公司、紫金铜业有限公司、浙江富冶集团有限</w:t>
      </w:r>
      <w:r>
        <w:rPr>
          <w:rFonts w:hint="eastAsia"/>
          <w:color w:val="000000"/>
          <w:szCs w:val="21"/>
        </w:rPr>
        <w:t>公司、</w:t>
      </w:r>
      <w:r>
        <w:rPr>
          <w:color w:val="000000"/>
          <w:szCs w:val="21"/>
        </w:rPr>
        <w:t>江西铜业股份有限公司等</w:t>
      </w:r>
      <w:r>
        <w:rPr>
          <w:rFonts w:hint="eastAsia"/>
          <w:color w:val="000000"/>
          <w:szCs w:val="21"/>
        </w:rPr>
        <w:t>，其中西北有色金属研究院自愿退出验证工作</w:t>
      </w:r>
      <w:r>
        <w:rPr>
          <w:color w:val="000000"/>
          <w:szCs w:val="21"/>
        </w:rPr>
        <w:t>。</w:t>
      </w:r>
    </w:p>
    <w:p>
      <w:pPr>
        <w:spacing w:line="360" w:lineRule="auto"/>
        <w:rPr>
          <w:rFonts w:ascii="黑体" w:hAnsi="黑体" w:eastAsia="黑体"/>
          <w:color w:val="000000"/>
          <w:szCs w:val="21"/>
        </w:rPr>
      </w:pPr>
      <w:r>
        <w:rPr>
          <w:rFonts w:hint="eastAsia" w:ascii="黑体" w:hAnsi="黑体" w:eastAsia="黑体"/>
          <w:color w:val="000000"/>
          <w:szCs w:val="21"/>
        </w:rPr>
        <w:t>1.3 本标准编制单位、起草人及所做工作</w:t>
      </w:r>
    </w:p>
    <w:p>
      <w:pPr>
        <w:rPr>
          <w:color w:val="000000"/>
          <w:szCs w:val="21"/>
        </w:rPr>
      </w:pPr>
      <w:r>
        <w:rPr>
          <w:rFonts w:hint="eastAsia"/>
          <w:color w:val="000000"/>
          <w:szCs w:val="21"/>
        </w:rPr>
        <w:t xml:space="preserve">    本标准</w:t>
      </w:r>
      <w:r>
        <w:rPr>
          <w:color w:val="000000"/>
          <w:szCs w:val="21"/>
        </w:rPr>
        <w:t>由</w:t>
      </w:r>
      <w:r>
        <w:rPr>
          <w:rFonts w:hint="eastAsia"/>
          <w:color w:val="000000"/>
          <w:szCs w:val="21"/>
        </w:rPr>
        <w:t>北矿检测技术有限公司</w:t>
      </w:r>
      <w:r>
        <w:rPr>
          <w:color w:val="000000"/>
          <w:szCs w:val="21"/>
        </w:rPr>
        <w:t>负责起草</w:t>
      </w:r>
      <w:r>
        <w:rPr>
          <w:rFonts w:hint="eastAsia"/>
          <w:color w:val="000000"/>
          <w:szCs w:val="21"/>
        </w:rPr>
        <w:t>，</w:t>
      </w:r>
      <w:r>
        <w:rPr>
          <w:color w:val="000000"/>
          <w:szCs w:val="21"/>
        </w:rPr>
        <w:t>主要起草人</w:t>
      </w:r>
      <w:r>
        <w:rPr>
          <w:rFonts w:hint="eastAsia"/>
          <w:color w:val="000000"/>
          <w:szCs w:val="21"/>
        </w:rPr>
        <w:t>为苏春风、罗海霞、阮桂色，主要负责本标准的方法制定、资料收集、技术参数的确定及标准条款的编写工作。</w:t>
      </w:r>
    </w:p>
    <w:p>
      <w:pPr>
        <w:ind w:firstLine="435"/>
        <w:rPr>
          <w:color w:val="000000"/>
          <w:szCs w:val="21"/>
        </w:rPr>
      </w:pPr>
      <w:r>
        <w:rPr>
          <w:color w:val="000000"/>
          <w:szCs w:val="21"/>
        </w:rPr>
        <w:t>本部分</w:t>
      </w:r>
      <w:r>
        <w:rPr>
          <w:rFonts w:hint="eastAsia"/>
          <w:color w:val="000000"/>
          <w:szCs w:val="21"/>
        </w:rPr>
        <w:t>参与起草单位包括</w:t>
      </w:r>
      <w:r>
        <w:rPr>
          <w:color w:val="000000"/>
          <w:szCs w:val="21"/>
        </w:rPr>
        <w:t>深圳市中金岭南有色金属股份有限公司</w:t>
      </w:r>
      <w:r>
        <w:rPr>
          <w:rFonts w:hint="eastAsia"/>
          <w:color w:val="000000"/>
          <w:szCs w:val="21"/>
        </w:rPr>
        <w:t>、广西</w:t>
      </w:r>
      <w:r>
        <w:rPr>
          <w:color w:val="000000"/>
          <w:szCs w:val="21"/>
        </w:rPr>
        <w:t>中检</w:t>
      </w:r>
      <w:r>
        <w:rPr>
          <w:rFonts w:hint="eastAsia"/>
          <w:color w:val="000000"/>
          <w:szCs w:val="21"/>
        </w:rPr>
        <w:t>检测技术服务</w:t>
      </w:r>
      <w:r>
        <w:rPr>
          <w:color w:val="000000"/>
          <w:szCs w:val="21"/>
        </w:rPr>
        <w:t>有限公司、</w:t>
      </w:r>
      <w:r>
        <w:rPr>
          <w:rFonts w:hint="eastAsia"/>
          <w:color w:val="000000"/>
          <w:szCs w:val="21"/>
        </w:rPr>
        <w:t>北方铜业股份</w:t>
      </w:r>
      <w:r>
        <w:rPr>
          <w:color w:val="000000"/>
          <w:szCs w:val="21"/>
        </w:rPr>
        <w:t>有限公司、中</w:t>
      </w:r>
      <w:r>
        <w:rPr>
          <w:rFonts w:hint="eastAsia"/>
          <w:color w:val="000000"/>
          <w:szCs w:val="21"/>
        </w:rPr>
        <w:t>国有</w:t>
      </w:r>
      <w:r>
        <w:rPr>
          <w:color w:val="000000"/>
          <w:szCs w:val="21"/>
        </w:rPr>
        <w:t>色桂林矿产地质研究院有限公司</w:t>
      </w:r>
      <w:r>
        <w:rPr>
          <w:rFonts w:hint="eastAsia"/>
          <w:color w:val="000000"/>
          <w:szCs w:val="21"/>
        </w:rPr>
        <w:t>、</w:t>
      </w:r>
      <w:r>
        <w:rPr>
          <w:color w:val="000000"/>
          <w:szCs w:val="21"/>
        </w:rPr>
        <w:t>广东先导稀材股份有限公司</w:t>
      </w:r>
      <w:r>
        <w:rPr>
          <w:rFonts w:hint="eastAsia"/>
          <w:color w:val="000000"/>
          <w:szCs w:val="21"/>
        </w:rPr>
        <w:t>、</w:t>
      </w:r>
      <w:r>
        <w:rPr>
          <w:color w:val="000000"/>
          <w:szCs w:val="21"/>
        </w:rPr>
        <w:t>铜陵有色金属集团控股有限公司、株洲冶炼集团</w:t>
      </w:r>
      <w:r>
        <w:rPr>
          <w:rFonts w:hint="eastAsia"/>
          <w:color w:val="000000"/>
          <w:szCs w:val="21"/>
        </w:rPr>
        <w:t>股份</w:t>
      </w:r>
      <w:r>
        <w:rPr>
          <w:color w:val="000000"/>
          <w:szCs w:val="21"/>
        </w:rPr>
        <w:t>有限公司、紫金矿业集团股份有限公司、紫金铜业有限公司、浙江富冶集团有限</w:t>
      </w:r>
      <w:r>
        <w:rPr>
          <w:rFonts w:hint="eastAsia"/>
          <w:color w:val="000000"/>
          <w:szCs w:val="21"/>
        </w:rPr>
        <w:t>公司、</w:t>
      </w:r>
      <w:r>
        <w:rPr>
          <w:color w:val="000000"/>
          <w:szCs w:val="21"/>
        </w:rPr>
        <w:t>江西铜业股份有限公司</w:t>
      </w:r>
      <w:r>
        <w:rPr>
          <w:rFonts w:hint="eastAsia"/>
          <w:color w:val="000000"/>
          <w:szCs w:val="21"/>
        </w:rPr>
        <w:t>。参与</w:t>
      </w:r>
      <w:r>
        <w:rPr>
          <w:color w:val="000000"/>
          <w:szCs w:val="21"/>
        </w:rPr>
        <w:t>起草人</w:t>
      </w:r>
      <w:r>
        <w:rPr>
          <w:rFonts w:hint="eastAsia"/>
          <w:color w:val="000000"/>
          <w:szCs w:val="21"/>
        </w:rPr>
        <w:t>为</w:t>
      </w:r>
      <w:r>
        <w:rPr>
          <w:color w:val="000000"/>
          <w:szCs w:val="21"/>
        </w:rPr>
        <w:t>：</w:t>
      </w:r>
      <w:r>
        <w:rPr>
          <w:rFonts w:hint="eastAsia"/>
          <w:szCs w:val="21"/>
        </w:rPr>
        <w:t>林叶、吴雪英、徐苗、周</w:t>
      </w:r>
      <w:r>
        <w:rPr>
          <w:szCs w:val="21"/>
        </w:rPr>
        <w:t>成东</w:t>
      </w:r>
      <w:r>
        <w:rPr>
          <w:rFonts w:hint="eastAsia"/>
          <w:szCs w:val="21"/>
        </w:rPr>
        <w:t>、唐荣盛、李琴美、谢喜清、林常兰、赖秋祥、李伟成、郭惠、王奕昀、魏雅娟、杨丁仙、杨旭忠、雷素函、郭寒攀、廖彬玲、朱吾金、钟美珍</w:t>
      </w:r>
      <w:r>
        <w:rPr>
          <w:rFonts w:hint="eastAsia"/>
          <w:color w:val="000000"/>
          <w:szCs w:val="21"/>
        </w:rPr>
        <w:t>等，主要负责本标准的验证工作。</w:t>
      </w:r>
    </w:p>
    <w:p>
      <w:pPr>
        <w:spacing w:line="360" w:lineRule="auto"/>
        <w:rPr>
          <w:rFonts w:ascii="黑体" w:hAnsi="黑体" w:eastAsia="黑体"/>
          <w:color w:val="000000"/>
          <w:szCs w:val="21"/>
        </w:rPr>
      </w:pPr>
      <w:r>
        <w:rPr>
          <w:rFonts w:hint="eastAsia" w:ascii="黑体" w:hAnsi="黑体" w:eastAsia="黑体"/>
          <w:color w:val="000000"/>
          <w:szCs w:val="21"/>
        </w:rPr>
        <w:t>1.4 主要工作过程</w:t>
      </w:r>
    </w:p>
    <w:p>
      <w:pPr>
        <w:ind w:firstLine="435"/>
        <w:rPr>
          <w:color w:val="000000"/>
          <w:szCs w:val="21"/>
        </w:rPr>
      </w:pPr>
      <w:r>
        <w:rPr>
          <w:rFonts w:hint="eastAsia"/>
          <w:color w:val="000000"/>
          <w:szCs w:val="21"/>
        </w:rPr>
        <w:t>2018年7月26日～27日全国有色金属标准化技术委员会在黑龙江省哈尔滨市召开了有色金属标准工作会议，会议确定了标准制定的起草单位和参与验证单位，落实了标准计划项目的进度安排和分工。</w:t>
      </w:r>
    </w:p>
    <w:p>
      <w:pPr>
        <w:ind w:firstLine="435"/>
        <w:rPr>
          <w:color w:val="000000"/>
          <w:szCs w:val="21"/>
        </w:rPr>
      </w:pPr>
      <w:r>
        <w:rPr>
          <w:color w:val="000000"/>
          <w:szCs w:val="21"/>
        </w:rPr>
        <w:t>1、2018年1</w:t>
      </w:r>
      <w:r>
        <w:rPr>
          <w:rFonts w:hint="eastAsia"/>
          <w:color w:val="000000"/>
          <w:szCs w:val="21"/>
        </w:rPr>
        <w:t>2</w:t>
      </w:r>
      <w:r>
        <w:rPr>
          <w:color w:val="000000"/>
          <w:szCs w:val="21"/>
        </w:rPr>
        <w:t>月底——</w:t>
      </w:r>
      <w:r>
        <w:rPr>
          <w:rFonts w:hint="eastAsia"/>
          <w:color w:val="000000"/>
          <w:szCs w:val="21"/>
        </w:rPr>
        <w:t>起草</w:t>
      </w:r>
      <w:r>
        <w:rPr>
          <w:color w:val="000000"/>
          <w:szCs w:val="21"/>
        </w:rPr>
        <w:t>单位完成样品采集；</w:t>
      </w:r>
    </w:p>
    <w:p>
      <w:pPr>
        <w:ind w:firstLine="435"/>
        <w:rPr>
          <w:color w:val="000000"/>
          <w:szCs w:val="21"/>
        </w:rPr>
      </w:pPr>
      <w:r>
        <w:rPr>
          <w:color w:val="000000"/>
          <w:szCs w:val="21"/>
        </w:rPr>
        <w:t>2、201</w:t>
      </w:r>
      <w:r>
        <w:rPr>
          <w:rFonts w:hint="eastAsia"/>
          <w:color w:val="000000"/>
          <w:szCs w:val="21"/>
        </w:rPr>
        <w:t>9</w:t>
      </w:r>
      <w:r>
        <w:rPr>
          <w:color w:val="000000"/>
          <w:szCs w:val="21"/>
        </w:rPr>
        <w:t>年</w:t>
      </w:r>
      <w:r>
        <w:rPr>
          <w:rFonts w:hint="eastAsia"/>
          <w:color w:val="000000"/>
          <w:szCs w:val="21"/>
        </w:rPr>
        <w:t>1—5</w:t>
      </w:r>
      <w:r>
        <w:rPr>
          <w:color w:val="000000"/>
          <w:szCs w:val="21"/>
        </w:rPr>
        <w:t>月——</w:t>
      </w:r>
      <w:r>
        <w:rPr>
          <w:rFonts w:hint="eastAsia"/>
          <w:color w:val="000000"/>
          <w:szCs w:val="21"/>
        </w:rPr>
        <w:t>起草单位实验室完成试验报告、标准草案、验证方案的编写和验证样品的分发工作</w:t>
      </w:r>
      <w:r>
        <w:rPr>
          <w:color w:val="000000"/>
          <w:szCs w:val="21"/>
        </w:rPr>
        <w:t>；</w:t>
      </w:r>
    </w:p>
    <w:p>
      <w:pPr>
        <w:ind w:firstLine="435"/>
        <w:rPr>
          <w:color w:val="000000"/>
          <w:szCs w:val="21"/>
        </w:rPr>
      </w:pPr>
      <w:r>
        <w:rPr>
          <w:color w:val="000000"/>
          <w:szCs w:val="21"/>
        </w:rPr>
        <w:t>3、2019年</w:t>
      </w:r>
      <w:r>
        <w:rPr>
          <w:rFonts w:hint="eastAsia"/>
          <w:color w:val="000000"/>
          <w:szCs w:val="21"/>
        </w:rPr>
        <w:t>6—11</w:t>
      </w:r>
      <w:r>
        <w:rPr>
          <w:color w:val="000000"/>
          <w:szCs w:val="21"/>
        </w:rPr>
        <w:t>月——</w:t>
      </w:r>
      <w:r>
        <w:rPr>
          <w:rFonts w:hint="eastAsia"/>
          <w:color w:val="000000"/>
          <w:szCs w:val="21"/>
        </w:rPr>
        <w:t>完成验证报告</w:t>
      </w:r>
      <w:r>
        <w:rPr>
          <w:color w:val="000000"/>
          <w:szCs w:val="21"/>
        </w:rPr>
        <w:t>；</w:t>
      </w:r>
    </w:p>
    <w:p>
      <w:pPr>
        <w:ind w:firstLine="435"/>
        <w:rPr>
          <w:color w:val="000000"/>
          <w:szCs w:val="21"/>
        </w:rPr>
      </w:pPr>
      <w:r>
        <w:rPr>
          <w:rFonts w:hint="eastAsia"/>
          <w:color w:val="000000"/>
          <w:szCs w:val="21"/>
        </w:rPr>
        <w:t>4、</w:t>
      </w:r>
      <w:r>
        <w:rPr>
          <w:color w:val="000000"/>
          <w:szCs w:val="21"/>
        </w:rPr>
        <w:t>2019年</w:t>
      </w:r>
      <w:r>
        <w:rPr>
          <w:rFonts w:hint="eastAsia"/>
          <w:color w:val="000000"/>
          <w:szCs w:val="21"/>
        </w:rPr>
        <w:t>11</w:t>
      </w:r>
      <w:r>
        <w:rPr>
          <w:color w:val="000000"/>
          <w:szCs w:val="21"/>
        </w:rPr>
        <w:t>月——主起草单位汇总各验证单位报告并进行数据处理形成报告</w:t>
      </w:r>
      <w:r>
        <w:rPr>
          <w:rFonts w:hint="eastAsia"/>
          <w:color w:val="000000"/>
          <w:szCs w:val="21"/>
        </w:rPr>
        <w:t>，</w:t>
      </w:r>
      <w:r>
        <w:rPr>
          <w:color w:val="000000"/>
          <w:szCs w:val="21"/>
        </w:rPr>
        <w:t>同时撰写编制说明和标准预审稿报预审会</w:t>
      </w:r>
      <w:r>
        <w:rPr>
          <w:rFonts w:hint="eastAsia"/>
          <w:color w:val="000000"/>
          <w:szCs w:val="21"/>
        </w:rPr>
        <w:t>；</w:t>
      </w:r>
    </w:p>
    <w:p>
      <w:pPr>
        <w:ind w:firstLine="435"/>
        <w:rPr>
          <w:color w:val="000000"/>
          <w:szCs w:val="21"/>
        </w:rPr>
      </w:pPr>
      <w:r>
        <w:rPr>
          <w:rFonts w:hint="eastAsia"/>
          <w:color w:val="000000"/>
          <w:szCs w:val="21"/>
        </w:rPr>
        <w:t>在此期间，各验证单位对本标准的主要修改意见如下：</w:t>
      </w:r>
    </w:p>
    <w:p>
      <w:pPr>
        <w:ind w:firstLine="420" w:firstLineChars="200"/>
        <w:rPr>
          <w:szCs w:val="21"/>
        </w:rPr>
      </w:pPr>
      <w:r>
        <w:rPr>
          <w:rFonts w:hint="eastAsia"/>
          <w:szCs w:val="21"/>
        </w:rPr>
        <w:t>1）条件试验中2.3 测定介质及酸度的选择中，盐酸和王水对铟的测定是有影响的，硝酸基本无影响，所以建议采用硝酸作为测定介质。（深圳市中金岭南有色金属股份有限公司）。不采纳（理由：试验过程中无明显差异，但考虑到试料中含有</w:t>
      </w:r>
      <w:r>
        <w:rPr>
          <w:szCs w:val="21"/>
        </w:rPr>
        <w:t>Sb</w:t>
      </w:r>
      <w:r>
        <w:rPr>
          <w:rFonts w:hint="eastAsia"/>
          <w:szCs w:val="21"/>
        </w:rPr>
        <w:t>、</w:t>
      </w:r>
      <w:r>
        <w:rPr>
          <w:szCs w:val="21"/>
        </w:rPr>
        <w:t>Bi</w:t>
      </w:r>
      <w:r>
        <w:rPr>
          <w:rFonts w:hint="eastAsia"/>
          <w:szCs w:val="21"/>
        </w:rPr>
        <w:t>、</w:t>
      </w:r>
      <w:r>
        <w:rPr>
          <w:szCs w:val="21"/>
        </w:rPr>
        <w:t>Sn</w:t>
      </w:r>
      <w:r>
        <w:rPr>
          <w:rFonts w:hint="eastAsia"/>
          <w:szCs w:val="21"/>
        </w:rPr>
        <w:t>等易水解元素，所以本方法选择</w:t>
      </w:r>
      <w:r>
        <w:rPr>
          <w:szCs w:val="21"/>
        </w:rPr>
        <w:t>10%</w:t>
      </w:r>
      <w:r>
        <w:rPr>
          <w:rFonts w:hint="eastAsia"/>
          <w:szCs w:val="21"/>
        </w:rPr>
        <w:t>的王水介质进行测定试。</w:t>
      </w:r>
    </w:p>
    <w:p>
      <w:pPr>
        <w:ind w:firstLine="420" w:firstLineChars="200"/>
        <w:rPr>
          <w:szCs w:val="21"/>
        </w:rPr>
      </w:pPr>
      <w:r>
        <w:rPr>
          <w:rFonts w:hint="eastAsia"/>
          <w:szCs w:val="21"/>
        </w:rPr>
        <w:t>2) 干扰试验中，锡对铟的测定呈负干扰，且随着铟浓度的增大而增大。建议采用氢溴酸溶样消除锡的干扰（深圳市中金岭南有色金属股份有限公司）。不采纳（理由：在4%Sn对铟的干扰基本无影响。在实际方法研究时做了氢溴酸溶样方法的探索，结果无明显差异）。</w:t>
      </w:r>
    </w:p>
    <w:p>
      <w:pPr>
        <w:ind w:firstLine="420" w:firstLineChars="200"/>
        <w:rPr>
          <w:szCs w:val="21"/>
        </w:rPr>
      </w:pPr>
      <w:r>
        <w:rPr>
          <w:rFonts w:hint="eastAsia"/>
          <w:szCs w:val="21"/>
        </w:rPr>
        <w:t>3）铜冶炼烟尘中主要存在元素中没有提到Si,为什么要加氢氟酸？从环保因素考虑，能不加尽量不加。（深圳市中金岭南有色金属股份有限公司）。不采纳（理由：铜冶炼烟尘中主要存在元素中没有提到Si，但不代表没有硅，实际方法研究时做了氢氟酸溶样试验，加氢氟酸后溶样效果明显好转）。</w:t>
      </w:r>
    </w:p>
    <w:p>
      <w:pPr>
        <w:ind w:firstLine="420" w:firstLineChars="200"/>
        <w:rPr>
          <w:szCs w:val="21"/>
        </w:rPr>
      </w:pPr>
      <w:r>
        <w:rPr>
          <w:rFonts w:hint="eastAsia"/>
          <w:szCs w:val="21"/>
        </w:rPr>
        <w:t>4）溶样时，加入酸的体积总共为20mL，建议用100mL聚四氟乙烯烧杯（广西</w:t>
      </w:r>
      <w:r>
        <w:rPr>
          <w:szCs w:val="21"/>
        </w:rPr>
        <w:t>中检</w:t>
      </w:r>
      <w:r>
        <w:rPr>
          <w:rFonts w:hint="eastAsia"/>
          <w:szCs w:val="21"/>
        </w:rPr>
        <w:t>检测技术服务</w:t>
      </w:r>
      <w:r>
        <w:rPr>
          <w:szCs w:val="21"/>
        </w:rPr>
        <w:t>有限公司</w:t>
      </w:r>
      <w:r>
        <w:rPr>
          <w:rFonts w:hint="eastAsia"/>
          <w:szCs w:val="21"/>
        </w:rPr>
        <w:t>）。不采纳，用200mL聚四氟乙烯烧杯也可以完成实验。</w:t>
      </w:r>
    </w:p>
    <w:p>
      <w:pPr>
        <w:ind w:firstLine="420" w:firstLineChars="200"/>
        <w:rPr>
          <w:szCs w:val="21"/>
        </w:rPr>
      </w:pPr>
      <w:r>
        <w:rPr>
          <w:rFonts w:hint="eastAsia"/>
          <w:szCs w:val="21"/>
        </w:rPr>
        <w:t>5）建议实验报告中，碱熔方法的步骤尽可能写的详细一些（广西</w:t>
      </w:r>
      <w:r>
        <w:rPr>
          <w:szCs w:val="21"/>
        </w:rPr>
        <w:t>中检</w:t>
      </w:r>
      <w:r>
        <w:rPr>
          <w:rFonts w:hint="eastAsia"/>
          <w:szCs w:val="21"/>
        </w:rPr>
        <w:t>检测技术服务</w:t>
      </w:r>
      <w:r>
        <w:rPr>
          <w:szCs w:val="21"/>
        </w:rPr>
        <w:t>有限公司</w:t>
      </w:r>
      <w:r>
        <w:rPr>
          <w:rFonts w:hint="eastAsia"/>
          <w:szCs w:val="21"/>
        </w:rPr>
        <w:t>）。采纳。</w:t>
      </w:r>
    </w:p>
    <w:p>
      <w:pPr>
        <w:ind w:firstLine="420" w:firstLineChars="200"/>
        <w:rPr>
          <w:szCs w:val="21"/>
        </w:rPr>
      </w:pPr>
      <w:r>
        <w:rPr>
          <w:rFonts w:hint="eastAsia"/>
          <w:szCs w:val="21"/>
        </w:rPr>
        <w:t>6）1号样品的吸光值还没达到标准曲线的第一个点，建议标准曲线浓度增加1.00这个点（广西</w:t>
      </w:r>
      <w:r>
        <w:rPr>
          <w:szCs w:val="21"/>
        </w:rPr>
        <w:t>中检</w:t>
      </w:r>
      <w:r>
        <w:rPr>
          <w:rFonts w:hint="eastAsia"/>
          <w:szCs w:val="21"/>
        </w:rPr>
        <w:t>检测技术服务</w:t>
      </w:r>
      <w:r>
        <w:rPr>
          <w:szCs w:val="21"/>
        </w:rPr>
        <w:t>有限公司</w:t>
      </w:r>
      <w:r>
        <w:rPr>
          <w:rFonts w:hint="eastAsia"/>
          <w:szCs w:val="21"/>
        </w:rPr>
        <w:t>）。不采纳，样品在工作曲线范围内。</w:t>
      </w:r>
    </w:p>
    <w:p>
      <w:pPr>
        <w:ind w:firstLine="420" w:firstLineChars="200"/>
        <w:rPr>
          <w:szCs w:val="21"/>
        </w:rPr>
      </w:pPr>
      <w:r>
        <w:rPr>
          <w:rFonts w:hint="eastAsia"/>
          <w:szCs w:val="21"/>
        </w:rPr>
        <w:t>7)第一个样品吸光度较低，吸光度稍有变化结果影响较大，建议增加称样量，且第五个样品的吸光度值和曲线最后一个点的吸光度较接近，建议增加曲线点（北方铜业股份</w:t>
      </w:r>
      <w:r>
        <w:rPr>
          <w:szCs w:val="21"/>
        </w:rPr>
        <w:t>有限公司</w:t>
      </w:r>
      <w:r>
        <w:rPr>
          <w:rFonts w:hint="eastAsia"/>
          <w:szCs w:val="21"/>
        </w:rPr>
        <w:t>）。不采纳。</w:t>
      </w:r>
      <w:r>
        <w:rPr>
          <w:rFonts w:hint="eastAsia"/>
        </w:rPr>
        <w:t>考虑到铜冶炼烟尘基体复杂，称样量增大会加大样品分解难度。</w:t>
      </w:r>
    </w:p>
    <w:p>
      <w:pPr>
        <w:ind w:firstLine="315" w:firstLineChars="150"/>
        <w:rPr>
          <w:szCs w:val="21"/>
        </w:rPr>
      </w:pPr>
      <w:r>
        <w:rPr>
          <w:rFonts w:hint="eastAsia"/>
          <w:szCs w:val="21"/>
        </w:rPr>
        <w:t>8）本单位验证时发现硝酸介质对样品测定结果影响较大（北方铜业股份</w:t>
      </w:r>
      <w:r>
        <w:rPr>
          <w:szCs w:val="21"/>
        </w:rPr>
        <w:t>有限公司</w:t>
      </w:r>
      <w:r>
        <w:rPr>
          <w:rFonts w:hint="eastAsia"/>
          <w:szCs w:val="21"/>
        </w:rPr>
        <w:t>）。不采纳，本实验结果并无明显影响。</w:t>
      </w:r>
    </w:p>
    <w:p>
      <w:pPr>
        <w:ind w:firstLine="420" w:firstLineChars="200"/>
        <w:rPr>
          <w:szCs w:val="21"/>
        </w:rPr>
      </w:pPr>
      <w:r>
        <w:rPr>
          <w:rFonts w:hint="eastAsia"/>
          <w:szCs w:val="21"/>
        </w:rPr>
        <w:t>9）2.3表8中结果建议用浓度表示，可以更直观的观察结果（北方铜业股份</w:t>
      </w:r>
      <w:r>
        <w:rPr>
          <w:szCs w:val="21"/>
        </w:rPr>
        <w:t>有限公司</w:t>
      </w:r>
      <w:r>
        <w:rPr>
          <w:rFonts w:hint="eastAsia"/>
          <w:szCs w:val="21"/>
        </w:rPr>
        <w:t>）。不采纳，吸光度值表示也能达到一样的效果。</w:t>
      </w:r>
    </w:p>
    <w:p>
      <w:pPr>
        <w:ind w:firstLine="420" w:firstLineChars="200"/>
        <w:rPr>
          <w:szCs w:val="21"/>
        </w:rPr>
      </w:pPr>
      <w:r>
        <w:rPr>
          <w:rFonts w:hint="eastAsia"/>
          <w:szCs w:val="21"/>
        </w:rPr>
        <w:t>10）火焰原子吸收光谱法测铟，铟的吸光值偏低，测低含量的铟（或使用灵敏度低的仪器）时，需要及时调零，否则会导致精密度偏高（</w:t>
      </w:r>
      <w:r>
        <w:rPr>
          <w:szCs w:val="21"/>
        </w:rPr>
        <w:t>中</w:t>
      </w:r>
      <w:r>
        <w:rPr>
          <w:rFonts w:hint="eastAsia"/>
          <w:szCs w:val="21"/>
        </w:rPr>
        <w:t>国有</w:t>
      </w:r>
      <w:r>
        <w:rPr>
          <w:szCs w:val="21"/>
        </w:rPr>
        <w:t>色桂林矿产地质研究院有限公司</w:t>
      </w:r>
      <w:r>
        <w:rPr>
          <w:rFonts w:hint="eastAsia"/>
          <w:szCs w:val="21"/>
        </w:rPr>
        <w:t>）。采纳，在实际操作中也是这么操作的。</w:t>
      </w:r>
    </w:p>
    <w:p>
      <w:pPr>
        <w:ind w:firstLine="420" w:firstLineChars="200"/>
        <w:rPr>
          <w:szCs w:val="21"/>
        </w:rPr>
      </w:pPr>
      <w:r>
        <w:rPr>
          <w:rFonts w:hint="eastAsia"/>
          <w:szCs w:val="21"/>
        </w:rPr>
        <w:t>11）定容时，最好是过滤后于原子吸收光谱仪波长303.9nm处，使</w:t>
      </w:r>
      <w:r>
        <w:rPr>
          <w:szCs w:val="21"/>
        </w:rPr>
        <w:t>用空气-乙炔火焰，以水调零，测量试液</w:t>
      </w:r>
      <w:r>
        <w:rPr>
          <w:rFonts w:hint="eastAsia"/>
          <w:szCs w:val="21"/>
        </w:rPr>
        <w:t>及随同试料空白溶液的吸光度（</w:t>
      </w:r>
      <w:r>
        <w:rPr>
          <w:szCs w:val="21"/>
        </w:rPr>
        <w:t>浙江富冶集团有限</w:t>
      </w:r>
      <w:r>
        <w:rPr>
          <w:rFonts w:hint="eastAsia"/>
          <w:szCs w:val="21"/>
        </w:rPr>
        <w:t>公司）。采纳，已在文本及试验报告中更改。</w:t>
      </w:r>
    </w:p>
    <w:p>
      <w:pPr>
        <w:ind w:firstLine="420" w:firstLineChars="200"/>
        <w:rPr>
          <w:szCs w:val="21"/>
        </w:rPr>
      </w:pPr>
      <w:r>
        <w:rPr>
          <w:rFonts w:hint="eastAsia"/>
          <w:szCs w:val="21"/>
        </w:rPr>
        <w:t>12）对于难溶解的样品，适当增加酸的使用量（</w:t>
      </w:r>
      <w:r>
        <w:rPr>
          <w:szCs w:val="21"/>
        </w:rPr>
        <w:t>江西铜业股份有限公司</w:t>
      </w:r>
      <w:r>
        <w:rPr>
          <w:rFonts w:hint="eastAsia"/>
          <w:szCs w:val="21"/>
        </w:rPr>
        <w:t>）。不采纳，试验所使用酸量对于样品溶解已足够。</w:t>
      </w:r>
    </w:p>
    <w:p>
      <w:pPr>
        <w:spacing w:line="300" w:lineRule="auto"/>
        <w:ind w:right="-340" w:rightChars="-162" w:firstLine="420" w:firstLineChars="200"/>
        <w:rPr>
          <w:rFonts w:ascii="Calibri" w:hAnsi="Calibri"/>
          <w:szCs w:val="21"/>
        </w:rPr>
      </w:pPr>
      <w:r>
        <w:rPr>
          <w:rFonts w:hint="eastAsia"/>
          <w:color w:val="000000"/>
          <w:szCs w:val="21"/>
        </w:rPr>
        <w:t>5</w:t>
      </w:r>
      <w:r>
        <w:rPr>
          <w:color w:val="000000"/>
          <w:szCs w:val="21"/>
        </w:rPr>
        <w:t>、</w:t>
      </w:r>
      <w:r>
        <w:rPr>
          <w:rFonts w:hint="eastAsia" w:ascii="Calibri" w:hAnsi="Calibri"/>
          <w:szCs w:val="21"/>
        </w:rPr>
        <w:t>2019年11月27日～29日，由全国有色金属标准化技术委员会组织</w:t>
      </w:r>
      <w:r>
        <w:rPr>
          <w:rFonts w:hint="eastAsia"/>
        </w:rPr>
        <w:t>，</w:t>
      </w:r>
      <w:r>
        <w:t>在广东省深圳市召开了《铜冶炼烟尘化学分析方法》第1~9部分行业标</w:t>
      </w:r>
      <w:r>
        <w:rPr>
          <w:rFonts w:hint="eastAsia"/>
        </w:rPr>
        <w:t>准</w:t>
      </w:r>
      <w:r>
        <w:t>预审会。项目计划编号分别为：2018- 0527T / 0528T / 0529T / 0530T / 0531T / 0532T / 0533T / 0534T / 0535T-YS</w:t>
      </w:r>
      <w:r>
        <w:rPr>
          <w:rFonts w:hint="eastAsia" w:ascii="Calibri" w:hAnsi="Calibri"/>
          <w:szCs w:val="21"/>
        </w:rPr>
        <w:t>，会议对《铜冶炼烟尘化学分析方法第6部分 铟含量测定火焰原子吸收法》》等九项行业标准进行了预审。形成会议纪要如下：</w:t>
      </w:r>
    </w:p>
    <w:p>
      <w:pPr>
        <w:numPr>
          <w:ilvl w:val="0"/>
          <w:numId w:val="2"/>
        </w:numPr>
        <w:spacing w:line="300" w:lineRule="auto"/>
        <w:ind w:right="-340" w:rightChars="-162"/>
        <w:rPr>
          <w:rFonts w:ascii="Calibri" w:hAnsi="Calibri"/>
          <w:szCs w:val="21"/>
        </w:rPr>
      </w:pPr>
      <w:r>
        <w:rPr>
          <w:rFonts w:hint="eastAsia" w:ascii="Calibri" w:hAnsi="Calibri"/>
          <w:szCs w:val="21"/>
        </w:rPr>
        <w:t>文本2方法提要  最后需要加上“用工作曲线法计算铟量”。已修改。</w:t>
      </w:r>
    </w:p>
    <w:p>
      <w:pPr>
        <w:numPr>
          <w:ilvl w:val="0"/>
          <w:numId w:val="2"/>
        </w:numPr>
        <w:spacing w:line="300" w:lineRule="auto"/>
        <w:ind w:right="-340" w:rightChars="-162"/>
        <w:rPr>
          <w:rFonts w:ascii="Calibri" w:hAnsi="Calibri"/>
          <w:szCs w:val="21"/>
        </w:rPr>
      </w:pPr>
      <w:r>
        <w:rPr>
          <w:rFonts w:hint="eastAsia" w:ascii="Calibri" w:hAnsi="Calibri"/>
          <w:szCs w:val="21"/>
        </w:rPr>
        <w:t>文本3.7 王水应改为盐酸-硝酸混酸（3:1:4），文本中所有关于王水的描述均改为盐酸-硝酸混酸。已修改。</w:t>
      </w:r>
    </w:p>
    <w:p>
      <w:pPr>
        <w:numPr>
          <w:ilvl w:val="0"/>
          <w:numId w:val="2"/>
        </w:numPr>
        <w:spacing w:line="300" w:lineRule="auto"/>
        <w:ind w:right="-340" w:rightChars="-162"/>
        <w:rPr>
          <w:rFonts w:ascii="Calibri" w:hAnsi="Calibri"/>
          <w:szCs w:val="21"/>
        </w:rPr>
      </w:pPr>
      <w:r>
        <w:rPr>
          <w:rFonts w:hint="eastAsia" w:ascii="Calibri" w:hAnsi="Calibri"/>
          <w:szCs w:val="21"/>
        </w:rPr>
        <w:t>文本6.4.1  需不需要加入氢溴酸，需一系列标准统一确定。已调整。</w:t>
      </w:r>
    </w:p>
    <w:p>
      <w:pPr>
        <w:numPr>
          <w:ilvl w:val="0"/>
          <w:numId w:val="2"/>
        </w:numPr>
        <w:spacing w:line="300" w:lineRule="auto"/>
        <w:ind w:right="-340" w:rightChars="-162"/>
        <w:rPr>
          <w:rFonts w:ascii="Calibri" w:hAnsi="Calibri"/>
          <w:szCs w:val="21"/>
        </w:rPr>
      </w:pPr>
      <w:r>
        <w:rPr>
          <w:rFonts w:hint="eastAsia" w:ascii="Calibri" w:hAnsi="Calibri"/>
          <w:szCs w:val="21"/>
        </w:rPr>
        <w:t>意见征表中序号3 处理意见改为采纳，在试验报告中补充铅51%对铟干扰的试验。</w:t>
      </w:r>
    </w:p>
    <w:p>
      <w:pPr>
        <w:numPr>
          <w:ilvl w:val="0"/>
          <w:numId w:val="2"/>
        </w:numPr>
        <w:spacing w:line="300" w:lineRule="auto"/>
        <w:ind w:right="-340" w:rightChars="-162"/>
        <w:rPr>
          <w:rFonts w:ascii="Calibri" w:hAnsi="Calibri"/>
          <w:szCs w:val="21"/>
        </w:rPr>
      </w:pPr>
      <w:r>
        <w:rPr>
          <w:rFonts w:hint="eastAsia" w:ascii="Calibri" w:hAnsi="Calibri"/>
          <w:szCs w:val="21"/>
        </w:rPr>
        <w:t>意见征表中序号13处理意见改为采纳，把所有关于王水的描述均改为盐酸-硝酸混酸。</w:t>
      </w:r>
    </w:p>
    <w:p>
      <w:pPr>
        <w:numPr>
          <w:ilvl w:val="0"/>
          <w:numId w:val="2"/>
        </w:numPr>
        <w:spacing w:line="300" w:lineRule="auto"/>
        <w:ind w:right="-340" w:rightChars="-162"/>
        <w:rPr>
          <w:rFonts w:ascii="Calibri" w:hAnsi="Calibri"/>
          <w:szCs w:val="21"/>
        </w:rPr>
      </w:pPr>
      <w:r>
        <w:rPr>
          <w:rFonts w:hint="eastAsia" w:ascii="Calibri" w:hAnsi="Calibri"/>
          <w:szCs w:val="21"/>
        </w:rPr>
        <w:t>意见征表中序号14，处理意见根据这一系列标准统一加不加氢溴酸来决定采纳还是不采纳。</w:t>
      </w:r>
    </w:p>
    <w:p>
      <w:pPr>
        <w:spacing w:line="300" w:lineRule="auto"/>
        <w:ind w:left="840" w:right="-340" w:rightChars="-162"/>
        <w:rPr>
          <w:rFonts w:ascii="Calibri" w:hAnsi="Calibri"/>
          <w:szCs w:val="21"/>
        </w:rPr>
      </w:pPr>
      <w:r>
        <w:rPr>
          <w:rFonts w:hint="eastAsia" w:ascii="Calibri" w:hAnsi="Calibri"/>
          <w:szCs w:val="21"/>
        </w:rPr>
        <w:t>系列标准统一溶样方式为盐酸、硝酸、氟化氢铵、高氯酸溶样。</w:t>
      </w:r>
    </w:p>
    <w:p>
      <w:pPr>
        <w:numPr>
          <w:ilvl w:val="0"/>
          <w:numId w:val="2"/>
        </w:numPr>
        <w:spacing w:line="300" w:lineRule="auto"/>
        <w:ind w:right="-340" w:rightChars="-162"/>
        <w:rPr>
          <w:rFonts w:ascii="Calibri" w:hAnsi="Calibri"/>
          <w:szCs w:val="21"/>
        </w:rPr>
      </w:pPr>
      <w:r>
        <w:rPr>
          <w:rFonts w:hint="eastAsia" w:ascii="Calibri" w:hAnsi="Calibri"/>
          <w:szCs w:val="21"/>
        </w:rPr>
        <w:t>对于样品中高含量的As需不需要去除，根据铜陵有色试验数据来决定。铜陵有色反馈将含砷60%的烟灰采用四酸（盐酸、硝酸、氢氟酸、高氯酸）处理，参考北矿院起草的铟（原子吸收）方法，蒸至湿盐状，砷的残余量大约为20%；若再蒸至白烟冒尽，砷的残余量会更低。所以不需要进一步去除。</w:t>
      </w:r>
    </w:p>
    <w:p>
      <w:pPr>
        <w:spacing w:line="360" w:lineRule="auto"/>
        <w:rPr>
          <w:rFonts w:hAnsi="宋体"/>
          <w:b/>
          <w:bCs/>
        </w:rPr>
      </w:pPr>
      <w:r>
        <w:rPr>
          <w:rFonts w:hint="eastAsia" w:ascii="黑体" w:hAnsi="黑体" w:eastAsia="黑体"/>
          <w:color w:val="000000"/>
          <w:szCs w:val="21"/>
        </w:rPr>
        <w:t>1.5</w:t>
      </w:r>
      <w:r>
        <w:rPr>
          <w:rFonts w:hint="eastAsia" w:hAnsi="宋体"/>
          <w:b/>
          <w:bCs/>
        </w:rPr>
        <w:t>实验部分</w:t>
      </w:r>
    </w:p>
    <w:p>
      <w:pPr>
        <w:spacing w:line="360" w:lineRule="auto"/>
        <w:ind w:firstLine="525" w:firstLineChars="250"/>
        <w:rPr>
          <w:rFonts w:ascii="黑体" w:hAnsi="黑体" w:eastAsia="黑体"/>
          <w:color w:val="000000"/>
          <w:szCs w:val="21"/>
        </w:rPr>
      </w:pPr>
      <w:r>
        <w:rPr>
          <w:rFonts w:hint="eastAsia"/>
        </w:rPr>
        <w:t>实验部分见附件</w:t>
      </w:r>
      <w:r>
        <w:t>1</w:t>
      </w:r>
      <w:r>
        <w:rPr>
          <w:rFonts w:hint="eastAsia"/>
        </w:rPr>
        <w:t>：</w:t>
      </w:r>
      <w:r>
        <w:t>《试验报告》</w:t>
      </w:r>
    </w:p>
    <w:p>
      <w:pPr>
        <w:spacing w:line="360" w:lineRule="auto"/>
        <w:rPr>
          <w:rFonts w:ascii="宋体" w:hAnsi="宋体"/>
          <w:b/>
          <w:sz w:val="24"/>
        </w:rPr>
      </w:pPr>
      <w:r>
        <w:rPr>
          <w:rFonts w:hint="eastAsia" w:ascii="宋体" w:hAnsi="宋体"/>
          <w:b/>
          <w:sz w:val="24"/>
        </w:rPr>
        <w:t>二、标准编制原则</w:t>
      </w:r>
    </w:p>
    <w:p>
      <w:pPr>
        <w:ind w:firstLine="420" w:firstLineChars="200"/>
        <w:rPr>
          <w:szCs w:val="21"/>
        </w:rPr>
      </w:pPr>
      <w:r>
        <w:rPr>
          <w:szCs w:val="21"/>
        </w:rPr>
        <w:t>本标准是根据</w:t>
      </w:r>
      <w:r>
        <w:rPr>
          <w:rFonts w:hint="eastAsia" w:ascii="宋体" w:hAnsi="宋体"/>
          <w:color w:val="000000"/>
          <w:szCs w:val="21"/>
        </w:rPr>
        <w:t>GB/T 1.1-</w:t>
      </w:r>
      <w:r>
        <w:rPr>
          <w:rFonts w:hint="eastAsia" w:ascii="宋体" w:hAnsi="宋体"/>
          <w:szCs w:val="21"/>
        </w:rPr>
        <w:t>2020</w:t>
      </w:r>
      <w:r>
        <w:rPr>
          <w:szCs w:val="21"/>
        </w:rPr>
        <w:t>《标准化工作导则 第1部分：标准的结构和编写规则》和GB/T20001.4-2001《标准编写规则 第4部分：化学分析方法》的要求进行编写的。编制本标准的</w:t>
      </w:r>
      <w:r>
        <w:rPr>
          <w:rFonts w:hint="eastAsia"/>
          <w:szCs w:val="21"/>
        </w:rPr>
        <w:t>目的</w:t>
      </w:r>
      <w:r>
        <w:rPr>
          <w:szCs w:val="21"/>
        </w:rPr>
        <w:t>是以</w:t>
      </w:r>
      <w:r>
        <w:rPr>
          <w:rFonts w:hint="eastAsia"/>
          <w:szCs w:val="21"/>
        </w:rPr>
        <w:t>能满足铜冶炼烟尘中铟含量的准确快速测定要求</w:t>
      </w:r>
      <w:r>
        <w:rPr>
          <w:szCs w:val="21"/>
        </w:rPr>
        <w:t>为基础</w:t>
      </w:r>
      <w:r>
        <w:rPr>
          <w:rFonts w:hint="eastAsia"/>
          <w:szCs w:val="21"/>
        </w:rPr>
        <w:t>。</w:t>
      </w:r>
      <w:r>
        <w:rPr>
          <w:szCs w:val="21"/>
        </w:rPr>
        <w:t>编制本标准的原则</w:t>
      </w:r>
      <w:r>
        <w:rPr>
          <w:rFonts w:hint="eastAsia"/>
          <w:szCs w:val="21"/>
        </w:rPr>
        <w:t>是准确、具有一定</w:t>
      </w:r>
      <w:r>
        <w:rPr>
          <w:szCs w:val="21"/>
        </w:rPr>
        <w:t>的先进性</w:t>
      </w:r>
      <w:r>
        <w:rPr>
          <w:rFonts w:hint="eastAsia"/>
          <w:szCs w:val="21"/>
        </w:rPr>
        <w:t>和操作简单性。</w:t>
      </w:r>
      <w:r>
        <w:rPr>
          <w:szCs w:val="21"/>
        </w:rPr>
        <w:t>根据国情</w:t>
      </w:r>
      <w:r>
        <w:rPr>
          <w:rFonts w:hint="eastAsia"/>
          <w:szCs w:val="21"/>
        </w:rPr>
        <w:t>制订技术规范并力求与</w:t>
      </w:r>
      <w:r>
        <w:rPr>
          <w:szCs w:val="21"/>
        </w:rPr>
        <w:t>国外先进</w:t>
      </w:r>
      <w:r>
        <w:rPr>
          <w:rFonts w:hint="eastAsia"/>
          <w:szCs w:val="21"/>
        </w:rPr>
        <w:t>技术</w:t>
      </w:r>
      <w:r>
        <w:rPr>
          <w:szCs w:val="21"/>
        </w:rPr>
        <w:t>接轨。</w:t>
      </w:r>
    </w:p>
    <w:p>
      <w:pPr>
        <w:spacing w:line="360" w:lineRule="auto"/>
        <w:rPr>
          <w:rFonts w:ascii="宋体" w:hAnsi="宋体"/>
          <w:b/>
          <w:sz w:val="24"/>
        </w:rPr>
      </w:pPr>
      <w:r>
        <w:rPr>
          <w:rFonts w:hint="eastAsia" w:ascii="宋体" w:hAnsi="宋体"/>
          <w:b/>
          <w:sz w:val="24"/>
        </w:rPr>
        <w:t>三、标准主要内容的确定依据</w:t>
      </w:r>
    </w:p>
    <w:p>
      <w:pPr>
        <w:rPr>
          <w:szCs w:val="21"/>
        </w:rPr>
      </w:pPr>
      <w:r>
        <w:rPr>
          <w:rFonts w:hint="eastAsia" w:ascii="黑体" w:hAnsi="黑体" w:eastAsia="黑体" w:cs="黑体"/>
          <w:bCs/>
          <w:color w:val="000000"/>
          <w:szCs w:val="21"/>
        </w:rPr>
        <w:t>3.1铟含量范围确定及使用检测手段确定</w:t>
      </w:r>
    </w:p>
    <w:p>
      <w:pPr>
        <w:ind w:firstLine="420" w:firstLineChars="200"/>
        <w:rPr>
          <w:szCs w:val="21"/>
        </w:rPr>
      </w:pPr>
      <w:r>
        <w:rPr>
          <w:rFonts w:hint="eastAsia"/>
          <w:szCs w:val="21"/>
        </w:rPr>
        <w:t>根</w:t>
      </w:r>
      <w:r>
        <w:rPr>
          <w:rFonts w:hint="eastAsia"/>
          <w:color w:val="000000"/>
          <w:szCs w:val="21"/>
        </w:rPr>
        <w:t>据陵有色金属集团控股有限公司、紫金铜业有限公司、富民薪冶工贸有限公司等单位提供的铜冶炼烟尘试样以及在实际生产中遇到的样品，确定铜冶炼烟尘中铟量的测定范围为0.0200%~0.100%。对于试样中0.0200%~0.100%铟量的检测，从普及程度及成本方面考虑，最终选择了火焰原子吸收光谱法</w:t>
      </w:r>
      <w:r>
        <w:rPr>
          <w:rFonts w:hint="eastAsia"/>
          <w:szCs w:val="21"/>
        </w:rPr>
        <w:t>。</w:t>
      </w:r>
    </w:p>
    <w:p>
      <w:pPr>
        <w:spacing w:line="360" w:lineRule="auto"/>
        <w:rPr>
          <w:rFonts w:ascii="黑体" w:hAnsi="黑体" w:eastAsia="黑体"/>
          <w:szCs w:val="21"/>
        </w:rPr>
      </w:pPr>
      <w:r>
        <w:rPr>
          <w:rFonts w:hint="eastAsia" w:ascii="黑体" w:hAnsi="黑体" w:eastAsia="黑体"/>
          <w:szCs w:val="21"/>
        </w:rPr>
        <w:t>3.2干扰及消除</w:t>
      </w:r>
    </w:p>
    <w:p>
      <w:pPr>
        <w:ind w:firstLine="420" w:firstLineChars="200"/>
        <w:rPr>
          <w:color w:val="FF0000"/>
          <w:szCs w:val="21"/>
        </w:rPr>
      </w:pPr>
      <w:r>
        <w:rPr>
          <w:rFonts w:hint="eastAsia"/>
          <w:color w:val="000000"/>
          <w:szCs w:val="21"/>
        </w:rPr>
        <w:t>铜冶炼烟尘中主要存在元素有Cu、Pb、Zn、As、Sb、Bi、Cd、Sn、S、Fe、Au、Ag等。根据拟定铜冶炼烟尘中各元素的干扰上限，按本方法称样量为0.3000g，定容于50mL容量瓶，计算出测定溶液中各元素的干扰量见试验报告。按本方法</w:t>
      </w:r>
      <w:r>
        <w:rPr>
          <w:color w:val="000000"/>
          <w:szCs w:val="21"/>
        </w:rPr>
        <w:t>采用盐酸、硝酸、氢氟酸、高氯酸溶解</w:t>
      </w:r>
      <w:r>
        <w:rPr>
          <w:rFonts w:hint="eastAsia"/>
          <w:color w:val="000000"/>
          <w:szCs w:val="21"/>
        </w:rPr>
        <w:t>试样，采用</w:t>
      </w:r>
      <w:r>
        <w:rPr>
          <w:rFonts w:hint="eastAsia"/>
          <w:szCs w:val="21"/>
        </w:rPr>
        <w:t>火焰原子吸收光谱法测定稀释液中铟量</w:t>
      </w:r>
      <w:r>
        <w:rPr>
          <w:rFonts w:hint="eastAsia"/>
          <w:color w:val="000000"/>
          <w:szCs w:val="21"/>
        </w:rPr>
        <w:t>，溶液中各杂质元素对测定不干扰。</w:t>
      </w:r>
    </w:p>
    <w:p>
      <w:pPr>
        <w:spacing w:line="360" w:lineRule="auto"/>
        <w:rPr>
          <w:rFonts w:ascii="黑体" w:hAnsi="黑体" w:eastAsia="黑体"/>
          <w:szCs w:val="21"/>
        </w:rPr>
      </w:pPr>
      <w:r>
        <w:rPr>
          <w:rFonts w:hint="eastAsia" w:ascii="黑体" w:hAnsi="黑体" w:eastAsia="黑体"/>
          <w:szCs w:val="21"/>
        </w:rPr>
        <w:t>3.3重复性及再现性</w:t>
      </w:r>
    </w:p>
    <w:p>
      <w:pPr>
        <w:ind w:firstLine="435"/>
        <w:rPr>
          <w:sz w:val="24"/>
        </w:rPr>
      </w:pPr>
      <w:r>
        <w:rPr>
          <w:rFonts w:hint="eastAsia"/>
          <w:color w:val="000000"/>
          <w:szCs w:val="21"/>
        </w:rPr>
        <w:t>铜冶炼烟尘中</w:t>
      </w:r>
      <w:r>
        <w:rPr>
          <w:rFonts w:hint="eastAsia"/>
          <w:bCs/>
          <w:szCs w:val="21"/>
        </w:rPr>
        <w:t>铟量测定的原始数据及原始数据统计检验过程见《</w:t>
      </w:r>
      <w:r>
        <w:rPr>
          <w:szCs w:val="21"/>
        </w:rPr>
        <w:t>实验数据</w:t>
      </w:r>
      <w:r>
        <w:rPr>
          <w:rFonts w:hint="eastAsia"/>
          <w:szCs w:val="21"/>
        </w:rPr>
        <w:t>及</w:t>
      </w:r>
      <w:r>
        <w:rPr>
          <w:szCs w:val="21"/>
        </w:rPr>
        <w:t>处理</w:t>
      </w:r>
      <w:r>
        <w:rPr>
          <w:rFonts w:hint="eastAsia"/>
          <w:bCs/>
          <w:szCs w:val="21"/>
        </w:rPr>
        <w:t>》第1部分至第3部分，见附件2。</w:t>
      </w:r>
      <w:r>
        <w:rPr>
          <w:bCs/>
          <w:szCs w:val="21"/>
        </w:rPr>
        <w:t>剔除离群值后，重复性、再现性计算结果见表</w:t>
      </w:r>
      <w:r>
        <w:rPr>
          <w:rFonts w:hint="eastAsia"/>
          <w:bCs/>
          <w:szCs w:val="21"/>
        </w:rPr>
        <w:t>1</w:t>
      </w:r>
      <w:r>
        <w:rPr>
          <w:bCs/>
          <w:szCs w:val="21"/>
        </w:rPr>
        <w:t>。</w:t>
      </w:r>
    </w:p>
    <w:p>
      <w:pPr>
        <w:spacing w:line="360" w:lineRule="auto"/>
        <w:ind w:firstLine="480"/>
        <w:jc w:val="center"/>
        <w:rPr>
          <w:szCs w:val="21"/>
        </w:rPr>
      </w:pPr>
      <w:r>
        <w:rPr>
          <w:szCs w:val="21"/>
        </w:rPr>
        <w:t>表</w:t>
      </w:r>
      <w:r>
        <w:rPr>
          <w:rFonts w:hint="eastAsia"/>
          <w:szCs w:val="21"/>
        </w:rPr>
        <w:t>1</w:t>
      </w:r>
      <w:r>
        <w:rPr>
          <w:szCs w:val="21"/>
        </w:rPr>
        <w:t xml:space="preserve"> 重复性和再现性</w:t>
      </w:r>
    </w:p>
    <w:tbl>
      <w:tblPr>
        <w:tblStyle w:val="10"/>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426"/>
        <w:gridCol w:w="1426"/>
        <w:gridCol w:w="1426"/>
        <w:gridCol w:w="1260"/>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58" w:type="dxa"/>
            <w:shd w:val="clear" w:color="auto" w:fill="auto"/>
            <w:vAlign w:val="center"/>
          </w:tcPr>
          <w:p>
            <w:pPr>
              <w:widowControl/>
              <w:jc w:val="center"/>
              <w:rPr>
                <w:kern w:val="0"/>
              </w:rPr>
            </w:pPr>
            <w:r>
              <w:rPr>
                <w:kern w:val="0"/>
                <w:sz w:val="24"/>
              </w:rPr>
              <w:t>统计量</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ZJ1102</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D1108</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ZJ1102H</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D1108H</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D1110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58" w:type="dxa"/>
            <w:shd w:val="clear" w:color="auto" w:fill="auto"/>
            <w:noWrap/>
            <w:vAlign w:val="center"/>
          </w:tcPr>
          <w:p>
            <w:pPr>
              <w:widowControl/>
              <w:jc w:val="center"/>
              <w:rPr>
                <w:color w:val="000000"/>
                <w:kern w:val="0"/>
                <w:sz w:val="22"/>
                <w:szCs w:val="22"/>
              </w:rPr>
            </w:pPr>
            <w:r>
              <w:rPr>
                <w:color w:val="000000"/>
                <w:kern w:val="0"/>
                <w:sz w:val="22"/>
                <w:szCs w:val="22"/>
              </w:rPr>
              <w:t>T</w:t>
            </w:r>
            <w:r>
              <w:rPr>
                <w:color w:val="000000"/>
                <w:kern w:val="0"/>
                <w:sz w:val="22"/>
                <w:szCs w:val="22"/>
                <w:vertAlign w:val="subscript"/>
              </w:rPr>
              <w:t>1</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1.95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4.18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6.56 </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7.64 </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10.27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58" w:type="dxa"/>
            <w:shd w:val="clear" w:color="auto" w:fill="auto"/>
            <w:noWrap/>
            <w:vAlign w:val="center"/>
          </w:tcPr>
          <w:p>
            <w:pPr>
              <w:widowControl/>
              <w:jc w:val="center"/>
              <w:rPr>
                <w:kern w:val="0"/>
              </w:rPr>
            </w:pPr>
            <w:r>
              <w:rPr>
                <w:kern w:val="0"/>
                <w:sz w:val="24"/>
              </w:rPr>
              <w:t>T</w:t>
            </w:r>
            <w:r>
              <w:rPr>
                <w:kern w:val="0"/>
                <w:sz w:val="24"/>
                <w:vertAlign w:val="subscript"/>
              </w:rPr>
              <w:t>2</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0.039</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0.172</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0.395</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0.616</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58" w:type="dxa"/>
            <w:shd w:val="clear" w:color="auto" w:fill="auto"/>
            <w:noWrap/>
            <w:vAlign w:val="center"/>
          </w:tcPr>
          <w:p>
            <w:pPr>
              <w:widowControl/>
              <w:jc w:val="center"/>
              <w:rPr>
                <w:kern w:val="0"/>
              </w:rPr>
            </w:pPr>
            <w:r>
              <w:rPr>
                <w:kern w:val="0"/>
                <w:sz w:val="24"/>
              </w:rPr>
              <w:t>T</w:t>
            </w:r>
            <w:r>
              <w:rPr>
                <w:kern w:val="0"/>
                <w:sz w:val="24"/>
                <w:vertAlign w:val="subscript"/>
              </w:rPr>
              <w:t>3</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98</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102</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109</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95</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58" w:type="dxa"/>
            <w:shd w:val="clear" w:color="auto" w:fill="auto"/>
            <w:noWrap/>
            <w:vAlign w:val="center"/>
          </w:tcPr>
          <w:p>
            <w:pPr>
              <w:widowControl/>
              <w:jc w:val="center"/>
              <w:rPr>
                <w:color w:val="000000"/>
                <w:kern w:val="0"/>
                <w:sz w:val="22"/>
                <w:szCs w:val="22"/>
              </w:rPr>
            </w:pPr>
            <w:r>
              <w:rPr>
                <w:color w:val="000000"/>
                <w:kern w:val="0"/>
                <w:sz w:val="22"/>
                <w:szCs w:val="22"/>
              </w:rPr>
              <w:t>T</w:t>
            </w:r>
            <w:r>
              <w:rPr>
                <w:color w:val="000000"/>
                <w:kern w:val="0"/>
                <w:sz w:val="22"/>
                <w:szCs w:val="22"/>
                <w:vertAlign w:val="subscript"/>
              </w:rPr>
              <w:t>4</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914</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986</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1035</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937</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58" w:type="dxa"/>
            <w:shd w:val="clear" w:color="auto" w:fill="auto"/>
            <w:noWrap/>
            <w:vAlign w:val="center"/>
          </w:tcPr>
          <w:p>
            <w:pPr>
              <w:widowControl/>
              <w:jc w:val="center"/>
              <w:rPr>
                <w:color w:val="000000"/>
                <w:kern w:val="0"/>
                <w:sz w:val="22"/>
                <w:szCs w:val="22"/>
              </w:rPr>
            </w:pPr>
            <w:r>
              <w:rPr>
                <w:color w:val="000000"/>
                <w:kern w:val="0"/>
                <w:sz w:val="22"/>
                <w:szCs w:val="22"/>
              </w:rPr>
              <w:t>T</w:t>
            </w:r>
            <w:r>
              <w:rPr>
                <w:color w:val="000000"/>
                <w:kern w:val="0"/>
                <w:sz w:val="22"/>
                <w:szCs w:val="22"/>
                <w:vertAlign w:val="subscript"/>
              </w:rPr>
              <w:t>5</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0.0000426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0.0001105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0.0001153 </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0.0000683 </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0.0006195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58" w:type="dxa"/>
            <w:shd w:val="clear" w:color="auto" w:fill="auto"/>
            <w:noWrap/>
            <w:vAlign w:val="center"/>
          </w:tcPr>
          <w:p>
            <w:pPr>
              <w:widowControl/>
              <w:jc w:val="center"/>
              <w:rPr>
                <w:color w:val="000000"/>
                <w:kern w:val="0"/>
                <w:sz w:val="22"/>
                <w:szCs w:val="22"/>
              </w:rPr>
            </w:pPr>
            <w:r>
              <w:rPr>
                <w:color w:val="000000"/>
                <w:kern w:val="0"/>
                <w:sz w:val="22"/>
                <w:szCs w:val="22"/>
              </w:rPr>
              <w:t>S</w:t>
            </w:r>
            <w:r>
              <w:rPr>
                <w:color w:val="000000"/>
                <w:kern w:val="0"/>
                <w:sz w:val="22"/>
                <w:szCs w:val="22"/>
                <w:vertAlign w:val="subscript"/>
              </w:rPr>
              <w:t>r</w:t>
            </w:r>
            <w:r>
              <w:rPr>
                <w:color w:val="000000"/>
                <w:kern w:val="0"/>
                <w:sz w:val="22"/>
                <w:szCs w:val="22"/>
                <w:vertAlign w:val="superscript"/>
              </w:rPr>
              <w:t>2</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0.0000005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0.0000012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0.0000012 </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0.0000008 </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0.0000068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58" w:type="dxa"/>
            <w:shd w:val="clear" w:color="auto" w:fill="auto"/>
            <w:noWrap/>
            <w:vAlign w:val="center"/>
          </w:tcPr>
          <w:p>
            <w:pPr>
              <w:widowControl/>
              <w:jc w:val="center"/>
              <w:rPr>
                <w:color w:val="000000"/>
                <w:kern w:val="0"/>
                <w:sz w:val="22"/>
                <w:szCs w:val="22"/>
              </w:rPr>
            </w:pPr>
            <w:r>
              <w:rPr>
                <w:color w:val="000000"/>
                <w:kern w:val="0"/>
                <w:sz w:val="22"/>
                <w:szCs w:val="22"/>
              </w:rPr>
              <w:t>S</w:t>
            </w:r>
            <w:r>
              <w:rPr>
                <w:color w:val="000000"/>
                <w:kern w:val="0"/>
                <w:sz w:val="22"/>
                <w:szCs w:val="22"/>
                <w:vertAlign w:val="subscript"/>
              </w:rPr>
              <w:t>L</w:t>
            </w:r>
            <w:r>
              <w:rPr>
                <w:color w:val="000000"/>
                <w:kern w:val="0"/>
                <w:sz w:val="22"/>
                <w:szCs w:val="22"/>
                <w:vertAlign w:val="superscript"/>
              </w:rPr>
              <w:t>2</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0.0000026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0.0000055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0.0000087 </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0.0000200 </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58" w:type="dxa"/>
            <w:shd w:val="clear" w:color="auto" w:fill="auto"/>
            <w:noWrap/>
            <w:vAlign w:val="center"/>
          </w:tcPr>
          <w:p>
            <w:pPr>
              <w:widowControl/>
              <w:jc w:val="center"/>
              <w:rPr>
                <w:color w:val="000000"/>
                <w:kern w:val="0"/>
                <w:sz w:val="22"/>
                <w:szCs w:val="22"/>
              </w:rPr>
            </w:pPr>
            <w:r>
              <w:rPr>
                <w:color w:val="000000"/>
                <w:kern w:val="0"/>
                <w:sz w:val="22"/>
                <w:szCs w:val="22"/>
              </w:rPr>
              <w:t>S</w:t>
            </w:r>
            <w:r>
              <w:rPr>
                <w:color w:val="000000"/>
                <w:kern w:val="0"/>
                <w:sz w:val="22"/>
                <w:szCs w:val="22"/>
                <w:vertAlign w:val="subscript"/>
              </w:rPr>
              <w:t>R</w:t>
            </w:r>
            <w:r>
              <w:rPr>
                <w:color w:val="000000"/>
                <w:kern w:val="0"/>
                <w:sz w:val="22"/>
                <w:szCs w:val="22"/>
                <w:vertAlign w:val="superscript"/>
              </w:rPr>
              <w:t>2</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0.0000031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0.0000067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0.0000099 </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0.0000208 </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0.0000258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58" w:type="dxa"/>
            <w:shd w:val="clear" w:color="auto" w:fill="auto"/>
            <w:noWrap/>
            <w:vAlign w:val="center"/>
          </w:tcPr>
          <w:p>
            <w:pPr>
              <w:widowControl/>
              <w:jc w:val="center"/>
              <w:rPr>
                <w:color w:val="000000"/>
                <w:kern w:val="0"/>
                <w:sz w:val="22"/>
                <w:szCs w:val="22"/>
              </w:rPr>
            </w:pPr>
            <w:r>
              <w:rPr>
                <w:color w:val="000000"/>
                <w:kern w:val="0"/>
                <w:sz w:val="22"/>
                <w:szCs w:val="22"/>
              </w:rPr>
              <w:t>S</w:t>
            </w:r>
            <w:r>
              <w:rPr>
                <w:color w:val="000000"/>
                <w:kern w:val="0"/>
                <w:sz w:val="22"/>
                <w:szCs w:val="22"/>
                <w:vertAlign w:val="subscript"/>
              </w:rPr>
              <w:t>r</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0.0006998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0.0011017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0.0010903 </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0.0008962 </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0.0026091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58" w:type="dxa"/>
            <w:shd w:val="clear" w:color="auto" w:fill="auto"/>
            <w:noWrap/>
            <w:vAlign w:val="center"/>
          </w:tcPr>
          <w:p>
            <w:pPr>
              <w:widowControl/>
              <w:jc w:val="center"/>
              <w:rPr>
                <w:color w:val="000000"/>
                <w:kern w:val="0"/>
                <w:sz w:val="22"/>
                <w:szCs w:val="22"/>
              </w:rPr>
            </w:pPr>
            <w:r>
              <w:rPr>
                <w:color w:val="000000"/>
                <w:kern w:val="0"/>
                <w:sz w:val="22"/>
                <w:szCs w:val="22"/>
              </w:rPr>
              <w:t>S</w:t>
            </w:r>
            <w:r>
              <w:rPr>
                <w:color w:val="000000"/>
                <w:kern w:val="0"/>
                <w:sz w:val="22"/>
                <w:szCs w:val="22"/>
                <w:vertAlign w:val="subscript"/>
              </w:rPr>
              <w:t>R</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0.0018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0.0026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0.0031 </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0.0046 </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58" w:type="dxa"/>
            <w:shd w:val="clear" w:color="auto" w:fill="auto"/>
            <w:noWrap/>
            <w:vAlign w:val="center"/>
          </w:tcPr>
          <w:p>
            <w:pPr>
              <w:widowControl/>
              <w:jc w:val="center"/>
              <w:rPr>
                <w:kern w:val="0"/>
              </w:rPr>
            </w:pPr>
            <w:r>
              <w:rPr>
                <w:kern w:val="0"/>
                <w:sz w:val="24"/>
              </w:rPr>
              <w:t>总平均值</w:t>
            </w:r>
          </w:p>
        </w:tc>
        <w:tc>
          <w:tcPr>
            <w:tcW w:w="1426" w:type="dxa"/>
            <w:shd w:val="clear" w:color="auto" w:fill="auto"/>
            <w:noWrap/>
            <w:vAlign w:val="bottom"/>
          </w:tcPr>
          <w:p>
            <w:pPr>
              <w:jc w:val="center"/>
              <w:rPr>
                <w:rFonts w:ascii="宋体" w:hAnsi="宋体" w:cs="宋体"/>
                <w:color w:val="000000"/>
                <w:sz w:val="22"/>
                <w:szCs w:val="22"/>
              </w:rPr>
            </w:pPr>
            <w:r>
              <w:rPr>
                <w:rFonts w:hint="eastAsia"/>
                <w:color w:val="000000"/>
                <w:sz w:val="22"/>
                <w:szCs w:val="22"/>
              </w:rPr>
              <w:t xml:space="preserve">0.0199 </w:t>
            </w:r>
          </w:p>
        </w:tc>
        <w:tc>
          <w:tcPr>
            <w:tcW w:w="1426" w:type="dxa"/>
            <w:shd w:val="clear" w:color="auto" w:fill="auto"/>
            <w:noWrap/>
            <w:vAlign w:val="bottom"/>
          </w:tcPr>
          <w:p>
            <w:pPr>
              <w:jc w:val="center"/>
              <w:rPr>
                <w:rFonts w:ascii="宋体" w:hAnsi="宋体" w:cs="宋体"/>
                <w:color w:val="000000"/>
                <w:sz w:val="22"/>
                <w:szCs w:val="22"/>
              </w:rPr>
            </w:pPr>
            <w:r>
              <w:rPr>
                <w:rFonts w:hint="eastAsia"/>
                <w:color w:val="000000"/>
                <w:sz w:val="22"/>
                <w:szCs w:val="22"/>
              </w:rPr>
              <w:t xml:space="preserve">0.0410 </w:t>
            </w:r>
          </w:p>
        </w:tc>
        <w:tc>
          <w:tcPr>
            <w:tcW w:w="1426" w:type="dxa"/>
            <w:shd w:val="clear" w:color="auto" w:fill="auto"/>
            <w:noWrap/>
            <w:vAlign w:val="bottom"/>
          </w:tcPr>
          <w:p>
            <w:pPr>
              <w:jc w:val="center"/>
              <w:rPr>
                <w:rFonts w:ascii="宋体" w:hAnsi="宋体" w:cs="宋体"/>
                <w:color w:val="000000"/>
                <w:sz w:val="22"/>
                <w:szCs w:val="22"/>
              </w:rPr>
            </w:pPr>
            <w:r>
              <w:rPr>
                <w:rFonts w:hint="eastAsia"/>
                <w:color w:val="000000"/>
                <w:sz w:val="22"/>
                <w:szCs w:val="22"/>
              </w:rPr>
              <w:t xml:space="preserve">0.0602 </w:t>
            </w:r>
          </w:p>
        </w:tc>
        <w:tc>
          <w:tcPr>
            <w:tcW w:w="1260" w:type="dxa"/>
            <w:shd w:val="clear" w:color="auto" w:fill="auto"/>
            <w:noWrap/>
            <w:vAlign w:val="bottom"/>
          </w:tcPr>
          <w:p>
            <w:pPr>
              <w:jc w:val="center"/>
              <w:rPr>
                <w:rFonts w:ascii="宋体" w:hAnsi="宋体" w:cs="宋体"/>
                <w:color w:val="000000"/>
                <w:sz w:val="22"/>
                <w:szCs w:val="22"/>
              </w:rPr>
            </w:pPr>
            <w:r>
              <w:rPr>
                <w:rFonts w:hint="eastAsia"/>
                <w:color w:val="000000"/>
                <w:sz w:val="22"/>
                <w:szCs w:val="22"/>
              </w:rPr>
              <w:t xml:space="preserve">0.0804 </w:t>
            </w:r>
          </w:p>
        </w:tc>
        <w:tc>
          <w:tcPr>
            <w:tcW w:w="1691" w:type="dxa"/>
            <w:shd w:val="clear" w:color="auto" w:fill="auto"/>
            <w:noWrap/>
            <w:vAlign w:val="bottom"/>
          </w:tcPr>
          <w:p>
            <w:pPr>
              <w:jc w:val="center"/>
              <w:rPr>
                <w:rFonts w:ascii="宋体" w:hAnsi="宋体" w:cs="宋体"/>
                <w:color w:val="000000"/>
                <w:sz w:val="22"/>
                <w:szCs w:val="22"/>
              </w:rPr>
            </w:pPr>
            <w:r>
              <w:rPr>
                <w:rFonts w:hint="eastAsia"/>
                <w:color w:val="000000"/>
                <w:sz w:val="22"/>
                <w:szCs w:val="22"/>
              </w:rPr>
              <w:t xml:space="preserve">0.1007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58" w:type="dxa"/>
            <w:shd w:val="clear" w:color="auto" w:fill="auto"/>
            <w:noWrap/>
            <w:vAlign w:val="center"/>
          </w:tcPr>
          <w:p>
            <w:pPr>
              <w:widowControl/>
              <w:jc w:val="center"/>
              <w:rPr>
                <w:color w:val="000000"/>
                <w:kern w:val="0"/>
                <w:sz w:val="22"/>
                <w:szCs w:val="22"/>
              </w:rPr>
            </w:pPr>
            <w:r>
              <w:rPr>
                <w:color w:val="000000"/>
                <w:kern w:val="0"/>
                <w:sz w:val="22"/>
                <w:szCs w:val="22"/>
              </w:rPr>
              <w:t>r</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0.0020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0.0031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0.0031 </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0.0025 </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58" w:type="dxa"/>
            <w:shd w:val="clear" w:color="auto" w:fill="auto"/>
            <w:noWrap/>
            <w:vAlign w:val="center"/>
          </w:tcPr>
          <w:p>
            <w:pPr>
              <w:widowControl/>
              <w:jc w:val="center"/>
              <w:rPr>
                <w:color w:val="000000"/>
                <w:kern w:val="0"/>
                <w:sz w:val="22"/>
                <w:szCs w:val="22"/>
              </w:rPr>
            </w:pPr>
            <w:r>
              <w:rPr>
                <w:color w:val="000000"/>
                <w:kern w:val="0"/>
                <w:sz w:val="22"/>
                <w:szCs w:val="22"/>
              </w:rPr>
              <w:t>R</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0.0050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0.0073 </w:t>
            </w:r>
          </w:p>
        </w:tc>
        <w:tc>
          <w:tcPr>
            <w:tcW w:w="1426"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0.0089 </w:t>
            </w:r>
          </w:p>
        </w:tc>
        <w:tc>
          <w:tcPr>
            <w:tcW w:w="1260"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0.0129 </w:t>
            </w:r>
          </w:p>
        </w:tc>
        <w:tc>
          <w:tcPr>
            <w:tcW w:w="1691" w:type="dxa"/>
            <w:shd w:val="clear" w:color="auto" w:fill="auto"/>
            <w:noWrap/>
            <w:vAlign w:val="center"/>
          </w:tcPr>
          <w:p>
            <w:pPr>
              <w:jc w:val="center"/>
              <w:rPr>
                <w:rFonts w:ascii="宋体" w:hAnsi="宋体" w:cs="宋体"/>
                <w:color w:val="000000"/>
                <w:sz w:val="22"/>
                <w:szCs w:val="22"/>
              </w:rPr>
            </w:pPr>
            <w:r>
              <w:rPr>
                <w:rFonts w:hint="eastAsia"/>
                <w:color w:val="000000"/>
                <w:sz w:val="22"/>
                <w:szCs w:val="22"/>
              </w:rPr>
              <w:t xml:space="preserve">0.0144 </w:t>
            </w:r>
          </w:p>
        </w:tc>
      </w:tr>
    </w:tbl>
    <w:p>
      <w:pPr>
        <w:spacing w:line="360" w:lineRule="auto"/>
        <w:rPr>
          <w:rFonts w:ascii="黑体" w:hAnsi="黑体" w:eastAsia="黑体"/>
          <w:szCs w:val="21"/>
        </w:rPr>
      </w:pPr>
      <w:r>
        <w:rPr>
          <w:rFonts w:hint="eastAsia" w:ascii="黑体" w:hAnsi="黑体" w:eastAsia="黑体"/>
          <w:szCs w:val="21"/>
        </w:rPr>
        <w:t>3.4样品加标回收率</w:t>
      </w:r>
    </w:p>
    <w:p>
      <w:pPr>
        <w:spacing w:line="276" w:lineRule="auto"/>
        <w:ind w:firstLine="420" w:firstLineChars="200"/>
        <w:rPr>
          <w:sz w:val="24"/>
        </w:rPr>
      </w:pPr>
      <w:r>
        <w:rPr>
          <w:rFonts w:hint="eastAsia"/>
          <w:szCs w:val="21"/>
        </w:rPr>
        <w:t>用ZJ1102#、D1108#、D1110#样品按分析步骤进行标准加入回收试验，其结果见表3。从表3中看样品加标回收率在</w:t>
      </w:r>
      <w:r>
        <w:rPr>
          <w:szCs w:val="21"/>
        </w:rPr>
        <w:t>96.1%-101.3%</w:t>
      </w:r>
      <w:r>
        <w:rPr>
          <w:rFonts w:hint="eastAsia"/>
          <w:szCs w:val="21"/>
        </w:rPr>
        <w:t>之间，方法</w:t>
      </w:r>
      <w:r>
        <w:rPr>
          <w:szCs w:val="21"/>
        </w:rPr>
        <w:t>适用于</w:t>
      </w:r>
      <w:r>
        <w:rPr>
          <w:rFonts w:hint="eastAsia"/>
          <w:szCs w:val="21"/>
        </w:rPr>
        <w:t>铜</w:t>
      </w:r>
      <w:r>
        <w:rPr>
          <w:szCs w:val="21"/>
        </w:rPr>
        <w:t>含量在</w:t>
      </w:r>
      <w:r>
        <w:rPr>
          <w:rFonts w:hint="eastAsia"/>
          <w:szCs w:val="21"/>
        </w:rPr>
        <w:t>0.0200</w:t>
      </w:r>
      <w:r>
        <w:rPr>
          <w:szCs w:val="21"/>
        </w:rPr>
        <w:t>%~</w:t>
      </w:r>
      <w:r>
        <w:rPr>
          <w:rFonts w:hint="eastAsia"/>
          <w:szCs w:val="21"/>
        </w:rPr>
        <w:t>0.100</w:t>
      </w:r>
      <w:r>
        <w:rPr>
          <w:szCs w:val="21"/>
        </w:rPr>
        <w:t>%之间的</w:t>
      </w:r>
      <w:r>
        <w:rPr>
          <w:rFonts w:hint="eastAsia"/>
          <w:szCs w:val="21"/>
        </w:rPr>
        <w:t>铜冶炼烟尘</w:t>
      </w:r>
      <w:r>
        <w:rPr>
          <w:szCs w:val="21"/>
        </w:rPr>
        <w:t>中</w:t>
      </w:r>
      <w:r>
        <w:rPr>
          <w:rFonts w:hint="eastAsia"/>
          <w:szCs w:val="21"/>
        </w:rPr>
        <w:t>铟</w:t>
      </w:r>
      <w:r>
        <w:rPr>
          <w:szCs w:val="21"/>
        </w:rPr>
        <w:t>量的测定，可作为行业标准方法推广使用</w:t>
      </w:r>
      <w:r>
        <w:rPr>
          <w:sz w:val="24"/>
        </w:rPr>
        <w:t>。</w:t>
      </w:r>
    </w:p>
    <w:p>
      <w:pPr>
        <w:spacing w:line="360" w:lineRule="auto"/>
        <w:jc w:val="center"/>
        <w:rPr>
          <w:szCs w:val="21"/>
        </w:rPr>
      </w:pPr>
      <w:r>
        <w:rPr>
          <w:szCs w:val="21"/>
        </w:rPr>
        <w:t>表</w:t>
      </w:r>
      <w:r>
        <w:rPr>
          <w:rFonts w:hint="eastAsia"/>
          <w:szCs w:val="21"/>
        </w:rPr>
        <w:t>3</w:t>
      </w:r>
      <w:r>
        <w:rPr>
          <w:szCs w:val="21"/>
        </w:rPr>
        <w:t>加标回收实验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Align w:val="center"/>
          </w:tcPr>
          <w:p>
            <w:pPr>
              <w:autoSpaceDE w:val="0"/>
              <w:autoSpaceDN w:val="0"/>
              <w:adjustRightInd w:val="0"/>
              <w:spacing w:line="240" w:lineRule="atLeast"/>
              <w:jc w:val="center"/>
              <w:rPr>
                <w:rFonts w:eastAsiaTheme="minorEastAsia"/>
                <w:color w:val="000000"/>
                <w:kern w:val="0"/>
                <w:szCs w:val="21"/>
              </w:rPr>
            </w:pPr>
            <w:r>
              <w:rPr>
                <w:rFonts w:eastAsiaTheme="minorEastAsia"/>
                <w:color w:val="000000"/>
                <w:kern w:val="0"/>
                <w:szCs w:val="21"/>
              </w:rPr>
              <w:t>样品名称</w:t>
            </w:r>
          </w:p>
        </w:tc>
        <w:tc>
          <w:tcPr>
            <w:tcW w:w="1914" w:type="dxa"/>
            <w:vAlign w:val="center"/>
          </w:tcPr>
          <w:p>
            <w:pPr>
              <w:autoSpaceDE w:val="0"/>
              <w:autoSpaceDN w:val="0"/>
              <w:adjustRightInd w:val="0"/>
              <w:spacing w:line="240" w:lineRule="atLeast"/>
              <w:jc w:val="center"/>
              <w:rPr>
                <w:rFonts w:eastAsiaTheme="minorEastAsia"/>
                <w:color w:val="000000"/>
                <w:kern w:val="0"/>
                <w:szCs w:val="21"/>
              </w:rPr>
            </w:pPr>
            <w:r>
              <w:rPr>
                <w:rFonts w:eastAsiaTheme="minorEastAsia"/>
                <w:color w:val="000000"/>
                <w:kern w:val="0"/>
                <w:szCs w:val="21"/>
              </w:rPr>
              <w:t>0.3g试料中铟量ug</w:t>
            </w:r>
          </w:p>
        </w:tc>
        <w:tc>
          <w:tcPr>
            <w:tcW w:w="1914" w:type="dxa"/>
            <w:vAlign w:val="center"/>
          </w:tcPr>
          <w:p>
            <w:pPr>
              <w:autoSpaceDE w:val="0"/>
              <w:autoSpaceDN w:val="0"/>
              <w:adjustRightInd w:val="0"/>
              <w:spacing w:line="240" w:lineRule="atLeast"/>
              <w:jc w:val="center"/>
              <w:rPr>
                <w:rFonts w:eastAsiaTheme="minorEastAsia"/>
                <w:color w:val="000000"/>
                <w:kern w:val="0"/>
                <w:szCs w:val="21"/>
              </w:rPr>
            </w:pPr>
            <w:r>
              <w:rPr>
                <w:rFonts w:eastAsiaTheme="minorEastAsia"/>
                <w:color w:val="000000"/>
                <w:kern w:val="0"/>
                <w:szCs w:val="21"/>
              </w:rPr>
              <w:t>加入铟量/ug</w:t>
            </w:r>
          </w:p>
        </w:tc>
        <w:tc>
          <w:tcPr>
            <w:tcW w:w="1914" w:type="dxa"/>
            <w:vAlign w:val="center"/>
          </w:tcPr>
          <w:p>
            <w:pPr>
              <w:autoSpaceDE w:val="0"/>
              <w:autoSpaceDN w:val="0"/>
              <w:adjustRightInd w:val="0"/>
              <w:spacing w:line="240" w:lineRule="atLeast"/>
              <w:jc w:val="center"/>
              <w:rPr>
                <w:rFonts w:eastAsiaTheme="minorEastAsia"/>
                <w:color w:val="000000"/>
                <w:kern w:val="0"/>
                <w:szCs w:val="21"/>
              </w:rPr>
            </w:pPr>
            <w:r>
              <w:rPr>
                <w:rFonts w:eastAsiaTheme="minorEastAsia"/>
                <w:color w:val="000000"/>
                <w:kern w:val="0"/>
                <w:szCs w:val="21"/>
              </w:rPr>
              <w:t>测得铟量/ug</w:t>
            </w:r>
          </w:p>
        </w:tc>
        <w:tc>
          <w:tcPr>
            <w:tcW w:w="1915" w:type="dxa"/>
            <w:vAlign w:val="center"/>
          </w:tcPr>
          <w:p>
            <w:pPr>
              <w:autoSpaceDE w:val="0"/>
              <w:autoSpaceDN w:val="0"/>
              <w:adjustRightInd w:val="0"/>
              <w:spacing w:line="240" w:lineRule="atLeast"/>
              <w:jc w:val="center"/>
              <w:rPr>
                <w:rFonts w:eastAsiaTheme="minorEastAsia"/>
                <w:color w:val="000000"/>
                <w:kern w:val="0"/>
                <w:szCs w:val="21"/>
              </w:rPr>
            </w:pPr>
            <w:r>
              <w:rPr>
                <w:rFonts w:eastAsiaTheme="minorEastAsia"/>
                <w:color w:val="000000"/>
                <w:kern w:val="0"/>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tcPr>
          <w:p>
            <w:pPr>
              <w:jc w:val="center"/>
              <w:rPr>
                <w:szCs w:val="21"/>
              </w:rPr>
            </w:pPr>
            <w:r>
              <w:rPr>
                <w:rFonts w:eastAsiaTheme="minorEastAsia"/>
                <w:color w:val="000000"/>
                <w:kern w:val="0"/>
                <w:szCs w:val="21"/>
              </w:rPr>
              <w:t>ZJ1102</w:t>
            </w:r>
          </w:p>
        </w:tc>
        <w:tc>
          <w:tcPr>
            <w:tcW w:w="1914" w:type="dxa"/>
            <w:vMerge w:val="restart"/>
          </w:tcPr>
          <w:p>
            <w:pPr>
              <w:jc w:val="center"/>
              <w:rPr>
                <w:szCs w:val="21"/>
              </w:rPr>
            </w:pPr>
            <w:r>
              <w:rPr>
                <w:rFonts w:eastAsiaTheme="minorEastAsia"/>
                <w:color w:val="000000"/>
                <w:kern w:val="0"/>
                <w:szCs w:val="21"/>
              </w:rPr>
              <w:t>59.7</w:t>
            </w:r>
          </w:p>
        </w:tc>
        <w:tc>
          <w:tcPr>
            <w:tcW w:w="1914" w:type="dxa"/>
          </w:tcPr>
          <w:p>
            <w:pPr>
              <w:jc w:val="center"/>
              <w:rPr>
                <w:szCs w:val="21"/>
              </w:rPr>
            </w:pPr>
            <w:r>
              <w:rPr>
                <w:rFonts w:hint="eastAsia"/>
                <w:szCs w:val="21"/>
              </w:rPr>
              <w:t>60</w:t>
            </w:r>
          </w:p>
        </w:tc>
        <w:tc>
          <w:tcPr>
            <w:tcW w:w="1914" w:type="dxa"/>
          </w:tcPr>
          <w:p>
            <w:pPr>
              <w:jc w:val="center"/>
              <w:rPr>
                <w:szCs w:val="21"/>
              </w:rPr>
            </w:pPr>
            <w:r>
              <w:rPr>
                <w:rFonts w:eastAsiaTheme="minorEastAsia"/>
                <w:color w:val="000000"/>
                <w:kern w:val="0"/>
                <w:szCs w:val="21"/>
              </w:rPr>
              <w:t>119.9</w:t>
            </w:r>
          </w:p>
        </w:tc>
        <w:tc>
          <w:tcPr>
            <w:tcW w:w="1915" w:type="dxa"/>
          </w:tcPr>
          <w:p>
            <w:pPr>
              <w:jc w:val="center"/>
              <w:rPr>
                <w:szCs w:val="21"/>
              </w:rPr>
            </w:pPr>
            <w:r>
              <w:rPr>
                <w:rFonts w:eastAsiaTheme="minorEastAsia"/>
                <w:color w:val="000000"/>
                <w:kern w:val="0"/>
                <w:szCs w:val="21"/>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jc w:val="center"/>
              <w:rPr>
                <w:szCs w:val="21"/>
              </w:rPr>
            </w:pPr>
          </w:p>
        </w:tc>
        <w:tc>
          <w:tcPr>
            <w:tcW w:w="1914" w:type="dxa"/>
            <w:vMerge w:val="continue"/>
          </w:tcPr>
          <w:p>
            <w:pPr>
              <w:jc w:val="center"/>
              <w:rPr>
                <w:szCs w:val="21"/>
              </w:rPr>
            </w:pPr>
          </w:p>
        </w:tc>
        <w:tc>
          <w:tcPr>
            <w:tcW w:w="1914" w:type="dxa"/>
          </w:tcPr>
          <w:p>
            <w:pPr>
              <w:jc w:val="center"/>
              <w:rPr>
                <w:szCs w:val="21"/>
              </w:rPr>
            </w:pPr>
            <w:r>
              <w:rPr>
                <w:rFonts w:eastAsiaTheme="minorEastAsia"/>
                <w:color w:val="000000"/>
                <w:kern w:val="0"/>
                <w:szCs w:val="21"/>
              </w:rPr>
              <w:t>120</w:t>
            </w:r>
          </w:p>
        </w:tc>
        <w:tc>
          <w:tcPr>
            <w:tcW w:w="1914" w:type="dxa"/>
          </w:tcPr>
          <w:p>
            <w:pPr>
              <w:jc w:val="center"/>
              <w:rPr>
                <w:szCs w:val="21"/>
              </w:rPr>
            </w:pPr>
            <w:r>
              <w:rPr>
                <w:rFonts w:eastAsiaTheme="minorEastAsia"/>
                <w:color w:val="000000"/>
                <w:kern w:val="0"/>
                <w:szCs w:val="21"/>
              </w:rPr>
              <w:t>175</w:t>
            </w:r>
          </w:p>
        </w:tc>
        <w:tc>
          <w:tcPr>
            <w:tcW w:w="1915" w:type="dxa"/>
          </w:tcPr>
          <w:p>
            <w:pPr>
              <w:jc w:val="center"/>
              <w:rPr>
                <w:szCs w:val="21"/>
              </w:rPr>
            </w:pPr>
            <w:r>
              <w:rPr>
                <w:rFonts w:eastAsiaTheme="minorEastAsia"/>
                <w:color w:val="000000"/>
                <w:kern w:val="0"/>
                <w:szCs w:val="21"/>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tcPr>
          <w:p>
            <w:pPr>
              <w:jc w:val="center"/>
              <w:rPr>
                <w:szCs w:val="21"/>
              </w:rPr>
            </w:pPr>
            <w:r>
              <w:rPr>
                <w:rFonts w:eastAsiaTheme="minorEastAsia"/>
                <w:color w:val="000000"/>
                <w:kern w:val="0"/>
                <w:szCs w:val="21"/>
              </w:rPr>
              <w:t>D1108</w:t>
            </w:r>
          </w:p>
        </w:tc>
        <w:tc>
          <w:tcPr>
            <w:tcW w:w="1914" w:type="dxa"/>
            <w:vMerge w:val="restart"/>
          </w:tcPr>
          <w:p>
            <w:pPr>
              <w:jc w:val="center"/>
              <w:rPr>
                <w:szCs w:val="21"/>
              </w:rPr>
            </w:pPr>
            <w:r>
              <w:rPr>
                <w:rFonts w:eastAsiaTheme="minorEastAsia"/>
                <w:color w:val="000000"/>
                <w:kern w:val="0"/>
                <w:szCs w:val="21"/>
              </w:rPr>
              <w:t>118.8</w:t>
            </w:r>
          </w:p>
        </w:tc>
        <w:tc>
          <w:tcPr>
            <w:tcW w:w="1914" w:type="dxa"/>
          </w:tcPr>
          <w:p>
            <w:pPr>
              <w:jc w:val="center"/>
              <w:rPr>
                <w:szCs w:val="21"/>
              </w:rPr>
            </w:pPr>
            <w:r>
              <w:rPr>
                <w:rFonts w:hint="eastAsia"/>
                <w:szCs w:val="21"/>
              </w:rPr>
              <w:t>60</w:t>
            </w:r>
          </w:p>
        </w:tc>
        <w:tc>
          <w:tcPr>
            <w:tcW w:w="1914" w:type="dxa"/>
          </w:tcPr>
          <w:p>
            <w:pPr>
              <w:jc w:val="center"/>
              <w:rPr>
                <w:szCs w:val="21"/>
              </w:rPr>
            </w:pPr>
            <w:r>
              <w:rPr>
                <w:rFonts w:eastAsiaTheme="minorEastAsia"/>
                <w:color w:val="000000"/>
                <w:kern w:val="0"/>
                <w:szCs w:val="21"/>
              </w:rPr>
              <w:t>240.4</w:t>
            </w:r>
          </w:p>
        </w:tc>
        <w:tc>
          <w:tcPr>
            <w:tcW w:w="1915" w:type="dxa"/>
          </w:tcPr>
          <w:p>
            <w:pPr>
              <w:jc w:val="center"/>
              <w:rPr>
                <w:szCs w:val="21"/>
              </w:rPr>
            </w:pPr>
            <w:r>
              <w:rPr>
                <w:rFonts w:eastAsiaTheme="minorEastAsia"/>
                <w:color w:val="000000"/>
                <w:kern w:val="0"/>
                <w:szCs w:val="21"/>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jc w:val="center"/>
              <w:rPr>
                <w:szCs w:val="21"/>
              </w:rPr>
            </w:pPr>
          </w:p>
        </w:tc>
        <w:tc>
          <w:tcPr>
            <w:tcW w:w="1914" w:type="dxa"/>
            <w:vMerge w:val="continue"/>
          </w:tcPr>
          <w:p>
            <w:pPr>
              <w:jc w:val="center"/>
              <w:rPr>
                <w:szCs w:val="21"/>
              </w:rPr>
            </w:pPr>
          </w:p>
        </w:tc>
        <w:tc>
          <w:tcPr>
            <w:tcW w:w="1914" w:type="dxa"/>
          </w:tcPr>
          <w:p>
            <w:pPr>
              <w:jc w:val="center"/>
              <w:rPr>
                <w:szCs w:val="21"/>
              </w:rPr>
            </w:pPr>
            <w:r>
              <w:rPr>
                <w:rFonts w:eastAsiaTheme="minorEastAsia"/>
                <w:color w:val="000000"/>
                <w:kern w:val="0"/>
                <w:szCs w:val="21"/>
              </w:rPr>
              <w:t>120</w:t>
            </w:r>
          </w:p>
        </w:tc>
        <w:tc>
          <w:tcPr>
            <w:tcW w:w="1914" w:type="dxa"/>
          </w:tcPr>
          <w:p>
            <w:pPr>
              <w:jc w:val="center"/>
              <w:rPr>
                <w:szCs w:val="21"/>
              </w:rPr>
            </w:pPr>
            <w:r>
              <w:rPr>
                <w:rFonts w:eastAsiaTheme="minorEastAsia"/>
                <w:color w:val="000000"/>
                <w:kern w:val="0"/>
                <w:szCs w:val="21"/>
              </w:rPr>
              <w:t>354.9</w:t>
            </w:r>
          </w:p>
        </w:tc>
        <w:tc>
          <w:tcPr>
            <w:tcW w:w="1915" w:type="dxa"/>
          </w:tcPr>
          <w:p>
            <w:pPr>
              <w:jc w:val="center"/>
              <w:rPr>
                <w:szCs w:val="21"/>
              </w:rPr>
            </w:pPr>
            <w:r>
              <w:rPr>
                <w:rFonts w:eastAsiaTheme="minorEastAsia"/>
                <w:color w:val="000000"/>
                <w:kern w:val="0"/>
                <w:szCs w:val="21"/>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tcPr>
          <w:p>
            <w:pPr>
              <w:jc w:val="center"/>
              <w:rPr>
                <w:szCs w:val="21"/>
              </w:rPr>
            </w:pPr>
            <w:r>
              <w:rPr>
                <w:rFonts w:eastAsiaTheme="minorEastAsia"/>
                <w:color w:val="000000"/>
                <w:kern w:val="0"/>
                <w:szCs w:val="21"/>
              </w:rPr>
              <w:t>D1110</w:t>
            </w:r>
          </w:p>
        </w:tc>
        <w:tc>
          <w:tcPr>
            <w:tcW w:w="1914" w:type="dxa"/>
            <w:vMerge w:val="restart"/>
          </w:tcPr>
          <w:p>
            <w:pPr>
              <w:jc w:val="center"/>
              <w:rPr>
                <w:szCs w:val="21"/>
              </w:rPr>
            </w:pPr>
            <w:r>
              <w:rPr>
                <w:rFonts w:eastAsiaTheme="minorEastAsia"/>
                <w:color w:val="000000"/>
                <w:kern w:val="0"/>
                <w:szCs w:val="21"/>
              </w:rPr>
              <w:t>297.6</w:t>
            </w:r>
          </w:p>
        </w:tc>
        <w:tc>
          <w:tcPr>
            <w:tcW w:w="1914" w:type="dxa"/>
          </w:tcPr>
          <w:p>
            <w:pPr>
              <w:jc w:val="center"/>
              <w:rPr>
                <w:szCs w:val="21"/>
              </w:rPr>
            </w:pPr>
            <w:r>
              <w:rPr>
                <w:rFonts w:hint="eastAsia"/>
                <w:szCs w:val="21"/>
              </w:rPr>
              <w:t>60</w:t>
            </w:r>
          </w:p>
        </w:tc>
        <w:tc>
          <w:tcPr>
            <w:tcW w:w="1914" w:type="dxa"/>
          </w:tcPr>
          <w:p>
            <w:pPr>
              <w:jc w:val="center"/>
              <w:rPr>
                <w:szCs w:val="21"/>
              </w:rPr>
            </w:pPr>
            <w:r>
              <w:rPr>
                <w:rFonts w:eastAsiaTheme="minorEastAsia"/>
                <w:color w:val="000000"/>
                <w:kern w:val="0"/>
                <w:szCs w:val="21"/>
              </w:rPr>
              <w:t>449.6</w:t>
            </w:r>
          </w:p>
        </w:tc>
        <w:tc>
          <w:tcPr>
            <w:tcW w:w="1915" w:type="dxa"/>
          </w:tcPr>
          <w:p>
            <w:pPr>
              <w:jc w:val="center"/>
              <w:rPr>
                <w:szCs w:val="21"/>
              </w:rPr>
            </w:pPr>
            <w:r>
              <w:rPr>
                <w:rFonts w:eastAsiaTheme="minorEastAsia"/>
                <w:color w:val="000000"/>
                <w:kern w:val="0"/>
                <w:szCs w:val="21"/>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jc w:val="center"/>
              <w:rPr>
                <w:szCs w:val="21"/>
              </w:rPr>
            </w:pPr>
          </w:p>
        </w:tc>
        <w:tc>
          <w:tcPr>
            <w:tcW w:w="1914" w:type="dxa"/>
            <w:vMerge w:val="continue"/>
          </w:tcPr>
          <w:p>
            <w:pPr>
              <w:jc w:val="center"/>
              <w:rPr>
                <w:szCs w:val="21"/>
              </w:rPr>
            </w:pPr>
          </w:p>
        </w:tc>
        <w:tc>
          <w:tcPr>
            <w:tcW w:w="1914" w:type="dxa"/>
          </w:tcPr>
          <w:p>
            <w:pPr>
              <w:jc w:val="center"/>
              <w:rPr>
                <w:szCs w:val="21"/>
              </w:rPr>
            </w:pPr>
            <w:r>
              <w:rPr>
                <w:rFonts w:eastAsiaTheme="minorEastAsia"/>
                <w:color w:val="000000"/>
                <w:kern w:val="0"/>
                <w:szCs w:val="21"/>
              </w:rPr>
              <w:t>120</w:t>
            </w:r>
          </w:p>
        </w:tc>
        <w:tc>
          <w:tcPr>
            <w:tcW w:w="1914" w:type="dxa"/>
          </w:tcPr>
          <w:p>
            <w:pPr>
              <w:jc w:val="center"/>
              <w:rPr>
                <w:szCs w:val="21"/>
              </w:rPr>
            </w:pPr>
            <w:r>
              <w:rPr>
                <w:rFonts w:eastAsiaTheme="minorEastAsia"/>
                <w:color w:val="000000"/>
                <w:kern w:val="0"/>
                <w:szCs w:val="21"/>
              </w:rPr>
              <w:t>495.05</w:t>
            </w:r>
          </w:p>
        </w:tc>
        <w:tc>
          <w:tcPr>
            <w:tcW w:w="1915" w:type="dxa"/>
          </w:tcPr>
          <w:p>
            <w:pPr>
              <w:jc w:val="center"/>
              <w:rPr>
                <w:szCs w:val="21"/>
              </w:rPr>
            </w:pPr>
            <w:r>
              <w:rPr>
                <w:rFonts w:eastAsiaTheme="minorEastAsia"/>
                <w:color w:val="000000"/>
                <w:kern w:val="0"/>
                <w:szCs w:val="21"/>
              </w:rPr>
              <w:t>98.7</w:t>
            </w:r>
          </w:p>
        </w:tc>
      </w:tr>
    </w:tbl>
    <w:p>
      <w:pPr>
        <w:rPr>
          <w:szCs w:val="21"/>
        </w:rPr>
      </w:pPr>
    </w:p>
    <w:p>
      <w:pPr>
        <w:spacing w:line="360" w:lineRule="auto"/>
        <w:rPr>
          <w:rFonts w:ascii="宋体" w:hAnsi="宋体"/>
          <w:b/>
          <w:sz w:val="24"/>
        </w:rPr>
      </w:pPr>
      <w:r>
        <w:rPr>
          <w:rFonts w:hint="eastAsia" w:ascii="宋体" w:hAnsi="宋体"/>
          <w:b/>
          <w:sz w:val="24"/>
        </w:rPr>
        <w:t>四、标准水平分析</w:t>
      </w:r>
    </w:p>
    <w:p>
      <w:pPr>
        <w:spacing w:line="360" w:lineRule="auto"/>
        <w:rPr>
          <w:rFonts w:ascii="宋体" w:hAnsi="宋体"/>
          <w:color w:val="FF0000"/>
          <w:szCs w:val="21"/>
        </w:rPr>
      </w:pPr>
      <w:r>
        <w:rPr>
          <w:rFonts w:hint="eastAsia" w:ascii="宋体" w:hAnsi="宋体"/>
          <w:color w:val="FF0000"/>
          <w:szCs w:val="21"/>
        </w:rPr>
        <w:t xml:space="preserve">   </w:t>
      </w:r>
      <w:r>
        <w:rPr>
          <w:rFonts w:hint="eastAsia" w:ascii="宋体" w:hAnsi="宋体"/>
          <w:color w:val="000000"/>
          <w:szCs w:val="21"/>
        </w:rPr>
        <w:t xml:space="preserve"> 经过资料搜索，均无与铜冶炼烟尘中铟含量测定相关的分析标准。本标准是首次制订，填补了国际、国内铜冶炼烟尘中铟含量测定标准的空白。与会代表一致认为：《铜冶炼烟尘化学分析方法》系列标准的编写符合GB/T 1.1-2020《标准化工作导则》的编制要求。</w:t>
      </w:r>
      <w:r>
        <w:rPr>
          <w:rFonts w:hint="eastAsia" w:ascii="宋体" w:hAnsi="宋体"/>
          <w:color w:val="FF0000"/>
          <w:szCs w:val="21"/>
        </w:rPr>
        <w:t>该标准技术先进、可操作性强，结构合理、文字简练、条理清晰，达到了国内先进水平。</w:t>
      </w:r>
    </w:p>
    <w:p>
      <w:pPr>
        <w:spacing w:line="360" w:lineRule="auto"/>
        <w:rPr>
          <w:rFonts w:ascii="宋体" w:hAnsi="宋体"/>
          <w:b/>
          <w:sz w:val="24"/>
        </w:rPr>
      </w:pPr>
      <w:r>
        <w:rPr>
          <w:rFonts w:hint="eastAsia" w:ascii="宋体" w:hAnsi="宋体"/>
          <w:b/>
          <w:sz w:val="24"/>
        </w:rPr>
        <w:t>五、与现行法律、法规、强制性国家标准及相关标准协调配套的情况</w:t>
      </w:r>
    </w:p>
    <w:p>
      <w:pPr>
        <w:autoSpaceDE w:val="0"/>
        <w:autoSpaceDN w:val="0"/>
        <w:adjustRightInd w:val="0"/>
        <w:spacing w:line="360" w:lineRule="auto"/>
        <w:ind w:firstLine="420" w:firstLineChars="200"/>
        <w:jc w:val="left"/>
      </w:pPr>
      <w:r>
        <w:rPr>
          <w:rFonts w:hAnsi="宋体"/>
        </w:rPr>
        <w:t>本标准完全满足</w:t>
      </w:r>
      <w:r>
        <w:rPr>
          <w:rFonts w:hint="eastAsia" w:ascii="宋体" w:hAnsi="宋体"/>
          <w:szCs w:val="21"/>
        </w:rPr>
        <w:t>现行法律、法规等</w:t>
      </w:r>
      <w:r>
        <w:rPr>
          <w:rFonts w:ascii="宋体" w:hAnsi="宋体"/>
          <w:szCs w:val="21"/>
        </w:rPr>
        <w:t>的</w:t>
      </w:r>
      <w:r>
        <w:rPr>
          <w:rFonts w:hAnsi="宋体"/>
        </w:rPr>
        <w:t>要求，标准格式规范。</w:t>
      </w:r>
    </w:p>
    <w:p>
      <w:pPr>
        <w:spacing w:line="360" w:lineRule="auto"/>
        <w:rPr>
          <w:rFonts w:ascii="宋体" w:hAnsi="宋体"/>
          <w:b/>
          <w:sz w:val="24"/>
        </w:rPr>
      </w:pPr>
      <w:r>
        <w:rPr>
          <w:rFonts w:hint="eastAsia" w:ascii="宋体" w:hAnsi="宋体"/>
          <w:b/>
          <w:sz w:val="24"/>
        </w:rPr>
        <w:t>六、标准中涉及到的专利</w:t>
      </w:r>
    </w:p>
    <w:p>
      <w:pPr>
        <w:spacing w:line="360" w:lineRule="auto"/>
        <w:ind w:firstLine="495"/>
        <w:rPr>
          <w:rFonts w:hAnsi="宋体"/>
        </w:rPr>
      </w:pPr>
      <w:r>
        <w:rPr>
          <w:rFonts w:hint="eastAsia" w:hAnsi="宋体"/>
        </w:rPr>
        <w:t>无</w:t>
      </w:r>
    </w:p>
    <w:p>
      <w:pPr>
        <w:spacing w:line="360" w:lineRule="auto"/>
        <w:rPr>
          <w:rFonts w:ascii="宋体" w:hAnsi="宋体"/>
          <w:b/>
          <w:sz w:val="24"/>
        </w:rPr>
      </w:pPr>
      <w:r>
        <w:rPr>
          <w:rFonts w:hint="eastAsia" w:ascii="宋体" w:hAnsi="宋体"/>
          <w:b/>
          <w:sz w:val="24"/>
        </w:rPr>
        <w:t>七、重大分歧意见的处理经过和依据</w:t>
      </w:r>
    </w:p>
    <w:p>
      <w:pPr>
        <w:spacing w:line="360" w:lineRule="auto"/>
        <w:rPr>
          <w:rFonts w:ascii="宋体" w:hAnsi="宋体"/>
          <w:sz w:val="24"/>
        </w:rPr>
      </w:pPr>
      <w:r>
        <w:rPr>
          <w:rFonts w:hint="eastAsia" w:ascii="宋体" w:hAnsi="宋体"/>
          <w:b/>
          <w:sz w:val="24"/>
        </w:rPr>
        <w:t xml:space="preserve">    </w:t>
      </w:r>
      <w:r>
        <w:rPr>
          <w:rFonts w:hint="eastAsia" w:ascii="宋体" w:hAnsi="宋体"/>
          <w:sz w:val="24"/>
        </w:rPr>
        <w:t>无</w:t>
      </w:r>
    </w:p>
    <w:p>
      <w:pPr>
        <w:spacing w:line="360" w:lineRule="auto"/>
        <w:rPr>
          <w:rFonts w:ascii="宋体" w:hAnsi="宋体"/>
          <w:b/>
          <w:sz w:val="24"/>
        </w:rPr>
      </w:pPr>
      <w:r>
        <w:rPr>
          <w:rFonts w:hint="eastAsia" w:ascii="宋体" w:hAnsi="宋体"/>
          <w:b/>
          <w:sz w:val="24"/>
        </w:rPr>
        <w:t>八、标准作为强制性或推荐性国家（或行业）标准的建议</w:t>
      </w:r>
    </w:p>
    <w:p>
      <w:pPr>
        <w:spacing w:line="360" w:lineRule="auto"/>
        <w:ind w:firstLine="525" w:firstLineChars="250"/>
        <w:rPr>
          <w:rFonts w:hAnsi="宋体"/>
        </w:rPr>
      </w:pPr>
      <w:r>
        <w:rPr>
          <w:rFonts w:hAnsi="宋体"/>
        </w:rPr>
        <w:t>建议该标准</w:t>
      </w:r>
      <w:r>
        <w:rPr>
          <w:rFonts w:hint="eastAsia" w:hAnsi="宋体"/>
        </w:rPr>
        <w:t>作</w:t>
      </w:r>
      <w:r>
        <w:rPr>
          <w:rFonts w:hAnsi="宋体"/>
        </w:rPr>
        <w:t>为推荐性</w:t>
      </w:r>
      <w:r>
        <w:rPr>
          <w:rFonts w:hint="eastAsia" w:hAnsi="宋体"/>
        </w:rPr>
        <w:t>行业</w:t>
      </w:r>
      <w:r>
        <w:rPr>
          <w:rFonts w:hAnsi="宋体"/>
        </w:rPr>
        <w:t>标准。</w:t>
      </w:r>
    </w:p>
    <w:p>
      <w:pPr>
        <w:spacing w:line="360" w:lineRule="auto"/>
        <w:rPr>
          <w:rFonts w:ascii="宋体" w:hAnsi="宋体"/>
          <w:b/>
          <w:sz w:val="24"/>
        </w:rPr>
      </w:pPr>
      <w:r>
        <w:rPr>
          <w:rFonts w:hint="eastAsia" w:ascii="宋体" w:hAnsi="宋体"/>
          <w:b/>
          <w:sz w:val="24"/>
        </w:rPr>
        <w:t>九、贯彻标准的要求和措施建议</w:t>
      </w:r>
    </w:p>
    <w:p>
      <w:pPr>
        <w:spacing w:line="360" w:lineRule="auto"/>
        <w:ind w:firstLine="525" w:firstLineChars="250"/>
        <w:rPr>
          <w:rFonts w:ascii="宋体" w:hAnsi="宋体"/>
          <w:b/>
          <w:sz w:val="24"/>
        </w:rPr>
      </w:pPr>
      <w:r>
        <w:rPr>
          <w:rFonts w:hint="eastAsia" w:hAnsi="宋体"/>
        </w:rPr>
        <w:t>无</w:t>
      </w:r>
    </w:p>
    <w:p>
      <w:pPr>
        <w:spacing w:line="360" w:lineRule="auto"/>
        <w:rPr>
          <w:rFonts w:ascii="宋体" w:hAnsi="宋体"/>
          <w:b/>
          <w:sz w:val="24"/>
        </w:rPr>
      </w:pPr>
      <w:r>
        <w:rPr>
          <w:rFonts w:hint="eastAsia" w:ascii="宋体" w:hAnsi="宋体"/>
          <w:b/>
          <w:sz w:val="24"/>
        </w:rPr>
        <w:t>十、废止现行有关标准的建议</w:t>
      </w:r>
    </w:p>
    <w:p>
      <w:pPr>
        <w:spacing w:line="360" w:lineRule="auto"/>
        <w:ind w:firstLine="495"/>
        <w:rPr>
          <w:rFonts w:hAnsi="宋体"/>
        </w:rPr>
      </w:pPr>
      <w:r>
        <w:rPr>
          <w:rFonts w:hint="eastAsia" w:hAnsi="宋体"/>
        </w:rPr>
        <w:t>本标准为首次起草，无废止/替代现行有关标准。</w:t>
      </w:r>
    </w:p>
    <w:p>
      <w:pPr>
        <w:spacing w:line="360" w:lineRule="auto"/>
        <w:rPr>
          <w:rFonts w:hint="eastAsia" w:ascii="宋体" w:hAnsi="宋体"/>
          <w:b/>
          <w:sz w:val="24"/>
        </w:rPr>
      </w:pPr>
      <w:r>
        <w:rPr>
          <w:rFonts w:hint="eastAsia" w:ascii="宋体" w:hAnsi="宋体"/>
          <w:b/>
          <w:sz w:val="24"/>
        </w:rPr>
        <w:t>十一、其他应予说明的事项</w:t>
      </w:r>
      <w:bookmarkStart w:id="0" w:name="_GoBack"/>
      <w:bookmarkEnd w:id="0"/>
    </w:p>
    <w:p>
      <w:pPr>
        <w:adjustRightInd w:val="0"/>
        <w:snapToGrid w:val="0"/>
        <w:spacing w:before="162" w:beforeLines="50" w:after="162" w:afterLines="50"/>
        <w:ind w:firstLine="522" w:firstLineChars="249"/>
        <w:jc w:val="left"/>
        <w:rPr>
          <w:szCs w:val="21"/>
        </w:rPr>
      </w:pPr>
      <w:r>
        <w:rPr>
          <w:szCs w:val="21"/>
        </w:rPr>
        <w:t>本标准遵守下列基础标准：</w:t>
      </w:r>
    </w:p>
    <w:p>
      <w:pPr>
        <w:adjustRightInd w:val="0"/>
        <w:snapToGrid w:val="0"/>
        <w:spacing w:before="162" w:beforeLines="50" w:after="162" w:afterLines="50"/>
        <w:ind w:firstLine="522" w:firstLineChars="249"/>
        <w:jc w:val="left"/>
        <w:rPr>
          <w:szCs w:val="21"/>
        </w:rPr>
      </w:pPr>
      <w:r>
        <w:rPr>
          <w:szCs w:val="21"/>
        </w:rPr>
        <w:t>GB/T 1.1标准化工作导则第1部分：标准的结构和编写规则</w:t>
      </w:r>
    </w:p>
    <w:p>
      <w:pPr>
        <w:adjustRightInd w:val="0"/>
        <w:snapToGrid w:val="0"/>
        <w:spacing w:before="162" w:beforeLines="50" w:after="162" w:afterLines="50"/>
        <w:ind w:firstLine="522" w:firstLineChars="249"/>
        <w:jc w:val="left"/>
        <w:rPr>
          <w:szCs w:val="21"/>
        </w:rPr>
      </w:pPr>
      <w:r>
        <w:rPr>
          <w:szCs w:val="21"/>
        </w:rPr>
        <w:t>GB/T 20001标准编写规则第4部分：化学分析方法</w:t>
      </w:r>
    </w:p>
    <w:p>
      <w:pPr>
        <w:adjustRightInd w:val="0"/>
        <w:snapToGrid w:val="0"/>
        <w:spacing w:before="162" w:beforeLines="50" w:after="162" w:afterLines="50"/>
        <w:ind w:firstLine="522" w:firstLineChars="249"/>
        <w:jc w:val="left"/>
        <w:rPr>
          <w:szCs w:val="21"/>
        </w:rPr>
      </w:pPr>
      <w:r>
        <w:rPr>
          <w:szCs w:val="21"/>
        </w:rPr>
        <w:t>GB/T 17433冶金产品化学分析基础术语</w:t>
      </w:r>
    </w:p>
    <w:p>
      <w:pPr>
        <w:adjustRightInd w:val="0"/>
        <w:snapToGrid w:val="0"/>
        <w:spacing w:before="162" w:beforeLines="50" w:after="162" w:afterLines="50"/>
        <w:ind w:firstLine="522" w:firstLineChars="249"/>
        <w:jc w:val="left"/>
        <w:rPr>
          <w:szCs w:val="21"/>
        </w:rPr>
      </w:pPr>
      <w:r>
        <w:rPr>
          <w:szCs w:val="21"/>
        </w:rPr>
        <w:t>GB/T 11792测试方法的精密度在重现性或再现性条件下所得测试结果可接受的检查和最终测试结果的确定。</w:t>
      </w:r>
    </w:p>
    <w:p>
      <w:pPr>
        <w:adjustRightInd w:val="0"/>
        <w:snapToGrid w:val="0"/>
        <w:spacing w:before="162" w:beforeLines="50" w:after="162" w:afterLines="50" w:line="300" w:lineRule="auto"/>
        <w:ind w:firstLine="522" w:firstLineChars="249"/>
        <w:jc w:val="left"/>
        <w:rPr>
          <w:szCs w:val="21"/>
        </w:rPr>
      </w:pPr>
      <w:r>
        <w:rPr>
          <w:rFonts w:hint="eastAsia"/>
          <w:szCs w:val="21"/>
        </w:rPr>
        <w:t>本标准首次规定了</w:t>
      </w:r>
      <w:r>
        <w:rPr>
          <w:rFonts w:hint="eastAsia" w:ascii="宋体" w:hAnsi="宋体"/>
          <w:color w:val="000000"/>
          <w:szCs w:val="21"/>
        </w:rPr>
        <w:t>铜冶炼烟尘中铟含量</w:t>
      </w:r>
      <w:r>
        <w:rPr>
          <w:rFonts w:hint="eastAsia"/>
          <w:szCs w:val="21"/>
        </w:rPr>
        <w:t>的测定方法。本标准在制定过程中，调研了国内多家冶炼企业，标准技术先进，具有充分的可操作性、适用性，完全能够满足国内外用户、市场的需求。本标准为</w:t>
      </w:r>
      <w:r>
        <w:rPr>
          <w:rFonts w:hint="eastAsia" w:ascii="宋体" w:hAnsi="宋体"/>
          <w:color w:val="000000"/>
          <w:szCs w:val="21"/>
        </w:rPr>
        <w:t>铜冶炼烟尘中铟含量</w:t>
      </w:r>
      <w:r>
        <w:rPr>
          <w:rFonts w:hint="eastAsia"/>
          <w:szCs w:val="21"/>
        </w:rPr>
        <w:t>的测定提供依据，有利于企业提高对</w:t>
      </w:r>
      <w:r>
        <w:rPr>
          <w:rFonts w:hint="eastAsia" w:ascii="宋体" w:hAnsi="宋体"/>
          <w:color w:val="000000"/>
          <w:szCs w:val="21"/>
        </w:rPr>
        <w:t>铜冶炼烟尘</w:t>
      </w:r>
      <w:r>
        <w:rPr>
          <w:rFonts w:hint="eastAsia"/>
          <w:szCs w:val="21"/>
        </w:rPr>
        <w:t>的综合利用，减少能耗，最大化地回收利用铟，实现资源循环利用及有价金属材料生产。</w:t>
      </w:r>
    </w:p>
    <w:p>
      <w:pPr>
        <w:adjustRightInd w:val="0"/>
        <w:snapToGrid w:val="0"/>
        <w:spacing w:before="162" w:beforeLines="50" w:after="162" w:afterLines="50" w:line="300" w:lineRule="auto"/>
        <w:ind w:firstLine="697" w:firstLineChars="249"/>
        <w:jc w:val="left"/>
        <w:rPr>
          <w:szCs w:val="21"/>
        </w:rPr>
      </w:pPr>
      <w:r>
        <w:rPr>
          <w:rFonts w:hint="eastAsia" w:ascii="黑体" w:hAnsi="黑体" w:eastAsia="黑体"/>
          <w:kern w:val="0"/>
          <w:sz w:val="28"/>
          <w:szCs w:val="28"/>
        </w:rPr>
        <w:t xml:space="preserve">                                           2020年8月30日</w:t>
      </w:r>
    </w:p>
    <w:p>
      <w:pPr>
        <w:pStyle w:val="52"/>
        <w:spacing w:line="360" w:lineRule="auto"/>
        <w:rPr>
          <w:szCs w:val="21"/>
        </w:rPr>
      </w:pPr>
    </w:p>
    <w:sectPr>
      <w:pgSz w:w="11907" w:h="16840"/>
      <w:pgMar w:top="1418" w:right="1134" w:bottom="1134" w:left="1418" w:header="851" w:footer="851" w:gutter="0"/>
      <w:pgNumType w:start="1"/>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3603"/>
    <w:multiLevelType w:val="multilevel"/>
    <w:tmpl w:val="1F2A3603"/>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E0D41B8"/>
    <w:multiLevelType w:val="multilevel"/>
    <w:tmpl w:val="6E0D41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E9"/>
    <w:rsid w:val="000108E9"/>
    <w:rsid w:val="00074CAE"/>
    <w:rsid w:val="00080D2F"/>
    <w:rsid w:val="000F12B0"/>
    <w:rsid w:val="001D5CC4"/>
    <w:rsid w:val="001F5056"/>
    <w:rsid w:val="002508CB"/>
    <w:rsid w:val="002817F2"/>
    <w:rsid w:val="002B3726"/>
    <w:rsid w:val="003541D1"/>
    <w:rsid w:val="003A2D94"/>
    <w:rsid w:val="00440D53"/>
    <w:rsid w:val="0044712A"/>
    <w:rsid w:val="00497A70"/>
    <w:rsid w:val="004F7C1F"/>
    <w:rsid w:val="00520FFB"/>
    <w:rsid w:val="005470AA"/>
    <w:rsid w:val="005A02C2"/>
    <w:rsid w:val="005A31C7"/>
    <w:rsid w:val="005C47AF"/>
    <w:rsid w:val="00663718"/>
    <w:rsid w:val="006A3DEA"/>
    <w:rsid w:val="006E0C76"/>
    <w:rsid w:val="006E1D10"/>
    <w:rsid w:val="0070045D"/>
    <w:rsid w:val="007662D2"/>
    <w:rsid w:val="008B14A4"/>
    <w:rsid w:val="008F7E27"/>
    <w:rsid w:val="00923F62"/>
    <w:rsid w:val="009E1F9C"/>
    <w:rsid w:val="009F33FA"/>
    <w:rsid w:val="00A404DA"/>
    <w:rsid w:val="00A50861"/>
    <w:rsid w:val="00A82577"/>
    <w:rsid w:val="00AB5D78"/>
    <w:rsid w:val="00AC5243"/>
    <w:rsid w:val="00AF13FC"/>
    <w:rsid w:val="00B11002"/>
    <w:rsid w:val="00B14899"/>
    <w:rsid w:val="00B20058"/>
    <w:rsid w:val="00B6283E"/>
    <w:rsid w:val="00BC1BED"/>
    <w:rsid w:val="00C04E52"/>
    <w:rsid w:val="00C703D6"/>
    <w:rsid w:val="00CE04D9"/>
    <w:rsid w:val="00CE31A7"/>
    <w:rsid w:val="00D01FA8"/>
    <w:rsid w:val="00D4592F"/>
    <w:rsid w:val="00D667EF"/>
    <w:rsid w:val="00DD7FCD"/>
    <w:rsid w:val="00E463BC"/>
    <w:rsid w:val="00E7039E"/>
    <w:rsid w:val="00EE58BB"/>
    <w:rsid w:val="00F27A5B"/>
    <w:rsid w:val="00F3549E"/>
    <w:rsid w:val="00F81C64"/>
    <w:rsid w:val="00FD5247"/>
    <w:rsid w:val="00FE4A60"/>
    <w:rsid w:val="09D4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tabs>
        <w:tab w:val="left" w:pos="10080"/>
      </w:tabs>
      <w:jc w:val="center"/>
      <w:outlineLvl w:val="0"/>
    </w:pPr>
    <w:rPr>
      <w:sz w:val="28"/>
      <w:szCs w:val="2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23"/>
    <w:qFormat/>
    <w:uiPriority w:val="0"/>
    <w:pPr>
      <w:spacing w:after="120"/>
    </w:pPr>
    <w:rPr>
      <w:lang w:val="zh-CN" w:eastAsia="zh-CN"/>
    </w:rPr>
  </w:style>
  <w:style w:type="paragraph" w:styleId="5">
    <w:name w:val="Plain Text"/>
    <w:basedOn w:val="1"/>
    <w:link w:val="24"/>
    <w:qFormat/>
    <w:uiPriority w:val="0"/>
    <w:rPr>
      <w:rFonts w:ascii="宋体" w:hAnsi="Courier New"/>
      <w:szCs w:val="21"/>
      <w:lang w:val="zh-CN" w:eastAsia="zh-CN"/>
    </w:rPr>
  </w:style>
  <w:style w:type="paragraph" w:styleId="6">
    <w:name w:val="Date"/>
    <w:basedOn w:val="1"/>
    <w:next w:val="1"/>
    <w:link w:val="25"/>
    <w:qFormat/>
    <w:uiPriority w:val="0"/>
    <w:rPr>
      <w:rFonts w:eastAsia="黑体"/>
      <w:sz w:val="28"/>
      <w:szCs w:val="20"/>
      <w:lang w:val="zh-CN" w:eastAsia="zh-CN"/>
    </w:rPr>
  </w:style>
  <w:style w:type="paragraph" w:styleId="7">
    <w:name w:val="Balloon Text"/>
    <w:basedOn w:val="1"/>
    <w:link w:val="26"/>
    <w:qFormat/>
    <w:uiPriority w:val="0"/>
    <w:rPr>
      <w:sz w:val="18"/>
      <w:szCs w:val="18"/>
      <w:lang w:val="zh-CN" w:eastAsia="zh-CN"/>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page number"/>
    <w:basedOn w:val="12"/>
    <w:qFormat/>
    <w:uiPriority w:val="0"/>
  </w:style>
  <w:style w:type="character" w:styleId="15">
    <w:name w:val="FollowedHyperlink"/>
    <w:qFormat/>
    <w:uiPriority w:val="99"/>
    <w:rPr>
      <w:color w:val="014CCC"/>
      <w:u w:val="none"/>
    </w:rPr>
  </w:style>
  <w:style w:type="character" w:styleId="16">
    <w:name w:val="Hyperlink"/>
    <w:qFormat/>
    <w:uiPriority w:val="99"/>
    <w:rPr>
      <w:color w:val="014CCC"/>
      <w:u w:val="none"/>
    </w:rPr>
  </w:style>
  <w:style w:type="character" w:customStyle="1" w:styleId="17">
    <w:name w:val="页眉 Char"/>
    <w:basedOn w:val="12"/>
    <w:link w:val="9"/>
    <w:qFormat/>
    <w:uiPriority w:val="0"/>
    <w:rPr>
      <w:sz w:val="18"/>
      <w:szCs w:val="18"/>
    </w:rPr>
  </w:style>
  <w:style w:type="character" w:customStyle="1" w:styleId="18">
    <w:name w:val="页脚 Char"/>
    <w:basedOn w:val="12"/>
    <w:link w:val="8"/>
    <w:qFormat/>
    <w:uiPriority w:val="0"/>
    <w:rPr>
      <w:sz w:val="18"/>
      <w:szCs w:val="18"/>
    </w:rPr>
  </w:style>
  <w:style w:type="paragraph" w:styleId="19">
    <w:name w:val="List Paragraph"/>
    <w:basedOn w:val="1"/>
    <w:unhideWhenUsed/>
    <w:qFormat/>
    <w:uiPriority w:val="34"/>
    <w:pPr>
      <w:ind w:firstLine="420" w:firstLineChars="200"/>
    </w:pPr>
    <w:rPr>
      <w:rFonts w:ascii="Calibri" w:hAnsi="Calibri"/>
      <w:szCs w:val="22"/>
    </w:rPr>
  </w:style>
  <w:style w:type="paragraph" w:customStyle="1" w:styleId="20">
    <w:name w:val="章标题"/>
    <w:basedOn w:val="1"/>
    <w:qFormat/>
    <w:uiPriority w:val="0"/>
    <w:pPr>
      <w:numPr>
        <w:ilvl w:val="0"/>
        <w:numId w:val="1"/>
      </w:numPr>
    </w:pPr>
  </w:style>
  <w:style w:type="paragraph" w:customStyle="1" w:styleId="21">
    <w:name w:val="一级条标题"/>
    <w:next w:val="1"/>
    <w:qFormat/>
    <w:uiPriority w:val="0"/>
    <w:pPr>
      <w:outlineLvl w:val="2"/>
    </w:pPr>
    <w:rPr>
      <w:rFonts w:ascii="Calibri" w:hAnsi="Calibri" w:eastAsia="黑体" w:cs="Times New Roman"/>
      <w:kern w:val="2"/>
      <w:sz w:val="21"/>
      <w:szCs w:val="24"/>
      <w:lang w:val="en-US" w:eastAsia="zh-CN" w:bidi="ar-SA"/>
    </w:rPr>
  </w:style>
  <w:style w:type="character" w:customStyle="1" w:styleId="22">
    <w:name w:val="标题 1 Char"/>
    <w:basedOn w:val="12"/>
    <w:link w:val="2"/>
    <w:uiPriority w:val="0"/>
    <w:rPr>
      <w:rFonts w:ascii="Times New Roman" w:hAnsi="Times New Roman" w:eastAsia="宋体" w:cs="Times New Roman"/>
      <w:sz w:val="28"/>
      <w:szCs w:val="20"/>
    </w:rPr>
  </w:style>
  <w:style w:type="character" w:customStyle="1" w:styleId="23">
    <w:name w:val="正文文本 Char"/>
    <w:basedOn w:val="12"/>
    <w:link w:val="4"/>
    <w:qFormat/>
    <w:uiPriority w:val="0"/>
    <w:rPr>
      <w:rFonts w:ascii="Times New Roman" w:hAnsi="Times New Roman" w:eastAsia="宋体" w:cs="Times New Roman"/>
      <w:szCs w:val="24"/>
      <w:lang w:val="zh-CN" w:eastAsia="zh-CN"/>
    </w:rPr>
  </w:style>
  <w:style w:type="character" w:customStyle="1" w:styleId="24">
    <w:name w:val="纯文本 Char"/>
    <w:basedOn w:val="12"/>
    <w:link w:val="5"/>
    <w:qFormat/>
    <w:uiPriority w:val="0"/>
    <w:rPr>
      <w:rFonts w:ascii="宋体" w:hAnsi="Courier New" w:eastAsia="宋体" w:cs="Times New Roman"/>
      <w:szCs w:val="21"/>
      <w:lang w:val="zh-CN" w:eastAsia="zh-CN"/>
    </w:rPr>
  </w:style>
  <w:style w:type="character" w:customStyle="1" w:styleId="25">
    <w:name w:val="日期 Char"/>
    <w:basedOn w:val="12"/>
    <w:link w:val="6"/>
    <w:qFormat/>
    <w:uiPriority w:val="0"/>
    <w:rPr>
      <w:rFonts w:ascii="Times New Roman" w:hAnsi="Times New Roman" w:eastAsia="黑体" w:cs="Times New Roman"/>
      <w:sz w:val="28"/>
      <w:szCs w:val="20"/>
      <w:lang w:val="zh-CN" w:eastAsia="zh-CN"/>
    </w:rPr>
  </w:style>
  <w:style w:type="character" w:customStyle="1" w:styleId="26">
    <w:name w:val="批注框文本 Char"/>
    <w:basedOn w:val="12"/>
    <w:link w:val="7"/>
    <w:qFormat/>
    <w:uiPriority w:val="0"/>
    <w:rPr>
      <w:rFonts w:ascii="Times New Roman" w:hAnsi="Times New Roman" w:eastAsia="宋体" w:cs="Times New Roman"/>
      <w:sz w:val="18"/>
      <w:szCs w:val="18"/>
      <w:lang w:val="zh-CN" w:eastAsia="zh-CN"/>
    </w:rPr>
  </w:style>
  <w:style w:type="paragraph" w:customStyle="1" w:styleId="2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kern w:val="0"/>
      <w:sz w:val="28"/>
      <w:szCs w:val="22"/>
      <w:lang w:val="en-US" w:eastAsia="zh-CN" w:bidi="ar-SA"/>
    </w:rPr>
  </w:style>
  <w:style w:type="paragraph" w:customStyle="1" w:styleId="28">
    <w:name w:val="封面标准号2"/>
    <w:basedOn w:val="1"/>
    <w:qFormat/>
    <w:uiPriority w:val="0"/>
  </w:style>
  <w:style w:type="paragraph" w:customStyle="1" w:styleId="29">
    <w:name w:val="段"/>
    <w:link w:val="32"/>
    <w:qFormat/>
    <w:uiPriority w:val="0"/>
    <w:pPr>
      <w:autoSpaceDE w:val="0"/>
      <w:autoSpaceDN w:val="0"/>
      <w:ind w:firstLine="200" w:firstLineChars="200"/>
      <w:jc w:val="both"/>
    </w:pPr>
    <w:rPr>
      <w:rFonts w:ascii="宋体" w:hAnsi="宋体" w:eastAsia="宋体" w:cs="Times New Roman"/>
      <w:kern w:val="0"/>
      <w:sz w:val="21"/>
      <w:szCs w:val="22"/>
      <w:lang w:val="en-US" w:eastAsia="zh-CN" w:bidi="ar-SA"/>
    </w:rPr>
  </w:style>
  <w:style w:type="paragraph" w:customStyle="1" w:styleId="30">
    <w:name w:val="标准"/>
    <w:basedOn w:val="1"/>
    <w:qFormat/>
    <w:uiPriority w:val="0"/>
    <w:pPr>
      <w:adjustRightInd w:val="0"/>
      <w:spacing w:line="312" w:lineRule="atLeast"/>
      <w:jc w:val="center"/>
      <w:textAlignment w:val="baseline"/>
    </w:pPr>
    <w:rPr>
      <w:kern w:val="0"/>
      <w:szCs w:val="20"/>
    </w:rPr>
  </w:style>
  <w:style w:type="paragraph" w:customStyle="1" w:styleId="31">
    <w:name w:val="二级条标题"/>
    <w:basedOn w:val="21"/>
    <w:next w:val="1"/>
    <w:qFormat/>
    <w:uiPriority w:val="0"/>
    <w:pPr>
      <w:outlineLvl w:val="3"/>
    </w:pPr>
  </w:style>
  <w:style w:type="character" w:customStyle="1" w:styleId="32">
    <w:name w:val="段 Char"/>
    <w:link w:val="29"/>
    <w:qFormat/>
    <w:uiPriority w:val="0"/>
    <w:rPr>
      <w:rFonts w:ascii="宋体" w:hAnsi="宋体" w:eastAsia="宋体" w:cs="Times New Roman"/>
      <w:kern w:val="0"/>
    </w:rPr>
  </w:style>
  <w:style w:type="paragraph" w:customStyle="1" w:styleId="33">
    <w:name w:val="四级条标题"/>
    <w:basedOn w:val="1"/>
    <w:next w:val="29"/>
    <w:qFormat/>
    <w:uiPriority w:val="0"/>
    <w:pPr>
      <w:widowControl/>
      <w:spacing w:beforeLines="50" w:afterLines="50"/>
      <w:jc w:val="left"/>
      <w:outlineLvl w:val="5"/>
    </w:pPr>
    <w:rPr>
      <w:rFonts w:ascii="黑体" w:eastAsia="黑体"/>
      <w:kern w:val="0"/>
      <w:szCs w:val="21"/>
    </w:rPr>
  </w:style>
  <w:style w:type="paragraph" w:customStyle="1" w:styleId="34">
    <w:name w:val="五级条标题"/>
    <w:basedOn w:val="33"/>
    <w:next w:val="29"/>
    <w:qFormat/>
    <w:uiPriority w:val="0"/>
    <w:pPr>
      <w:outlineLvl w:val="6"/>
    </w:pPr>
  </w:style>
  <w:style w:type="paragraph" w:customStyle="1" w:styleId="35">
    <w:name w:val="Char Char Char Char"/>
    <w:basedOn w:val="1"/>
    <w:qFormat/>
    <w:uiPriority w:val="0"/>
    <w:pPr>
      <w:spacing w:line="360" w:lineRule="auto"/>
      <w:ind w:firstLine="200" w:firstLineChars="200"/>
    </w:pPr>
    <w:rPr>
      <w:rFonts w:ascii="宋体" w:hAnsi="宋体" w:cs="宋体"/>
      <w:sz w:val="24"/>
    </w:rPr>
  </w:style>
  <w:style w:type="paragraph" w:customStyle="1" w:styleId="36">
    <w:name w:val="列出段落1"/>
    <w:basedOn w:val="1"/>
    <w:uiPriority w:val="0"/>
    <w:pPr>
      <w:ind w:firstLine="420" w:firstLineChars="200"/>
    </w:pPr>
    <w:rPr>
      <w:b/>
      <w:bCs/>
      <w:kern w:val="44"/>
      <w:sz w:val="32"/>
      <w:szCs w:val="32"/>
    </w:rPr>
  </w:style>
  <w:style w:type="paragraph" w:customStyle="1" w:styleId="37">
    <w:name w:val="Char Char Char1 Char Char Char Char Char Char Char Char Char Char"/>
    <w:basedOn w:val="1"/>
    <w:qFormat/>
    <w:uiPriority w:val="0"/>
    <w:pPr>
      <w:widowControl/>
      <w:spacing w:after="160" w:line="240" w:lineRule="exact"/>
      <w:jc w:val="left"/>
    </w:pPr>
  </w:style>
  <w:style w:type="paragraph" w:customStyle="1" w:styleId="3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46">
    <w:name w:val="font01"/>
    <w:qFormat/>
    <w:uiPriority w:val="0"/>
    <w:rPr>
      <w:rFonts w:hint="eastAsia" w:ascii="宋体" w:hAnsi="宋体" w:eastAsia="宋体" w:cs="宋体"/>
      <w:color w:val="000000"/>
      <w:sz w:val="24"/>
      <w:szCs w:val="24"/>
      <w:u w:val="none"/>
    </w:rPr>
  </w:style>
  <w:style w:type="character" w:customStyle="1" w:styleId="47">
    <w:name w:val="font11"/>
    <w:qFormat/>
    <w:uiPriority w:val="0"/>
    <w:rPr>
      <w:rFonts w:hint="eastAsia" w:ascii="宋体" w:hAnsi="宋体" w:eastAsia="宋体" w:cs="宋体"/>
      <w:color w:val="000000"/>
      <w:sz w:val="21"/>
      <w:szCs w:val="21"/>
      <w:u w:val="none"/>
    </w:rPr>
  </w:style>
  <w:style w:type="character" w:customStyle="1" w:styleId="48">
    <w:name w:val="font21"/>
    <w:uiPriority w:val="0"/>
    <w:rPr>
      <w:rFonts w:hint="default" w:ascii="Times New Roman" w:hAnsi="Times New Roman" w:cs="Times New Roman"/>
      <w:color w:val="000000"/>
      <w:sz w:val="21"/>
      <w:szCs w:val="21"/>
      <w:u w:val="none"/>
    </w:rPr>
  </w:style>
  <w:style w:type="character" w:customStyle="1" w:styleId="49">
    <w:name w:val="段 Char Char"/>
    <w:uiPriority w:val="0"/>
    <w:rPr>
      <w:rFonts w:ascii="宋体" w:hAnsi="宋体"/>
    </w:rPr>
  </w:style>
  <w:style w:type="table" w:customStyle="1" w:styleId="50">
    <w:name w:val="网格型1"/>
    <w:basedOn w:val="10"/>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Placeholder Text"/>
    <w:semiHidden/>
    <w:uiPriority w:val="99"/>
    <w:rPr>
      <w:color w:val="808080"/>
    </w:rPr>
  </w:style>
  <w:style w:type="paragraph" w:styleId="52">
    <w:name w:val="No Spacing"/>
    <w:qFormat/>
    <w:uiPriority w:val="1"/>
    <w:pPr>
      <w:widowControl w:val="0"/>
      <w:autoSpaceDE w:val="0"/>
      <w:autoSpaceDN w:val="0"/>
      <w:adjustRightInd w:val="0"/>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28</Pages>
  <Words>4325</Words>
  <Characters>24653</Characters>
  <Lines>205</Lines>
  <Paragraphs>57</Paragraphs>
  <TotalTime>214</TotalTime>
  <ScaleCrop>false</ScaleCrop>
  <LinksUpToDate>false</LinksUpToDate>
  <CharactersWithSpaces>28921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2019-11-14T14:33:00Z</dcterms:created>
  <dc:creator>Administrator</dc:creator>
  <cp:lastModifiedBy>WPS_1505917521</cp:lastModifiedBy>
  <dcterms:modified xsi:type="dcterms:W3CDTF">2020-09-14T05:09:52Z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