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s="黑体"/>
          <w:bCs/>
          <w:sz w:val="36"/>
          <w:szCs w:val="36"/>
        </w:rPr>
      </w:pPr>
    </w:p>
    <w:p>
      <w:pPr>
        <w:jc w:val="center"/>
        <w:rPr>
          <w:rFonts w:ascii="黑体" w:eastAsia="黑体" w:cs="黑体"/>
          <w:bCs/>
          <w:sz w:val="36"/>
          <w:szCs w:val="36"/>
        </w:rPr>
      </w:pPr>
    </w:p>
    <w:p>
      <w:pPr>
        <w:spacing w:line="720" w:lineRule="auto"/>
        <w:jc w:val="center"/>
        <w:rPr>
          <w:rFonts w:ascii="黑体" w:eastAsia="黑体" w:cs="黑体"/>
          <w:bCs/>
          <w:sz w:val="44"/>
          <w:szCs w:val="44"/>
        </w:rPr>
      </w:pPr>
      <w:r>
        <w:rPr>
          <w:rFonts w:hint="eastAsia" w:ascii="黑体" w:eastAsia="黑体" w:cs="黑体"/>
          <w:bCs/>
          <w:sz w:val="44"/>
          <w:szCs w:val="44"/>
        </w:rPr>
        <w:t>铜冶炼烟尘化学分析方法</w:t>
      </w:r>
      <w:r>
        <w:rPr>
          <w:rFonts w:ascii="黑体" w:eastAsia="黑体" w:cs="黑体"/>
          <w:bCs/>
          <w:sz w:val="44"/>
          <w:szCs w:val="44"/>
        </w:rPr>
        <w:t xml:space="preserve"> </w:t>
      </w:r>
    </w:p>
    <w:p>
      <w:pPr>
        <w:spacing w:line="720" w:lineRule="auto"/>
        <w:jc w:val="center"/>
        <w:rPr>
          <w:rFonts w:ascii="黑体" w:eastAsia="黑体" w:cs="黑体"/>
          <w:bCs/>
          <w:sz w:val="36"/>
          <w:szCs w:val="36"/>
        </w:rPr>
      </w:pPr>
      <w:r>
        <w:rPr>
          <w:rFonts w:hint="eastAsia" w:ascii="黑体" w:eastAsia="黑体" w:cs="黑体"/>
          <w:bCs/>
          <w:sz w:val="36"/>
          <w:szCs w:val="36"/>
        </w:rPr>
        <w:t>第7部分：镉量的测定</w:t>
      </w:r>
    </w:p>
    <w:p>
      <w:pPr>
        <w:spacing w:line="720" w:lineRule="auto"/>
        <w:jc w:val="center"/>
        <w:rPr>
          <w:rFonts w:ascii="黑体" w:eastAsia="黑体" w:cs="黑体"/>
          <w:bCs/>
          <w:sz w:val="36"/>
          <w:szCs w:val="36"/>
        </w:rPr>
      </w:pPr>
      <w:r>
        <w:rPr>
          <w:rFonts w:hint="eastAsia" w:ascii="黑体" w:eastAsia="黑体" w:cs="黑体"/>
          <w:bCs/>
          <w:sz w:val="36"/>
          <w:szCs w:val="36"/>
        </w:rPr>
        <w:t>火焰原子吸收光谱法和容量法</w:t>
      </w:r>
    </w:p>
    <w:p>
      <w:pPr>
        <w:jc w:val="center"/>
        <w:rPr>
          <w:rFonts w:ascii="黑体" w:eastAsia="黑体" w:cs="黑体"/>
          <w:bCs/>
          <w:sz w:val="36"/>
          <w:szCs w:val="36"/>
        </w:rPr>
      </w:pPr>
    </w:p>
    <w:p>
      <w:pPr>
        <w:spacing w:line="0" w:lineRule="atLeast"/>
        <w:jc w:val="center"/>
        <w:rPr>
          <w:rFonts w:ascii="宋体" w:hAnsi="宋体"/>
          <w:b/>
          <w:sz w:val="52"/>
          <w:szCs w:val="52"/>
        </w:rPr>
      </w:pPr>
    </w:p>
    <w:p>
      <w:pPr>
        <w:spacing w:line="0" w:lineRule="atLeast"/>
        <w:jc w:val="center"/>
        <w:rPr>
          <w:rFonts w:ascii="宋体" w:hAnsi="宋体"/>
          <w:b/>
          <w:sz w:val="52"/>
          <w:szCs w:val="52"/>
        </w:rPr>
      </w:pPr>
    </w:p>
    <w:p>
      <w:pPr>
        <w:spacing w:line="0" w:lineRule="atLeast"/>
        <w:jc w:val="center"/>
        <w:rPr>
          <w:rFonts w:ascii="宋体" w:hAnsi="宋体"/>
          <w:b/>
          <w:sz w:val="52"/>
          <w:szCs w:val="52"/>
        </w:rPr>
      </w:pPr>
    </w:p>
    <w:p>
      <w:pPr>
        <w:spacing w:line="0" w:lineRule="atLeast"/>
        <w:jc w:val="center"/>
        <w:rPr>
          <w:rFonts w:ascii="宋体" w:hAnsi="宋体"/>
          <w:b/>
          <w:sz w:val="52"/>
          <w:szCs w:val="52"/>
        </w:rPr>
      </w:pPr>
    </w:p>
    <w:p>
      <w:pPr>
        <w:spacing w:line="0" w:lineRule="atLeast"/>
        <w:jc w:val="center"/>
        <w:rPr>
          <w:rFonts w:ascii="宋体" w:hAnsi="宋体"/>
          <w:b/>
          <w:sz w:val="52"/>
          <w:szCs w:val="52"/>
        </w:rPr>
      </w:pPr>
    </w:p>
    <w:p>
      <w:pPr>
        <w:jc w:val="center"/>
        <w:rPr>
          <w:rFonts w:ascii="黑体" w:eastAsia="黑体" w:cs="黑体"/>
          <w:bCs/>
          <w:sz w:val="36"/>
          <w:szCs w:val="36"/>
        </w:rPr>
      </w:pPr>
      <w:r>
        <w:rPr>
          <w:rFonts w:hint="eastAsia" w:ascii="黑体" w:eastAsia="黑体" w:cs="黑体"/>
          <w:bCs/>
          <w:sz w:val="36"/>
          <w:szCs w:val="36"/>
        </w:rPr>
        <w:t>编制说明</w:t>
      </w:r>
    </w:p>
    <w:p>
      <w:pPr>
        <w:spacing w:line="0" w:lineRule="atLeast"/>
        <w:jc w:val="center"/>
        <w:rPr>
          <w:rFonts w:ascii="宋体" w:hAnsi="宋体"/>
          <w:b/>
          <w:sz w:val="52"/>
          <w:szCs w:val="52"/>
        </w:rPr>
      </w:pPr>
    </w:p>
    <w:p>
      <w:pPr>
        <w:spacing w:line="0" w:lineRule="atLeast"/>
        <w:jc w:val="center"/>
        <w:rPr>
          <w:rFonts w:ascii="宋体" w:hAnsi="宋体"/>
          <w:b/>
          <w:sz w:val="28"/>
          <w:szCs w:val="28"/>
        </w:rPr>
      </w:pPr>
    </w:p>
    <w:p>
      <w:pPr>
        <w:spacing w:line="0" w:lineRule="atLeast"/>
        <w:jc w:val="center"/>
        <w:rPr>
          <w:rFonts w:ascii="宋体" w:hAnsi="宋体"/>
          <w:b/>
          <w:sz w:val="28"/>
          <w:szCs w:val="28"/>
        </w:rPr>
      </w:pPr>
    </w:p>
    <w:p>
      <w:pPr>
        <w:spacing w:line="0" w:lineRule="atLeast"/>
        <w:jc w:val="center"/>
        <w:rPr>
          <w:rFonts w:ascii="宋体" w:hAnsi="宋体"/>
          <w:b/>
          <w:sz w:val="28"/>
          <w:szCs w:val="28"/>
        </w:rPr>
      </w:pPr>
    </w:p>
    <w:p>
      <w:pPr>
        <w:spacing w:line="0" w:lineRule="atLeast"/>
        <w:jc w:val="center"/>
        <w:rPr>
          <w:rFonts w:ascii="宋体" w:hAnsi="宋体"/>
          <w:b/>
          <w:sz w:val="28"/>
          <w:szCs w:val="28"/>
        </w:rPr>
      </w:pPr>
    </w:p>
    <w:p>
      <w:pPr>
        <w:spacing w:line="0" w:lineRule="atLeast"/>
        <w:rPr>
          <w:rFonts w:ascii="宋体" w:hAnsi="宋体"/>
          <w:b/>
          <w:sz w:val="28"/>
          <w:szCs w:val="28"/>
        </w:rPr>
      </w:pPr>
    </w:p>
    <w:p>
      <w:pPr>
        <w:spacing w:line="0" w:lineRule="atLeast"/>
        <w:jc w:val="center"/>
        <w:rPr>
          <w:rFonts w:ascii="宋体" w:hAnsi="宋体"/>
          <w:b/>
          <w:sz w:val="28"/>
          <w:szCs w:val="28"/>
        </w:rPr>
      </w:pPr>
    </w:p>
    <w:p>
      <w:pPr>
        <w:spacing w:line="0" w:lineRule="atLeast"/>
        <w:jc w:val="center"/>
        <w:rPr>
          <w:rFonts w:ascii="宋体" w:hAnsi="宋体"/>
          <w:b/>
          <w:sz w:val="28"/>
          <w:szCs w:val="28"/>
        </w:rPr>
      </w:pPr>
    </w:p>
    <w:p>
      <w:pPr>
        <w:spacing w:line="360" w:lineRule="auto"/>
        <w:jc w:val="center"/>
        <w:rPr>
          <w:rFonts w:hAnsi="宋体" w:cs="黑体"/>
          <w:sz w:val="32"/>
          <w:szCs w:val="32"/>
        </w:rPr>
      </w:pPr>
      <w:r>
        <w:rPr>
          <w:rFonts w:hint="eastAsia" w:hAnsi="宋体" w:cs="黑体"/>
          <w:sz w:val="32"/>
          <w:szCs w:val="32"/>
        </w:rPr>
        <w:t>铜陵有色金属集团控股有限公司、</w:t>
      </w:r>
    </w:p>
    <w:p>
      <w:pPr>
        <w:spacing w:line="360" w:lineRule="auto"/>
        <w:jc w:val="center"/>
        <w:rPr>
          <w:rFonts w:hAnsi="宋体" w:cs="黑体"/>
          <w:sz w:val="32"/>
          <w:szCs w:val="32"/>
        </w:rPr>
      </w:pPr>
      <w:r>
        <w:rPr>
          <w:rFonts w:hint="eastAsia" w:hAnsi="宋体" w:cs="黑体"/>
          <w:sz w:val="32"/>
          <w:szCs w:val="32"/>
        </w:rPr>
        <w:t xml:space="preserve">北矿检测技术有限公司 </w:t>
      </w:r>
    </w:p>
    <w:p>
      <w:pPr>
        <w:spacing w:line="360" w:lineRule="auto"/>
        <w:jc w:val="center"/>
        <w:rPr>
          <w:rFonts w:hAnsi="宋体" w:cs="黑体"/>
          <w:sz w:val="32"/>
          <w:szCs w:val="32"/>
        </w:rPr>
      </w:pPr>
      <w:r>
        <w:rPr>
          <w:rFonts w:hAnsi="宋体" w:cs="黑体"/>
          <w:sz w:val="32"/>
          <w:szCs w:val="32"/>
        </w:rPr>
        <w:t>2020</w:t>
      </w:r>
      <w:r>
        <w:rPr>
          <w:rFonts w:hint="eastAsia" w:hAnsi="宋体" w:cs="黑体"/>
          <w:sz w:val="32"/>
          <w:szCs w:val="32"/>
        </w:rPr>
        <w:t>年</w:t>
      </w:r>
      <w:r>
        <w:rPr>
          <w:rFonts w:hAnsi="宋体" w:cs="黑体"/>
          <w:sz w:val="32"/>
          <w:szCs w:val="32"/>
        </w:rPr>
        <w:t>9</w:t>
      </w:r>
      <w:r>
        <w:rPr>
          <w:rFonts w:hint="eastAsia" w:hAnsi="宋体" w:cs="黑体"/>
          <w:sz w:val="32"/>
          <w:szCs w:val="32"/>
        </w:rPr>
        <w:t>月</w:t>
      </w:r>
    </w:p>
    <w:p>
      <w:pPr>
        <w:jc w:val="center"/>
        <w:rPr>
          <w:rFonts w:ascii="Times New Roman" w:hAnsi="Times New Roman"/>
          <w:sz w:val="28"/>
          <w:szCs w:val="28"/>
        </w:rPr>
      </w:pPr>
    </w:p>
    <w:p>
      <w:pPr>
        <w:spacing w:line="480" w:lineRule="auto"/>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铜冶炼烟尘化学分析方法</w:t>
      </w:r>
    </w:p>
    <w:p>
      <w:pPr>
        <w:spacing w:line="480" w:lineRule="auto"/>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第7部分：镉量的测定 火焰原子吸收光谱法和容量法</w:t>
      </w:r>
    </w:p>
    <w:p>
      <w:pPr>
        <w:jc w:val="center"/>
        <w:rPr>
          <w:rFonts w:ascii="Times New Roman" w:hAnsi="Times New Roman"/>
          <w:sz w:val="28"/>
          <w:szCs w:val="28"/>
        </w:rPr>
      </w:pPr>
      <w:r>
        <w:rPr>
          <w:rFonts w:hint="eastAsia" w:ascii="Times New Roman" w:hAnsi="Times New Roman"/>
          <w:sz w:val="28"/>
          <w:szCs w:val="28"/>
        </w:rPr>
        <w:t>编制说明</w:t>
      </w:r>
    </w:p>
    <w:p>
      <w:pPr>
        <w:rPr>
          <w:rFonts w:ascii="Times New Roman" w:hAnsi="Times New Roman"/>
          <w:b/>
          <w:sz w:val="24"/>
          <w:szCs w:val="24"/>
        </w:rPr>
      </w:pPr>
      <w:r>
        <w:rPr>
          <w:rFonts w:hint="eastAsia" w:ascii="Times New Roman" w:hAnsi="Times New Roman"/>
          <w:b/>
          <w:sz w:val="24"/>
          <w:szCs w:val="24"/>
        </w:rPr>
        <w:t>一、工作简况</w:t>
      </w:r>
    </w:p>
    <w:p>
      <w:pPr>
        <w:rPr>
          <w:rFonts w:ascii="黑体" w:hAnsi="黑体" w:eastAsia="黑体"/>
          <w:bCs/>
          <w:szCs w:val="21"/>
        </w:rPr>
      </w:pPr>
      <w:r>
        <w:rPr>
          <w:rFonts w:hint="eastAsia" w:ascii="黑体" w:hAnsi="黑体" w:eastAsia="黑体"/>
          <w:bCs/>
          <w:szCs w:val="21"/>
        </w:rPr>
        <w:t>1.1方法概况</w:t>
      </w:r>
    </w:p>
    <w:p>
      <w:pPr>
        <w:rPr>
          <w:rFonts w:ascii="黑体" w:hAnsi="黑体" w:eastAsia="黑体"/>
          <w:bCs/>
          <w:szCs w:val="21"/>
        </w:rPr>
      </w:pPr>
      <w:r>
        <w:rPr>
          <w:rFonts w:hint="eastAsia" w:ascii="黑体" w:hAnsi="黑体" w:eastAsia="黑体"/>
          <w:bCs/>
          <w:szCs w:val="21"/>
        </w:rPr>
        <w:t>1.1.1项目的必要性</w:t>
      </w:r>
    </w:p>
    <w:p>
      <w:pPr>
        <w:ind w:firstLine="420" w:firstLineChars="200"/>
        <w:rPr>
          <w:rFonts w:ascii="Times New Roman" w:hAnsi="Times New Roman"/>
          <w:szCs w:val="21"/>
        </w:rPr>
      </w:pPr>
      <w:r>
        <w:rPr>
          <w:rFonts w:hint="eastAsia" w:ascii="Times New Roman" w:hAnsi="Times New Roman"/>
          <w:szCs w:val="21"/>
        </w:rPr>
        <w:t>铜冶炼工业资源消耗大，二次资源综合利用率较低，有相当大部分可利用资源变成污染物。铜烟尘在铜冶金工业中排放量较大，至今没有得到充分的利用。铜冶炼烟尘属于高温烟灰，粒度较小，根据熔炼工艺以及收尘设备的不同，主要可分为奥炉烟灰、转炉烟灰、阳极烟灰、环集烟灰、奥炉开路烟灰、电收尘烟灰等。采用LS800型OMEC激光粒度测试仪分别对“铜烟灰”进行分析，“铜烟灰”的平均粒径（D50）为1.63</w:t>
      </w:r>
      <w:r>
        <w:rPr>
          <w:rFonts w:ascii="Times New Roman" w:hAnsi="Times New Roman"/>
          <w:szCs w:val="21"/>
        </w:rPr>
        <w:t>μ</w:t>
      </w:r>
      <w:r>
        <w:rPr>
          <w:rFonts w:hint="eastAsia" w:ascii="Times New Roman" w:hAnsi="Times New Roman"/>
          <w:szCs w:val="21"/>
        </w:rPr>
        <w:t>m 至2.31</w:t>
      </w:r>
      <w:r>
        <w:rPr>
          <w:rFonts w:ascii="Times New Roman" w:hAnsi="Times New Roman"/>
          <w:szCs w:val="21"/>
        </w:rPr>
        <w:t>μ</w:t>
      </w:r>
      <w:r>
        <w:rPr>
          <w:rFonts w:hint="eastAsia" w:ascii="Times New Roman" w:hAnsi="Times New Roman"/>
          <w:szCs w:val="21"/>
        </w:rPr>
        <w:t xml:space="preserve">m，颗粒小，露天堆放时，在雨水作用下，其铅/锌离子易渗入地下，造成环境污染。美国环境保护署在新制定的环境资源保护及回收法中，将其划归为KO61类物质(有毒的固体废物) , 要求冶炼厂对其中的锌、铅等有价元素进行回收处理或钝化处理；否则，须将其密封堆放在由专人监管的山谷中。在我国随着资源的日益枯竭和环保压力的增加，对冶炼烟尘回收已有较成熟的工艺。当前国内外处理铜冶炼烟尘主要有火法、火法-湿法联合法、全湿法、矿冶联合法等。 </w:t>
      </w:r>
    </w:p>
    <w:p>
      <w:pPr>
        <w:ind w:firstLine="420" w:firstLineChars="200"/>
        <w:rPr>
          <w:rFonts w:ascii="Times New Roman" w:hAnsi="Times New Roman"/>
          <w:szCs w:val="21"/>
        </w:rPr>
      </w:pPr>
      <w:r>
        <w:rPr>
          <w:rFonts w:hint="eastAsia" w:ascii="Times New Roman" w:hAnsi="Times New Roman"/>
          <w:szCs w:val="21"/>
        </w:rPr>
        <w:t>镉是银白色有光泽的金属，其在潮湿的空气中缓慢氧化并失去金属光泽，加热时表面形成棕色的氧化物层。镉的毒性较大，被镉污染的空气和食物对人体危害严重，日本因镉中毒曽出现“痛痛病”。镉作为烟尘中的有害元素，比其它重金属更容易被农作物所吸附。相当数量的镉通过空气、废尘、废水、废渣排入环境，造成污染。当环境受到镉污染后，镉可在生物体内富集，通过食物链进入人体引起慢性中毒。但其可用于电镀、执照高性能电池、生产颜料和荧光粉等。</w:t>
      </w:r>
    </w:p>
    <w:p>
      <w:pPr>
        <w:ind w:firstLine="420" w:firstLineChars="200"/>
        <w:rPr>
          <w:rFonts w:ascii="Times New Roman" w:hAnsi="Times New Roman"/>
          <w:szCs w:val="21"/>
        </w:rPr>
      </w:pPr>
      <w:r>
        <w:rPr>
          <w:rFonts w:hint="eastAsia" w:ascii="Times New Roman" w:hAnsi="Times New Roman"/>
          <w:szCs w:val="21"/>
        </w:rPr>
        <w:t>从废弃物当中回收镉不仅可满足市场的供求关系，同时具有重大的战略意义。因此，制定铜冶炼烟尘中镉量测定方法，不但给冶炼厂带来良好的经济效益，对资源再生利用提供技术支撑，同时也规范了实验室检验过程，满足市场的需求。</w:t>
      </w:r>
    </w:p>
    <w:p>
      <w:pPr>
        <w:rPr>
          <w:rFonts w:ascii="黑体" w:hAnsi="黑体" w:eastAsia="黑体"/>
          <w:bCs/>
          <w:szCs w:val="21"/>
        </w:rPr>
      </w:pPr>
      <w:r>
        <w:rPr>
          <w:rFonts w:hint="eastAsia" w:ascii="黑体" w:hAnsi="黑体" w:eastAsia="黑体"/>
          <w:bCs/>
          <w:szCs w:val="21"/>
        </w:rPr>
        <w:t>1.1.2适用范围</w:t>
      </w:r>
    </w:p>
    <w:p>
      <w:pPr>
        <w:tabs>
          <w:tab w:val="left" w:pos="540"/>
        </w:tabs>
        <w:ind w:firstLine="420" w:firstLineChars="200"/>
        <w:rPr>
          <w:rFonts w:ascii="Times New Roman" w:hAnsi="Times New Roman"/>
          <w:szCs w:val="21"/>
        </w:rPr>
      </w:pPr>
      <w:r>
        <w:rPr>
          <w:rFonts w:ascii="Times New Roman" w:hAnsi="Times New Roman"/>
        </w:rPr>
        <w:t>本部分适用于铜冶炼烟尘中</w:t>
      </w:r>
      <w:r>
        <w:rPr>
          <w:rFonts w:ascii="Times New Roman" w:hAnsi="Times New Roman"/>
          <w:szCs w:val="20"/>
        </w:rPr>
        <w:t>镉</w:t>
      </w:r>
      <w:r>
        <w:rPr>
          <w:rFonts w:ascii="Times New Roman" w:hAnsi="Times New Roman"/>
        </w:rPr>
        <w:t>含量的测定。方法1</w:t>
      </w:r>
      <w:r>
        <w:rPr>
          <w:rFonts w:hint="eastAsia" w:ascii="Times New Roman" w:hAnsi="Times New Roman"/>
        </w:rPr>
        <w:t xml:space="preserve">火焰原子吸收光谱法 </w:t>
      </w:r>
      <w:r>
        <w:rPr>
          <w:rFonts w:ascii="Times New Roman" w:hAnsi="Times New Roman"/>
          <w:szCs w:val="21"/>
        </w:rPr>
        <w:t xml:space="preserve">测定范围：0.020%~5.00%；方法2 </w:t>
      </w:r>
      <w:r>
        <w:rPr>
          <w:rFonts w:hint="eastAsia" w:ascii="Times New Roman" w:hAnsi="Times New Roman"/>
          <w:szCs w:val="21"/>
        </w:rPr>
        <w:t xml:space="preserve">容量法 </w:t>
      </w:r>
      <w:r>
        <w:rPr>
          <w:rFonts w:ascii="Times New Roman" w:hAnsi="Times New Roman"/>
          <w:szCs w:val="21"/>
        </w:rPr>
        <w:t>测定范围： 5.00</w:t>
      </w:r>
      <w:r>
        <w:rPr>
          <w:rFonts w:hint="eastAsia"/>
          <w:szCs w:val="21"/>
        </w:rPr>
        <w:t xml:space="preserve"> </w:t>
      </w:r>
      <w:r>
        <w:rPr>
          <w:rFonts w:ascii="Times New Roman" w:hAnsi="Times New Roman"/>
          <w:szCs w:val="21"/>
        </w:rPr>
        <w:t>%～17.00</w:t>
      </w:r>
      <w:r>
        <w:rPr>
          <w:rFonts w:hint="eastAsia"/>
          <w:szCs w:val="21"/>
        </w:rPr>
        <w:t xml:space="preserve"> </w:t>
      </w:r>
      <w:r>
        <w:rPr>
          <w:rFonts w:ascii="Times New Roman" w:hAnsi="Times New Roman"/>
          <w:szCs w:val="21"/>
        </w:rPr>
        <w:t>%</w:t>
      </w:r>
      <w:r>
        <w:rPr>
          <w:rFonts w:hint="eastAsia"/>
          <w:szCs w:val="21"/>
        </w:rPr>
        <w:t>。</w:t>
      </w:r>
      <w:r>
        <w:rPr>
          <w:rFonts w:ascii="Times New Roman" w:hAnsi="Times New Roman"/>
          <w:szCs w:val="21"/>
        </w:rPr>
        <w:t xml:space="preserve"> </w:t>
      </w:r>
    </w:p>
    <w:p>
      <w:pPr>
        <w:rPr>
          <w:rFonts w:ascii="黑体" w:hAnsi="黑体" w:eastAsia="黑体"/>
          <w:bCs/>
          <w:szCs w:val="21"/>
        </w:rPr>
      </w:pPr>
      <w:r>
        <w:rPr>
          <w:rFonts w:hint="eastAsia" w:ascii="黑体" w:hAnsi="黑体" w:eastAsia="黑体"/>
          <w:bCs/>
          <w:szCs w:val="21"/>
        </w:rPr>
        <w:t>1.1.3可行性</w:t>
      </w:r>
    </w:p>
    <w:p>
      <w:pPr>
        <w:ind w:firstLine="420" w:firstLineChars="200"/>
        <w:rPr>
          <w:rFonts w:ascii="Times New Roman" w:hAnsi="Times New Roman"/>
          <w:bCs/>
          <w:szCs w:val="21"/>
        </w:rPr>
      </w:pPr>
      <w:r>
        <w:rPr>
          <w:rFonts w:hint="eastAsia" w:ascii="Times New Roman" w:hAnsi="Times New Roman"/>
          <w:bCs/>
          <w:szCs w:val="21"/>
        </w:rPr>
        <w:t>铜陵有色金属集团控股有限公司检测研究中心拥有CMA、CAL省级资质认定和CNAS国家实验室认可三个资质，属于面向社会服务第三方专业检测机构。主持和参与100多项国家、行业标准的起草工作；拥有丰富工作经验的技术人员和科研团队，具有较强的检测分析操作经验和深入的标准研究能力，拥有制定该方法必需的环境、设备。标准研制人员已参加过国家和行业标准制定的培训，熟料掌握标准制定规则，有利于资料整理、归纳及标准编制。</w:t>
      </w:r>
    </w:p>
    <w:p>
      <w:pPr>
        <w:ind w:firstLine="420" w:firstLineChars="200"/>
        <w:rPr>
          <w:rFonts w:ascii="Times New Roman" w:hAnsi="Times New Roman"/>
          <w:bCs/>
          <w:szCs w:val="21"/>
        </w:rPr>
      </w:pPr>
      <w:r>
        <w:rPr>
          <w:rFonts w:hint="eastAsia" w:ascii="Times New Roman" w:hAnsi="Times New Roman"/>
          <w:bCs/>
          <w:szCs w:val="21"/>
        </w:rPr>
        <w:t>北矿检测技术有限公司为国家重有色金属质量监督检验中心、国家进出口商品检验有色金属认可实验室、中国有色金属工业重金属质检中心、科技成果检测鉴定国家级检测机构，在国内有色金属分析领域具有权威地位。公司拥有多台原子吸收光谱仪，具备项目研究所需的仪器设备。标准起草人员主起草国家行业标准多项，参与国家行业标准几十项，具有丰富的方法研究经验。</w:t>
      </w:r>
    </w:p>
    <w:p>
      <w:pPr>
        <w:ind w:firstLine="420" w:firstLineChars="200"/>
        <w:rPr>
          <w:rFonts w:ascii="Times New Roman" w:hAnsi="Times New Roman"/>
          <w:bCs/>
          <w:szCs w:val="21"/>
        </w:rPr>
      </w:pPr>
      <w:r>
        <w:rPr>
          <w:rFonts w:hint="eastAsia" w:ascii="Times New Roman" w:hAnsi="Times New Roman"/>
          <w:bCs/>
          <w:szCs w:val="21"/>
        </w:rPr>
        <w:t>目前，国内铜冶炼企业烟尘的年产量在20万吨以上，其中仅铜陵有色金属集团控股有限公司就年产2万吨。铜烟尘中镉含量较高，若不对其进行有效的处理，其产生的环境危害要远大于其带来的经济效益本身。部分铜烟灰由各冶炼厂直接入炉熔炼，部分已经开始作为二次原料进入贸易市场。这样一来，实现既增加经济效益，又保护环境的“双赢”局面。随着环境压力和环保要求的提高，对回收利用单位资质要求越来越严，没有资质的公司纷纷将其出售，铜冶炼烟尘的贸易越来越频繁，仅广东一地的交易量一年就上万吨。</w:t>
      </w:r>
    </w:p>
    <w:p>
      <w:pPr>
        <w:ind w:firstLine="420" w:firstLineChars="200"/>
        <w:rPr>
          <w:rFonts w:ascii="Times New Roman" w:hAnsi="Times New Roman"/>
          <w:bCs/>
          <w:szCs w:val="21"/>
        </w:rPr>
      </w:pPr>
      <w:r>
        <w:rPr>
          <w:rFonts w:hint="eastAsia" w:ascii="Times New Roman" w:hAnsi="Times New Roman"/>
          <w:bCs/>
          <w:szCs w:val="21"/>
        </w:rPr>
        <w:t>准确检测出铜冶炼烟尘中镉的含量，对企业确定回收工艺、提高烟尘的综合利用率并减轻对环境的污染及进行贸易的双方都有着巨大的推动作用。</w:t>
      </w:r>
    </w:p>
    <w:p>
      <w:pPr>
        <w:rPr>
          <w:rFonts w:ascii="黑体" w:hAnsi="黑体" w:eastAsia="黑体"/>
          <w:bCs/>
          <w:szCs w:val="21"/>
        </w:rPr>
      </w:pPr>
      <w:r>
        <w:rPr>
          <w:rFonts w:hint="eastAsia" w:ascii="黑体" w:hAnsi="黑体" w:eastAsia="黑体"/>
          <w:bCs/>
          <w:szCs w:val="21"/>
        </w:rPr>
        <w:t>1.1.4要解决的主要问题</w:t>
      </w:r>
    </w:p>
    <w:p>
      <w:pPr>
        <w:ind w:firstLine="420" w:firstLineChars="200"/>
        <w:rPr>
          <w:rFonts w:ascii="Times New Roman" w:hAnsi="Times New Roman"/>
          <w:bCs/>
          <w:szCs w:val="21"/>
        </w:rPr>
      </w:pPr>
      <w:r>
        <w:rPr>
          <w:rFonts w:hint="eastAsia" w:ascii="Times New Roman" w:hAnsi="Times New Roman"/>
          <w:bCs/>
          <w:szCs w:val="21"/>
        </w:rPr>
        <w:t>经查，国内测定镉量的国家标准有GB/T 12689.3-2004《锌及锌合金化学分析方法 镉量的测定 火焰原子吸收光谱法》（测定范围：0.0005 %～0.500 %）、GB/T 4103.14-2009《铅及铅合金化学分析方法 第14部分 镉量的测定 火焰原子吸收光谱法》（测量范围：0.0001%～0.01%、0.3%～2.0%）、GB/T 8151.8-2012《锌精矿化学分析方法 第8部分 镉量的测定 火焰原子吸收光谱法》（测量范围：0.10%～2.00%）、GB/T 8152.12-2006 《铅精矿化学分析方法 镉量的测定 火焰原子吸收光谱法》（测量范围：0.03%～0.2%）等。行业标准有YS/T 1115.6-2016 《铜原矿和尾矿化学分析方法 第6部分 镉量的测定 火焰原子吸收光谱法》（测量范围：0.0005%～0.010%）、YS/T 990.7-2014 《冰铜化学分析方法 第7部分 镉量的测定 原子吸收光谱法》（测量范围：0.010%～0.50%）等。而铜冶炼烟尘中镉含量和组成成分与上述产品完全不同，无法直接使用上述标准。目前，国内外均没有铜冶炼烟尘中镉量测定的国家或行业标准。</w:t>
      </w:r>
    </w:p>
    <w:p>
      <w:pPr>
        <w:rPr>
          <w:rFonts w:ascii="黑体" w:hAnsi="黑体" w:eastAsia="黑体"/>
          <w:bCs/>
          <w:szCs w:val="21"/>
        </w:rPr>
      </w:pPr>
      <w:r>
        <w:rPr>
          <w:rFonts w:hint="eastAsia" w:ascii="黑体" w:hAnsi="黑体" w:eastAsia="黑体"/>
          <w:bCs/>
          <w:szCs w:val="21"/>
        </w:rPr>
        <w:t>1.2任务来源</w:t>
      </w:r>
    </w:p>
    <w:p>
      <w:pPr>
        <w:ind w:firstLine="420" w:firstLineChars="200"/>
        <w:rPr>
          <w:rFonts w:ascii="Times New Roman" w:hAnsi="Times New Roman"/>
          <w:szCs w:val="21"/>
        </w:rPr>
      </w:pPr>
      <w:r>
        <w:rPr>
          <w:rFonts w:ascii="Times New Roman" w:hAnsi="Times New Roman"/>
          <w:szCs w:val="21"/>
        </w:rPr>
        <w:t>根据国家标准化管理委员会及工业和信息化部标准计划项目的安排要求，全国有色金属标准化技术委员会“关于印发《铜冶炼烟尘化学分析方法》等25项行业标准任务落实会会议纪要的通知”（有色标秘[2018]41号）及相关会议纪要的文件精神，确定《铜冶炼烟尘化学分析方法 第</w:t>
      </w:r>
      <w:r>
        <w:rPr>
          <w:rFonts w:hint="eastAsia" w:ascii="Times New Roman" w:hAnsi="Times New Roman"/>
          <w:szCs w:val="21"/>
        </w:rPr>
        <w:t>7</w:t>
      </w:r>
      <w:r>
        <w:rPr>
          <w:rFonts w:ascii="Times New Roman" w:hAnsi="Times New Roman"/>
          <w:szCs w:val="21"/>
        </w:rPr>
        <w:t>部分：</w:t>
      </w:r>
      <w:r>
        <w:rPr>
          <w:rFonts w:hint="eastAsia" w:ascii="Times New Roman" w:hAnsi="Times New Roman"/>
          <w:szCs w:val="21"/>
        </w:rPr>
        <w:t>镉</w:t>
      </w:r>
      <w:r>
        <w:rPr>
          <w:rFonts w:ascii="Times New Roman" w:hAnsi="Times New Roman"/>
          <w:szCs w:val="21"/>
        </w:rPr>
        <w:t>含量的测定》</w:t>
      </w:r>
      <w:r>
        <w:rPr>
          <w:rFonts w:hint="eastAsia" w:ascii="Times New Roman" w:hAnsi="Times New Roman"/>
          <w:szCs w:val="21"/>
        </w:rPr>
        <w:t xml:space="preserve">方法1火焰原子吸收光谱法 </w:t>
      </w:r>
      <w:r>
        <w:rPr>
          <w:rFonts w:ascii="Times New Roman" w:hAnsi="Times New Roman"/>
          <w:szCs w:val="21"/>
        </w:rPr>
        <w:t>由铜陵有色金属集团控股有限公司负责起草</w:t>
      </w:r>
      <w:r>
        <w:rPr>
          <w:rFonts w:hint="eastAsia" w:ascii="Times New Roman" w:hAnsi="Times New Roman"/>
          <w:szCs w:val="21"/>
        </w:rPr>
        <w:t>，方法2 容量法 由北矿检测技术有限公司负责起草</w:t>
      </w:r>
      <w:r>
        <w:rPr>
          <w:rFonts w:ascii="Times New Roman" w:hAnsi="Times New Roman"/>
          <w:szCs w:val="21"/>
        </w:rPr>
        <w:t>。项目计划编号</w:t>
      </w:r>
      <w:r>
        <w:rPr>
          <w:rFonts w:hint="eastAsia" w:ascii="Times New Roman" w:hAnsi="Times New Roman"/>
          <w:szCs w:val="21"/>
        </w:rPr>
        <w:t>：</w:t>
      </w:r>
      <w:r>
        <w:rPr>
          <w:rFonts w:ascii="Times New Roman" w:hAnsi="Times New Roman"/>
          <w:szCs w:val="21"/>
        </w:rPr>
        <w:t>2018-053</w:t>
      </w:r>
      <w:r>
        <w:rPr>
          <w:rFonts w:hint="eastAsia" w:ascii="Times New Roman" w:hAnsi="Times New Roman"/>
          <w:szCs w:val="21"/>
        </w:rPr>
        <w:t>3</w:t>
      </w:r>
      <w:r>
        <w:rPr>
          <w:rFonts w:ascii="Times New Roman" w:hAnsi="Times New Roman"/>
          <w:szCs w:val="21"/>
        </w:rPr>
        <w:t>T-YS</w:t>
      </w:r>
      <w:r>
        <w:rPr>
          <w:rFonts w:hint="eastAsia"/>
          <w:szCs w:val="21"/>
        </w:rPr>
        <w:t>，</w:t>
      </w:r>
      <w:r>
        <w:rPr>
          <w:rFonts w:hint="eastAsia"/>
          <w:color w:val="000000"/>
          <w:szCs w:val="21"/>
        </w:rPr>
        <w:t>完成年限20</w:t>
      </w:r>
      <w:r>
        <w:rPr>
          <w:color w:val="000000"/>
          <w:szCs w:val="21"/>
        </w:rPr>
        <w:t>20</w:t>
      </w:r>
      <w:r>
        <w:rPr>
          <w:rFonts w:hint="eastAsia"/>
          <w:color w:val="000000"/>
          <w:szCs w:val="21"/>
        </w:rPr>
        <w:t>年。</w:t>
      </w:r>
    </w:p>
    <w:p>
      <w:pPr>
        <w:ind w:firstLine="420"/>
        <w:rPr>
          <w:rFonts w:ascii="Times New Roman" w:hAnsi="Times New Roman"/>
          <w:szCs w:val="21"/>
        </w:rPr>
      </w:pPr>
      <w:r>
        <w:rPr>
          <w:rFonts w:hint="eastAsia" w:ascii="Times New Roman" w:hAnsi="Times New Roman"/>
          <w:szCs w:val="21"/>
        </w:rPr>
        <w:t xml:space="preserve">方法1火焰原子吸收光谱法 </w:t>
      </w:r>
      <w:r>
        <w:rPr>
          <w:rFonts w:ascii="Times New Roman" w:hAnsi="Times New Roman"/>
          <w:szCs w:val="21"/>
        </w:rPr>
        <w:t>协助起草单位包括</w:t>
      </w:r>
      <w:r>
        <w:rPr>
          <w:rFonts w:hint="eastAsia"/>
          <w:szCs w:val="21"/>
        </w:rPr>
        <w:t>中国中色桂林矿产地质研究院有限公司、广东先导稀材股份有限公司、防城港市东途矿产检测有限公司、五矿铜业（湖南）有限公司、湖南有色金属研究院、大冶有色设计研究院有限公司、紫金铜业有限公司、江西铜业股份有限公司、山东恒邦冶炼股份有限公司、河南豫光金铅股份有限公司</w:t>
      </w:r>
      <w:r>
        <w:rPr>
          <w:rFonts w:ascii="Times New Roman" w:hAnsi="Times New Roman"/>
          <w:szCs w:val="21"/>
        </w:rPr>
        <w:t>。</w:t>
      </w:r>
    </w:p>
    <w:p>
      <w:pPr>
        <w:ind w:firstLine="420"/>
        <w:rPr>
          <w:rFonts w:ascii="Times New Roman" w:hAnsi="Times New Roman"/>
          <w:szCs w:val="21"/>
        </w:rPr>
      </w:pPr>
      <w:r>
        <w:rPr>
          <w:rFonts w:hint="eastAsia" w:ascii="Times New Roman" w:hAnsi="Times New Roman"/>
          <w:szCs w:val="21"/>
        </w:rPr>
        <w:t xml:space="preserve">方法2 容量法 </w:t>
      </w:r>
      <w:r>
        <w:rPr>
          <w:rFonts w:ascii="Times New Roman" w:hAnsi="Times New Roman"/>
          <w:szCs w:val="21"/>
        </w:rPr>
        <w:t>协助起草单位</w:t>
      </w:r>
      <w:r>
        <w:rPr>
          <w:rFonts w:hint="eastAsia" w:ascii="Times New Roman" w:hAnsi="Times New Roman"/>
          <w:szCs w:val="21"/>
        </w:rPr>
        <w:t>包括</w:t>
      </w:r>
      <w:r>
        <w:rPr>
          <w:rFonts w:ascii="Times New Roman" w:hAnsi="Times New Roman"/>
          <w:szCs w:val="21"/>
        </w:rPr>
        <w:t>广东先导稀材股份有限公司、中国检验认证集团广西有限公司</w:t>
      </w:r>
      <w:r>
        <w:rPr>
          <w:rFonts w:hint="eastAsia" w:ascii="Times New Roman" w:hAnsi="Times New Roman"/>
          <w:szCs w:val="21"/>
        </w:rPr>
        <w:t>、</w:t>
      </w:r>
      <w:r>
        <w:rPr>
          <w:rFonts w:hint="eastAsia" w:asciiTheme="minorEastAsia" w:hAnsiTheme="minorEastAsia" w:eastAsiaTheme="minorEastAsia" w:cstheme="minorEastAsia"/>
          <w:kern w:val="0"/>
          <w:szCs w:val="21"/>
        </w:rPr>
        <w:t>大冶有色设计研究院有限公司、河南豫光金铅股份</w:t>
      </w:r>
      <w:r>
        <w:rPr>
          <w:rFonts w:asciiTheme="minorEastAsia" w:hAnsiTheme="minorEastAsia" w:eastAsiaTheme="minorEastAsia" w:cstheme="minorEastAsia"/>
          <w:kern w:val="0"/>
          <w:szCs w:val="21"/>
        </w:rPr>
        <w:t>有限公司</w:t>
      </w:r>
      <w:r>
        <w:rPr>
          <w:rFonts w:hint="eastAsia" w:asciiTheme="minorEastAsia" w:hAnsiTheme="minorEastAsia" w:eastAsiaTheme="minorEastAsia" w:cstheme="minorEastAsia"/>
          <w:kern w:val="0"/>
          <w:szCs w:val="21"/>
        </w:rPr>
        <w:t>、福建紫金矿业测试技术有限公司、</w:t>
      </w:r>
      <w:r>
        <w:rPr>
          <w:rFonts w:ascii="Times New Roman" w:hAnsi="Times New Roman"/>
          <w:szCs w:val="21"/>
        </w:rPr>
        <w:t>铜陵有色金属集团控股有限公司</w:t>
      </w:r>
      <w:r>
        <w:rPr>
          <w:rFonts w:hint="eastAsia" w:ascii="Times New Roman" w:hAnsi="Times New Roman"/>
          <w:szCs w:val="21"/>
        </w:rPr>
        <w:t>、中色桂林矿产地质研究院有限公司、山东祥光铜业有限公司、</w:t>
      </w:r>
      <w:r>
        <w:rPr>
          <w:rFonts w:hint="eastAsia" w:asciiTheme="minorEastAsia" w:hAnsiTheme="minorEastAsia" w:eastAsiaTheme="minorEastAsia" w:cstheme="minorEastAsia"/>
          <w:kern w:val="0"/>
          <w:szCs w:val="21"/>
        </w:rPr>
        <w:t>江西铜业股份有限公司。</w:t>
      </w:r>
    </w:p>
    <w:p>
      <w:pPr>
        <w:rPr>
          <w:rFonts w:ascii="黑体" w:hAnsi="黑体" w:eastAsia="黑体"/>
          <w:bCs/>
          <w:szCs w:val="21"/>
        </w:rPr>
      </w:pPr>
      <w:r>
        <w:rPr>
          <w:rFonts w:hint="eastAsia" w:ascii="黑体" w:hAnsi="黑体" w:eastAsia="黑体"/>
          <w:bCs/>
          <w:szCs w:val="21"/>
        </w:rPr>
        <w:t>1.3标准项目编制单位、起草人及其所作工作</w:t>
      </w:r>
    </w:p>
    <w:p>
      <w:pPr>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本标准</w:t>
      </w:r>
      <w:r>
        <w:rPr>
          <w:rFonts w:hint="eastAsia" w:ascii="Times New Roman" w:hAnsi="Times New Roman"/>
          <w:szCs w:val="21"/>
        </w:rPr>
        <w:t>方法1火焰原子吸收光谱法</w:t>
      </w:r>
      <w:r>
        <w:rPr>
          <w:rFonts w:ascii="Times New Roman" w:hAnsi="Times New Roman"/>
          <w:szCs w:val="21"/>
        </w:rPr>
        <w:t>由铜陵有色金属集团控股有限公司负责起草，主要起草人为</w:t>
      </w:r>
      <w:r>
        <w:rPr>
          <w:rFonts w:hint="eastAsia"/>
          <w:szCs w:val="21"/>
          <w:lang w:val="en-US" w:eastAsia="zh-CN"/>
        </w:rPr>
        <w:t>XX</w:t>
      </w:r>
      <w:r>
        <w:rPr>
          <w:rFonts w:ascii="Times New Roman" w:hAnsi="Times New Roman"/>
          <w:szCs w:val="21"/>
        </w:rPr>
        <w:t>，主要负责本标准的方法制定、资料收集、技术参数的确定及标准条款的编写工作。</w:t>
      </w:r>
    </w:p>
    <w:p>
      <w:pPr>
        <w:ind w:firstLine="420" w:firstLineChars="200"/>
        <w:rPr>
          <w:rFonts w:ascii="Times New Roman" w:hAnsi="Times New Roman"/>
          <w:szCs w:val="21"/>
        </w:rPr>
      </w:pPr>
      <w:r>
        <w:rPr>
          <w:rFonts w:ascii="Times New Roman" w:hAnsi="Times New Roman"/>
          <w:szCs w:val="21"/>
        </w:rPr>
        <w:t>本标准</w:t>
      </w:r>
      <w:r>
        <w:rPr>
          <w:rFonts w:hint="eastAsia" w:ascii="Times New Roman" w:hAnsi="Times New Roman"/>
          <w:szCs w:val="21"/>
        </w:rPr>
        <w:t>方法1</w:t>
      </w:r>
      <w:r>
        <w:rPr>
          <w:rFonts w:ascii="Times New Roman" w:hAnsi="Times New Roman"/>
          <w:szCs w:val="21"/>
        </w:rPr>
        <w:t>参与起草单位包括</w:t>
      </w:r>
      <w:r>
        <w:rPr>
          <w:rFonts w:hint="eastAsia" w:asciiTheme="minorEastAsia" w:hAnsiTheme="minorEastAsia" w:eastAsiaTheme="minorEastAsia" w:cstheme="minorEastAsia"/>
          <w:kern w:val="0"/>
          <w:szCs w:val="21"/>
        </w:rPr>
        <w:t>中色桂林矿产地质研究院有限公司、广东先导稀材股份有限公司、</w:t>
      </w:r>
      <w:r>
        <w:rPr>
          <w:rFonts w:hint="eastAsia" w:asciiTheme="minorEastAsia" w:hAnsiTheme="minorEastAsia" w:eastAsiaTheme="minorEastAsia" w:cstheme="minorEastAsia"/>
          <w:szCs w:val="21"/>
        </w:rPr>
        <w:t>防城港市东途矿产检测有限公司、</w:t>
      </w:r>
      <w:r>
        <w:rPr>
          <w:rFonts w:hint="eastAsia" w:asciiTheme="minorEastAsia" w:hAnsiTheme="minorEastAsia" w:eastAsiaTheme="minorEastAsia" w:cstheme="minorEastAsia"/>
          <w:kern w:val="0"/>
          <w:szCs w:val="21"/>
        </w:rPr>
        <w:t>五矿铜业（湖南）有限公司、湖南有色金属研究院、江西铜业股份有限公司、山东恒邦冶炼股份有限公司、紫金铜业有限公司、大冶有色设计研究院有限公司、河南豫光金铅股份</w:t>
      </w:r>
      <w:r>
        <w:rPr>
          <w:rFonts w:asciiTheme="minorEastAsia" w:hAnsiTheme="minorEastAsia" w:eastAsiaTheme="minorEastAsia" w:cstheme="minorEastAsia"/>
          <w:kern w:val="0"/>
          <w:szCs w:val="21"/>
        </w:rPr>
        <w:t>有限公司</w:t>
      </w:r>
      <w:r>
        <w:rPr>
          <w:rFonts w:ascii="Times New Roman" w:hAnsi="Times New Roman"/>
          <w:szCs w:val="21"/>
        </w:rPr>
        <w:t>。参与起草人：</w:t>
      </w:r>
      <w:r>
        <w:rPr>
          <w:rFonts w:hint="eastAsia"/>
          <w:szCs w:val="21"/>
          <w:lang w:val="en-US" w:eastAsia="zh-CN"/>
        </w:rPr>
        <w:t>XX</w:t>
      </w:r>
      <w:r>
        <w:rPr>
          <w:rFonts w:ascii="Times New Roman" w:hAnsi="Times New Roman"/>
          <w:szCs w:val="21"/>
        </w:rPr>
        <w:t>。主要负责本标准的验证工作。</w:t>
      </w:r>
    </w:p>
    <w:p>
      <w:pPr>
        <w:ind w:firstLine="420" w:firstLineChars="200"/>
        <w:rPr>
          <w:rFonts w:ascii="Times New Roman" w:hAnsi="Times New Roman"/>
          <w:szCs w:val="21"/>
        </w:rPr>
      </w:pPr>
      <w:r>
        <w:rPr>
          <w:rFonts w:ascii="Times New Roman" w:hAnsi="Times New Roman"/>
          <w:szCs w:val="21"/>
        </w:rPr>
        <w:t>本标准</w:t>
      </w:r>
      <w:r>
        <w:rPr>
          <w:rFonts w:hint="eastAsia" w:ascii="Times New Roman" w:hAnsi="Times New Roman"/>
          <w:szCs w:val="21"/>
        </w:rPr>
        <w:t>方法2容量法</w:t>
      </w:r>
      <w:r>
        <w:rPr>
          <w:rFonts w:ascii="Times New Roman" w:hAnsi="Times New Roman"/>
          <w:szCs w:val="21"/>
        </w:rPr>
        <w:t>由</w:t>
      </w:r>
      <w:r>
        <w:rPr>
          <w:rFonts w:hint="eastAsia" w:ascii="Times New Roman" w:hAnsi="Times New Roman"/>
          <w:szCs w:val="21"/>
        </w:rPr>
        <w:t>北矿检测技术有限公司</w:t>
      </w:r>
      <w:r>
        <w:rPr>
          <w:rFonts w:ascii="Times New Roman" w:hAnsi="Times New Roman"/>
          <w:szCs w:val="21"/>
        </w:rPr>
        <w:t>负责起草，主要起草人为</w:t>
      </w:r>
      <w:r>
        <w:rPr>
          <w:rFonts w:hint="eastAsia" w:ascii="Times New Roman" w:hAnsi="Times New Roman"/>
          <w:szCs w:val="21"/>
          <w:lang w:val="en-US" w:eastAsia="zh-CN"/>
        </w:rPr>
        <w:t>XX</w:t>
      </w:r>
      <w:r>
        <w:rPr>
          <w:rFonts w:ascii="Times New Roman" w:hAnsi="Times New Roman"/>
          <w:szCs w:val="21"/>
        </w:rPr>
        <w:t>，主要负责本标准的方法制定、资料收集、技术参数的确定及标准条款的编写工作。</w:t>
      </w:r>
    </w:p>
    <w:p>
      <w:pPr>
        <w:ind w:firstLine="435"/>
        <w:jc w:val="left"/>
        <w:rPr>
          <w:szCs w:val="21"/>
        </w:rPr>
      </w:pPr>
      <w:r>
        <w:rPr>
          <w:rFonts w:ascii="Times New Roman" w:hAnsi="Times New Roman"/>
          <w:szCs w:val="21"/>
        </w:rPr>
        <w:t>本标准</w:t>
      </w:r>
      <w:r>
        <w:rPr>
          <w:rFonts w:hint="eastAsia" w:ascii="Times New Roman" w:hAnsi="Times New Roman"/>
          <w:szCs w:val="21"/>
        </w:rPr>
        <w:t>方法2</w:t>
      </w:r>
      <w:r>
        <w:rPr>
          <w:rFonts w:ascii="Times New Roman" w:hAnsi="Times New Roman"/>
          <w:szCs w:val="21"/>
        </w:rPr>
        <w:t>参与起草单位包括</w:t>
      </w:r>
      <w:r>
        <w:rPr>
          <w:rFonts w:hint="eastAsia"/>
          <w:szCs w:val="21"/>
        </w:rPr>
        <w:t>广东先导稀材股份有限公司、广西中检检测技术服务有限公司、大冶有色设计研究院有限公司、河南豫光金铅股份有限公司、紫金矿业集团股份有限公司、铜陵有色金属集团控股有限公司、中国有色桂林矿产地质研究院有限公司、阳谷祥光铜业有限公司、江西铜业股份有限公司。</w:t>
      </w:r>
    </w:p>
    <w:p>
      <w:pPr>
        <w:ind w:firstLine="420" w:firstLineChars="200"/>
        <w:rPr>
          <w:rFonts w:ascii="Times New Roman" w:hAnsi="Times New Roman"/>
          <w:szCs w:val="21"/>
        </w:rPr>
      </w:pPr>
      <w:r>
        <w:rPr>
          <w:rFonts w:ascii="Times New Roman" w:hAnsi="Times New Roman"/>
          <w:szCs w:val="21"/>
        </w:rPr>
        <w:t>参与起草人：</w:t>
      </w:r>
      <w:r>
        <w:rPr>
          <w:rFonts w:hint="eastAsia"/>
          <w:color w:val="000000"/>
          <w:szCs w:val="21"/>
          <w:lang w:val="en-US" w:eastAsia="zh-CN"/>
        </w:rPr>
        <w:t>XX</w:t>
      </w:r>
      <w:r>
        <w:rPr>
          <w:rFonts w:hint="eastAsia" w:hAnsi="宋体"/>
          <w:szCs w:val="21"/>
        </w:rPr>
        <w:t>，</w:t>
      </w:r>
      <w:r>
        <w:rPr>
          <w:rFonts w:ascii="Times New Roman" w:hAnsi="Times New Roman"/>
          <w:szCs w:val="21"/>
        </w:rPr>
        <w:t>主要负责本标准的验证工作。</w:t>
      </w:r>
    </w:p>
    <w:p>
      <w:pPr>
        <w:rPr>
          <w:rFonts w:ascii="黑体" w:hAnsi="黑体" w:eastAsia="黑体"/>
          <w:bCs/>
          <w:szCs w:val="21"/>
        </w:rPr>
      </w:pPr>
      <w:r>
        <w:rPr>
          <w:rFonts w:hint="eastAsia" w:ascii="黑体" w:hAnsi="黑体" w:eastAsia="黑体"/>
          <w:bCs/>
          <w:szCs w:val="21"/>
        </w:rPr>
        <w:t>1.4主要工作过程</w:t>
      </w:r>
    </w:p>
    <w:p>
      <w:pPr>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2018年5月在接到标准制定任务后，成立了标准编制工作组，确定了各成员的工作职能和任务，制订了工作计划和进度安排。</w:t>
      </w:r>
    </w:p>
    <w:p>
      <w:pPr>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2018年7月26～7月27日，在黑龙江省哈尔滨市召开全国有色标准会议进行落实任务。</w:t>
      </w:r>
    </w:p>
    <w:p>
      <w:pPr>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ascii="Times New Roman" w:hAnsi="Times New Roman"/>
          <w:szCs w:val="21"/>
        </w:rPr>
        <w:t>2018年12月底前，收集、制备实验样品发给起草单位。</w:t>
      </w:r>
    </w:p>
    <w:p>
      <w:pPr>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w:t>
      </w:r>
      <w:r>
        <w:rPr>
          <w:rFonts w:ascii="Times New Roman" w:hAnsi="Times New Roman"/>
          <w:szCs w:val="21"/>
        </w:rPr>
        <w:t>2019年6月底前，实验样品及试验报告寄至各验证单位。</w:t>
      </w:r>
    </w:p>
    <w:p>
      <w:pPr>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w:t>
      </w:r>
      <w:r>
        <w:rPr>
          <w:rFonts w:ascii="Times New Roman" w:hAnsi="Times New Roman"/>
          <w:szCs w:val="21"/>
        </w:rPr>
        <w:t>2019年10月底～11月，验证报告返回。</w:t>
      </w:r>
    </w:p>
    <w:p>
      <w:pPr>
        <w:rPr>
          <w:rFonts w:ascii="黑体" w:hAnsi="黑体" w:eastAsia="黑体"/>
          <w:szCs w:val="21"/>
        </w:rPr>
      </w:pPr>
      <w:r>
        <w:rPr>
          <w:rFonts w:hint="eastAsia" w:ascii="黑体" w:hAnsi="黑体" w:eastAsia="黑体"/>
          <w:szCs w:val="21"/>
        </w:rPr>
        <w:t>1.4.1 方法1 火焰原子吸收光谱法</w:t>
      </w:r>
    </w:p>
    <w:p>
      <w:pPr>
        <w:rPr>
          <w:rFonts w:ascii="Times New Roman" w:hAnsi="Times New Roman"/>
          <w:szCs w:val="21"/>
        </w:rPr>
      </w:pPr>
      <w:r>
        <w:rPr>
          <w:rFonts w:hint="eastAsia" w:ascii="黑体" w:hAnsi="黑体" w:eastAsia="黑体"/>
          <w:szCs w:val="21"/>
        </w:rPr>
        <w:t>1.4.1.1</w:t>
      </w:r>
      <w:r>
        <w:rPr>
          <w:rFonts w:hint="eastAsia" w:ascii="Times New Roman" w:hAnsi="Times New Roman"/>
          <w:szCs w:val="21"/>
        </w:rPr>
        <w:t xml:space="preserve"> </w:t>
      </w:r>
      <w:r>
        <w:rPr>
          <w:rFonts w:ascii="Times New Roman" w:hAnsi="Times New Roman"/>
          <w:szCs w:val="21"/>
        </w:rPr>
        <w:t xml:space="preserve"> 2019年</w:t>
      </w:r>
      <w:r>
        <w:rPr>
          <w:rFonts w:hint="eastAsia" w:ascii="Times New Roman" w:hAnsi="Times New Roman"/>
          <w:szCs w:val="21"/>
        </w:rPr>
        <w:t>10</w:t>
      </w:r>
      <w:r>
        <w:rPr>
          <w:rFonts w:ascii="Times New Roman" w:hAnsi="Times New Roman"/>
          <w:szCs w:val="21"/>
        </w:rPr>
        <w:t>月</w:t>
      </w:r>
      <w:r>
        <w:rPr>
          <w:rFonts w:hint="eastAsia" w:ascii="Times New Roman" w:hAnsi="Times New Roman"/>
          <w:szCs w:val="21"/>
        </w:rPr>
        <w:t>-11月，向广东省工业分析检测中心、北矿检测技术有限公司等14家单位发出了讨论稿的征求意见函，回函情况汇总如下：</w:t>
      </w:r>
    </w:p>
    <w:p>
      <w:pPr>
        <w:ind w:firstLine="420" w:firstLineChars="200"/>
        <w:jc w:val="left"/>
        <w:rPr>
          <w:rFonts w:ascii="宋体" w:hAnsi="宋体"/>
          <w:szCs w:val="21"/>
        </w:rPr>
      </w:pPr>
      <w:r>
        <w:rPr>
          <w:rFonts w:hint="eastAsia" w:ascii="Times New Roman" w:hAnsi="Times New Roman"/>
          <w:szCs w:val="21"/>
        </w:rPr>
        <w:t>1）</w:t>
      </w:r>
      <w:r>
        <w:rPr>
          <w:rFonts w:ascii="宋体" w:hAnsi="宋体"/>
          <w:szCs w:val="21"/>
        </w:rPr>
        <w:t>发送《征求意见稿》的单位数：</w:t>
      </w:r>
      <w:r>
        <w:rPr>
          <w:rFonts w:hint="eastAsia" w:ascii="宋体" w:hAnsi="宋体"/>
          <w:szCs w:val="21"/>
        </w:rPr>
        <w:t>14</w:t>
      </w:r>
      <w:r>
        <w:rPr>
          <w:rFonts w:ascii="宋体" w:hAnsi="宋体"/>
          <w:szCs w:val="21"/>
        </w:rPr>
        <w:t>；收到《征求意见稿》后，回函的单位数</w:t>
      </w:r>
      <w:r>
        <w:rPr>
          <w:rFonts w:hint="eastAsia" w:ascii="宋体" w:hAnsi="宋体"/>
          <w:szCs w:val="21"/>
        </w:rPr>
        <w:t>：2</w:t>
      </w:r>
      <w:r>
        <w:rPr>
          <w:rFonts w:ascii="宋体" w:hAnsi="宋体"/>
          <w:szCs w:val="21"/>
        </w:rPr>
        <w:t>；收到《征求意见稿》后，回函并有建议或意见的单位数：</w:t>
      </w:r>
      <w:r>
        <w:rPr>
          <w:rFonts w:hint="eastAsia" w:ascii="宋体" w:hAnsi="宋体"/>
          <w:szCs w:val="21"/>
        </w:rPr>
        <w:t>2</w:t>
      </w:r>
      <w:r>
        <w:rPr>
          <w:rFonts w:ascii="宋体" w:hAnsi="宋体"/>
          <w:szCs w:val="21"/>
        </w:rPr>
        <w:t>；没有回函的单位数：</w:t>
      </w:r>
      <w:r>
        <w:rPr>
          <w:rFonts w:hint="eastAsia" w:ascii="宋体" w:hAnsi="宋体"/>
          <w:szCs w:val="21"/>
        </w:rPr>
        <w:t>12</w:t>
      </w:r>
      <w:r>
        <w:rPr>
          <w:rFonts w:ascii="宋体" w:hAnsi="宋体"/>
          <w:szCs w:val="21"/>
        </w:rPr>
        <w:t>。</w:t>
      </w:r>
    </w:p>
    <w:p>
      <w:pPr>
        <w:ind w:firstLine="420" w:firstLineChars="200"/>
        <w:rPr>
          <w:szCs w:val="21"/>
        </w:rPr>
      </w:pPr>
      <w:r>
        <w:rPr>
          <w:rFonts w:hint="eastAsia" w:ascii="Times New Roman" w:hAnsi="Times New Roman"/>
          <w:szCs w:val="21"/>
        </w:rPr>
        <w:t>2）</w:t>
      </w:r>
      <w:r>
        <w:rPr>
          <w:rFonts w:ascii="Times New Roman" w:hAnsi="Times New Roman"/>
          <w:b/>
          <w:color w:val="000000"/>
          <w:szCs w:val="21"/>
        </w:rPr>
        <w:t>讨论稿 8  试验数据处理</w:t>
      </w:r>
      <w:r>
        <w:rPr>
          <w:rFonts w:hint="eastAsia" w:ascii="Times New Roman" w:hAnsi="Times New Roman"/>
          <w:bCs/>
          <w:color w:val="000000"/>
          <w:szCs w:val="21"/>
        </w:rPr>
        <w:t xml:space="preserve">中 </w:t>
      </w:r>
      <w:r>
        <w:rPr>
          <w:rFonts w:ascii="Times New Roman" w:hAnsi="Times New Roman"/>
          <w:szCs w:val="21"/>
        </w:rPr>
        <w:t>镉含量以镉的质量分数</w:t>
      </w:r>
      <w:r>
        <w:rPr>
          <w:rFonts w:ascii="Times New Roman" w:hAnsi="Times New Roman"/>
          <w:i/>
          <w:szCs w:val="21"/>
        </w:rPr>
        <w:t>w</w:t>
      </w:r>
      <w:r>
        <w:rPr>
          <w:rFonts w:ascii="Times New Roman" w:hAnsi="Times New Roman"/>
          <w:szCs w:val="21"/>
          <w:vertAlign w:val="subscript"/>
        </w:rPr>
        <w:t>Cd</w:t>
      </w:r>
      <w:r>
        <w:rPr>
          <w:rFonts w:ascii="Times New Roman" w:hAnsi="Times New Roman"/>
          <w:szCs w:val="21"/>
        </w:rPr>
        <w:t>计，后加一句：数值以%表示</w:t>
      </w:r>
      <w:r>
        <w:rPr>
          <w:rFonts w:hint="eastAsia"/>
          <w:szCs w:val="21"/>
        </w:rPr>
        <w:t>（阳谷祥光）。采纳。</w:t>
      </w:r>
    </w:p>
    <w:p>
      <w:pPr>
        <w:ind w:firstLine="420" w:firstLineChars="200"/>
        <w:rPr>
          <w:szCs w:val="21"/>
        </w:rPr>
      </w:pPr>
      <w:r>
        <w:rPr>
          <w:rFonts w:hint="eastAsia"/>
          <w:szCs w:val="21"/>
        </w:rPr>
        <w:t>3）</w:t>
      </w:r>
      <w:r>
        <w:rPr>
          <w:rFonts w:ascii="Times New Roman" w:hAnsi="Times New Roman"/>
          <w:b/>
          <w:color w:val="000000"/>
          <w:szCs w:val="21"/>
        </w:rPr>
        <w:t xml:space="preserve">讨论稿 </w:t>
      </w:r>
      <w:r>
        <w:rPr>
          <w:rFonts w:ascii="Times New Roman" w:hAnsi="Times New Roman"/>
          <w:b/>
        </w:rPr>
        <w:t>表1 试液定容体积、分取量</w:t>
      </w:r>
      <w:r>
        <w:rPr>
          <w:rFonts w:hint="eastAsia" w:ascii="Times New Roman" w:hAnsi="Times New Roman"/>
        </w:rPr>
        <w:t xml:space="preserve"> </w:t>
      </w:r>
      <w:r>
        <w:rPr>
          <w:rFonts w:hint="eastAsia"/>
        </w:rPr>
        <w:t>“</w:t>
      </w:r>
      <w:r>
        <w:rPr>
          <w:rFonts w:ascii="Times New Roman" w:hAnsi="Times New Roman"/>
        </w:rPr>
        <w:t>镉的质量分数，%</w:t>
      </w:r>
      <w:r>
        <w:rPr>
          <w:rFonts w:hint="eastAsia"/>
        </w:rPr>
        <w:t>”</w:t>
      </w:r>
      <w:r>
        <w:rPr>
          <w:rFonts w:ascii="Times New Roman" w:hAnsi="Times New Roman"/>
        </w:rPr>
        <w:t>应改为</w:t>
      </w:r>
      <w:r>
        <w:rPr>
          <w:rFonts w:hint="eastAsia"/>
        </w:rPr>
        <w:t>“</w:t>
      </w:r>
      <w:r>
        <w:rPr>
          <w:rFonts w:ascii="Times New Roman" w:hAnsi="Times New Roman"/>
        </w:rPr>
        <w:t>镉的质量分数/%</w:t>
      </w:r>
      <w:r>
        <w:rPr>
          <w:rFonts w:hint="eastAsia"/>
        </w:rPr>
        <w:t>”</w:t>
      </w:r>
      <w:r>
        <w:rPr>
          <w:rFonts w:ascii="Times New Roman" w:hAnsi="Times New Roman"/>
        </w:rPr>
        <w:t>，后面三列同样修改</w:t>
      </w:r>
      <w:r>
        <w:rPr>
          <w:rFonts w:hint="eastAsia" w:ascii="Times New Roman" w:hAnsi="Times New Roman"/>
        </w:rPr>
        <w:t>；</w:t>
      </w:r>
      <w:r>
        <w:rPr>
          <w:rFonts w:hint="eastAsia"/>
        </w:rPr>
        <w:t>“</w:t>
      </w:r>
      <w:r>
        <w:rPr>
          <w:rFonts w:ascii="Times New Roman" w:hAnsi="Times New Roman"/>
        </w:rPr>
        <w:t>0.020-0.080</w:t>
      </w:r>
      <w:r>
        <w:rPr>
          <w:rFonts w:hint="eastAsia"/>
        </w:rPr>
        <w:t>”</w:t>
      </w:r>
      <w:r>
        <w:rPr>
          <w:rFonts w:ascii="Times New Roman" w:hAnsi="Times New Roman"/>
        </w:rPr>
        <w:t>应改为</w:t>
      </w:r>
      <w:r>
        <w:rPr>
          <w:rFonts w:hint="eastAsia"/>
        </w:rPr>
        <w:t>“</w:t>
      </w:r>
      <w:r>
        <w:rPr>
          <w:rFonts w:ascii="Times New Roman" w:hAnsi="Times New Roman"/>
        </w:rPr>
        <w:t>0.020~0.080</w:t>
      </w:r>
      <w:r>
        <w:rPr>
          <w:rFonts w:hint="eastAsia"/>
        </w:rPr>
        <w:t>”</w:t>
      </w:r>
      <w:r>
        <w:rPr>
          <w:rFonts w:ascii="Times New Roman" w:hAnsi="Times New Roman"/>
        </w:rPr>
        <w:t>，下面四行同样修改</w:t>
      </w:r>
      <w:r>
        <w:rPr>
          <w:rFonts w:hint="eastAsia"/>
          <w:szCs w:val="21"/>
        </w:rPr>
        <w:t>（阳谷祥光）采纳。</w:t>
      </w:r>
    </w:p>
    <w:p>
      <w:pPr>
        <w:ind w:firstLine="420" w:firstLineChars="200"/>
      </w:pPr>
      <w:r>
        <w:rPr>
          <w:rFonts w:hint="eastAsia"/>
          <w:szCs w:val="21"/>
        </w:rPr>
        <w:t>4）</w:t>
      </w:r>
      <w:r>
        <w:rPr>
          <w:rFonts w:ascii="Times New Roman" w:hAnsi="Times New Roman"/>
          <w:b/>
          <w:color w:val="000000"/>
          <w:szCs w:val="21"/>
        </w:rPr>
        <w:t>讨论稿</w:t>
      </w:r>
      <w:r>
        <w:rPr>
          <w:rFonts w:hint="eastAsia" w:ascii="Times New Roman" w:hAnsi="Times New Roman"/>
          <w:b/>
          <w:color w:val="000000"/>
          <w:szCs w:val="21"/>
        </w:rPr>
        <w:t xml:space="preserve"> 1 </w:t>
      </w:r>
      <w:r>
        <w:rPr>
          <w:rFonts w:hint="eastAsia"/>
        </w:rPr>
        <w:t>“</w:t>
      </w:r>
      <w:r>
        <w:t>说明哪个方法为仲裁方法</w:t>
      </w:r>
      <w:r>
        <w:rPr>
          <w:rFonts w:hint="eastAsia"/>
        </w:rPr>
        <w:t>”（北方铜业股份有限公司）。不采纳（不涉及仲裁）</w:t>
      </w:r>
    </w:p>
    <w:p>
      <w:pPr>
        <w:ind w:firstLine="420" w:firstLineChars="200"/>
      </w:pPr>
      <w:r>
        <w:rPr>
          <w:rFonts w:hint="eastAsia"/>
        </w:rPr>
        <w:t>5）</w:t>
      </w:r>
      <w:r>
        <w:rPr>
          <w:rFonts w:hint="eastAsia" w:ascii="Times New Roman" w:hAnsi="Times New Roman"/>
          <w:b/>
          <w:color w:val="000000"/>
          <w:szCs w:val="21"/>
        </w:rPr>
        <w:t xml:space="preserve">讨论稿 6.1 </w:t>
      </w:r>
      <w:r>
        <w:rPr>
          <w:rFonts w:ascii="Times New Roman" w:hAnsi="Times New Roman"/>
          <w:szCs w:val="21"/>
        </w:rPr>
        <w:t>试样粒度建议用μm表示，与其它系列标准统一</w:t>
      </w:r>
      <w:r>
        <w:rPr>
          <w:rFonts w:hint="eastAsia"/>
        </w:rPr>
        <w:t>（北方铜业股份有限公司）。采纳。</w:t>
      </w:r>
    </w:p>
    <w:p>
      <w:pPr>
        <w:ind w:firstLine="420" w:firstLineChars="200"/>
      </w:pPr>
      <w:r>
        <w:rPr>
          <w:rFonts w:hint="eastAsia"/>
        </w:rPr>
        <w:t>6）</w:t>
      </w:r>
      <w:r>
        <w:rPr>
          <w:rFonts w:hint="eastAsia" w:ascii="Times New Roman" w:hAnsi="Times New Roman"/>
          <w:b/>
          <w:color w:val="000000"/>
          <w:szCs w:val="21"/>
        </w:rPr>
        <w:t xml:space="preserve">讨论稿 </w:t>
      </w:r>
      <w:r>
        <w:rPr>
          <w:rFonts w:ascii="Times New Roman" w:hAnsi="Times New Roman"/>
          <w:b/>
          <w:szCs w:val="21"/>
        </w:rPr>
        <w:t>7.1</w:t>
      </w:r>
      <w:r>
        <w:rPr>
          <w:rFonts w:hint="eastAsia" w:ascii="Times New Roman" w:hAnsi="Times New Roman"/>
          <w:b/>
          <w:szCs w:val="21"/>
        </w:rPr>
        <w:t xml:space="preserve"> </w:t>
      </w:r>
      <w:r>
        <w:rPr>
          <w:rFonts w:ascii="Times New Roman" w:hAnsi="Times New Roman"/>
          <w:szCs w:val="21"/>
        </w:rPr>
        <w:t>建议称取试样0.10g，精确至0.0001g</w:t>
      </w:r>
      <w:r>
        <w:rPr>
          <w:rFonts w:hint="eastAsia"/>
        </w:rPr>
        <w:t>（北方铜业股份有限公司）。采纳。</w:t>
      </w:r>
    </w:p>
    <w:p>
      <w:pPr>
        <w:ind w:firstLine="420" w:firstLineChars="200"/>
      </w:pPr>
      <w:r>
        <w:rPr>
          <w:rFonts w:hint="eastAsia" w:ascii="Times New Roman" w:hAnsi="Times New Roman"/>
          <w:szCs w:val="21"/>
        </w:rPr>
        <w:t>7）</w:t>
      </w:r>
      <w:r>
        <w:rPr>
          <w:rFonts w:hint="eastAsia" w:ascii="Times New Roman" w:hAnsi="Times New Roman"/>
          <w:b/>
          <w:color w:val="000000"/>
          <w:szCs w:val="21"/>
        </w:rPr>
        <w:t xml:space="preserve">讨论稿 </w:t>
      </w:r>
      <w:r>
        <w:rPr>
          <w:rFonts w:ascii="Times New Roman" w:hAnsi="Times New Roman"/>
          <w:b/>
          <w:szCs w:val="21"/>
        </w:rPr>
        <w:t>7.</w:t>
      </w:r>
      <w:r>
        <w:rPr>
          <w:rFonts w:hint="eastAsia" w:ascii="Times New Roman" w:hAnsi="Times New Roman"/>
          <w:b/>
          <w:szCs w:val="21"/>
        </w:rPr>
        <w:t>4.</w:t>
      </w:r>
      <w:r>
        <w:rPr>
          <w:rFonts w:ascii="Times New Roman" w:hAnsi="Times New Roman"/>
          <w:b/>
          <w:szCs w:val="21"/>
        </w:rPr>
        <w:t>1</w:t>
      </w:r>
      <w:r>
        <w:rPr>
          <w:rFonts w:ascii="Times New Roman" w:hAnsi="Times New Roman"/>
          <w:szCs w:val="21"/>
        </w:rPr>
        <w:t>低温加热3-5min，建议3后面也带单位</w:t>
      </w:r>
      <w:r>
        <w:rPr>
          <w:rFonts w:hint="eastAsia"/>
        </w:rPr>
        <w:t>（北方铜业股份有限公司）。采纳。</w:t>
      </w:r>
    </w:p>
    <w:p>
      <w:pPr>
        <w:ind w:firstLine="420" w:firstLineChars="200"/>
        <w:rPr>
          <w:rFonts w:ascii="Times New Roman" w:hAnsi="Times New Roman"/>
          <w:szCs w:val="21"/>
        </w:rPr>
      </w:pPr>
      <w:r>
        <w:rPr>
          <w:rFonts w:hint="eastAsia"/>
        </w:rPr>
        <w:t>8）</w:t>
      </w:r>
      <w:r>
        <w:rPr>
          <w:rFonts w:hint="eastAsia" w:ascii="Times New Roman" w:hAnsi="Times New Roman"/>
          <w:b/>
          <w:color w:val="000000"/>
          <w:szCs w:val="21"/>
        </w:rPr>
        <w:t xml:space="preserve">讨论稿 </w:t>
      </w:r>
      <w:r>
        <w:rPr>
          <w:rFonts w:ascii="Times New Roman" w:hAnsi="Times New Roman"/>
          <w:b/>
          <w:szCs w:val="21"/>
        </w:rPr>
        <w:t>7.</w:t>
      </w:r>
      <w:r>
        <w:rPr>
          <w:rFonts w:hint="eastAsia" w:ascii="Times New Roman" w:hAnsi="Times New Roman"/>
          <w:b/>
          <w:szCs w:val="21"/>
        </w:rPr>
        <w:t xml:space="preserve">4.3 </w:t>
      </w:r>
      <w:r>
        <w:rPr>
          <w:rFonts w:ascii="Times New Roman" w:hAnsi="Times New Roman"/>
          <w:szCs w:val="21"/>
        </w:rPr>
        <w:t>表1 方法范围较大，建议根据含量不同称样量有所不同，分取前尽量定容体积一致</w:t>
      </w:r>
      <w:r>
        <w:rPr>
          <w:rFonts w:hint="eastAsia"/>
        </w:rPr>
        <w:t>（北方铜业股份有限公司）</w:t>
      </w:r>
      <w:r>
        <w:rPr>
          <w:rFonts w:hint="eastAsia" w:ascii="Times New Roman" w:hAnsi="Times New Roman"/>
          <w:szCs w:val="21"/>
        </w:rPr>
        <w:t>。不采纳（</w:t>
      </w:r>
      <w:r>
        <w:rPr>
          <w:rFonts w:hint="eastAsia"/>
          <w:szCs w:val="21"/>
        </w:rPr>
        <w:t>最低含量称样量为0.10g，定容为100 mL；高含量已无法再减少称样量</w:t>
      </w:r>
      <w:r>
        <w:rPr>
          <w:rFonts w:hint="eastAsia" w:ascii="Times New Roman" w:hAnsi="Times New Roman"/>
          <w:szCs w:val="21"/>
        </w:rPr>
        <w:t>）。</w:t>
      </w:r>
    </w:p>
    <w:p>
      <w:pPr>
        <w:ind w:firstLine="420" w:firstLineChars="200"/>
        <w:jc w:val="left"/>
        <w:rPr>
          <w:rFonts w:ascii="Times New Roman" w:hAnsi="Times New Roman"/>
          <w:szCs w:val="21"/>
        </w:rPr>
      </w:pPr>
      <w:r>
        <w:rPr>
          <w:rFonts w:hint="eastAsia" w:ascii="Times New Roman" w:hAnsi="Times New Roman"/>
          <w:szCs w:val="21"/>
        </w:rPr>
        <w:t>9）</w:t>
      </w:r>
      <w:r>
        <w:rPr>
          <w:rFonts w:hint="eastAsia" w:ascii="Times New Roman" w:hAnsi="Times New Roman"/>
          <w:b/>
          <w:color w:val="000000"/>
          <w:szCs w:val="21"/>
        </w:rPr>
        <w:t>讨论稿 8</w:t>
      </w:r>
      <w:r>
        <w:rPr>
          <w:rFonts w:hint="eastAsia" w:ascii="Times New Roman" w:hAnsi="Times New Roman"/>
          <w:szCs w:val="21"/>
        </w:rPr>
        <w:t xml:space="preserve"> </w:t>
      </w:r>
      <w:r>
        <w:rPr>
          <w:rFonts w:ascii="Times New Roman" w:hAnsi="Times New Roman"/>
          <w:szCs w:val="21"/>
        </w:rPr>
        <w:t>表述为“镉含量以镉的质量分数</w:t>
      </w:r>
      <w:r>
        <w:rPr>
          <w:rFonts w:ascii="Times New Roman" w:hAnsi="Times New Roman"/>
          <w:i/>
          <w:szCs w:val="21"/>
        </w:rPr>
        <w:t>w</w:t>
      </w:r>
      <w:r>
        <w:rPr>
          <w:rFonts w:ascii="Times New Roman" w:hAnsi="Times New Roman"/>
          <w:szCs w:val="21"/>
          <w:vertAlign w:val="subscript"/>
        </w:rPr>
        <w:t>Cd</w:t>
      </w:r>
      <w:r>
        <w:rPr>
          <w:rFonts w:ascii="Times New Roman" w:hAnsi="Times New Roman"/>
          <w:szCs w:val="21"/>
        </w:rPr>
        <w:t>计，数值以%表示，用公式 （1）计算”</w:t>
      </w:r>
      <w:r>
        <w:rPr>
          <w:rFonts w:hint="eastAsia"/>
        </w:rPr>
        <w:t>（北方铜业股份有限公司）。采纳。</w:t>
      </w:r>
    </w:p>
    <w:p>
      <w:pPr>
        <w:ind w:firstLine="420" w:firstLineChars="200"/>
        <w:rPr>
          <w:rFonts w:ascii="Times New Roman" w:hAnsi="Times New Roman"/>
          <w:szCs w:val="21"/>
        </w:rPr>
      </w:pPr>
      <w:r>
        <w:rPr>
          <w:rFonts w:hint="eastAsia" w:ascii="Times New Roman" w:hAnsi="Times New Roman"/>
          <w:szCs w:val="21"/>
        </w:rPr>
        <w:t>验证报告返回后，各验证单位未对本标准提出修改意见。</w:t>
      </w:r>
    </w:p>
    <w:p>
      <w:pPr>
        <w:widowControl/>
        <w:spacing w:line="276" w:lineRule="auto"/>
        <w:jc w:val="left"/>
        <w:rPr>
          <w:rFonts w:ascii="Times New Roman" w:hAnsi="Times New Roman"/>
          <w:bCs/>
          <w:szCs w:val="21"/>
        </w:rPr>
      </w:pPr>
      <w:r>
        <w:rPr>
          <w:rFonts w:hint="eastAsia" w:ascii="黑体" w:hAnsi="黑体" w:eastAsia="黑体"/>
          <w:szCs w:val="21"/>
        </w:rPr>
        <w:t xml:space="preserve">1.4.1.2 </w:t>
      </w:r>
      <w:r>
        <w:rPr>
          <w:rFonts w:hint="eastAsia" w:ascii="Times New Roman" w:hAnsi="Times New Roman"/>
          <w:b/>
          <w:szCs w:val="21"/>
        </w:rPr>
        <w:t xml:space="preserve"> </w:t>
      </w:r>
      <w:r>
        <w:rPr>
          <w:rFonts w:hint="eastAsia" w:ascii="Times New Roman" w:hAnsi="Times New Roman"/>
          <w:bCs/>
          <w:szCs w:val="21"/>
        </w:rPr>
        <w:t>2019年11月27日-29日，全国有色金属标准化技术委员会在广东省深圳市召开有色金属标准工作会议，会上对行业标准行业标准《铜冶炼烟尘化学分析方法 第7部分 镉含量的测定 火焰原子吸收光谱法》进行了预审。</w:t>
      </w:r>
      <w:r>
        <w:rPr>
          <w:rFonts w:ascii="Times New Roman" w:hAnsi="Times New Roman"/>
          <w:bCs/>
          <w:szCs w:val="21"/>
        </w:rPr>
        <w:t>参会专家对标准中的文字表述、部分操作细节等提出宝贵建议。</w:t>
      </w:r>
    </w:p>
    <w:p>
      <w:pPr>
        <w:widowControl/>
        <w:spacing w:line="276" w:lineRule="auto"/>
        <w:jc w:val="left"/>
        <w:rPr>
          <w:rFonts w:ascii="Times New Roman" w:hAnsi="Times New Roman"/>
          <w:bCs/>
          <w:szCs w:val="21"/>
        </w:rPr>
      </w:pPr>
      <w:r>
        <w:rPr>
          <w:rFonts w:hint="eastAsia" w:ascii="Times New Roman" w:hAnsi="Times New Roman"/>
          <w:bCs/>
          <w:szCs w:val="21"/>
        </w:rPr>
        <w:t xml:space="preserve">  1）对表1进行调整，固定定容体积，重新分段。（</w:t>
      </w:r>
      <w:r>
        <w:rPr>
          <w:rFonts w:hint="eastAsia" w:ascii="Times New Roman" w:hAnsi="Times New Roman"/>
          <w:szCs w:val="21"/>
        </w:rPr>
        <w:t>广东省工业分析检测中心</w:t>
      </w:r>
      <w:r>
        <w:rPr>
          <w:rFonts w:hint="eastAsia" w:ascii="Times New Roman" w:hAnsi="Times New Roman"/>
          <w:bCs/>
          <w:szCs w:val="21"/>
        </w:rPr>
        <w:t>）。不采纳（（已重新复核，目前分段较合理））</w:t>
      </w:r>
    </w:p>
    <w:p>
      <w:pPr>
        <w:widowControl/>
        <w:spacing w:line="276" w:lineRule="auto"/>
        <w:ind w:firstLine="420" w:firstLineChars="200"/>
        <w:jc w:val="left"/>
        <w:rPr>
          <w:rFonts w:ascii="Times New Roman" w:hAnsi="Times New Roman"/>
          <w:bCs/>
          <w:szCs w:val="21"/>
        </w:rPr>
      </w:pPr>
      <w:r>
        <w:rPr>
          <w:rFonts w:hint="eastAsia" w:ascii="Times New Roman" w:hAnsi="Times New Roman"/>
          <w:bCs/>
          <w:szCs w:val="21"/>
        </w:rPr>
        <w:t xml:space="preserve"> 会后，根据会议精神，标准编制小组对征求意见稿和编制说明进行了认真修改、补充、完善，形成了送审稿、意见汇总表及编制说明，同时将送审稿发送至长沙矿冶研究院等12家单位征求意见。 </w:t>
      </w:r>
    </w:p>
    <w:p>
      <w:pPr>
        <w:widowControl/>
        <w:spacing w:line="276" w:lineRule="auto"/>
        <w:jc w:val="left"/>
        <w:rPr>
          <w:rFonts w:ascii="Times New Roman" w:hAnsi="Times New Roman"/>
          <w:bCs/>
          <w:szCs w:val="21"/>
        </w:rPr>
      </w:pPr>
      <w:r>
        <w:rPr>
          <w:rFonts w:hint="eastAsia" w:ascii="黑体" w:hAnsi="黑体" w:eastAsia="黑体"/>
          <w:bCs/>
          <w:szCs w:val="21"/>
        </w:rPr>
        <w:t>1.4.1.3</w:t>
      </w:r>
      <w:r>
        <w:rPr>
          <w:rFonts w:hint="eastAsia" w:ascii="Times New Roman" w:hAnsi="Times New Roman"/>
          <w:bCs/>
          <w:szCs w:val="21"/>
        </w:rPr>
        <w:t xml:space="preserve">  审定会</w:t>
      </w:r>
    </w:p>
    <w:p>
      <w:pPr>
        <w:ind w:firstLine="420" w:firstLineChars="200"/>
        <w:rPr>
          <w:rFonts w:ascii="Times New Roman" w:hAnsi="Times New Roman"/>
          <w:szCs w:val="21"/>
        </w:rPr>
      </w:pPr>
      <w:r>
        <w:rPr>
          <w:rFonts w:hint="eastAsia" w:ascii="Times New Roman" w:hAnsi="Times New Roman"/>
          <w:szCs w:val="21"/>
        </w:rPr>
        <w:t>2020年9月23日</w:t>
      </w:r>
      <w:r>
        <w:rPr>
          <w:rFonts w:ascii="Times New Roman" w:hAnsi="Times New Roman"/>
          <w:szCs w:val="21"/>
        </w:rPr>
        <w:t>～</w:t>
      </w:r>
      <w:r>
        <w:rPr>
          <w:rFonts w:hint="eastAsia" w:ascii="Times New Roman" w:hAnsi="Times New Roman"/>
          <w:szCs w:val="21"/>
        </w:rPr>
        <w:t>25日，</w:t>
      </w:r>
      <w:r>
        <w:rPr>
          <w:rFonts w:ascii="Times New Roman" w:hAnsi="Times New Roman"/>
          <w:szCs w:val="21"/>
        </w:rPr>
        <w:t>全国有色金属标准化技术委员会在</w:t>
      </w:r>
      <w:r>
        <w:rPr>
          <w:rFonts w:hint="eastAsia" w:ascii="Times New Roman" w:hAnsi="Times New Roman"/>
          <w:szCs w:val="21"/>
        </w:rPr>
        <w:t>四川省成都市</w:t>
      </w:r>
      <w:r>
        <w:rPr>
          <w:rFonts w:ascii="Times New Roman" w:hAnsi="Times New Roman"/>
          <w:szCs w:val="21"/>
        </w:rPr>
        <w:t>召开《铜冶炼烟尘化学分析方法》行业标准</w:t>
      </w:r>
      <w:r>
        <w:rPr>
          <w:rFonts w:hint="eastAsia" w:ascii="Times New Roman" w:hAnsi="Times New Roman"/>
          <w:szCs w:val="21"/>
        </w:rPr>
        <w:t>审定会</w:t>
      </w:r>
      <w:r>
        <w:rPr>
          <w:rFonts w:ascii="Times New Roman" w:hAnsi="Times New Roman"/>
          <w:szCs w:val="21"/>
        </w:rPr>
        <w:t>。</w:t>
      </w:r>
    </w:p>
    <w:p>
      <w:pPr>
        <w:widowControl/>
        <w:spacing w:line="276" w:lineRule="auto"/>
        <w:jc w:val="left"/>
        <w:rPr>
          <w:rFonts w:ascii="黑体" w:hAnsi="黑体" w:eastAsia="黑体"/>
          <w:bCs/>
          <w:szCs w:val="21"/>
        </w:rPr>
      </w:pPr>
      <w:r>
        <w:rPr>
          <w:rFonts w:hint="eastAsia" w:ascii="黑体" w:hAnsi="黑体" w:eastAsia="黑体"/>
          <w:bCs/>
          <w:szCs w:val="21"/>
        </w:rPr>
        <w:t>1.4.2 方法2 容量法</w:t>
      </w:r>
    </w:p>
    <w:p>
      <w:pPr>
        <w:widowControl/>
        <w:spacing w:line="276" w:lineRule="auto"/>
        <w:ind w:firstLine="420" w:firstLineChars="200"/>
        <w:jc w:val="left"/>
        <w:rPr>
          <w:rFonts w:ascii="黑体" w:hAnsi="黑体" w:eastAsia="黑体"/>
          <w:bCs/>
          <w:szCs w:val="21"/>
        </w:rPr>
      </w:pPr>
      <w:r>
        <w:rPr>
          <w:rFonts w:hint="eastAsia"/>
          <w:szCs w:val="21"/>
        </w:rPr>
        <w:t>在此期间，各验证单位对本标准的主要修改意见如下：</w:t>
      </w:r>
    </w:p>
    <w:p>
      <w:pPr>
        <w:ind w:firstLine="420" w:firstLineChars="200"/>
        <w:rPr>
          <w:kern w:val="0"/>
          <w:szCs w:val="21"/>
        </w:rPr>
      </w:pPr>
      <w:r>
        <w:rPr>
          <w:rFonts w:hint="eastAsia"/>
          <w:szCs w:val="21"/>
        </w:rPr>
        <w:t>1）关于滴定终点色描述不清楚。终点色不是紫红色，应是亮黄消失，出现稳定的暗橙色</w:t>
      </w:r>
      <w:r>
        <w:rPr>
          <w:rFonts w:hint="eastAsia" w:ascii="宋体" w:hAnsi="宋体"/>
          <w:szCs w:val="21"/>
        </w:rPr>
        <w:t xml:space="preserve"> (紫金矿业)</w:t>
      </w:r>
      <w:r>
        <w:rPr>
          <w:rFonts w:hint="eastAsia" w:hAnsi="宋体"/>
          <w:szCs w:val="21"/>
        </w:rPr>
        <w:t>。采纳（会上讨论终点颜色）。</w:t>
      </w:r>
    </w:p>
    <w:p>
      <w:pPr>
        <w:ind w:firstLine="420" w:firstLineChars="200"/>
        <w:rPr>
          <w:rFonts w:hAnsi="宋体"/>
          <w:szCs w:val="21"/>
        </w:rPr>
      </w:pPr>
      <w:r>
        <w:rPr>
          <w:rFonts w:hint="eastAsia"/>
          <w:szCs w:val="21"/>
        </w:rPr>
        <w:t>2）</w:t>
      </w:r>
      <w:r>
        <w:rPr>
          <w:szCs w:val="21"/>
        </w:rPr>
        <w:t>6.4.7</w:t>
      </w:r>
      <w:r>
        <w:rPr>
          <w:rFonts w:hint="eastAsia"/>
          <w:szCs w:val="21"/>
        </w:rPr>
        <w:t>部分</w:t>
      </w:r>
      <w:r>
        <w:rPr>
          <w:rFonts w:hint="eastAsia" w:hAnsi="宋体"/>
          <w:szCs w:val="21"/>
        </w:rPr>
        <w:t>所用的Cd和Zn标液浓度较高，实验中发现吸光度值较高，曲线线性关系不好，通过调整燃烧器转角30º后，吸光度降低，线性关系明显变好。因此，建议在5.仪器一节加上“在与测量试料溶液的基体相一致的溶液中（燃烧器转角20°</w:t>
      </w:r>
      <w:r>
        <w:rPr>
          <w:rFonts w:ascii="Times New Roman" w:hAnsi="Times New Roman"/>
          <w:szCs w:val="21"/>
        </w:rPr>
        <w:t>~</w:t>
      </w:r>
      <w:r>
        <w:rPr>
          <w:rFonts w:hint="eastAsia" w:hAnsi="宋体"/>
          <w:szCs w:val="21"/>
        </w:rPr>
        <w:t xml:space="preserve"> 45°），镉和锌的特征浓度应不大于0.15</w:t>
      </w:r>
      <w:r>
        <w:rPr>
          <w:rFonts w:ascii="Times New Roman" w:hAnsi="Times New Roman"/>
          <w:szCs w:val="21"/>
        </w:rPr>
        <w:t xml:space="preserve"> μ</w:t>
      </w:r>
      <w:r>
        <w:rPr>
          <w:rFonts w:hint="eastAsia" w:hAnsi="宋体"/>
          <w:szCs w:val="21"/>
        </w:rPr>
        <w:t>g/mL”（阳谷祥光）。部分采纳（试验步骤中添加“</w:t>
      </w:r>
      <w:bookmarkStart w:id="0" w:name="_Hlk50103689"/>
      <w:r>
        <w:rPr>
          <w:rFonts w:hint="eastAsia"/>
          <w:spacing w:val="6"/>
        </w:rPr>
        <w:t>调整燃烧头角度</w:t>
      </w:r>
      <w:bookmarkEnd w:id="0"/>
      <w:r>
        <w:rPr>
          <w:rFonts w:hint="eastAsia" w:hAnsi="宋体"/>
          <w:szCs w:val="21"/>
        </w:rPr>
        <w:t>”）。</w:t>
      </w:r>
    </w:p>
    <w:p>
      <w:pPr>
        <w:ind w:firstLine="420" w:firstLineChars="200"/>
        <w:rPr>
          <w:szCs w:val="21"/>
        </w:rPr>
      </w:pPr>
      <w:r>
        <w:rPr>
          <w:rFonts w:hint="eastAsia"/>
          <w:szCs w:val="21"/>
        </w:rPr>
        <w:t>3）</w:t>
      </w:r>
      <w:r>
        <w:rPr>
          <w:szCs w:val="21"/>
        </w:rPr>
        <w:t>2.4</w:t>
      </w:r>
      <w:r>
        <w:rPr>
          <w:rFonts w:hint="eastAsia"/>
          <w:szCs w:val="21"/>
        </w:rPr>
        <w:t>部分只讨论了硫化铜沉淀中Cd的量可以忽略，但没有讨论Zn的量是否可以忽略。从方法严谨方面考虑建议可以将硫化铜沉淀和前面的沉淀合并一起处理</w:t>
      </w:r>
      <w:r>
        <w:rPr>
          <w:rFonts w:hint="eastAsia" w:hAnsi="宋体"/>
          <w:szCs w:val="21"/>
        </w:rPr>
        <w:t>（阳谷祥光），采纳。</w:t>
      </w:r>
    </w:p>
    <w:p>
      <w:pPr>
        <w:ind w:firstLine="420" w:firstLineChars="200"/>
        <w:rPr>
          <w:rFonts w:hAnsi="宋体"/>
          <w:szCs w:val="21"/>
        </w:rPr>
      </w:pPr>
      <w:r>
        <w:rPr>
          <w:rFonts w:hint="eastAsia"/>
          <w:szCs w:val="21"/>
        </w:rPr>
        <w:t>4）6</w:t>
      </w:r>
      <w:r>
        <w:rPr>
          <w:szCs w:val="21"/>
        </w:rPr>
        <w:t>.4.6</w:t>
      </w:r>
      <w:r>
        <w:rPr>
          <w:rFonts w:hint="eastAsia"/>
          <w:szCs w:val="21"/>
        </w:rPr>
        <w:t>部分用盐酸和氨水调节pH值时，加入量较大，后面滴定体积也很大，不易操作。因溶液体积较大，使用浓盐酸和氨水，操作时发现也能准确调节pH值，也避免了加入量过大</w:t>
      </w:r>
      <w:r>
        <w:rPr>
          <w:rFonts w:hint="eastAsia" w:hAnsi="宋体"/>
          <w:szCs w:val="21"/>
        </w:rPr>
        <w:t>。不采纳（理由：直接用浓盐酸和氨水产生氯化铵浓白烟且反应放热较明显）。</w:t>
      </w:r>
    </w:p>
    <w:p>
      <w:pPr>
        <w:ind w:firstLine="420" w:firstLineChars="200"/>
        <w:rPr>
          <w:szCs w:val="21"/>
        </w:rPr>
      </w:pPr>
      <w:r>
        <w:rPr>
          <w:szCs w:val="21"/>
        </w:rPr>
        <w:t>5</w:t>
      </w:r>
      <w:r>
        <w:rPr>
          <w:rFonts w:hint="eastAsia"/>
          <w:szCs w:val="21"/>
        </w:rPr>
        <w:t>）</w:t>
      </w:r>
      <w:r>
        <w:rPr>
          <w:szCs w:val="21"/>
        </w:rPr>
        <w:t>1.2.1</w:t>
      </w:r>
      <w:r>
        <w:rPr>
          <w:rFonts w:hint="eastAsia"/>
          <w:szCs w:val="21"/>
        </w:rPr>
        <w:t>测定范围改为：5.00%～17.00%（中色桂林），采纳。</w:t>
      </w:r>
    </w:p>
    <w:p>
      <w:pPr>
        <w:ind w:firstLine="420" w:firstLineChars="200"/>
        <w:rPr>
          <w:szCs w:val="21"/>
        </w:rPr>
      </w:pPr>
      <w:r>
        <w:rPr>
          <w:szCs w:val="21"/>
        </w:rPr>
        <w:t>6</w:t>
      </w:r>
      <w:r>
        <w:rPr>
          <w:rFonts w:hint="eastAsia"/>
          <w:szCs w:val="21"/>
        </w:rPr>
        <w:t>）测得残渣中锌、镉的质量分数计算公式应单独列出（中色桂林），采纳。</w:t>
      </w:r>
    </w:p>
    <w:p>
      <w:pPr>
        <w:ind w:firstLine="420" w:firstLineChars="200"/>
        <w:rPr>
          <w:szCs w:val="21"/>
        </w:rPr>
      </w:pPr>
      <w:r>
        <w:rPr>
          <w:szCs w:val="21"/>
        </w:rPr>
        <w:t>7</w:t>
      </w:r>
      <w:r>
        <w:rPr>
          <w:rFonts w:hint="eastAsia"/>
          <w:szCs w:val="21"/>
        </w:rPr>
        <w:t>）建议加入过硫酸铵以除去溶液中一些易发生价态变化的元素，如Mn，Pb，Cr，Ni等（中检广西）。不采纳（理由：</w:t>
      </w:r>
      <w:r>
        <w:rPr>
          <w:rFonts w:hint="eastAsia" w:ascii="宋体" w:hAnsi="宋体"/>
          <w:szCs w:val="21"/>
        </w:rPr>
        <w:t>所提供样品不含Mn等元素</w:t>
      </w:r>
      <w:r>
        <w:rPr>
          <w:rFonts w:hint="eastAsia"/>
          <w:szCs w:val="21"/>
        </w:rPr>
        <w:t>）</w:t>
      </w:r>
    </w:p>
    <w:p>
      <w:pPr>
        <w:ind w:firstLine="420" w:firstLineChars="200"/>
        <w:rPr>
          <w:szCs w:val="21"/>
        </w:rPr>
      </w:pPr>
      <w:r>
        <w:rPr>
          <w:szCs w:val="21"/>
        </w:rPr>
        <w:t>8</w:t>
      </w:r>
      <w:r>
        <w:rPr>
          <w:rFonts w:hint="eastAsia"/>
          <w:szCs w:val="21"/>
        </w:rPr>
        <w:t>）加入5mL硫酸（3.5），此硫酸溶液为提供酸性环境用，从安全角度出发，建议加入（1+1）硫酸为宜（广西中检），采纳。</w:t>
      </w:r>
    </w:p>
    <w:p>
      <w:pPr>
        <w:ind w:firstLine="420" w:firstLineChars="200"/>
        <w:rPr>
          <w:szCs w:val="21"/>
        </w:rPr>
      </w:pPr>
      <w:r>
        <w:rPr>
          <w:szCs w:val="21"/>
        </w:rPr>
        <w:t>9</w:t>
      </w:r>
      <w:r>
        <w:rPr>
          <w:rFonts w:hint="eastAsia"/>
          <w:szCs w:val="21"/>
        </w:rPr>
        <w:t>）实验中未考虑铝的影响，虽然Fe能吸附掉部分Al，但溶液中Fe含量较低，故需验证是否能完全消除铝的干扰，建议补充相关实验（广西中检）。不采纳（理由：试验中考虑了Al的干扰，氨水过滤，滴定前加氟化钾也是掩蔽Al）。</w:t>
      </w:r>
    </w:p>
    <w:p>
      <w:pPr>
        <w:ind w:firstLine="420" w:firstLineChars="200"/>
        <w:rPr>
          <w:szCs w:val="21"/>
        </w:rPr>
      </w:pPr>
      <w:r>
        <w:rPr>
          <w:szCs w:val="21"/>
        </w:rPr>
        <w:t>10</w:t>
      </w:r>
      <w:r>
        <w:rPr>
          <w:rFonts w:hint="eastAsia"/>
          <w:szCs w:val="21"/>
        </w:rPr>
        <w:t>）</w:t>
      </w:r>
      <w:r>
        <w:rPr>
          <w:rFonts w:hint="eastAsia" w:cs="宋体"/>
        </w:rPr>
        <w:t>用氨水中和至沉淀完全并过量</w:t>
      </w:r>
      <w:r>
        <w:t>10mL</w:t>
      </w:r>
      <w:r>
        <w:rPr>
          <w:rFonts w:hint="eastAsia" w:cs="宋体"/>
        </w:rPr>
        <w:t>，这一步并不好控制，因为沉淀量比较少，加入氨水，看不到有明显的沉淀出现，沉淀完全的量并不好控制，有可能加入的已经过量了（大冶有色）。部分采纳（理由：试验步骤中添加“</w:t>
      </w:r>
      <w:r>
        <w:rPr>
          <w:rFonts w:hint="eastAsia"/>
        </w:rPr>
        <w:t>铁低时用氨水中和至铜形成铜氨络离子</w:t>
      </w:r>
      <w:r>
        <w:rPr>
          <w:rFonts w:hint="eastAsia" w:cs="宋体"/>
        </w:rPr>
        <w:t>”）。</w:t>
      </w:r>
    </w:p>
    <w:p>
      <w:pPr>
        <w:ind w:firstLine="420" w:firstLineChars="200"/>
        <w:rPr>
          <w:szCs w:val="21"/>
        </w:rPr>
      </w:pPr>
      <w:r>
        <w:rPr>
          <w:szCs w:val="21"/>
        </w:rPr>
        <w:t>11</w:t>
      </w:r>
      <w:r>
        <w:rPr>
          <w:rFonts w:hint="eastAsia"/>
          <w:szCs w:val="21"/>
        </w:rPr>
        <w:t>）保温微沸至沉淀物凝聚，这一步对保温的时间是否有要求，应明确告知（大冶有色）。不采纳（理由：文本写的煮沸5min）。</w:t>
      </w:r>
    </w:p>
    <w:p>
      <w:pPr>
        <w:ind w:firstLine="420" w:firstLineChars="200"/>
        <w:rPr>
          <w:szCs w:val="21"/>
        </w:rPr>
      </w:pPr>
      <w:r>
        <w:rPr>
          <w:szCs w:val="21"/>
        </w:rPr>
        <w:t>12</w:t>
      </w:r>
      <w:r>
        <w:rPr>
          <w:rFonts w:hint="eastAsia"/>
          <w:szCs w:val="21"/>
        </w:rPr>
        <w:t>）用盐酸（1.1.9）和氨水（1.1.12）调溶液的pH值</w:t>
      </w:r>
      <w:r>
        <w:rPr>
          <w:rFonts w:ascii="Times New Roman" w:hAnsi="Times New Roman"/>
          <w:szCs w:val="21"/>
        </w:rPr>
        <w:t>5.5~5.6</w:t>
      </w:r>
      <w:r>
        <w:rPr>
          <w:rFonts w:hint="eastAsia"/>
          <w:szCs w:val="21"/>
        </w:rPr>
        <w:t>（用pH计调），这一步加入氨水（1+1）要加20mL左右，反应放热，pH值很难稳定。建议先加10mL浓氨水，搅拌冷至室温后再用氨水（1.1.12）调溶液的pH值</w:t>
      </w:r>
      <w:r>
        <w:rPr>
          <w:rFonts w:ascii="Times New Roman" w:hAnsi="Times New Roman"/>
          <w:szCs w:val="21"/>
        </w:rPr>
        <w:t>5.5~5.6</w:t>
      </w:r>
      <w:r>
        <w:rPr>
          <w:rFonts w:hint="eastAsia"/>
          <w:szCs w:val="21"/>
        </w:rPr>
        <w:t>（用pH计调）（大冶有色）。部分采纳（理由：加10mL氨水可能会过量，试验确定预加5mL氨水，冷却至室温）。</w:t>
      </w:r>
    </w:p>
    <w:p>
      <w:pPr>
        <w:ind w:firstLine="420" w:firstLineChars="200"/>
        <w:rPr>
          <w:szCs w:val="21"/>
        </w:rPr>
      </w:pPr>
      <w:r>
        <w:rPr>
          <w:szCs w:val="21"/>
        </w:rPr>
        <w:t>13</w:t>
      </w:r>
      <w:r>
        <w:rPr>
          <w:rFonts w:hint="eastAsia"/>
          <w:szCs w:val="21"/>
        </w:rPr>
        <w:t>）用锌标准滴定溶液（1.1.19）滴定至溶液由亮黄色变为紫红色即为终点。滴定终点由亮黄色变为紫红色，终点紫红色不是很明显，颜色很淡，是否考虑将溶液（实际滴定时溶液体积达到300mL左右）浓缩至100mL左右再滴定（大冶有色）。不采纳（理由：如果终点紫红色不明显可以多加一滴指示剂，浓缩可能会使过量的硫代硫酸钠发生变化使溶液浑浊）。</w:t>
      </w:r>
    </w:p>
    <w:p>
      <w:pPr>
        <w:spacing w:line="360" w:lineRule="auto"/>
        <w:rPr>
          <w:rFonts w:ascii="宋体" w:hAnsi="宋体"/>
          <w:b/>
          <w:sz w:val="24"/>
        </w:rPr>
      </w:pPr>
      <w:r>
        <w:rPr>
          <w:rFonts w:hint="eastAsia" w:ascii="宋体" w:hAnsi="宋体"/>
          <w:b/>
          <w:sz w:val="24"/>
        </w:rPr>
        <w:t>二、标准编制原则</w:t>
      </w:r>
    </w:p>
    <w:p>
      <w:pPr>
        <w:ind w:firstLine="420" w:firstLineChars="200"/>
        <w:rPr>
          <w:rFonts w:ascii="Times New Roman" w:hAnsi="Times New Roman"/>
          <w:szCs w:val="21"/>
        </w:rPr>
      </w:pPr>
      <w:r>
        <w:rPr>
          <w:rFonts w:ascii="Times New Roman" w:hAnsi="Times New Roman"/>
          <w:szCs w:val="21"/>
        </w:rPr>
        <w:t>本标准是根据</w:t>
      </w:r>
      <w:r>
        <w:t>GB/T1.1-20</w:t>
      </w:r>
      <w:r>
        <w:rPr>
          <w:rFonts w:hint="eastAsia"/>
        </w:rPr>
        <w:t>20《标准化工作导则第</w:t>
      </w:r>
      <w:r>
        <w:t>1</w:t>
      </w:r>
      <w:r>
        <w:rPr>
          <w:rFonts w:hint="eastAsia"/>
        </w:rPr>
        <w:t>部分：标准的结构和编写规则》和</w:t>
      </w:r>
      <w:r>
        <w:t>GB/T20001.4-2001</w:t>
      </w:r>
      <w:r>
        <w:rPr>
          <w:rFonts w:hint="eastAsia"/>
        </w:rPr>
        <w:t>《标准编写规则第</w:t>
      </w:r>
      <w:r>
        <w:t>4</w:t>
      </w:r>
      <w:r>
        <w:rPr>
          <w:rFonts w:hint="eastAsia"/>
        </w:rPr>
        <w:t>部分：化学分析方法》</w:t>
      </w:r>
      <w:r>
        <w:rPr>
          <w:rFonts w:ascii="Times New Roman" w:hAnsi="Times New Roman"/>
          <w:szCs w:val="21"/>
        </w:rPr>
        <w:t>的要求进行编写的。编制本标准的目的是以能满足铜冶炼烟尘中</w:t>
      </w:r>
      <w:r>
        <w:rPr>
          <w:rFonts w:hint="eastAsia" w:ascii="Times New Roman" w:hAnsi="Times New Roman"/>
          <w:szCs w:val="21"/>
        </w:rPr>
        <w:t>镉</w:t>
      </w:r>
      <w:r>
        <w:rPr>
          <w:rFonts w:ascii="Times New Roman" w:hAnsi="Times New Roman"/>
          <w:szCs w:val="21"/>
        </w:rPr>
        <w:t>含量的准确快速测定要求为基础。编制本标准的原则是准确、具有一定的先进性和操作简单性。根据国情制订技术规范并力求与国外先进技术接轨。</w:t>
      </w:r>
    </w:p>
    <w:p>
      <w:pPr>
        <w:spacing w:line="360" w:lineRule="auto"/>
        <w:rPr>
          <w:rFonts w:ascii="宋体" w:hAnsi="宋体"/>
          <w:b/>
          <w:sz w:val="24"/>
        </w:rPr>
      </w:pPr>
      <w:r>
        <w:rPr>
          <w:rFonts w:hint="eastAsia" w:ascii="宋体" w:hAnsi="宋体"/>
          <w:b/>
          <w:sz w:val="24"/>
        </w:rPr>
        <w:t>三、标准主要内容的确定依据</w:t>
      </w:r>
    </w:p>
    <w:p>
      <w:pPr>
        <w:rPr>
          <w:rFonts w:ascii="黑体" w:hAnsi="黑体" w:eastAsia="黑体"/>
          <w:szCs w:val="21"/>
        </w:rPr>
      </w:pPr>
      <w:r>
        <w:rPr>
          <w:rFonts w:ascii="黑体" w:hAnsi="黑体" w:eastAsia="黑体"/>
          <w:szCs w:val="21"/>
        </w:rPr>
        <w:t>3.1  测定范围、方法的确定</w:t>
      </w:r>
    </w:p>
    <w:p>
      <w:pPr>
        <w:ind w:firstLine="420" w:firstLineChars="200"/>
        <w:rPr>
          <w:rFonts w:ascii="Times New Roman" w:hAnsi="Times New Roman"/>
          <w:szCs w:val="21"/>
        </w:rPr>
      </w:pPr>
      <w:r>
        <w:rPr>
          <w:rFonts w:ascii="Times New Roman" w:hAnsi="Times New Roman"/>
          <w:szCs w:val="21"/>
        </w:rPr>
        <w:t xml:space="preserve">根据2018年7月在黑龙江哈尔滨召开的《铜冶炼烟尘化学分析方法》行业标准项目制修订工作任务落实会会议精神。铜陵有色金属集团控股有限公司负责承担《铜冶炼烟尘化学分析方法 第7部分：镉量的测定》 方法1 火焰原子吸收光谱法 </w:t>
      </w:r>
      <w:r>
        <w:rPr>
          <w:rFonts w:hint="eastAsia" w:ascii="Times New Roman" w:hAnsi="Times New Roman"/>
          <w:szCs w:val="21"/>
        </w:rPr>
        <w:t>，北矿检测技术有限公司负责承担该标准方法2 容量法</w:t>
      </w:r>
      <w:r>
        <w:rPr>
          <w:rFonts w:ascii="Times New Roman" w:hAnsi="Times New Roman"/>
          <w:szCs w:val="21"/>
        </w:rPr>
        <w:t>起草工作。根据样品测定结果及各单位反馈结果，确定铜冶炼烟尘中镉测定范围为0.020</w:t>
      </w:r>
      <w:r>
        <w:rPr>
          <w:rFonts w:hint="eastAsia" w:ascii="Times New Roman" w:hAnsi="Times New Roman"/>
          <w:szCs w:val="21"/>
        </w:rPr>
        <w:t>%~</w:t>
      </w:r>
      <w:r>
        <w:rPr>
          <w:rFonts w:ascii="Times New Roman" w:hAnsi="Times New Roman"/>
          <w:szCs w:val="21"/>
        </w:rPr>
        <w:t>5.00 %，测定方法为原子吸收光谱法</w:t>
      </w:r>
      <w:r>
        <w:rPr>
          <w:rFonts w:hint="eastAsia" w:ascii="Times New Roman" w:hAnsi="Times New Roman"/>
          <w:szCs w:val="21"/>
        </w:rPr>
        <w:t>；镉测定范围为</w:t>
      </w:r>
      <w:r>
        <w:rPr>
          <w:rFonts w:ascii="Times New Roman" w:hAnsi="Times New Roman"/>
          <w:szCs w:val="21"/>
        </w:rPr>
        <w:t xml:space="preserve"> </w:t>
      </w:r>
      <w:r>
        <w:rPr>
          <w:rFonts w:ascii="Times New Roman" w:hAnsi="Times New Roman"/>
          <w:bCs/>
          <w:szCs w:val="21"/>
        </w:rPr>
        <w:t>5.00</w:t>
      </w:r>
      <w:r>
        <w:rPr>
          <w:rFonts w:hint="eastAsia"/>
          <w:bCs/>
          <w:szCs w:val="21"/>
        </w:rPr>
        <w:t xml:space="preserve"> </w:t>
      </w:r>
      <w:r>
        <w:rPr>
          <w:rFonts w:ascii="Times New Roman" w:hAnsi="Times New Roman"/>
          <w:bCs/>
          <w:szCs w:val="21"/>
        </w:rPr>
        <w:t>%～17.00</w:t>
      </w:r>
      <w:r>
        <w:rPr>
          <w:rFonts w:hint="eastAsia"/>
          <w:bCs/>
          <w:szCs w:val="21"/>
        </w:rPr>
        <w:t xml:space="preserve"> </w:t>
      </w:r>
      <w:r>
        <w:rPr>
          <w:rFonts w:ascii="Times New Roman" w:hAnsi="Times New Roman"/>
          <w:bCs/>
          <w:szCs w:val="21"/>
        </w:rPr>
        <w:t>%</w:t>
      </w:r>
      <w:r>
        <w:rPr>
          <w:rFonts w:hint="eastAsia" w:ascii="Times New Roman" w:hAnsi="Times New Roman"/>
          <w:bCs/>
          <w:szCs w:val="21"/>
        </w:rPr>
        <w:t>，测定方法为容量法。</w:t>
      </w:r>
    </w:p>
    <w:p>
      <w:pPr>
        <w:rPr>
          <w:rFonts w:ascii="黑体" w:hAnsi="黑体" w:eastAsia="黑体"/>
          <w:szCs w:val="21"/>
        </w:rPr>
      </w:pPr>
      <w:r>
        <w:rPr>
          <w:rFonts w:hint="eastAsia" w:ascii="黑体" w:hAnsi="黑体" w:eastAsia="黑体"/>
          <w:szCs w:val="21"/>
        </w:rPr>
        <w:t>3.2</w:t>
      </w:r>
      <w:r>
        <w:rPr>
          <w:rFonts w:ascii="黑体" w:hAnsi="黑体" w:eastAsia="黑体"/>
          <w:szCs w:val="21"/>
        </w:rPr>
        <w:t xml:space="preserve">  方法1</w:t>
      </w:r>
      <w:r>
        <w:rPr>
          <w:rFonts w:hint="eastAsia" w:ascii="黑体" w:hAnsi="黑体" w:eastAsia="黑体"/>
          <w:szCs w:val="21"/>
        </w:rPr>
        <w:t>火焰原子吸收光谱法</w:t>
      </w:r>
    </w:p>
    <w:p>
      <w:pPr>
        <w:rPr>
          <w:rFonts w:ascii="黑体" w:hAnsi="黑体" w:eastAsia="黑体"/>
          <w:szCs w:val="21"/>
        </w:rPr>
      </w:pPr>
      <w:r>
        <w:rPr>
          <w:rFonts w:ascii="黑体" w:hAnsi="黑体" w:eastAsia="黑体"/>
          <w:szCs w:val="21"/>
        </w:rPr>
        <w:t>3.2.1  起草、验证阶段</w:t>
      </w:r>
    </w:p>
    <w:p>
      <w:pPr>
        <w:ind w:firstLine="420" w:firstLineChars="200"/>
        <w:rPr>
          <w:rFonts w:ascii="Times New Roman" w:hAnsi="Times New Roman"/>
          <w:szCs w:val="21"/>
        </w:rPr>
      </w:pPr>
      <w:r>
        <w:rPr>
          <w:rFonts w:ascii="Times New Roman" w:hAnsi="Times New Roman"/>
          <w:szCs w:val="21"/>
        </w:rPr>
        <w:t>我单位进行了仪器工作条件优化、酸度实验、检出限实验、工作曲线特性、干扰试验等条件试验，并配制了5个水平的铜冶炼烟尘样品，完成了精密度试验及加标回收试验。</w:t>
      </w:r>
    </w:p>
    <w:p>
      <w:pPr>
        <w:rPr>
          <w:rFonts w:ascii="黑体" w:hAnsi="黑体" w:eastAsia="黑体"/>
          <w:szCs w:val="21"/>
        </w:rPr>
      </w:pPr>
      <w:r>
        <w:rPr>
          <w:rFonts w:ascii="黑体" w:hAnsi="黑体" w:eastAsia="黑体"/>
          <w:szCs w:val="21"/>
        </w:rPr>
        <w:t>3</w:t>
      </w:r>
      <w:r>
        <w:rPr>
          <w:rFonts w:hint="eastAsia" w:ascii="黑体" w:hAnsi="黑体" w:eastAsia="黑体"/>
          <w:szCs w:val="21"/>
        </w:rPr>
        <w:t>.2.2</w:t>
      </w:r>
      <w:r>
        <w:rPr>
          <w:rFonts w:ascii="黑体" w:hAnsi="黑体" w:eastAsia="黑体"/>
          <w:szCs w:val="21"/>
        </w:rPr>
        <w:t xml:space="preserve">  干扰及消除</w:t>
      </w:r>
    </w:p>
    <w:p>
      <w:pPr>
        <w:ind w:firstLine="420" w:firstLineChars="200"/>
        <w:rPr>
          <w:rFonts w:ascii="Times New Roman" w:hAnsi="Times New Roman"/>
          <w:szCs w:val="21"/>
        </w:rPr>
      </w:pPr>
      <w:r>
        <w:rPr>
          <w:rFonts w:ascii="Times New Roman" w:hAnsi="Times New Roman"/>
          <w:szCs w:val="21"/>
        </w:rPr>
        <w:t>铜冶炼烟尘中除了Si含量较高外，还含有较高Cu、Pb、Zn、Bi、As、Fe、Al、Mg、Sb、Se等，大量的Si在溶样过程中以SiF</w:t>
      </w:r>
      <w:r>
        <w:rPr>
          <w:rFonts w:ascii="Times New Roman" w:hAnsi="Times New Roman"/>
          <w:szCs w:val="21"/>
          <w:vertAlign w:val="subscript"/>
        </w:rPr>
        <w:t>4</w:t>
      </w:r>
      <w:r>
        <w:rPr>
          <w:rFonts w:ascii="Times New Roman" w:hAnsi="Times New Roman"/>
          <w:szCs w:val="21"/>
        </w:rPr>
        <w:t>的形式挥散除去。根据拟定各元素的干扰上限，按本办法最小稀释倍数（0.1g，定容于100mL容量瓶），计算出测定溶液中各元素的干扰量见表1。</w:t>
      </w:r>
    </w:p>
    <w:p>
      <w:pPr>
        <w:spacing w:line="360" w:lineRule="auto"/>
        <w:ind w:firstLine="480"/>
        <w:jc w:val="center"/>
        <w:rPr>
          <w:rFonts w:eastAsia="黑体"/>
        </w:rPr>
      </w:pPr>
      <w:r>
        <w:rPr>
          <w:rFonts w:hint="eastAsia" w:eastAsia="黑体"/>
        </w:rPr>
        <w:t>表1 基体元素含量</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2297"/>
        <w:gridCol w:w="2586"/>
        <w:gridCol w:w="3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9" w:type="pct"/>
            <w:vAlign w:val="center"/>
          </w:tcPr>
          <w:p>
            <w:pPr>
              <w:snapToGrid w:val="0"/>
              <w:spacing w:line="360" w:lineRule="auto"/>
              <w:jc w:val="center"/>
              <w:rPr>
                <w:rFonts w:ascii="黑体" w:hAnsi="黑体" w:eastAsia="黑体" w:cs="黑体"/>
                <w:kern w:val="0"/>
                <w:szCs w:val="21"/>
              </w:rPr>
            </w:pPr>
            <w:r>
              <w:rPr>
                <w:rFonts w:hint="eastAsia" w:ascii="黑体" w:hAnsi="黑体" w:eastAsia="黑体" w:cs="黑体"/>
                <w:kern w:val="0"/>
                <w:szCs w:val="21"/>
              </w:rPr>
              <w:t>序号</w:t>
            </w:r>
          </w:p>
        </w:tc>
        <w:tc>
          <w:tcPr>
            <w:tcW w:w="1153" w:type="pct"/>
            <w:vAlign w:val="center"/>
          </w:tcPr>
          <w:p>
            <w:pPr>
              <w:snapToGrid w:val="0"/>
              <w:spacing w:line="360" w:lineRule="auto"/>
              <w:jc w:val="center"/>
              <w:rPr>
                <w:rFonts w:ascii="黑体" w:hAnsi="黑体" w:eastAsia="黑体" w:cs="黑体"/>
                <w:kern w:val="0"/>
                <w:szCs w:val="21"/>
              </w:rPr>
            </w:pPr>
            <w:r>
              <w:rPr>
                <w:rFonts w:hint="eastAsia" w:ascii="黑体" w:hAnsi="黑体" w:eastAsia="黑体" w:cs="黑体"/>
                <w:kern w:val="0"/>
                <w:szCs w:val="21"/>
              </w:rPr>
              <w:t>干扰元素</w:t>
            </w:r>
          </w:p>
        </w:tc>
        <w:tc>
          <w:tcPr>
            <w:tcW w:w="1298" w:type="pct"/>
            <w:vAlign w:val="center"/>
          </w:tcPr>
          <w:p>
            <w:pPr>
              <w:snapToGrid w:val="0"/>
              <w:spacing w:line="360" w:lineRule="auto"/>
              <w:jc w:val="center"/>
              <w:rPr>
                <w:rFonts w:ascii="黑体" w:hAnsi="黑体" w:eastAsia="黑体" w:cs="黑体"/>
                <w:kern w:val="0"/>
                <w:szCs w:val="21"/>
              </w:rPr>
            </w:pPr>
            <w:r>
              <w:rPr>
                <w:rFonts w:hint="eastAsia" w:ascii="黑体" w:hAnsi="黑体" w:eastAsia="黑体" w:cs="黑体"/>
                <w:kern w:val="0"/>
                <w:szCs w:val="21"/>
              </w:rPr>
              <w:t>拟定干扰上限</w:t>
            </w:r>
          </w:p>
        </w:tc>
        <w:tc>
          <w:tcPr>
            <w:tcW w:w="1780" w:type="pct"/>
            <w:vAlign w:val="center"/>
          </w:tcPr>
          <w:p>
            <w:pPr>
              <w:snapToGrid w:val="0"/>
              <w:spacing w:line="360" w:lineRule="auto"/>
              <w:jc w:val="center"/>
              <w:rPr>
                <w:rFonts w:ascii="黑体" w:hAnsi="黑体" w:eastAsia="黑体" w:cs="黑体"/>
                <w:kern w:val="0"/>
                <w:szCs w:val="21"/>
              </w:rPr>
            </w:pPr>
            <w:r>
              <w:rPr>
                <w:rFonts w:hint="eastAsia" w:ascii="黑体" w:hAnsi="黑体" w:eastAsia="黑体" w:cs="黑体"/>
                <w:kern w:val="0"/>
                <w:szCs w:val="21"/>
              </w:rPr>
              <w:t>测定液中最大干扰量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9"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1</w:t>
            </w:r>
          </w:p>
        </w:tc>
        <w:tc>
          <w:tcPr>
            <w:tcW w:w="1153" w:type="pct"/>
            <w:vAlign w:val="center"/>
          </w:tcPr>
          <w:p>
            <w:pPr>
              <w:snapToGrid w:val="0"/>
              <w:spacing w:line="360" w:lineRule="auto"/>
              <w:jc w:val="center"/>
              <w:rPr>
                <w:rFonts w:ascii="Times New Roman" w:hAnsi="Times New Roman"/>
                <w:kern w:val="0"/>
                <w:szCs w:val="21"/>
              </w:rPr>
            </w:pPr>
            <w:r>
              <w:rPr>
                <w:rFonts w:ascii="Times New Roman" w:hAnsi="Times New Roman"/>
                <w:color w:val="000000"/>
                <w:kern w:val="0"/>
                <w:szCs w:val="21"/>
                <w:lang w:bidi="ar"/>
              </w:rPr>
              <w:t>Cu</w:t>
            </w:r>
          </w:p>
        </w:tc>
        <w:tc>
          <w:tcPr>
            <w:tcW w:w="1298" w:type="pct"/>
            <w:vAlign w:val="center"/>
          </w:tcPr>
          <w:p>
            <w:pPr>
              <w:snapToGrid w:val="0"/>
              <w:spacing w:line="360" w:lineRule="auto"/>
              <w:jc w:val="center"/>
              <w:rPr>
                <w:rFonts w:ascii="Times New Roman" w:hAnsi="Times New Roman"/>
                <w:kern w:val="0"/>
                <w:szCs w:val="21"/>
              </w:rPr>
            </w:pPr>
            <w:r>
              <w:rPr>
                <w:rFonts w:ascii="Times New Roman" w:hAnsi="Times New Roman"/>
                <w:color w:val="000000"/>
                <w:kern w:val="0"/>
                <w:szCs w:val="21"/>
                <w:lang w:bidi="ar"/>
              </w:rPr>
              <w:t>65%</w:t>
            </w:r>
          </w:p>
        </w:tc>
        <w:tc>
          <w:tcPr>
            <w:tcW w:w="1780" w:type="pct"/>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65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9"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2</w:t>
            </w:r>
          </w:p>
        </w:tc>
        <w:tc>
          <w:tcPr>
            <w:tcW w:w="1153" w:type="pct"/>
            <w:vAlign w:val="center"/>
          </w:tcPr>
          <w:p>
            <w:pPr>
              <w:snapToGrid w:val="0"/>
              <w:spacing w:line="360" w:lineRule="auto"/>
              <w:jc w:val="center"/>
              <w:rPr>
                <w:rFonts w:ascii="Times New Roman" w:hAnsi="Times New Roman"/>
                <w:kern w:val="0"/>
                <w:szCs w:val="21"/>
              </w:rPr>
            </w:pPr>
            <w:r>
              <w:rPr>
                <w:rFonts w:ascii="Times New Roman" w:hAnsi="Times New Roman"/>
                <w:color w:val="000000"/>
                <w:kern w:val="0"/>
                <w:szCs w:val="21"/>
                <w:lang w:bidi="ar"/>
              </w:rPr>
              <w:t>Pb</w:t>
            </w:r>
          </w:p>
        </w:tc>
        <w:tc>
          <w:tcPr>
            <w:tcW w:w="1298" w:type="pct"/>
            <w:vAlign w:val="center"/>
          </w:tcPr>
          <w:p>
            <w:pPr>
              <w:snapToGrid w:val="0"/>
              <w:spacing w:line="360" w:lineRule="auto"/>
              <w:jc w:val="center"/>
              <w:rPr>
                <w:rFonts w:ascii="Times New Roman" w:hAnsi="Times New Roman"/>
                <w:kern w:val="0"/>
                <w:szCs w:val="21"/>
              </w:rPr>
            </w:pPr>
            <w:r>
              <w:rPr>
                <w:rFonts w:ascii="Times New Roman" w:hAnsi="Times New Roman"/>
                <w:color w:val="000000"/>
                <w:kern w:val="0"/>
                <w:szCs w:val="21"/>
                <w:lang w:bidi="ar"/>
              </w:rPr>
              <w:t>50%</w:t>
            </w:r>
          </w:p>
        </w:tc>
        <w:tc>
          <w:tcPr>
            <w:tcW w:w="1780" w:type="pct"/>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50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9"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3</w:t>
            </w:r>
          </w:p>
        </w:tc>
        <w:tc>
          <w:tcPr>
            <w:tcW w:w="1153" w:type="pct"/>
            <w:vAlign w:val="center"/>
          </w:tcPr>
          <w:p>
            <w:pPr>
              <w:snapToGrid w:val="0"/>
              <w:spacing w:line="360" w:lineRule="auto"/>
              <w:jc w:val="center"/>
              <w:rPr>
                <w:rFonts w:ascii="Times New Roman" w:hAnsi="Times New Roman"/>
                <w:kern w:val="0"/>
                <w:szCs w:val="21"/>
              </w:rPr>
            </w:pPr>
            <w:r>
              <w:rPr>
                <w:rFonts w:ascii="Times New Roman" w:hAnsi="Times New Roman"/>
                <w:color w:val="000000"/>
                <w:kern w:val="0"/>
                <w:szCs w:val="21"/>
                <w:lang w:bidi="ar"/>
              </w:rPr>
              <w:t>Zn</w:t>
            </w:r>
          </w:p>
        </w:tc>
        <w:tc>
          <w:tcPr>
            <w:tcW w:w="1298" w:type="pct"/>
            <w:vAlign w:val="center"/>
          </w:tcPr>
          <w:p>
            <w:pPr>
              <w:snapToGrid w:val="0"/>
              <w:spacing w:line="360" w:lineRule="auto"/>
              <w:jc w:val="center"/>
              <w:rPr>
                <w:rFonts w:ascii="Times New Roman" w:hAnsi="Times New Roman"/>
                <w:kern w:val="0"/>
                <w:szCs w:val="21"/>
              </w:rPr>
            </w:pPr>
            <w:r>
              <w:rPr>
                <w:rFonts w:ascii="Times New Roman" w:hAnsi="Times New Roman"/>
                <w:color w:val="000000"/>
                <w:kern w:val="0"/>
                <w:szCs w:val="21"/>
                <w:lang w:bidi="ar"/>
              </w:rPr>
              <w:t>25%</w:t>
            </w:r>
          </w:p>
        </w:tc>
        <w:tc>
          <w:tcPr>
            <w:tcW w:w="1780" w:type="pct"/>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25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9"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4</w:t>
            </w:r>
          </w:p>
        </w:tc>
        <w:tc>
          <w:tcPr>
            <w:tcW w:w="1153" w:type="pct"/>
            <w:vAlign w:val="center"/>
          </w:tcPr>
          <w:p>
            <w:pPr>
              <w:snapToGrid w:val="0"/>
              <w:spacing w:line="360" w:lineRule="auto"/>
              <w:jc w:val="center"/>
              <w:rPr>
                <w:rFonts w:ascii="Times New Roman" w:hAnsi="Times New Roman"/>
                <w:kern w:val="0"/>
                <w:szCs w:val="21"/>
              </w:rPr>
            </w:pPr>
            <w:r>
              <w:rPr>
                <w:rFonts w:ascii="Times New Roman" w:hAnsi="Times New Roman"/>
                <w:color w:val="000000"/>
                <w:kern w:val="0"/>
                <w:szCs w:val="21"/>
                <w:lang w:bidi="ar"/>
              </w:rPr>
              <w:t>Bi</w:t>
            </w:r>
          </w:p>
        </w:tc>
        <w:tc>
          <w:tcPr>
            <w:tcW w:w="1298" w:type="pct"/>
            <w:vAlign w:val="center"/>
          </w:tcPr>
          <w:p>
            <w:pPr>
              <w:snapToGrid w:val="0"/>
              <w:spacing w:line="360" w:lineRule="auto"/>
              <w:jc w:val="center"/>
              <w:rPr>
                <w:rFonts w:ascii="Times New Roman" w:hAnsi="Times New Roman"/>
                <w:kern w:val="0"/>
                <w:szCs w:val="21"/>
              </w:rPr>
            </w:pPr>
            <w:r>
              <w:rPr>
                <w:rFonts w:ascii="Times New Roman" w:hAnsi="Times New Roman"/>
                <w:color w:val="000000"/>
                <w:kern w:val="0"/>
                <w:szCs w:val="21"/>
                <w:lang w:bidi="ar"/>
              </w:rPr>
              <w:t>15%</w:t>
            </w:r>
          </w:p>
        </w:tc>
        <w:tc>
          <w:tcPr>
            <w:tcW w:w="1780" w:type="pct"/>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15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9"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5</w:t>
            </w:r>
          </w:p>
        </w:tc>
        <w:tc>
          <w:tcPr>
            <w:tcW w:w="1153" w:type="pct"/>
            <w:vAlign w:val="center"/>
          </w:tcPr>
          <w:p>
            <w:pPr>
              <w:snapToGrid w:val="0"/>
              <w:spacing w:line="360" w:lineRule="auto"/>
              <w:jc w:val="center"/>
              <w:rPr>
                <w:rFonts w:ascii="Times New Roman" w:hAnsi="Times New Roman"/>
                <w:kern w:val="0"/>
                <w:szCs w:val="21"/>
              </w:rPr>
            </w:pPr>
            <w:r>
              <w:rPr>
                <w:rFonts w:ascii="Times New Roman" w:hAnsi="Times New Roman"/>
                <w:color w:val="000000"/>
                <w:kern w:val="0"/>
                <w:szCs w:val="21"/>
                <w:lang w:bidi="ar"/>
              </w:rPr>
              <w:t>As</w:t>
            </w:r>
          </w:p>
        </w:tc>
        <w:tc>
          <w:tcPr>
            <w:tcW w:w="1298" w:type="pct"/>
            <w:vAlign w:val="center"/>
          </w:tcPr>
          <w:p>
            <w:pPr>
              <w:snapToGrid w:val="0"/>
              <w:spacing w:line="360" w:lineRule="auto"/>
              <w:jc w:val="center"/>
              <w:rPr>
                <w:rFonts w:ascii="Times New Roman" w:hAnsi="Times New Roman"/>
                <w:kern w:val="0"/>
                <w:szCs w:val="21"/>
              </w:rPr>
            </w:pPr>
            <w:r>
              <w:rPr>
                <w:rFonts w:ascii="Times New Roman" w:hAnsi="Times New Roman"/>
                <w:color w:val="000000"/>
                <w:kern w:val="0"/>
                <w:szCs w:val="21"/>
                <w:lang w:bidi="ar"/>
              </w:rPr>
              <w:t>25%</w:t>
            </w:r>
          </w:p>
        </w:tc>
        <w:tc>
          <w:tcPr>
            <w:tcW w:w="1780" w:type="pct"/>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25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9"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6</w:t>
            </w:r>
          </w:p>
        </w:tc>
        <w:tc>
          <w:tcPr>
            <w:tcW w:w="1153" w:type="pct"/>
            <w:vAlign w:val="center"/>
          </w:tcPr>
          <w:p>
            <w:pPr>
              <w:snapToGrid w:val="0"/>
              <w:spacing w:line="360" w:lineRule="auto"/>
              <w:jc w:val="center"/>
              <w:rPr>
                <w:rFonts w:ascii="Times New Roman" w:hAnsi="Times New Roman"/>
                <w:kern w:val="0"/>
                <w:szCs w:val="21"/>
              </w:rPr>
            </w:pPr>
            <w:r>
              <w:rPr>
                <w:rFonts w:ascii="Times New Roman" w:hAnsi="Times New Roman"/>
                <w:color w:val="000000"/>
                <w:kern w:val="0"/>
                <w:szCs w:val="21"/>
                <w:lang w:bidi="ar"/>
              </w:rPr>
              <w:t>In</w:t>
            </w:r>
          </w:p>
        </w:tc>
        <w:tc>
          <w:tcPr>
            <w:tcW w:w="1298" w:type="pct"/>
            <w:vAlign w:val="center"/>
          </w:tcPr>
          <w:p>
            <w:pPr>
              <w:snapToGrid w:val="0"/>
              <w:spacing w:line="360" w:lineRule="auto"/>
              <w:jc w:val="center"/>
              <w:rPr>
                <w:rFonts w:ascii="Times New Roman" w:hAnsi="Times New Roman"/>
                <w:kern w:val="0"/>
                <w:szCs w:val="21"/>
              </w:rPr>
            </w:pPr>
            <w:r>
              <w:rPr>
                <w:rFonts w:ascii="Times New Roman" w:hAnsi="Times New Roman"/>
                <w:color w:val="000000"/>
                <w:kern w:val="0"/>
                <w:szCs w:val="21"/>
                <w:lang w:bidi="ar"/>
              </w:rPr>
              <w:t>1000 g/t</w:t>
            </w:r>
          </w:p>
        </w:tc>
        <w:tc>
          <w:tcPr>
            <w:tcW w:w="1780" w:type="pct"/>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0.1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9"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7</w:t>
            </w:r>
          </w:p>
        </w:tc>
        <w:tc>
          <w:tcPr>
            <w:tcW w:w="1153" w:type="pct"/>
            <w:vAlign w:val="center"/>
          </w:tcPr>
          <w:p>
            <w:pPr>
              <w:snapToGrid w:val="0"/>
              <w:spacing w:line="360" w:lineRule="auto"/>
              <w:jc w:val="center"/>
              <w:rPr>
                <w:rFonts w:ascii="Times New Roman" w:hAnsi="Times New Roman"/>
                <w:kern w:val="0"/>
                <w:szCs w:val="21"/>
              </w:rPr>
            </w:pPr>
            <w:r>
              <w:rPr>
                <w:rFonts w:ascii="Times New Roman" w:hAnsi="Times New Roman"/>
                <w:color w:val="000000"/>
                <w:kern w:val="0"/>
                <w:szCs w:val="21"/>
                <w:lang w:bidi="ar"/>
              </w:rPr>
              <w:t>Sb</w:t>
            </w:r>
          </w:p>
        </w:tc>
        <w:tc>
          <w:tcPr>
            <w:tcW w:w="1298" w:type="pct"/>
            <w:vAlign w:val="center"/>
          </w:tcPr>
          <w:p>
            <w:pPr>
              <w:snapToGrid w:val="0"/>
              <w:spacing w:line="360" w:lineRule="auto"/>
              <w:jc w:val="center"/>
              <w:rPr>
                <w:rFonts w:ascii="Times New Roman" w:hAnsi="Times New Roman"/>
                <w:kern w:val="0"/>
                <w:szCs w:val="21"/>
              </w:rPr>
            </w:pPr>
            <w:r>
              <w:rPr>
                <w:rFonts w:ascii="Times New Roman" w:hAnsi="Times New Roman"/>
                <w:color w:val="000000"/>
                <w:kern w:val="0"/>
                <w:szCs w:val="21"/>
                <w:lang w:bidi="ar"/>
              </w:rPr>
              <w:t>5%</w:t>
            </w:r>
          </w:p>
        </w:tc>
        <w:tc>
          <w:tcPr>
            <w:tcW w:w="1780" w:type="pct"/>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9"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8</w:t>
            </w:r>
          </w:p>
        </w:tc>
        <w:tc>
          <w:tcPr>
            <w:tcW w:w="1153" w:type="pct"/>
            <w:vAlign w:val="center"/>
          </w:tcPr>
          <w:p>
            <w:pPr>
              <w:snapToGrid w:val="0"/>
              <w:spacing w:line="360" w:lineRule="auto"/>
              <w:jc w:val="center"/>
              <w:rPr>
                <w:rFonts w:ascii="Times New Roman" w:hAnsi="Times New Roman"/>
                <w:kern w:val="0"/>
                <w:szCs w:val="21"/>
              </w:rPr>
            </w:pPr>
            <w:r>
              <w:rPr>
                <w:rFonts w:ascii="Times New Roman" w:hAnsi="Times New Roman"/>
                <w:color w:val="000000"/>
                <w:kern w:val="0"/>
                <w:szCs w:val="21"/>
                <w:lang w:bidi="ar"/>
              </w:rPr>
              <w:t>Au</w:t>
            </w:r>
          </w:p>
        </w:tc>
        <w:tc>
          <w:tcPr>
            <w:tcW w:w="1298" w:type="pct"/>
            <w:vAlign w:val="center"/>
          </w:tcPr>
          <w:p>
            <w:pPr>
              <w:snapToGrid w:val="0"/>
              <w:spacing w:line="360" w:lineRule="auto"/>
              <w:jc w:val="center"/>
              <w:rPr>
                <w:rFonts w:ascii="Times New Roman" w:hAnsi="Times New Roman"/>
                <w:kern w:val="0"/>
                <w:szCs w:val="21"/>
              </w:rPr>
            </w:pPr>
            <w:r>
              <w:rPr>
                <w:rFonts w:ascii="Times New Roman" w:hAnsi="Times New Roman"/>
                <w:color w:val="000000"/>
                <w:kern w:val="0"/>
                <w:szCs w:val="21"/>
                <w:lang w:bidi="ar"/>
              </w:rPr>
              <w:t>50 g/t</w:t>
            </w:r>
          </w:p>
        </w:tc>
        <w:tc>
          <w:tcPr>
            <w:tcW w:w="1780" w:type="pct"/>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5 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9"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9</w:t>
            </w:r>
          </w:p>
        </w:tc>
        <w:tc>
          <w:tcPr>
            <w:tcW w:w="1153" w:type="pct"/>
            <w:vAlign w:val="center"/>
          </w:tcPr>
          <w:p>
            <w:pPr>
              <w:snapToGrid w:val="0"/>
              <w:spacing w:line="360" w:lineRule="auto"/>
              <w:jc w:val="center"/>
              <w:rPr>
                <w:rFonts w:ascii="Times New Roman" w:hAnsi="Times New Roman"/>
                <w:kern w:val="0"/>
                <w:szCs w:val="21"/>
              </w:rPr>
            </w:pPr>
            <w:r>
              <w:rPr>
                <w:rFonts w:ascii="Times New Roman" w:hAnsi="Times New Roman"/>
                <w:color w:val="000000"/>
                <w:kern w:val="0"/>
                <w:szCs w:val="21"/>
                <w:lang w:bidi="ar"/>
              </w:rPr>
              <w:t>Ag</w:t>
            </w:r>
          </w:p>
        </w:tc>
        <w:tc>
          <w:tcPr>
            <w:tcW w:w="1298" w:type="pct"/>
            <w:vAlign w:val="center"/>
          </w:tcPr>
          <w:p>
            <w:pPr>
              <w:snapToGrid w:val="0"/>
              <w:spacing w:line="360" w:lineRule="auto"/>
              <w:jc w:val="center"/>
              <w:rPr>
                <w:rFonts w:ascii="Times New Roman" w:hAnsi="Times New Roman"/>
                <w:kern w:val="0"/>
                <w:szCs w:val="21"/>
              </w:rPr>
            </w:pPr>
            <w:r>
              <w:rPr>
                <w:rFonts w:ascii="Times New Roman" w:hAnsi="Times New Roman"/>
                <w:color w:val="000000"/>
                <w:kern w:val="0"/>
                <w:szCs w:val="21"/>
                <w:lang w:bidi="ar"/>
              </w:rPr>
              <w:t>1500 g/t</w:t>
            </w:r>
          </w:p>
        </w:tc>
        <w:tc>
          <w:tcPr>
            <w:tcW w:w="1780" w:type="pct"/>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0.15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9"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10</w:t>
            </w:r>
          </w:p>
        </w:tc>
        <w:tc>
          <w:tcPr>
            <w:tcW w:w="1153" w:type="pct"/>
            <w:vAlign w:val="center"/>
          </w:tcPr>
          <w:p>
            <w:pPr>
              <w:snapToGrid w:val="0"/>
              <w:spacing w:line="360" w:lineRule="auto"/>
              <w:jc w:val="center"/>
              <w:rPr>
                <w:rFonts w:ascii="Times New Roman" w:hAnsi="Times New Roman"/>
                <w:kern w:val="0"/>
                <w:szCs w:val="21"/>
              </w:rPr>
            </w:pPr>
            <w:r>
              <w:rPr>
                <w:rFonts w:ascii="Times New Roman" w:hAnsi="Times New Roman"/>
                <w:color w:val="000000"/>
                <w:kern w:val="0"/>
                <w:szCs w:val="21"/>
                <w:lang w:bidi="ar"/>
              </w:rPr>
              <w:t>Fe</w:t>
            </w:r>
          </w:p>
        </w:tc>
        <w:tc>
          <w:tcPr>
            <w:tcW w:w="1298" w:type="pct"/>
            <w:vAlign w:val="center"/>
          </w:tcPr>
          <w:p>
            <w:pPr>
              <w:snapToGrid w:val="0"/>
              <w:spacing w:line="360" w:lineRule="auto"/>
              <w:jc w:val="center"/>
              <w:rPr>
                <w:rFonts w:ascii="Times New Roman" w:hAnsi="Times New Roman"/>
                <w:kern w:val="0"/>
                <w:szCs w:val="21"/>
              </w:rPr>
            </w:pPr>
            <w:r>
              <w:rPr>
                <w:rFonts w:ascii="Times New Roman" w:hAnsi="Times New Roman"/>
                <w:color w:val="000000"/>
                <w:kern w:val="0"/>
                <w:szCs w:val="21"/>
                <w:lang w:bidi="ar"/>
              </w:rPr>
              <w:t>22%</w:t>
            </w:r>
          </w:p>
        </w:tc>
        <w:tc>
          <w:tcPr>
            <w:tcW w:w="1780" w:type="pct"/>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22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9"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11</w:t>
            </w:r>
          </w:p>
        </w:tc>
        <w:tc>
          <w:tcPr>
            <w:tcW w:w="1153"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Al</w:t>
            </w:r>
            <w:r>
              <w:rPr>
                <w:rFonts w:ascii="Times New Roman" w:hAnsi="Times New Roman"/>
                <w:color w:val="000000"/>
                <w:kern w:val="0"/>
                <w:szCs w:val="21"/>
                <w:vertAlign w:val="subscript"/>
                <w:lang w:bidi="ar"/>
              </w:rPr>
              <w:t>2</w:t>
            </w:r>
            <w:r>
              <w:rPr>
                <w:rFonts w:ascii="Times New Roman" w:hAnsi="Times New Roman"/>
                <w:color w:val="000000"/>
                <w:kern w:val="0"/>
                <w:szCs w:val="21"/>
                <w:lang w:bidi="ar"/>
              </w:rPr>
              <w:t>O</w:t>
            </w:r>
            <w:r>
              <w:rPr>
                <w:rFonts w:ascii="Times New Roman" w:hAnsi="Times New Roman"/>
                <w:color w:val="000000"/>
                <w:kern w:val="0"/>
                <w:szCs w:val="21"/>
                <w:vertAlign w:val="subscript"/>
                <w:lang w:bidi="ar"/>
              </w:rPr>
              <w:t>3</w:t>
            </w:r>
          </w:p>
        </w:tc>
        <w:tc>
          <w:tcPr>
            <w:tcW w:w="1298"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3%</w:t>
            </w:r>
          </w:p>
        </w:tc>
        <w:tc>
          <w:tcPr>
            <w:tcW w:w="1780" w:type="pct"/>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3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9"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12</w:t>
            </w:r>
          </w:p>
        </w:tc>
        <w:tc>
          <w:tcPr>
            <w:tcW w:w="1153"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SiO</w:t>
            </w:r>
            <w:r>
              <w:rPr>
                <w:rFonts w:ascii="Times New Roman" w:hAnsi="Times New Roman"/>
                <w:color w:val="000000"/>
                <w:kern w:val="0"/>
                <w:szCs w:val="21"/>
                <w:vertAlign w:val="subscript"/>
                <w:lang w:bidi="ar"/>
              </w:rPr>
              <w:t>2</w:t>
            </w:r>
          </w:p>
        </w:tc>
        <w:tc>
          <w:tcPr>
            <w:tcW w:w="1298"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20%</w:t>
            </w:r>
          </w:p>
        </w:tc>
        <w:tc>
          <w:tcPr>
            <w:tcW w:w="1780" w:type="pct"/>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20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9"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13</w:t>
            </w:r>
          </w:p>
        </w:tc>
        <w:tc>
          <w:tcPr>
            <w:tcW w:w="1153"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Ca</w:t>
            </w:r>
          </w:p>
        </w:tc>
        <w:tc>
          <w:tcPr>
            <w:tcW w:w="1298"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1.50%</w:t>
            </w:r>
          </w:p>
        </w:tc>
        <w:tc>
          <w:tcPr>
            <w:tcW w:w="1780" w:type="pct"/>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1.5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9"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14</w:t>
            </w:r>
          </w:p>
        </w:tc>
        <w:tc>
          <w:tcPr>
            <w:tcW w:w="1153"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Mg</w:t>
            </w:r>
          </w:p>
        </w:tc>
        <w:tc>
          <w:tcPr>
            <w:tcW w:w="1298"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1%</w:t>
            </w:r>
          </w:p>
        </w:tc>
        <w:tc>
          <w:tcPr>
            <w:tcW w:w="1780" w:type="pct"/>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1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9"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15</w:t>
            </w:r>
          </w:p>
        </w:tc>
        <w:tc>
          <w:tcPr>
            <w:tcW w:w="1153"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Sn</w:t>
            </w:r>
          </w:p>
        </w:tc>
        <w:tc>
          <w:tcPr>
            <w:tcW w:w="1298"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3%</w:t>
            </w:r>
          </w:p>
        </w:tc>
        <w:tc>
          <w:tcPr>
            <w:tcW w:w="1780" w:type="pct"/>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3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9"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16</w:t>
            </w:r>
          </w:p>
        </w:tc>
        <w:tc>
          <w:tcPr>
            <w:tcW w:w="1153"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Se</w:t>
            </w:r>
          </w:p>
        </w:tc>
        <w:tc>
          <w:tcPr>
            <w:tcW w:w="1298"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1%</w:t>
            </w:r>
          </w:p>
        </w:tc>
        <w:tc>
          <w:tcPr>
            <w:tcW w:w="1780" w:type="pct"/>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1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69"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17</w:t>
            </w:r>
          </w:p>
        </w:tc>
        <w:tc>
          <w:tcPr>
            <w:tcW w:w="1153"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Te</w:t>
            </w:r>
          </w:p>
        </w:tc>
        <w:tc>
          <w:tcPr>
            <w:tcW w:w="1298" w:type="pct"/>
            <w:vAlign w:val="center"/>
          </w:tcPr>
          <w:p>
            <w:pPr>
              <w:snapToGrid w:val="0"/>
              <w:spacing w:line="360" w:lineRule="auto"/>
              <w:jc w:val="center"/>
              <w:rPr>
                <w:rFonts w:ascii="Times New Roman" w:hAnsi="Times New Roman"/>
                <w:color w:val="000000"/>
                <w:kern w:val="0"/>
                <w:szCs w:val="21"/>
                <w:lang w:bidi="ar"/>
              </w:rPr>
            </w:pPr>
            <w:r>
              <w:rPr>
                <w:rFonts w:ascii="Times New Roman" w:hAnsi="Times New Roman"/>
                <w:color w:val="000000"/>
                <w:kern w:val="0"/>
                <w:szCs w:val="21"/>
                <w:lang w:bidi="ar"/>
              </w:rPr>
              <w:t>0.10%</w:t>
            </w:r>
          </w:p>
        </w:tc>
        <w:tc>
          <w:tcPr>
            <w:tcW w:w="1780" w:type="pct"/>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0.1 mg</w:t>
            </w:r>
          </w:p>
        </w:tc>
      </w:tr>
    </w:tbl>
    <w:p>
      <w:pPr>
        <w:spacing w:line="600" w:lineRule="auto"/>
        <w:ind w:firstLine="480"/>
        <w:jc w:val="center"/>
        <w:rPr>
          <w:rFonts w:eastAsia="黑体"/>
        </w:rPr>
      </w:pPr>
      <w:r>
        <w:rPr>
          <w:rFonts w:hint="eastAsia" w:eastAsia="黑体"/>
        </w:rPr>
        <w:t>表2  共存元素对镉的测定影响</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0"/>
        <w:gridCol w:w="2162"/>
        <w:gridCol w:w="298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4" w:type="pct"/>
            <w:shd w:val="clear" w:color="auto" w:fill="auto"/>
            <w:vAlign w:val="center"/>
          </w:tcPr>
          <w:p>
            <w:pPr>
              <w:jc w:val="center"/>
              <w:rPr>
                <w:rFonts w:ascii="Times New Roman" w:hAnsi="Times New Roman" w:eastAsia="黑体"/>
                <w:szCs w:val="21"/>
              </w:rPr>
            </w:pPr>
            <w:r>
              <w:rPr>
                <w:rFonts w:ascii="Times New Roman" w:hAnsi="Times New Roman" w:eastAsia="黑体"/>
                <w:szCs w:val="21"/>
              </w:rPr>
              <w:t>共存元素</w:t>
            </w:r>
          </w:p>
        </w:tc>
        <w:tc>
          <w:tcPr>
            <w:tcW w:w="1085" w:type="pct"/>
            <w:shd w:val="clear" w:color="auto" w:fill="auto"/>
            <w:vAlign w:val="center"/>
          </w:tcPr>
          <w:p>
            <w:pPr>
              <w:jc w:val="center"/>
              <w:rPr>
                <w:rFonts w:ascii="Times New Roman" w:hAnsi="Times New Roman" w:eastAsia="黑体"/>
                <w:szCs w:val="21"/>
              </w:rPr>
            </w:pPr>
            <w:r>
              <w:rPr>
                <w:rFonts w:ascii="Times New Roman" w:hAnsi="Times New Roman" w:eastAsia="黑体"/>
                <w:szCs w:val="21"/>
              </w:rPr>
              <w:t>共存元素加入量</w:t>
            </w:r>
          </w:p>
        </w:tc>
        <w:tc>
          <w:tcPr>
            <w:tcW w:w="1497" w:type="pct"/>
            <w:shd w:val="clear" w:color="auto" w:fill="auto"/>
            <w:vAlign w:val="center"/>
          </w:tcPr>
          <w:p>
            <w:pPr>
              <w:jc w:val="center"/>
              <w:rPr>
                <w:rFonts w:ascii="Times New Roman" w:hAnsi="Times New Roman" w:eastAsia="黑体"/>
                <w:szCs w:val="21"/>
              </w:rPr>
            </w:pPr>
            <w:r>
              <w:rPr>
                <w:rFonts w:ascii="Times New Roman" w:hAnsi="Times New Roman" w:eastAsia="黑体"/>
                <w:szCs w:val="21"/>
              </w:rPr>
              <w:t>0.20μg/mL镉标液镉量，A</w:t>
            </w:r>
          </w:p>
        </w:tc>
        <w:tc>
          <w:tcPr>
            <w:tcW w:w="1494" w:type="pct"/>
            <w:vAlign w:val="center"/>
          </w:tcPr>
          <w:p>
            <w:pPr>
              <w:jc w:val="center"/>
              <w:rPr>
                <w:rFonts w:ascii="Times New Roman" w:hAnsi="Times New Roman" w:eastAsia="黑体"/>
                <w:szCs w:val="21"/>
              </w:rPr>
            </w:pPr>
            <w:r>
              <w:rPr>
                <w:rFonts w:ascii="Times New Roman" w:hAnsi="Times New Roman" w:eastAsia="黑体"/>
                <w:szCs w:val="21"/>
              </w:rPr>
              <w:t>0.80μg/mL镉标液镉量，A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4" w:type="pct"/>
            <w:shd w:val="clear" w:color="auto" w:fill="auto"/>
            <w:vAlign w:val="center"/>
          </w:tcPr>
          <w:p>
            <w:pPr>
              <w:jc w:val="center"/>
              <w:rPr>
                <w:rFonts w:ascii="Times New Roman" w:hAnsi="Times New Roman"/>
                <w:szCs w:val="21"/>
              </w:rPr>
            </w:pPr>
            <w:r>
              <w:rPr>
                <w:rFonts w:ascii="Times New Roman" w:hAnsi="Times New Roman"/>
                <w:szCs w:val="21"/>
              </w:rPr>
              <w:t>不加干扰元素</w:t>
            </w:r>
          </w:p>
        </w:tc>
        <w:tc>
          <w:tcPr>
            <w:tcW w:w="1085" w:type="pct"/>
            <w:shd w:val="clear" w:color="auto" w:fill="auto"/>
            <w:vAlign w:val="center"/>
          </w:tcPr>
          <w:p>
            <w:pPr>
              <w:jc w:val="center"/>
              <w:rPr>
                <w:rFonts w:ascii="Times New Roman" w:hAnsi="Times New Roman"/>
                <w:szCs w:val="21"/>
              </w:rPr>
            </w:pPr>
            <w:r>
              <w:rPr>
                <w:rFonts w:ascii="Times New Roman" w:hAnsi="Times New Roman"/>
                <w:szCs w:val="21"/>
              </w:rPr>
              <w:t>——</w:t>
            </w:r>
          </w:p>
        </w:tc>
        <w:tc>
          <w:tcPr>
            <w:tcW w:w="1497" w:type="pct"/>
            <w:shd w:val="clear" w:color="auto" w:fill="auto"/>
            <w:vAlign w:val="center"/>
          </w:tcPr>
          <w:p>
            <w:pPr>
              <w:jc w:val="center"/>
              <w:rPr>
                <w:rFonts w:ascii="Times New Roman" w:hAnsi="Times New Roman"/>
                <w:szCs w:val="21"/>
              </w:rPr>
            </w:pPr>
            <w:r>
              <w:rPr>
                <w:rFonts w:ascii="Times New Roman" w:hAnsi="Times New Roman"/>
                <w:szCs w:val="21"/>
              </w:rPr>
              <w:t>0.0709</w:t>
            </w:r>
          </w:p>
        </w:tc>
        <w:tc>
          <w:tcPr>
            <w:tcW w:w="1494" w:type="pct"/>
            <w:vAlign w:val="center"/>
          </w:tcPr>
          <w:p>
            <w:pPr>
              <w:jc w:val="center"/>
              <w:rPr>
                <w:rFonts w:ascii="Times New Roman" w:hAnsi="Times New Roman"/>
                <w:szCs w:val="21"/>
              </w:rPr>
            </w:pPr>
            <w:r>
              <w:rPr>
                <w:rFonts w:ascii="Times New Roman" w:hAnsi="Times New Roman"/>
                <w:szCs w:val="21"/>
              </w:rPr>
              <w:t>0.2835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4"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lang w:bidi="ar"/>
              </w:rPr>
              <w:t>Cu</w:t>
            </w:r>
          </w:p>
        </w:tc>
        <w:tc>
          <w:tcPr>
            <w:tcW w:w="1085"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rPr>
              <w:t>65 mg</w:t>
            </w:r>
          </w:p>
        </w:tc>
        <w:tc>
          <w:tcPr>
            <w:tcW w:w="1497" w:type="pct"/>
            <w:shd w:val="clear" w:color="auto" w:fill="auto"/>
            <w:vAlign w:val="center"/>
          </w:tcPr>
          <w:p>
            <w:pPr>
              <w:jc w:val="center"/>
              <w:rPr>
                <w:rFonts w:ascii="Times New Roman" w:hAnsi="Times New Roman"/>
                <w:szCs w:val="21"/>
              </w:rPr>
            </w:pPr>
            <w:r>
              <w:rPr>
                <w:rFonts w:ascii="Times New Roman" w:hAnsi="Times New Roman"/>
                <w:szCs w:val="21"/>
              </w:rPr>
              <w:t>0.0701</w:t>
            </w:r>
          </w:p>
        </w:tc>
        <w:tc>
          <w:tcPr>
            <w:tcW w:w="1494" w:type="pct"/>
            <w:vAlign w:val="center"/>
          </w:tcPr>
          <w:p>
            <w:pPr>
              <w:jc w:val="center"/>
              <w:rPr>
                <w:rFonts w:ascii="Times New Roman" w:hAnsi="Times New Roman"/>
                <w:szCs w:val="21"/>
              </w:rPr>
            </w:pPr>
            <w:r>
              <w:rPr>
                <w:rFonts w:ascii="Times New Roman" w:hAnsi="Times New Roman"/>
                <w:szCs w:val="21"/>
              </w:rPr>
              <w:t>0.2819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4"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lang w:bidi="ar"/>
              </w:rPr>
              <w:t>Pb</w:t>
            </w:r>
          </w:p>
        </w:tc>
        <w:tc>
          <w:tcPr>
            <w:tcW w:w="1085"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rPr>
              <w:t>50 mg</w:t>
            </w:r>
          </w:p>
        </w:tc>
        <w:tc>
          <w:tcPr>
            <w:tcW w:w="1497" w:type="pct"/>
            <w:shd w:val="clear" w:color="auto" w:fill="auto"/>
            <w:vAlign w:val="center"/>
          </w:tcPr>
          <w:p>
            <w:pPr>
              <w:jc w:val="center"/>
              <w:rPr>
                <w:rFonts w:ascii="Times New Roman" w:hAnsi="Times New Roman"/>
                <w:szCs w:val="21"/>
              </w:rPr>
            </w:pPr>
            <w:r>
              <w:rPr>
                <w:rFonts w:ascii="Times New Roman" w:hAnsi="Times New Roman"/>
                <w:szCs w:val="21"/>
              </w:rPr>
              <w:t>0.0703</w:t>
            </w:r>
          </w:p>
        </w:tc>
        <w:tc>
          <w:tcPr>
            <w:tcW w:w="1494" w:type="pct"/>
            <w:vAlign w:val="center"/>
          </w:tcPr>
          <w:p>
            <w:pPr>
              <w:jc w:val="center"/>
              <w:rPr>
                <w:rFonts w:ascii="Times New Roman" w:hAnsi="Times New Roman"/>
                <w:szCs w:val="21"/>
              </w:rPr>
            </w:pPr>
            <w:r>
              <w:rPr>
                <w:rFonts w:ascii="Times New Roman" w:hAnsi="Times New Roman"/>
                <w:szCs w:val="21"/>
              </w:rPr>
              <w:t>0.2822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4"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lang w:bidi="ar"/>
              </w:rPr>
              <w:t>Zn</w:t>
            </w:r>
          </w:p>
        </w:tc>
        <w:tc>
          <w:tcPr>
            <w:tcW w:w="1085"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rPr>
              <w:t>25 mg</w:t>
            </w:r>
          </w:p>
        </w:tc>
        <w:tc>
          <w:tcPr>
            <w:tcW w:w="1497" w:type="pct"/>
            <w:shd w:val="clear" w:color="auto" w:fill="auto"/>
            <w:vAlign w:val="center"/>
          </w:tcPr>
          <w:p>
            <w:pPr>
              <w:jc w:val="center"/>
              <w:rPr>
                <w:rFonts w:ascii="Times New Roman" w:hAnsi="Times New Roman"/>
                <w:szCs w:val="21"/>
              </w:rPr>
            </w:pPr>
            <w:r>
              <w:rPr>
                <w:rFonts w:ascii="Times New Roman" w:hAnsi="Times New Roman"/>
                <w:szCs w:val="21"/>
              </w:rPr>
              <w:t>0.0699</w:t>
            </w:r>
          </w:p>
        </w:tc>
        <w:tc>
          <w:tcPr>
            <w:tcW w:w="1494" w:type="pct"/>
            <w:vAlign w:val="center"/>
          </w:tcPr>
          <w:p>
            <w:pPr>
              <w:jc w:val="center"/>
              <w:rPr>
                <w:rFonts w:ascii="Times New Roman" w:hAnsi="Times New Roman"/>
                <w:szCs w:val="21"/>
              </w:rPr>
            </w:pPr>
            <w:r>
              <w:rPr>
                <w:rFonts w:ascii="Times New Roman" w:hAnsi="Times New Roman"/>
                <w:szCs w:val="21"/>
              </w:rPr>
              <w:t>0.2829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4"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lang w:bidi="ar"/>
              </w:rPr>
              <w:t>Bi</w:t>
            </w:r>
          </w:p>
        </w:tc>
        <w:tc>
          <w:tcPr>
            <w:tcW w:w="1085"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rPr>
              <w:t>15 mg</w:t>
            </w:r>
          </w:p>
        </w:tc>
        <w:tc>
          <w:tcPr>
            <w:tcW w:w="1497" w:type="pct"/>
            <w:shd w:val="clear" w:color="auto" w:fill="auto"/>
            <w:vAlign w:val="center"/>
          </w:tcPr>
          <w:p>
            <w:pPr>
              <w:jc w:val="center"/>
              <w:rPr>
                <w:rFonts w:ascii="Times New Roman" w:hAnsi="Times New Roman"/>
                <w:szCs w:val="21"/>
              </w:rPr>
            </w:pPr>
            <w:r>
              <w:rPr>
                <w:rFonts w:ascii="Times New Roman" w:hAnsi="Times New Roman"/>
                <w:szCs w:val="21"/>
              </w:rPr>
              <w:t>0.0705</w:t>
            </w:r>
          </w:p>
        </w:tc>
        <w:tc>
          <w:tcPr>
            <w:tcW w:w="1494" w:type="pct"/>
            <w:vAlign w:val="center"/>
          </w:tcPr>
          <w:p>
            <w:pPr>
              <w:jc w:val="center"/>
              <w:rPr>
                <w:rFonts w:ascii="Times New Roman" w:hAnsi="Times New Roman"/>
                <w:szCs w:val="21"/>
              </w:rPr>
            </w:pPr>
            <w:r>
              <w:rPr>
                <w:rFonts w:ascii="Times New Roman" w:hAnsi="Times New Roman"/>
                <w:szCs w:val="21"/>
              </w:rPr>
              <w:t>0.2830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4"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lang w:bidi="ar"/>
              </w:rPr>
              <w:t>As</w:t>
            </w:r>
          </w:p>
        </w:tc>
        <w:tc>
          <w:tcPr>
            <w:tcW w:w="1085"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rPr>
              <w:t>25 mg</w:t>
            </w:r>
          </w:p>
        </w:tc>
        <w:tc>
          <w:tcPr>
            <w:tcW w:w="1497" w:type="pct"/>
            <w:shd w:val="clear" w:color="auto" w:fill="auto"/>
            <w:vAlign w:val="center"/>
          </w:tcPr>
          <w:p>
            <w:pPr>
              <w:jc w:val="center"/>
              <w:rPr>
                <w:rFonts w:ascii="Times New Roman" w:hAnsi="Times New Roman"/>
                <w:szCs w:val="21"/>
              </w:rPr>
            </w:pPr>
            <w:r>
              <w:rPr>
                <w:rFonts w:ascii="Times New Roman" w:hAnsi="Times New Roman"/>
                <w:szCs w:val="21"/>
              </w:rPr>
              <w:t>0.0708</w:t>
            </w:r>
          </w:p>
        </w:tc>
        <w:tc>
          <w:tcPr>
            <w:tcW w:w="1494" w:type="pct"/>
            <w:vAlign w:val="center"/>
          </w:tcPr>
          <w:p>
            <w:pPr>
              <w:jc w:val="center"/>
              <w:rPr>
                <w:rFonts w:ascii="Times New Roman" w:hAnsi="Times New Roman"/>
                <w:szCs w:val="21"/>
              </w:rPr>
            </w:pPr>
            <w:r>
              <w:rPr>
                <w:rFonts w:ascii="Times New Roman" w:hAnsi="Times New Roman"/>
                <w:szCs w:val="21"/>
              </w:rPr>
              <w:t>0.2782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4"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lang w:bidi="ar"/>
              </w:rPr>
              <w:t>In</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rPr>
              <w:t>0.1 mg</w:t>
            </w:r>
          </w:p>
        </w:tc>
        <w:tc>
          <w:tcPr>
            <w:tcW w:w="149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Times New Roman"/>
                <w:szCs w:val="21"/>
              </w:rPr>
              <w:t>0.0707</w:t>
            </w:r>
          </w:p>
        </w:tc>
        <w:tc>
          <w:tcPr>
            <w:tcW w:w="14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0.2800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4"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lang w:bidi="ar"/>
              </w:rPr>
              <w:t>Sb</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rPr>
              <w:t>5 mg</w:t>
            </w:r>
          </w:p>
        </w:tc>
        <w:tc>
          <w:tcPr>
            <w:tcW w:w="149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Times New Roman"/>
                <w:szCs w:val="21"/>
              </w:rPr>
              <w:t>0.0709</w:t>
            </w:r>
          </w:p>
        </w:tc>
        <w:tc>
          <w:tcPr>
            <w:tcW w:w="14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0.2796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4"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lang w:bidi="ar"/>
              </w:rPr>
              <w:t>Au</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rPr>
              <w:t>5 ug</w:t>
            </w:r>
          </w:p>
        </w:tc>
        <w:tc>
          <w:tcPr>
            <w:tcW w:w="149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Times New Roman"/>
                <w:szCs w:val="21"/>
              </w:rPr>
              <w:t>0.0710</w:t>
            </w:r>
          </w:p>
        </w:tc>
        <w:tc>
          <w:tcPr>
            <w:tcW w:w="14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0.2798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4"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lang w:bidi="ar"/>
              </w:rPr>
              <w:t>Ag</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rPr>
              <w:t>0.15 mg</w:t>
            </w:r>
          </w:p>
        </w:tc>
        <w:tc>
          <w:tcPr>
            <w:tcW w:w="149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Times New Roman"/>
                <w:szCs w:val="21"/>
              </w:rPr>
              <w:t>0.0700</w:t>
            </w:r>
          </w:p>
        </w:tc>
        <w:tc>
          <w:tcPr>
            <w:tcW w:w="14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0.2795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4"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lang w:bidi="ar"/>
              </w:rPr>
              <w:t>Fe</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rPr>
              <w:t>22 mg</w:t>
            </w:r>
          </w:p>
        </w:tc>
        <w:tc>
          <w:tcPr>
            <w:tcW w:w="149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Times New Roman"/>
                <w:szCs w:val="21"/>
              </w:rPr>
              <w:t>0.0705</w:t>
            </w:r>
          </w:p>
        </w:tc>
        <w:tc>
          <w:tcPr>
            <w:tcW w:w="14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0.2799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4"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lang w:bidi="ar"/>
              </w:rPr>
              <w:t>Al</w:t>
            </w:r>
            <w:r>
              <w:rPr>
                <w:rFonts w:ascii="Times New Roman" w:hAnsi="Times New Roman"/>
                <w:kern w:val="0"/>
                <w:szCs w:val="21"/>
                <w:vertAlign w:val="subscript"/>
                <w:lang w:bidi="ar"/>
              </w:rPr>
              <w:t>2</w:t>
            </w:r>
            <w:r>
              <w:rPr>
                <w:rFonts w:ascii="Times New Roman" w:hAnsi="Times New Roman"/>
                <w:kern w:val="0"/>
                <w:szCs w:val="21"/>
                <w:lang w:bidi="ar"/>
              </w:rPr>
              <w:t>O</w:t>
            </w:r>
            <w:r>
              <w:rPr>
                <w:rFonts w:ascii="Times New Roman" w:hAnsi="Times New Roman"/>
                <w:kern w:val="0"/>
                <w:szCs w:val="21"/>
                <w:vertAlign w:val="subscript"/>
                <w:lang w:bidi="ar"/>
              </w:rPr>
              <w:t>3</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rPr>
              <w:t>3 mg</w:t>
            </w:r>
          </w:p>
        </w:tc>
        <w:tc>
          <w:tcPr>
            <w:tcW w:w="149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Times New Roman"/>
                <w:szCs w:val="21"/>
              </w:rPr>
              <w:t>0.0702</w:t>
            </w:r>
          </w:p>
        </w:tc>
        <w:tc>
          <w:tcPr>
            <w:tcW w:w="14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0.2818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4"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lang w:bidi="ar"/>
              </w:rPr>
              <w:t>Ca</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rPr>
              <w:t>1.5 mg</w:t>
            </w:r>
          </w:p>
        </w:tc>
        <w:tc>
          <w:tcPr>
            <w:tcW w:w="149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Times New Roman"/>
                <w:szCs w:val="21"/>
              </w:rPr>
              <w:t>0.0706</w:t>
            </w:r>
          </w:p>
        </w:tc>
        <w:tc>
          <w:tcPr>
            <w:tcW w:w="14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0.2822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4"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lang w:bidi="ar"/>
              </w:rPr>
              <w:t>Mg</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rPr>
              <w:t>1 mg</w:t>
            </w:r>
          </w:p>
        </w:tc>
        <w:tc>
          <w:tcPr>
            <w:tcW w:w="149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Times New Roman"/>
                <w:szCs w:val="21"/>
              </w:rPr>
              <w:t>0.0705</w:t>
            </w:r>
          </w:p>
        </w:tc>
        <w:tc>
          <w:tcPr>
            <w:tcW w:w="14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0.2829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4"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lang w:bidi="ar"/>
              </w:rPr>
              <w:t>Sn</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rPr>
              <w:t>3 mg</w:t>
            </w:r>
          </w:p>
        </w:tc>
        <w:tc>
          <w:tcPr>
            <w:tcW w:w="149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Times New Roman"/>
                <w:szCs w:val="21"/>
              </w:rPr>
              <w:t>0.0701</w:t>
            </w:r>
          </w:p>
        </w:tc>
        <w:tc>
          <w:tcPr>
            <w:tcW w:w="14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0.2830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4"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lang w:bidi="ar"/>
              </w:rPr>
              <w:t>Se</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rPr>
              <w:t>1 mg</w:t>
            </w:r>
          </w:p>
        </w:tc>
        <w:tc>
          <w:tcPr>
            <w:tcW w:w="149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Times New Roman"/>
                <w:szCs w:val="21"/>
              </w:rPr>
              <w:t>0.0702</w:t>
            </w:r>
          </w:p>
        </w:tc>
        <w:tc>
          <w:tcPr>
            <w:tcW w:w="14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0.2831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4" w:type="pct"/>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lang w:bidi="ar"/>
              </w:rPr>
              <w:t>Te</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Times New Roman" w:hAnsi="Times New Roman"/>
                <w:szCs w:val="21"/>
              </w:rPr>
            </w:pPr>
            <w:r>
              <w:rPr>
                <w:rFonts w:ascii="Times New Roman" w:hAnsi="Times New Roman"/>
                <w:kern w:val="0"/>
                <w:szCs w:val="21"/>
              </w:rPr>
              <w:t>0.1 mg</w:t>
            </w:r>
          </w:p>
        </w:tc>
        <w:tc>
          <w:tcPr>
            <w:tcW w:w="149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Times New Roman"/>
                <w:szCs w:val="21"/>
              </w:rPr>
              <w:t>0.0703</w:t>
            </w:r>
          </w:p>
        </w:tc>
        <w:tc>
          <w:tcPr>
            <w:tcW w:w="14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0.2838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8" w:type="pct"/>
            <w:gridSpan w:val="2"/>
            <w:tcBorders>
              <w:left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Times New Roman"/>
                <w:szCs w:val="21"/>
              </w:rPr>
              <w:t>Cu 30</w:t>
            </w:r>
            <w:r>
              <w:rPr>
                <w:rFonts w:hint="eastAsia" w:ascii="Times New Roman" w:hAnsi="Times New Roman"/>
                <w:szCs w:val="21"/>
              </w:rPr>
              <w:t xml:space="preserve"> </w:t>
            </w:r>
            <w:r>
              <w:rPr>
                <w:rFonts w:ascii="Times New Roman" w:hAnsi="Times New Roman"/>
                <w:szCs w:val="21"/>
              </w:rPr>
              <w:t>mg、Pb 20 mg、Zn 10</w:t>
            </w:r>
            <w:r>
              <w:rPr>
                <w:rFonts w:hint="eastAsia" w:ascii="Times New Roman" w:hAnsi="Times New Roman"/>
                <w:szCs w:val="21"/>
              </w:rPr>
              <w:t xml:space="preserve"> </w:t>
            </w:r>
            <w:r>
              <w:rPr>
                <w:rFonts w:ascii="Times New Roman" w:hAnsi="Times New Roman"/>
                <w:szCs w:val="21"/>
              </w:rPr>
              <w:t>mg、Bi 10 mg、As 10 mg、In 0.1 mg、Sb 5</w:t>
            </w:r>
            <w:r>
              <w:rPr>
                <w:rFonts w:hint="eastAsia" w:ascii="Times New Roman" w:hAnsi="Times New Roman"/>
                <w:szCs w:val="21"/>
              </w:rPr>
              <w:t xml:space="preserve"> </w:t>
            </w:r>
            <w:r>
              <w:rPr>
                <w:rFonts w:ascii="Times New Roman" w:hAnsi="Times New Roman"/>
                <w:szCs w:val="21"/>
              </w:rPr>
              <w:t>mg、Au 5 ug、Ag 0.15mg、Fe 10 mg、</w:t>
            </w:r>
            <w:r>
              <w:rPr>
                <w:rFonts w:ascii="Times New Roman" w:hAnsi="Times New Roman"/>
                <w:kern w:val="0"/>
                <w:szCs w:val="21"/>
                <w:lang w:bidi="ar"/>
              </w:rPr>
              <w:t>Al</w:t>
            </w:r>
            <w:r>
              <w:rPr>
                <w:rFonts w:ascii="Times New Roman" w:hAnsi="Times New Roman"/>
                <w:kern w:val="0"/>
                <w:szCs w:val="21"/>
                <w:vertAlign w:val="subscript"/>
                <w:lang w:bidi="ar"/>
              </w:rPr>
              <w:t>2</w:t>
            </w:r>
            <w:r>
              <w:rPr>
                <w:rFonts w:ascii="Times New Roman" w:hAnsi="Times New Roman"/>
                <w:kern w:val="0"/>
                <w:szCs w:val="21"/>
                <w:lang w:bidi="ar"/>
              </w:rPr>
              <w:t>O</w:t>
            </w:r>
            <w:r>
              <w:rPr>
                <w:rFonts w:ascii="Times New Roman" w:hAnsi="Times New Roman"/>
                <w:kern w:val="0"/>
                <w:szCs w:val="21"/>
                <w:vertAlign w:val="subscript"/>
                <w:lang w:bidi="ar"/>
              </w:rPr>
              <w:t xml:space="preserve">3 </w:t>
            </w:r>
            <w:r>
              <w:rPr>
                <w:rFonts w:ascii="Times New Roman" w:hAnsi="Times New Roman"/>
                <w:kern w:val="0"/>
                <w:szCs w:val="21"/>
                <w:lang w:bidi="ar"/>
              </w:rPr>
              <w:t>3 mg、Ca 1.5 mg、Mg 1 mg、Sn 3 mg、Se 1 mg 、Te 0.1 mg</w:t>
            </w:r>
          </w:p>
        </w:tc>
        <w:tc>
          <w:tcPr>
            <w:tcW w:w="149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Cs w:val="21"/>
              </w:rPr>
            </w:pPr>
            <w:r>
              <w:rPr>
                <w:rFonts w:ascii="Times New Roman" w:hAnsi="Times New Roman"/>
                <w:szCs w:val="21"/>
              </w:rPr>
              <w:t>0.0705</w:t>
            </w:r>
          </w:p>
        </w:tc>
        <w:tc>
          <w:tcPr>
            <w:tcW w:w="14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0.2808</w:t>
            </w:r>
          </w:p>
        </w:tc>
      </w:tr>
    </w:tbl>
    <w:p>
      <w:pPr>
        <w:spacing w:line="360" w:lineRule="auto"/>
        <w:ind w:firstLine="435"/>
        <w:rPr>
          <w:b/>
          <w:bCs/>
          <w:szCs w:val="21"/>
        </w:rPr>
      </w:pPr>
      <w:r>
        <w:rPr>
          <w:rFonts w:hint="eastAsia" w:ascii="Times New Roman" w:hAnsi="Times New Roman"/>
          <w:szCs w:val="21"/>
        </w:rPr>
        <w:t>表2</w:t>
      </w:r>
      <w:r>
        <w:rPr>
          <w:rFonts w:ascii="Times New Roman" w:hAnsi="Times New Roman"/>
          <w:szCs w:val="21"/>
        </w:rPr>
        <w:t>结果表明，上述共存元素对0.20</w:t>
      </w:r>
      <w:r>
        <w:rPr>
          <w:rFonts w:hint="eastAsia" w:ascii="Times New Roman" w:hAnsi="Times New Roman"/>
          <w:szCs w:val="21"/>
        </w:rPr>
        <w:t xml:space="preserve"> </w:t>
      </w:r>
      <w:r>
        <w:rPr>
          <w:rFonts w:ascii="Times New Roman" w:hAnsi="Times New Roman"/>
          <w:szCs w:val="21"/>
        </w:rPr>
        <w:t>μg/mL和0.80</w:t>
      </w:r>
      <w:r>
        <w:rPr>
          <w:rFonts w:hint="eastAsia" w:ascii="Times New Roman" w:hAnsi="Times New Roman"/>
          <w:szCs w:val="21"/>
        </w:rPr>
        <w:t xml:space="preserve"> </w:t>
      </w:r>
      <w:r>
        <w:rPr>
          <w:rFonts w:ascii="Times New Roman" w:hAnsi="Times New Roman"/>
          <w:szCs w:val="21"/>
        </w:rPr>
        <w:t>μg/mLCd的测定基本无影响。</w:t>
      </w:r>
      <w:r>
        <w:rPr>
          <w:rFonts w:hint="eastAsia" w:ascii="宋体" w:hAnsi="宋体"/>
          <w:szCs w:val="21"/>
        </w:rPr>
        <w:t xml:space="preserve"> </w:t>
      </w:r>
    </w:p>
    <w:p>
      <w:pPr>
        <w:adjustRightInd w:val="0"/>
        <w:snapToGrid w:val="0"/>
        <w:spacing w:before="50" w:after="50"/>
        <w:rPr>
          <w:rFonts w:ascii="黑体" w:hAnsi="黑体" w:eastAsia="黑体"/>
          <w:szCs w:val="21"/>
        </w:rPr>
      </w:pPr>
      <w:r>
        <w:rPr>
          <w:rFonts w:ascii="黑体" w:hAnsi="黑体" w:eastAsia="黑体"/>
          <w:szCs w:val="21"/>
        </w:rPr>
        <w:t>3.2.3  样品回收率试验</w:t>
      </w:r>
    </w:p>
    <w:p>
      <w:pPr>
        <w:ind w:firstLine="420" w:firstLineChars="200"/>
        <w:rPr>
          <w:rFonts w:ascii="Times New Roman" w:hAnsi="Times New Roman"/>
          <w:szCs w:val="21"/>
        </w:rPr>
      </w:pPr>
      <w:r>
        <w:rPr>
          <w:rFonts w:hint="eastAsia" w:ascii="Times New Roman" w:hAnsi="Times New Roman"/>
          <w:szCs w:val="21"/>
        </w:rPr>
        <w:t>为了考察本法的准确度，选取3批铜冶炼烟尘样品，加入不同的镉量，按拟订的分析步骤进行回收率实验，测定结果列于表3。</w:t>
      </w:r>
    </w:p>
    <w:p>
      <w:pPr>
        <w:spacing w:line="360" w:lineRule="auto"/>
        <w:jc w:val="center"/>
        <w:rPr>
          <w:rFonts w:ascii="Times New Roman" w:hAnsi="Times New Roman" w:eastAsia="黑体"/>
        </w:rPr>
      </w:pPr>
      <w:r>
        <w:rPr>
          <w:rFonts w:ascii="Times New Roman" w:hAnsi="Times New Roman" w:eastAsia="黑体"/>
        </w:rPr>
        <w:t>表</w:t>
      </w:r>
      <w:r>
        <w:rPr>
          <w:rFonts w:hint="eastAsia" w:ascii="Times New Roman" w:hAnsi="Times New Roman" w:eastAsia="黑体"/>
        </w:rPr>
        <w:t>3</w:t>
      </w:r>
      <w:r>
        <w:rPr>
          <w:rFonts w:ascii="Times New Roman" w:hAnsi="Times New Roman" w:eastAsia="黑体"/>
        </w:rPr>
        <w:t xml:space="preserve">  样品加标回收实验</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2102"/>
        <w:gridCol w:w="2423"/>
        <w:gridCol w:w="2229"/>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4" w:type="pct"/>
            <w:vAlign w:val="center"/>
          </w:tcPr>
          <w:p>
            <w:pPr>
              <w:jc w:val="center"/>
              <w:rPr>
                <w:rFonts w:ascii="Times New Roman" w:hAnsi="Times New Roman" w:eastAsia="黑体"/>
                <w:szCs w:val="21"/>
              </w:rPr>
            </w:pPr>
            <w:r>
              <w:rPr>
                <w:rFonts w:ascii="Times New Roman" w:hAnsi="Times New Roman" w:eastAsia="黑体"/>
                <w:szCs w:val="21"/>
              </w:rPr>
              <w:t>样品</w:t>
            </w:r>
          </w:p>
        </w:tc>
        <w:tc>
          <w:tcPr>
            <w:tcW w:w="1055" w:type="pct"/>
            <w:vAlign w:val="center"/>
          </w:tcPr>
          <w:p>
            <w:pPr>
              <w:jc w:val="center"/>
              <w:rPr>
                <w:rFonts w:ascii="Times New Roman" w:hAnsi="Times New Roman" w:eastAsia="黑体"/>
                <w:szCs w:val="21"/>
              </w:rPr>
            </w:pPr>
            <w:r>
              <w:rPr>
                <w:rFonts w:ascii="Times New Roman" w:hAnsi="Times New Roman" w:eastAsia="黑体"/>
                <w:szCs w:val="21"/>
              </w:rPr>
              <w:t>样品量，</w:t>
            </w:r>
            <w:r>
              <w:rPr>
                <w:rFonts w:ascii="Times New Roman" w:hAnsi="Times New Roman" w:eastAsia="黑体"/>
                <w:spacing w:val="6"/>
                <w:szCs w:val="21"/>
              </w:rPr>
              <w:t>µg</w:t>
            </w:r>
          </w:p>
        </w:tc>
        <w:tc>
          <w:tcPr>
            <w:tcW w:w="1216" w:type="pct"/>
            <w:vAlign w:val="center"/>
          </w:tcPr>
          <w:p>
            <w:pPr>
              <w:jc w:val="center"/>
              <w:rPr>
                <w:rFonts w:ascii="Times New Roman" w:hAnsi="Times New Roman" w:eastAsia="黑体"/>
                <w:szCs w:val="21"/>
              </w:rPr>
            </w:pPr>
            <w:r>
              <w:rPr>
                <w:rFonts w:ascii="Times New Roman" w:hAnsi="Times New Roman" w:eastAsia="黑体"/>
                <w:szCs w:val="21"/>
              </w:rPr>
              <w:t>加入量，</w:t>
            </w:r>
            <w:r>
              <w:rPr>
                <w:rFonts w:ascii="Times New Roman" w:hAnsi="Times New Roman" w:eastAsia="黑体"/>
                <w:spacing w:val="6"/>
                <w:szCs w:val="21"/>
              </w:rPr>
              <w:t>µg</w:t>
            </w:r>
          </w:p>
        </w:tc>
        <w:tc>
          <w:tcPr>
            <w:tcW w:w="1119" w:type="pct"/>
            <w:vAlign w:val="center"/>
          </w:tcPr>
          <w:p>
            <w:pPr>
              <w:jc w:val="center"/>
              <w:rPr>
                <w:rFonts w:ascii="Times New Roman" w:hAnsi="Times New Roman" w:eastAsia="黑体"/>
                <w:szCs w:val="21"/>
              </w:rPr>
            </w:pPr>
            <w:r>
              <w:rPr>
                <w:rFonts w:ascii="Times New Roman" w:hAnsi="Times New Roman" w:eastAsia="黑体"/>
                <w:szCs w:val="21"/>
              </w:rPr>
              <w:t>测得值，</w:t>
            </w:r>
            <w:r>
              <w:rPr>
                <w:rFonts w:ascii="Times New Roman" w:hAnsi="Times New Roman" w:eastAsia="黑体"/>
                <w:spacing w:val="6"/>
                <w:szCs w:val="21"/>
              </w:rPr>
              <w:t>µg</w:t>
            </w:r>
          </w:p>
        </w:tc>
        <w:tc>
          <w:tcPr>
            <w:tcW w:w="1086" w:type="pct"/>
            <w:vAlign w:val="center"/>
          </w:tcPr>
          <w:p>
            <w:pPr>
              <w:jc w:val="center"/>
              <w:rPr>
                <w:rFonts w:ascii="Times New Roman" w:hAnsi="Times New Roman" w:eastAsia="黑体"/>
                <w:szCs w:val="21"/>
              </w:rPr>
            </w:pPr>
            <w:r>
              <w:rPr>
                <w:rFonts w:ascii="Times New Roman" w:hAnsi="Times New Roman" w:eastAsia="黑体"/>
                <w:szCs w:val="21"/>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pct"/>
            <w:vAlign w:val="center"/>
          </w:tcPr>
          <w:p>
            <w:pPr>
              <w:jc w:val="center"/>
              <w:rPr>
                <w:rFonts w:ascii="Times New Roman" w:hAnsi="Times New Roman"/>
                <w:szCs w:val="21"/>
              </w:rPr>
            </w:pPr>
            <w:r>
              <w:rPr>
                <w:rFonts w:ascii="Times New Roman" w:hAnsi="Times New Roman"/>
                <w:szCs w:val="21"/>
              </w:rPr>
              <w:t>1#</w:t>
            </w:r>
          </w:p>
        </w:tc>
        <w:tc>
          <w:tcPr>
            <w:tcW w:w="1055" w:type="pct"/>
            <w:vAlign w:val="center"/>
          </w:tcPr>
          <w:p>
            <w:pPr>
              <w:jc w:val="center"/>
              <w:rPr>
                <w:rFonts w:ascii="Times New Roman" w:hAnsi="Times New Roman"/>
                <w:szCs w:val="21"/>
              </w:rPr>
            </w:pPr>
            <w:r>
              <w:rPr>
                <w:rFonts w:ascii="Times New Roman" w:hAnsi="Times New Roman"/>
                <w:szCs w:val="21"/>
              </w:rPr>
              <w:t>28.94</w:t>
            </w:r>
          </w:p>
        </w:tc>
        <w:tc>
          <w:tcPr>
            <w:tcW w:w="1216" w:type="pct"/>
            <w:vAlign w:val="center"/>
          </w:tcPr>
          <w:p>
            <w:pPr>
              <w:jc w:val="center"/>
              <w:rPr>
                <w:rFonts w:ascii="Times New Roman" w:hAnsi="Times New Roman"/>
                <w:szCs w:val="21"/>
              </w:rPr>
            </w:pPr>
            <w:r>
              <w:rPr>
                <w:rFonts w:ascii="Times New Roman" w:hAnsi="Times New Roman"/>
                <w:szCs w:val="21"/>
              </w:rPr>
              <w:t>30</w:t>
            </w:r>
          </w:p>
          <w:p>
            <w:pPr>
              <w:jc w:val="center"/>
              <w:rPr>
                <w:rFonts w:ascii="Times New Roman" w:hAnsi="Times New Roman"/>
                <w:szCs w:val="21"/>
              </w:rPr>
            </w:pPr>
            <w:r>
              <w:rPr>
                <w:rFonts w:ascii="Times New Roman" w:hAnsi="Times New Roman"/>
                <w:szCs w:val="21"/>
              </w:rPr>
              <w:t>60</w:t>
            </w:r>
          </w:p>
          <w:p>
            <w:pPr>
              <w:jc w:val="center"/>
              <w:rPr>
                <w:rFonts w:ascii="Times New Roman" w:hAnsi="Times New Roman"/>
                <w:szCs w:val="21"/>
              </w:rPr>
            </w:pPr>
            <w:r>
              <w:rPr>
                <w:rFonts w:ascii="Times New Roman" w:hAnsi="Times New Roman"/>
                <w:szCs w:val="21"/>
              </w:rPr>
              <w:t>100</w:t>
            </w:r>
          </w:p>
        </w:tc>
        <w:tc>
          <w:tcPr>
            <w:tcW w:w="1119" w:type="pct"/>
            <w:vAlign w:val="center"/>
          </w:tcPr>
          <w:p>
            <w:pPr>
              <w:jc w:val="center"/>
              <w:rPr>
                <w:rFonts w:ascii="Times New Roman" w:hAnsi="Times New Roman"/>
                <w:szCs w:val="21"/>
              </w:rPr>
            </w:pPr>
            <w:r>
              <w:rPr>
                <w:rFonts w:ascii="Times New Roman" w:hAnsi="Times New Roman"/>
                <w:szCs w:val="21"/>
              </w:rPr>
              <w:t>58.63</w:t>
            </w:r>
          </w:p>
          <w:p>
            <w:pPr>
              <w:jc w:val="center"/>
              <w:rPr>
                <w:rFonts w:ascii="Times New Roman" w:hAnsi="Times New Roman"/>
                <w:szCs w:val="21"/>
              </w:rPr>
            </w:pPr>
            <w:r>
              <w:rPr>
                <w:rFonts w:ascii="Times New Roman" w:hAnsi="Times New Roman"/>
                <w:szCs w:val="21"/>
              </w:rPr>
              <w:t>88.37</w:t>
            </w:r>
          </w:p>
          <w:p>
            <w:pPr>
              <w:jc w:val="center"/>
              <w:rPr>
                <w:rFonts w:ascii="Times New Roman" w:hAnsi="Times New Roman"/>
                <w:szCs w:val="21"/>
              </w:rPr>
            </w:pPr>
            <w:r>
              <w:rPr>
                <w:rFonts w:ascii="Times New Roman" w:hAnsi="Times New Roman"/>
                <w:szCs w:val="21"/>
              </w:rPr>
              <w:t>131.60</w:t>
            </w:r>
          </w:p>
        </w:tc>
        <w:tc>
          <w:tcPr>
            <w:tcW w:w="1086" w:type="pct"/>
            <w:vAlign w:val="center"/>
          </w:tcPr>
          <w:p>
            <w:pPr>
              <w:jc w:val="center"/>
              <w:rPr>
                <w:rFonts w:ascii="Times New Roman" w:hAnsi="Times New Roman"/>
                <w:szCs w:val="21"/>
              </w:rPr>
            </w:pPr>
            <w:r>
              <w:rPr>
                <w:rFonts w:ascii="Times New Roman" w:hAnsi="Times New Roman"/>
                <w:szCs w:val="21"/>
              </w:rPr>
              <w:t>96.47</w:t>
            </w:r>
          </w:p>
          <w:p>
            <w:pPr>
              <w:jc w:val="center"/>
              <w:rPr>
                <w:rFonts w:ascii="Times New Roman" w:hAnsi="Times New Roman"/>
                <w:szCs w:val="21"/>
              </w:rPr>
            </w:pPr>
            <w:r>
              <w:rPr>
                <w:rFonts w:ascii="Times New Roman" w:hAnsi="Times New Roman"/>
                <w:szCs w:val="21"/>
              </w:rPr>
              <w:t>99.05</w:t>
            </w:r>
          </w:p>
          <w:p>
            <w:pPr>
              <w:jc w:val="center"/>
              <w:rPr>
                <w:rFonts w:ascii="Times New Roman" w:hAnsi="Times New Roman"/>
                <w:szCs w:val="21"/>
              </w:rPr>
            </w:pPr>
            <w:r>
              <w:rPr>
                <w:rFonts w:ascii="Times New Roman" w:hAnsi="Times New Roman"/>
                <w:szCs w:val="21"/>
              </w:rPr>
              <w:t>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pct"/>
            <w:vAlign w:val="center"/>
          </w:tcPr>
          <w:p>
            <w:pPr>
              <w:jc w:val="center"/>
              <w:rPr>
                <w:rFonts w:ascii="Times New Roman" w:hAnsi="Times New Roman"/>
                <w:szCs w:val="21"/>
              </w:rPr>
            </w:pPr>
            <w:r>
              <w:rPr>
                <w:rFonts w:ascii="Times New Roman" w:hAnsi="Times New Roman"/>
                <w:szCs w:val="21"/>
              </w:rPr>
              <w:t>2#</w:t>
            </w:r>
          </w:p>
        </w:tc>
        <w:tc>
          <w:tcPr>
            <w:tcW w:w="1055" w:type="pct"/>
            <w:vAlign w:val="center"/>
          </w:tcPr>
          <w:p>
            <w:pPr>
              <w:jc w:val="center"/>
              <w:rPr>
                <w:rFonts w:ascii="Times New Roman" w:hAnsi="Times New Roman"/>
                <w:szCs w:val="21"/>
              </w:rPr>
            </w:pPr>
            <w:r>
              <w:rPr>
                <w:rFonts w:ascii="Times New Roman" w:hAnsi="Times New Roman"/>
                <w:szCs w:val="21"/>
              </w:rPr>
              <w:t>149.9</w:t>
            </w:r>
          </w:p>
        </w:tc>
        <w:tc>
          <w:tcPr>
            <w:tcW w:w="1216" w:type="pct"/>
            <w:vAlign w:val="center"/>
          </w:tcPr>
          <w:p>
            <w:pPr>
              <w:jc w:val="center"/>
              <w:rPr>
                <w:rFonts w:ascii="Times New Roman" w:hAnsi="Times New Roman"/>
                <w:szCs w:val="21"/>
              </w:rPr>
            </w:pPr>
            <w:r>
              <w:rPr>
                <w:rFonts w:ascii="Times New Roman" w:hAnsi="Times New Roman"/>
                <w:szCs w:val="21"/>
              </w:rPr>
              <w:t>100</w:t>
            </w:r>
          </w:p>
          <w:p>
            <w:pPr>
              <w:jc w:val="center"/>
              <w:rPr>
                <w:rFonts w:ascii="Times New Roman" w:hAnsi="Times New Roman"/>
                <w:szCs w:val="21"/>
              </w:rPr>
            </w:pPr>
            <w:r>
              <w:rPr>
                <w:rFonts w:ascii="Times New Roman" w:hAnsi="Times New Roman"/>
                <w:szCs w:val="21"/>
              </w:rPr>
              <w:t>150</w:t>
            </w:r>
          </w:p>
          <w:p>
            <w:pPr>
              <w:jc w:val="center"/>
              <w:rPr>
                <w:rFonts w:ascii="Times New Roman" w:hAnsi="Times New Roman"/>
                <w:szCs w:val="21"/>
              </w:rPr>
            </w:pPr>
            <w:r>
              <w:rPr>
                <w:rFonts w:ascii="Times New Roman" w:hAnsi="Times New Roman"/>
                <w:szCs w:val="21"/>
              </w:rPr>
              <w:t>300</w:t>
            </w:r>
          </w:p>
        </w:tc>
        <w:tc>
          <w:tcPr>
            <w:tcW w:w="1119" w:type="pct"/>
            <w:vAlign w:val="center"/>
          </w:tcPr>
          <w:p>
            <w:pPr>
              <w:jc w:val="center"/>
              <w:rPr>
                <w:rFonts w:ascii="Times New Roman" w:hAnsi="Times New Roman"/>
                <w:szCs w:val="21"/>
              </w:rPr>
            </w:pPr>
            <w:r>
              <w:rPr>
                <w:rFonts w:ascii="Times New Roman" w:hAnsi="Times New Roman"/>
                <w:szCs w:val="21"/>
              </w:rPr>
              <w:t>251.7</w:t>
            </w:r>
          </w:p>
          <w:p>
            <w:pPr>
              <w:jc w:val="center"/>
              <w:rPr>
                <w:rFonts w:ascii="Times New Roman" w:hAnsi="Times New Roman"/>
                <w:szCs w:val="21"/>
              </w:rPr>
            </w:pPr>
            <w:r>
              <w:rPr>
                <w:rFonts w:ascii="Times New Roman" w:hAnsi="Times New Roman"/>
                <w:szCs w:val="21"/>
              </w:rPr>
              <w:t>301.2</w:t>
            </w:r>
          </w:p>
          <w:p>
            <w:pPr>
              <w:jc w:val="center"/>
              <w:rPr>
                <w:rFonts w:ascii="Times New Roman" w:hAnsi="Times New Roman"/>
                <w:szCs w:val="21"/>
              </w:rPr>
            </w:pPr>
            <w:r>
              <w:rPr>
                <w:rFonts w:ascii="Times New Roman" w:hAnsi="Times New Roman"/>
                <w:szCs w:val="21"/>
              </w:rPr>
              <w:t>455.0</w:t>
            </w:r>
          </w:p>
        </w:tc>
        <w:tc>
          <w:tcPr>
            <w:tcW w:w="1086" w:type="pct"/>
            <w:vAlign w:val="center"/>
          </w:tcPr>
          <w:p>
            <w:pPr>
              <w:jc w:val="center"/>
              <w:rPr>
                <w:rFonts w:ascii="Times New Roman" w:hAnsi="Times New Roman"/>
                <w:szCs w:val="21"/>
              </w:rPr>
            </w:pPr>
            <w:r>
              <w:rPr>
                <w:rFonts w:ascii="Times New Roman" w:hAnsi="Times New Roman"/>
                <w:szCs w:val="21"/>
              </w:rPr>
              <w:t>101.8</w:t>
            </w:r>
          </w:p>
          <w:p>
            <w:pPr>
              <w:jc w:val="center"/>
              <w:rPr>
                <w:rFonts w:ascii="Times New Roman" w:hAnsi="Times New Roman"/>
                <w:szCs w:val="21"/>
              </w:rPr>
            </w:pPr>
            <w:r>
              <w:rPr>
                <w:rFonts w:ascii="Times New Roman" w:hAnsi="Times New Roman"/>
                <w:szCs w:val="21"/>
              </w:rPr>
              <w:t>100.9</w:t>
            </w:r>
          </w:p>
          <w:p>
            <w:pPr>
              <w:jc w:val="center"/>
              <w:rPr>
                <w:rFonts w:ascii="Times New Roman" w:hAnsi="Times New Roman"/>
                <w:szCs w:val="21"/>
              </w:rPr>
            </w:pPr>
            <w:r>
              <w:rPr>
                <w:rFonts w:ascii="Times New Roman" w:hAnsi="Times New Roman"/>
                <w:szCs w:val="21"/>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pct"/>
            <w:vAlign w:val="center"/>
          </w:tcPr>
          <w:p>
            <w:pPr>
              <w:jc w:val="center"/>
              <w:rPr>
                <w:rFonts w:ascii="Times New Roman" w:hAnsi="Times New Roman"/>
                <w:szCs w:val="21"/>
              </w:rPr>
            </w:pPr>
            <w:r>
              <w:rPr>
                <w:rFonts w:ascii="Times New Roman" w:hAnsi="Times New Roman"/>
                <w:szCs w:val="21"/>
              </w:rPr>
              <w:t>4#</w:t>
            </w:r>
          </w:p>
        </w:tc>
        <w:tc>
          <w:tcPr>
            <w:tcW w:w="1055" w:type="pct"/>
            <w:vAlign w:val="center"/>
          </w:tcPr>
          <w:p>
            <w:pPr>
              <w:jc w:val="center"/>
              <w:rPr>
                <w:rFonts w:ascii="Times New Roman" w:hAnsi="Times New Roman"/>
                <w:szCs w:val="21"/>
              </w:rPr>
            </w:pPr>
            <w:r>
              <w:rPr>
                <w:rFonts w:ascii="Times New Roman" w:hAnsi="Times New Roman"/>
                <w:szCs w:val="21"/>
              </w:rPr>
              <w:t>2589</w:t>
            </w:r>
          </w:p>
        </w:tc>
        <w:tc>
          <w:tcPr>
            <w:tcW w:w="1216" w:type="pct"/>
            <w:vAlign w:val="center"/>
          </w:tcPr>
          <w:p>
            <w:pPr>
              <w:jc w:val="center"/>
              <w:rPr>
                <w:rFonts w:ascii="Times New Roman" w:hAnsi="Times New Roman"/>
                <w:szCs w:val="21"/>
              </w:rPr>
            </w:pPr>
            <w:r>
              <w:rPr>
                <w:rFonts w:ascii="Times New Roman" w:hAnsi="Times New Roman"/>
                <w:szCs w:val="21"/>
              </w:rPr>
              <w:t>500</w:t>
            </w:r>
          </w:p>
          <w:p>
            <w:pPr>
              <w:jc w:val="center"/>
              <w:rPr>
                <w:rFonts w:ascii="Times New Roman" w:hAnsi="Times New Roman"/>
                <w:szCs w:val="21"/>
              </w:rPr>
            </w:pPr>
            <w:r>
              <w:rPr>
                <w:rFonts w:ascii="Times New Roman" w:hAnsi="Times New Roman"/>
                <w:szCs w:val="21"/>
              </w:rPr>
              <w:t>1000</w:t>
            </w:r>
          </w:p>
          <w:p>
            <w:pPr>
              <w:jc w:val="center"/>
              <w:rPr>
                <w:rFonts w:ascii="Times New Roman" w:hAnsi="Times New Roman"/>
                <w:szCs w:val="21"/>
              </w:rPr>
            </w:pPr>
            <w:r>
              <w:rPr>
                <w:rFonts w:ascii="Times New Roman" w:hAnsi="Times New Roman"/>
                <w:szCs w:val="21"/>
              </w:rPr>
              <w:t>2000</w:t>
            </w:r>
          </w:p>
        </w:tc>
        <w:tc>
          <w:tcPr>
            <w:tcW w:w="1119" w:type="pct"/>
            <w:vAlign w:val="center"/>
          </w:tcPr>
          <w:p>
            <w:pPr>
              <w:jc w:val="center"/>
              <w:rPr>
                <w:rFonts w:ascii="Times New Roman" w:hAnsi="Times New Roman"/>
                <w:szCs w:val="21"/>
              </w:rPr>
            </w:pPr>
            <w:r>
              <w:rPr>
                <w:rFonts w:ascii="Times New Roman" w:hAnsi="Times New Roman"/>
                <w:szCs w:val="21"/>
              </w:rPr>
              <w:t>3083</w:t>
            </w:r>
          </w:p>
          <w:p>
            <w:pPr>
              <w:jc w:val="center"/>
              <w:rPr>
                <w:rFonts w:ascii="Times New Roman" w:hAnsi="Times New Roman"/>
                <w:szCs w:val="21"/>
              </w:rPr>
            </w:pPr>
            <w:r>
              <w:rPr>
                <w:rFonts w:ascii="Times New Roman" w:hAnsi="Times New Roman"/>
                <w:szCs w:val="21"/>
              </w:rPr>
              <w:t>3567</w:t>
            </w:r>
          </w:p>
          <w:p>
            <w:pPr>
              <w:jc w:val="center"/>
              <w:rPr>
                <w:rFonts w:ascii="Times New Roman" w:hAnsi="Times New Roman"/>
                <w:szCs w:val="21"/>
              </w:rPr>
            </w:pPr>
            <w:r>
              <w:rPr>
                <w:rFonts w:ascii="Times New Roman" w:hAnsi="Times New Roman"/>
                <w:szCs w:val="21"/>
              </w:rPr>
              <w:t>4508</w:t>
            </w:r>
          </w:p>
        </w:tc>
        <w:tc>
          <w:tcPr>
            <w:tcW w:w="1086" w:type="pct"/>
            <w:vAlign w:val="center"/>
          </w:tcPr>
          <w:p>
            <w:pPr>
              <w:jc w:val="center"/>
              <w:rPr>
                <w:rFonts w:ascii="Times New Roman" w:hAnsi="Times New Roman"/>
                <w:szCs w:val="21"/>
              </w:rPr>
            </w:pPr>
            <w:r>
              <w:rPr>
                <w:rFonts w:ascii="Times New Roman" w:hAnsi="Times New Roman"/>
                <w:szCs w:val="21"/>
              </w:rPr>
              <w:t>98.80</w:t>
            </w:r>
          </w:p>
          <w:p>
            <w:pPr>
              <w:jc w:val="center"/>
              <w:rPr>
                <w:rFonts w:ascii="Times New Roman" w:hAnsi="Times New Roman"/>
                <w:szCs w:val="21"/>
              </w:rPr>
            </w:pPr>
            <w:r>
              <w:rPr>
                <w:rFonts w:ascii="Times New Roman" w:hAnsi="Times New Roman"/>
                <w:szCs w:val="21"/>
              </w:rPr>
              <w:t>97.80</w:t>
            </w:r>
          </w:p>
          <w:p>
            <w:pPr>
              <w:jc w:val="center"/>
              <w:rPr>
                <w:rFonts w:ascii="Times New Roman" w:hAnsi="Times New Roman"/>
                <w:szCs w:val="21"/>
              </w:rPr>
            </w:pPr>
            <w:r>
              <w:rPr>
                <w:rFonts w:ascii="Times New Roman" w:hAnsi="Times New Roman"/>
                <w:szCs w:val="21"/>
              </w:rPr>
              <w:t>95.95</w:t>
            </w:r>
          </w:p>
        </w:tc>
      </w:tr>
    </w:tbl>
    <w:p>
      <w:pPr>
        <w:rPr>
          <w:rFonts w:ascii="Times New Roman" w:hAnsi="Times New Roman"/>
          <w:szCs w:val="21"/>
        </w:rPr>
      </w:pPr>
      <w:r>
        <w:rPr>
          <w:rFonts w:hint="eastAsia"/>
        </w:rPr>
        <w:t xml:space="preserve">   </w:t>
      </w:r>
      <w:r>
        <w:rPr>
          <w:rFonts w:hint="eastAsia" w:ascii="Times New Roman" w:hAnsi="Times New Roman"/>
          <w:szCs w:val="21"/>
        </w:rPr>
        <w:t>从上述加标实验可知，本实验选择的3批铜冶炼烟尘中镉的回收率为95.95 %~102.7 %，可以满足铜冶炼烟尘样品中镉的测定。</w:t>
      </w:r>
    </w:p>
    <w:p>
      <w:pPr>
        <w:spacing w:line="360" w:lineRule="auto"/>
        <w:rPr>
          <w:rFonts w:ascii="黑体" w:hAnsi="黑体" w:eastAsia="黑体"/>
          <w:szCs w:val="21"/>
        </w:rPr>
      </w:pPr>
      <w:r>
        <w:rPr>
          <w:rFonts w:ascii="黑体" w:hAnsi="黑体" w:eastAsia="黑体"/>
          <w:szCs w:val="21"/>
        </w:rPr>
        <w:t>3.3 方法2 容量法</w:t>
      </w:r>
    </w:p>
    <w:p>
      <w:pPr>
        <w:rPr>
          <w:szCs w:val="21"/>
        </w:rPr>
      </w:pPr>
      <w:r>
        <w:rPr>
          <w:rFonts w:hint="eastAsia" w:ascii="黑体" w:hAnsi="黑体" w:eastAsia="黑体" w:cs="黑体"/>
          <w:bCs/>
          <w:szCs w:val="21"/>
        </w:rPr>
        <w:t>3.</w:t>
      </w:r>
      <w:r>
        <w:rPr>
          <w:rFonts w:ascii="黑体" w:hAnsi="黑体" w:eastAsia="黑体" w:cs="黑体"/>
          <w:bCs/>
          <w:szCs w:val="21"/>
        </w:rPr>
        <w:t xml:space="preserve">3.1  </w:t>
      </w:r>
      <w:r>
        <w:rPr>
          <w:rFonts w:hint="eastAsia" w:ascii="黑体" w:hAnsi="黑体" w:eastAsia="黑体" w:cs="黑体"/>
          <w:bCs/>
          <w:szCs w:val="21"/>
        </w:rPr>
        <w:t>镉含量范围确定及使用检测手段确定</w:t>
      </w:r>
    </w:p>
    <w:p>
      <w:pPr>
        <w:ind w:firstLine="420" w:firstLineChars="200"/>
        <w:rPr>
          <w:szCs w:val="21"/>
        </w:rPr>
      </w:pPr>
      <w:r>
        <w:rPr>
          <w:rFonts w:hint="eastAsia"/>
          <w:szCs w:val="21"/>
        </w:rPr>
        <w:t>根据紫金矿业集团股份有限公司、</w:t>
      </w:r>
      <w:r>
        <w:rPr>
          <w:rFonts w:hint="eastAsia"/>
        </w:rPr>
        <w:t>阳谷祥光铜业有限公司、</w:t>
      </w:r>
      <w:r>
        <w:rPr>
          <w:rFonts w:hint="eastAsia"/>
          <w:szCs w:val="21"/>
        </w:rPr>
        <w:t>大冶有色设计研究院有限公司</w:t>
      </w:r>
      <w:r>
        <w:rPr>
          <w:rFonts w:hint="eastAsia" w:hAnsi="宋体"/>
          <w:kern w:val="0"/>
        </w:rPr>
        <w:t>、</w:t>
      </w:r>
      <w:r>
        <w:rPr>
          <w:rFonts w:hint="eastAsia"/>
        </w:rPr>
        <w:t>江西铜业股份有限公司</w:t>
      </w:r>
      <w:r>
        <w:rPr>
          <w:rFonts w:hint="eastAsia"/>
          <w:szCs w:val="21"/>
        </w:rPr>
        <w:t>等单位提供的铜冶炼烟尘试样以及在实际生产中遇到的样品，确定铜冶炼烟尘中镉含量的测定范围</w:t>
      </w:r>
      <w:r>
        <w:rPr>
          <w:rFonts w:ascii="Times New Roman" w:hAnsi="Times New Roman"/>
          <w:szCs w:val="21"/>
        </w:rPr>
        <w:t>为5.00%~17.00%。对于试样中5.00%~17.00%镉含量的检测，</w:t>
      </w:r>
      <w:r>
        <w:rPr>
          <w:rFonts w:hint="eastAsia"/>
          <w:szCs w:val="21"/>
        </w:rPr>
        <w:t>从普及程度及成本方面考虑，最终选择了容量法。</w:t>
      </w:r>
    </w:p>
    <w:p>
      <w:pPr>
        <w:spacing w:line="360" w:lineRule="auto"/>
        <w:rPr>
          <w:rFonts w:ascii="黑体" w:hAnsi="黑体" w:eastAsia="黑体"/>
          <w:szCs w:val="21"/>
        </w:rPr>
      </w:pPr>
      <w:r>
        <w:rPr>
          <w:rFonts w:hint="eastAsia" w:ascii="黑体" w:hAnsi="黑体" w:eastAsia="黑体"/>
          <w:szCs w:val="21"/>
        </w:rPr>
        <w:t>3.</w:t>
      </w:r>
      <w:r>
        <w:rPr>
          <w:rFonts w:ascii="黑体" w:hAnsi="黑体" w:eastAsia="黑体"/>
          <w:szCs w:val="21"/>
        </w:rPr>
        <w:t xml:space="preserve">3.2  </w:t>
      </w:r>
      <w:r>
        <w:rPr>
          <w:rFonts w:hint="eastAsia" w:ascii="黑体" w:hAnsi="黑体" w:eastAsia="黑体"/>
          <w:szCs w:val="21"/>
        </w:rPr>
        <w:t>干扰及消除</w:t>
      </w:r>
    </w:p>
    <w:p>
      <w:pPr>
        <w:ind w:firstLine="420" w:firstLineChars="200"/>
        <w:rPr>
          <w:color w:val="2F5496"/>
          <w:szCs w:val="21"/>
        </w:rPr>
      </w:pPr>
      <w:r>
        <w:rPr>
          <w:rFonts w:hint="eastAsia"/>
          <w:szCs w:val="21"/>
        </w:rPr>
        <w:t>对试样进行半定量分析发现，铜冶炼烟尘成分复杂，具体杂质种类和含量范围见表</w:t>
      </w:r>
      <w:r>
        <w:rPr>
          <w:szCs w:val="21"/>
        </w:rPr>
        <w:t>4</w:t>
      </w:r>
      <w:r>
        <w:rPr>
          <w:rFonts w:hint="eastAsia"/>
          <w:szCs w:val="21"/>
        </w:rPr>
        <w:t>。</w:t>
      </w:r>
      <w:r>
        <w:rPr>
          <w:rFonts w:hint="eastAsia"/>
        </w:rPr>
        <w:t>样品中所含的Bi、Pb、Zn、Sb、Cu、As、Sn、Fe、Al等干扰铜的测定。实验通过氢溴酸除杂的方式消除Sb、As、Sn等元素的干扰，沉淀分离的方式消除Pb、Cu、Fe等元素的干扰，加掩蔽剂消除Al的干扰，所测结果为锌镉合理，减去锌量即为镉量。具体过程见试验报告1.2部分。</w:t>
      </w:r>
    </w:p>
    <w:p>
      <w:pPr>
        <w:snapToGrid w:val="0"/>
        <w:ind w:firstLine="420" w:firstLineChars="200"/>
        <w:jc w:val="center"/>
        <w:rPr>
          <w:szCs w:val="21"/>
        </w:rPr>
      </w:pPr>
      <w:r>
        <w:rPr>
          <w:rFonts w:hAnsi="宋体"/>
          <w:szCs w:val="21"/>
        </w:rPr>
        <w:t xml:space="preserve">表4 </w:t>
      </w:r>
      <w:r>
        <w:rPr>
          <w:rFonts w:hint="eastAsia" w:hAnsi="宋体"/>
          <w:szCs w:val="21"/>
        </w:rPr>
        <w:t xml:space="preserve"> 铜冶炼烟尘</w:t>
      </w:r>
      <w:r>
        <w:rPr>
          <w:rFonts w:hAnsi="宋体"/>
          <w:szCs w:val="21"/>
        </w:rPr>
        <w:t>主要成分表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3"/>
        <w:gridCol w:w="5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1" w:type="pct"/>
            <w:vAlign w:val="center"/>
          </w:tcPr>
          <w:p>
            <w:pPr>
              <w:snapToGrid w:val="0"/>
              <w:jc w:val="center"/>
              <w:rPr>
                <w:szCs w:val="21"/>
              </w:rPr>
            </w:pPr>
            <w:r>
              <w:rPr>
                <w:rFonts w:hAnsi="宋体"/>
                <w:szCs w:val="21"/>
              </w:rPr>
              <w:t>元素</w:t>
            </w:r>
          </w:p>
        </w:tc>
        <w:tc>
          <w:tcPr>
            <w:tcW w:w="2559" w:type="pct"/>
            <w:vAlign w:val="center"/>
          </w:tcPr>
          <w:p>
            <w:pPr>
              <w:snapToGrid w:val="0"/>
              <w:jc w:val="center"/>
              <w:rPr>
                <w:szCs w:val="21"/>
              </w:rPr>
            </w:pPr>
            <w:r>
              <w:rPr>
                <w:rFonts w:hAnsi="宋体"/>
                <w:szCs w:val="21"/>
              </w:rPr>
              <w:t>含量</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1" w:type="pct"/>
            <w:vAlign w:val="center"/>
          </w:tcPr>
          <w:p>
            <w:pPr>
              <w:snapToGrid w:val="0"/>
              <w:jc w:val="center"/>
              <w:rPr>
                <w:rFonts w:ascii="Times New Roman" w:hAnsi="Times New Roman"/>
                <w:szCs w:val="21"/>
              </w:rPr>
            </w:pPr>
            <w:r>
              <w:rPr>
                <w:rFonts w:ascii="Times New Roman" w:hAnsi="Times New Roman"/>
                <w:szCs w:val="21"/>
              </w:rPr>
              <w:t>Au</w:t>
            </w:r>
          </w:p>
        </w:tc>
        <w:tc>
          <w:tcPr>
            <w:tcW w:w="2559" w:type="pct"/>
            <w:vAlign w:val="center"/>
          </w:tcPr>
          <w:p>
            <w:pPr>
              <w:snapToGrid w:val="0"/>
              <w:jc w:val="center"/>
              <w:rPr>
                <w:rFonts w:ascii="Times New Roman" w:hAnsi="Times New Roman"/>
                <w:szCs w:val="21"/>
              </w:rPr>
            </w:pPr>
            <w:r>
              <w:rPr>
                <w:rFonts w:ascii="Times New Roman" w:hAnsi="Times New Roman"/>
                <w:szCs w:val="21"/>
              </w:rPr>
              <w:t>0.000041~0.003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1" w:type="pct"/>
            <w:vAlign w:val="center"/>
          </w:tcPr>
          <w:p>
            <w:pPr>
              <w:snapToGrid w:val="0"/>
              <w:jc w:val="center"/>
              <w:rPr>
                <w:rFonts w:ascii="Times New Roman" w:hAnsi="Times New Roman"/>
                <w:szCs w:val="21"/>
              </w:rPr>
            </w:pPr>
            <w:r>
              <w:rPr>
                <w:rFonts w:ascii="Times New Roman" w:hAnsi="Times New Roman"/>
                <w:szCs w:val="21"/>
              </w:rPr>
              <w:t>Ag</w:t>
            </w:r>
          </w:p>
        </w:tc>
        <w:tc>
          <w:tcPr>
            <w:tcW w:w="2559" w:type="pct"/>
            <w:vAlign w:val="center"/>
          </w:tcPr>
          <w:p>
            <w:pPr>
              <w:snapToGrid w:val="0"/>
              <w:jc w:val="center"/>
              <w:rPr>
                <w:rFonts w:ascii="Times New Roman" w:hAnsi="Times New Roman"/>
                <w:szCs w:val="21"/>
              </w:rPr>
            </w:pPr>
            <w:r>
              <w:rPr>
                <w:rFonts w:ascii="Times New Roman" w:hAnsi="Times New Roman"/>
                <w:szCs w:val="21"/>
              </w:rPr>
              <w:t>0.0042~0.045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1" w:type="pct"/>
            <w:vAlign w:val="center"/>
          </w:tcPr>
          <w:p>
            <w:pPr>
              <w:snapToGrid w:val="0"/>
              <w:jc w:val="center"/>
              <w:rPr>
                <w:rFonts w:ascii="Times New Roman" w:hAnsi="Times New Roman"/>
                <w:szCs w:val="21"/>
              </w:rPr>
            </w:pPr>
            <w:r>
              <w:rPr>
                <w:rFonts w:ascii="Times New Roman" w:hAnsi="Times New Roman"/>
                <w:szCs w:val="21"/>
              </w:rPr>
              <w:t>Bi</w:t>
            </w:r>
          </w:p>
        </w:tc>
        <w:tc>
          <w:tcPr>
            <w:tcW w:w="2559" w:type="pct"/>
            <w:vAlign w:val="center"/>
          </w:tcPr>
          <w:p>
            <w:pPr>
              <w:snapToGrid w:val="0"/>
              <w:jc w:val="center"/>
              <w:rPr>
                <w:rFonts w:ascii="Times New Roman" w:hAnsi="Times New Roman"/>
                <w:szCs w:val="21"/>
              </w:rPr>
            </w:pPr>
            <w:r>
              <w:rPr>
                <w:rFonts w:ascii="Times New Roman" w:hAnsi="Times New Roman"/>
                <w:szCs w:val="21"/>
              </w:rPr>
              <w:t>0.085~1.4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1" w:type="pct"/>
            <w:vAlign w:val="center"/>
          </w:tcPr>
          <w:p>
            <w:pPr>
              <w:snapToGrid w:val="0"/>
              <w:jc w:val="center"/>
              <w:rPr>
                <w:rFonts w:ascii="Times New Roman" w:hAnsi="Times New Roman"/>
                <w:szCs w:val="21"/>
              </w:rPr>
            </w:pPr>
            <w:r>
              <w:rPr>
                <w:rFonts w:ascii="Times New Roman" w:hAnsi="Times New Roman"/>
                <w:szCs w:val="21"/>
              </w:rPr>
              <w:t>Pb</w:t>
            </w:r>
          </w:p>
        </w:tc>
        <w:tc>
          <w:tcPr>
            <w:tcW w:w="2559" w:type="pct"/>
            <w:vAlign w:val="center"/>
          </w:tcPr>
          <w:p>
            <w:pPr>
              <w:snapToGrid w:val="0"/>
              <w:jc w:val="center"/>
              <w:rPr>
                <w:rFonts w:ascii="Times New Roman" w:hAnsi="Times New Roman"/>
                <w:szCs w:val="21"/>
              </w:rPr>
            </w:pPr>
            <w:r>
              <w:rPr>
                <w:rFonts w:ascii="Times New Roman" w:hAnsi="Times New Roman"/>
                <w:szCs w:val="21"/>
              </w:rPr>
              <w:t>0.71~52.0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1" w:type="pct"/>
            <w:vAlign w:val="center"/>
          </w:tcPr>
          <w:p>
            <w:pPr>
              <w:snapToGrid w:val="0"/>
              <w:jc w:val="center"/>
              <w:rPr>
                <w:rFonts w:ascii="Times New Roman" w:hAnsi="Times New Roman"/>
                <w:szCs w:val="21"/>
              </w:rPr>
            </w:pPr>
            <w:r>
              <w:rPr>
                <w:rFonts w:ascii="Times New Roman" w:hAnsi="Times New Roman"/>
                <w:szCs w:val="21"/>
              </w:rPr>
              <w:t>Zn</w:t>
            </w:r>
          </w:p>
        </w:tc>
        <w:tc>
          <w:tcPr>
            <w:tcW w:w="2559" w:type="pct"/>
            <w:vAlign w:val="center"/>
          </w:tcPr>
          <w:p>
            <w:pPr>
              <w:snapToGrid w:val="0"/>
              <w:jc w:val="center"/>
              <w:rPr>
                <w:rFonts w:ascii="Times New Roman" w:hAnsi="Times New Roman"/>
                <w:szCs w:val="21"/>
              </w:rPr>
            </w:pPr>
            <w:r>
              <w:rPr>
                <w:rFonts w:ascii="Times New Roman" w:hAnsi="Times New Roman"/>
                <w:szCs w:val="21"/>
              </w:rPr>
              <w:t>0.50~25.0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1" w:type="pct"/>
            <w:vAlign w:val="center"/>
          </w:tcPr>
          <w:p>
            <w:pPr>
              <w:snapToGrid w:val="0"/>
              <w:jc w:val="center"/>
              <w:rPr>
                <w:rFonts w:ascii="Times New Roman" w:hAnsi="Times New Roman"/>
                <w:szCs w:val="21"/>
              </w:rPr>
            </w:pPr>
            <w:r>
              <w:rPr>
                <w:rFonts w:ascii="Times New Roman" w:hAnsi="Times New Roman"/>
                <w:szCs w:val="21"/>
              </w:rPr>
              <w:t>Cd</w:t>
            </w:r>
          </w:p>
        </w:tc>
        <w:tc>
          <w:tcPr>
            <w:tcW w:w="2559" w:type="pct"/>
            <w:vAlign w:val="center"/>
          </w:tcPr>
          <w:p>
            <w:pPr>
              <w:snapToGrid w:val="0"/>
              <w:jc w:val="center"/>
              <w:rPr>
                <w:rFonts w:ascii="Times New Roman" w:hAnsi="Times New Roman"/>
                <w:szCs w:val="21"/>
              </w:rPr>
            </w:pPr>
            <w:r>
              <w:rPr>
                <w:rFonts w:ascii="Times New Roman" w:hAnsi="Times New Roman"/>
                <w:szCs w:val="21"/>
              </w:rPr>
              <w:t>0.05~16.0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1" w:type="pct"/>
            <w:vAlign w:val="center"/>
          </w:tcPr>
          <w:p>
            <w:pPr>
              <w:snapToGrid w:val="0"/>
              <w:jc w:val="center"/>
              <w:rPr>
                <w:rFonts w:ascii="Times New Roman" w:hAnsi="Times New Roman"/>
                <w:szCs w:val="21"/>
              </w:rPr>
            </w:pPr>
            <w:r>
              <w:rPr>
                <w:rFonts w:ascii="Times New Roman" w:hAnsi="Times New Roman"/>
                <w:szCs w:val="21"/>
              </w:rPr>
              <w:t>In</w:t>
            </w:r>
          </w:p>
        </w:tc>
        <w:tc>
          <w:tcPr>
            <w:tcW w:w="2559" w:type="pct"/>
            <w:vAlign w:val="center"/>
          </w:tcPr>
          <w:p>
            <w:pPr>
              <w:snapToGrid w:val="0"/>
              <w:jc w:val="center"/>
              <w:rPr>
                <w:rFonts w:ascii="Times New Roman" w:hAnsi="Times New Roman"/>
                <w:szCs w:val="21"/>
              </w:rPr>
            </w:pPr>
            <w:r>
              <w:rPr>
                <w:rFonts w:ascii="Times New Roman" w:hAnsi="Times New Roman"/>
                <w:szCs w:val="21"/>
              </w:rPr>
              <w:t>0.0095~0.1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1" w:type="pct"/>
            <w:vAlign w:val="center"/>
          </w:tcPr>
          <w:p>
            <w:pPr>
              <w:snapToGrid w:val="0"/>
              <w:jc w:val="center"/>
              <w:rPr>
                <w:rFonts w:ascii="Times New Roman" w:hAnsi="Times New Roman"/>
                <w:szCs w:val="21"/>
              </w:rPr>
            </w:pPr>
            <w:r>
              <w:rPr>
                <w:rFonts w:ascii="Times New Roman" w:hAnsi="Times New Roman"/>
                <w:szCs w:val="21"/>
              </w:rPr>
              <w:t>Sb</w:t>
            </w:r>
          </w:p>
        </w:tc>
        <w:tc>
          <w:tcPr>
            <w:tcW w:w="2559" w:type="pct"/>
            <w:vAlign w:val="center"/>
          </w:tcPr>
          <w:p>
            <w:pPr>
              <w:snapToGrid w:val="0"/>
              <w:jc w:val="center"/>
              <w:rPr>
                <w:rFonts w:ascii="Times New Roman" w:hAnsi="Times New Roman"/>
                <w:szCs w:val="21"/>
              </w:rPr>
            </w:pPr>
            <w:r>
              <w:rPr>
                <w:rFonts w:ascii="Times New Roman" w:hAnsi="Times New Roman"/>
                <w:szCs w:val="21"/>
              </w:rPr>
              <w:t>0.046~2.5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1" w:type="pct"/>
            <w:vAlign w:val="center"/>
          </w:tcPr>
          <w:p>
            <w:pPr>
              <w:snapToGrid w:val="0"/>
              <w:jc w:val="center"/>
              <w:rPr>
                <w:rFonts w:ascii="Times New Roman" w:hAnsi="Times New Roman"/>
                <w:szCs w:val="21"/>
              </w:rPr>
            </w:pPr>
            <w:r>
              <w:rPr>
                <w:rFonts w:ascii="Times New Roman" w:hAnsi="Times New Roman"/>
                <w:szCs w:val="21"/>
              </w:rPr>
              <w:t>Cu</w:t>
            </w:r>
          </w:p>
        </w:tc>
        <w:tc>
          <w:tcPr>
            <w:tcW w:w="2559" w:type="pct"/>
            <w:vAlign w:val="center"/>
          </w:tcPr>
          <w:p>
            <w:pPr>
              <w:snapToGrid w:val="0"/>
              <w:jc w:val="center"/>
              <w:rPr>
                <w:rFonts w:ascii="Times New Roman" w:hAnsi="Times New Roman"/>
                <w:szCs w:val="21"/>
              </w:rPr>
            </w:pPr>
            <w:r>
              <w:rPr>
                <w:rFonts w:ascii="Times New Roman" w:hAnsi="Times New Roman"/>
                <w:szCs w:val="21"/>
              </w:rPr>
              <w:t>0.86~65.0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1" w:type="pct"/>
            <w:vAlign w:val="center"/>
          </w:tcPr>
          <w:p>
            <w:pPr>
              <w:snapToGrid w:val="0"/>
              <w:jc w:val="center"/>
              <w:rPr>
                <w:rFonts w:ascii="Times New Roman" w:hAnsi="Times New Roman"/>
                <w:szCs w:val="21"/>
              </w:rPr>
            </w:pPr>
            <w:r>
              <w:rPr>
                <w:rFonts w:ascii="Times New Roman" w:hAnsi="Times New Roman"/>
                <w:szCs w:val="21"/>
              </w:rPr>
              <w:t>As</w:t>
            </w:r>
          </w:p>
        </w:tc>
        <w:tc>
          <w:tcPr>
            <w:tcW w:w="2559" w:type="pct"/>
            <w:vAlign w:val="center"/>
          </w:tcPr>
          <w:p>
            <w:pPr>
              <w:snapToGrid w:val="0"/>
              <w:jc w:val="center"/>
              <w:rPr>
                <w:rFonts w:ascii="Times New Roman" w:hAnsi="Times New Roman"/>
                <w:szCs w:val="21"/>
              </w:rPr>
            </w:pPr>
            <w:r>
              <w:rPr>
                <w:rFonts w:ascii="Times New Roman" w:hAnsi="Times New Roman"/>
                <w:szCs w:val="21"/>
              </w:rPr>
              <w:t>0.25~28.1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1" w:type="pct"/>
            <w:vAlign w:val="center"/>
          </w:tcPr>
          <w:p>
            <w:pPr>
              <w:snapToGrid w:val="0"/>
              <w:jc w:val="center"/>
              <w:rPr>
                <w:rFonts w:ascii="Times New Roman" w:hAnsi="Times New Roman"/>
                <w:szCs w:val="21"/>
              </w:rPr>
            </w:pPr>
            <w:r>
              <w:rPr>
                <w:rFonts w:ascii="Times New Roman" w:hAnsi="Times New Roman"/>
                <w:szCs w:val="21"/>
              </w:rPr>
              <w:t>Fe</w:t>
            </w:r>
          </w:p>
        </w:tc>
        <w:tc>
          <w:tcPr>
            <w:tcW w:w="2559" w:type="pct"/>
            <w:vAlign w:val="center"/>
          </w:tcPr>
          <w:p>
            <w:pPr>
              <w:snapToGrid w:val="0"/>
              <w:jc w:val="center"/>
              <w:rPr>
                <w:rFonts w:ascii="Times New Roman" w:hAnsi="Times New Roman"/>
                <w:szCs w:val="21"/>
              </w:rPr>
            </w:pPr>
            <w:r>
              <w:rPr>
                <w:rFonts w:ascii="Times New Roman" w:hAnsi="Times New Roman"/>
                <w:szCs w:val="21"/>
              </w:rPr>
              <w:t>0.3~3.2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1" w:type="pct"/>
            <w:vAlign w:val="center"/>
          </w:tcPr>
          <w:p>
            <w:pPr>
              <w:snapToGrid w:val="0"/>
              <w:jc w:val="center"/>
              <w:rPr>
                <w:rFonts w:ascii="Times New Roman" w:hAnsi="Times New Roman"/>
                <w:szCs w:val="21"/>
              </w:rPr>
            </w:pPr>
            <w:r>
              <w:rPr>
                <w:rFonts w:ascii="Times New Roman" w:hAnsi="Times New Roman"/>
                <w:szCs w:val="21"/>
              </w:rPr>
              <w:t>Al</w:t>
            </w:r>
          </w:p>
        </w:tc>
        <w:tc>
          <w:tcPr>
            <w:tcW w:w="2559" w:type="pct"/>
            <w:vAlign w:val="center"/>
          </w:tcPr>
          <w:p>
            <w:pPr>
              <w:snapToGrid w:val="0"/>
              <w:jc w:val="center"/>
              <w:rPr>
                <w:rFonts w:ascii="Times New Roman" w:hAnsi="Times New Roman"/>
                <w:szCs w:val="21"/>
              </w:rPr>
            </w:pPr>
            <w:r>
              <w:rPr>
                <w:rFonts w:ascii="Times New Roman" w:hAnsi="Times New Roman"/>
                <w:szCs w:val="21"/>
              </w:rPr>
              <w:t>5.1~12.7</w:t>
            </w:r>
          </w:p>
        </w:tc>
      </w:tr>
    </w:tbl>
    <w:p>
      <w:pPr>
        <w:spacing w:line="360" w:lineRule="auto"/>
        <w:rPr>
          <w:rFonts w:ascii="黑体" w:hAnsi="黑体" w:eastAsia="黑体"/>
          <w:szCs w:val="21"/>
        </w:rPr>
      </w:pPr>
      <w:r>
        <w:rPr>
          <w:rFonts w:hint="eastAsia" w:ascii="黑体" w:hAnsi="黑体" w:eastAsia="黑体"/>
          <w:szCs w:val="21"/>
        </w:rPr>
        <w:t>3.3</w:t>
      </w:r>
      <w:r>
        <w:rPr>
          <w:rFonts w:ascii="黑体" w:hAnsi="黑体" w:eastAsia="黑体"/>
          <w:szCs w:val="21"/>
        </w:rPr>
        <w:t xml:space="preserve">.3  </w:t>
      </w:r>
      <w:r>
        <w:rPr>
          <w:rFonts w:hint="eastAsia" w:ascii="黑体" w:hAnsi="黑体" w:eastAsia="黑体"/>
          <w:szCs w:val="21"/>
        </w:rPr>
        <w:t>样品加标回收率</w:t>
      </w:r>
    </w:p>
    <w:p>
      <w:pPr>
        <w:adjustRightInd w:val="0"/>
        <w:snapToGrid w:val="0"/>
        <w:spacing w:before="50" w:after="50"/>
        <w:ind w:firstLine="444" w:firstLineChars="200"/>
        <w:rPr>
          <w:szCs w:val="21"/>
        </w:rPr>
      </w:pPr>
      <w:r>
        <w:rPr>
          <w:spacing w:val="6"/>
        </w:rPr>
        <w:t>在样品</w:t>
      </w:r>
      <w:r>
        <w:rPr>
          <w:rFonts w:hint="eastAsia"/>
          <w:spacing w:val="6"/>
        </w:rPr>
        <w:t>1#</w:t>
      </w:r>
      <w:r>
        <w:rPr>
          <w:spacing w:val="6"/>
        </w:rPr>
        <w:t>和</w:t>
      </w:r>
      <w:r>
        <w:rPr>
          <w:rFonts w:hint="eastAsia"/>
          <w:spacing w:val="6"/>
        </w:rPr>
        <w:t>3#</w:t>
      </w:r>
      <w:r>
        <w:rPr>
          <w:spacing w:val="6"/>
        </w:rPr>
        <w:t>中分别加入</w:t>
      </w:r>
      <w:r>
        <w:rPr>
          <w:rFonts w:hint="eastAsia"/>
          <w:spacing w:val="6"/>
        </w:rPr>
        <w:t>不同量的镉</w:t>
      </w:r>
      <w:r>
        <w:rPr>
          <w:spacing w:val="6"/>
        </w:rPr>
        <w:t>标准溶液进行</w:t>
      </w:r>
      <w:r>
        <w:rPr>
          <w:rFonts w:hint="eastAsia"/>
          <w:spacing w:val="6"/>
        </w:rPr>
        <w:t>加标</w:t>
      </w:r>
      <w:r>
        <w:rPr>
          <w:spacing w:val="6"/>
        </w:rPr>
        <w:t>回收</w:t>
      </w:r>
      <w:r>
        <w:rPr>
          <w:rFonts w:hint="eastAsia"/>
          <w:spacing w:val="6"/>
        </w:rPr>
        <w:t>实验</w:t>
      </w:r>
      <w:r>
        <w:rPr>
          <w:spacing w:val="6"/>
        </w:rPr>
        <w:t>，</w:t>
      </w:r>
      <w:r>
        <w:rPr>
          <w:rFonts w:hint="eastAsia"/>
          <w:spacing w:val="6"/>
        </w:rPr>
        <w:t>结果</w:t>
      </w:r>
      <w:r>
        <w:rPr>
          <w:spacing w:val="6"/>
        </w:rPr>
        <w:t>见表5。</w:t>
      </w:r>
      <w:r>
        <w:rPr>
          <w:rFonts w:hint="eastAsia"/>
          <w:szCs w:val="21"/>
        </w:rPr>
        <w:t>从表</w:t>
      </w:r>
      <w:r>
        <w:rPr>
          <w:szCs w:val="21"/>
        </w:rPr>
        <w:t>5</w:t>
      </w:r>
      <w:r>
        <w:rPr>
          <w:rFonts w:hint="eastAsia"/>
          <w:szCs w:val="21"/>
        </w:rPr>
        <w:t>中看样品加标回收率在99.</w:t>
      </w:r>
      <w:r>
        <w:rPr>
          <w:szCs w:val="21"/>
        </w:rPr>
        <w:t>6</w:t>
      </w:r>
      <w:r>
        <w:rPr>
          <w:rFonts w:hint="eastAsia"/>
          <w:szCs w:val="21"/>
        </w:rPr>
        <w:t>%~10</w:t>
      </w:r>
      <w:r>
        <w:rPr>
          <w:szCs w:val="21"/>
        </w:rPr>
        <w:t>0.2</w:t>
      </w:r>
      <w:r>
        <w:rPr>
          <w:rFonts w:hint="eastAsia"/>
          <w:szCs w:val="21"/>
        </w:rPr>
        <w:t>%之间，方法</w:t>
      </w:r>
      <w:r>
        <w:rPr>
          <w:szCs w:val="21"/>
        </w:rPr>
        <w:t>适用于</w:t>
      </w:r>
      <w:r>
        <w:rPr>
          <w:rFonts w:hint="eastAsia"/>
          <w:szCs w:val="21"/>
        </w:rPr>
        <w:t>镉</w:t>
      </w:r>
      <w:r>
        <w:rPr>
          <w:szCs w:val="21"/>
        </w:rPr>
        <w:t>含量在5.00%</w:t>
      </w:r>
      <w:r>
        <w:rPr>
          <w:rFonts w:ascii="Times New Roman" w:hAnsi="Times New Roman" w:eastAsia="黑体"/>
          <w:szCs w:val="21"/>
        </w:rPr>
        <w:t>~</w:t>
      </w:r>
      <w:r>
        <w:rPr>
          <w:szCs w:val="21"/>
        </w:rPr>
        <w:t>1</w:t>
      </w:r>
      <w:r>
        <w:rPr>
          <w:rFonts w:hint="eastAsia"/>
          <w:szCs w:val="21"/>
        </w:rPr>
        <w:t>7</w:t>
      </w:r>
      <w:r>
        <w:rPr>
          <w:szCs w:val="21"/>
        </w:rPr>
        <w:t>.00%之间的</w:t>
      </w:r>
      <w:r>
        <w:rPr>
          <w:rFonts w:hint="eastAsia"/>
          <w:szCs w:val="21"/>
        </w:rPr>
        <w:t>铜冶炼烟尘</w:t>
      </w:r>
      <w:r>
        <w:rPr>
          <w:szCs w:val="21"/>
        </w:rPr>
        <w:t>中</w:t>
      </w:r>
      <w:r>
        <w:rPr>
          <w:rFonts w:hint="eastAsia"/>
          <w:szCs w:val="21"/>
        </w:rPr>
        <w:t>镉含</w:t>
      </w:r>
      <w:r>
        <w:rPr>
          <w:szCs w:val="21"/>
        </w:rPr>
        <w:t>量的测定，可作为行业标准方法推广使用。</w:t>
      </w:r>
    </w:p>
    <w:p>
      <w:pPr>
        <w:jc w:val="center"/>
      </w:pPr>
      <w:r>
        <w:rPr>
          <w:rFonts w:hint="eastAsia"/>
          <w:szCs w:val="21"/>
        </w:rPr>
        <w:t>表</w:t>
      </w:r>
      <w:r>
        <w:rPr>
          <w:szCs w:val="21"/>
        </w:rPr>
        <w:t xml:space="preserve">5 </w:t>
      </w:r>
      <w:r>
        <w:rPr>
          <w:rFonts w:hint="eastAsia"/>
          <w:szCs w:val="21"/>
        </w:rPr>
        <w:t xml:space="preserve"> 回收率实验</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4"/>
        <w:gridCol w:w="1992"/>
        <w:gridCol w:w="1996"/>
        <w:gridCol w:w="199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vAlign w:val="center"/>
          </w:tcPr>
          <w:p>
            <w:pPr>
              <w:adjustRightInd w:val="0"/>
              <w:snapToGrid w:val="0"/>
              <w:spacing w:before="50" w:after="50"/>
              <w:ind w:firstLine="222" w:firstLineChars="100"/>
              <w:jc w:val="center"/>
            </w:pPr>
            <w:r>
              <w:rPr>
                <w:rFonts w:hint="eastAsia"/>
                <w:spacing w:val="6"/>
              </w:rPr>
              <w:t>样品</w:t>
            </w:r>
            <w:r>
              <w:rPr>
                <w:spacing w:val="6"/>
              </w:rPr>
              <w:t>编号</w:t>
            </w:r>
          </w:p>
        </w:tc>
        <w:tc>
          <w:tcPr>
            <w:tcW w:w="1000" w:type="pct"/>
            <w:vAlign w:val="center"/>
          </w:tcPr>
          <w:p>
            <w:pPr>
              <w:adjustRightInd w:val="0"/>
              <w:snapToGrid w:val="0"/>
              <w:spacing w:before="50" w:after="50"/>
              <w:jc w:val="center"/>
            </w:pPr>
            <w:r>
              <w:rPr>
                <w:spacing w:val="6"/>
              </w:rPr>
              <w:t>样品含</w:t>
            </w:r>
            <w:r>
              <w:rPr>
                <w:rFonts w:hint="eastAsia"/>
                <w:spacing w:val="6"/>
              </w:rPr>
              <w:t>镉</w:t>
            </w:r>
            <w:r>
              <w:rPr>
                <w:spacing w:val="6"/>
              </w:rPr>
              <w:t>量/</w:t>
            </w:r>
            <w:r>
              <w:rPr>
                <w:rFonts w:hint="eastAsia"/>
                <w:spacing w:val="6"/>
              </w:rPr>
              <w:t>m</w:t>
            </w:r>
            <w:r>
              <w:rPr>
                <w:spacing w:val="6"/>
              </w:rPr>
              <w:t>g</w:t>
            </w:r>
          </w:p>
        </w:tc>
        <w:tc>
          <w:tcPr>
            <w:tcW w:w="1002" w:type="pct"/>
            <w:vAlign w:val="center"/>
          </w:tcPr>
          <w:p>
            <w:pPr>
              <w:adjustRightInd w:val="0"/>
              <w:snapToGrid w:val="0"/>
              <w:spacing w:before="50" w:after="50"/>
              <w:jc w:val="center"/>
            </w:pPr>
            <w:r>
              <w:rPr>
                <w:spacing w:val="6"/>
              </w:rPr>
              <w:t>加入</w:t>
            </w:r>
            <w:r>
              <w:rPr>
                <w:rFonts w:hint="eastAsia"/>
                <w:spacing w:val="6"/>
              </w:rPr>
              <w:t>镉</w:t>
            </w:r>
            <w:r>
              <w:rPr>
                <w:spacing w:val="6"/>
              </w:rPr>
              <w:t>量/</w:t>
            </w:r>
            <w:r>
              <w:rPr>
                <w:rFonts w:hint="eastAsia"/>
                <w:spacing w:val="6"/>
              </w:rPr>
              <w:t>m</w:t>
            </w:r>
            <w:r>
              <w:rPr>
                <w:spacing w:val="6"/>
              </w:rPr>
              <w:t>g</w:t>
            </w:r>
          </w:p>
        </w:tc>
        <w:tc>
          <w:tcPr>
            <w:tcW w:w="1001" w:type="pct"/>
            <w:vAlign w:val="center"/>
          </w:tcPr>
          <w:p>
            <w:pPr>
              <w:adjustRightInd w:val="0"/>
              <w:snapToGrid w:val="0"/>
              <w:spacing w:before="50" w:after="50"/>
              <w:jc w:val="center"/>
            </w:pPr>
            <w:r>
              <w:rPr>
                <w:spacing w:val="6"/>
              </w:rPr>
              <w:t>测得</w:t>
            </w:r>
            <w:r>
              <w:rPr>
                <w:rFonts w:hint="eastAsia"/>
                <w:spacing w:val="6"/>
              </w:rPr>
              <w:t>镉</w:t>
            </w:r>
            <w:r>
              <w:rPr>
                <w:spacing w:val="6"/>
              </w:rPr>
              <w:t>量/</w:t>
            </w:r>
            <w:r>
              <w:rPr>
                <w:rFonts w:hint="eastAsia"/>
                <w:spacing w:val="6"/>
              </w:rPr>
              <w:t>m</w:t>
            </w:r>
            <w:r>
              <w:rPr>
                <w:spacing w:val="6"/>
              </w:rPr>
              <w:t>g</w:t>
            </w:r>
          </w:p>
        </w:tc>
        <w:tc>
          <w:tcPr>
            <w:tcW w:w="996" w:type="pct"/>
            <w:vAlign w:val="center"/>
          </w:tcPr>
          <w:p>
            <w:pPr>
              <w:adjustRightInd w:val="0"/>
              <w:snapToGrid w:val="0"/>
              <w:spacing w:before="50" w:after="50"/>
              <w:ind w:firstLine="222" w:firstLineChars="100"/>
              <w:jc w:val="center"/>
            </w:pPr>
            <w:r>
              <w:rPr>
                <w:spacing w:val="6"/>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vAlign w:val="center"/>
          </w:tcPr>
          <w:p>
            <w:pPr>
              <w:jc w:val="center"/>
            </w:pPr>
            <w:r>
              <w:rPr>
                <w:rFonts w:hint="eastAsia"/>
              </w:rPr>
              <w:t>1#</w:t>
            </w:r>
          </w:p>
        </w:tc>
        <w:tc>
          <w:tcPr>
            <w:tcW w:w="1000" w:type="pct"/>
            <w:vAlign w:val="center"/>
          </w:tcPr>
          <w:p>
            <w:pPr>
              <w:jc w:val="center"/>
            </w:pPr>
            <w:r>
              <w:rPr>
                <w:rFonts w:hint="eastAsia"/>
              </w:rPr>
              <w:t>10.63</w:t>
            </w:r>
          </w:p>
        </w:tc>
        <w:tc>
          <w:tcPr>
            <w:tcW w:w="1002" w:type="pct"/>
            <w:vAlign w:val="center"/>
          </w:tcPr>
          <w:p>
            <w:pPr>
              <w:jc w:val="center"/>
            </w:pPr>
            <w:r>
              <w:rPr>
                <w:rFonts w:hint="eastAsia"/>
              </w:rPr>
              <w:t>20.00</w:t>
            </w:r>
          </w:p>
        </w:tc>
        <w:tc>
          <w:tcPr>
            <w:tcW w:w="1001" w:type="pct"/>
            <w:vAlign w:val="center"/>
          </w:tcPr>
          <w:p>
            <w:pPr>
              <w:jc w:val="center"/>
            </w:pPr>
            <w:r>
              <w:rPr>
                <w:rFonts w:hint="eastAsia"/>
              </w:rPr>
              <w:t>30.57</w:t>
            </w:r>
          </w:p>
        </w:tc>
        <w:tc>
          <w:tcPr>
            <w:tcW w:w="996" w:type="pct"/>
            <w:vAlign w:val="center"/>
          </w:tcPr>
          <w:p>
            <w:pPr>
              <w:ind w:firstLine="630" w:firstLineChars="300"/>
            </w:pPr>
            <w:r>
              <w:rPr>
                <w:rFonts w:hint="eastAsia"/>
              </w:rPr>
              <w:t>99.80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vAlign w:val="center"/>
          </w:tcPr>
          <w:p>
            <w:pPr>
              <w:jc w:val="center"/>
            </w:pPr>
            <w:r>
              <w:rPr>
                <w:rFonts w:hint="eastAsia"/>
              </w:rPr>
              <w:t>1#</w:t>
            </w:r>
          </w:p>
        </w:tc>
        <w:tc>
          <w:tcPr>
            <w:tcW w:w="1000" w:type="pct"/>
            <w:vAlign w:val="center"/>
          </w:tcPr>
          <w:p>
            <w:pPr>
              <w:jc w:val="center"/>
            </w:pPr>
            <w:r>
              <w:rPr>
                <w:rFonts w:hint="eastAsia"/>
              </w:rPr>
              <w:t>10.76</w:t>
            </w:r>
          </w:p>
        </w:tc>
        <w:tc>
          <w:tcPr>
            <w:tcW w:w="1002" w:type="pct"/>
            <w:vAlign w:val="center"/>
          </w:tcPr>
          <w:p>
            <w:pPr>
              <w:jc w:val="center"/>
            </w:pPr>
            <w:r>
              <w:rPr>
                <w:rFonts w:hint="eastAsia"/>
              </w:rPr>
              <w:t>20.00</w:t>
            </w:r>
          </w:p>
        </w:tc>
        <w:tc>
          <w:tcPr>
            <w:tcW w:w="1001" w:type="pct"/>
            <w:vAlign w:val="center"/>
          </w:tcPr>
          <w:p>
            <w:pPr>
              <w:jc w:val="center"/>
            </w:pPr>
            <w:r>
              <w:rPr>
                <w:rFonts w:hint="eastAsia"/>
              </w:rPr>
              <w:t>30.65</w:t>
            </w:r>
          </w:p>
        </w:tc>
        <w:tc>
          <w:tcPr>
            <w:tcW w:w="996" w:type="pct"/>
            <w:vAlign w:val="center"/>
          </w:tcPr>
          <w:p>
            <w:pPr>
              <w:ind w:firstLine="630" w:firstLineChars="300"/>
            </w:pPr>
            <w:r>
              <w:rPr>
                <w:rFonts w:hint="eastAsia"/>
              </w:rPr>
              <w:t>99.64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vAlign w:val="center"/>
          </w:tcPr>
          <w:p>
            <w:pPr>
              <w:jc w:val="center"/>
            </w:pPr>
            <w:r>
              <w:rPr>
                <w:rFonts w:hint="eastAsia"/>
              </w:rPr>
              <w:t>3#</w:t>
            </w:r>
          </w:p>
        </w:tc>
        <w:tc>
          <w:tcPr>
            <w:tcW w:w="1000" w:type="pct"/>
            <w:vAlign w:val="center"/>
          </w:tcPr>
          <w:p>
            <w:pPr>
              <w:jc w:val="center"/>
            </w:pPr>
            <w:r>
              <w:rPr>
                <w:rFonts w:hint="eastAsia"/>
              </w:rPr>
              <w:t>27.76</w:t>
            </w:r>
          </w:p>
        </w:tc>
        <w:tc>
          <w:tcPr>
            <w:tcW w:w="1002" w:type="pct"/>
            <w:vAlign w:val="center"/>
          </w:tcPr>
          <w:p>
            <w:pPr>
              <w:jc w:val="center"/>
            </w:pPr>
            <w:r>
              <w:rPr>
                <w:rFonts w:hint="eastAsia"/>
              </w:rPr>
              <w:t>20.00</w:t>
            </w:r>
          </w:p>
        </w:tc>
        <w:tc>
          <w:tcPr>
            <w:tcW w:w="1001" w:type="pct"/>
            <w:vAlign w:val="center"/>
          </w:tcPr>
          <w:p>
            <w:pPr>
              <w:jc w:val="center"/>
            </w:pPr>
            <w:r>
              <w:rPr>
                <w:rFonts w:hint="eastAsia"/>
              </w:rPr>
              <w:t>47.86</w:t>
            </w:r>
          </w:p>
        </w:tc>
        <w:tc>
          <w:tcPr>
            <w:tcW w:w="996" w:type="pct"/>
            <w:vAlign w:val="center"/>
          </w:tcPr>
          <w:p>
            <w:pPr>
              <w:ind w:firstLine="630" w:firstLineChars="300"/>
            </w:pPr>
            <w:r>
              <w:rPr>
                <w:rFonts w:hint="eastAsia"/>
              </w:rPr>
              <w:t>100.21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vAlign w:val="center"/>
          </w:tcPr>
          <w:p>
            <w:pPr>
              <w:jc w:val="center"/>
            </w:pPr>
            <w:r>
              <w:rPr>
                <w:rFonts w:hint="eastAsia"/>
              </w:rPr>
              <w:t>3#</w:t>
            </w:r>
          </w:p>
        </w:tc>
        <w:tc>
          <w:tcPr>
            <w:tcW w:w="1000" w:type="pct"/>
            <w:vAlign w:val="center"/>
          </w:tcPr>
          <w:p>
            <w:pPr>
              <w:jc w:val="center"/>
            </w:pPr>
            <w:r>
              <w:rPr>
                <w:rFonts w:hint="eastAsia"/>
              </w:rPr>
              <w:t>27.29</w:t>
            </w:r>
          </w:p>
        </w:tc>
        <w:tc>
          <w:tcPr>
            <w:tcW w:w="1002" w:type="pct"/>
            <w:vAlign w:val="center"/>
          </w:tcPr>
          <w:p>
            <w:pPr>
              <w:jc w:val="center"/>
            </w:pPr>
            <w:r>
              <w:rPr>
                <w:rFonts w:hint="eastAsia"/>
              </w:rPr>
              <w:t>20.00</w:t>
            </w:r>
          </w:p>
        </w:tc>
        <w:tc>
          <w:tcPr>
            <w:tcW w:w="1001" w:type="pct"/>
            <w:vAlign w:val="center"/>
          </w:tcPr>
          <w:p>
            <w:pPr>
              <w:jc w:val="center"/>
            </w:pPr>
            <w:r>
              <w:rPr>
                <w:rFonts w:hint="eastAsia"/>
              </w:rPr>
              <w:t>47.21</w:t>
            </w:r>
          </w:p>
        </w:tc>
        <w:tc>
          <w:tcPr>
            <w:tcW w:w="996" w:type="pct"/>
            <w:vAlign w:val="center"/>
          </w:tcPr>
          <w:p>
            <w:pPr>
              <w:ind w:firstLine="630" w:firstLineChars="300"/>
            </w:pPr>
            <w:r>
              <w:rPr>
                <w:rFonts w:hint="eastAsia"/>
              </w:rPr>
              <w:t>99.83</w:t>
            </w:r>
          </w:p>
        </w:tc>
      </w:tr>
    </w:tbl>
    <w:p>
      <w:pPr>
        <w:spacing w:line="360" w:lineRule="auto"/>
        <w:rPr>
          <w:rFonts w:ascii="黑体" w:hAnsi="黑体" w:eastAsia="黑体"/>
          <w:szCs w:val="21"/>
        </w:rPr>
      </w:pPr>
      <w:r>
        <w:rPr>
          <w:rFonts w:hint="eastAsia" w:ascii="黑体" w:hAnsi="黑体" w:eastAsia="黑体"/>
          <w:szCs w:val="21"/>
        </w:rPr>
        <w:t>3.4重复性及再现性</w:t>
      </w:r>
    </w:p>
    <w:p>
      <w:pPr>
        <w:ind w:firstLine="435"/>
        <w:rPr>
          <w:sz w:val="24"/>
        </w:rPr>
      </w:pPr>
      <w:r>
        <w:rPr>
          <w:rFonts w:hint="eastAsia"/>
          <w:bCs/>
          <w:szCs w:val="21"/>
        </w:rPr>
        <w:t>铜冶炼烟尘中镉含量测定的原始数据及原始数据统计检验过程见《</w:t>
      </w:r>
      <w:r>
        <w:rPr>
          <w:szCs w:val="21"/>
        </w:rPr>
        <w:t>实验数据</w:t>
      </w:r>
      <w:r>
        <w:rPr>
          <w:rFonts w:hint="eastAsia"/>
          <w:szCs w:val="21"/>
        </w:rPr>
        <w:t>及</w:t>
      </w:r>
      <w:r>
        <w:rPr>
          <w:szCs w:val="21"/>
        </w:rPr>
        <w:t>处理</w:t>
      </w:r>
      <w:r>
        <w:rPr>
          <w:rFonts w:hint="eastAsia"/>
          <w:bCs/>
          <w:szCs w:val="21"/>
        </w:rPr>
        <w:t>》第1部分至第3部分，</w:t>
      </w:r>
      <w:r>
        <w:rPr>
          <w:bCs/>
          <w:szCs w:val="21"/>
        </w:rPr>
        <w:t>重复性、再现性计算结果见表6</w:t>
      </w:r>
      <w:r>
        <w:rPr>
          <w:rFonts w:hint="eastAsia"/>
          <w:bCs/>
          <w:szCs w:val="21"/>
        </w:rPr>
        <w:t>和表</w:t>
      </w:r>
      <w:r>
        <w:rPr>
          <w:bCs/>
          <w:szCs w:val="21"/>
        </w:rPr>
        <w:t>7。</w:t>
      </w:r>
    </w:p>
    <w:p>
      <w:pPr>
        <w:pStyle w:val="4"/>
        <w:spacing w:line="360" w:lineRule="auto"/>
        <w:ind w:firstLine="0" w:firstLineChars="0"/>
        <w:jc w:val="center"/>
        <w:rPr>
          <w:rFonts w:eastAsia="黑体"/>
          <w:bCs/>
          <w:color w:val="000000"/>
        </w:rPr>
      </w:pPr>
      <w:r>
        <w:rPr>
          <w:rFonts w:eastAsia="黑体"/>
          <w:bCs/>
          <w:color w:val="000000"/>
        </w:rPr>
        <w:t>表6-1  方法1 重复性限</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658"/>
        <w:gridCol w:w="1658"/>
        <w:gridCol w:w="1658"/>
        <w:gridCol w:w="1662"/>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32" w:type="pct"/>
            <w:vAlign w:val="center"/>
          </w:tcPr>
          <w:p>
            <w:pPr>
              <w:jc w:val="center"/>
              <w:rPr>
                <w:rFonts w:ascii="Times New Roman" w:hAnsi="Times New Roman"/>
                <w:szCs w:val="21"/>
              </w:rPr>
            </w:pPr>
            <w:r>
              <w:rPr>
                <w:rFonts w:ascii="Times New Roman" w:hAnsi="Times New Roman"/>
                <w:i/>
                <w:iCs/>
                <w:szCs w:val="21"/>
              </w:rPr>
              <w:t>w</w:t>
            </w:r>
            <w:r>
              <w:rPr>
                <w:rFonts w:ascii="Times New Roman" w:hAnsi="Times New Roman"/>
                <w:szCs w:val="21"/>
                <w:vertAlign w:val="subscript"/>
              </w:rPr>
              <w:t>Cd</w:t>
            </w:r>
            <w:r>
              <w:rPr>
                <w:rFonts w:ascii="Times New Roman" w:hAnsi="Times New Roman"/>
                <w:szCs w:val="21"/>
              </w:rPr>
              <w:t>/%</w:t>
            </w:r>
          </w:p>
        </w:tc>
        <w:tc>
          <w:tcPr>
            <w:tcW w:w="1658"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0.027</w:t>
            </w:r>
          </w:p>
        </w:tc>
        <w:tc>
          <w:tcPr>
            <w:tcW w:w="1658"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0.14</w:t>
            </w:r>
          </w:p>
        </w:tc>
        <w:tc>
          <w:tcPr>
            <w:tcW w:w="1658"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1.05</w:t>
            </w:r>
          </w:p>
        </w:tc>
        <w:tc>
          <w:tcPr>
            <w:tcW w:w="1662" w:type="dxa"/>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lang w:bidi="ar"/>
              </w:rPr>
              <w:t>2.51</w:t>
            </w:r>
          </w:p>
        </w:tc>
        <w:tc>
          <w:tcPr>
            <w:tcW w:w="1662"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32" w:type="pct"/>
            <w:vAlign w:val="center"/>
          </w:tcPr>
          <w:p>
            <w:pPr>
              <w:jc w:val="center"/>
              <w:rPr>
                <w:rFonts w:ascii="Times New Roman" w:hAnsi="Times New Roman"/>
                <w:szCs w:val="21"/>
              </w:rPr>
            </w:pPr>
            <w:r>
              <w:rPr>
                <w:rFonts w:ascii="Times New Roman" w:hAnsi="Times New Roman"/>
                <w:szCs w:val="21"/>
              </w:rPr>
              <w:t>r/%</w:t>
            </w:r>
          </w:p>
        </w:tc>
        <w:tc>
          <w:tcPr>
            <w:tcW w:w="1658"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0.002</w:t>
            </w:r>
          </w:p>
        </w:tc>
        <w:tc>
          <w:tcPr>
            <w:tcW w:w="1658" w:type="dxa"/>
            <w:vAlign w:val="center"/>
          </w:tcPr>
          <w:p>
            <w:pPr>
              <w:widowControl/>
              <w:jc w:val="center"/>
              <w:textAlignment w:val="center"/>
              <w:rPr>
                <w:rFonts w:hint="eastAsia" w:ascii="Times New Roman" w:hAnsi="Times New Roman" w:eastAsia="宋体"/>
                <w:szCs w:val="21"/>
                <w:lang w:val="en-US" w:eastAsia="zh-CN"/>
              </w:rPr>
            </w:pPr>
            <w:r>
              <w:rPr>
                <w:rFonts w:ascii="Times New Roman" w:hAnsi="Times New Roman"/>
                <w:color w:val="000000"/>
                <w:kern w:val="0"/>
                <w:szCs w:val="21"/>
                <w:lang w:bidi="ar"/>
              </w:rPr>
              <w:t>0.0</w:t>
            </w:r>
            <w:r>
              <w:rPr>
                <w:rFonts w:hint="eastAsia" w:ascii="Times New Roman" w:hAnsi="Times New Roman"/>
                <w:color w:val="000000"/>
                <w:kern w:val="0"/>
                <w:szCs w:val="21"/>
                <w:lang w:val="en-US" w:eastAsia="zh-CN" w:bidi="ar"/>
              </w:rPr>
              <w:t>2</w:t>
            </w:r>
          </w:p>
        </w:tc>
        <w:tc>
          <w:tcPr>
            <w:tcW w:w="1658"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0.05</w:t>
            </w:r>
          </w:p>
        </w:tc>
        <w:tc>
          <w:tcPr>
            <w:tcW w:w="1662"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0.07</w:t>
            </w:r>
          </w:p>
        </w:tc>
        <w:tc>
          <w:tcPr>
            <w:tcW w:w="1662"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0.12</w:t>
            </w:r>
          </w:p>
        </w:tc>
      </w:tr>
    </w:tbl>
    <w:p>
      <w:pPr>
        <w:pStyle w:val="4"/>
        <w:spacing w:line="360" w:lineRule="auto"/>
        <w:ind w:firstLine="0" w:firstLineChars="0"/>
        <w:jc w:val="center"/>
        <w:rPr>
          <w:rFonts w:eastAsia="黑体"/>
          <w:bCs/>
          <w:color w:val="000000"/>
        </w:rPr>
      </w:pPr>
      <w:r>
        <w:rPr>
          <w:rFonts w:eastAsia="黑体"/>
          <w:bCs/>
          <w:color w:val="000000"/>
        </w:rPr>
        <w:t>表6</w:t>
      </w:r>
      <w:r>
        <w:rPr>
          <w:rFonts w:hint="eastAsia" w:eastAsia="黑体"/>
          <w:bCs/>
          <w:color w:val="000000"/>
        </w:rPr>
        <w:t xml:space="preserve">-2 </w:t>
      </w:r>
      <w:r>
        <w:rPr>
          <w:rFonts w:eastAsia="黑体"/>
          <w:bCs/>
          <w:color w:val="000000"/>
        </w:rPr>
        <w:t xml:space="preserve"> </w:t>
      </w:r>
      <w:r>
        <w:rPr>
          <w:rFonts w:hint="eastAsia" w:eastAsia="黑体"/>
          <w:bCs/>
          <w:color w:val="000000"/>
        </w:rPr>
        <w:t>方法2</w:t>
      </w:r>
      <w:r>
        <w:rPr>
          <w:rFonts w:eastAsia="黑体"/>
          <w:bCs/>
          <w:color w:val="000000"/>
        </w:rPr>
        <w:t xml:space="preserve"> 重复性限</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315"/>
        <w:gridCol w:w="1992"/>
        <w:gridCol w:w="1992"/>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37" w:type="pct"/>
            <w:vAlign w:val="center"/>
          </w:tcPr>
          <w:p>
            <w:pPr>
              <w:jc w:val="center"/>
              <w:rPr>
                <w:rFonts w:ascii="Times New Roman" w:hAnsi="Times New Roman"/>
              </w:rPr>
            </w:pPr>
            <w:r>
              <w:rPr>
                <w:rFonts w:ascii="Times New Roman" w:hAnsi="Times New Roman"/>
                <w:i/>
                <w:iCs/>
              </w:rPr>
              <w:t>w</w:t>
            </w:r>
            <w:r>
              <w:rPr>
                <w:rFonts w:ascii="Times New Roman" w:hAnsi="Times New Roman"/>
                <w:vertAlign w:val="subscript"/>
              </w:rPr>
              <w:t>Cd</w:t>
            </w:r>
            <w:r>
              <w:rPr>
                <w:rFonts w:ascii="Times New Roman" w:hAnsi="Times New Roman"/>
              </w:rPr>
              <w:t>/%</w:t>
            </w:r>
          </w:p>
        </w:tc>
        <w:tc>
          <w:tcPr>
            <w:tcW w:w="1162" w:type="pct"/>
            <w:vAlign w:val="center"/>
          </w:tcPr>
          <w:p>
            <w:pPr>
              <w:pStyle w:val="4"/>
              <w:ind w:firstLine="0" w:firstLineChars="0"/>
              <w:jc w:val="center"/>
            </w:pPr>
            <w:r>
              <w:t>5.27</w:t>
            </w:r>
          </w:p>
        </w:tc>
        <w:tc>
          <w:tcPr>
            <w:tcW w:w="1000" w:type="pct"/>
            <w:vAlign w:val="center"/>
          </w:tcPr>
          <w:p>
            <w:pPr>
              <w:pStyle w:val="4"/>
              <w:ind w:firstLine="0" w:firstLineChars="0"/>
              <w:jc w:val="center"/>
            </w:pPr>
            <w:r>
              <w:t>10.29</w:t>
            </w:r>
          </w:p>
        </w:tc>
        <w:tc>
          <w:tcPr>
            <w:tcW w:w="1000" w:type="pct"/>
            <w:vAlign w:val="center"/>
          </w:tcPr>
          <w:p>
            <w:pPr>
              <w:pStyle w:val="4"/>
              <w:ind w:firstLine="0" w:firstLineChars="0"/>
              <w:jc w:val="center"/>
            </w:pPr>
            <w:r>
              <w:t>13.46</w:t>
            </w:r>
          </w:p>
        </w:tc>
        <w:tc>
          <w:tcPr>
            <w:tcW w:w="1001" w:type="pct"/>
            <w:vAlign w:val="center"/>
          </w:tcPr>
          <w:p>
            <w:pPr>
              <w:pStyle w:val="4"/>
              <w:ind w:firstLine="0" w:firstLineChars="0"/>
              <w:jc w:val="center"/>
            </w:pPr>
            <w:r>
              <w:rPr>
                <w:color w:val="000000"/>
                <w:kern w:val="0"/>
              </w:rPr>
              <w:t>16.48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37" w:type="pct"/>
            <w:vAlign w:val="center"/>
          </w:tcPr>
          <w:p>
            <w:pPr>
              <w:jc w:val="center"/>
              <w:rPr>
                <w:rFonts w:ascii="Times New Roman" w:hAnsi="Times New Roman"/>
              </w:rPr>
            </w:pPr>
            <w:r>
              <w:rPr>
                <w:rFonts w:ascii="Times New Roman" w:hAnsi="Times New Roman"/>
              </w:rPr>
              <w:t>r/%</w:t>
            </w:r>
          </w:p>
        </w:tc>
        <w:tc>
          <w:tcPr>
            <w:tcW w:w="1162" w:type="pct"/>
            <w:vAlign w:val="center"/>
          </w:tcPr>
          <w:p>
            <w:pPr>
              <w:jc w:val="center"/>
              <w:rPr>
                <w:rFonts w:ascii="Times New Roman" w:hAnsi="Times New Roman"/>
              </w:rPr>
            </w:pPr>
            <w:r>
              <w:rPr>
                <w:rFonts w:ascii="Times New Roman" w:hAnsi="Times New Roman"/>
                <w:szCs w:val="21"/>
              </w:rPr>
              <w:t>0.24</w:t>
            </w:r>
          </w:p>
        </w:tc>
        <w:tc>
          <w:tcPr>
            <w:tcW w:w="1000" w:type="pct"/>
            <w:vAlign w:val="center"/>
          </w:tcPr>
          <w:p>
            <w:pPr>
              <w:widowControl/>
              <w:jc w:val="center"/>
              <w:textAlignment w:val="center"/>
              <w:rPr>
                <w:rFonts w:ascii="Times New Roman" w:hAnsi="Times New Roman"/>
              </w:rPr>
            </w:pPr>
            <w:r>
              <w:rPr>
                <w:rFonts w:ascii="Times New Roman" w:hAnsi="Times New Roman"/>
                <w:szCs w:val="21"/>
              </w:rPr>
              <w:t>0.28</w:t>
            </w:r>
          </w:p>
        </w:tc>
        <w:tc>
          <w:tcPr>
            <w:tcW w:w="1000" w:type="pct"/>
            <w:vAlign w:val="center"/>
          </w:tcPr>
          <w:p>
            <w:pPr>
              <w:widowControl/>
              <w:jc w:val="center"/>
              <w:textAlignment w:val="center"/>
              <w:rPr>
                <w:rFonts w:ascii="Times New Roman" w:hAnsi="Times New Roman"/>
              </w:rPr>
            </w:pPr>
            <w:r>
              <w:rPr>
                <w:rFonts w:ascii="Times New Roman" w:hAnsi="Times New Roman"/>
                <w:szCs w:val="21"/>
              </w:rPr>
              <w:t>0.27</w:t>
            </w:r>
          </w:p>
        </w:tc>
        <w:tc>
          <w:tcPr>
            <w:tcW w:w="1001" w:type="pct"/>
            <w:vAlign w:val="center"/>
          </w:tcPr>
          <w:p>
            <w:pPr>
              <w:widowControl/>
              <w:jc w:val="center"/>
              <w:textAlignment w:val="center"/>
              <w:rPr>
                <w:rFonts w:ascii="Times New Roman" w:hAnsi="Times New Roman"/>
              </w:rPr>
            </w:pPr>
            <w:r>
              <w:rPr>
                <w:rFonts w:ascii="Times New Roman" w:hAnsi="Times New Roman"/>
                <w:szCs w:val="21"/>
              </w:rPr>
              <w:t>0.28</w:t>
            </w:r>
          </w:p>
        </w:tc>
      </w:tr>
    </w:tbl>
    <w:p>
      <w:pPr>
        <w:pStyle w:val="4"/>
        <w:spacing w:line="360" w:lineRule="auto"/>
        <w:ind w:firstLine="0" w:firstLineChars="0"/>
        <w:jc w:val="center"/>
        <w:rPr>
          <w:rFonts w:eastAsia="黑体"/>
          <w:bCs/>
          <w:color w:val="000000"/>
        </w:rPr>
      </w:pPr>
      <w:r>
        <w:rPr>
          <w:rFonts w:eastAsia="黑体"/>
          <w:bCs/>
          <w:color w:val="000000"/>
        </w:rPr>
        <w:t>表7-1  方法1 再现性限</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658"/>
        <w:gridCol w:w="1658"/>
        <w:gridCol w:w="1658"/>
        <w:gridCol w:w="1662"/>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pPr>
              <w:pStyle w:val="4"/>
              <w:spacing w:line="300" w:lineRule="auto"/>
              <w:ind w:firstLine="0" w:firstLineChars="0"/>
              <w:jc w:val="center"/>
              <w:rPr>
                <w:color w:val="000000"/>
              </w:rPr>
            </w:pPr>
            <w:r>
              <w:rPr>
                <w:i/>
                <w:color w:val="000000"/>
              </w:rPr>
              <w:t>w</w:t>
            </w:r>
            <w:r>
              <w:rPr>
                <w:iCs/>
                <w:color w:val="000000"/>
                <w:vertAlign w:val="subscript"/>
              </w:rPr>
              <w:t>Cd</w:t>
            </w:r>
            <w:r>
              <w:rPr>
                <w:iCs/>
                <w:color w:val="000000"/>
              </w:rPr>
              <w:t>/</w:t>
            </w:r>
            <w:r>
              <w:rPr>
                <w:color w:val="000000"/>
              </w:rPr>
              <w:t>%</w:t>
            </w:r>
          </w:p>
        </w:tc>
        <w:tc>
          <w:tcPr>
            <w:tcW w:w="1658"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0.027</w:t>
            </w:r>
          </w:p>
        </w:tc>
        <w:tc>
          <w:tcPr>
            <w:tcW w:w="1658"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0.14</w:t>
            </w:r>
          </w:p>
        </w:tc>
        <w:tc>
          <w:tcPr>
            <w:tcW w:w="1658"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1.05</w:t>
            </w:r>
          </w:p>
        </w:tc>
        <w:tc>
          <w:tcPr>
            <w:tcW w:w="1662"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2.51</w:t>
            </w:r>
          </w:p>
        </w:tc>
        <w:tc>
          <w:tcPr>
            <w:tcW w:w="1662" w:type="dxa"/>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lang w:bidi="ar"/>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pPr>
              <w:pStyle w:val="4"/>
              <w:spacing w:line="300" w:lineRule="auto"/>
              <w:ind w:firstLine="0" w:firstLineChars="0"/>
              <w:jc w:val="center"/>
              <w:rPr>
                <w:color w:val="000000"/>
              </w:rPr>
            </w:pPr>
            <w:r>
              <w:rPr>
                <w:i/>
                <w:color w:val="000000"/>
              </w:rPr>
              <w:t>R</w:t>
            </w:r>
            <w:r>
              <w:rPr>
                <w:color w:val="000000"/>
              </w:rPr>
              <w:t>/%</w:t>
            </w:r>
          </w:p>
        </w:tc>
        <w:tc>
          <w:tcPr>
            <w:tcW w:w="1658"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0.004</w:t>
            </w:r>
          </w:p>
        </w:tc>
        <w:tc>
          <w:tcPr>
            <w:tcW w:w="1658" w:type="dxa"/>
            <w:vAlign w:val="center"/>
          </w:tcPr>
          <w:p>
            <w:pPr>
              <w:widowControl/>
              <w:jc w:val="center"/>
              <w:textAlignment w:val="center"/>
              <w:rPr>
                <w:rFonts w:hint="eastAsia" w:ascii="Times New Roman" w:hAnsi="Times New Roman" w:eastAsia="宋体"/>
                <w:szCs w:val="21"/>
                <w:lang w:eastAsia="zh-CN"/>
              </w:rPr>
            </w:pPr>
            <w:r>
              <w:rPr>
                <w:rFonts w:ascii="Times New Roman" w:hAnsi="Times New Roman"/>
                <w:color w:val="000000"/>
                <w:kern w:val="0"/>
                <w:szCs w:val="21"/>
                <w:lang w:bidi="ar"/>
              </w:rPr>
              <w:t>0.0</w:t>
            </w:r>
            <w:r>
              <w:rPr>
                <w:rFonts w:hint="eastAsia" w:ascii="Times New Roman" w:hAnsi="Times New Roman"/>
                <w:color w:val="000000"/>
                <w:kern w:val="0"/>
                <w:szCs w:val="21"/>
                <w:lang w:val="en-US" w:eastAsia="zh-CN" w:bidi="ar"/>
              </w:rPr>
              <w:t>3</w:t>
            </w:r>
          </w:p>
        </w:tc>
        <w:tc>
          <w:tcPr>
            <w:tcW w:w="1658"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0.08</w:t>
            </w:r>
          </w:p>
        </w:tc>
        <w:tc>
          <w:tcPr>
            <w:tcW w:w="1662"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0.12</w:t>
            </w:r>
          </w:p>
        </w:tc>
        <w:tc>
          <w:tcPr>
            <w:tcW w:w="1662"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0.20</w:t>
            </w:r>
          </w:p>
        </w:tc>
      </w:tr>
    </w:tbl>
    <w:p>
      <w:pPr>
        <w:pStyle w:val="4"/>
        <w:spacing w:line="360" w:lineRule="auto"/>
        <w:ind w:firstLine="0" w:firstLineChars="0"/>
        <w:jc w:val="center"/>
        <w:rPr>
          <w:rFonts w:eastAsia="黑体"/>
          <w:bCs/>
          <w:color w:val="000000"/>
        </w:rPr>
      </w:pPr>
      <w:r>
        <w:rPr>
          <w:rFonts w:eastAsia="黑体"/>
          <w:bCs/>
          <w:color w:val="000000"/>
        </w:rPr>
        <w:t>表7</w:t>
      </w:r>
      <w:r>
        <w:rPr>
          <w:rFonts w:hint="eastAsia" w:eastAsia="黑体"/>
          <w:bCs/>
          <w:color w:val="000000"/>
        </w:rPr>
        <w:t xml:space="preserve">-2 </w:t>
      </w:r>
      <w:r>
        <w:rPr>
          <w:rFonts w:eastAsia="黑体"/>
          <w:bCs/>
          <w:color w:val="000000"/>
        </w:rPr>
        <w:t xml:space="preserve"> </w:t>
      </w:r>
      <w:r>
        <w:rPr>
          <w:rFonts w:hint="eastAsia" w:eastAsia="黑体"/>
          <w:bCs/>
          <w:color w:val="000000"/>
        </w:rPr>
        <w:t xml:space="preserve">方法2 </w:t>
      </w:r>
      <w:r>
        <w:rPr>
          <w:rFonts w:eastAsia="黑体"/>
          <w:bCs/>
          <w:color w:val="000000"/>
        </w:rPr>
        <w:t>再现性限</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315"/>
        <w:gridCol w:w="1992"/>
        <w:gridCol w:w="1992"/>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pct"/>
            <w:vAlign w:val="center"/>
          </w:tcPr>
          <w:p>
            <w:pPr>
              <w:pStyle w:val="4"/>
              <w:spacing w:line="300" w:lineRule="auto"/>
              <w:ind w:firstLine="0" w:firstLineChars="0"/>
              <w:jc w:val="center"/>
              <w:rPr>
                <w:color w:val="000000"/>
                <w:sz w:val="18"/>
                <w:szCs w:val="18"/>
              </w:rPr>
            </w:pPr>
            <w:r>
              <w:rPr>
                <w:rFonts w:hint="eastAsia"/>
                <w:i/>
                <w:color w:val="000000"/>
              </w:rPr>
              <w:t>w</w:t>
            </w:r>
            <w:r>
              <w:rPr>
                <w:rFonts w:hint="eastAsia"/>
                <w:iCs/>
                <w:color w:val="000000"/>
                <w:vertAlign w:val="subscript"/>
              </w:rPr>
              <w:t>Cd</w:t>
            </w:r>
            <w:r>
              <w:rPr>
                <w:iCs/>
                <w:color w:val="000000"/>
              </w:rPr>
              <w:t>/</w:t>
            </w:r>
            <w:r>
              <w:rPr>
                <w:color w:val="000000"/>
              </w:rPr>
              <w:t>%</w:t>
            </w:r>
          </w:p>
        </w:tc>
        <w:tc>
          <w:tcPr>
            <w:tcW w:w="1162" w:type="pct"/>
            <w:vAlign w:val="center"/>
          </w:tcPr>
          <w:p>
            <w:pPr>
              <w:pStyle w:val="4"/>
              <w:ind w:firstLine="0" w:firstLineChars="0"/>
              <w:jc w:val="center"/>
            </w:pPr>
            <w:r>
              <w:t>5.27</w:t>
            </w:r>
          </w:p>
        </w:tc>
        <w:tc>
          <w:tcPr>
            <w:tcW w:w="1000" w:type="pct"/>
            <w:vAlign w:val="center"/>
          </w:tcPr>
          <w:p>
            <w:pPr>
              <w:pStyle w:val="4"/>
              <w:ind w:firstLine="0" w:firstLineChars="0"/>
              <w:jc w:val="center"/>
            </w:pPr>
            <w:r>
              <w:t>10.29</w:t>
            </w:r>
          </w:p>
        </w:tc>
        <w:tc>
          <w:tcPr>
            <w:tcW w:w="1000" w:type="pct"/>
            <w:vAlign w:val="center"/>
          </w:tcPr>
          <w:p>
            <w:pPr>
              <w:pStyle w:val="4"/>
              <w:ind w:firstLine="0" w:firstLineChars="0"/>
              <w:jc w:val="center"/>
            </w:pPr>
            <w:r>
              <w:t>13.46</w:t>
            </w:r>
          </w:p>
        </w:tc>
        <w:tc>
          <w:tcPr>
            <w:tcW w:w="1001" w:type="pct"/>
            <w:vAlign w:val="center"/>
          </w:tcPr>
          <w:p>
            <w:pPr>
              <w:pStyle w:val="4"/>
              <w:ind w:firstLine="0" w:firstLineChars="0"/>
              <w:jc w:val="center"/>
            </w:pPr>
            <w:r>
              <w:rPr>
                <w:color w:val="000000"/>
                <w:kern w:val="0"/>
              </w:rPr>
              <w:t>16.48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pct"/>
            <w:vAlign w:val="center"/>
          </w:tcPr>
          <w:p>
            <w:pPr>
              <w:pStyle w:val="4"/>
              <w:spacing w:line="300" w:lineRule="auto"/>
              <w:ind w:firstLine="0" w:firstLineChars="0"/>
              <w:jc w:val="center"/>
              <w:rPr>
                <w:color w:val="000000"/>
                <w:sz w:val="18"/>
                <w:szCs w:val="18"/>
              </w:rPr>
            </w:pPr>
            <w:r>
              <w:rPr>
                <w:i/>
                <w:color w:val="000000"/>
                <w:sz w:val="18"/>
                <w:szCs w:val="18"/>
              </w:rPr>
              <w:t>R</w:t>
            </w:r>
            <w:r>
              <w:rPr>
                <w:color w:val="000000"/>
                <w:sz w:val="18"/>
                <w:szCs w:val="18"/>
              </w:rPr>
              <w:t>/%</w:t>
            </w:r>
          </w:p>
        </w:tc>
        <w:tc>
          <w:tcPr>
            <w:tcW w:w="1162" w:type="pct"/>
            <w:vAlign w:val="center"/>
          </w:tcPr>
          <w:p>
            <w:pPr>
              <w:jc w:val="center"/>
              <w:rPr>
                <w:rFonts w:ascii="Times New Roman" w:hAnsi="Times New Roman"/>
                <w:szCs w:val="21"/>
              </w:rPr>
            </w:pPr>
            <w:r>
              <w:rPr>
                <w:rFonts w:ascii="Times New Roman" w:hAnsi="Times New Roman"/>
                <w:szCs w:val="21"/>
              </w:rPr>
              <w:t>0.40</w:t>
            </w:r>
          </w:p>
        </w:tc>
        <w:tc>
          <w:tcPr>
            <w:tcW w:w="1000" w:type="pct"/>
            <w:vAlign w:val="center"/>
          </w:tcPr>
          <w:p>
            <w:pPr>
              <w:widowControl/>
              <w:jc w:val="center"/>
              <w:textAlignment w:val="center"/>
              <w:rPr>
                <w:rFonts w:ascii="Times New Roman" w:hAnsi="Times New Roman"/>
                <w:szCs w:val="21"/>
              </w:rPr>
            </w:pPr>
            <w:r>
              <w:rPr>
                <w:rFonts w:ascii="Times New Roman" w:hAnsi="Times New Roman"/>
                <w:szCs w:val="21"/>
              </w:rPr>
              <w:t>0.36</w:t>
            </w:r>
          </w:p>
        </w:tc>
        <w:tc>
          <w:tcPr>
            <w:tcW w:w="1000" w:type="pct"/>
            <w:vAlign w:val="center"/>
          </w:tcPr>
          <w:p>
            <w:pPr>
              <w:widowControl/>
              <w:jc w:val="center"/>
              <w:textAlignment w:val="center"/>
              <w:rPr>
                <w:rFonts w:ascii="Times New Roman" w:hAnsi="Times New Roman"/>
                <w:szCs w:val="21"/>
              </w:rPr>
            </w:pPr>
            <w:r>
              <w:rPr>
                <w:rFonts w:ascii="Times New Roman" w:hAnsi="Times New Roman"/>
                <w:szCs w:val="21"/>
              </w:rPr>
              <w:t>0.33</w:t>
            </w:r>
          </w:p>
        </w:tc>
        <w:tc>
          <w:tcPr>
            <w:tcW w:w="1001" w:type="pct"/>
            <w:vAlign w:val="center"/>
          </w:tcPr>
          <w:p>
            <w:pPr>
              <w:widowControl/>
              <w:jc w:val="center"/>
              <w:textAlignment w:val="center"/>
              <w:rPr>
                <w:rFonts w:ascii="Times New Roman" w:hAnsi="Times New Roman"/>
                <w:szCs w:val="21"/>
              </w:rPr>
            </w:pPr>
            <w:r>
              <w:rPr>
                <w:rFonts w:ascii="Times New Roman" w:hAnsi="Times New Roman"/>
                <w:szCs w:val="21"/>
              </w:rPr>
              <w:t>0.43</w:t>
            </w:r>
          </w:p>
        </w:tc>
      </w:tr>
    </w:tbl>
    <w:p>
      <w:pPr>
        <w:spacing w:line="360" w:lineRule="auto"/>
        <w:rPr>
          <w:rFonts w:ascii="宋体" w:hAnsi="宋体"/>
          <w:b/>
          <w:sz w:val="24"/>
        </w:rPr>
      </w:pPr>
      <w:r>
        <w:rPr>
          <w:rFonts w:hint="eastAsia" w:ascii="宋体" w:hAnsi="宋体"/>
          <w:b/>
          <w:sz w:val="24"/>
        </w:rPr>
        <w:t>四、标准水平分析</w:t>
      </w:r>
    </w:p>
    <w:p>
      <w:pPr>
        <w:adjustRightInd w:val="0"/>
        <w:snapToGrid w:val="0"/>
        <w:spacing w:before="156" w:beforeLines="50" w:after="156" w:afterLines="50" w:line="300" w:lineRule="auto"/>
        <w:ind w:firstLine="420" w:firstLineChars="200"/>
        <w:jc w:val="left"/>
        <w:rPr>
          <w:rFonts w:ascii="宋体" w:hAnsi="宋体"/>
          <w:szCs w:val="21"/>
        </w:rPr>
      </w:pPr>
      <w:r>
        <w:rPr>
          <w:rFonts w:hint="eastAsia" w:ascii="宋体" w:hAnsi="宋体"/>
          <w:szCs w:val="21"/>
        </w:rPr>
        <w:t>经过资料搜索，均无与铜冶炼烟尘中镉含量测定相关的分析标准。本标准是首次制订，填补了国际、国内铜冶炼烟尘中镉含量测定标准的空白。</w:t>
      </w:r>
      <w:r>
        <w:rPr>
          <w:rFonts w:hint="eastAsia"/>
          <w:szCs w:val="21"/>
        </w:rPr>
        <w:t>与会代表一致认为：《铜冶炼烟尘化学分析方法》系列标准的编写符合GB/T 1.1-20</w:t>
      </w:r>
      <w:r>
        <w:rPr>
          <w:szCs w:val="21"/>
        </w:rPr>
        <w:t>20</w:t>
      </w:r>
      <w:r>
        <w:rPr>
          <w:rFonts w:hint="eastAsia"/>
          <w:szCs w:val="21"/>
        </w:rPr>
        <w:t>《标准化工作导则》的编制要求。该标准技术先进、可操作性强，结构合理、文字简练、条理清晰，达到了国内先进水平。</w:t>
      </w:r>
    </w:p>
    <w:p>
      <w:pPr>
        <w:spacing w:line="360" w:lineRule="auto"/>
        <w:rPr>
          <w:rFonts w:ascii="宋体" w:hAnsi="宋体"/>
          <w:b/>
          <w:sz w:val="24"/>
        </w:rPr>
      </w:pPr>
      <w:r>
        <w:rPr>
          <w:rFonts w:hint="eastAsia" w:ascii="宋体" w:hAnsi="宋体"/>
          <w:b/>
          <w:sz w:val="24"/>
        </w:rPr>
        <w:t>五、与现行法规、标准、强制性国家标准及相关标准协调配套的情况</w:t>
      </w:r>
    </w:p>
    <w:p>
      <w:pPr>
        <w:autoSpaceDE w:val="0"/>
        <w:autoSpaceDN w:val="0"/>
        <w:adjustRightInd w:val="0"/>
        <w:spacing w:line="360" w:lineRule="auto"/>
        <w:ind w:firstLine="420" w:firstLineChars="200"/>
        <w:jc w:val="left"/>
      </w:pPr>
      <w:r>
        <w:rPr>
          <w:rFonts w:hAnsi="宋体"/>
        </w:rPr>
        <w:t>本标准完全满足现行国家法规的要求，标准格式规范。</w:t>
      </w:r>
    </w:p>
    <w:p>
      <w:pPr>
        <w:spacing w:line="360" w:lineRule="auto"/>
        <w:rPr>
          <w:rFonts w:ascii="宋体" w:hAnsi="宋体"/>
          <w:b/>
          <w:sz w:val="24"/>
        </w:rPr>
      </w:pPr>
      <w:r>
        <w:rPr>
          <w:rFonts w:hint="eastAsia" w:ascii="宋体" w:hAnsi="宋体"/>
          <w:b/>
          <w:sz w:val="24"/>
        </w:rPr>
        <w:t>六、标准中涉及到的专利</w:t>
      </w:r>
    </w:p>
    <w:p>
      <w:pPr>
        <w:spacing w:line="360" w:lineRule="auto"/>
        <w:ind w:firstLine="495"/>
        <w:rPr>
          <w:rFonts w:hAnsi="宋体"/>
        </w:rPr>
      </w:pPr>
      <w:r>
        <w:rPr>
          <w:rFonts w:hint="eastAsia" w:hAnsi="宋体"/>
        </w:rPr>
        <w:t>无</w:t>
      </w:r>
    </w:p>
    <w:p>
      <w:pPr>
        <w:spacing w:line="360" w:lineRule="auto"/>
        <w:rPr>
          <w:rFonts w:ascii="宋体" w:hAnsi="宋体"/>
          <w:b/>
          <w:sz w:val="24"/>
        </w:rPr>
      </w:pPr>
      <w:r>
        <w:rPr>
          <w:rFonts w:hint="eastAsia" w:ascii="宋体" w:hAnsi="宋体"/>
          <w:b/>
          <w:sz w:val="24"/>
        </w:rPr>
        <w:t>七、重大分歧意见处理经过及过程</w:t>
      </w:r>
      <w:bookmarkStart w:id="1" w:name="_GoBack"/>
      <w:bookmarkEnd w:id="1"/>
    </w:p>
    <w:p>
      <w:pPr>
        <w:spacing w:line="360" w:lineRule="auto"/>
        <w:rPr>
          <w:rFonts w:ascii="宋体" w:hAnsi="宋体"/>
          <w:sz w:val="24"/>
        </w:rPr>
      </w:pPr>
      <w:r>
        <w:rPr>
          <w:rFonts w:hint="eastAsia" w:ascii="宋体" w:hAnsi="宋体"/>
          <w:b/>
          <w:sz w:val="24"/>
        </w:rPr>
        <w:t xml:space="preserve">    </w:t>
      </w:r>
      <w:r>
        <w:rPr>
          <w:rFonts w:hint="eastAsia" w:ascii="宋体" w:hAnsi="宋体"/>
          <w:sz w:val="24"/>
        </w:rPr>
        <w:t>无</w:t>
      </w:r>
    </w:p>
    <w:p>
      <w:pPr>
        <w:spacing w:line="360" w:lineRule="auto"/>
        <w:rPr>
          <w:rFonts w:ascii="宋体" w:hAnsi="宋体"/>
          <w:b/>
          <w:sz w:val="24"/>
        </w:rPr>
      </w:pPr>
      <w:r>
        <w:rPr>
          <w:rFonts w:hint="eastAsia" w:ascii="宋体" w:hAnsi="宋体"/>
          <w:b/>
          <w:sz w:val="24"/>
        </w:rPr>
        <w:t>八、标准作为强制性或推荐性国家（或行业）标准的建议</w:t>
      </w:r>
    </w:p>
    <w:p>
      <w:pPr>
        <w:spacing w:line="360" w:lineRule="auto"/>
        <w:ind w:firstLine="525" w:firstLineChars="250"/>
        <w:rPr>
          <w:rFonts w:hAnsi="宋体"/>
        </w:rPr>
      </w:pPr>
      <w:r>
        <w:rPr>
          <w:rFonts w:hAnsi="宋体"/>
        </w:rPr>
        <w:t>建议该标准</w:t>
      </w:r>
      <w:r>
        <w:rPr>
          <w:rFonts w:hint="eastAsia" w:hAnsi="宋体"/>
        </w:rPr>
        <w:t>作</w:t>
      </w:r>
      <w:r>
        <w:rPr>
          <w:rFonts w:hAnsi="宋体"/>
        </w:rPr>
        <w:t>为推荐性</w:t>
      </w:r>
      <w:r>
        <w:rPr>
          <w:rFonts w:hint="eastAsia" w:hAnsi="宋体"/>
        </w:rPr>
        <w:t>行业</w:t>
      </w:r>
      <w:r>
        <w:rPr>
          <w:rFonts w:hAnsi="宋体"/>
        </w:rPr>
        <w:t>标准。</w:t>
      </w:r>
    </w:p>
    <w:p>
      <w:pPr>
        <w:spacing w:line="360" w:lineRule="auto"/>
        <w:rPr>
          <w:rFonts w:ascii="宋体" w:hAnsi="宋体"/>
          <w:b/>
          <w:sz w:val="24"/>
        </w:rPr>
      </w:pPr>
      <w:r>
        <w:rPr>
          <w:rFonts w:hint="eastAsia" w:ascii="宋体" w:hAnsi="宋体"/>
          <w:b/>
          <w:sz w:val="24"/>
        </w:rPr>
        <w:t>九、贯彻标准的要求和措施建议</w:t>
      </w:r>
    </w:p>
    <w:p>
      <w:pPr>
        <w:spacing w:line="360" w:lineRule="auto"/>
        <w:ind w:firstLine="525" w:firstLineChars="250"/>
        <w:rPr>
          <w:rFonts w:ascii="宋体" w:hAnsi="宋体"/>
          <w:b/>
          <w:sz w:val="24"/>
        </w:rPr>
      </w:pPr>
      <w:r>
        <w:rPr>
          <w:rFonts w:hint="eastAsia" w:hAnsi="宋体"/>
        </w:rPr>
        <w:t>无</w:t>
      </w:r>
    </w:p>
    <w:p>
      <w:pPr>
        <w:spacing w:line="360" w:lineRule="auto"/>
        <w:rPr>
          <w:rFonts w:ascii="宋体" w:hAnsi="宋体"/>
          <w:b/>
          <w:sz w:val="24"/>
        </w:rPr>
      </w:pPr>
      <w:r>
        <w:rPr>
          <w:rFonts w:hint="eastAsia" w:ascii="宋体" w:hAnsi="宋体"/>
          <w:b/>
          <w:sz w:val="24"/>
        </w:rPr>
        <w:t>十、废止现行有关标准的建议</w:t>
      </w:r>
    </w:p>
    <w:p>
      <w:pPr>
        <w:spacing w:line="360" w:lineRule="auto"/>
        <w:ind w:firstLine="495"/>
        <w:rPr>
          <w:rFonts w:hAnsi="宋体"/>
        </w:rPr>
      </w:pPr>
      <w:r>
        <w:rPr>
          <w:rFonts w:hint="eastAsia" w:hAnsi="宋体"/>
        </w:rPr>
        <w:t>本标准为首次起草，无废止/替代现行有关标准。</w:t>
      </w:r>
    </w:p>
    <w:p>
      <w:pPr>
        <w:spacing w:line="360" w:lineRule="auto"/>
        <w:rPr>
          <w:rFonts w:ascii="宋体" w:hAnsi="宋体"/>
          <w:b/>
          <w:sz w:val="24"/>
        </w:rPr>
      </w:pPr>
      <w:r>
        <w:rPr>
          <w:rFonts w:hint="eastAsia" w:ascii="宋体" w:hAnsi="宋体"/>
          <w:b/>
          <w:sz w:val="24"/>
        </w:rPr>
        <w:t>十一、其他应予说明的事项</w:t>
      </w:r>
    </w:p>
    <w:p>
      <w:pPr>
        <w:adjustRightInd w:val="0"/>
        <w:snapToGrid w:val="0"/>
        <w:spacing w:before="156" w:beforeLines="50" w:after="156" w:afterLines="50" w:line="300" w:lineRule="auto"/>
        <w:ind w:firstLine="522" w:firstLineChars="249"/>
        <w:jc w:val="left"/>
        <w:rPr>
          <w:rFonts w:ascii="宋体" w:hAnsi="宋体"/>
          <w:szCs w:val="21"/>
        </w:rPr>
      </w:pPr>
      <w:r>
        <w:rPr>
          <w:rFonts w:hint="eastAsia" w:ascii="宋体" w:hAnsi="宋体"/>
          <w:szCs w:val="21"/>
        </w:rPr>
        <w:t>本标准首次规定了铜冶炼烟尘中镉含量的测定方法。本标准在制定过程中，调研了国内多家冶炼企业，标准技术先进，具有充分的可操作性、适用性，综合水平达到了国内先进水平，完全能够满足国内外用户、市场的需求。本标准为铜冶炼烟尘中镉含量的测定提供依据，有利于企业提高对铜冶炼烟尘的综合利用，减少能耗，最大化地回收利用镉，实现资源循环利用及有价金属材料生产。</w:t>
      </w:r>
    </w:p>
    <w:p>
      <w:pPr>
        <w:rPr>
          <w:rFonts w:hAnsi="Times New Roman" w:cs="宋体"/>
          <w:color w:val="000000"/>
          <w:kern w:val="0"/>
          <w:sz w:val="23"/>
          <w:szCs w:val="23"/>
        </w:rPr>
      </w:pPr>
    </w:p>
    <w:sectPr>
      <w:headerReference r:id="rId3" w:type="default"/>
      <w:pgSz w:w="11906" w:h="16838"/>
      <w:pgMar w:top="1134" w:right="1080" w:bottom="1134"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43"/>
      <w:suff w:val="nothing"/>
      <w:lvlText w:val="%1　"/>
      <w:lvlJc w:val="left"/>
      <w:rPr>
        <w:rFonts w:hint="eastAsia" w:ascii="宋体" w:hAnsi="宋体" w:eastAsia="宋体" w:cs="Times New Roman"/>
        <w:b w:val="0"/>
        <w:bCs w:val="0"/>
        <w:i w:val="0"/>
        <w:iCs w:val="0"/>
        <w:sz w:val="21"/>
        <w:szCs w:val="21"/>
      </w:rPr>
    </w:lvl>
    <w:lvl w:ilvl="1" w:tentative="0">
      <w:start w:val="1"/>
      <w:numFmt w:val="decimal"/>
      <w:pStyle w:val="42"/>
      <w:suff w:val="nothing"/>
      <w:lvlText w:val="%1.%2　"/>
      <w:lvlJc w:val="left"/>
      <w:pPr>
        <w:ind w:left="36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4"/>
      <w:suff w:val="nothing"/>
      <w:lvlText w:val="%1.%2.%3　"/>
      <w:lvlJc w:val="left"/>
      <w:pPr>
        <w:ind w:left="2160"/>
      </w:pPr>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45"/>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46"/>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0082E"/>
    <w:rsid w:val="00000266"/>
    <w:rsid w:val="00023B01"/>
    <w:rsid w:val="00026AEF"/>
    <w:rsid w:val="000367B9"/>
    <w:rsid w:val="0004091A"/>
    <w:rsid w:val="00047529"/>
    <w:rsid w:val="00062A5D"/>
    <w:rsid w:val="00070567"/>
    <w:rsid w:val="00087FD5"/>
    <w:rsid w:val="000914DB"/>
    <w:rsid w:val="00094C8A"/>
    <w:rsid w:val="000E1806"/>
    <w:rsid w:val="000E31CB"/>
    <w:rsid w:val="000E3DA1"/>
    <w:rsid w:val="00105428"/>
    <w:rsid w:val="00106D46"/>
    <w:rsid w:val="00127423"/>
    <w:rsid w:val="001372B9"/>
    <w:rsid w:val="0014528D"/>
    <w:rsid w:val="00152AF1"/>
    <w:rsid w:val="001561F6"/>
    <w:rsid w:val="00161342"/>
    <w:rsid w:val="00176129"/>
    <w:rsid w:val="001B3112"/>
    <w:rsid w:val="001E30A7"/>
    <w:rsid w:val="001F14F2"/>
    <w:rsid w:val="00216F7D"/>
    <w:rsid w:val="00233E4E"/>
    <w:rsid w:val="0023547E"/>
    <w:rsid w:val="00243472"/>
    <w:rsid w:val="00244C10"/>
    <w:rsid w:val="00247065"/>
    <w:rsid w:val="002939AE"/>
    <w:rsid w:val="002E2D60"/>
    <w:rsid w:val="002F0617"/>
    <w:rsid w:val="0030341A"/>
    <w:rsid w:val="003064E1"/>
    <w:rsid w:val="00331610"/>
    <w:rsid w:val="00332F9E"/>
    <w:rsid w:val="0034505A"/>
    <w:rsid w:val="003916D9"/>
    <w:rsid w:val="003A4482"/>
    <w:rsid w:val="003A76E8"/>
    <w:rsid w:val="003C527C"/>
    <w:rsid w:val="003C6859"/>
    <w:rsid w:val="003D085E"/>
    <w:rsid w:val="00402B47"/>
    <w:rsid w:val="00434E10"/>
    <w:rsid w:val="004432FD"/>
    <w:rsid w:val="004736C6"/>
    <w:rsid w:val="0047475E"/>
    <w:rsid w:val="004B42C4"/>
    <w:rsid w:val="004C1E67"/>
    <w:rsid w:val="004C4214"/>
    <w:rsid w:val="004C456E"/>
    <w:rsid w:val="004E1F09"/>
    <w:rsid w:val="004E745B"/>
    <w:rsid w:val="004F17E8"/>
    <w:rsid w:val="00521E05"/>
    <w:rsid w:val="005322F1"/>
    <w:rsid w:val="0053419C"/>
    <w:rsid w:val="005413B2"/>
    <w:rsid w:val="00550B93"/>
    <w:rsid w:val="00553D01"/>
    <w:rsid w:val="00570F55"/>
    <w:rsid w:val="00580692"/>
    <w:rsid w:val="0058602D"/>
    <w:rsid w:val="005A22F9"/>
    <w:rsid w:val="005A407A"/>
    <w:rsid w:val="005A54C4"/>
    <w:rsid w:val="005C6A90"/>
    <w:rsid w:val="005F7044"/>
    <w:rsid w:val="005F719D"/>
    <w:rsid w:val="0060059E"/>
    <w:rsid w:val="00620142"/>
    <w:rsid w:val="0063198C"/>
    <w:rsid w:val="006367E3"/>
    <w:rsid w:val="00661813"/>
    <w:rsid w:val="00663EC6"/>
    <w:rsid w:val="00682EAA"/>
    <w:rsid w:val="00686F59"/>
    <w:rsid w:val="00691A3B"/>
    <w:rsid w:val="006C5964"/>
    <w:rsid w:val="006F553D"/>
    <w:rsid w:val="00703BB2"/>
    <w:rsid w:val="0070780A"/>
    <w:rsid w:val="00713E29"/>
    <w:rsid w:val="007223A9"/>
    <w:rsid w:val="0072579B"/>
    <w:rsid w:val="00726ADA"/>
    <w:rsid w:val="00740EA8"/>
    <w:rsid w:val="007867FD"/>
    <w:rsid w:val="007A0546"/>
    <w:rsid w:val="007A5776"/>
    <w:rsid w:val="007B0534"/>
    <w:rsid w:val="007B3CA9"/>
    <w:rsid w:val="007B5DF8"/>
    <w:rsid w:val="007E3809"/>
    <w:rsid w:val="007F4651"/>
    <w:rsid w:val="008021F9"/>
    <w:rsid w:val="00847840"/>
    <w:rsid w:val="008817D0"/>
    <w:rsid w:val="008926E4"/>
    <w:rsid w:val="008B3FDB"/>
    <w:rsid w:val="008B401D"/>
    <w:rsid w:val="008B645F"/>
    <w:rsid w:val="008C55AE"/>
    <w:rsid w:val="008C6521"/>
    <w:rsid w:val="008D1413"/>
    <w:rsid w:val="008E70CB"/>
    <w:rsid w:val="0090300C"/>
    <w:rsid w:val="0091258F"/>
    <w:rsid w:val="00917591"/>
    <w:rsid w:val="00925662"/>
    <w:rsid w:val="00974342"/>
    <w:rsid w:val="00995A63"/>
    <w:rsid w:val="00996B25"/>
    <w:rsid w:val="009B030A"/>
    <w:rsid w:val="009B2D33"/>
    <w:rsid w:val="009C114A"/>
    <w:rsid w:val="009F39E0"/>
    <w:rsid w:val="00A01CB4"/>
    <w:rsid w:val="00A124F4"/>
    <w:rsid w:val="00A23804"/>
    <w:rsid w:val="00A3482A"/>
    <w:rsid w:val="00A3524A"/>
    <w:rsid w:val="00A73998"/>
    <w:rsid w:val="00A86C20"/>
    <w:rsid w:val="00AB2CEC"/>
    <w:rsid w:val="00AD06DA"/>
    <w:rsid w:val="00AD0748"/>
    <w:rsid w:val="00AE62DF"/>
    <w:rsid w:val="00AF1CF5"/>
    <w:rsid w:val="00B03A93"/>
    <w:rsid w:val="00B42326"/>
    <w:rsid w:val="00B53F39"/>
    <w:rsid w:val="00B54F61"/>
    <w:rsid w:val="00B5648F"/>
    <w:rsid w:val="00B624A3"/>
    <w:rsid w:val="00B83DFD"/>
    <w:rsid w:val="00BA18B5"/>
    <w:rsid w:val="00BD0AAB"/>
    <w:rsid w:val="00BD2FF6"/>
    <w:rsid w:val="00BE0314"/>
    <w:rsid w:val="00BF107A"/>
    <w:rsid w:val="00C00EA3"/>
    <w:rsid w:val="00C04C61"/>
    <w:rsid w:val="00C04F5F"/>
    <w:rsid w:val="00C15678"/>
    <w:rsid w:val="00C166C1"/>
    <w:rsid w:val="00C22773"/>
    <w:rsid w:val="00C45B66"/>
    <w:rsid w:val="00C67BC1"/>
    <w:rsid w:val="00C95617"/>
    <w:rsid w:val="00CB1BB2"/>
    <w:rsid w:val="00CB467B"/>
    <w:rsid w:val="00CE3117"/>
    <w:rsid w:val="00CE56F3"/>
    <w:rsid w:val="00CF452B"/>
    <w:rsid w:val="00D00E78"/>
    <w:rsid w:val="00D033C5"/>
    <w:rsid w:val="00D15A3D"/>
    <w:rsid w:val="00D215A3"/>
    <w:rsid w:val="00D2732B"/>
    <w:rsid w:val="00D67AEB"/>
    <w:rsid w:val="00D9292C"/>
    <w:rsid w:val="00DA5886"/>
    <w:rsid w:val="00DE7B61"/>
    <w:rsid w:val="00DF0525"/>
    <w:rsid w:val="00E013B4"/>
    <w:rsid w:val="00E17C57"/>
    <w:rsid w:val="00E2478C"/>
    <w:rsid w:val="00EB0279"/>
    <w:rsid w:val="00EB0B5B"/>
    <w:rsid w:val="00EB76C2"/>
    <w:rsid w:val="00EC09A1"/>
    <w:rsid w:val="00EC147D"/>
    <w:rsid w:val="00EF464E"/>
    <w:rsid w:val="00F1310D"/>
    <w:rsid w:val="00F142D1"/>
    <w:rsid w:val="00F50505"/>
    <w:rsid w:val="00F8069D"/>
    <w:rsid w:val="00F83B92"/>
    <w:rsid w:val="00F84EB0"/>
    <w:rsid w:val="00FF21C7"/>
    <w:rsid w:val="01817B7D"/>
    <w:rsid w:val="02BE48A0"/>
    <w:rsid w:val="038A4226"/>
    <w:rsid w:val="04E23E32"/>
    <w:rsid w:val="04FD6C72"/>
    <w:rsid w:val="05D05187"/>
    <w:rsid w:val="06415C3A"/>
    <w:rsid w:val="07DF41A1"/>
    <w:rsid w:val="07F72306"/>
    <w:rsid w:val="081C0A22"/>
    <w:rsid w:val="0875553E"/>
    <w:rsid w:val="0935648C"/>
    <w:rsid w:val="09871475"/>
    <w:rsid w:val="09C05E83"/>
    <w:rsid w:val="0A450535"/>
    <w:rsid w:val="0B043420"/>
    <w:rsid w:val="0B9E4F8A"/>
    <w:rsid w:val="0BD968D6"/>
    <w:rsid w:val="0C644B44"/>
    <w:rsid w:val="0C71470C"/>
    <w:rsid w:val="0CDB2762"/>
    <w:rsid w:val="105F1526"/>
    <w:rsid w:val="131703F8"/>
    <w:rsid w:val="13E705FB"/>
    <w:rsid w:val="1462683E"/>
    <w:rsid w:val="158F0062"/>
    <w:rsid w:val="160417F3"/>
    <w:rsid w:val="16E310DD"/>
    <w:rsid w:val="17712258"/>
    <w:rsid w:val="19170CFC"/>
    <w:rsid w:val="1B356DC5"/>
    <w:rsid w:val="1BCD09EE"/>
    <w:rsid w:val="1BE8234E"/>
    <w:rsid w:val="1C6A64FE"/>
    <w:rsid w:val="1C926641"/>
    <w:rsid w:val="1CE27664"/>
    <w:rsid w:val="1E771313"/>
    <w:rsid w:val="1EFC69AA"/>
    <w:rsid w:val="1F410F90"/>
    <w:rsid w:val="22301F9E"/>
    <w:rsid w:val="22D0082E"/>
    <w:rsid w:val="22F0326E"/>
    <w:rsid w:val="24491D46"/>
    <w:rsid w:val="271B5E02"/>
    <w:rsid w:val="28452EE8"/>
    <w:rsid w:val="28EB38A7"/>
    <w:rsid w:val="298648F4"/>
    <w:rsid w:val="29D53C63"/>
    <w:rsid w:val="2B2A4547"/>
    <w:rsid w:val="2BD06C0F"/>
    <w:rsid w:val="2DE43FCF"/>
    <w:rsid w:val="303B3F4F"/>
    <w:rsid w:val="30660271"/>
    <w:rsid w:val="32913EAA"/>
    <w:rsid w:val="32C047FA"/>
    <w:rsid w:val="34444A6F"/>
    <w:rsid w:val="34B2591E"/>
    <w:rsid w:val="353532AF"/>
    <w:rsid w:val="35A04305"/>
    <w:rsid w:val="35B8353C"/>
    <w:rsid w:val="35FF175D"/>
    <w:rsid w:val="36680F40"/>
    <w:rsid w:val="37172400"/>
    <w:rsid w:val="372C0357"/>
    <w:rsid w:val="377A09B7"/>
    <w:rsid w:val="377E6783"/>
    <w:rsid w:val="37C36747"/>
    <w:rsid w:val="37FC1C70"/>
    <w:rsid w:val="3885447C"/>
    <w:rsid w:val="38FA6AA4"/>
    <w:rsid w:val="3A126344"/>
    <w:rsid w:val="3AC67C22"/>
    <w:rsid w:val="3AF36D10"/>
    <w:rsid w:val="3B352D18"/>
    <w:rsid w:val="3BF760E7"/>
    <w:rsid w:val="3CE825DC"/>
    <w:rsid w:val="3D681B20"/>
    <w:rsid w:val="3DDD777B"/>
    <w:rsid w:val="3DF937C4"/>
    <w:rsid w:val="3EFC0F8E"/>
    <w:rsid w:val="3FFE7E07"/>
    <w:rsid w:val="40061F87"/>
    <w:rsid w:val="42C22855"/>
    <w:rsid w:val="45911E73"/>
    <w:rsid w:val="493A43D3"/>
    <w:rsid w:val="49F80FEA"/>
    <w:rsid w:val="4A6B4416"/>
    <w:rsid w:val="4AF93F4A"/>
    <w:rsid w:val="4BF67577"/>
    <w:rsid w:val="4C0E27B3"/>
    <w:rsid w:val="4CB551A6"/>
    <w:rsid w:val="4D740385"/>
    <w:rsid w:val="4D865FF4"/>
    <w:rsid w:val="4D984AB8"/>
    <w:rsid w:val="4E3A76A9"/>
    <w:rsid w:val="4E426D1E"/>
    <w:rsid w:val="4F6110F0"/>
    <w:rsid w:val="4F8555EB"/>
    <w:rsid w:val="500A025A"/>
    <w:rsid w:val="5066317D"/>
    <w:rsid w:val="519E4E8F"/>
    <w:rsid w:val="52351EA6"/>
    <w:rsid w:val="53B31449"/>
    <w:rsid w:val="53B63CEC"/>
    <w:rsid w:val="54A3652D"/>
    <w:rsid w:val="55034B89"/>
    <w:rsid w:val="55C715AE"/>
    <w:rsid w:val="55D00164"/>
    <w:rsid w:val="56796A1D"/>
    <w:rsid w:val="58215EA9"/>
    <w:rsid w:val="5972528C"/>
    <w:rsid w:val="5C6B24A6"/>
    <w:rsid w:val="5DC23DC5"/>
    <w:rsid w:val="5F9F3FAB"/>
    <w:rsid w:val="60F338BA"/>
    <w:rsid w:val="6188014B"/>
    <w:rsid w:val="61A4251D"/>
    <w:rsid w:val="61B81403"/>
    <w:rsid w:val="61BA7AF9"/>
    <w:rsid w:val="61ED0985"/>
    <w:rsid w:val="62D061DD"/>
    <w:rsid w:val="62D0700A"/>
    <w:rsid w:val="637E306A"/>
    <w:rsid w:val="639D111C"/>
    <w:rsid w:val="64434380"/>
    <w:rsid w:val="688F3C18"/>
    <w:rsid w:val="68CD202D"/>
    <w:rsid w:val="69A2760E"/>
    <w:rsid w:val="6CE04249"/>
    <w:rsid w:val="6FB32394"/>
    <w:rsid w:val="70786505"/>
    <w:rsid w:val="71791D2C"/>
    <w:rsid w:val="725E7F4F"/>
    <w:rsid w:val="72C15645"/>
    <w:rsid w:val="72FD3C12"/>
    <w:rsid w:val="73366015"/>
    <w:rsid w:val="746B27EC"/>
    <w:rsid w:val="766A4881"/>
    <w:rsid w:val="77263000"/>
    <w:rsid w:val="77675539"/>
    <w:rsid w:val="77D53FAB"/>
    <w:rsid w:val="77F55D57"/>
    <w:rsid w:val="79317A9A"/>
    <w:rsid w:val="7AE31DAF"/>
    <w:rsid w:val="7AE86602"/>
    <w:rsid w:val="7BD5003E"/>
    <w:rsid w:val="7BFF529F"/>
    <w:rsid w:val="7C174C44"/>
    <w:rsid w:val="7D3E3439"/>
    <w:rsid w:val="7DC76BA4"/>
    <w:rsid w:val="7ECE4E2C"/>
    <w:rsid w:val="7F9529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67"/>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8"/>
    <w:qFormat/>
    <w:uiPriority w:val="99"/>
    <w:pPr>
      <w:keepNext/>
      <w:keepLines/>
      <w:widowControl/>
      <w:adjustRightInd w:val="0"/>
      <w:snapToGrid w:val="0"/>
      <w:spacing w:before="260" w:after="260" w:line="416" w:lineRule="auto"/>
      <w:jc w:val="left"/>
      <w:outlineLvl w:val="2"/>
    </w:pPr>
    <w:rPr>
      <w:rFonts w:ascii="Times New Roman" w:hAnsi="Times New Roman" w:eastAsia="黑体"/>
      <w:kern w:val="0"/>
      <w:sz w:val="24"/>
      <w:szCs w:val="2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szCs w:val="21"/>
    </w:rPr>
  </w:style>
  <w:style w:type="paragraph" w:styleId="5">
    <w:name w:val="caption"/>
    <w:basedOn w:val="1"/>
    <w:next w:val="1"/>
    <w:qFormat/>
    <w:uiPriority w:val="99"/>
    <w:pPr>
      <w:widowControl/>
      <w:adjustRightInd w:val="0"/>
      <w:snapToGrid w:val="0"/>
      <w:spacing w:after="200"/>
      <w:jc w:val="left"/>
    </w:pPr>
    <w:rPr>
      <w:rFonts w:ascii="Arial" w:hAnsi="Arial" w:eastAsia="黑体" w:cs="Arial"/>
      <w:kern w:val="0"/>
      <w:sz w:val="20"/>
      <w:szCs w:val="20"/>
    </w:rPr>
  </w:style>
  <w:style w:type="paragraph" w:styleId="6">
    <w:name w:val="annotation text"/>
    <w:basedOn w:val="1"/>
    <w:link w:val="59"/>
    <w:qFormat/>
    <w:locked/>
    <w:uiPriority w:val="99"/>
    <w:pPr>
      <w:jc w:val="left"/>
    </w:pPr>
    <w:rPr>
      <w:rFonts w:ascii="Times New Roman" w:hAnsi="Times New Roman" w:eastAsiaTheme="minorEastAsia"/>
      <w:szCs w:val="24"/>
    </w:rPr>
  </w:style>
  <w:style w:type="paragraph" w:styleId="7">
    <w:name w:val="Body Text"/>
    <w:basedOn w:val="1"/>
    <w:link w:val="29"/>
    <w:qFormat/>
    <w:uiPriority w:val="99"/>
    <w:pPr>
      <w:spacing w:after="120"/>
    </w:pPr>
  </w:style>
  <w:style w:type="paragraph" w:styleId="8">
    <w:name w:val="Body Text Indent"/>
    <w:basedOn w:val="1"/>
    <w:link w:val="31"/>
    <w:qFormat/>
    <w:uiPriority w:val="99"/>
    <w:pPr>
      <w:spacing w:after="120"/>
      <w:ind w:left="420" w:leftChars="200"/>
    </w:pPr>
    <w:rPr>
      <w:rFonts w:ascii="Times New Roman" w:hAnsi="Times New Roman"/>
      <w:szCs w:val="21"/>
    </w:rPr>
  </w:style>
  <w:style w:type="paragraph" w:styleId="9">
    <w:name w:val="Plain Text"/>
    <w:basedOn w:val="1"/>
    <w:link w:val="32"/>
    <w:qFormat/>
    <w:uiPriority w:val="99"/>
    <w:rPr>
      <w:rFonts w:ascii="宋体" w:hAnsi="Courier New" w:cs="宋体"/>
      <w:szCs w:val="21"/>
    </w:rPr>
  </w:style>
  <w:style w:type="paragraph" w:styleId="10">
    <w:name w:val="Date"/>
    <w:basedOn w:val="1"/>
    <w:next w:val="1"/>
    <w:link w:val="33"/>
    <w:qFormat/>
    <w:uiPriority w:val="99"/>
    <w:rPr>
      <w:rFonts w:ascii="Times New Roman" w:hAnsi="Times New Roman" w:eastAsia="黑体"/>
      <w:sz w:val="28"/>
      <w:szCs w:val="28"/>
    </w:rPr>
  </w:style>
  <w:style w:type="paragraph" w:styleId="11">
    <w:name w:val="Body Text Indent 2"/>
    <w:basedOn w:val="1"/>
    <w:link w:val="34"/>
    <w:qFormat/>
    <w:uiPriority w:val="99"/>
    <w:pPr>
      <w:spacing w:after="120" w:line="480" w:lineRule="auto"/>
      <w:ind w:left="420" w:leftChars="200"/>
    </w:pPr>
    <w:rPr>
      <w:rFonts w:ascii="Times New Roman" w:hAnsi="Times New Roman"/>
      <w:szCs w:val="21"/>
    </w:rPr>
  </w:style>
  <w:style w:type="paragraph" w:styleId="12">
    <w:name w:val="Balloon Text"/>
    <w:basedOn w:val="1"/>
    <w:link w:val="35"/>
    <w:qFormat/>
    <w:uiPriority w:val="99"/>
    <w:pPr>
      <w:widowControl/>
      <w:adjustRightInd w:val="0"/>
      <w:snapToGrid w:val="0"/>
      <w:jc w:val="left"/>
    </w:pPr>
    <w:rPr>
      <w:rFonts w:ascii="Tahoma" w:hAnsi="Tahoma" w:eastAsia="微软雅黑" w:cs="Tahoma"/>
      <w:kern w:val="0"/>
      <w:sz w:val="18"/>
      <w:szCs w:val="18"/>
    </w:rPr>
  </w:style>
  <w:style w:type="paragraph" w:styleId="13">
    <w:name w:val="footer"/>
    <w:basedOn w:val="1"/>
    <w:link w:val="36"/>
    <w:qFormat/>
    <w:uiPriority w:val="99"/>
    <w:pPr>
      <w:tabs>
        <w:tab w:val="center" w:pos="4153"/>
        <w:tab w:val="right" w:pos="8306"/>
      </w:tabs>
      <w:snapToGrid w:val="0"/>
      <w:jc w:val="left"/>
    </w:pPr>
    <w:rPr>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65"/>
    <w:qFormat/>
    <w:locked/>
    <w:uiPriority w:val="99"/>
    <w:pPr>
      <w:spacing w:after="120"/>
      <w:ind w:left="420" w:leftChars="200"/>
    </w:pPr>
    <w:rPr>
      <w:rFonts w:ascii="Times New Roman" w:hAnsi="Times New Roman" w:eastAsiaTheme="minorEastAsia"/>
      <w:sz w:val="16"/>
      <w:szCs w:val="16"/>
    </w:rPr>
  </w:style>
  <w:style w:type="paragraph" w:styleId="16">
    <w:name w:val="Normal (Web)"/>
    <w:basedOn w:val="1"/>
    <w:unhideWhenUsed/>
    <w:qFormat/>
    <w:locked/>
    <w:uiPriority w:val="99"/>
    <w:pPr>
      <w:widowControl/>
      <w:jc w:val="left"/>
    </w:pPr>
    <w:rPr>
      <w:rFonts w:ascii="宋体" w:hAnsi="宋体" w:cs="宋体"/>
      <w:kern w:val="0"/>
      <w:sz w:val="24"/>
      <w:szCs w:val="24"/>
    </w:rPr>
  </w:style>
  <w:style w:type="paragraph" w:styleId="17">
    <w:name w:val="annotation subject"/>
    <w:basedOn w:val="6"/>
    <w:next w:val="6"/>
    <w:link w:val="60"/>
    <w:qFormat/>
    <w:locked/>
    <w:uiPriority w:val="99"/>
    <w:rPr>
      <w:b/>
      <w:bCs/>
    </w:rPr>
  </w:style>
  <w:style w:type="paragraph" w:styleId="18">
    <w:name w:val="Body Text First Indent"/>
    <w:basedOn w:val="7"/>
    <w:link w:val="30"/>
    <w:qFormat/>
    <w:uiPriority w:val="99"/>
    <w:pPr>
      <w:ind w:firstLine="420" w:firstLineChars="100"/>
    </w:pPr>
    <w:rPr>
      <w:rFonts w:ascii="Times New Roman" w:hAnsi="Times New Roman"/>
      <w:szCs w:val="21"/>
    </w:rPr>
  </w:style>
  <w:style w:type="paragraph" w:styleId="19">
    <w:name w:val="Body Text First Indent 2"/>
    <w:basedOn w:val="8"/>
    <w:link w:val="37"/>
    <w:qFormat/>
    <w:uiPriority w:val="99"/>
    <w:pPr>
      <w:ind w:firstLine="420" w:firstLineChars="200"/>
    </w:pPr>
  </w:style>
  <w:style w:type="table" w:styleId="21">
    <w:name w:val="Table Grid"/>
    <w:basedOn w:val="2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Strong"/>
    <w:basedOn w:val="22"/>
    <w:qFormat/>
    <w:locked/>
    <w:uiPriority w:val="22"/>
    <w:rPr>
      <w:color w:val="CC0000"/>
    </w:rPr>
  </w:style>
  <w:style w:type="character" w:styleId="24">
    <w:name w:val="page number"/>
    <w:basedOn w:val="22"/>
    <w:qFormat/>
    <w:uiPriority w:val="99"/>
    <w:rPr>
      <w:rFonts w:cs="Times New Roman"/>
    </w:rPr>
  </w:style>
  <w:style w:type="character" w:styleId="25">
    <w:name w:val="FollowedHyperlink"/>
    <w:basedOn w:val="22"/>
    <w:qFormat/>
    <w:uiPriority w:val="99"/>
    <w:rPr>
      <w:rFonts w:cs="Times New Roman"/>
      <w:color w:val="000000"/>
      <w:u w:val="none"/>
    </w:rPr>
  </w:style>
  <w:style w:type="character" w:styleId="26">
    <w:name w:val="Hyperlink"/>
    <w:basedOn w:val="22"/>
    <w:qFormat/>
    <w:uiPriority w:val="99"/>
    <w:rPr>
      <w:rFonts w:cs="Times New Roman"/>
      <w:color w:val="000000"/>
      <w:u w:val="none"/>
    </w:rPr>
  </w:style>
  <w:style w:type="character" w:styleId="27">
    <w:name w:val="annotation reference"/>
    <w:basedOn w:val="22"/>
    <w:qFormat/>
    <w:locked/>
    <w:uiPriority w:val="99"/>
    <w:rPr>
      <w:rFonts w:cs="Times New Roman"/>
      <w:sz w:val="21"/>
    </w:rPr>
  </w:style>
  <w:style w:type="character" w:customStyle="1" w:styleId="28">
    <w:name w:val="标题 3 字符"/>
    <w:basedOn w:val="22"/>
    <w:link w:val="3"/>
    <w:qFormat/>
    <w:locked/>
    <w:uiPriority w:val="99"/>
    <w:rPr>
      <w:rFonts w:ascii="Times New Roman" w:hAnsi="Times New Roman" w:eastAsia="黑体" w:cs="Times New Roman"/>
      <w:sz w:val="24"/>
      <w:szCs w:val="24"/>
    </w:rPr>
  </w:style>
  <w:style w:type="character" w:customStyle="1" w:styleId="29">
    <w:name w:val="正文文本 字符"/>
    <w:basedOn w:val="22"/>
    <w:link w:val="7"/>
    <w:qFormat/>
    <w:locked/>
    <w:uiPriority w:val="99"/>
    <w:rPr>
      <w:rFonts w:cs="Times New Roman"/>
      <w:kern w:val="2"/>
      <w:sz w:val="22"/>
      <w:szCs w:val="22"/>
    </w:rPr>
  </w:style>
  <w:style w:type="character" w:customStyle="1" w:styleId="30">
    <w:name w:val="正文文本首行缩进 字符"/>
    <w:basedOn w:val="29"/>
    <w:link w:val="18"/>
    <w:qFormat/>
    <w:locked/>
    <w:uiPriority w:val="99"/>
    <w:rPr>
      <w:rFonts w:ascii="Times New Roman" w:hAnsi="Times New Roman" w:eastAsia="宋体" w:cs="Times New Roman"/>
      <w:kern w:val="2"/>
      <w:sz w:val="21"/>
      <w:szCs w:val="21"/>
    </w:rPr>
  </w:style>
  <w:style w:type="character" w:customStyle="1" w:styleId="31">
    <w:name w:val="正文文本缩进 字符"/>
    <w:basedOn w:val="22"/>
    <w:link w:val="8"/>
    <w:qFormat/>
    <w:locked/>
    <w:uiPriority w:val="99"/>
    <w:rPr>
      <w:rFonts w:ascii="Times New Roman" w:hAnsi="Times New Roman" w:eastAsia="宋体" w:cs="Times New Roman"/>
      <w:kern w:val="2"/>
      <w:sz w:val="21"/>
      <w:szCs w:val="21"/>
    </w:rPr>
  </w:style>
  <w:style w:type="character" w:customStyle="1" w:styleId="32">
    <w:name w:val="纯文本 字符"/>
    <w:basedOn w:val="22"/>
    <w:link w:val="9"/>
    <w:qFormat/>
    <w:locked/>
    <w:uiPriority w:val="99"/>
    <w:rPr>
      <w:rFonts w:ascii="宋体" w:hAnsi="Courier New" w:eastAsia="宋体" w:cs="宋体"/>
      <w:kern w:val="2"/>
      <w:sz w:val="21"/>
      <w:szCs w:val="21"/>
    </w:rPr>
  </w:style>
  <w:style w:type="character" w:customStyle="1" w:styleId="33">
    <w:name w:val="日期 字符"/>
    <w:basedOn w:val="22"/>
    <w:link w:val="10"/>
    <w:qFormat/>
    <w:locked/>
    <w:uiPriority w:val="99"/>
    <w:rPr>
      <w:rFonts w:ascii="Times New Roman" w:hAnsi="Times New Roman" w:eastAsia="黑体" w:cs="Times New Roman"/>
      <w:kern w:val="2"/>
      <w:sz w:val="28"/>
      <w:szCs w:val="28"/>
    </w:rPr>
  </w:style>
  <w:style w:type="character" w:customStyle="1" w:styleId="34">
    <w:name w:val="正文文本缩进 2 字符"/>
    <w:basedOn w:val="22"/>
    <w:link w:val="11"/>
    <w:qFormat/>
    <w:locked/>
    <w:uiPriority w:val="99"/>
    <w:rPr>
      <w:rFonts w:ascii="Times New Roman" w:hAnsi="Times New Roman" w:eastAsia="宋体" w:cs="Times New Roman"/>
      <w:kern w:val="2"/>
      <w:sz w:val="21"/>
      <w:szCs w:val="21"/>
    </w:rPr>
  </w:style>
  <w:style w:type="character" w:customStyle="1" w:styleId="35">
    <w:name w:val="批注框文本 字符"/>
    <w:basedOn w:val="22"/>
    <w:link w:val="12"/>
    <w:qFormat/>
    <w:locked/>
    <w:uiPriority w:val="99"/>
    <w:rPr>
      <w:rFonts w:ascii="Tahoma" w:hAnsi="Tahoma" w:eastAsia="微软雅黑" w:cs="Tahoma"/>
      <w:sz w:val="18"/>
      <w:szCs w:val="18"/>
    </w:rPr>
  </w:style>
  <w:style w:type="character" w:customStyle="1" w:styleId="36">
    <w:name w:val="页脚 字符"/>
    <w:basedOn w:val="22"/>
    <w:link w:val="13"/>
    <w:qFormat/>
    <w:locked/>
    <w:uiPriority w:val="99"/>
    <w:rPr>
      <w:rFonts w:cs="Times New Roman"/>
      <w:kern w:val="2"/>
      <w:sz w:val="18"/>
      <w:szCs w:val="18"/>
    </w:rPr>
  </w:style>
  <w:style w:type="character" w:customStyle="1" w:styleId="37">
    <w:name w:val="正文文本首行缩进 2 字符"/>
    <w:basedOn w:val="31"/>
    <w:link w:val="19"/>
    <w:qFormat/>
    <w:locked/>
    <w:uiPriority w:val="99"/>
    <w:rPr>
      <w:rFonts w:ascii="Times New Roman" w:hAnsi="Times New Roman" w:eastAsia="宋体" w:cs="Times New Roman"/>
      <w:kern w:val="2"/>
      <w:sz w:val="21"/>
      <w:szCs w:val="21"/>
    </w:rPr>
  </w:style>
  <w:style w:type="character" w:customStyle="1" w:styleId="38">
    <w:name w:val="页眉 字符"/>
    <w:basedOn w:val="22"/>
    <w:link w:val="14"/>
    <w:qFormat/>
    <w:locked/>
    <w:uiPriority w:val="99"/>
    <w:rPr>
      <w:rFonts w:cs="Times New Roman"/>
      <w:kern w:val="2"/>
      <w:sz w:val="18"/>
      <w:szCs w:val="18"/>
    </w:rPr>
  </w:style>
  <w:style w:type="character" w:customStyle="1" w:styleId="39">
    <w:name w:val="段 Char"/>
    <w:link w:val="40"/>
    <w:qFormat/>
    <w:locked/>
    <w:uiPriority w:val="99"/>
    <w:rPr>
      <w:rFonts w:ascii="宋体"/>
      <w:kern w:val="2"/>
      <w:sz w:val="22"/>
      <w:lang w:val="en-US" w:eastAsia="zh-CN"/>
    </w:rPr>
  </w:style>
  <w:style w:type="paragraph" w:customStyle="1" w:styleId="40">
    <w:name w:val="段"/>
    <w:link w:val="39"/>
    <w:qFormat/>
    <w:uiPriority w:val="99"/>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customStyle="1" w:styleId="41">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rPr>
  </w:style>
  <w:style w:type="paragraph" w:customStyle="1" w:styleId="42">
    <w:name w:val="一级条标题"/>
    <w:next w:val="40"/>
    <w:link w:val="61"/>
    <w:qFormat/>
    <w:uiPriority w:val="99"/>
    <w:pPr>
      <w:numPr>
        <w:ilvl w:val="1"/>
        <w:numId w:val="1"/>
      </w:numPr>
      <w:spacing w:beforeLines="50" w:afterLines="50"/>
      <w:outlineLvl w:val="2"/>
    </w:pPr>
    <w:rPr>
      <w:rFonts w:ascii="黑体" w:hAnsi="Times New Roman" w:eastAsia="黑体" w:cs="黑体"/>
      <w:sz w:val="21"/>
      <w:szCs w:val="21"/>
      <w:lang w:val="en-US" w:eastAsia="zh-CN" w:bidi="ar-SA"/>
    </w:rPr>
  </w:style>
  <w:style w:type="paragraph" w:customStyle="1" w:styleId="43">
    <w:name w:val="章标题"/>
    <w:next w:val="40"/>
    <w:link w:val="62"/>
    <w:qFormat/>
    <w:uiPriority w:val="99"/>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44">
    <w:name w:val="二级条标题"/>
    <w:basedOn w:val="42"/>
    <w:next w:val="40"/>
    <w:qFormat/>
    <w:uiPriority w:val="99"/>
    <w:pPr>
      <w:numPr>
        <w:ilvl w:val="2"/>
      </w:numPr>
      <w:spacing w:before="50" w:after="50"/>
      <w:outlineLvl w:val="3"/>
    </w:pPr>
  </w:style>
  <w:style w:type="paragraph" w:customStyle="1" w:styleId="45">
    <w:name w:val="四级条标题"/>
    <w:basedOn w:val="1"/>
    <w:next w:val="40"/>
    <w:qFormat/>
    <w:uiPriority w:val="99"/>
    <w:pPr>
      <w:widowControl/>
      <w:numPr>
        <w:ilvl w:val="4"/>
        <w:numId w:val="1"/>
      </w:numPr>
      <w:spacing w:beforeLines="50" w:afterLines="50"/>
      <w:jc w:val="left"/>
      <w:outlineLvl w:val="5"/>
    </w:pPr>
    <w:rPr>
      <w:rFonts w:ascii="黑体" w:hAnsi="Times New Roman" w:eastAsia="黑体" w:cs="黑体"/>
      <w:kern w:val="0"/>
      <w:szCs w:val="21"/>
    </w:rPr>
  </w:style>
  <w:style w:type="paragraph" w:customStyle="1" w:styleId="46">
    <w:name w:val="五级条标题"/>
    <w:basedOn w:val="45"/>
    <w:next w:val="40"/>
    <w:qFormat/>
    <w:uiPriority w:val="99"/>
    <w:pPr>
      <w:numPr>
        <w:ilvl w:val="5"/>
      </w:numPr>
      <w:outlineLvl w:val="6"/>
    </w:pPr>
  </w:style>
  <w:style w:type="paragraph" w:customStyle="1" w:styleId="47">
    <w:name w:val="Char Char Char Char"/>
    <w:basedOn w:val="1"/>
    <w:qFormat/>
    <w:uiPriority w:val="99"/>
    <w:pPr>
      <w:spacing w:line="360" w:lineRule="auto"/>
      <w:ind w:firstLine="200" w:firstLineChars="200"/>
    </w:pPr>
    <w:rPr>
      <w:rFonts w:ascii="宋体" w:hAnsi="宋体" w:cs="宋体"/>
      <w:sz w:val="24"/>
      <w:szCs w:val="24"/>
    </w:rPr>
  </w:style>
  <w:style w:type="paragraph" w:customStyle="1" w:styleId="48">
    <w:name w:val="封面标准英文名称"/>
    <w:qFormat/>
    <w:uiPriority w:val="99"/>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49">
    <w:name w:val="Char Char Char Char1"/>
    <w:basedOn w:val="1"/>
    <w:qFormat/>
    <w:uiPriority w:val="99"/>
    <w:pPr>
      <w:spacing w:line="360" w:lineRule="auto"/>
      <w:ind w:firstLine="200" w:firstLineChars="200"/>
    </w:pPr>
    <w:rPr>
      <w:rFonts w:ascii="宋体" w:hAnsi="宋体" w:cs="宋体"/>
      <w:sz w:val="24"/>
      <w:szCs w:val="24"/>
    </w:rPr>
  </w:style>
  <w:style w:type="paragraph" w:customStyle="1" w:styleId="50">
    <w:name w:val="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1">
    <w:name w:val="目次、标准名称标题"/>
    <w:basedOn w:val="1"/>
    <w:next w:val="40"/>
    <w:qFormat/>
    <w:uiPriority w:val="99"/>
    <w:pPr>
      <w:widowControl/>
      <w:shd w:val="clear" w:color="auto" w:fill="FFFFFF"/>
      <w:spacing w:before="640" w:after="560" w:line="460" w:lineRule="exact"/>
      <w:jc w:val="center"/>
      <w:outlineLvl w:val="0"/>
    </w:pPr>
    <w:rPr>
      <w:rFonts w:ascii="黑体" w:hAnsi="Times New Roman" w:eastAsia="黑体" w:cs="黑体"/>
      <w:kern w:val="0"/>
      <w:sz w:val="32"/>
      <w:szCs w:val="32"/>
    </w:rPr>
  </w:style>
  <w:style w:type="paragraph" w:customStyle="1" w:styleId="52">
    <w:name w:val="编号列项（三级）"/>
    <w:qFormat/>
    <w:uiPriority w:val="99"/>
    <w:pPr>
      <w:tabs>
        <w:tab w:val="left" w:pos="360"/>
      </w:tabs>
      <w:ind w:left="800" w:leftChars="600" w:hanging="200" w:hangingChars="200"/>
    </w:pPr>
    <w:rPr>
      <w:rFonts w:ascii="宋体" w:hAnsi="Times New Roman" w:eastAsia="宋体" w:cs="宋体"/>
      <w:sz w:val="21"/>
      <w:szCs w:val="21"/>
      <w:lang w:val="en-US" w:eastAsia="zh-CN" w:bidi="ar-SA"/>
    </w:rPr>
  </w:style>
  <w:style w:type="paragraph" w:customStyle="1" w:styleId="53">
    <w:name w:val="一级无"/>
    <w:basedOn w:val="42"/>
    <w:qFormat/>
    <w:uiPriority w:val="99"/>
    <w:pPr>
      <w:numPr>
        <w:ilvl w:val="0"/>
        <w:numId w:val="0"/>
      </w:numPr>
      <w:tabs>
        <w:tab w:val="left" w:pos="1440"/>
      </w:tabs>
      <w:spacing w:beforeLines="0" w:afterLines="0"/>
      <w:ind w:left="1440" w:hanging="720"/>
    </w:pPr>
    <w:rPr>
      <w:rFonts w:ascii="宋体" w:eastAsia="宋体" w:cs="宋体"/>
    </w:rPr>
  </w:style>
  <w:style w:type="paragraph" w:customStyle="1" w:styleId="54">
    <w:name w:val="字母编号列项（一级）"/>
    <w:basedOn w:val="1"/>
    <w:qFormat/>
    <w:uiPriority w:val="99"/>
    <w:pPr>
      <w:widowControl/>
      <w:spacing w:before="100" w:beforeAutospacing="1" w:after="100" w:afterAutospacing="1"/>
      <w:ind w:left="200" w:leftChars="200" w:hanging="420" w:hangingChars="200"/>
    </w:pPr>
    <w:rPr>
      <w:rFonts w:ascii="宋体" w:hAnsi="宋体" w:cs="宋体"/>
      <w:kern w:val="0"/>
      <w:szCs w:val="21"/>
    </w:rPr>
  </w:style>
  <w:style w:type="paragraph" w:customStyle="1" w:styleId="55">
    <w:name w:val="列出段落2"/>
    <w:basedOn w:val="1"/>
    <w:qFormat/>
    <w:uiPriority w:val="99"/>
    <w:pPr>
      <w:ind w:firstLine="420" w:firstLineChars="200"/>
    </w:pPr>
    <w:rPr>
      <w:rFonts w:ascii="Times New Roman" w:hAnsi="Times New Roman"/>
      <w:szCs w:val="24"/>
    </w:rPr>
  </w:style>
  <w:style w:type="paragraph" w:customStyle="1" w:styleId="56">
    <w:name w:val="二级无"/>
    <w:basedOn w:val="44"/>
    <w:qFormat/>
    <w:uiPriority w:val="99"/>
    <w:rPr>
      <w:rFonts w:ascii="宋体" w:eastAsia="宋体"/>
    </w:rPr>
  </w:style>
  <w:style w:type="paragraph" w:customStyle="1" w:styleId="57">
    <w:name w:val="列出段落3"/>
    <w:basedOn w:val="1"/>
    <w:qFormat/>
    <w:uiPriority w:val="34"/>
    <w:pPr>
      <w:ind w:firstLine="420" w:firstLineChars="200"/>
    </w:pPr>
  </w:style>
  <w:style w:type="paragraph" w:customStyle="1" w:styleId="58">
    <w:name w:val="样式1"/>
    <w:basedOn w:val="1"/>
    <w:qFormat/>
    <w:uiPriority w:val="0"/>
    <w:pPr>
      <w:tabs>
        <w:tab w:val="left" w:pos="525"/>
      </w:tabs>
    </w:pPr>
    <w:rPr>
      <w:rFonts w:ascii="宋体" w:hAnsi="宋体"/>
      <w:szCs w:val="21"/>
    </w:rPr>
  </w:style>
  <w:style w:type="character" w:customStyle="1" w:styleId="59">
    <w:name w:val="批注文字 字符"/>
    <w:basedOn w:val="22"/>
    <w:link w:val="6"/>
    <w:qFormat/>
    <w:uiPriority w:val="99"/>
    <w:rPr>
      <w:rFonts w:eastAsiaTheme="minorEastAsia"/>
      <w:kern w:val="2"/>
      <w:sz w:val="21"/>
      <w:szCs w:val="24"/>
    </w:rPr>
  </w:style>
  <w:style w:type="character" w:customStyle="1" w:styleId="60">
    <w:name w:val="批注主题 字符"/>
    <w:basedOn w:val="59"/>
    <w:link w:val="17"/>
    <w:qFormat/>
    <w:uiPriority w:val="99"/>
    <w:rPr>
      <w:rFonts w:eastAsiaTheme="minorEastAsia"/>
      <w:b/>
      <w:bCs/>
      <w:kern w:val="2"/>
      <w:sz w:val="21"/>
      <w:szCs w:val="24"/>
    </w:rPr>
  </w:style>
  <w:style w:type="character" w:customStyle="1" w:styleId="61">
    <w:name w:val="一级条标题[858D7CFB-ED40-4347-BF05-701D383B685F]"/>
    <w:link w:val="42"/>
    <w:qFormat/>
    <w:locked/>
    <w:uiPriority w:val="99"/>
    <w:rPr>
      <w:rFonts w:ascii="黑体" w:eastAsia="黑体" w:cs="黑体"/>
      <w:sz w:val="21"/>
      <w:szCs w:val="21"/>
    </w:rPr>
  </w:style>
  <w:style w:type="character" w:customStyle="1" w:styleId="62">
    <w:name w:val="章标题 Char"/>
    <w:link w:val="43"/>
    <w:qFormat/>
    <w:locked/>
    <w:uiPriority w:val="99"/>
    <w:rPr>
      <w:rFonts w:ascii="黑体" w:eastAsia="黑体" w:cs="黑体"/>
      <w:sz w:val="21"/>
      <w:szCs w:val="21"/>
    </w:rPr>
  </w:style>
  <w:style w:type="paragraph" w:customStyle="1" w:styleId="63">
    <w:name w:val="列出段落4"/>
    <w:basedOn w:val="1"/>
    <w:qFormat/>
    <w:uiPriority w:val="34"/>
    <w:pPr>
      <w:ind w:firstLine="420" w:firstLineChars="200"/>
    </w:pPr>
    <w:rPr>
      <w:rFonts w:ascii="Times New Roman" w:hAnsi="Times New Roman" w:eastAsiaTheme="minorEastAsia"/>
      <w:szCs w:val="24"/>
    </w:rPr>
  </w:style>
  <w:style w:type="paragraph" w:customStyle="1" w:styleId="64">
    <w:name w:val="p0"/>
    <w:basedOn w:val="1"/>
    <w:qFormat/>
    <w:uiPriority w:val="99"/>
    <w:pPr>
      <w:widowControl/>
    </w:pPr>
    <w:rPr>
      <w:rFonts w:cs="宋体" w:eastAsiaTheme="minorEastAsia"/>
      <w:kern w:val="0"/>
      <w:szCs w:val="21"/>
    </w:rPr>
  </w:style>
  <w:style w:type="character" w:customStyle="1" w:styleId="65">
    <w:name w:val="正文文本缩进 3 字符"/>
    <w:basedOn w:val="22"/>
    <w:link w:val="15"/>
    <w:qFormat/>
    <w:uiPriority w:val="99"/>
    <w:rPr>
      <w:rFonts w:eastAsiaTheme="minorEastAsia"/>
      <w:kern w:val="2"/>
      <w:sz w:val="16"/>
      <w:szCs w:val="16"/>
    </w:rPr>
  </w:style>
  <w:style w:type="paragraph" w:customStyle="1" w:styleId="6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7">
    <w:name w:val="标题 2 字符"/>
    <w:basedOn w:val="22"/>
    <w:link w:val="2"/>
    <w:qFormat/>
    <w:uiPriority w:val="9"/>
    <w:rPr>
      <w:rFonts w:asciiTheme="majorHAnsi" w:hAnsiTheme="majorHAnsi" w:eastAsiaTheme="majorEastAsia" w:cstheme="majorBidi"/>
      <w:b/>
      <w:bCs/>
      <w:kern w:val="2"/>
      <w:sz w:val="32"/>
      <w:szCs w:val="32"/>
    </w:rPr>
  </w:style>
  <w:style w:type="character" w:customStyle="1" w:styleId="68">
    <w:name w:val="font31"/>
    <w:basedOn w:val="22"/>
    <w:qFormat/>
    <w:uiPriority w:val="0"/>
    <w:rPr>
      <w:rFonts w:hint="default" w:ascii="Times New Roman" w:hAnsi="Times New Roman" w:cs="Times New Roman"/>
      <w:b/>
      <w:color w:val="000000"/>
      <w:sz w:val="21"/>
      <w:szCs w:val="21"/>
      <w:u w:val="none"/>
    </w:rPr>
  </w:style>
  <w:style w:type="character" w:customStyle="1" w:styleId="69">
    <w:name w:val="font51"/>
    <w:basedOn w:val="2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7BF93F-6416-4F7F-9729-E118E49BAC93}">
  <ds:schemaRefs/>
</ds:datastoreItem>
</file>

<file path=docProps/app.xml><?xml version="1.0" encoding="utf-8"?>
<Properties xmlns="http://schemas.openxmlformats.org/officeDocument/2006/extended-properties" xmlns:vt="http://schemas.openxmlformats.org/officeDocument/2006/docPropsVTypes">
  <Template>Normal</Template>
  <Pages>9</Pages>
  <Words>1465</Words>
  <Characters>8357</Characters>
  <Lines>69</Lines>
  <Paragraphs>19</Paragraphs>
  <TotalTime>25</TotalTime>
  <ScaleCrop>false</ScaleCrop>
  <LinksUpToDate>false</LinksUpToDate>
  <CharactersWithSpaces>9803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2017-10-23T07:08:00Z</dcterms:created>
  <dc:creator>Administrator</dc:creator>
  <cp:lastModifiedBy>WPS_1505917521</cp:lastModifiedBy>
  <cp:lastPrinted>2017-09-15T08:00:00Z</cp:lastPrinted>
  <dcterms:modified xsi:type="dcterms:W3CDTF">2020-09-14T05:21:50Z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