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szCs w:val="21"/>
        </w:rPr>
      </w:pPr>
      <w:r>
        <w:rPr>
          <w:rFonts w:hint="eastAsia"/>
          <w:szCs w:val="21"/>
        </w:rPr>
        <w:t>附件</w:t>
      </w:r>
      <w:r>
        <w:rPr>
          <w:szCs w:val="21"/>
        </w:rPr>
        <w:t xml:space="preserve"> 3</w:t>
      </w:r>
    </w:p>
    <w:p>
      <w:pPr>
        <w:jc w:val="center"/>
        <w:rPr>
          <w:rFonts w:hint="eastAsia" w:ascii="宋体" w:hAnsi="宋体" w:eastAsia="宋体"/>
          <w:b/>
          <w:sz w:val="28"/>
          <w:szCs w:val="28"/>
          <w:lang w:eastAsia="zh-CN"/>
        </w:rPr>
      </w:pPr>
      <w:r>
        <w:rPr>
          <w:rFonts w:hint="eastAsia" w:ascii="宋体" w:hAnsi="宋体"/>
          <w:b/>
          <w:sz w:val="28"/>
          <w:szCs w:val="28"/>
        </w:rPr>
        <w:t>标准征求意见稿意见汇总处理表</w:t>
      </w:r>
      <w:r>
        <w:rPr>
          <w:rFonts w:hint="eastAsia" w:ascii="宋体" w:hAnsi="宋体"/>
          <w:b/>
          <w:sz w:val="28"/>
          <w:szCs w:val="28"/>
          <w:lang w:eastAsia="zh-CN"/>
        </w:rPr>
        <w:t>（方法</w:t>
      </w:r>
      <w:r>
        <w:rPr>
          <w:rFonts w:hint="eastAsia" w:ascii="宋体" w:hAnsi="宋体"/>
          <w:b/>
          <w:sz w:val="28"/>
          <w:szCs w:val="28"/>
          <w:lang w:val="en-US" w:eastAsia="zh-CN"/>
        </w:rPr>
        <w:t>1</w:t>
      </w:r>
      <w:r>
        <w:rPr>
          <w:rFonts w:hint="eastAsia" w:ascii="宋体" w:hAnsi="宋体"/>
          <w:b/>
          <w:sz w:val="28"/>
          <w:szCs w:val="28"/>
          <w:lang w:eastAsia="zh-CN"/>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标准项目名称： </w:t>
      </w:r>
      <w:r>
        <w:rPr>
          <w:rFonts w:hint="default" w:ascii="Times New Roman" w:hAnsi="Times New Roman" w:eastAsia="宋体" w:cs="Times New Roman"/>
          <w:color w:val="000000"/>
          <w:sz w:val="21"/>
          <w:szCs w:val="21"/>
          <w:shd w:val="clear" w:color="auto" w:fill="FFFFFF"/>
        </w:rPr>
        <w:t>行业标准《铜冶炼烟尘化学分析方法 第7部分：镉量的测定 火焰原子吸收光谱法》</w:t>
      </w:r>
      <w:r>
        <w:rPr>
          <w:rFonts w:hint="default" w:ascii="Times New Roman" w:hAnsi="Times New Roman" w:eastAsia="宋体" w:cs="Times New Roman"/>
          <w:sz w:val="21"/>
          <w:szCs w:val="21"/>
        </w:rPr>
        <w:t xml:space="preserve">                           承办人：吕茜茜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共</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页 第</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页</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标准项目负责起草单位：</w:t>
      </w:r>
      <w:r>
        <w:rPr>
          <w:rFonts w:hint="default" w:ascii="Times New Roman" w:hAnsi="Times New Roman" w:eastAsia="宋体" w:cs="Times New Roman"/>
          <w:color w:val="000000"/>
          <w:sz w:val="21"/>
          <w:szCs w:val="21"/>
          <w:shd w:val="clear" w:color="auto" w:fill="FFFFFF"/>
        </w:rPr>
        <w:t>铜陵有色金属集团控股有限公司</w:t>
      </w:r>
      <w:r>
        <w:rPr>
          <w:rFonts w:hint="default" w:ascii="Times New Roman" w:hAnsi="Times New Roman" w:eastAsia="宋体" w:cs="Times New Roman"/>
          <w:color w:val="000000"/>
          <w:sz w:val="21"/>
          <w:szCs w:val="21"/>
          <w:shd w:val="clear" w:color="auto" w:fill="FFFFFF"/>
          <w:lang w:val="en-US" w:eastAsia="zh-CN"/>
        </w:rPr>
        <w:t xml:space="preserve"> </w:t>
      </w:r>
      <w:r>
        <w:rPr>
          <w:rFonts w:hint="default" w:ascii="Times New Roman" w:hAnsi="Times New Roman" w:eastAsia="宋体" w:cs="Times New Roman"/>
          <w:sz w:val="21"/>
          <w:szCs w:val="21"/>
        </w:rPr>
        <w:t>电话：0562-5860884</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2020</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日填写</w:t>
      </w:r>
    </w:p>
    <w:tbl>
      <w:tblPr>
        <w:tblStyle w:val="4"/>
        <w:tblW w:w="10844"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05"/>
        <w:gridCol w:w="3948"/>
        <w:gridCol w:w="1843"/>
        <w:gridCol w:w="1413"/>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405"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标准章节</w:t>
            </w:r>
          </w:p>
        </w:tc>
        <w:tc>
          <w:tcPr>
            <w:tcW w:w="3948"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意见内容</w:t>
            </w:r>
          </w:p>
        </w:tc>
        <w:tc>
          <w:tcPr>
            <w:tcW w:w="1843"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提出单位</w:t>
            </w:r>
          </w:p>
        </w:tc>
        <w:tc>
          <w:tcPr>
            <w:tcW w:w="1413"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处理意见</w:t>
            </w:r>
          </w:p>
        </w:tc>
        <w:tc>
          <w:tcPr>
            <w:tcW w:w="1572"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6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405" w:type="dxa"/>
            <w:shd w:val="clear" w:color="auto" w:fill="auto"/>
            <w:vAlign w:val="center"/>
          </w:tcPr>
          <w:p>
            <w:pPr>
              <w:jc w:val="left"/>
              <w:rPr>
                <w:rFonts w:hint="default" w:ascii="Times New Roman" w:hAnsi="Times New Roman" w:eastAsia="宋体" w:cs="Times New Roman"/>
                <w:szCs w:val="21"/>
              </w:rPr>
            </w:pPr>
            <w:r>
              <w:rPr>
                <w:rFonts w:hint="default" w:ascii="Times New Roman" w:hAnsi="Times New Roman" w:eastAsia="宋体" w:cs="Times New Roman"/>
                <w:bCs/>
                <w:color w:val="000000"/>
                <w:szCs w:val="21"/>
              </w:rPr>
              <w:t>讨论稿 8 试验数据处理</w:t>
            </w:r>
          </w:p>
        </w:tc>
        <w:tc>
          <w:tcPr>
            <w:tcW w:w="3948" w:type="dxa"/>
            <w:shd w:val="clear" w:color="auto" w:fill="auto"/>
            <w:vAlign w:val="center"/>
          </w:tcPr>
          <w:p>
            <w:pPr>
              <w:ind w:firstLine="210" w:firstLineChars="100"/>
              <w:jc w:val="left"/>
              <w:rPr>
                <w:rFonts w:hint="eastAsia" w:ascii="Times New Roman" w:hAnsi="Times New Roman" w:eastAsia="宋体" w:cs="Times New Roman"/>
                <w:szCs w:val="21"/>
                <w:lang w:eastAsia="zh-CN"/>
              </w:rPr>
            </w:pPr>
            <w:r>
              <w:rPr>
                <w:rFonts w:hint="default" w:ascii="Times New Roman" w:hAnsi="Times New Roman" w:eastAsia="宋体" w:cs="Times New Roman"/>
                <w:szCs w:val="21"/>
              </w:rPr>
              <w:t>镉含量以镉的质量分数</w:t>
            </w:r>
            <w:r>
              <w:rPr>
                <w:rFonts w:hint="default" w:ascii="Times New Roman" w:hAnsi="Times New Roman" w:eastAsia="宋体" w:cs="Times New Roman"/>
                <w:i/>
                <w:szCs w:val="21"/>
              </w:rPr>
              <w:t>w</w:t>
            </w:r>
            <w:r>
              <w:rPr>
                <w:rFonts w:hint="default" w:ascii="Times New Roman" w:hAnsi="Times New Roman" w:eastAsia="宋体" w:cs="Times New Roman"/>
                <w:szCs w:val="21"/>
                <w:vertAlign w:val="subscript"/>
              </w:rPr>
              <w:t>Cd</w:t>
            </w:r>
            <w:r>
              <w:rPr>
                <w:rFonts w:hint="default" w:ascii="Times New Roman" w:hAnsi="Times New Roman" w:eastAsia="宋体" w:cs="Times New Roman"/>
                <w:szCs w:val="21"/>
              </w:rPr>
              <w:t>计，后加一句：数值以%表示</w:t>
            </w:r>
            <w:r>
              <w:rPr>
                <w:rFonts w:hint="eastAsia" w:cs="Times New Roman"/>
                <w:szCs w:val="21"/>
                <w:lang w:eastAsia="zh-CN"/>
              </w:rPr>
              <w:t>。</w:t>
            </w:r>
          </w:p>
        </w:tc>
        <w:tc>
          <w:tcPr>
            <w:tcW w:w="1843" w:type="dxa"/>
            <w:vMerge w:val="restart"/>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阳谷祥光铜业有限公司</w:t>
            </w:r>
          </w:p>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405" w:type="dxa"/>
            <w:shd w:val="clear" w:color="auto" w:fill="auto"/>
            <w:vAlign w:val="center"/>
          </w:tcPr>
          <w:p>
            <w:pPr>
              <w:jc w:val="left"/>
              <w:rPr>
                <w:rFonts w:hint="default" w:ascii="Times New Roman" w:hAnsi="Times New Roman" w:eastAsia="宋体" w:cs="Times New Roman"/>
                <w:szCs w:val="21"/>
              </w:rPr>
            </w:pPr>
            <w:r>
              <w:rPr>
                <w:rFonts w:hint="default" w:ascii="Times New Roman" w:hAnsi="Times New Roman" w:eastAsia="宋体" w:cs="Times New Roman"/>
                <w:bCs/>
                <w:color w:val="000000"/>
                <w:szCs w:val="21"/>
              </w:rPr>
              <w:t xml:space="preserve">讨论稿 </w:t>
            </w:r>
            <w:r>
              <w:rPr>
                <w:rFonts w:hint="default" w:ascii="Times New Roman" w:hAnsi="Times New Roman" w:eastAsia="宋体" w:cs="Times New Roman"/>
              </w:rPr>
              <w:t>表1试液定容体积、分取量</w:t>
            </w:r>
          </w:p>
        </w:tc>
        <w:tc>
          <w:tcPr>
            <w:tcW w:w="3948" w:type="dxa"/>
            <w:shd w:val="clear" w:color="auto" w:fill="auto"/>
            <w:vAlign w:val="center"/>
          </w:tcPr>
          <w:p>
            <w:pPr>
              <w:ind w:firstLine="210" w:firstLineChars="100"/>
              <w:jc w:val="left"/>
              <w:rPr>
                <w:rFonts w:hint="default" w:ascii="Times New Roman" w:hAnsi="Times New Roman" w:eastAsia="宋体" w:cs="Times New Roman"/>
              </w:rPr>
            </w:pPr>
            <w:r>
              <w:rPr>
                <w:rFonts w:hint="eastAsia" w:cs="Times New Roman"/>
                <w:lang w:eastAsia="zh-CN"/>
              </w:rPr>
              <w:t>“</w:t>
            </w:r>
            <w:r>
              <w:rPr>
                <w:rFonts w:hint="default" w:ascii="Times New Roman" w:hAnsi="Times New Roman" w:eastAsia="宋体" w:cs="Times New Roman"/>
              </w:rPr>
              <w:t>镉的质量分数，%</w:t>
            </w:r>
            <w:r>
              <w:rPr>
                <w:rFonts w:hint="eastAsia" w:cs="Times New Roman"/>
                <w:lang w:eastAsia="zh-CN"/>
              </w:rPr>
              <w:t>”</w:t>
            </w:r>
            <w:r>
              <w:rPr>
                <w:rFonts w:hint="default" w:ascii="Times New Roman" w:hAnsi="Times New Roman" w:eastAsia="宋体" w:cs="Times New Roman"/>
              </w:rPr>
              <w:t>应改为</w:t>
            </w:r>
            <w:r>
              <w:rPr>
                <w:rFonts w:hint="eastAsia" w:cs="Times New Roman"/>
                <w:lang w:eastAsia="zh-CN"/>
              </w:rPr>
              <w:t>“</w:t>
            </w:r>
            <w:r>
              <w:rPr>
                <w:rFonts w:hint="default" w:ascii="Times New Roman" w:hAnsi="Times New Roman" w:eastAsia="宋体" w:cs="Times New Roman"/>
              </w:rPr>
              <w:t>镉的质量分数/%</w:t>
            </w:r>
            <w:r>
              <w:rPr>
                <w:rFonts w:hint="eastAsia" w:cs="Times New Roman"/>
                <w:lang w:eastAsia="zh-CN"/>
              </w:rPr>
              <w:t>”</w:t>
            </w:r>
            <w:r>
              <w:rPr>
                <w:rFonts w:hint="default" w:ascii="Times New Roman" w:hAnsi="Times New Roman" w:eastAsia="宋体" w:cs="Times New Roman"/>
              </w:rPr>
              <w:t>，后面三列同样修改。</w:t>
            </w:r>
          </w:p>
          <w:p>
            <w:pPr>
              <w:jc w:val="left"/>
              <w:rPr>
                <w:rFonts w:hint="default" w:ascii="Times New Roman" w:hAnsi="Times New Roman" w:eastAsia="宋体" w:cs="Times New Roman"/>
                <w:szCs w:val="21"/>
              </w:rPr>
            </w:pPr>
            <w:r>
              <w:rPr>
                <w:rFonts w:hint="eastAsia" w:cs="Times New Roman"/>
                <w:lang w:eastAsia="zh-CN"/>
              </w:rPr>
              <w:t>“</w:t>
            </w:r>
            <w:r>
              <w:rPr>
                <w:rFonts w:hint="default" w:ascii="Times New Roman" w:hAnsi="Times New Roman" w:eastAsia="宋体" w:cs="Times New Roman"/>
              </w:rPr>
              <w:t>0.020-0.080</w:t>
            </w:r>
            <w:r>
              <w:rPr>
                <w:rFonts w:hint="eastAsia" w:cs="Times New Roman"/>
                <w:lang w:eastAsia="zh-CN"/>
              </w:rPr>
              <w:t>”</w:t>
            </w:r>
            <w:r>
              <w:rPr>
                <w:rFonts w:hint="default" w:ascii="Times New Roman" w:hAnsi="Times New Roman" w:eastAsia="宋体" w:cs="Times New Roman"/>
              </w:rPr>
              <w:t>应改为</w:t>
            </w:r>
            <w:r>
              <w:rPr>
                <w:rFonts w:hint="eastAsia" w:cs="Times New Roman"/>
                <w:lang w:eastAsia="zh-CN"/>
              </w:rPr>
              <w:t>“</w:t>
            </w:r>
            <w:r>
              <w:rPr>
                <w:rFonts w:hint="default" w:ascii="Times New Roman" w:hAnsi="Times New Roman" w:eastAsia="宋体" w:cs="Times New Roman"/>
              </w:rPr>
              <w:t>0.020~0.080</w:t>
            </w:r>
            <w:r>
              <w:rPr>
                <w:rFonts w:hint="eastAsia" w:cs="Times New Roman"/>
                <w:lang w:eastAsia="zh-CN"/>
              </w:rPr>
              <w:t>”</w:t>
            </w:r>
            <w:r>
              <w:rPr>
                <w:rFonts w:hint="default" w:ascii="Times New Roman" w:hAnsi="Times New Roman" w:eastAsia="宋体" w:cs="Times New Roman"/>
              </w:rPr>
              <w:t>，下面四行同样修改。</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3</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1</w:t>
            </w:r>
          </w:p>
        </w:tc>
        <w:tc>
          <w:tcPr>
            <w:tcW w:w="394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说明哪个方法为仲裁方法</w:t>
            </w:r>
          </w:p>
        </w:tc>
        <w:tc>
          <w:tcPr>
            <w:tcW w:w="1843" w:type="dxa"/>
            <w:vMerge w:val="restart"/>
            <w:shd w:val="clear" w:color="auto" w:fill="auto"/>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北方铜业股份有限公司</w:t>
            </w: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不采纳</w:t>
            </w:r>
          </w:p>
        </w:tc>
        <w:tc>
          <w:tcPr>
            <w:tcW w:w="1572" w:type="dxa"/>
            <w:shd w:val="clear" w:color="auto" w:fill="auto"/>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不涉及仲裁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4</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6.1</w:t>
            </w:r>
          </w:p>
        </w:tc>
        <w:tc>
          <w:tcPr>
            <w:tcW w:w="394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试样粒度建议用μm表示，与其它系列标准统一</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5</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7.1</w:t>
            </w:r>
          </w:p>
        </w:tc>
        <w:tc>
          <w:tcPr>
            <w:tcW w:w="394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建议称取试样0.10g，精确至0.0001g</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6</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7.4.1</w:t>
            </w:r>
          </w:p>
        </w:tc>
        <w:tc>
          <w:tcPr>
            <w:tcW w:w="394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低温加热3-5min，建议3后面也带单位</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7.4.3</w:t>
            </w:r>
          </w:p>
        </w:tc>
        <w:tc>
          <w:tcPr>
            <w:tcW w:w="394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表1 方法范围较大，建议根据含量不同称样量有所不同，分取前尽量定容体积一致</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不采纳</w:t>
            </w:r>
          </w:p>
        </w:tc>
        <w:tc>
          <w:tcPr>
            <w:tcW w:w="1572" w:type="dxa"/>
            <w:shd w:val="clear" w:color="auto" w:fill="auto"/>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最低含量称样量为0.10g，定容为100 mL；高含量已无法再减少称样量。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w:t>
            </w:r>
          </w:p>
        </w:tc>
        <w:tc>
          <w:tcPr>
            <w:tcW w:w="1405"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8</w:t>
            </w:r>
          </w:p>
        </w:tc>
        <w:tc>
          <w:tcPr>
            <w:tcW w:w="3948" w:type="dxa"/>
            <w:shd w:val="clear" w:color="auto" w:fill="auto"/>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表述为“镉含量以镉的质量分数</w:t>
            </w:r>
            <w:r>
              <w:rPr>
                <w:rFonts w:hint="default" w:ascii="Times New Roman" w:hAnsi="Times New Roman" w:eastAsia="宋体" w:cs="Times New Roman"/>
                <w:i/>
                <w:szCs w:val="21"/>
              </w:rPr>
              <w:t>w</w:t>
            </w:r>
            <w:r>
              <w:rPr>
                <w:rFonts w:hint="default" w:ascii="Times New Roman" w:hAnsi="Times New Roman" w:eastAsia="宋体" w:cs="Times New Roman"/>
                <w:szCs w:val="21"/>
                <w:vertAlign w:val="subscript"/>
              </w:rPr>
              <w:t>Cd</w:t>
            </w:r>
            <w:r>
              <w:rPr>
                <w:rFonts w:hint="default" w:ascii="Times New Roman" w:hAnsi="Times New Roman" w:eastAsia="宋体" w:cs="Times New Roman"/>
                <w:szCs w:val="21"/>
              </w:rPr>
              <w:t>计，数值以%表示，用公式 （1）</w:t>
            </w:r>
          </w:p>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计算”</w:t>
            </w:r>
          </w:p>
        </w:tc>
        <w:tc>
          <w:tcPr>
            <w:tcW w:w="1843" w:type="dxa"/>
            <w:vMerge w:val="continue"/>
            <w:shd w:val="clear" w:color="auto" w:fill="auto"/>
            <w:vAlign w:val="center"/>
          </w:tcPr>
          <w:p>
            <w:pPr>
              <w:jc w:val="center"/>
              <w:rPr>
                <w:rFonts w:hint="default" w:ascii="Times New Roman" w:hAnsi="Times New Roman" w:eastAsia="宋体" w:cs="Times New Roman"/>
                <w:szCs w:val="21"/>
              </w:rPr>
            </w:pPr>
          </w:p>
        </w:tc>
        <w:tc>
          <w:tcPr>
            <w:tcW w:w="141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cs="Times New Roman"/>
                <w:szCs w:val="21"/>
                <w:lang w:val="en-US" w:eastAsia="zh-CN"/>
              </w:rPr>
              <w:t>采纳</w:t>
            </w: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w:t>
            </w:r>
          </w:p>
        </w:tc>
        <w:tc>
          <w:tcPr>
            <w:tcW w:w="1405" w:type="dxa"/>
            <w:shd w:val="clear" w:color="auto" w:fill="auto"/>
            <w:vAlign w:val="center"/>
          </w:tcPr>
          <w:p>
            <w:pPr>
              <w:jc w:val="center"/>
              <w:rPr>
                <w:rFonts w:hint="default" w:ascii="Times New Roman" w:hAnsi="Times New Roman" w:eastAsia="宋体" w:cs="Times New Roman"/>
                <w:szCs w:val="21"/>
              </w:rPr>
            </w:pPr>
          </w:p>
        </w:tc>
        <w:tc>
          <w:tcPr>
            <w:tcW w:w="3948" w:type="dxa"/>
            <w:shd w:val="clear" w:color="auto" w:fill="auto"/>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北矿检测技术有限公司</w:t>
            </w:r>
          </w:p>
        </w:tc>
        <w:tc>
          <w:tcPr>
            <w:tcW w:w="1413" w:type="dxa"/>
            <w:shd w:val="clear" w:color="auto" w:fill="auto"/>
            <w:vAlign w:val="center"/>
          </w:tcPr>
          <w:p>
            <w:pPr>
              <w:jc w:val="center"/>
              <w:rPr>
                <w:rFonts w:hint="eastAsia" w:cs="Times New Roman"/>
                <w:szCs w:val="21"/>
                <w:lang w:val="en-US" w:eastAsia="zh-CN"/>
              </w:rPr>
            </w:pPr>
          </w:p>
        </w:tc>
        <w:tc>
          <w:tcPr>
            <w:tcW w:w="1572" w:type="dxa"/>
            <w:shd w:val="clear" w:color="auto" w:fill="auto"/>
            <w:vAlign w:val="center"/>
          </w:tcPr>
          <w:p>
            <w:pPr>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10</w:t>
            </w:r>
          </w:p>
        </w:tc>
        <w:tc>
          <w:tcPr>
            <w:tcW w:w="1405" w:type="dxa"/>
            <w:shd w:val="clear" w:color="auto" w:fill="auto"/>
          </w:tcPr>
          <w:p>
            <w:pPr>
              <w:jc w:val="left"/>
              <w:rPr>
                <w:szCs w:val="21"/>
              </w:rPr>
            </w:pPr>
          </w:p>
        </w:tc>
        <w:tc>
          <w:tcPr>
            <w:tcW w:w="3948" w:type="dxa"/>
            <w:shd w:val="clear" w:color="auto" w:fill="auto"/>
            <w:vAlign w:val="center"/>
          </w:tcPr>
          <w:p>
            <w:pPr>
              <w:jc w:val="center"/>
              <w:rPr>
                <w:rFonts w:hint="eastAsia" w:cs="Times New Roman"/>
                <w:szCs w:val="21"/>
                <w:lang w:val="en-US" w:eastAsia="zh-CN"/>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金川集团股份有限公司</w:t>
            </w:r>
          </w:p>
        </w:tc>
        <w:tc>
          <w:tcPr>
            <w:tcW w:w="1413" w:type="dxa"/>
            <w:shd w:val="clear" w:color="auto" w:fill="auto"/>
          </w:tcPr>
          <w:p>
            <w:pPr>
              <w:jc w:val="left"/>
              <w:rPr>
                <w:szCs w:val="21"/>
              </w:rPr>
            </w:pPr>
          </w:p>
        </w:tc>
        <w:tc>
          <w:tcPr>
            <w:tcW w:w="1572"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11</w:t>
            </w:r>
          </w:p>
        </w:tc>
        <w:tc>
          <w:tcPr>
            <w:tcW w:w="1405" w:type="dxa"/>
            <w:shd w:val="clear" w:color="auto" w:fill="auto"/>
          </w:tcPr>
          <w:p>
            <w:pPr>
              <w:jc w:val="left"/>
              <w:rPr>
                <w:szCs w:val="21"/>
              </w:rPr>
            </w:pPr>
          </w:p>
        </w:tc>
        <w:tc>
          <w:tcPr>
            <w:tcW w:w="3948" w:type="dxa"/>
            <w:shd w:val="clear" w:color="auto" w:fill="auto"/>
            <w:vAlign w:val="center"/>
          </w:tcPr>
          <w:p>
            <w:pPr>
              <w:jc w:val="center"/>
              <w:rPr>
                <w:rFonts w:hint="eastAsia" w:cs="Times New Roman"/>
                <w:szCs w:val="21"/>
                <w:lang w:val="en-US" w:eastAsia="zh-CN"/>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广东省科学院工业分析检测中心</w:t>
            </w:r>
          </w:p>
        </w:tc>
        <w:tc>
          <w:tcPr>
            <w:tcW w:w="1413" w:type="dxa"/>
            <w:shd w:val="clear" w:color="auto" w:fill="auto"/>
          </w:tcPr>
          <w:p>
            <w:pPr>
              <w:jc w:val="left"/>
              <w:rPr>
                <w:szCs w:val="21"/>
              </w:rPr>
            </w:pPr>
          </w:p>
        </w:tc>
        <w:tc>
          <w:tcPr>
            <w:tcW w:w="1572"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12</w:t>
            </w:r>
          </w:p>
        </w:tc>
        <w:tc>
          <w:tcPr>
            <w:tcW w:w="1405" w:type="dxa"/>
            <w:shd w:val="clear" w:color="auto" w:fill="auto"/>
          </w:tcPr>
          <w:p>
            <w:pPr>
              <w:jc w:val="left"/>
              <w:rPr>
                <w:szCs w:val="21"/>
              </w:rPr>
            </w:pPr>
          </w:p>
        </w:tc>
        <w:tc>
          <w:tcPr>
            <w:tcW w:w="3948" w:type="dxa"/>
            <w:shd w:val="clear" w:color="auto" w:fill="auto"/>
            <w:vAlign w:val="center"/>
          </w:tcPr>
          <w:p>
            <w:pPr>
              <w:jc w:val="center"/>
              <w:rPr>
                <w:szCs w:val="21"/>
              </w:rPr>
            </w:pPr>
            <w:r>
              <w:rPr>
                <w:rFonts w:hint="eastAsia" w:cs="Times New Roman"/>
                <w:szCs w:val="21"/>
                <w:lang w:eastAsia="zh-CN"/>
              </w:rPr>
              <w:t>无回函</w:t>
            </w:r>
          </w:p>
        </w:tc>
        <w:tc>
          <w:tcPr>
            <w:tcW w:w="1843" w:type="dxa"/>
            <w:shd w:val="clear" w:color="auto" w:fill="auto"/>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富民薪冶工贸有限公司</w:t>
            </w:r>
          </w:p>
        </w:tc>
        <w:tc>
          <w:tcPr>
            <w:tcW w:w="1413" w:type="dxa"/>
            <w:shd w:val="clear" w:color="auto" w:fill="auto"/>
          </w:tcPr>
          <w:p>
            <w:pPr>
              <w:jc w:val="left"/>
              <w:rPr>
                <w:szCs w:val="21"/>
              </w:rPr>
            </w:pPr>
          </w:p>
        </w:tc>
        <w:tc>
          <w:tcPr>
            <w:tcW w:w="1572"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13</w:t>
            </w:r>
          </w:p>
        </w:tc>
        <w:tc>
          <w:tcPr>
            <w:tcW w:w="1405" w:type="dxa"/>
            <w:shd w:val="clear" w:color="auto" w:fill="auto"/>
          </w:tcPr>
          <w:p>
            <w:pPr>
              <w:jc w:val="left"/>
              <w:rPr>
                <w:szCs w:val="21"/>
              </w:rPr>
            </w:pPr>
          </w:p>
        </w:tc>
        <w:tc>
          <w:tcPr>
            <w:tcW w:w="3948" w:type="dxa"/>
            <w:shd w:val="clear" w:color="auto" w:fill="auto"/>
            <w:vAlign w:val="center"/>
          </w:tcPr>
          <w:p>
            <w:pPr>
              <w:jc w:val="center"/>
              <w:rPr>
                <w:szCs w:val="21"/>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株洲冶炼集团股份有限公司</w:t>
            </w:r>
          </w:p>
        </w:tc>
        <w:tc>
          <w:tcPr>
            <w:tcW w:w="1413" w:type="dxa"/>
            <w:shd w:val="clear" w:color="auto" w:fill="auto"/>
          </w:tcPr>
          <w:p>
            <w:pPr>
              <w:jc w:val="left"/>
              <w:rPr>
                <w:szCs w:val="21"/>
              </w:rPr>
            </w:pPr>
          </w:p>
        </w:tc>
        <w:tc>
          <w:tcPr>
            <w:tcW w:w="1572"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14</w:t>
            </w:r>
          </w:p>
        </w:tc>
        <w:tc>
          <w:tcPr>
            <w:tcW w:w="1405" w:type="dxa"/>
            <w:shd w:val="clear" w:color="auto" w:fill="auto"/>
          </w:tcPr>
          <w:p>
            <w:pPr>
              <w:jc w:val="left"/>
              <w:rPr>
                <w:szCs w:val="21"/>
              </w:rPr>
            </w:pPr>
          </w:p>
        </w:tc>
        <w:tc>
          <w:tcPr>
            <w:tcW w:w="3948" w:type="dxa"/>
            <w:shd w:val="clear" w:color="auto" w:fill="auto"/>
            <w:vAlign w:val="center"/>
          </w:tcPr>
          <w:p>
            <w:pPr>
              <w:jc w:val="center"/>
              <w:rPr>
                <w:szCs w:val="21"/>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长沙矿冶研究院有限责任公司</w:t>
            </w:r>
          </w:p>
        </w:tc>
        <w:tc>
          <w:tcPr>
            <w:tcW w:w="1413" w:type="dxa"/>
            <w:shd w:val="clear" w:color="auto" w:fill="auto"/>
          </w:tcPr>
          <w:p>
            <w:pPr>
              <w:jc w:val="left"/>
              <w:rPr>
                <w:szCs w:val="21"/>
              </w:rPr>
            </w:pPr>
          </w:p>
        </w:tc>
        <w:tc>
          <w:tcPr>
            <w:tcW w:w="1572"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shd w:val="clear" w:color="auto" w:fill="auto"/>
            <w:vAlign w:val="center"/>
          </w:tcPr>
          <w:p>
            <w:pPr>
              <w:jc w:val="center"/>
              <w:rPr>
                <w:rFonts w:hint="default" w:eastAsia="宋体"/>
                <w:szCs w:val="21"/>
                <w:lang w:val="en-US" w:eastAsia="zh-CN"/>
              </w:rPr>
            </w:pPr>
            <w:r>
              <w:rPr>
                <w:rFonts w:hint="eastAsia"/>
                <w:szCs w:val="21"/>
                <w:lang w:val="en-US" w:eastAsia="zh-CN"/>
              </w:rPr>
              <w:t>15</w:t>
            </w:r>
          </w:p>
        </w:tc>
        <w:tc>
          <w:tcPr>
            <w:tcW w:w="1405" w:type="dxa"/>
            <w:shd w:val="clear" w:color="auto" w:fill="auto"/>
          </w:tcPr>
          <w:p>
            <w:pPr>
              <w:jc w:val="left"/>
              <w:rPr>
                <w:szCs w:val="21"/>
              </w:rPr>
            </w:pPr>
          </w:p>
        </w:tc>
        <w:tc>
          <w:tcPr>
            <w:tcW w:w="3948" w:type="dxa"/>
            <w:shd w:val="clear" w:color="auto" w:fill="auto"/>
            <w:vAlign w:val="center"/>
          </w:tcPr>
          <w:p>
            <w:pPr>
              <w:jc w:val="center"/>
              <w:rPr>
                <w:szCs w:val="21"/>
              </w:rPr>
            </w:pPr>
            <w:r>
              <w:rPr>
                <w:rFonts w:hint="eastAsia" w:cs="Times New Roman"/>
                <w:szCs w:val="21"/>
                <w:lang w:eastAsia="zh-CN"/>
              </w:rPr>
              <w:t>无回函</w:t>
            </w:r>
          </w:p>
        </w:tc>
        <w:tc>
          <w:tcPr>
            <w:tcW w:w="1843"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云南锡业股份有限公司铜业分公司</w:t>
            </w:r>
          </w:p>
        </w:tc>
        <w:tc>
          <w:tcPr>
            <w:tcW w:w="1413" w:type="dxa"/>
            <w:shd w:val="clear" w:color="auto" w:fill="auto"/>
          </w:tcPr>
          <w:p>
            <w:pPr>
              <w:jc w:val="left"/>
              <w:rPr>
                <w:szCs w:val="21"/>
              </w:rPr>
            </w:pPr>
          </w:p>
        </w:tc>
        <w:tc>
          <w:tcPr>
            <w:tcW w:w="1572" w:type="dxa"/>
            <w:shd w:val="clear" w:color="auto" w:fill="auto"/>
          </w:tcPr>
          <w:p>
            <w:pPr>
              <w:jc w:val="left"/>
              <w:rPr>
                <w:szCs w:val="21"/>
              </w:rPr>
            </w:pPr>
          </w:p>
        </w:tc>
      </w:tr>
    </w:tbl>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eastAsia="宋体"/>
          <w:b/>
          <w:sz w:val="28"/>
          <w:szCs w:val="28"/>
          <w:lang w:eastAsia="zh-CN"/>
        </w:rPr>
      </w:pPr>
      <w:r>
        <w:rPr>
          <w:rFonts w:hint="eastAsia" w:ascii="宋体" w:hAnsi="宋体"/>
          <w:b/>
          <w:sz w:val="28"/>
          <w:szCs w:val="28"/>
        </w:rPr>
        <w:t>标准征求意见稿意见汇总处理表</w:t>
      </w:r>
      <w:r>
        <w:rPr>
          <w:rFonts w:hint="eastAsia" w:ascii="宋体" w:hAnsi="宋体"/>
          <w:b/>
          <w:sz w:val="28"/>
          <w:szCs w:val="28"/>
          <w:lang w:eastAsia="zh-CN"/>
        </w:rPr>
        <w:t>（方法</w:t>
      </w:r>
      <w:r>
        <w:rPr>
          <w:rFonts w:hint="eastAsia" w:ascii="宋体" w:hAnsi="宋体"/>
          <w:b/>
          <w:sz w:val="28"/>
          <w:szCs w:val="28"/>
          <w:lang w:val="en-US" w:eastAsia="zh-CN"/>
        </w:rPr>
        <w:t>1</w:t>
      </w:r>
      <w:r>
        <w:rPr>
          <w:rFonts w:hint="eastAsia" w:ascii="宋体" w:hAnsi="宋体"/>
          <w:b/>
          <w:sz w:val="28"/>
          <w:szCs w:val="28"/>
          <w:lang w:eastAsia="zh-CN"/>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标准项目名称： </w:t>
      </w:r>
      <w:r>
        <w:rPr>
          <w:rFonts w:hint="default" w:ascii="Times New Roman" w:hAnsi="Times New Roman" w:eastAsia="宋体" w:cs="Times New Roman"/>
          <w:color w:val="000000"/>
          <w:sz w:val="21"/>
          <w:szCs w:val="21"/>
          <w:shd w:val="clear" w:color="auto" w:fill="FFFFFF"/>
        </w:rPr>
        <w:t>行业标准《铜冶炼烟尘化学分析方法 第7部分：镉量的测定 火焰原子吸收光谱法》</w:t>
      </w:r>
      <w:r>
        <w:rPr>
          <w:rFonts w:hint="default" w:ascii="Times New Roman" w:hAnsi="Times New Roman" w:eastAsia="宋体" w:cs="Times New Roman"/>
          <w:sz w:val="21"/>
          <w:szCs w:val="21"/>
        </w:rPr>
        <w:t xml:space="preserve">                           承办人：吕茜茜                                            </w:t>
      </w:r>
      <w:r>
        <w:rPr>
          <w:rFonts w:hint="eastAsia"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共 </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 xml:space="preserve"> 页  第</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页</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标准项目负责起草单位：</w:t>
      </w:r>
      <w:r>
        <w:rPr>
          <w:rFonts w:hint="default" w:ascii="Times New Roman" w:hAnsi="Times New Roman" w:eastAsia="宋体" w:cs="Times New Roman"/>
          <w:color w:val="000000"/>
          <w:sz w:val="21"/>
          <w:szCs w:val="21"/>
          <w:shd w:val="clear" w:color="auto" w:fill="FFFFFF"/>
        </w:rPr>
        <w:t>铜陵有色金属集团控股有限公司</w:t>
      </w:r>
      <w:r>
        <w:rPr>
          <w:rFonts w:hint="default" w:ascii="Times New Roman" w:hAnsi="Times New Roman" w:eastAsia="宋体" w:cs="Times New Roman"/>
          <w:color w:val="000000"/>
          <w:sz w:val="21"/>
          <w:szCs w:val="21"/>
          <w:shd w:val="clear" w:color="auto" w:fill="FFFFFF"/>
          <w:lang w:val="en-US" w:eastAsia="zh-CN"/>
        </w:rPr>
        <w:t xml:space="preserve"> </w:t>
      </w:r>
      <w:r>
        <w:rPr>
          <w:rFonts w:hint="eastAsia" w:cs="Times New Roman"/>
          <w:color w:val="000000"/>
          <w:sz w:val="21"/>
          <w:szCs w:val="21"/>
          <w:shd w:val="clear" w:color="auto" w:fill="FFFFFF"/>
          <w:lang w:val="en-US" w:eastAsia="zh-CN"/>
        </w:rPr>
        <w:t xml:space="preserve">   </w:t>
      </w:r>
      <w:r>
        <w:rPr>
          <w:rFonts w:hint="default" w:ascii="Times New Roman" w:hAnsi="Times New Roman" w:eastAsia="宋体" w:cs="Times New Roman"/>
          <w:sz w:val="21"/>
          <w:szCs w:val="21"/>
        </w:rPr>
        <w:t xml:space="preserve">电话：0562-5860884 </w:t>
      </w:r>
      <w:r>
        <w:rPr>
          <w:rFonts w:hint="default"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2020</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日填写</w:t>
      </w:r>
    </w:p>
    <w:tbl>
      <w:tblPr>
        <w:tblStyle w:val="4"/>
        <w:tblW w:w="10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70"/>
        <w:gridCol w:w="2835"/>
        <w:gridCol w:w="2385"/>
        <w:gridCol w:w="97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570"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标准章节</w:t>
            </w:r>
          </w:p>
        </w:tc>
        <w:tc>
          <w:tcPr>
            <w:tcW w:w="2835"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意见内容</w:t>
            </w:r>
          </w:p>
        </w:tc>
        <w:tc>
          <w:tcPr>
            <w:tcW w:w="2385"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提出单位</w:t>
            </w:r>
          </w:p>
        </w:tc>
        <w:tc>
          <w:tcPr>
            <w:tcW w:w="975"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处理意见</w:t>
            </w:r>
          </w:p>
        </w:tc>
        <w:tc>
          <w:tcPr>
            <w:tcW w:w="2010" w:type="dxa"/>
            <w:shd w:val="clear" w:color="auto" w:fill="auto"/>
            <w:vAlign w:val="center"/>
          </w:tcPr>
          <w:p>
            <w:pPr>
              <w:jc w:val="center"/>
              <w:rPr>
                <w:rFonts w:hint="eastAsia"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16</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鲅鱼圈检验检疫局技术中心</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17</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贵州省分析测试研究院</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18</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浙江富冶集团有限公司</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19</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中国检验认证集团广西有限公司</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20</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湖南有色地质勘查研究院</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21</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郴州市金贵银业股份有限公司</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eastAsia="宋体"/>
                <w:szCs w:val="21"/>
                <w:lang w:val="en-US" w:eastAsia="zh-CN"/>
              </w:rPr>
            </w:pPr>
            <w:r>
              <w:rPr>
                <w:rFonts w:hint="eastAsia"/>
                <w:szCs w:val="21"/>
                <w:lang w:val="en-US" w:eastAsia="zh-CN"/>
              </w:rPr>
              <w:t>22</w:t>
            </w:r>
          </w:p>
        </w:tc>
        <w:tc>
          <w:tcPr>
            <w:tcW w:w="1570" w:type="dxa"/>
            <w:shd w:val="clear" w:color="auto" w:fill="auto"/>
          </w:tcPr>
          <w:p>
            <w:pPr>
              <w:jc w:val="left"/>
              <w:rPr>
                <w:szCs w:val="21"/>
              </w:rPr>
            </w:pPr>
          </w:p>
        </w:tc>
        <w:tc>
          <w:tcPr>
            <w:tcW w:w="2835" w:type="dxa"/>
            <w:shd w:val="clear" w:color="auto" w:fill="auto"/>
            <w:vAlign w:val="center"/>
          </w:tcPr>
          <w:p>
            <w:pPr>
              <w:jc w:val="center"/>
              <w:rPr>
                <w:szCs w:val="21"/>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深圳市中金岭南有色金属股份有限公司</w:t>
            </w:r>
          </w:p>
        </w:tc>
        <w:tc>
          <w:tcPr>
            <w:tcW w:w="975" w:type="dxa"/>
            <w:shd w:val="clear" w:color="auto" w:fill="auto"/>
          </w:tcPr>
          <w:p>
            <w:pPr>
              <w:jc w:val="left"/>
              <w:rPr>
                <w:szCs w:val="21"/>
              </w:rPr>
            </w:pPr>
          </w:p>
        </w:tc>
        <w:tc>
          <w:tcPr>
            <w:tcW w:w="2010" w:type="dxa"/>
            <w:shd w:val="clear" w:color="auto" w:fill="auto"/>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auto"/>
            <w:vAlign w:val="center"/>
          </w:tcPr>
          <w:p>
            <w:pPr>
              <w:jc w:val="center"/>
              <w:rPr>
                <w:rFonts w:hint="default"/>
                <w:szCs w:val="21"/>
                <w:lang w:val="en-US" w:eastAsia="zh-CN"/>
              </w:rPr>
            </w:pPr>
            <w:r>
              <w:rPr>
                <w:rFonts w:hint="eastAsia"/>
                <w:szCs w:val="21"/>
                <w:lang w:val="en-US" w:eastAsia="zh-CN"/>
              </w:rPr>
              <w:t>23</w:t>
            </w:r>
          </w:p>
        </w:tc>
        <w:tc>
          <w:tcPr>
            <w:tcW w:w="1570" w:type="dxa"/>
            <w:shd w:val="clear" w:color="auto" w:fill="auto"/>
          </w:tcPr>
          <w:p>
            <w:pPr>
              <w:jc w:val="left"/>
              <w:rPr>
                <w:szCs w:val="21"/>
              </w:rPr>
            </w:pPr>
          </w:p>
        </w:tc>
        <w:tc>
          <w:tcPr>
            <w:tcW w:w="2835" w:type="dxa"/>
            <w:shd w:val="clear" w:color="auto" w:fill="auto"/>
            <w:vAlign w:val="center"/>
          </w:tcPr>
          <w:p>
            <w:pPr>
              <w:jc w:val="center"/>
              <w:rPr>
                <w:rFonts w:hint="eastAsia" w:cs="Times New Roman"/>
                <w:szCs w:val="21"/>
                <w:lang w:eastAsia="zh-CN"/>
              </w:rPr>
            </w:pPr>
            <w:r>
              <w:rPr>
                <w:rFonts w:hint="eastAsia" w:cs="Times New Roman"/>
                <w:szCs w:val="21"/>
                <w:lang w:eastAsia="zh-CN"/>
              </w:rPr>
              <w:t>无回函</w:t>
            </w:r>
          </w:p>
        </w:tc>
        <w:tc>
          <w:tcPr>
            <w:tcW w:w="2385" w:type="dxa"/>
            <w:shd w:val="clear" w:color="auto" w:fill="auto"/>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广西中检检测技术服务有限公司</w:t>
            </w:r>
          </w:p>
        </w:tc>
        <w:tc>
          <w:tcPr>
            <w:tcW w:w="975" w:type="dxa"/>
            <w:shd w:val="clear" w:color="auto" w:fill="auto"/>
          </w:tcPr>
          <w:p>
            <w:pPr>
              <w:jc w:val="left"/>
              <w:rPr>
                <w:szCs w:val="21"/>
              </w:rPr>
            </w:pPr>
          </w:p>
        </w:tc>
        <w:tc>
          <w:tcPr>
            <w:tcW w:w="2010" w:type="dxa"/>
            <w:shd w:val="clear" w:color="auto" w:fill="auto"/>
          </w:tcPr>
          <w:p>
            <w:pPr>
              <w:jc w:val="left"/>
              <w:rPr>
                <w:szCs w:val="21"/>
              </w:rPr>
            </w:pPr>
          </w:p>
        </w:tc>
      </w:tr>
    </w:tbl>
    <w:p>
      <w:pPr>
        <w:jc w:val="left"/>
        <w:rPr>
          <w:rFonts w:ascii="宋体" w:hAnsi="宋体"/>
          <w:szCs w:val="21"/>
        </w:rPr>
      </w:pPr>
    </w:p>
    <w:p>
      <w:pPr>
        <w:jc w:val="left"/>
        <w:rPr>
          <w:rFonts w:ascii="宋体" w:hAnsi="宋体"/>
          <w:szCs w:val="21"/>
        </w:rPr>
      </w:pPr>
      <w:r>
        <w:rPr>
          <w:rFonts w:ascii="宋体" w:hAnsi="宋体"/>
          <w:szCs w:val="21"/>
        </w:rPr>
        <w:t>说明（1）发送《征求意见稿》的单位数：</w:t>
      </w:r>
      <w:r>
        <w:rPr>
          <w:rFonts w:hint="eastAsia" w:ascii="宋体" w:hAnsi="宋体"/>
          <w:szCs w:val="21"/>
          <w:lang w:val="en-US" w:eastAsia="zh-CN"/>
        </w:rPr>
        <w:t>17</w:t>
      </w:r>
      <w:r>
        <w:rPr>
          <w:rFonts w:ascii="宋体" w:hAnsi="宋体"/>
          <w:szCs w:val="21"/>
        </w:rPr>
        <w:t>；</w:t>
      </w:r>
    </w:p>
    <w:p>
      <w:pPr>
        <w:jc w:val="left"/>
        <w:rPr>
          <w:rFonts w:ascii="宋体" w:hAnsi="宋体"/>
          <w:szCs w:val="21"/>
        </w:rPr>
      </w:pPr>
      <w:r>
        <w:rPr>
          <w:rFonts w:ascii="宋体" w:hAnsi="宋体"/>
          <w:szCs w:val="21"/>
        </w:rPr>
        <w:t xml:space="preserve">    （2）收到《征求意见稿》后，回函的单位数：</w:t>
      </w:r>
      <w:r>
        <w:rPr>
          <w:rFonts w:hint="eastAsia" w:ascii="宋体" w:hAnsi="宋体"/>
          <w:szCs w:val="21"/>
          <w:lang w:val="en-US" w:eastAsia="zh-CN"/>
        </w:rPr>
        <w:t>2</w:t>
      </w:r>
      <w:r>
        <w:rPr>
          <w:rFonts w:hint="eastAsia" w:ascii="宋体" w:hAnsi="宋体"/>
          <w:szCs w:val="21"/>
        </w:rPr>
        <w:t xml:space="preserve"> </w:t>
      </w:r>
      <w:r>
        <w:rPr>
          <w:rFonts w:ascii="宋体" w:hAnsi="宋体"/>
          <w:szCs w:val="21"/>
        </w:rPr>
        <w:t>；</w:t>
      </w:r>
    </w:p>
    <w:p>
      <w:pPr>
        <w:ind w:firstLine="420" w:firstLineChars="200"/>
        <w:jc w:val="left"/>
        <w:rPr>
          <w:rFonts w:ascii="宋体" w:hAnsi="宋体"/>
          <w:szCs w:val="21"/>
        </w:rPr>
      </w:pPr>
      <w:r>
        <w:rPr>
          <w:rFonts w:ascii="宋体" w:hAnsi="宋体"/>
          <w:szCs w:val="21"/>
        </w:rPr>
        <w:t>（3）收到《征求意见稿》后，回函并有建议或意见的单位数：</w:t>
      </w:r>
      <w:r>
        <w:rPr>
          <w:rFonts w:hint="eastAsia" w:ascii="宋体" w:hAnsi="宋体"/>
          <w:szCs w:val="21"/>
          <w:lang w:val="en-US" w:eastAsia="zh-CN"/>
        </w:rPr>
        <w:t>2</w:t>
      </w:r>
      <w:r>
        <w:rPr>
          <w:rFonts w:ascii="宋体" w:hAnsi="宋体"/>
          <w:szCs w:val="21"/>
        </w:rPr>
        <w:t>；</w:t>
      </w:r>
    </w:p>
    <w:p>
      <w:pPr>
        <w:ind w:firstLine="420" w:firstLineChars="200"/>
        <w:jc w:val="left"/>
        <w:rPr>
          <w:rFonts w:ascii="宋体" w:hAnsi="宋体"/>
          <w:szCs w:val="21"/>
        </w:rPr>
      </w:pPr>
      <w:r>
        <w:rPr>
          <w:rFonts w:ascii="宋体" w:hAnsi="宋体"/>
          <w:szCs w:val="21"/>
        </w:rPr>
        <w:t>（4）没有回函的单位数：</w:t>
      </w:r>
      <w:r>
        <w:rPr>
          <w:rFonts w:hint="eastAsia" w:ascii="宋体" w:hAnsi="宋体"/>
          <w:szCs w:val="21"/>
          <w:lang w:val="en-US" w:eastAsia="zh-CN"/>
        </w:rPr>
        <w:t>15</w:t>
      </w:r>
      <w:r>
        <w:rPr>
          <w:rFonts w:ascii="宋体" w:hAnsi="宋体"/>
          <w:szCs w:val="21"/>
        </w:rPr>
        <w:t>。</w:t>
      </w:r>
    </w:p>
    <w:p>
      <w:pPr>
        <w:jc w:val="left"/>
        <w:rPr>
          <w:rFonts w:ascii="宋体" w:hAnsi="宋体"/>
          <w:szCs w:val="21"/>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eastAsia"/>
          <w:b/>
          <w:sz w:val="28"/>
          <w:szCs w:val="28"/>
        </w:rPr>
      </w:pPr>
    </w:p>
    <w:p>
      <w:pPr>
        <w:spacing w:line="300" w:lineRule="auto"/>
        <w:jc w:val="center"/>
        <w:rPr>
          <w:rFonts w:hint="default" w:eastAsia="宋体"/>
          <w:b/>
          <w:sz w:val="28"/>
          <w:szCs w:val="28"/>
          <w:lang w:val="en-US" w:eastAsia="zh-CN"/>
        </w:rPr>
      </w:pPr>
      <w:r>
        <w:rPr>
          <w:rFonts w:hint="eastAsia"/>
          <w:b/>
          <w:sz w:val="28"/>
          <w:szCs w:val="28"/>
        </w:rPr>
        <w:t>标准征求意见稿意见汇总处理表</w:t>
      </w:r>
      <w:r>
        <w:rPr>
          <w:rFonts w:hint="eastAsia"/>
          <w:b/>
          <w:sz w:val="28"/>
          <w:szCs w:val="28"/>
          <w:lang w:val="en-US" w:eastAsia="zh-CN"/>
        </w:rPr>
        <w:t>(方法2）</w:t>
      </w:r>
    </w:p>
    <w:p>
      <w:pPr>
        <w:jc w:val="left"/>
        <w:rPr>
          <w:rFonts w:ascii="宋体" w:hAnsi="宋体"/>
          <w:szCs w:val="21"/>
        </w:rPr>
      </w:pPr>
      <w:r>
        <w:rPr>
          <w:rFonts w:hint="eastAsia"/>
          <w:szCs w:val="21"/>
        </w:rPr>
        <w:t>标准项目名称：铜冶炼烟尘化学分析方法第</w:t>
      </w:r>
      <w:r>
        <w:rPr>
          <w:szCs w:val="21"/>
        </w:rPr>
        <w:t>7</w:t>
      </w:r>
      <w:r>
        <w:rPr>
          <w:rFonts w:hint="eastAsia"/>
          <w:szCs w:val="21"/>
        </w:rPr>
        <w:t>部分镉含量的测定</w:t>
      </w:r>
      <w:r>
        <w:rPr>
          <w:szCs w:val="21"/>
        </w:rPr>
        <w:t xml:space="preserve">  </w:t>
      </w:r>
      <w:r>
        <w:rPr>
          <w:rFonts w:hint="eastAsia" w:ascii="宋体" w:hAnsi="宋体"/>
          <w:szCs w:val="21"/>
        </w:rPr>
        <w:t>承办人:</w:t>
      </w:r>
      <w:r>
        <w:rPr>
          <w:szCs w:val="21"/>
        </w:rPr>
        <w:t xml:space="preserve"> </w:t>
      </w:r>
      <w:r>
        <w:rPr>
          <w:rFonts w:hint="eastAsia" w:ascii="宋体" w:hAnsi="宋体"/>
          <w:szCs w:val="21"/>
        </w:rPr>
        <w:t xml:space="preserve">范丽新 </w:t>
      </w:r>
      <w:r>
        <w:rPr>
          <w:rFonts w:hint="eastAsia" w:ascii="宋体" w:hAnsi="宋体"/>
          <w:szCs w:val="21"/>
          <w:lang w:val="en-US" w:eastAsia="zh-CN"/>
        </w:rPr>
        <w:t xml:space="preserve">     </w:t>
      </w:r>
      <w:r>
        <w:rPr>
          <w:rFonts w:hint="eastAsia" w:ascii="宋体" w:hAnsi="宋体"/>
          <w:szCs w:val="21"/>
        </w:rPr>
        <w:t xml:space="preserve"> 共2页 第1页</w:t>
      </w:r>
    </w:p>
    <w:p>
      <w:pPr>
        <w:pStyle w:val="7"/>
        <w:spacing w:before="0" w:line="240" w:lineRule="auto"/>
        <w:jc w:val="left"/>
        <w:rPr>
          <w:rFonts w:ascii="宋体" w:hAnsi="宋体"/>
          <w:kern w:val="2"/>
          <w:sz w:val="21"/>
          <w:szCs w:val="21"/>
        </w:rPr>
      </w:pPr>
      <w:r>
        <w:rPr>
          <w:rFonts w:hint="eastAsia" w:ascii="宋体" w:hAnsi="宋体"/>
          <w:kern w:val="2"/>
          <w:sz w:val="21"/>
          <w:szCs w:val="21"/>
        </w:rPr>
        <w:t>标准项目负责起草单位:</w:t>
      </w:r>
      <w:r>
        <w:rPr>
          <w:rFonts w:hint="eastAsia" w:ascii="宋体" w:hAnsi="宋体" w:cs="宋体"/>
          <w:szCs w:val="21"/>
        </w:rPr>
        <w:t xml:space="preserve"> </w:t>
      </w:r>
      <w:r>
        <w:rPr>
          <w:rFonts w:hint="eastAsia" w:ascii="宋体" w:hAnsi="宋体"/>
          <w:kern w:val="2"/>
          <w:sz w:val="21"/>
          <w:szCs w:val="21"/>
        </w:rPr>
        <w:t xml:space="preserve">北矿检测技术有限公司    电话:010-59069604   </w:t>
      </w:r>
      <w:r>
        <w:rPr>
          <w:rFonts w:hint="eastAsia" w:ascii="宋体" w:hAnsi="宋体"/>
          <w:kern w:val="2"/>
          <w:sz w:val="21"/>
          <w:szCs w:val="21"/>
          <w:lang w:val="en-US" w:eastAsia="zh-CN"/>
        </w:rPr>
        <w:t xml:space="preserve">        </w:t>
      </w:r>
      <w:r>
        <w:rPr>
          <w:rFonts w:hint="eastAsia" w:ascii="宋体" w:hAnsi="宋体"/>
          <w:kern w:val="2"/>
          <w:sz w:val="21"/>
          <w:szCs w:val="21"/>
        </w:rPr>
        <w:t>20</w:t>
      </w:r>
      <w:r>
        <w:rPr>
          <w:rFonts w:ascii="宋体" w:hAnsi="宋体"/>
          <w:kern w:val="2"/>
          <w:sz w:val="21"/>
          <w:szCs w:val="21"/>
        </w:rPr>
        <w:t>20</w:t>
      </w:r>
      <w:r>
        <w:rPr>
          <w:rFonts w:hint="eastAsia" w:ascii="宋体" w:hAnsi="宋体"/>
          <w:kern w:val="2"/>
          <w:sz w:val="21"/>
          <w:szCs w:val="21"/>
        </w:rPr>
        <w:t>年</w:t>
      </w:r>
      <w:r>
        <w:rPr>
          <w:rFonts w:ascii="宋体" w:hAnsi="宋体"/>
          <w:kern w:val="2"/>
          <w:sz w:val="21"/>
          <w:szCs w:val="21"/>
        </w:rPr>
        <w:t>8</w:t>
      </w:r>
      <w:r>
        <w:rPr>
          <w:rFonts w:hint="eastAsia" w:ascii="宋体" w:hAnsi="宋体"/>
          <w:kern w:val="2"/>
          <w:sz w:val="21"/>
          <w:szCs w:val="21"/>
        </w:rPr>
        <w:t>月20日填写</w:t>
      </w:r>
    </w:p>
    <w:tbl>
      <w:tblPr>
        <w:tblStyle w:val="4"/>
        <w:tblW w:w="492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39"/>
        <w:gridCol w:w="4499"/>
        <w:gridCol w:w="1239"/>
        <w:gridCol w:w="118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序号</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标准章条编号</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意见内容</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提出单位</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处理意见</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Theme="minorEastAsia"/>
                <w:szCs w:val="21"/>
              </w:rPr>
            </w:pPr>
            <w:r>
              <w:rPr>
                <w:rFonts w:hint="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p>
        </w:tc>
        <w:tc>
          <w:tcPr>
            <w:tcW w:w="2138" w:type="pct"/>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关于滴定终点色描述不清楚。终点色不是紫红色，应是亮黄消失，出现稳定的暗橙色。</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紫金矿业</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会上讨论</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终点颜色需会上讨论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6.4.7</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所用的Cd和Zn标液浓度较高，实验中发现吸光度值较高，曲线线性关系不好，通过调整燃烧器转角30º后，吸光度降低，线性关系明显变好。因此，建议在5.仪器一节加上“在与测量试料溶液的基体相一致的溶液中（燃烧器转角20°~ 45°），镉和锌的特征浓度应不大于0.15 μg/mL”。</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阳谷祥光</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部分采纳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试验步骤中添加“</w:t>
            </w:r>
            <w:bookmarkStart w:id="0" w:name="_Hlk50103689"/>
            <w:r>
              <w:rPr>
                <w:rFonts w:hint="eastAsia" w:ascii="宋体" w:hAnsi="宋体" w:eastAsia="宋体" w:cs="宋体"/>
                <w:spacing w:val="6"/>
                <w:sz w:val="21"/>
                <w:szCs w:val="21"/>
              </w:rPr>
              <w:t>调整燃烧头角度</w:t>
            </w:r>
            <w:bookmarkEnd w:id="0"/>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只讨论了硫化铜沉淀中Cd的量可以忽略，但没有讨论Zn的量是否可以忽略。从方法严谨方面考虑建议可以将硫化铜沉淀和前面的沉淀合并一起处理。</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阳谷祥光</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试验表明，由于样品里锌含量较低，回渣里锌的含量均较低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6.4.6</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用盐酸和氨水调节pH值时，加入量较大，后面滴定体积也很大，不易操作。因溶液体积较大，使用浓盐酸和氨水，操作时发现也能准确调节pH值，也避免了加入量过大。</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阳谷祥光</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不采纳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bookmarkStart w:id="1" w:name="_Hlk25236386"/>
            <w:r>
              <w:rPr>
                <w:rFonts w:hint="eastAsia" w:ascii="宋体" w:hAnsi="宋体" w:eastAsia="宋体" w:cs="宋体"/>
                <w:sz w:val="21"/>
                <w:szCs w:val="21"/>
              </w:rPr>
              <w:t>直接用浓盐酸和氨水产生氯化铵浓白烟</w:t>
            </w:r>
            <w:bookmarkEnd w:id="1"/>
            <w:r>
              <w:rPr>
                <w:rFonts w:hint="eastAsia" w:ascii="宋体" w:hAnsi="宋体" w:eastAsia="宋体" w:cs="宋体"/>
                <w:sz w:val="21"/>
                <w:szCs w:val="21"/>
              </w:rPr>
              <w:t>且放热较明显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bookmarkStart w:id="2" w:name="_Hlk25236414"/>
            <w:r>
              <w:rPr>
                <w:rFonts w:hint="eastAsia" w:ascii="宋体" w:hAnsi="宋体" w:eastAsia="宋体" w:cs="宋体"/>
                <w:sz w:val="21"/>
                <w:szCs w:val="21"/>
              </w:rPr>
              <w:t>测定范围改为：5.00%～17.00%。</w:t>
            </w:r>
            <w:bookmarkEnd w:id="2"/>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中色桂林矿产</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bookmarkStart w:id="3" w:name="_Hlk25236558"/>
            <w:r>
              <w:rPr>
                <w:rFonts w:hint="eastAsia" w:ascii="宋体" w:hAnsi="宋体" w:eastAsia="宋体" w:cs="宋体"/>
                <w:sz w:val="21"/>
                <w:szCs w:val="21"/>
              </w:rPr>
              <w:t>测得残渣中锌、镉的质量分数计算公式应单独列出。</w:t>
            </w:r>
            <w:bookmarkEnd w:id="3"/>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中色桂林矿产</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6.4.4</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21"/>
                <w:szCs w:val="21"/>
              </w:rPr>
            </w:pPr>
            <w:bookmarkStart w:id="4" w:name="_Hlk25236694"/>
            <w:r>
              <w:rPr>
                <w:rFonts w:hint="eastAsia" w:ascii="宋体" w:hAnsi="宋体" w:eastAsia="宋体" w:cs="宋体"/>
                <w:color w:val="000000"/>
                <w:sz w:val="21"/>
                <w:szCs w:val="21"/>
              </w:rPr>
              <w:t>建议加入过硫酸铵以除去溶液中一些易发生价态变化的元素，如Mn，Pb，Cr，Ni等。</w:t>
            </w:r>
            <w:bookmarkEnd w:id="4"/>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中检广西</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不采纳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所提供样品不含Mn等元素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6.4.5</w:t>
            </w:r>
          </w:p>
        </w:tc>
        <w:tc>
          <w:tcPr>
            <w:tcW w:w="213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加入5mL硫酸（3.5），此硫酸溶液为提供酸性环境用，从安全角度出发，建议加入（1+1）硫酸为宜。</w:t>
            </w:r>
          </w:p>
        </w:tc>
        <w:tc>
          <w:tcPr>
            <w:tcW w:w="58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中检广西</w:t>
            </w:r>
          </w:p>
        </w:tc>
        <w:tc>
          <w:tcPr>
            <w:tcW w:w="5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采纳</w:t>
            </w:r>
          </w:p>
        </w:tc>
        <w:tc>
          <w:tcPr>
            <w:tcW w:w="916"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tc>
      </w:tr>
    </w:tbl>
    <w:p>
      <w:pPr>
        <w:widowControl/>
        <w:jc w:val="center"/>
        <w:rPr>
          <w:b/>
          <w:sz w:val="28"/>
          <w:szCs w:val="28"/>
        </w:rPr>
      </w:pPr>
      <w:r>
        <w:rPr>
          <w:b/>
          <w:sz w:val="28"/>
          <w:szCs w:val="28"/>
        </w:rPr>
        <w:br w:type="page"/>
      </w:r>
      <w:r>
        <w:rPr>
          <w:rFonts w:hint="eastAsia"/>
          <w:b/>
          <w:sz w:val="28"/>
          <w:szCs w:val="28"/>
        </w:rPr>
        <w:t>标准征求意见稿意见汇总处理表</w:t>
      </w:r>
    </w:p>
    <w:p>
      <w:pPr>
        <w:jc w:val="left"/>
        <w:rPr>
          <w:rFonts w:ascii="宋体" w:hAnsi="宋体"/>
          <w:szCs w:val="21"/>
        </w:rPr>
      </w:pPr>
      <w:r>
        <w:rPr>
          <w:rFonts w:hint="eastAsia"/>
          <w:szCs w:val="21"/>
        </w:rPr>
        <w:t>标准项目名称：铜冶炼烟尘化学分析方法第</w:t>
      </w:r>
      <w:r>
        <w:rPr>
          <w:szCs w:val="21"/>
        </w:rPr>
        <w:t>7</w:t>
      </w:r>
      <w:r>
        <w:rPr>
          <w:rFonts w:hint="eastAsia"/>
          <w:szCs w:val="21"/>
        </w:rPr>
        <w:t>部分镉含量的测定</w:t>
      </w:r>
      <w:r>
        <w:rPr>
          <w:szCs w:val="21"/>
        </w:rPr>
        <w:t xml:space="preserve">  </w:t>
      </w:r>
      <w:r>
        <w:rPr>
          <w:rFonts w:hint="eastAsia" w:ascii="宋体" w:hAnsi="宋体"/>
          <w:szCs w:val="21"/>
        </w:rPr>
        <w:t>承办人:</w:t>
      </w:r>
      <w:r>
        <w:rPr>
          <w:szCs w:val="21"/>
        </w:rPr>
        <w:t xml:space="preserve"> </w:t>
      </w:r>
      <w:r>
        <w:rPr>
          <w:rFonts w:hint="eastAsia" w:ascii="宋体" w:hAnsi="宋体"/>
          <w:szCs w:val="21"/>
        </w:rPr>
        <w:t xml:space="preserve">范丽新  </w:t>
      </w:r>
      <w:r>
        <w:rPr>
          <w:rFonts w:hint="eastAsia" w:ascii="宋体" w:hAnsi="宋体"/>
          <w:szCs w:val="21"/>
          <w:lang w:val="en-US" w:eastAsia="zh-CN"/>
        </w:rPr>
        <w:t xml:space="preserve">   </w:t>
      </w:r>
      <w:r>
        <w:rPr>
          <w:rFonts w:hint="eastAsia" w:ascii="宋体" w:hAnsi="宋体"/>
          <w:szCs w:val="21"/>
        </w:rPr>
        <w:t>共2页 第2页</w:t>
      </w:r>
    </w:p>
    <w:p>
      <w:pPr>
        <w:pStyle w:val="7"/>
        <w:spacing w:before="0" w:line="240" w:lineRule="auto"/>
        <w:jc w:val="left"/>
        <w:rPr>
          <w:rFonts w:ascii="宋体" w:hAnsi="宋体"/>
          <w:kern w:val="2"/>
          <w:sz w:val="21"/>
          <w:szCs w:val="21"/>
        </w:rPr>
      </w:pPr>
      <w:r>
        <w:rPr>
          <w:rFonts w:hint="eastAsia" w:ascii="宋体" w:hAnsi="宋体"/>
          <w:kern w:val="2"/>
          <w:sz w:val="21"/>
          <w:szCs w:val="21"/>
        </w:rPr>
        <w:t>标准项目负责起草单位:</w:t>
      </w:r>
      <w:r>
        <w:rPr>
          <w:rFonts w:hint="eastAsia" w:ascii="宋体" w:hAnsi="宋体" w:cs="宋体"/>
          <w:szCs w:val="21"/>
        </w:rPr>
        <w:t xml:space="preserve"> </w:t>
      </w:r>
      <w:r>
        <w:rPr>
          <w:rFonts w:hint="eastAsia" w:ascii="宋体" w:hAnsi="宋体"/>
          <w:kern w:val="2"/>
          <w:sz w:val="21"/>
          <w:szCs w:val="21"/>
        </w:rPr>
        <w:t xml:space="preserve">北矿检测技术有限公司    电话:010-59069604  </w:t>
      </w:r>
      <w:r>
        <w:rPr>
          <w:rFonts w:hint="eastAsia" w:ascii="宋体" w:hAnsi="宋体"/>
          <w:kern w:val="2"/>
          <w:sz w:val="21"/>
          <w:szCs w:val="21"/>
          <w:lang w:val="en-US" w:eastAsia="zh-CN"/>
        </w:rPr>
        <w:t xml:space="preserve">    </w:t>
      </w:r>
      <w:r>
        <w:rPr>
          <w:rFonts w:hint="eastAsia" w:ascii="宋体" w:hAnsi="宋体"/>
          <w:kern w:val="2"/>
          <w:sz w:val="21"/>
          <w:szCs w:val="21"/>
        </w:rPr>
        <w:t xml:space="preserve"> 20</w:t>
      </w:r>
      <w:r>
        <w:rPr>
          <w:rFonts w:ascii="宋体" w:hAnsi="宋体"/>
          <w:kern w:val="2"/>
          <w:sz w:val="21"/>
          <w:szCs w:val="21"/>
        </w:rPr>
        <w:t>20</w:t>
      </w:r>
      <w:r>
        <w:rPr>
          <w:rFonts w:hint="eastAsia" w:ascii="宋体" w:hAnsi="宋体"/>
          <w:kern w:val="2"/>
          <w:sz w:val="21"/>
          <w:szCs w:val="21"/>
        </w:rPr>
        <w:t>年</w:t>
      </w:r>
      <w:r>
        <w:rPr>
          <w:rFonts w:ascii="宋体" w:hAnsi="宋体"/>
          <w:kern w:val="2"/>
          <w:sz w:val="21"/>
          <w:szCs w:val="21"/>
        </w:rPr>
        <w:t>8</w:t>
      </w:r>
      <w:r>
        <w:rPr>
          <w:rFonts w:hint="eastAsia" w:ascii="宋体" w:hAnsi="宋体"/>
          <w:kern w:val="2"/>
          <w:sz w:val="21"/>
          <w:szCs w:val="21"/>
        </w:rPr>
        <w:t>月20日填写</w:t>
      </w:r>
    </w:p>
    <w:tbl>
      <w:tblPr>
        <w:tblStyle w:val="4"/>
        <w:tblW w:w="48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09"/>
        <w:gridCol w:w="4450"/>
        <w:gridCol w:w="1422"/>
        <w:gridCol w:w="89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tcPr>
          <w:p>
            <w:pPr>
              <w:spacing w:line="240" w:lineRule="auto"/>
              <w:jc w:val="center"/>
            </w:pPr>
            <w:r>
              <w:rPr>
                <w:rFonts w:hint="eastAsia"/>
              </w:rPr>
              <w:t>序号</w:t>
            </w:r>
          </w:p>
        </w:tc>
        <w:tc>
          <w:tcPr>
            <w:tcW w:w="637" w:type="pct"/>
            <w:tcBorders>
              <w:top w:val="single" w:color="auto" w:sz="4" w:space="0"/>
              <w:left w:val="single" w:color="auto" w:sz="4" w:space="0"/>
              <w:bottom w:val="single" w:color="auto" w:sz="4" w:space="0"/>
              <w:right w:val="single" w:color="auto" w:sz="4" w:space="0"/>
            </w:tcBorders>
          </w:tcPr>
          <w:p>
            <w:pPr>
              <w:spacing w:line="240" w:lineRule="auto"/>
              <w:jc w:val="center"/>
            </w:pPr>
            <w:r>
              <w:rPr>
                <w:rFonts w:hint="eastAsia"/>
              </w:rPr>
              <w:t>标准章条</w:t>
            </w:r>
          </w:p>
          <w:p>
            <w:pPr>
              <w:spacing w:line="240" w:lineRule="auto"/>
              <w:jc w:val="center"/>
            </w:pPr>
            <w:r>
              <w:rPr>
                <w:rFonts w:hint="eastAsia"/>
              </w:rPr>
              <w:t>编号</w:t>
            </w: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Theme="minorEastAsia" w:eastAsiaTheme="minorEastAsia"/>
                <w:szCs w:val="21"/>
              </w:rPr>
            </w:pPr>
            <w:r>
              <w:rPr>
                <w:rFonts w:hint="eastAsia" w:hAnsiTheme="minorEastAsia" w:eastAsiaTheme="minorEastAsia"/>
                <w:szCs w:val="21"/>
              </w:rPr>
              <w:t>意见内容</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Theme="minorEastAsia" w:eastAsiaTheme="minorEastAsia"/>
                <w:szCs w:val="21"/>
              </w:rPr>
            </w:pPr>
            <w:r>
              <w:rPr>
                <w:rFonts w:hint="eastAsia" w:hAnsiTheme="minorEastAsia" w:eastAsiaTheme="minorEastAsia"/>
                <w:szCs w:val="21"/>
              </w:rPr>
              <w:t>提出单位</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Theme="minorEastAsia" w:eastAsiaTheme="minorEastAsia"/>
                <w:szCs w:val="21"/>
              </w:rPr>
            </w:pPr>
            <w:r>
              <w:rPr>
                <w:rFonts w:hint="eastAsia" w:hAnsiTheme="minorEastAsia" w:eastAsiaTheme="minorEastAsia"/>
                <w:szCs w:val="21"/>
              </w:rPr>
              <w:t>处理意见</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Theme="minorEastAsia" w:eastAsiaTheme="minorEastAsia"/>
                <w:szCs w:val="21"/>
              </w:rPr>
            </w:pPr>
            <w:r>
              <w:rPr>
                <w:rFonts w:hint="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9</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bCs/>
                <w:color w:val="000000"/>
                <w:sz w:val="24"/>
              </w:rPr>
            </w:pPr>
            <w:r>
              <w:rPr>
                <w:rFonts w:hint="eastAsia" w:ascii="宋体" w:hAnsi="宋体" w:eastAsia="宋体" w:cs="宋体"/>
              </w:rPr>
              <w:t>实验中未考虑铝的影响，虽然Fe能吸附掉部分Al，但溶液中Fe含量较低，故需验证是否能完全消除铝的干扰，建议补充相关实验。</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中检广西</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不采纳</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r>
              <w:rPr>
                <w:rFonts w:hint="eastAsia" w:ascii="宋体" w:hAnsi="宋体" w:eastAsia="宋体" w:cs="宋体"/>
                <w:szCs w:val="21"/>
              </w:rPr>
              <w:t>试验中考虑了Al的干扰，氨水过滤，滴定前加氟化钾也是掩蔽Al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10</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1.2.4.4</w:t>
            </w: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bookmarkStart w:id="5" w:name="_Hlk25328615"/>
            <w:r>
              <w:rPr>
                <w:rFonts w:hint="eastAsia" w:ascii="宋体" w:hAnsi="宋体" w:eastAsia="宋体" w:cs="宋体"/>
              </w:rPr>
              <w:t>用氨水中和至沉淀完全并过量10mL，这一步并不好控制，因为沉淀量比较少，加入氨水，看不到有明显的沉淀出现，沉淀完全的量并不好控制，有可能加入的已经过量了</w:t>
            </w:r>
            <w:bookmarkEnd w:id="5"/>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大冶有色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不采纳</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r>
              <w:rPr>
                <w:rFonts w:hint="eastAsia" w:ascii="宋体" w:hAnsi="宋体" w:eastAsia="宋体" w:cs="宋体"/>
                <w:szCs w:val="21"/>
              </w:rPr>
              <w:t>这一步骤可以参照铜的颜色变化来控制氨水的量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11</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1.2.4.5</w:t>
            </w: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保温微沸至沉淀物凝聚，这一步对保温的时间是否有要求，应明确告知。</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大冶有色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不采纳</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r>
              <w:rPr>
                <w:rFonts w:hint="eastAsia" w:ascii="宋体" w:hAnsi="宋体" w:eastAsia="宋体" w:cs="宋体"/>
                <w:szCs w:val="21"/>
              </w:rPr>
              <w:t>文本写的煮沸5min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12</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1.2.4.6</w:t>
            </w: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bookmarkStart w:id="6" w:name="_Hlk25328718"/>
            <w:r>
              <w:rPr>
                <w:rFonts w:hint="eastAsia" w:ascii="宋体" w:hAnsi="宋体" w:eastAsia="宋体" w:cs="宋体"/>
              </w:rPr>
              <w:t>用盐酸（1.1.9）和氨水（1.1.12）调溶液的pH值5.5~5.6（用pH计调），这一步加入氨水（1+1）要加20mL左右，反应放热，pH值很难稳定。建议先加10mL浓氨水，搅拌冷至室温后再用氨水（1.1.12）调溶液的pH值5.5~5.6（用pH计调）。</w:t>
            </w:r>
            <w:bookmarkEnd w:id="6"/>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大冶有色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部分采纳</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bookmarkStart w:id="7" w:name="_Hlk25328881"/>
            <w:r>
              <w:rPr>
                <w:rFonts w:hint="eastAsia" w:ascii="宋体" w:hAnsi="宋体" w:eastAsia="宋体" w:cs="宋体"/>
                <w:szCs w:val="21"/>
              </w:rPr>
              <w:t>加10mL氨水可能会过量，</w:t>
            </w:r>
            <w:bookmarkEnd w:id="7"/>
            <w:r>
              <w:rPr>
                <w:rFonts w:hint="eastAsia" w:ascii="宋体" w:hAnsi="宋体" w:eastAsia="宋体" w:cs="宋体"/>
                <w:szCs w:val="21"/>
              </w:rPr>
              <w:t>试验确定预加5mL氨水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13</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rPr>
              <w:t>1.2.4.6</w:t>
            </w: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bookmarkStart w:id="8" w:name="_Hlk25328895"/>
            <w:r>
              <w:rPr>
                <w:rFonts w:hint="eastAsia" w:ascii="宋体" w:hAnsi="宋体" w:eastAsia="宋体" w:cs="宋体"/>
              </w:rPr>
              <w:t>用锌标准滴定溶液（1.1.19）滴定至溶液由亮黄色变为紫红色即为终点。滴定终点由亮黄色变为紫红色，终点紫红色不是很明显，颜色很淡，是否考虑将溶液（实际滴定时溶液体积达到300mL左右）浓缩至100mL左右再滴定。</w:t>
            </w:r>
            <w:bookmarkEnd w:id="8"/>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大冶有色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不采纳</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bookmarkStart w:id="9" w:name="_Hlk25328931"/>
            <w:r>
              <w:rPr>
                <w:rFonts w:hint="eastAsia" w:ascii="宋体" w:hAnsi="宋体" w:eastAsia="宋体" w:cs="宋体"/>
                <w:szCs w:val="21"/>
              </w:rPr>
              <w:t>如果终点紫红色不明显可以多加一滴指示剂，浓缩可能会使过量的硫代硫酸钠发生变化使溶液浑浊</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14</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无意见</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广东先导</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15</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无意见</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大冶有色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16</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无意见</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豫光金铅</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17</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无意见</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铜陵有色</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18</w:t>
            </w:r>
          </w:p>
        </w:tc>
        <w:tc>
          <w:tcPr>
            <w:tcW w:w="6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216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rPr>
            </w:pPr>
            <w:r>
              <w:rPr>
                <w:rFonts w:hint="eastAsia" w:ascii="宋体" w:hAnsi="宋体" w:eastAsia="宋体" w:cs="宋体"/>
              </w:rPr>
              <w:t>无意见</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江西铜业</w:t>
            </w:r>
          </w:p>
        </w:tc>
        <w:tc>
          <w:tcPr>
            <w:tcW w:w="43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Cs w:val="21"/>
              </w:rPr>
            </w:pPr>
          </w:p>
        </w:tc>
      </w:tr>
    </w:tbl>
    <w:p>
      <w:pPr>
        <w:rPr>
          <w:szCs w:val="21"/>
        </w:rPr>
      </w:pPr>
      <w:r>
        <w:rPr>
          <w:rFonts w:hint="eastAsia"/>
          <w:szCs w:val="21"/>
        </w:rPr>
        <w:t>说明：</w:t>
      </w:r>
    </w:p>
    <w:p>
      <w:pPr>
        <w:pStyle w:val="6"/>
        <w:numPr>
          <w:ilvl w:val="0"/>
          <w:numId w:val="1"/>
        </w:numPr>
        <w:ind w:left="283" w:hanging="283" w:hangingChars="135"/>
        <w:jc w:val="left"/>
      </w:pPr>
      <w:r>
        <w:t xml:space="preserve"> </w:t>
      </w:r>
      <w:r>
        <w:rPr>
          <w:rFonts w:hint="eastAsia"/>
        </w:rPr>
        <w:t>发送征求意见函的单位：</w:t>
      </w:r>
      <w:r>
        <w:t>9</w:t>
      </w:r>
      <w:r>
        <w:rPr>
          <w:rFonts w:hint="eastAsia"/>
        </w:rPr>
        <w:t>个；</w:t>
      </w:r>
    </w:p>
    <w:p>
      <w:pPr>
        <w:pStyle w:val="6"/>
        <w:numPr>
          <w:ilvl w:val="0"/>
          <w:numId w:val="1"/>
        </w:numPr>
        <w:ind w:firstLineChars="0"/>
        <w:jc w:val="left"/>
      </w:pPr>
      <w:r>
        <w:rPr>
          <w:rFonts w:hint="eastAsia"/>
        </w:rPr>
        <w:t>收到征求意见函后，回复的单位：</w:t>
      </w:r>
      <w:r>
        <w:t>9</w:t>
      </w:r>
      <w:r>
        <w:rPr>
          <w:rFonts w:hint="eastAsia"/>
        </w:rPr>
        <w:t>个；</w:t>
      </w:r>
      <w:bookmarkStart w:id="10" w:name="_GoBack"/>
      <w:bookmarkEnd w:id="10"/>
    </w:p>
    <w:p>
      <w:pPr>
        <w:pStyle w:val="6"/>
        <w:numPr>
          <w:ilvl w:val="0"/>
          <w:numId w:val="1"/>
        </w:numPr>
        <w:ind w:firstLineChars="0"/>
        <w:jc w:val="left"/>
      </w:pPr>
      <w:r>
        <w:rPr>
          <w:rFonts w:hint="eastAsia"/>
        </w:rPr>
        <w:t>收到征求意见函后，有意见和建议的单位：</w:t>
      </w:r>
      <w:r>
        <w:t>5</w:t>
      </w:r>
      <w:r>
        <w:rPr>
          <w:rFonts w:hint="eastAsia"/>
        </w:rPr>
        <w:t>个；</w:t>
      </w:r>
    </w:p>
    <w:p>
      <w:pPr>
        <w:pStyle w:val="6"/>
        <w:numPr>
          <w:ilvl w:val="0"/>
          <w:numId w:val="1"/>
        </w:numPr>
        <w:ind w:firstLineChars="0"/>
        <w:jc w:val="left"/>
      </w:pPr>
      <w:r>
        <w:rPr>
          <w:rFonts w:hint="eastAsia"/>
        </w:rPr>
        <w:t>没有回复意见的单位：</w:t>
      </w:r>
      <w:r>
        <w:t>0</w:t>
      </w:r>
      <w:r>
        <w:rPr>
          <w:rFonts w:hint="eastAsia"/>
        </w:rPr>
        <w:t>个；</w:t>
      </w:r>
    </w:p>
    <w:p>
      <w:pPr>
        <w:pStyle w:val="6"/>
        <w:numPr>
          <w:ilvl w:val="0"/>
          <w:numId w:val="1"/>
        </w:numPr>
        <w:ind w:firstLineChars="0"/>
        <w:jc w:val="left"/>
      </w:pPr>
      <w:r>
        <w:rPr>
          <w:rFonts w:hint="eastAsia"/>
        </w:rPr>
        <w:t>预审会提出意见单位：</w:t>
      </w:r>
      <w:r>
        <w:t xml:space="preserve"> </w:t>
      </w:r>
      <w:r>
        <w:rPr>
          <w:rFonts w:hint="eastAsia"/>
        </w:rPr>
        <w:t>个。</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4FD4"/>
    <w:multiLevelType w:val="multilevel"/>
    <w:tmpl w:val="32BE4FD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D1"/>
    <w:rsid w:val="007A3B15"/>
    <w:rsid w:val="00987E7F"/>
    <w:rsid w:val="00D14639"/>
    <w:rsid w:val="00DE36EE"/>
    <w:rsid w:val="00EA6DD1"/>
    <w:rsid w:val="4132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8">
    <w:name w:val="页眉 字符"/>
    <w:basedOn w:val="5"/>
    <w:link w:val="3"/>
    <w:uiPriority w:val="99"/>
    <w:rPr>
      <w:rFonts w:ascii="Times New Roman" w:hAnsi="Times New Roman" w:eastAsia="宋体" w:cs="Times New Roman"/>
      <w:sz w:val="18"/>
      <w:szCs w:val="18"/>
    </w:rPr>
  </w:style>
  <w:style w:type="character" w:customStyle="1" w:styleId="9">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268</Words>
  <Characters>1532</Characters>
  <Lines>12</Lines>
  <Paragraphs>3</Paragraphs>
  <TotalTime>5</TotalTime>
  <ScaleCrop>false</ScaleCrop>
  <LinksUpToDate>false</LinksUpToDate>
  <CharactersWithSpaces>1797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2020-09-04T02:06:00Z</dcterms:created>
  <dc:creator>范丽新</dc:creator>
  <cp:lastModifiedBy>WPS_1505917521</cp:lastModifiedBy>
  <dcterms:modified xsi:type="dcterms:W3CDTF">2020-09-14T06:36:25Z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