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8717817"/>
      <w:bookmarkStart w:id="1" w:name="_Toc49776953"/>
      <w:bookmarkStart w:id="2" w:name="SectionMark0"/>
    </w:p>
    <w:p>
      <w:pPr>
        <w:pStyle w:val="9"/>
        <w:rPr>
          <w:rFonts w:ascii="Times New Roman"/>
        </w:rPr>
      </w:pPr>
    </w:p>
    <w:p>
      <w:pPr>
        <w:pStyle w:val="9"/>
        <w:rPr>
          <w:rFonts w:ascii="Times New Roman"/>
        </w:rPr>
      </w:pPr>
    </w:p>
    <w:p>
      <w:pPr>
        <w:pStyle w:val="9"/>
        <w:rPr>
          <w:rFonts w:ascii="Times New Roman"/>
          <w:sz w:val="24"/>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8288020</wp:posOffset>
                </wp:positionV>
                <wp:extent cx="6057900" cy="0"/>
                <wp:effectExtent l="0" t="0" r="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68" o:spid="_x0000_s1026" o:spt="20" style="position:absolute;left:0pt;margin-left:-7.9pt;margin-top:652.6pt;height:0pt;width:477pt;z-index:251664384;mso-width-relative:page;mso-height-relative:page;" filled="f" stroked="t"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plTvtgAAAANAQAADwAAAAAAAAABACAAAAAiAAAAZHJzL2Rvd25yZXYueG1sUEsBAhQA&#10;FAAAAAgAh07iQLm3Ufa5AQAAgAMAAA4AAAAAAAAAAQAgAAAAJwEAAGRycy9lMm9Eb2MueG1sUEsF&#10;BgAAAAAGAAYAWQEAAFIFAAAAAA==&#10;">
                <v:fill on="f" focussize="0,0"/>
                <v:stroke color="#000000" joinstyle="round"/>
                <v:imagedata o:title=""/>
                <o:lock v:ext="edit" aspectratio="f"/>
              </v:line>
            </w:pict>
          </mc:Fallback>
        </mc:AlternateContent>
      </w:r>
      <w:r>
        <w:rPr>
          <w:rFonts w:ascii="Times New Roman"/>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2" cstate="print"/>
                    <a:srcRect/>
                    <a:stretch>
                      <a:fillRect/>
                    </a:stretch>
                  </pic:blipFill>
                  <pic:spPr>
                    <a:xfrm>
                      <a:off x="0" y="0"/>
                      <a:ext cx="5926455" cy="1285240"/>
                    </a:xfrm>
                    <a:prstGeom prst="rect">
                      <a:avLst/>
                    </a:prstGeom>
                    <a:noFill/>
                    <a:ln w="9525">
                      <a:noFill/>
                      <a:miter lim="800000"/>
                      <a:headEnd/>
                      <a:tailEnd/>
                    </a:ln>
                  </pic:spPr>
                </pic:pic>
              </a:graphicData>
            </a:graphic>
          </wp:inline>
        </w:drawing>
      </w:r>
    </w:p>
    <w:p>
      <w:pPr>
        <w:pStyle w:val="9"/>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mc:AlternateContent>
          <mc:Choice Requires="wps">
            <w:drawing>
              <wp:anchor distT="0" distB="0" distL="114300" distR="114300" simplePos="0" relativeHeight="251669504" behindDoc="0" locked="1" layoutInCell="1" allowOverlap="1">
                <wp:simplePos x="0" y="0"/>
                <wp:positionH relativeFrom="margin">
                  <wp:posOffset>166370</wp:posOffset>
                </wp:positionH>
                <wp:positionV relativeFrom="margin">
                  <wp:posOffset>2119630</wp:posOffset>
                </wp:positionV>
                <wp:extent cx="5802630" cy="714375"/>
                <wp:effectExtent l="0" t="0" r="7620" b="9525"/>
                <wp:wrapNone/>
                <wp:docPr id="8" name="fmFrame3"/>
                <wp:cNvGraphicFramePr/>
                <a:graphic xmlns:a="http://schemas.openxmlformats.org/drawingml/2006/main">
                  <a:graphicData uri="http://schemas.microsoft.com/office/word/2010/wordprocessingShape">
                    <wps:wsp>
                      <wps:cNvSpPr txBox="1">
                        <a:spLocks noChangeArrowheads="1"/>
                      </wps:cNvSpPr>
                      <wps:spPr bwMode="auto">
                        <a:xfrm>
                          <a:off x="1066800" y="2146300"/>
                          <a:ext cx="5802630" cy="714375"/>
                        </a:xfrm>
                        <a:prstGeom prst="rect">
                          <a:avLst/>
                        </a:prstGeom>
                        <a:solidFill>
                          <a:srgbClr val="FFFFFF"/>
                        </a:solidFill>
                        <a:ln>
                          <a:noFill/>
                        </a:ln>
                        <a:effectLst/>
                      </wps:spPr>
                      <wps:txbx>
                        <w:txbxContent>
                          <w:p>
                            <w:pPr>
                              <w:pStyle w:val="71"/>
                              <w:wordWrap w:val="0"/>
                              <w:ind w:right="560"/>
                            </w:pPr>
                            <w:r>
                              <w:rPr>
                                <w:rFonts w:ascii="黑体" w:eastAsia="黑体"/>
                              </w:rPr>
                              <w:t>YS/T XXXX.</w:t>
                            </w:r>
                            <w:r>
                              <w:rPr>
                                <w:rFonts w:hint="eastAsia" w:ascii="黑体" w:eastAsia="黑体"/>
                              </w:rPr>
                              <w:t>9</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3.1pt;margin-top:166.9pt;height:56.25pt;width:456.9pt;mso-position-horizontal-relative:margin;mso-position-vertical-relative:margin;z-index:251669504;mso-width-relative:page;mso-height-relative:page;" fillcolor="#FFFFFF" filled="t" stroked="f" coordsize="21600,21600" o:gfxdata="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&#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iDpB2QAAAAoBAAAPAAAAAAAAAAEAIAAAACIAAABk&#10;cnMvZG93bnJldi54bWxQSwECFAAUAAAACACHTuJAJVNGIgUCAAD3AwAADgAAAAAAAAABACAAAAAo&#10;AQAAZHJzL2Uyb0RvYy54bWxQSwUGAAAAAAYABgBZAQAAnwUAAAAA&#10;">
                <v:fill on="t" focussize="0,0"/>
                <v:stroke on="f"/>
                <v:imagedata o:title=""/>
                <o:lock v:ext="edit" aspectratio="f"/>
                <v:textbox inset="0mm,0mm,0mm,0mm">
                  <w:txbxContent>
                    <w:p>
                      <w:pPr>
                        <w:pStyle w:val="71"/>
                        <w:wordWrap w:val="0"/>
                        <w:ind w:right="560"/>
                      </w:pPr>
                      <w:r>
                        <w:rPr>
                          <w:rFonts w:ascii="黑体" w:eastAsia="黑体"/>
                        </w:rPr>
                        <w:t>YS/T XXXX.</w:t>
                      </w:r>
                      <w:r>
                        <w:rPr>
                          <w:rFonts w:hint="eastAsia" w:ascii="黑体" w:eastAsia="黑体"/>
                        </w:rPr>
                        <w:t>9</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v:textbox>
                <w10:anchorlock/>
              </v:shape>
            </w:pict>
          </mc:Fallback>
        </mc:AlternateContent>
      </w:r>
      <w:r>
        <w:rPr>
          <w:rFonts w:ascii="Times New Roman"/>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469265</wp:posOffset>
                </wp:positionV>
                <wp:extent cx="2406650" cy="514350"/>
                <wp:effectExtent l="0" t="0" r="12700" b="0"/>
                <wp:wrapNone/>
                <wp:docPr id="6" name="fmFrame1"/>
                <wp:cNvGraphicFramePr/>
                <a:graphic xmlns:a="http://schemas.openxmlformats.org/drawingml/2006/main">
                  <a:graphicData uri="http://schemas.microsoft.com/office/word/2010/wordprocessingShape">
                    <wps:wsp>
                      <wps:cNvSpPr txBox="1"/>
                      <wps:spPr>
                        <a:xfrm>
                          <a:off x="0" y="0"/>
                          <a:ext cx="2406650" cy="514350"/>
                        </a:xfrm>
                        <a:prstGeom prst="rect">
                          <a:avLst/>
                        </a:prstGeom>
                        <a:solidFill>
                          <a:srgbClr val="FFFFFF"/>
                        </a:solidFill>
                        <a:ln>
                          <a:noFill/>
                        </a:ln>
                      </wps:spPr>
                      <wps:txbx>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lang w:val="en-US" w:eastAsia="zh-CN"/>
                              </w:rPr>
                              <w:t xml:space="preserve">CCS </w:t>
                            </w: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wps:txbx>
                      <wps:bodyPr lIns="0" tIns="0" rIns="0" bIns="0" upright="1"/>
                    </wps:wsp>
                  </a:graphicData>
                </a:graphic>
              </wp:anchor>
            </w:drawing>
          </mc:Choice>
          <mc:Fallback>
            <w:pict>
              <v:shape id="fmFrame1" o:spid="_x0000_s1026" o:spt="202" type="#_x0000_t202" style="position:absolute;left:0pt;margin-left:0pt;margin-top:36.95pt;height:40.5pt;width:189.5pt;mso-position-horizontal-relative:margin;mso-position-vertical-relative:margin;z-index:251666432;mso-width-relative:page;mso-height-relative:page;" fillcolor="#FFFFFF" filled="t"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2ucZdcAAAAHAQAADwAAAAAA&#10;AAABACAAAAAiAAAAZHJzL2Rvd25yZXYueG1sUEsBAhQAFAAAAAgAh07iQOmKaLiiAQAASgMAAA4A&#10;AAAAAAAAAQAgAAAAJgEAAGRycy9lMm9Eb2MueG1sUEsFBgAAAAAGAAYAWQEAADoFAAAAAA==&#10;">
                <v:fill on="t" focussize="0,0"/>
                <v:stroke on="f"/>
                <v:imagedata o:title=""/>
                <o:lock v:ext="edit" aspectratio="f"/>
                <v:textbox inset="0mm,0mm,0mm,0mm">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lang w:val="en-US" w:eastAsia="zh-CN"/>
                        </w:rPr>
                        <w:t xml:space="preserve">CCS </w:t>
                      </w: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v:textbox>
                <w10:anchorlock/>
              </v:shape>
            </w:pict>
          </mc:Fallback>
        </mc:AlternateContent>
      </w: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8826500</wp:posOffset>
                </wp:positionV>
                <wp:extent cx="6120130" cy="793750"/>
                <wp:effectExtent l="0" t="0" r="13970" b="6350"/>
                <wp:wrapNone/>
                <wp:docPr id="4" name="fmFrame7"/>
                <wp:cNvGraphicFramePr/>
                <a:graphic xmlns:a="http://schemas.openxmlformats.org/drawingml/2006/main">
                  <a:graphicData uri="http://schemas.microsoft.com/office/word/2010/wordprocessingShape">
                    <wps:wsp>
                      <wps:cNvSpPr txBox="1"/>
                      <wps:spPr>
                        <a:xfrm>
                          <a:off x="0" y="0"/>
                          <a:ext cx="6120130" cy="793750"/>
                        </a:xfrm>
                        <a:prstGeom prst="rect">
                          <a:avLst/>
                        </a:prstGeom>
                        <a:solidFill>
                          <a:srgbClr val="FFFFFF"/>
                        </a:solidFill>
                        <a:ln>
                          <a:noFill/>
                        </a:ln>
                      </wps:spPr>
                      <wps:txbx>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wps:txbx>
                      <wps:bodyPr lIns="0" tIns="0" rIns="0" bIns="0" upright="1"/>
                    </wps:wsp>
                  </a:graphicData>
                </a:graphic>
              </wp:anchor>
            </w:drawing>
          </mc:Choice>
          <mc:Fallback>
            <w:pict>
              <v:shape id="fmFrame7" o:spid="_x0000_s1026" o:spt="202" type="#_x0000_t202" style="position:absolute;left:0pt;margin-left:-12.8pt;margin-top:695pt;height:62.5pt;width:481.9pt;mso-position-horizontal-relative:margin;mso-position-vertical-relative:margin;z-index:251663360;mso-width-relative:page;mso-height-relative:page;" fillcolor="#FFFFFF" filled="t"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gedh9sAAAANAQAA&#10;DwAAAAAAAAABACAAAAAiAAAAZHJzL2Rvd25yZXYueG1sUEsBAhQAFAAAAAgAh07iQDXSZ4ikAQAA&#10;SgMAAA4AAAAAAAAAAQAgAAAAKgEAAGRycy9lMm9Eb2MueG1sUEsFBgAAAAAGAAYAWQEAAEAFAAAA&#10;AA==&#10;">
                <v:fill on="t" focussize="0,0"/>
                <v:stroke on="f"/>
                <v:imagedata o:title=""/>
                <o:lock v:ext="edit" aspectratio="f"/>
                <v:textbox inset="0mm,0mm,0mm,0mm">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8514080</wp:posOffset>
                </wp:positionV>
                <wp:extent cx="2019300" cy="312420"/>
                <wp:effectExtent l="0" t="0" r="0" b="1143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wps:txbx>
                      <wps:bodyPr lIns="0" tIns="0" rIns="0" bIns="0" upright="1"/>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2336;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A9oN9gAAAANAQAADwAA&#10;AAAAAAABACAAAAAiAAAAZHJzL2Rvd25yZXYueG1sUEsBAhQAFAAAAAgAh07iQJIhhcakAQAASgMA&#10;AA4AAAAAAAAAAQAgAAAAJwEAAGRycy9lMm9Eb2MueG1sUEsFBgAAAAAGAAYAWQEAAD0FAAAAAA==&#10;">
                <v:fill on="t" focussize="0,0"/>
                <v:stroke on="f"/>
                <v:imagedata o:title=""/>
                <o:lock v:ext="edit" aspectratio="f"/>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9"/>
                              <w:rPr>
                                <w:rFonts w:ascii="黑体"/>
                              </w:rPr>
                            </w:pPr>
                            <w:r>
                              <w:rPr>
                                <w:rFonts w:hint="eastAsia" w:ascii="黑体"/>
                              </w:rPr>
                              <w:t>XXXX-XX-XX发布</w:t>
                            </w:r>
                          </w:p>
                          <w:p/>
                        </w:txbxContent>
                      </wps:txbx>
                      <wps:bodyPr lIns="0" tIns="0" rIns="0" bIns="0" upright="1"/>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1312;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iGlhdgAAAAKAQAADwAA&#10;AAAAAAABACAAAAAiAAAAZHJzL2Rvd25yZXYueG1sUEsBAhQAFAAAAAgAh07iQDv6ztukAQAASgMA&#10;AA4AAAAAAAAAAQAgAAAAJwEAAGRycy9lMm9Eb2MueG1sUEsFBgAAAAAGAAYAWQEAAD0FAAAAAA==&#10;">
                <v:fill on="t" focussize="0,0"/>
                <v:stroke on="f"/>
                <v:imagedata o:title=""/>
                <o:lock v:ext="edit" aspectratio="f"/>
                <v:textbox inset="0mm,0mm,0mm,0mm">
                  <w:txbxContent>
                    <w:p>
                      <w:pPr>
                        <w:pStyle w:val="59"/>
                        <w:rPr>
                          <w:rFonts w:ascii="黑体"/>
                        </w:rPr>
                      </w:pPr>
                      <w:r>
                        <w:rPr>
                          <w:rFonts w:hint="eastAsia" w:ascii="黑体"/>
                        </w:rPr>
                        <w:t>XXXX-XX-XX发布</w:t>
                      </w:r>
                    </w:p>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-11430</wp:posOffset>
                </wp:positionH>
                <wp:positionV relativeFrom="margin">
                  <wp:posOffset>2778760</wp:posOffset>
                </wp:positionV>
                <wp:extent cx="5969000" cy="4586605"/>
                <wp:effectExtent l="0" t="0" r="12700" b="4445"/>
                <wp:wrapNone/>
                <wp:docPr id="1" name="fmFrame4"/>
                <wp:cNvGraphicFramePr/>
                <a:graphic xmlns:a="http://schemas.openxmlformats.org/drawingml/2006/main">
                  <a:graphicData uri="http://schemas.microsoft.com/office/word/2010/wordprocessingShape">
                    <wps:wsp>
                      <wps:cNvSpPr txBox="1"/>
                      <wps:spPr>
                        <a:xfrm>
                          <a:off x="0" y="0"/>
                          <a:ext cx="5969000" cy="4586605"/>
                        </a:xfrm>
                        <a:prstGeom prst="rect">
                          <a:avLst/>
                        </a:prstGeom>
                        <a:solidFill>
                          <a:srgbClr val="FFFFFF"/>
                        </a:solidFill>
                        <a:ln>
                          <a:noFill/>
                        </a:ln>
                      </wps:spPr>
                      <wps:txbx>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9</w:t>
                            </w:r>
                            <w:r>
                              <w:rPr>
                                <w:rFonts w:ascii="黑体" w:eastAsia="黑体"/>
                                <w:bCs/>
                                <w:color w:val="000000"/>
                                <w:sz w:val="52"/>
                                <w:szCs w:val="52"/>
                              </w:rPr>
                              <w:t>部分：</w:t>
                            </w:r>
                            <w:bookmarkEnd w:id="3"/>
                            <w:r>
                              <w:rPr>
                                <w:rFonts w:hint="eastAsia" w:ascii="黑体" w:hAnsi="黑体" w:eastAsia="黑体"/>
                                <w:bCs/>
                                <w:sz w:val="52"/>
                                <w:szCs w:val="72"/>
                              </w:rPr>
                              <w:t>锑量的测定</w:t>
                            </w:r>
                          </w:p>
                          <w:p>
                            <w:pPr>
                              <w:jc w:val="center"/>
                              <w:rPr>
                                <w:rFonts w:ascii="黑体" w:hAnsi="黑体" w:eastAsia="黑体"/>
                                <w:bCs/>
                                <w:sz w:val="52"/>
                                <w:szCs w:val="72"/>
                              </w:rPr>
                            </w:pPr>
                            <w:r>
                              <w:rPr>
                                <w:rFonts w:hint="eastAsia" w:ascii="黑体" w:hAnsi="黑体" w:eastAsia="黑体"/>
                                <w:bCs/>
                                <w:sz w:val="52"/>
                                <w:szCs w:val="72"/>
                              </w:rPr>
                              <w:t>火焰原子吸收光谱法</w:t>
                            </w:r>
                          </w:p>
                          <w:p>
                            <w:pPr>
                              <w:jc w:val="center"/>
                              <w:rPr>
                                <w:rFonts w:eastAsia="黑体"/>
                                <w:color w:val="000000"/>
                                <w:kern w:val="0"/>
                                <w:sz w:val="28"/>
                                <w:szCs w:val="28"/>
                              </w:rPr>
                            </w:pPr>
                            <w:r>
                              <w:rPr>
                                <w:rFonts w:eastAsia="黑体"/>
                                <w:color w:val="000000"/>
                                <w:kern w:val="0"/>
                                <w:sz w:val="28"/>
                                <w:szCs w:val="28"/>
                              </w:rPr>
                              <w:t xml:space="preserve">Methods for chemical analysis of </w:t>
                            </w:r>
                            <w:r>
                              <w:rPr>
                                <w:rFonts w:hint="eastAsia" w:eastAsia="黑体"/>
                                <w:color w:val="000000"/>
                                <w:kern w:val="0"/>
                                <w:sz w:val="28"/>
                                <w:szCs w:val="28"/>
                              </w:rPr>
                              <w:t>copper smelting soot</w:t>
                            </w:r>
                            <w:r>
                              <w:rPr>
                                <w:rFonts w:eastAsia="黑体"/>
                                <w:color w:val="000000"/>
                                <w:kern w:val="0"/>
                                <w:sz w:val="28"/>
                                <w:szCs w:val="28"/>
                              </w:rPr>
                              <w:t>—</w:t>
                            </w:r>
                          </w:p>
                          <w:p>
                            <w:pPr>
                              <w:jc w:val="center"/>
                              <w:rPr>
                                <w:rFonts w:eastAsia="黑体"/>
                                <w:color w:val="000000"/>
                                <w:kern w:val="0"/>
                                <w:sz w:val="28"/>
                                <w:szCs w:val="28"/>
                              </w:rPr>
                            </w:pPr>
                            <w:r>
                              <w:rPr>
                                <w:rFonts w:eastAsia="黑体"/>
                                <w:color w:val="000000"/>
                                <w:kern w:val="0"/>
                                <w:sz w:val="28"/>
                                <w:szCs w:val="28"/>
                              </w:rPr>
                              <w:t>Part 9:Determination of Antimony content</w:t>
                            </w:r>
                          </w:p>
                          <w:p>
                            <w:pPr>
                              <w:jc w:val="center"/>
                              <w:rPr>
                                <w:rFonts w:eastAsia="黑体"/>
                                <w:color w:val="000000"/>
                                <w:kern w:val="0"/>
                                <w:sz w:val="28"/>
                                <w:szCs w:val="28"/>
                              </w:rPr>
                            </w:pPr>
                            <w:r>
                              <w:rPr>
                                <w:rFonts w:eastAsia="黑体"/>
                                <w:color w:val="000000"/>
                                <w:kern w:val="0"/>
                                <w:sz w:val="28"/>
                                <w:szCs w:val="28"/>
                              </w:rPr>
                              <w:t>Flame atomic absorption spectrometry method</w:t>
                            </w:r>
                          </w:p>
                          <w:p>
                            <w:pPr>
                              <w:jc w:val="center"/>
                              <w:rPr>
                                <w:rFonts w:hint="eastAsia" w:ascii="黑体" w:hAnsi="黑体" w:eastAsia="黑体"/>
                                <w:bCs/>
                                <w:sz w:val="52"/>
                                <w:szCs w:val="72"/>
                              </w:rPr>
                            </w:pPr>
                            <w:r>
                              <w:rPr>
                                <w:rFonts w:hint="eastAsia" w:ascii="黑体" w:hAnsi="黑体" w:eastAsia="黑体"/>
                                <w:bCs/>
                                <w:sz w:val="30"/>
                                <w:szCs w:val="30"/>
                              </w:rPr>
                              <w:t>（</w:t>
                            </w:r>
                            <w:r>
                              <w:rPr>
                                <w:rFonts w:hint="eastAsia" w:ascii="黑体" w:hAnsi="黑体" w:eastAsia="黑体"/>
                                <w:bCs/>
                                <w:sz w:val="30"/>
                                <w:szCs w:val="30"/>
                                <w:lang w:val="en-US" w:eastAsia="zh-CN"/>
                              </w:rPr>
                              <w:t>送审</w:t>
                            </w:r>
                            <w:r>
                              <w:rPr>
                                <w:rFonts w:hint="eastAsia" w:ascii="黑体" w:hAnsi="黑体" w:eastAsia="黑体"/>
                                <w:bCs/>
                                <w:sz w:val="30"/>
                                <w:szCs w:val="30"/>
                              </w:rPr>
                              <w:t>稿）</w:t>
                            </w:r>
                          </w:p>
                          <w:p>
                            <w:pPr>
                              <w:pStyle w:val="55"/>
                              <w:rPr>
                                <w:b/>
                                <w:sz w:val="30"/>
                              </w:rPr>
                            </w:pPr>
                          </w:p>
                          <w:p>
                            <w:pPr>
                              <w:pStyle w:val="42"/>
                            </w:pPr>
                          </w:p>
                        </w:txbxContent>
                      </wps:txbx>
                      <wps:bodyPr lIns="0" tIns="0" rIns="0" bIns="0" upright="1"/>
                    </wps:wsp>
                  </a:graphicData>
                </a:graphic>
              </wp:anchor>
            </w:drawing>
          </mc:Choice>
          <mc:Fallback>
            <w:pict>
              <v:shape id="fmFrame4" o:spid="_x0000_s1026" o:spt="202" type="#_x0000_t202" style="position:absolute;left:0pt;margin-left:-0.9pt;margin-top:218.8pt;height:361.15pt;width:470pt;mso-position-horizontal-relative:margin;mso-position-vertical-relative:margin;z-index:251660288;mso-width-relative:page;mso-height-relative:page;" fillcolor="#FFFFFF" filled="t" stroked="f" coordsize="21600,21600" o:gfxdata="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2bCy2wAAAAsBAAAP&#10;AAAAAAAAAAEAIAAAACIAAABkcnMvZG93bnJldi54bWxQSwECFAAUAAAACACHTuJAACmKaaMBAABL&#10;AwAADgAAAAAAAAABACAAAAAqAQAAZHJzL2Uyb0RvYy54bWxQSwUGAAAAAAYABgBZAQAAPwUAAAAA&#10;">
                <v:fill on="t" focussize="0,0"/>
                <v:stroke on="f"/>
                <v:imagedata o:title=""/>
                <o:lock v:ext="edit" aspectratio="f"/>
                <v:textbox inset="0mm,0mm,0mm,0mm">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9</w:t>
                      </w:r>
                      <w:r>
                        <w:rPr>
                          <w:rFonts w:ascii="黑体" w:eastAsia="黑体"/>
                          <w:bCs/>
                          <w:color w:val="000000"/>
                          <w:sz w:val="52"/>
                          <w:szCs w:val="52"/>
                        </w:rPr>
                        <w:t>部分：</w:t>
                      </w:r>
                      <w:bookmarkEnd w:id="3"/>
                      <w:r>
                        <w:rPr>
                          <w:rFonts w:hint="eastAsia" w:ascii="黑体" w:hAnsi="黑体" w:eastAsia="黑体"/>
                          <w:bCs/>
                          <w:sz w:val="52"/>
                          <w:szCs w:val="72"/>
                        </w:rPr>
                        <w:t>锑量的测定</w:t>
                      </w:r>
                    </w:p>
                    <w:p>
                      <w:pPr>
                        <w:jc w:val="center"/>
                        <w:rPr>
                          <w:rFonts w:ascii="黑体" w:hAnsi="黑体" w:eastAsia="黑体"/>
                          <w:bCs/>
                          <w:sz w:val="52"/>
                          <w:szCs w:val="72"/>
                        </w:rPr>
                      </w:pPr>
                      <w:r>
                        <w:rPr>
                          <w:rFonts w:hint="eastAsia" w:ascii="黑体" w:hAnsi="黑体" w:eastAsia="黑体"/>
                          <w:bCs/>
                          <w:sz w:val="52"/>
                          <w:szCs w:val="72"/>
                        </w:rPr>
                        <w:t>火焰原子吸收光谱法</w:t>
                      </w:r>
                    </w:p>
                    <w:p>
                      <w:pPr>
                        <w:jc w:val="center"/>
                        <w:rPr>
                          <w:rFonts w:eastAsia="黑体"/>
                          <w:color w:val="000000"/>
                          <w:kern w:val="0"/>
                          <w:sz w:val="28"/>
                          <w:szCs w:val="28"/>
                        </w:rPr>
                      </w:pPr>
                      <w:r>
                        <w:rPr>
                          <w:rFonts w:eastAsia="黑体"/>
                          <w:color w:val="000000"/>
                          <w:kern w:val="0"/>
                          <w:sz w:val="28"/>
                          <w:szCs w:val="28"/>
                        </w:rPr>
                        <w:t xml:space="preserve">Methods for chemical analysis of </w:t>
                      </w:r>
                      <w:r>
                        <w:rPr>
                          <w:rFonts w:hint="eastAsia" w:eastAsia="黑体"/>
                          <w:color w:val="000000"/>
                          <w:kern w:val="0"/>
                          <w:sz w:val="28"/>
                          <w:szCs w:val="28"/>
                        </w:rPr>
                        <w:t>copper smelting soot</w:t>
                      </w:r>
                      <w:r>
                        <w:rPr>
                          <w:rFonts w:eastAsia="黑体"/>
                          <w:color w:val="000000"/>
                          <w:kern w:val="0"/>
                          <w:sz w:val="28"/>
                          <w:szCs w:val="28"/>
                        </w:rPr>
                        <w:t>—</w:t>
                      </w:r>
                    </w:p>
                    <w:p>
                      <w:pPr>
                        <w:jc w:val="center"/>
                        <w:rPr>
                          <w:rFonts w:eastAsia="黑体"/>
                          <w:color w:val="000000"/>
                          <w:kern w:val="0"/>
                          <w:sz w:val="28"/>
                          <w:szCs w:val="28"/>
                        </w:rPr>
                      </w:pPr>
                      <w:r>
                        <w:rPr>
                          <w:rFonts w:eastAsia="黑体"/>
                          <w:color w:val="000000"/>
                          <w:kern w:val="0"/>
                          <w:sz w:val="28"/>
                          <w:szCs w:val="28"/>
                        </w:rPr>
                        <w:t>Part 9:Determination of Antimony content</w:t>
                      </w:r>
                    </w:p>
                    <w:p>
                      <w:pPr>
                        <w:jc w:val="center"/>
                        <w:rPr>
                          <w:rFonts w:eastAsia="黑体"/>
                          <w:color w:val="000000"/>
                          <w:kern w:val="0"/>
                          <w:sz w:val="28"/>
                          <w:szCs w:val="28"/>
                        </w:rPr>
                      </w:pPr>
                      <w:r>
                        <w:rPr>
                          <w:rFonts w:eastAsia="黑体"/>
                          <w:color w:val="000000"/>
                          <w:kern w:val="0"/>
                          <w:sz w:val="28"/>
                          <w:szCs w:val="28"/>
                        </w:rPr>
                        <w:t>Flame atomic absorption spectrometry method</w:t>
                      </w:r>
                    </w:p>
                    <w:p>
                      <w:pPr>
                        <w:jc w:val="center"/>
                        <w:rPr>
                          <w:rFonts w:hint="eastAsia" w:ascii="黑体" w:hAnsi="黑体" w:eastAsia="黑体"/>
                          <w:bCs/>
                          <w:sz w:val="52"/>
                          <w:szCs w:val="72"/>
                        </w:rPr>
                      </w:pPr>
                      <w:r>
                        <w:rPr>
                          <w:rFonts w:hint="eastAsia" w:ascii="黑体" w:hAnsi="黑体" w:eastAsia="黑体"/>
                          <w:bCs/>
                          <w:sz w:val="30"/>
                          <w:szCs w:val="30"/>
                        </w:rPr>
                        <w:t>（</w:t>
                      </w:r>
                      <w:r>
                        <w:rPr>
                          <w:rFonts w:hint="eastAsia" w:ascii="黑体" w:hAnsi="黑体" w:eastAsia="黑体"/>
                          <w:bCs/>
                          <w:sz w:val="30"/>
                          <w:szCs w:val="30"/>
                          <w:lang w:val="en-US" w:eastAsia="zh-CN"/>
                        </w:rPr>
                        <w:t>送审</w:t>
                      </w:r>
                      <w:r>
                        <w:rPr>
                          <w:rFonts w:hint="eastAsia" w:ascii="黑体" w:hAnsi="黑体" w:eastAsia="黑体"/>
                          <w:bCs/>
                          <w:sz w:val="30"/>
                          <w:szCs w:val="30"/>
                        </w:rPr>
                        <w:t>稿）</w:t>
                      </w:r>
                    </w:p>
                    <w:p>
                      <w:pPr>
                        <w:pStyle w:val="55"/>
                        <w:rPr>
                          <w:b/>
                          <w:sz w:val="30"/>
                        </w:rPr>
                      </w:pPr>
                    </w:p>
                    <w:p>
                      <w:pPr>
                        <w:pStyle w:val="42"/>
                      </w:pPr>
                    </w:p>
                  </w:txbxContent>
                </v:textbox>
                <w10:anchorlock/>
              </v:shape>
            </w:pict>
          </mc:Fallback>
        </mc:AlternateContent>
      </w:r>
      <w:bookmarkEnd w:id="0"/>
      <w:bookmarkEnd w:id="1"/>
    </w:p>
    <w:bookmarkEnd w:id="2"/>
    <w:p>
      <w:pPr>
        <w:pStyle w:val="31"/>
        <w:tabs>
          <w:tab w:val="clear" w:pos="720"/>
        </w:tabs>
        <w:spacing w:line="340" w:lineRule="exact"/>
        <w:ind w:left="0" w:firstLine="0"/>
        <w:rPr>
          <w:rFonts w:ascii="Times New Roman"/>
        </w:rPr>
      </w:pPr>
      <w:r>
        <w:rPr>
          <w:rFonts w:ascii="Times New Roman"/>
        </w:rPr>
        <w:t>前</w:t>
      </w:r>
      <w:r>
        <w:rPr>
          <w:rFonts w:hint="eastAsia" w:ascii="Times New Roman"/>
        </w:rPr>
        <w:t xml:space="preserve">    </w:t>
      </w:r>
      <w:r>
        <w:rPr>
          <w:rFonts w:ascii="Times New Roman"/>
        </w:rPr>
        <w:t>言</w:t>
      </w:r>
    </w:p>
    <w:p>
      <w:pPr>
        <w:ind w:left="0" w:leftChars="0" w:firstLine="420" w:firstLineChars="200"/>
        <w:rPr>
          <w:rFonts w:eastAsiaTheme="minorEastAsia"/>
        </w:rPr>
      </w:pPr>
      <w:r>
        <w:rPr>
          <w:rFonts w:hint="eastAsia" w:hAnsi="宋体" w:cs="宋体"/>
          <w:szCs w:val="21"/>
        </w:rPr>
        <w:t>本文件按照GB/T1.1-2020《标准化工作导则 第1部分：标准化文件的结构和起草规则》的规定起草。</w:t>
      </w:r>
    </w:p>
    <w:p>
      <w:pPr>
        <w:ind w:firstLine="420" w:firstLineChars="200"/>
        <w:rPr>
          <w:rFonts w:hint="eastAsia" w:eastAsia="宋体"/>
          <w:lang w:val="en-US" w:eastAsia="zh-CN"/>
        </w:rPr>
      </w:pPr>
      <w:r>
        <w:rPr>
          <w:rFonts w:hint="eastAsia"/>
        </w:rPr>
        <w:t>本</w:t>
      </w:r>
      <w:r>
        <w:rPr>
          <w:rFonts w:hint="eastAsia"/>
          <w:lang w:eastAsia="zh-CN"/>
        </w:rPr>
        <w:t>文件</w:t>
      </w:r>
      <w:r>
        <w:rPr>
          <w:rFonts w:hint="eastAsia"/>
        </w:rPr>
        <w:t>为YS/TXXXX-201X的第</w:t>
      </w:r>
      <w:r>
        <w:rPr>
          <w:rFonts w:hint="eastAsia"/>
          <w:lang w:val="en-US" w:eastAsia="zh-CN"/>
        </w:rPr>
        <w:t>9</w:t>
      </w:r>
      <w:r>
        <w:rPr>
          <w:rFonts w:hint="eastAsia"/>
        </w:rPr>
        <w:t>部分。</w:t>
      </w:r>
      <w:r>
        <w:rPr>
          <w:rFonts w:eastAsiaTheme="minorEastAsia"/>
        </w:rPr>
        <w:t>YS/T XXXX-201X 《</w:t>
      </w:r>
      <w:r>
        <w:rPr>
          <w:rFonts w:hint="eastAsia" w:eastAsiaTheme="minorEastAsia"/>
        </w:rPr>
        <w:t>铜冶炼烟尘</w:t>
      </w:r>
      <w:r>
        <w:t>化学分析方法</w:t>
      </w:r>
      <w:r>
        <w:rPr>
          <w:rFonts w:hint="eastAsia"/>
          <w:lang w:eastAsia="zh-CN"/>
        </w:rPr>
        <w:t>》已经发布了以下部分：</w:t>
      </w:r>
    </w:p>
    <w:p>
      <w:pPr>
        <w:spacing w:line="360" w:lineRule="auto"/>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360" w:lineRule="auto"/>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360" w:lineRule="auto"/>
        <w:ind w:firstLine="630" w:firstLineChars="300"/>
        <w:rPr>
          <w:rFonts w:ascii="Times New Roman" w:hAnsi="Times New Roman"/>
        </w:rPr>
      </w:pPr>
      <w:r>
        <w:rPr>
          <w:rFonts w:ascii="Times New Roman" w:hAnsi="Times New Roman"/>
        </w:rPr>
        <w:t>——第3部分：锌含量的测定 火焰原子吸收光谱法和容量法；</w:t>
      </w:r>
    </w:p>
    <w:p>
      <w:pPr>
        <w:spacing w:line="360" w:lineRule="auto"/>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360" w:lineRule="auto"/>
        <w:ind w:firstLine="630" w:firstLineChars="300"/>
        <w:rPr>
          <w:rFonts w:ascii="Times New Roman" w:hAnsi="Times New Roman"/>
        </w:rPr>
      </w:pPr>
      <w:r>
        <w:rPr>
          <w:rFonts w:ascii="Times New Roman" w:hAnsi="Times New Roman"/>
        </w:rPr>
        <w:t>——第5部分：砷含量的测定 硫酸亚铁铵滴定法；</w:t>
      </w:r>
    </w:p>
    <w:p>
      <w:pPr>
        <w:spacing w:line="360" w:lineRule="auto"/>
        <w:ind w:firstLine="630" w:firstLineChars="300"/>
        <w:rPr>
          <w:rFonts w:ascii="Times New Roman" w:hAnsi="Times New Roman"/>
        </w:rPr>
      </w:pPr>
      <w:r>
        <w:rPr>
          <w:rFonts w:ascii="Times New Roman" w:hAnsi="Times New Roman"/>
        </w:rPr>
        <w:t>——第6部分：铟含量的测定 火焰原子吸收光谱法；</w:t>
      </w:r>
    </w:p>
    <w:p>
      <w:pPr>
        <w:spacing w:line="360" w:lineRule="auto"/>
        <w:ind w:firstLine="630" w:firstLineChars="300"/>
        <w:rPr>
          <w:rFonts w:ascii="Times New Roman" w:hAnsi="Times New Roman"/>
        </w:rPr>
      </w:pPr>
      <w:r>
        <w:rPr>
          <w:rFonts w:ascii="Times New Roman" w:hAnsi="Times New Roman"/>
        </w:rPr>
        <w:t>——第7部分：镉含量的测定 火焰原子吸收光谱法和容量法；</w:t>
      </w:r>
    </w:p>
    <w:p>
      <w:pPr>
        <w:spacing w:line="360" w:lineRule="auto"/>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360" w:lineRule="auto"/>
        <w:ind w:firstLine="630" w:firstLineChars="300"/>
        <w:rPr>
          <w:rFonts w:ascii="Times New Roman" w:hAnsi="Times New Roman"/>
        </w:rPr>
      </w:pPr>
      <w:r>
        <w:rPr>
          <w:rFonts w:ascii="Times New Roman" w:hAnsi="Times New Roman"/>
        </w:rPr>
        <w:t>——第9部分：锑含量的测定 火焰原子吸收光谱法；</w:t>
      </w:r>
    </w:p>
    <w:p>
      <w:pPr>
        <w:ind w:firstLine="420" w:firstLineChars="200"/>
        <w:rPr>
          <w:rFonts w:hint="eastAsia"/>
        </w:rPr>
      </w:pPr>
      <w:r>
        <w:rPr>
          <w:rFonts w:hint="eastAsia"/>
        </w:rPr>
        <w:t>请注意本文件的某些内容可能涉及专利。本文件的发布机构不承担识别专利的责任。</w:t>
      </w:r>
    </w:p>
    <w:p>
      <w:pPr>
        <w:ind w:firstLine="420" w:firstLineChars="200"/>
        <w:rPr>
          <w:rFonts w:hint="eastAsia"/>
        </w:rPr>
      </w:pPr>
      <w:r>
        <w:rPr>
          <w:rFonts w:hint="eastAsia"/>
        </w:rPr>
        <w:t>本</w:t>
      </w:r>
      <w:r>
        <w:rPr>
          <w:rFonts w:hint="eastAsia"/>
          <w:lang w:val="en-US" w:eastAsia="zh-CN"/>
        </w:rPr>
        <w:t>部分</w:t>
      </w:r>
      <w:r>
        <w:rPr>
          <w:rFonts w:hint="eastAsia"/>
        </w:rPr>
        <w:t>由全国有色金属标准化技术委员会（SAC/TC 243）提出并归口。</w:t>
      </w:r>
    </w:p>
    <w:p>
      <w:pPr>
        <w:ind w:firstLine="420" w:firstLineChars="200"/>
        <w:rPr>
          <w:rFonts w:hint="eastAsia"/>
          <w:szCs w:val="22"/>
          <w:lang w:val="en-US" w:eastAsia="zh-CN"/>
        </w:rPr>
      </w:pPr>
      <w:r>
        <w:rPr>
          <w:rFonts w:hint="eastAsia"/>
        </w:rPr>
        <w:t>本</w:t>
      </w:r>
      <w:r>
        <w:rPr>
          <w:rFonts w:hint="eastAsia"/>
          <w:lang w:eastAsia="zh-CN"/>
        </w:rPr>
        <w:t>文件</w:t>
      </w:r>
      <w:r>
        <w:rPr>
          <w:rFonts w:hint="eastAsia"/>
        </w:rPr>
        <w:t>负责起草单位</w:t>
      </w:r>
      <w:r>
        <w:rPr>
          <w:rFonts w:hint="eastAsia"/>
          <w:lang w:eastAsia="zh-CN"/>
        </w:rPr>
        <w:t>：</w:t>
      </w:r>
      <w:r>
        <w:rPr>
          <w:rFonts w:hint="eastAsia"/>
          <w:szCs w:val="21"/>
        </w:rPr>
        <w:t>铜陵有</w:t>
      </w:r>
      <w:r>
        <w:rPr>
          <w:rFonts w:hint="eastAsia"/>
          <w:szCs w:val="22"/>
        </w:rPr>
        <w:t>色金属集团控股有限公司</w:t>
      </w:r>
      <w:r>
        <w:rPr>
          <w:rFonts w:hint="eastAsia"/>
          <w:szCs w:val="22"/>
          <w:lang w:eastAsia="zh-CN"/>
        </w:rPr>
        <w:t>、</w:t>
      </w:r>
      <w:r>
        <w:rPr>
          <w:rFonts w:hint="eastAsia"/>
          <w:szCs w:val="22"/>
        </w:rPr>
        <w:t>富民薪冶工贸有限公司</w:t>
      </w:r>
      <w:r>
        <w:rPr>
          <w:rFonts w:hint="eastAsia"/>
          <w:szCs w:val="22"/>
          <w:lang w:eastAsia="zh-CN"/>
        </w:rPr>
        <w:t>、广东省科学院工业分析检测中心、北矿检测技术有限公司。</w:t>
      </w:r>
    </w:p>
    <w:p>
      <w:pPr>
        <w:ind w:firstLine="420" w:firstLineChars="200"/>
        <w:rPr>
          <w:rFonts w:hint="eastAsia"/>
          <w:szCs w:val="21"/>
        </w:rPr>
      </w:pPr>
      <w:r>
        <w:rPr>
          <w:rFonts w:hint="eastAsia"/>
        </w:rPr>
        <w:t>本</w:t>
      </w:r>
      <w:r>
        <w:rPr>
          <w:rFonts w:hint="eastAsia"/>
          <w:lang w:val="en-US" w:eastAsia="zh-CN"/>
        </w:rPr>
        <w:t>文件</w:t>
      </w:r>
      <w:r>
        <w:rPr>
          <w:rFonts w:hint="eastAsia"/>
        </w:rPr>
        <w:t>起草单位：</w:t>
      </w:r>
      <w:r>
        <w:rPr>
          <w:rFonts w:hint="eastAsia"/>
          <w:szCs w:val="21"/>
        </w:rPr>
        <w:t>铜陵有色金属集团控股有限公司</w:t>
      </w:r>
      <w:r>
        <w:rPr>
          <w:rFonts w:hint="eastAsia"/>
          <w:szCs w:val="21"/>
          <w:lang w:eastAsia="zh-CN"/>
        </w:rPr>
        <w:t>、</w:t>
      </w:r>
      <w:r>
        <w:rPr>
          <w:rFonts w:hint="eastAsia"/>
          <w:szCs w:val="21"/>
        </w:rPr>
        <w:t>河南豫光金铅股份有限公司、云南锡业股份有限公司</w:t>
      </w:r>
      <w:r>
        <w:rPr>
          <w:rFonts w:hint="eastAsia"/>
          <w:szCs w:val="21"/>
          <w:lang w:eastAsia="zh-CN"/>
        </w:rPr>
        <w:t>铜业分公司</w:t>
      </w:r>
      <w:r>
        <w:rPr>
          <w:rFonts w:hint="eastAsia"/>
          <w:szCs w:val="21"/>
        </w:rPr>
        <w:t>、紫金矿业集团股份有限公司、广东先导稀材股份有限公司、中国检验认证集团广西有限公司、紫金铜业有限公司、北方铜业股份有限公司、江西铜业股份有限公司、北矿检验技术有限公司、阳谷祥光铜业有限公司、山东恒邦冶炼股份有限公司。</w:t>
      </w:r>
    </w:p>
    <w:p>
      <w:pPr>
        <w:ind w:firstLine="420" w:firstLineChars="200"/>
        <w:rPr>
          <w:rFonts w:hint="eastAsia"/>
          <w:szCs w:val="21"/>
          <w:lang w:eastAsia="zh-CN"/>
        </w:rPr>
      </w:pPr>
      <w:r>
        <w:rPr>
          <w:rFonts w:hint="eastAsia"/>
          <w:szCs w:val="21"/>
        </w:rPr>
        <w:t>本</w:t>
      </w:r>
      <w:r>
        <w:rPr>
          <w:rFonts w:hint="eastAsia"/>
          <w:szCs w:val="21"/>
          <w:lang w:val="en-US" w:eastAsia="zh-CN"/>
        </w:rPr>
        <w:t>文件</w:t>
      </w:r>
      <w:r>
        <w:rPr>
          <w:rFonts w:hint="eastAsia"/>
          <w:szCs w:val="21"/>
        </w:rPr>
        <w:t>起草人：</w:t>
      </w:r>
      <w:r>
        <w:rPr>
          <w:rFonts w:hint="eastAsia"/>
          <w:szCs w:val="21"/>
          <w:lang w:eastAsia="zh-CN"/>
        </w:rPr>
        <w:t>。</w:t>
      </w:r>
    </w:p>
    <w:p>
      <w:pPr>
        <w:ind w:firstLine="420" w:firstLineChars="200"/>
        <w:jc w:val="left"/>
        <w:rPr>
          <w:rFonts w:hint="eastAsia" w:eastAsia="宋体"/>
          <w:szCs w:val="21"/>
          <w:lang w:val="en-US" w:eastAsia="zh-CN"/>
        </w:rPr>
      </w:pPr>
      <w:bookmarkStart w:id="4" w:name="_GoBack"/>
      <w:bookmarkEnd w:id="4"/>
    </w:p>
    <w:p>
      <w:pPr>
        <w:ind w:firstLine="420" w:firstLineChars="200"/>
        <w:jc w:val="left"/>
        <w:rPr>
          <w:rFonts w:hint="default" w:eastAsiaTheme="minorEastAsia"/>
          <w:color w:val="auto"/>
          <w:sz w:val="21"/>
          <w:szCs w:val="21"/>
          <w:vertAlign w:val="baseline"/>
          <w:lang w:val="en-US" w:eastAsia="zh-CN"/>
        </w:rPr>
      </w:pPr>
    </w:p>
    <w:p>
      <w:pPr>
        <w:ind w:firstLine="435"/>
        <w:jc w:val="left"/>
        <w:rPr>
          <w:color w:val="FF0000"/>
          <w:sz w:val="24"/>
        </w:rPr>
        <w:sectPr>
          <w:footerReference r:id="rId8" w:type="default"/>
          <w:footerReference r:id="rId9" w:type="even"/>
          <w:pgSz w:w="11906" w:h="16838"/>
          <w:pgMar w:top="1418" w:right="1134" w:bottom="1440" w:left="1418" w:header="851" w:footer="992" w:gutter="0"/>
          <w:pgNumType w:fmt="upperRoman" w:start="1"/>
          <w:cols w:space="720" w:num="1"/>
          <w:docGrid w:type="linesAndChars" w:linePitch="312" w:charSpace="0"/>
        </w:sectPr>
      </w:pPr>
    </w:p>
    <w:p>
      <w:pPr>
        <w:jc w:val="center"/>
        <w:rPr>
          <w:rFonts w:eastAsia="黑体"/>
          <w:kern w:val="0"/>
          <w:sz w:val="32"/>
          <w:szCs w:val="32"/>
        </w:rPr>
      </w:pPr>
      <w:r>
        <w:rPr>
          <w:rFonts w:hint="eastAsia" w:eastAsia="黑体"/>
          <w:kern w:val="0"/>
          <w:sz w:val="32"/>
          <w:szCs w:val="32"/>
        </w:rPr>
        <w:t>铜冶炼烟尘</w:t>
      </w:r>
      <w:r>
        <w:rPr>
          <w:rFonts w:eastAsia="黑体"/>
          <w:kern w:val="0"/>
          <w:sz w:val="32"/>
          <w:szCs w:val="32"/>
        </w:rPr>
        <w:t>化学分析方法</w:t>
      </w:r>
    </w:p>
    <w:p>
      <w:pPr>
        <w:jc w:val="center"/>
        <w:rPr>
          <w:rFonts w:eastAsia="黑体"/>
          <w:kern w:val="0"/>
          <w:sz w:val="32"/>
          <w:szCs w:val="32"/>
        </w:rPr>
      </w:pPr>
      <w:r>
        <w:rPr>
          <w:rFonts w:eastAsia="黑体"/>
          <w:kern w:val="0"/>
          <w:sz w:val="32"/>
          <w:szCs w:val="32"/>
        </w:rPr>
        <w:t>第</w:t>
      </w:r>
      <w:r>
        <w:rPr>
          <w:rFonts w:hint="eastAsia" w:eastAsia="黑体"/>
          <w:kern w:val="0"/>
          <w:sz w:val="32"/>
          <w:szCs w:val="32"/>
        </w:rPr>
        <w:t>9</w:t>
      </w:r>
      <w:r>
        <w:rPr>
          <w:rFonts w:eastAsia="黑体"/>
          <w:kern w:val="0"/>
          <w:sz w:val="32"/>
          <w:szCs w:val="32"/>
        </w:rPr>
        <w:t>部分：</w:t>
      </w:r>
      <w:r>
        <w:rPr>
          <w:rFonts w:hint="eastAsia" w:eastAsia="黑体"/>
          <w:kern w:val="0"/>
          <w:sz w:val="32"/>
          <w:szCs w:val="32"/>
        </w:rPr>
        <w:t>锑含</w:t>
      </w:r>
      <w:r>
        <w:rPr>
          <w:rFonts w:eastAsia="黑体"/>
          <w:kern w:val="0"/>
          <w:sz w:val="32"/>
          <w:szCs w:val="32"/>
        </w:rPr>
        <w:t>量的测定</w:t>
      </w:r>
      <w:r>
        <w:rPr>
          <w:rFonts w:hint="eastAsia" w:eastAsia="黑体"/>
          <w:kern w:val="0"/>
          <w:sz w:val="32"/>
          <w:szCs w:val="32"/>
          <w:lang w:val="en-US" w:eastAsia="zh-CN"/>
        </w:rPr>
        <w:t xml:space="preserve"> </w:t>
      </w:r>
      <w:r>
        <w:rPr>
          <w:rFonts w:hint="eastAsia" w:eastAsia="黑体"/>
          <w:kern w:val="0"/>
          <w:sz w:val="32"/>
          <w:szCs w:val="32"/>
        </w:rPr>
        <w:t>火焰原子吸收光谱法</w:t>
      </w:r>
    </w:p>
    <w:p>
      <w:pPr>
        <w:spacing w:line="360" w:lineRule="auto"/>
        <w:rPr>
          <w:rFonts w:eastAsia="黑体"/>
        </w:rPr>
      </w:pPr>
      <w:r>
        <w:rPr>
          <w:rFonts w:eastAsia="黑体"/>
        </w:rPr>
        <w:t>1 范围</w:t>
      </w:r>
    </w:p>
    <w:p>
      <w:pPr>
        <w:pStyle w:val="28"/>
        <w:ind w:firstLine="420"/>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eastAsia="zh-CN"/>
        </w:rPr>
        <w:t>文件</w:t>
      </w:r>
      <w:r>
        <w:rPr>
          <w:rFonts w:ascii="Times New Roman" w:hAnsi="Times New Roman" w:cs="Times New Roman"/>
        </w:rPr>
        <w:t>规定了</w:t>
      </w:r>
      <w:r>
        <w:rPr>
          <w:rFonts w:hint="eastAsia" w:ascii="Times New Roman" w:hAnsi="Times New Roman" w:cs="Times New Roman"/>
        </w:rPr>
        <w:t>铜冶炼烟尘</w:t>
      </w:r>
      <w:r>
        <w:rPr>
          <w:rFonts w:ascii="Times New Roman" w:hAnsi="Times New Roman" w:cs="Times New Roman"/>
        </w:rPr>
        <w:t>中</w:t>
      </w:r>
      <w:r>
        <w:rPr>
          <w:rFonts w:hint="eastAsia" w:ascii="Times New Roman" w:hAnsi="Times New Roman" w:eastAsia="宋体" w:cs="Times New Roman"/>
          <w:szCs w:val="20"/>
        </w:rPr>
        <w:t>锑含</w:t>
      </w:r>
      <w:r>
        <w:rPr>
          <w:rFonts w:ascii="Times New Roman" w:hAnsi="Times New Roman" w:eastAsia="宋体" w:cs="Times New Roman"/>
          <w:szCs w:val="20"/>
        </w:rPr>
        <w:t>量</w:t>
      </w:r>
      <w:r>
        <w:rPr>
          <w:rFonts w:ascii="Times New Roman" w:hAnsi="Times New Roman" w:cs="Times New Roman"/>
        </w:rPr>
        <w:t>的测定方法。</w:t>
      </w:r>
    </w:p>
    <w:p>
      <w:pPr>
        <w:tabs>
          <w:tab w:val="left" w:pos="540"/>
        </w:tabs>
        <w:ind w:firstLine="420" w:firstLineChars="200"/>
        <w:rPr>
          <w:rFonts w:hint="eastAsia"/>
          <w:szCs w:val="21"/>
        </w:rPr>
      </w:pPr>
      <w:r>
        <w:t>本</w:t>
      </w:r>
      <w:r>
        <w:rPr>
          <w:rFonts w:hint="eastAsia"/>
          <w:lang w:eastAsia="zh-CN"/>
        </w:rPr>
        <w:t>文件</w:t>
      </w:r>
      <w:r>
        <w:t>适用于</w:t>
      </w:r>
      <w:r>
        <w:rPr>
          <w:rFonts w:hint="eastAsia"/>
        </w:rPr>
        <w:t>铜冶炼烟尘</w:t>
      </w:r>
      <w:r>
        <w:t>中</w:t>
      </w:r>
      <w:r>
        <w:rPr>
          <w:rFonts w:hint="eastAsia"/>
        </w:rPr>
        <w:t>锑含</w:t>
      </w:r>
      <w:r>
        <w:t>量的测定。</w:t>
      </w:r>
      <w:r>
        <w:rPr>
          <w:szCs w:val="21"/>
        </w:rPr>
        <w:t>测定范围</w:t>
      </w:r>
      <w:r>
        <w:rPr>
          <w:rFonts w:hint="eastAsia"/>
          <w:szCs w:val="21"/>
        </w:rPr>
        <w:t>：0.080</w:t>
      </w:r>
      <w:r>
        <w:rPr>
          <w:rFonts w:hint="eastAsia"/>
          <w:szCs w:val="21"/>
          <w:lang w:val="en-US" w:eastAsia="zh-CN"/>
        </w:rPr>
        <w:t xml:space="preserve"> </w:t>
      </w:r>
      <w:r>
        <w:rPr>
          <w:rFonts w:hint="eastAsia"/>
          <w:szCs w:val="21"/>
        </w:rPr>
        <w:t>%</w:t>
      </w:r>
      <w:r>
        <w:rPr>
          <w:rFonts w:hint="eastAsia"/>
          <w:szCs w:val="21"/>
          <w:lang w:val="en-US" w:eastAsia="zh-CN"/>
        </w:rPr>
        <w:t xml:space="preserve"> </w:t>
      </w:r>
      <w:r>
        <w:rPr>
          <w:rFonts w:hint="eastAsia"/>
          <w:szCs w:val="21"/>
        </w:rPr>
        <w:t>~</w:t>
      </w:r>
      <w:r>
        <w:rPr>
          <w:rFonts w:hint="eastAsia"/>
          <w:szCs w:val="21"/>
          <w:lang w:val="en-US" w:eastAsia="zh-CN"/>
        </w:rPr>
        <w:t xml:space="preserve"> </w:t>
      </w:r>
      <w:r>
        <w:rPr>
          <w:rFonts w:hint="eastAsia"/>
          <w:szCs w:val="21"/>
        </w:rPr>
        <w:t>7.00</w:t>
      </w:r>
      <w:r>
        <w:rPr>
          <w:rFonts w:hint="eastAsia"/>
          <w:szCs w:val="21"/>
          <w:lang w:val="en-US" w:eastAsia="zh-CN"/>
        </w:rPr>
        <w:t xml:space="preserve"> </w:t>
      </w:r>
      <w:r>
        <w:rPr>
          <w:rFonts w:hint="eastAsia"/>
          <w:szCs w:val="21"/>
        </w:rPr>
        <w:t>%。</w:t>
      </w:r>
    </w:p>
    <w:p>
      <w:pPr>
        <w:spacing w:line="360" w:lineRule="auto"/>
        <w:rPr>
          <w:rFonts w:hint="default" w:eastAsia="黑体"/>
          <w:szCs w:val="22"/>
          <w:lang w:val="en-US" w:eastAsia="zh-CN"/>
        </w:rPr>
      </w:pPr>
      <w:r>
        <w:rPr>
          <w:rFonts w:hint="eastAsia" w:eastAsia="黑体"/>
          <w:szCs w:val="22"/>
          <w:lang w:val="en-US" w:eastAsia="zh-CN"/>
        </w:rPr>
        <w:t>2 规范性引用文件</w:t>
      </w:r>
    </w:p>
    <w:p>
      <w:pPr>
        <w:tabs>
          <w:tab w:val="left" w:pos="540"/>
        </w:tabs>
        <w:ind w:firstLine="420"/>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本文件没有规范性引用文件。</w:t>
      </w:r>
    </w:p>
    <w:p>
      <w:pPr>
        <w:spacing w:line="360" w:lineRule="auto"/>
        <w:rPr>
          <w:rFonts w:hint="eastAsia" w:eastAsia="黑体"/>
          <w:szCs w:val="22"/>
          <w:lang w:val="en-US" w:eastAsia="zh-CN"/>
        </w:rPr>
      </w:pPr>
      <w:r>
        <w:rPr>
          <w:rFonts w:hint="eastAsia" w:eastAsia="黑体"/>
          <w:szCs w:val="22"/>
          <w:lang w:val="en-US" w:eastAsia="zh-CN"/>
        </w:rPr>
        <w:t>3 术语和定义</w:t>
      </w:r>
    </w:p>
    <w:p>
      <w:pPr>
        <w:spacing w:line="360" w:lineRule="auto"/>
        <w:ind w:firstLine="465"/>
        <w:jc w:val="left"/>
        <w:rPr>
          <w:rFonts w:hint="default" w:ascii="黑体" w:eastAsia="黑体"/>
          <w:szCs w:val="21"/>
          <w:lang w:val="en-US" w:eastAsia="zh-CN"/>
        </w:rPr>
      </w:pPr>
      <w:r>
        <w:rPr>
          <w:rFonts w:hint="eastAsia" w:ascii="宋体" w:hAnsi="宋体" w:cs="黑体"/>
          <w:bCs/>
          <w:szCs w:val="21"/>
        </w:rPr>
        <w:t>本文件没有需要界定的术语和定义。</w:t>
      </w:r>
    </w:p>
    <w:p>
      <w:pPr>
        <w:tabs>
          <w:tab w:val="left" w:pos="540"/>
        </w:tabs>
        <w:rPr>
          <w:rFonts w:eastAsia="黑体"/>
          <w:bCs/>
          <w:color w:val="000000"/>
          <w:szCs w:val="21"/>
        </w:rPr>
      </w:pPr>
      <w:r>
        <w:rPr>
          <w:rFonts w:hint="eastAsia" w:eastAsia="黑体"/>
          <w:bCs/>
          <w:color w:val="000000"/>
          <w:szCs w:val="21"/>
          <w:lang w:val="en-US" w:eastAsia="zh-CN"/>
        </w:rPr>
        <w:t>4</w:t>
      </w:r>
      <w:r>
        <w:rPr>
          <w:rFonts w:eastAsia="黑体"/>
          <w:bCs/>
          <w:color w:val="000000"/>
          <w:szCs w:val="21"/>
        </w:rPr>
        <w:t xml:space="preserve"> 方法提要</w:t>
      </w:r>
    </w:p>
    <w:p>
      <w:pPr>
        <w:ind w:firstLine="420"/>
        <w:rPr>
          <w:szCs w:val="21"/>
        </w:rPr>
      </w:pPr>
      <w:r>
        <w:rPr>
          <w:szCs w:val="21"/>
        </w:rPr>
        <w:t>试样</w:t>
      </w:r>
      <w:r>
        <w:rPr>
          <w:rFonts w:hint="eastAsia"/>
          <w:szCs w:val="21"/>
          <w:lang w:val="en-US" w:eastAsia="zh-CN"/>
        </w:rPr>
        <w:t>经氟化氢铵、</w:t>
      </w:r>
      <w:r>
        <w:rPr>
          <w:rFonts w:hint="eastAsia"/>
          <w:szCs w:val="21"/>
        </w:rPr>
        <w:t>盐酸</w:t>
      </w:r>
      <w:r>
        <w:rPr>
          <w:szCs w:val="21"/>
        </w:rPr>
        <w:t>、</w:t>
      </w:r>
      <w:r>
        <w:rPr>
          <w:rFonts w:hint="eastAsia"/>
          <w:szCs w:val="21"/>
        </w:rPr>
        <w:t>硝酸</w:t>
      </w:r>
      <w:r>
        <w:rPr>
          <w:szCs w:val="21"/>
        </w:rPr>
        <w:t>溶解</w:t>
      </w:r>
      <w:r>
        <w:rPr>
          <w:rFonts w:hint="eastAsia"/>
          <w:szCs w:val="21"/>
        </w:rPr>
        <w:t>，</w:t>
      </w:r>
      <w:r>
        <w:rPr>
          <w:rFonts w:hint="eastAsia"/>
        </w:rPr>
        <w:t xml:space="preserve">在10%盐酸介质中，使用空气-乙炔火焰，于原子吸收光谱仪波长217.6 </w:t>
      </w:r>
      <w:r>
        <w:t>nm</w:t>
      </w:r>
      <w:r>
        <w:rPr>
          <w:rFonts w:hint="eastAsia"/>
        </w:rPr>
        <w:t>处，测量锑的吸光度，用工作曲线法计算锑量</w:t>
      </w:r>
      <w:r>
        <w:rPr>
          <w:szCs w:val="21"/>
        </w:rPr>
        <w:t>。</w:t>
      </w:r>
    </w:p>
    <w:p>
      <w:pPr>
        <w:rPr>
          <w:rFonts w:eastAsia="黑体"/>
          <w:bCs/>
          <w:color w:val="000000"/>
          <w:szCs w:val="21"/>
        </w:rPr>
      </w:pPr>
      <w:r>
        <w:rPr>
          <w:rFonts w:hint="eastAsia" w:eastAsia="黑体"/>
          <w:bCs/>
          <w:color w:val="000000"/>
          <w:szCs w:val="21"/>
          <w:lang w:val="en-US" w:eastAsia="zh-CN"/>
        </w:rPr>
        <w:t>5</w:t>
      </w:r>
      <w:r>
        <w:rPr>
          <w:rFonts w:eastAsia="黑体"/>
          <w:bCs/>
          <w:color w:val="000000"/>
          <w:szCs w:val="21"/>
        </w:rPr>
        <w:t xml:space="preserve">  试剂</w:t>
      </w:r>
    </w:p>
    <w:p>
      <w:pPr>
        <w:ind w:firstLine="420" w:firstLineChars="200"/>
        <w:rPr>
          <w:szCs w:val="21"/>
        </w:rPr>
      </w:pPr>
      <w:r>
        <w:rPr>
          <w:rFonts w:hint="eastAsia"/>
          <w:kern w:val="0"/>
        </w:rPr>
        <w:t>除非另有说明，在分析中仅使用确认为分析纯的试剂和蒸馏水或去离子水或相当纯度的水。</w:t>
      </w:r>
    </w:p>
    <w:p>
      <w:r>
        <w:rPr>
          <w:rFonts w:hint="eastAsia"/>
          <w:lang w:val="en-US" w:eastAsia="zh-CN"/>
        </w:rPr>
        <w:t>5</w:t>
      </w:r>
      <w:r>
        <w:rPr>
          <w:rFonts w:hint="eastAsia"/>
        </w:rPr>
        <w:t>.1</w:t>
      </w:r>
      <w:r>
        <w:t xml:space="preserve"> </w:t>
      </w:r>
      <w:r>
        <w:rPr>
          <w:rFonts w:hint="eastAsia"/>
        </w:rPr>
        <w:t>氟化氢铵。</w:t>
      </w:r>
    </w:p>
    <w:p>
      <w:r>
        <w:rPr>
          <w:rFonts w:hint="eastAsia"/>
          <w:lang w:val="en-US" w:eastAsia="zh-CN"/>
        </w:rPr>
        <w:t>5</w:t>
      </w:r>
      <w:r>
        <w:rPr>
          <w:rFonts w:hint="eastAsia"/>
        </w:rPr>
        <w:t xml:space="preserve">.2 </w:t>
      </w:r>
      <w:r>
        <w:t>盐酸（ρ1.19g/mL）。</w:t>
      </w:r>
    </w:p>
    <w:p>
      <w:r>
        <w:rPr>
          <w:rFonts w:hint="eastAsia"/>
          <w:lang w:val="en-US" w:eastAsia="zh-CN"/>
        </w:rPr>
        <w:t>5</w:t>
      </w:r>
      <w:r>
        <w:t>.</w:t>
      </w:r>
      <w:r>
        <w:rPr>
          <w:rFonts w:hint="eastAsia"/>
        </w:rPr>
        <w:t xml:space="preserve">3 </w:t>
      </w:r>
      <w:r>
        <w:t>硝酸</w:t>
      </w:r>
      <w:r>
        <w:rPr>
          <w:rFonts w:hint="eastAsia"/>
        </w:rPr>
        <w:t>（</w:t>
      </w:r>
      <w:r>
        <w:t>ρ1.42g/mL</w:t>
      </w:r>
      <w:r>
        <w:rPr>
          <w:rFonts w:hint="eastAsia"/>
        </w:rPr>
        <w:t>）</w:t>
      </w:r>
      <w:r>
        <w:t>。</w:t>
      </w:r>
      <w:r>
        <w:tab/>
      </w:r>
    </w:p>
    <w:p>
      <w:r>
        <w:rPr>
          <w:rFonts w:hint="eastAsia"/>
          <w:lang w:val="en-US" w:eastAsia="zh-CN"/>
        </w:rPr>
        <w:t>5</w:t>
      </w:r>
      <w:r>
        <w:rPr>
          <w:rFonts w:hint="eastAsia"/>
        </w:rPr>
        <w:t>.4 硫酸</w:t>
      </w:r>
      <w:r>
        <w:t>（ρ1.</w:t>
      </w:r>
      <w:r>
        <w:rPr>
          <w:rFonts w:hint="eastAsia"/>
        </w:rPr>
        <w:t>84</w:t>
      </w:r>
      <w:r>
        <w:t>g/mL）。</w:t>
      </w:r>
    </w:p>
    <w:p>
      <w:r>
        <w:rPr>
          <w:rFonts w:hint="eastAsia"/>
          <w:lang w:val="en-US" w:eastAsia="zh-CN"/>
        </w:rPr>
        <w:t>5</w:t>
      </w:r>
      <w:r>
        <w:rPr>
          <w:rFonts w:hint="eastAsia"/>
        </w:rPr>
        <w:t>.5 溴。</w:t>
      </w:r>
    </w:p>
    <w:p>
      <w:r>
        <w:rPr>
          <w:rFonts w:hint="eastAsia"/>
          <w:lang w:val="en-US" w:eastAsia="zh-CN"/>
        </w:rPr>
        <w:t>5</w:t>
      </w:r>
      <w:r>
        <w:rPr>
          <w:rFonts w:hint="eastAsia"/>
        </w:rPr>
        <w:t>.6 盐酸（1+9）。</w:t>
      </w:r>
    </w:p>
    <w:p>
      <w:r>
        <w:rPr>
          <w:rFonts w:hint="eastAsia"/>
          <w:lang w:val="en-US" w:eastAsia="zh-CN"/>
        </w:rPr>
        <w:t>5</w:t>
      </w:r>
      <w:r>
        <w:rPr>
          <w:rFonts w:hint="eastAsia"/>
        </w:rPr>
        <w:t>.7 氟化氢铵饱和溶液（贮存于聚乙烯瓶中）。</w:t>
      </w:r>
    </w:p>
    <w:p>
      <w:pPr>
        <w:snapToGrid w:val="0"/>
      </w:pPr>
      <w:r>
        <w:rPr>
          <w:rFonts w:hint="eastAsia"/>
          <w:lang w:val="en-US" w:eastAsia="zh-CN"/>
        </w:rPr>
        <w:t>5</w:t>
      </w:r>
      <w:r>
        <w:rPr>
          <w:rFonts w:hint="eastAsia"/>
        </w:rPr>
        <w:t>.8 锑</w:t>
      </w:r>
      <w:r>
        <w:t>标准</w:t>
      </w:r>
      <w:r>
        <w:rPr>
          <w:rFonts w:hint="eastAsia"/>
        </w:rPr>
        <w:t>贮存</w:t>
      </w:r>
      <w:r>
        <w:t>溶液：</w:t>
      </w:r>
      <w:r>
        <w:rPr>
          <w:rFonts w:hint="eastAsia"/>
        </w:rPr>
        <w:t>准确</w:t>
      </w:r>
      <w:r>
        <w:t>称取1.0000g金属</w:t>
      </w:r>
      <w:r>
        <w:rPr>
          <w:rFonts w:hint="eastAsia"/>
        </w:rPr>
        <w:t>锑</w:t>
      </w:r>
      <w:r>
        <w:t>（</w:t>
      </w:r>
      <w:r>
        <w:rPr>
          <w:rFonts w:hint="eastAsia"/>
          <w:i/>
          <w:sz w:val="24"/>
          <w:szCs w:val="24"/>
        </w:rPr>
        <w:t>w</w:t>
      </w:r>
      <w:r>
        <w:rPr>
          <w:rFonts w:hint="eastAsia"/>
          <w:i/>
          <w:vertAlign w:val="subscript"/>
        </w:rPr>
        <w:t xml:space="preserve">Sb </w:t>
      </w:r>
      <w:r>
        <w:t>≥99.995％）置于</w:t>
      </w:r>
      <w:r>
        <w:rPr>
          <w:rFonts w:hint="eastAsia"/>
        </w:rPr>
        <w:t>25</w:t>
      </w:r>
      <w:r>
        <w:t>0</w:t>
      </w:r>
      <w:r>
        <w:rPr>
          <w:rFonts w:hint="eastAsia"/>
        </w:rPr>
        <w:t xml:space="preserve"> </w:t>
      </w:r>
      <w:r>
        <w:t>mL烧杯中，加入20</w:t>
      </w:r>
      <w:r>
        <w:rPr>
          <w:rFonts w:hint="eastAsia"/>
        </w:rPr>
        <w:t xml:space="preserve"> </w:t>
      </w:r>
      <w:r>
        <w:t>mL</w:t>
      </w:r>
      <w:r>
        <w:rPr>
          <w:rFonts w:hint="eastAsia"/>
        </w:rPr>
        <w:t>盐酸</w:t>
      </w:r>
      <w:r>
        <w:t>（</w:t>
      </w:r>
      <w:r>
        <w:rPr>
          <w:rFonts w:hint="eastAsia"/>
          <w:lang w:val="en-US" w:eastAsia="zh-CN"/>
        </w:rPr>
        <w:t>5</w:t>
      </w:r>
      <w:r>
        <w:rPr>
          <w:rFonts w:hint="eastAsia"/>
        </w:rPr>
        <w:t>.2</w:t>
      </w:r>
      <w:r>
        <w:t>）</w:t>
      </w:r>
      <w:r>
        <w:rPr>
          <w:rFonts w:hint="eastAsia"/>
        </w:rPr>
        <w:t>，盖上表皿，加热至完全溶解，冷至室温。</w:t>
      </w:r>
      <w:r>
        <w:t>移入1000</w:t>
      </w:r>
      <w:r>
        <w:rPr>
          <w:rFonts w:hint="eastAsia"/>
        </w:rPr>
        <w:t xml:space="preserve"> </w:t>
      </w:r>
      <w:r>
        <w:t>mL容量瓶中，</w:t>
      </w:r>
      <w:r>
        <w:rPr>
          <w:rFonts w:hint="eastAsia"/>
        </w:rPr>
        <w:t>用水稀释至刻度，混匀。</w:t>
      </w:r>
      <w:r>
        <w:t>此溶液1mL含1mg</w:t>
      </w:r>
      <w:r>
        <w:rPr>
          <w:rFonts w:hint="eastAsia"/>
        </w:rPr>
        <w:t>锑</w:t>
      </w:r>
      <w:r>
        <w:t>。</w:t>
      </w:r>
    </w:p>
    <w:p>
      <w:r>
        <w:rPr>
          <w:rFonts w:hint="eastAsia"/>
          <w:lang w:val="en-US" w:eastAsia="zh-CN"/>
        </w:rPr>
        <w:t>5</w:t>
      </w:r>
      <w:r>
        <w:rPr>
          <w:rFonts w:hint="eastAsia"/>
        </w:rPr>
        <w:t>.9</w:t>
      </w:r>
      <w:r>
        <w:t xml:space="preserve"> </w:t>
      </w:r>
      <w:r>
        <w:rPr>
          <w:rFonts w:hint="eastAsia"/>
        </w:rPr>
        <w:t>锑</w:t>
      </w:r>
      <w:r>
        <w:t>标准溶液：移取</w:t>
      </w:r>
      <w:r>
        <w:rPr>
          <w:rFonts w:hint="eastAsia"/>
        </w:rPr>
        <w:t>50</w:t>
      </w:r>
      <w:r>
        <w:t>.00mL</w:t>
      </w:r>
      <w:r>
        <w:rPr>
          <w:rFonts w:hint="eastAsia"/>
        </w:rPr>
        <w:t>锑</w:t>
      </w:r>
      <w:r>
        <w:t>标准</w:t>
      </w:r>
      <w:r>
        <w:rPr>
          <w:rFonts w:hint="eastAsia"/>
        </w:rPr>
        <w:t>贮存</w:t>
      </w:r>
      <w:r>
        <w:t>溶液</w:t>
      </w:r>
      <w:r>
        <w:rPr>
          <w:rFonts w:hint="eastAsia"/>
        </w:rPr>
        <w:t>（</w:t>
      </w:r>
      <w:r>
        <w:rPr>
          <w:rFonts w:hint="eastAsia"/>
          <w:lang w:val="en-US" w:eastAsia="zh-CN"/>
        </w:rPr>
        <w:t>5</w:t>
      </w:r>
      <w:r>
        <w:rPr>
          <w:rFonts w:hint="eastAsia"/>
        </w:rPr>
        <w:t>.8）</w:t>
      </w:r>
      <w:r>
        <w:t>于</w:t>
      </w:r>
      <w:r>
        <w:rPr>
          <w:rFonts w:hint="eastAsia"/>
        </w:rPr>
        <w:t>25</w:t>
      </w:r>
      <w:r>
        <w:t>0</w:t>
      </w:r>
      <w:r>
        <w:rPr>
          <w:rFonts w:hint="eastAsia"/>
        </w:rPr>
        <w:t xml:space="preserve"> </w:t>
      </w:r>
      <w:r>
        <w:t>mL容量瓶中，加入</w:t>
      </w:r>
      <w:r>
        <w:rPr>
          <w:rFonts w:hint="eastAsia"/>
        </w:rPr>
        <w:t>25 mL</w:t>
      </w:r>
      <w:r>
        <w:t>盐酸（</w:t>
      </w:r>
      <w:r>
        <w:rPr>
          <w:rFonts w:hint="eastAsia"/>
          <w:lang w:val="en-US" w:eastAsia="zh-CN"/>
        </w:rPr>
        <w:t>5</w:t>
      </w:r>
      <w:r>
        <w:rPr>
          <w:rFonts w:hint="eastAsia"/>
        </w:rPr>
        <w:t>.2</w:t>
      </w:r>
      <w:r>
        <w:t>）</w:t>
      </w:r>
      <w:r>
        <w:rPr>
          <w:rFonts w:hint="eastAsia"/>
        </w:rPr>
        <w:t>，用水稀释至刻度，混匀。</w:t>
      </w:r>
      <w:r>
        <w:t>此溶液1</w:t>
      </w:r>
      <w:r>
        <w:rPr>
          <w:rFonts w:hint="eastAsia"/>
        </w:rPr>
        <w:t xml:space="preserve"> </w:t>
      </w:r>
      <w:r>
        <w:t>mL含</w:t>
      </w:r>
      <w:r>
        <w:rPr>
          <w:rFonts w:hint="eastAsia"/>
        </w:rPr>
        <w:t xml:space="preserve">200 </w:t>
      </w:r>
      <w:r>
        <w:t>μg</w:t>
      </w:r>
      <w:r>
        <w:rPr>
          <w:rFonts w:hint="eastAsia"/>
        </w:rPr>
        <w:t>锑</w:t>
      </w:r>
      <w:r>
        <w:t>。</w:t>
      </w:r>
    </w:p>
    <w:p>
      <w:pPr>
        <w:spacing w:line="360" w:lineRule="auto"/>
        <w:rPr>
          <w:rFonts w:eastAsia="黑体"/>
          <w:bCs/>
        </w:rPr>
      </w:pPr>
      <w:r>
        <w:rPr>
          <w:rFonts w:hint="eastAsia" w:eastAsia="黑体"/>
          <w:bCs/>
          <w:lang w:val="en-US" w:eastAsia="zh-CN"/>
        </w:rPr>
        <w:t>6</w:t>
      </w:r>
      <w:r>
        <w:rPr>
          <w:rFonts w:eastAsia="黑体"/>
          <w:bCs/>
        </w:rPr>
        <w:t xml:space="preserve"> 仪器</w:t>
      </w:r>
    </w:p>
    <w:p>
      <w:pPr>
        <w:snapToGrid w:val="0"/>
        <w:ind w:firstLine="555" w:firstLineChars="250"/>
        <w:rPr>
          <w:rFonts w:eastAsiaTheme="minorEastAsia"/>
          <w:spacing w:val="6"/>
        </w:rPr>
      </w:pPr>
      <w:r>
        <w:rPr>
          <w:rFonts w:eastAsiaTheme="minorEastAsia"/>
          <w:spacing w:val="6"/>
        </w:rPr>
        <w:t>原子吸收光谱仪，附</w:t>
      </w:r>
      <w:r>
        <w:rPr>
          <w:rFonts w:hint="eastAsia" w:eastAsiaTheme="minorEastAsia"/>
          <w:spacing w:val="6"/>
        </w:rPr>
        <w:t>锑</w:t>
      </w:r>
      <w:r>
        <w:rPr>
          <w:rFonts w:eastAsiaTheme="minorEastAsia"/>
          <w:spacing w:val="6"/>
        </w:rPr>
        <w:t>空心阴极灯。</w:t>
      </w:r>
    </w:p>
    <w:p>
      <w:pPr>
        <w:snapToGrid w:val="0"/>
        <w:ind w:firstLine="555" w:firstLineChars="250"/>
        <w:rPr>
          <w:rFonts w:eastAsiaTheme="minorEastAsia"/>
          <w:spacing w:val="6"/>
        </w:rPr>
      </w:pPr>
      <w:r>
        <w:rPr>
          <w:rFonts w:eastAsiaTheme="minorEastAsia"/>
          <w:spacing w:val="6"/>
        </w:rPr>
        <w:t>在仪器最佳工作条件下，凡能达到下列指标者均可使用：</w:t>
      </w:r>
    </w:p>
    <w:p>
      <w:pPr>
        <w:snapToGrid w:val="0"/>
        <w:ind w:firstLine="525" w:firstLineChars="250"/>
        <w:rPr>
          <w:rFonts w:eastAsiaTheme="minorEastAsia"/>
          <w:spacing w:val="6"/>
        </w:rPr>
      </w:pPr>
      <w:r>
        <w:rPr>
          <w:rFonts w:hint="eastAsia" w:eastAsiaTheme="minorEastAsia"/>
        </w:rPr>
        <w:t>——</w:t>
      </w:r>
      <w:r>
        <w:rPr>
          <w:rFonts w:hint="eastAsia" w:hAnsi="宋体"/>
        </w:rPr>
        <w:t>特征浓度：在与测量溶液的基体相一致的溶液中，锑的特征浓度应不大于</w:t>
      </w:r>
      <w:r>
        <w:rPr>
          <w:rFonts w:eastAsiaTheme="minorEastAsia"/>
          <w:spacing w:val="6"/>
        </w:rPr>
        <w:t>0.</w:t>
      </w:r>
      <w:r>
        <w:rPr>
          <w:rFonts w:hint="eastAsia" w:eastAsiaTheme="minorEastAsia"/>
          <w:spacing w:val="6"/>
        </w:rPr>
        <w:t>268</w:t>
      </w:r>
      <w:r>
        <w:rPr>
          <w:rFonts w:eastAsiaTheme="minorEastAsia"/>
          <w:spacing w:val="6"/>
        </w:rPr>
        <w:t>μg/mL；</w:t>
      </w:r>
    </w:p>
    <w:p>
      <w:pPr>
        <w:snapToGrid w:val="0"/>
        <w:ind w:firstLine="525" w:firstLineChars="250"/>
        <w:rPr>
          <w:rFonts w:eastAsiaTheme="minorEastAsia"/>
          <w:spacing w:val="6"/>
        </w:rPr>
      </w:pPr>
      <w:r>
        <w:rPr>
          <w:rFonts w:hint="eastAsia" w:eastAsiaTheme="minorEastAsia"/>
        </w:rPr>
        <w:t>——</w:t>
      </w:r>
      <w:r>
        <w:rPr>
          <w:rFonts w:eastAsiaTheme="minorEastAsia"/>
          <w:spacing w:val="6"/>
        </w:rPr>
        <w:t>精密度：用最高浓度的标准溶液测量1</w:t>
      </w:r>
      <w:r>
        <w:rPr>
          <w:rFonts w:hint="eastAsia" w:eastAsiaTheme="minorEastAsia"/>
          <w:spacing w:val="6"/>
        </w:rPr>
        <w:t>0</w:t>
      </w:r>
      <w:r>
        <w:rPr>
          <w:rFonts w:eastAsiaTheme="minorEastAsia"/>
          <w:spacing w:val="6"/>
        </w:rPr>
        <w:t>次吸光度，其标准偏差应不超过平均吸光度的1.0%；</w:t>
      </w:r>
      <w:r>
        <w:rPr>
          <w:rFonts w:hint="eastAsia" w:eastAsiaTheme="minorEastAsia"/>
          <w:spacing w:val="6"/>
        </w:rPr>
        <w:t>用</w:t>
      </w:r>
      <w:r>
        <w:rPr>
          <w:rFonts w:eastAsiaTheme="minorEastAsia"/>
          <w:spacing w:val="6"/>
        </w:rPr>
        <w:t>最低浓度的标准溶液（不是</w:t>
      </w:r>
      <w:r>
        <w:rPr>
          <w:rFonts w:hint="eastAsia" w:eastAsiaTheme="minorEastAsia"/>
          <w:spacing w:val="6"/>
        </w:rPr>
        <w:t>“</w:t>
      </w:r>
      <w:r>
        <w:rPr>
          <w:rFonts w:eastAsiaTheme="minorEastAsia"/>
          <w:spacing w:val="6"/>
        </w:rPr>
        <w:t>零</w:t>
      </w:r>
      <w:r>
        <w:rPr>
          <w:rFonts w:hint="eastAsia" w:eastAsiaTheme="minorEastAsia"/>
          <w:spacing w:val="6"/>
        </w:rPr>
        <w:t>”</w:t>
      </w:r>
      <w:r>
        <w:rPr>
          <w:rFonts w:eastAsiaTheme="minorEastAsia"/>
          <w:spacing w:val="6"/>
        </w:rPr>
        <w:t>浓度标准溶液）测量</w:t>
      </w:r>
      <w:r>
        <w:rPr>
          <w:rFonts w:hint="eastAsia" w:eastAsiaTheme="minorEastAsia"/>
          <w:spacing w:val="6"/>
        </w:rPr>
        <w:t>10</w:t>
      </w:r>
      <w:r>
        <w:rPr>
          <w:rFonts w:eastAsiaTheme="minorEastAsia"/>
          <w:spacing w:val="6"/>
        </w:rPr>
        <w:t>次吸光度，其标准偏差应不超过最高浓度标准溶液平均吸光度的0.5%；</w:t>
      </w:r>
    </w:p>
    <w:p>
      <w:pPr>
        <w:snapToGrid w:val="0"/>
        <w:ind w:firstLine="525" w:firstLineChars="250"/>
        <w:rPr>
          <w:spacing w:val="6"/>
        </w:rPr>
      </w:pPr>
      <w:r>
        <w:rPr>
          <w:rFonts w:hint="eastAsia" w:eastAsiaTheme="minorEastAsia"/>
        </w:rPr>
        <w:t>——</w:t>
      </w:r>
      <w:r>
        <w:rPr>
          <w:rFonts w:eastAsiaTheme="minorEastAsia"/>
          <w:spacing w:val="6"/>
        </w:rPr>
        <w:t>工作曲线线性：将工作曲线按浓度</w:t>
      </w:r>
      <w:r>
        <w:rPr>
          <w:rFonts w:hint="eastAsia" w:eastAsiaTheme="minorEastAsia"/>
          <w:spacing w:val="6"/>
        </w:rPr>
        <w:t>等</w:t>
      </w:r>
      <w:r>
        <w:rPr>
          <w:rFonts w:eastAsiaTheme="minorEastAsia"/>
          <w:spacing w:val="6"/>
        </w:rPr>
        <w:t>分成五段，最高段的吸光度差值与最低段的吸光度差值之比</w:t>
      </w:r>
      <w:r>
        <w:rPr>
          <w:rFonts w:hint="eastAsia" w:eastAsiaTheme="minorEastAsia"/>
          <w:spacing w:val="6"/>
        </w:rPr>
        <w:t>，</w:t>
      </w:r>
      <w:r>
        <w:rPr>
          <w:rFonts w:eastAsiaTheme="minorEastAsia"/>
          <w:spacing w:val="6"/>
        </w:rPr>
        <w:t>应不小于0.</w:t>
      </w:r>
      <w:r>
        <w:rPr>
          <w:rFonts w:hint="eastAsia" w:eastAsiaTheme="minorEastAsia"/>
          <w:spacing w:val="6"/>
        </w:rPr>
        <w:t>8</w:t>
      </w:r>
      <w:r>
        <w:rPr>
          <w:rFonts w:eastAsiaTheme="minorEastAsia"/>
          <w:spacing w:val="6"/>
        </w:rPr>
        <w:t>。</w:t>
      </w:r>
    </w:p>
    <w:p>
      <w:pPr>
        <w:spacing w:line="360" w:lineRule="auto"/>
        <w:rPr>
          <w:rFonts w:eastAsia="黑体"/>
          <w:bCs/>
        </w:rPr>
      </w:pPr>
      <w:r>
        <w:rPr>
          <w:rFonts w:hint="eastAsia" w:eastAsia="黑体"/>
          <w:bCs/>
          <w:lang w:val="en-US" w:eastAsia="zh-CN"/>
        </w:rPr>
        <w:t>7</w:t>
      </w:r>
      <w:r>
        <w:rPr>
          <w:rFonts w:hint="eastAsia" w:eastAsia="黑体"/>
          <w:bCs/>
        </w:rPr>
        <w:t xml:space="preserve"> </w:t>
      </w:r>
      <w:r>
        <w:rPr>
          <w:rFonts w:eastAsia="黑体"/>
          <w:bCs/>
        </w:rPr>
        <w:t>试样</w:t>
      </w:r>
    </w:p>
    <w:p>
      <w:pPr>
        <w:snapToGrid w:val="0"/>
        <w:rPr>
          <w:rFonts w:eastAsiaTheme="minorEastAsia"/>
          <w:spacing w:val="6"/>
        </w:rPr>
      </w:pPr>
      <w:r>
        <w:rPr>
          <w:rFonts w:hint="eastAsia" w:eastAsiaTheme="minorEastAsia"/>
          <w:spacing w:val="6"/>
          <w:lang w:val="en-US" w:eastAsia="zh-CN"/>
        </w:rPr>
        <w:t>7</w:t>
      </w:r>
      <w:r>
        <w:rPr>
          <w:rFonts w:eastAsiaTheme="minorEastAsia"/>
          <w:spacing w:val="6"/>
        </w:rPr>
        <w:t xml:space="preserve">.1 </w:t>
      </w:r>
      <w:r>
        <w:rPr>
          <w:rFonts w:hint="eastAsia" w:eastAsiaTheme="minorEastAsia"/>
          <w:spacing w:val="6"/>
        </w:rPr>
        <w:t>试样的粒度应不大于</w:t>
      </w:r>
      <w:r>
        <w:rPr>
          <w:rFonts w:hint="eastAsia" w:eastAsiaTheme="minorEastAsia"/>
          <w:spacing w:val="6"/>
          <w:lang w:val="en-US" w:eastAsia="zh-CN"/>
        </w:rPr>
        <w:t>100 u</w:t>
      </w:r>
      <w:r>
        <w:rPr>
          <w:rFonts w:eastAsiaTheme="minorEastAsia"/>
          <w:spacing w:val="6"/>
        </w:rPr>
        <w:t>m</w:t>
      </w:r>
      <w:r>
        <w:rPr>
          <w:rFonts w:hint="eastAsia" w:eastAsiaTheme="minorEastAsia"/>
          <w:spacing w:val="6"/>
        </w:rPr>
        <w:t>。</w:t>
      </w:r>
    </w:p>
    <w:p>
      <w:pPr>
        <w:snapToGrid w:val="0"/>
        <w:rPr>
          <w:rFonts w:eastAsiaTheme="minorEastAsia"/>
          <w:spacing w:val="6"/>
        </w:rPr>
      </w:pPr>
      <w:r>
        <w:rPr>
          <w:rFonts w:hint="eastAsia" w:eastAsiaTheme="minorEastAsia"/>
          <w:spacing w:val="6"/>
          <w:lang w:val="en-US" w:eastAsia="zh-CN"/>
        </w:rPr>
        <w:t>7</w:t>
      </w:r>
      <w:r>
        <w:rPr>
          <w:rFonts w:eastAsiaTheme="minorEastAsia"/>
          <w:spacing w:val="6"/>
        </w:rPr>
        <w:t xml:space="preserve">.2 </w:t>
      </w:r>
      <w:r>
        <w:rPr>
          <w:rFonts w:hint="eastAsia" w:eastAsiaTheme="minorEastAsia"/>
          <w:spacing w:val="6"/>
        </w:rPr>
        <w:t>试</w:t>
      </w:r>
      <w:r>
        <w:rPr>
          <w:rFonts w:eastAsiaTheme="minorEastAsia"/>
          <w:spacing w:val="6"/>
        </w:rPr>
        <w:t>样应在105 ℃±5 ℃烘干2 h，</w:t>
      </w:r>
      <w:r>
        <w:rPr>
          <w:rFonts w:hint="eastAsia" w:eastAsiaTheme="minorEastAsia"/>
          <w:spacing w:val="6"/>
        </w:rPr>
        <w:t>并</w:t>
      </w:r>
      <w:r>
        <w:rPr>
          <w:rFonts w:eastAsiaTheme="minorEastAsia"/>
          <w:spacing w:val="6"/>
        </w:rPr>
        <w:t>置于干燥器中冷至室温备用。</w:t>
      </w:r>
    </w:p>
    <w:p>
      <w:pPr>
        <w:autoSpaceDE w:val="0"/>
        <w:autoSpaceDN w:val="0"/>
        <w:adjustRightInd w:val="0"/>
        <w:spacing w:line="360" w:lineRule="auto"/>
        <w:rPr>
          <w:rFonts w:ascii="黑体" w:hAnsi="黑体" w:eastAsia="黑体"/>
          <w:kern w:val="0"/>
        </w:rPr>
      </w:pPr>
      <w:r>
        <w:rPr>
          <w:rFonts w:hint="eastAsia" w:ascii="黑体" w:hAnsi="黑体" w:eastAsia="黑体"/>
          <w:kern w:val="0"/>
          <w:lang w:val="en-US" w:eastAsia="zh-CN"/>
        </w:rPr>
        <w:t>8</w:t>
      </w:r>
      <w:r>
        <w:rPr>
          <w:rFonts w:hint="eastAsia" w:ascii="黑体" w:hAnsi="黑体" w:eastAsia="黑体"/>
          <w:kern w:val="0"/>
        </w:rPr>
        <w:t xml:space="preserve">  试验</w:t>
      </w:r>
      <w:r>
        <w:rPr>
          <w:rFonts w:ascii="黑体" w:hAnsi="黑体" w:eastAsia="黑体"/>
          <w:kern w:val="0"/>
        </w:rPr>
        <w:t>步骤</w:t>
      </w:r>
    </w:p>
    <w:p>
      <w:pPr>
        <w:rPr>
          <w:rFonts w:eastAsia="黑体"/>
          <w:bCs/>
          <w:szCs w:val="21"/>
        </w:rPr>
      </w:pPr>
      <w:r>
        <w:rPr>
          <w:rFonts w:hint="eastAsia" w:eastAsia="黑体"/>
          <w:bCs/>
          <w:szCs w:val="21"/>
          <w:lang w:val="en-US" w:eastAsia="zh-CN"/>
        </w:rPr>
        <w:t>8</w:t>
      </w:r>
      <w:r>
        <w:rPr>
          <w:rFonts w:eastAsia="黑体"/>
          <w:bCs/>
          <w:szCs w:val="21"/>
        </w:rPr>
        <w:t>.1  试料</w:t>
      </w:r>
    </w:p>
    <w:p>
      <w:pPr>
        <w:ind w:firstLine="420" w:firstLineChars="200"/>
        <w:rPr>
          <w:rFonts w:eastAsiaTheme="minorEastAsia"/>
          <w:bCs/>
          <w:szCs w:val="21"/>
        </w:rPr>
      </w:pPr>
      <w:r>
        <w:rPr>
          <w:rFonts w:hint="eastAsia" w:hAnsiTheme="minorEastAsia" w:eastAsiaTheme="minorEastAsia"/>
        </w:rPr>
        <w:t>按表1</w:t>
      </w:r>
      <w:r>
        <w:rPr>
          <w:rFonts w:hAnsiTheme="minorEastAsia" w:eastAsiaTheme="minorEastAsia"/>
        </w:rPr>
        <w:t>称取试样，精确至</w:t>
      </w:r>
      <w:r>
        <w:rPr>
          <w:rFonts w:eastAsiaTheme="minorEastAsia"/>
        </w:rPr>
        <w:t>0.0001g</w:t>
      </w:r>
      <w:r>
        <w:rPr>
          <w:rFonts w:hAnsiTheme="minorEastAsia" w:eastAsiaTheme="minorEastAsia"/>
        </w:rPr>
        <w:t>。</w:t>
      </w:r>
    </w:p>
    <w:p>
      <w:pPr>
        <w:autoSpaceDE w:val="0"/>
        <w:autoSpaceDN w:val="0"/>
        <w:adjustRightInd w:val="0"/>
        <w:spacing w:line="360" w:lineRule="auto"/>
        <w:rPr>
          <w:rFonts w:ascii="黑体" w:hAnsi="黑体" w:eastAsia="黑体"/>
          <w:kern w:val="0"/>
        </w:rPr>
      </w:pPr>
      <w:r>
        <w:rPr>
          <w:rFonts w:hint="eastAsia" w:eastAsia="黑体"/>
          <w:bCs/>
          <w:szCs w:val="21"/>
          <w:lang w:val="en-US" w:eastAsia="zh-CN"/>
        </w:rPr>
        <w:t>8</w:t>
      </w:r>
      <w:r>
        <w:rPr>
          <w:rFonts w:eastAsia="黑体"/>
          <w:bCs/>
          <w:szCs w:val="21"/>
        </w:rPr>
        <w:t xml:space="preserve">.2  </w:t>
      </w:r>
      <w:r>
        <w:rPr>
          <w:rFonts w:hint="eastAsia" w:ascii="黑体" w:hAnsi="黑体" w:eastAsia="黑体"/>
          <w:kern w:val="0"/>
        </w:rPr>
        <w:t>平行试验</w:t>
      </w:r>
    </w:p>
    <w:p>
      <w:pPr>
        <w:autoSpaceDE w:val="0"/>
        <w:autoSpaceDN w:val="0"/>
        <w:adjustRightInd w:val="0"/>
        <w:ind w:right="156" w:firstLine="420" w:firstLineChars="200"/>
        <w:rPr>
          <w:rFonts w:ascii="黑体" w:hAnsi="黑体" w:eastAsia="黑体" w:cs="黑体"/>
          <w:kern w:val="0"/>
        </w:rPr>
      </w:pPr>
      <w:r>
        <w:rPr>
          <w:rFonts w:hint="eastAsia"/>
          <w:kern w:val="0"/>
        </w:rPr>
        <w:t>平行做两份试验。</w:t>
      </w:r>
    </w:p>
    <w:p>
      <w:pPr>
        <w:autoSpaceDE w:val="0"/>
        <w:autoSpaceDN w:val="0"/>
        <w:adjustRightInd w:val="0"/>
        <w:spacing w:line="360" w:lineRule="auto"/>
        <w:rPr>
          <w:rFonts w:eastAsia="黑体"/>
          <w:bCs/>
          <w:szCs w:val="21"/>
        </w:rPr>
      </w:pPr>
      <w:r>
        <w:rPr>
          <w:rFonts w:hint="eastAsia" w:eastAsia="黑体"/>
          <w:bCs/>
          <w:szCs w:val="21"/>
          <w:lang w:val="en-US" w:eastAsia="zh-CN"/>
        </w:rPr>
        <w:t>8</w:t>
      </w:r>
      <w:r>
        <w:rPr>
          <w:rFonts w:eastAsia="黑体"/>
          <w:bCs/>
          <w:szCs w:val="21"/>
        </w:rPr>
        <w:t>.3  空白试验</w:t>
      </w:r>
    </w:p>
    <w:p>
      <w:pPr>
        <w:pStyle w:val="8"/>
        <w:ind w:firstLine="420" w:firstLineChars="200"/>
        <w:rPr>
          <w:rFonts w:ascii="Times New Roman" w:hAnsi="Times New Roman" w:cs="Times New Roman"/>
          <w:color w:val="000000"/>
        </w:rPr>
      </w:pPr>
      <w:r>
        <w:t>随同试料做空白试验。</w:t>
      </w:r>
    </w:p>
    <w:p>
      <w:pPr>
        <w:spacing w:line="360" w:lineRule="auto"/>
        <w:rPr>
          <w:rFonts w:eastAsia="黑体"/>
          <w:bCs/>
          <w:color w:val="000000"/>
          <w:szCs w:val="21"/>
        </w:rPr>
      </w:pPr>
      <w:r>
        <w:rPr>
          <w:rFonts w:hint="eastAsia" w:eastAsia="黑体"/>
          <w:bCs/>
          <w:color w:val="000000"/>
          <w:szCs w:val="21"/>
          <w:lang w:val="en-US" w:eastAsia="zh-CN"/>
        </w:rPr>
        <w:t>8</w:t>
      </w:r>
      <w:r>
        <w:rPr>
          <w:rFonts w:eastAsia="黑体"/>
          <w:bCs/>
          <w:color w:val="000000"/>
          <w:szCs w:val="21"/>
        </w:rPr>
        <w:t>.4  测定</w:t>
      </w:r>
    </w:p>
    <w:p>
      <w:pPr>
        <w:tabs>
          <w:tab w:val="left" w:pos="840"/>
        </w:tabs>
        <w:snapToGrid w:val="0"/>
        <w:spacing w:before="50" w:after="50" w:line="240" w:lineRule="auto"/>
      </w:pPr>
      <w:r>
        <w:rPr>
          <w:rFonts w:hint="eastAsia" w:eastAsia="黑体"/>
          <w:spacing w:val="6"/>
          <w:lang w:val="en-US" w:eastAsia="zh-CN"/>
        </w:rPr>
        <w:t>8</w:t>
      </w:r>
      <w:r>
        <w:rPr>
          <w:rFonts w:eastAsia="黑体"/>
          <w:spacing w:val="6"/>
        </w:rPr>
        <w:t>.4.1</w:t>
      </w:r>
      <w:r>
        <w:rPr>
          <w:rFonts w:hint="eastAsia"/>
        </w:rPr>
        <w:t>将试料（</w:t>
      </w:r>
      <w:r>
        <w:rPr>
          <w:rFonts w:hint="eastAsia"/>
          <w:lang w:val="en-US" w:eastAsia="zh-CN"/>
        </w:rPr>
        <w:t>8.1</w:t>
      </w:r>
      <w:r>
        <w:rPr>
          <w:rFonts w:hint="eastAsia"/>
        </w:rPr>
        <w:t>）</w:t>
      </w:r>
      <w:r>
        <w:t>置于</w:t>
      </w:r>
      <w:r>
        <w:rPr>
          <w:rFonts w:hint="eastAsia"/>
        </w:rPr>
        <w:t>150</w:t>
      </w:r>
      <w:r>
        <w:rPr>
          <w:rFonts w:hint="eastAsia"/>
          <w:lang w:val="en-US" w:eastAsia="zh-CN"/>
        </w:rPr>
        <w:t xml:space="preserve"> </w:t>
      </w:r>
      <w:r>
        <w:t>mL烧杯中，</w:t>
      </w:r>
      <w:r>
        <w:rPr>
          <w:rFonts w:hint="eastAsia"/>
        </w:rPr>
        <w:t>用少量水润湿，</w:t>
      </w:r>
      <w:r>
        <w:t>加入</w:t>
      </w:r>
      <w:r>
        <w:rPr>
          <w:rFonts w:hint="eastAsia"/>
        </w:rPr>
        <w:t xml:space="preserve">2 </w:t>
      </w:r>
      <w:r>
        <w:t>mL</w:t>
      </w:r>
      <w:r>
        <w:rPr>
          <w:rFonts w:hint="eastAsia"/>
        </w:rPr>
        <w:t>氟化氢铵饱和溶液（</w:t>
      </w:r>
      <w:r>
        <w:rPr>
          <w:rFonts w:hint="eastAsia"/>
          <w:lang w:val="en-US" w:eastAsia="zh-CN"/>
        </w:rPr>
        <w:t>5</w:t>
      </w:r>
      <w:r>
        <w:rPr>
          <w:rFonts w:hint="eastAsia"/>
        </w:rPr>
        <w:t>.7）、</w:t>
      </w:r>
      <w:r>
        <w:t>1</w:t>
      </w:r>
      <w:r>
        <w:rPr>
          <w:rFonts w:hint="eastAsia"/>
        </w:rPr>
        <w:t>5</w:t>
      </w:r>
      <w:r>
        <w:rPr>
          <w:rFonts w:hint="eastAsia"/>
          <w:lang w:val="en-US" w:eastAsia="zh-CN"/>
        </w:rPr>
        <w:t xml:space="preserve"> </w:t>
      </w:r>
      <w:r>
        <w:t>mL盐酸</w:t>
      </w:r>
      <w:r>
        <w:rPr>
          <w:rFonts w:hint="eastAsia"/>
        </w:rPr>
        <w:t>（</w:t>
      </w:r>
      <w:r>
        <w:rPr>
          <w:rFonts w:hint="eastAsia"/>
          <w:lang w:val="en-US" w:eastAsia="zh-CN"/>
        </w:rPr>
        <w:t>5</w:t>
      </w:r>
      <w:r>
        <w:rPr>
          <w:rFonts w:hint="eastAsia"/>
        </w:rPr>
        <w:t>.2）</w:t>
      </w:r>
      <w:r>
        <w:t>，</w:t>
      </w:r>
      <w:r>
        <w:rPr>
          <w:rFonts w:hint="eastAsia"/>
        </w:rPr>
        <w:t>盖上表面皿，置于电热板上低温加热3</w:t>
      </w:r>
      <w:r>
        <w:rPr>
          <w:rFonts w:hint="eastAsia"/>
          <w:lang w:val="en-US" w:eastAsia="zh-CN"/>
        </w:rPr>
        <w:t xml:space="preserve">min </w:t>
      </w:r>
      <w:r>
        <w:rPr>
          <w:rFonts w:hint="default" w:ascii="Times New Roman" w:hAnsi="Times New Roman" w:cs="Times New Roman"/>
        </w:rPr>
        <w:t>~</w:t>
      </w:r>
      <w:r>
        <w:rPr>
          <w:rFonts w:hint="eastAsia" w:cs="Times New Roman"/>
          <w:lang w:val="en-US" w:eastAsia="zh-CN"/>
        </w:rPr>
        <w:t xml:space="preserve"> </w:t>
      </w:r>
      <w:r>
        <w:rPr>
          <w:rFonts w:hint="eastAsia"/>
        </w:rPr>
        <w:t xml:space="preserve">5 min，取下稍冷。加入10 </w:t>
      </w:r>
      <w:r>
        <w:t>mL硝酸</w:t>
      </w:r>
      <w:r>
        <w:rPr>
          <w:rFonts w:hint="eastAsia"/>
        </w:rPr>
        <w:t>（</w:t>
      </w:r>
      <w:r>
        <w:rPr>
          <w:rFonts w:hint="eastAsia"/>
          <w:lang w:val="en-US" w:eastAsia="zh-CN"/>
        </w:rPr>
        <w:t>5</w:t>
      </w:r>
      <w:r>
        <w:rPr>
          <w:rFonts w:hint="eastAsia"/>
        </w:rPr>
        <w:t>.3），</w:t>
      </w:r>
      <w:r>
        <w:t>加热</w:t>
      </w:r>
      <w:r>
        <w:rPr>
          <w:rFonts w:hint="eastAsia"/>
        </w:rPr>
        <w:t>使试料完全分解，蒸至约剩1</w:t>
      </w:r>
      <w:r>
        <w:rPr>
          <w:rFonts w:hint="eastAsia"/>
          <w:lang w:val="en-US" w:eastAsia="zh-CN"/>
        </w:rPr>
        <w:t xml:space="preserve"> mL </w:t>
      </w:r>
      <w:r>
        <w:rPr>
          <w:rFonts w:hint="default" w:ascii="Times New Roman" w:hAnsi="Times New Roman" w:cs="Times New Roman"/>
        </w:rPr>
        <w:t>~</w:t>
      </w:r>
      <w:r>
        <w:rPr>
          <w:rFonts w:hint="eastAsia" w:cs="Times New Roman"/>
          <w:lang w:val="en-US" w:eastAsia="zh-CN"/>
        </w:rPr>
        <w:t xml:space="preserve"> </w:t>
      </w:r>
      <w:r>
        <w:rPr>
          <w:rFonts w:hint="eastAsia"/>
        </w:rPr>
        <w:t>2 mL，取下稍冷。</w:t>
      </w:r>
    </w:p>
    <w:p>
      <w:pPr>
        <w:tabs>
          <w:tab w:val="left" w:pos="840"/>
        </w:tabs>
        <w:snapToGrid w:val="0"/>
        <w:spacing w:before="50" w:after="50" w:line="240" w:lineRule="auto"/>
        <w:ind w:firstLine="420" w:firstLineChars="200"/>
        <w:rPr>
          <w:rFonts w:eastAsia="黑体" w:cs="黑体"/>
          <w:szCs w:val="21"/>
        </w:rPr>
      </w:pPr>
      <w:r>
        <w:rPr>
          <w:rFonts w:hint="eastAsia" w:eastAsia="黑体" w:cs="黑体"/>
          <w:szCs w:val="21"/>
        </w:rPr>
        <w:t>注1：加入硝酸后，如析出单体硫，加入0.5</w:t>
      </w:r>
      <w:r>
        <w:rPr>
          <w:rFonts w:hint="eastAsia" w:eastAsia="黑体" w:cs="黑体"/>
          <w:szCs w:val="21"/>
          <w:lang w:val="en-US" w:eastAsia="zh-CN"/>
        </w:rPr>
        <w:t xml:space="preserve"> </w:t>
      </w:r>
      <w:r>
        <w:rPr>
          <w:rFonts w:hint="eastAsia" w:eastAsia="黑体" w:cs="黑体"/>
          <w:szCs w:val="21"/>
        </w:rPr>
        <w:t>mL溴（</w:t>
      </w:r>
      <w:r>
        <w:rPr>
          <w:rFonts w:hint="eastAsia" w:eastAsia="黑体" w:cs="黑体"/>
          <w:szCs w:val="21"/>
          <w:lang w:val="en-US" w:eastAsia="zh-CN"/>
        </w:rPr>
        <w:t>5</w:t>
      </w:r>
      <w:r>
        <w:rPr>
          <w:rFonts w:hint="eastAsia" w:eastAsia="黑体" w:cs="黑体"/>
          <w:szCs w:val="21"/>
        </w:rPr>
        <w:t>.5）。</w:t>
      </w:r>
    </w:p>
    <w:p>
      <w:pPr>
        <w:tabs>
          <w:tab w:val="left" w:pos="840"/>
        </w:tabs>
        <w:snapToGrid w:val="0"/>
        <w:spacing w:before="50" w:after="50" w:line="240" w:lineRule="auto"/>
        <w:ind w:firstLine="630" w:firstLineChars="300"/>
        <w:rPr>
          <w:rFonts w:eastAsia="黑体" w:cs="黑体"/>
          <w:szCs w:val="21"/>
        </w:rPr>
      </w:pPr>
      <w:r>
        <w:rPr>
          <w:rFonts w:hint="eastAsia" w:eastAsia="黑体" w:cs="黑体"/>
          <w:szCs w:val="21"/>
        </w:rPr>
        <w:t>2：如试料含碳量较高，在加入硝酸后，加入2</w:t>
      </w:r>
      <w:r>
        <w:rPr>
          <w:rFonts w:hint="eastAsia" w:eastAsia="黑体" w:cs="黑体"/>
          <w:szCs w:val="21"/>
          <w:lang w:val="en-US" w:eastAsia="zh-CN"/>
        </w:rPr>
        <w:t xml:space="preserve"> mL </w:t>
      </w:r>
      <w:r>
        <w:rPr>
          <w:rFonts w:hint="default" w:ascii="Times New Roman" w:hAnsi="Times New Roman" w:eastAsia="黑体" w:cs="Times New Roman"/>
          <w:szCs w:val="21"/>
          <w:lang w:val="en-US" w:eastAsia="zh-CN"/>
        </w:rPr>
        <w:t>~</w:t>
      </w:r>
      <w:r>
        <w:rPr>
          <w:rFonts w:hint="eastAsia" w:eastAsia="黑体" w:cs="黑体"/>
          <w:szCs w:val="21"/>
          <w:lang w:val="en-US" w:eastAsia="zh-CN"/>
        </w:rPr>
        <w:t xml:space="preserve"> </w:t>
      </w:r>
      <w:r>
        <w:rPr>
          <w:rFonts w:hint="eastAsia" w:eastAsia="黑体" w:cs="黑体"/>
          <w:szCs w:val="21"/>
        </w:rPr>
        <w:t>3</w:t>
      </w:r>
      <w:r>
        <w:rPr>
          <w:rFonts w:hint="eastAsia" w:eastAsia="黑体" w:cs="黑体"/>
          <w:szCs w:val="21"/>
          <w:lang w:val="en-US" w:eastAsia="zh-CN"/>
        </w:rPr>
        <w:t xml:space="preserve"> </w:t>
      </w:r>
      <w:r>
        <w:rPr>
          <w:rFonts w:hint="eastAsia" w:eastAsia="黑体" w:cs="黑体"/>
          <w:szCs w:val="21"/>
        </w:rPr>
        <w:t>mL硫酸（</w:t>
      </w:r>
      <w:r>
        <w:rPr>
          <w:rFonts w:hint="eastAsia" w:eastAsia="黑体" w:cs="黑体"/>
          <w:szCs w:val="21"/>
          <w:lang w:val="en-US" w:eastAsia="zh-CN"/>
        </w:rPr>
        <w:t>5</w:t>
      </w:r>
      <w:r>
        <w:rPr>
          <w:rFonts w:hint="eastAsia" w:eastAsia="黑体" w:cs="黑体"/>
          <w:szCs w:val="21"/>
        </w:rPr>
        <w:t>.4）。</w:t>
      </w:r>
    </w:p>
    <w:p>
      <w:pPr>
        <w:tabs>
          <w:tab w:val="left" w:pos="840"/>
        </w:tabs>
        <w:snapToGrid w:val="0"/>
        <w:spacing w:before="50" w:after="50" w:line="240" w:lineRule="auto"/>
      </w:pPr>
      <w:r>
        <w:rPr>
          <w:rFonts w:hint="eastAsia"/>
          <w:lang w:val="en-US" w:eastAsia="zh-CN"/>
        </w:rPr>
        <w:t>8</w:t>
      </w:r>
      <w:r>
        <w:rPr>
          <w:rFonts w:hint="eastAsia"/>
        </w:rPr>
        <w:t>.4.2用少量水吹洗表面皿及杯壁，</w:t>
      </w:r>
      <w:r>
        <w:t>加入</w:t>
      </w:r>
      <w:r>
        <w:rPr>
          <w:rFonts w:hint="eastAsia"/>
        </w:rPr>
        <w:t xml:space="preserve">10 </w:t>
      </w:r>
      <w:r>
        <w:t>mL盐酸（</w:t>
      </w:r>
      <w:r>
        <w:rPr>
          <w:rFonts w:hint="eastAsia"/>
          <w:lang w:val="en-US" w:eastAsia="zh-CN"/>
        </w:rPr>
        <w:t>5</w:t>
      </w:r>
      <w:r>
        <w:rPr>
          <w:rFonts w:hint="eastAsia"/>
        </w:rPr>
        <w:t>.2</w:t>
      </w:r>
      <w:r>
        <w:t>）</w:t>
      </w:r>
      <w:r>
        <w:rPr>
          <w:rFonts w:hint="eastAsia"/>
        </w:rPr>
        <w:t>，煮沸使可溶性盐类溶解，取下、</w:t>
      </w:r>
      <w:r>
        <w:t>冷却</w:t>
      </w:r>
      <w:r>
        <w:rPr>
          <w:rFonts w:hint="eastAsia"/>
        </w:rPr>
        <w:t>至室温，移入100 mL</w:t>
      </w:r>
      <w:r>
        <w:t>容量瓶中</w:t>
      </w:r>
      <w:r>
        <w:rPr>
          <w:rFonts w:hint="eastAsia"/>
        </w:rPr>
        <w:t>，用水稀释至刻度，混匀</w:t>
      </w:r>
      <w:r>
        <w:t>。</w:t>
      </w:r>
    </w:p>
    <w:p>
      <w:pPr>
        <w:tabs>
          <w:tab w:val="left" w:pos="840"/>
        </w:tabs>
        <w:snapToGrid w:val="0"/>
        <w:spacing w:before="50" w:after="50" w:line="240" w:lineRule="auto"/>
      </w:pPr>
      <w:r>
        <w:rPr>
          <w:rFonts w:hint="eastAsia"/>
          <w:lang w:val="en-US" w:eastAsia="zh-CN"/>
        </w:rPr>
        <w:t>8</w:t>
      </w:r>
      <w:r>
        <w:rPr>
          <w:rFonts w:hint="eastAsia"/>
        </w:rPr>
        <w:t>.4.3根据试料中锑量，按表1分取试液，置于相应容量瓶中，用盐酸（</w:t>
      </w:r>
      <w:r>
        <w:rPr>
          <w:rFonts w:hint="eastAsia"/>
          <w:lang w:val="en-US" w:eastAsia="zh-CN"/>
        </w:rPr>
        <w:t>5</w:t>
      </w:r>
      <w:r>
        <w:rPr>
          <w:rFonts w:hint="eastAsia"/>
        </w:rPr>
        <w:t>.6）稀释至刻度，摇匀。</w:t>
      </w:r>
      <w:r>
        <w:rPr>
          <w:rFonts w:hint="eastAsia"/>
          <w:spacing w:val="6"/>
        </w:rPr>
        <w:t>于原子吸收</w:t>
      </w:r>
      <w:r>
        <w:rPr>
          <w:rFonts w:hint="eastAsia"/>
        </w:rPr>
        <w:t>光谱仪波长217.6 nm处，使用空气-乙炔火焰，以水调零，测定试液的吸光度。在工作曲线上查出相应锑的浓度。</w:t>
      </w:r>
    </w:p>
    <w:p>
      <w:pPr>
        <w:ind w:firstLine="480"/>
        <w:jc w:val="center"/>
        <w:rPr>
          <w:rFonts w:eastAsia="黑体"/>
        </w:rPr>
      </w:pPr>
      <w:r>
        <w:rPr>
          <w:rFonts w:hint="eastAsia" w:eastAsia="黑体"/>
        </w:rPr>
        <w:t>表1 称样量、试液分取量及定容体积</w:t>
      </w:r>
    </w:p>
    <w:tbl>
      <w:tblPr>
        <w:tblStyle w:val="18"/>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1228"/>
        <w:gridCol w:w="1701"/>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27"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锑的质量分数</w:t>
            </w:r>
            <w:r>
              <w:rPr>
                <w:rFonts w:hint="default" w:ascii="Times New Roman" w:hAnsi="Times New Roman" w:eastAsia="黑体" w:cs="Times New Roman"/>
                <w:sz w:val="18"/>
                <w:szCs w:val="18"/>
                <w:lang w:val="en-US" w:eastAsia="zh-CN"/>
              </w:rPr>
              <w:t>/</w:t>
            </w:r>
            <w:r>
              <w:rPr>
                <w:rFonts w:hint="default" w:ascii="Times New Roman" w:hAnsi="Times New Roman" w:eastAsia="黑体" w:cs="Times New Roman"/>
                <w:sz w:val="18"/>
                <w:szCs w:val="18"/>
              </w:rPr>
              <w:t>%</w:t>
            </w:r>
          </w:p>
        </w:tc>
        <w:tc>
          <w:tcPr>
            <w:tcW w:w="1228"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称样量</w:t>
            </w:r>
            <w:r>
              <w:rPr>
                <w:rFonts w:hint="default" w:ascii="Times New Roman" w:hAnsi="Times New Roman" w:eastAsia="黑体" w:cs="Times New Roman"/>
                <w:sz w:val="18"/>
                <w:szCs w:val="18"/>
                <w:lang w:val="en-US" w:eastAsia="zh-CN"/>
              </w:rPr>
              <w:t>/</w:t>
            </w:r>
            <w:r>
              <w:rPr>
                <w:rFonts w:hint="default" w:ascii="Times New Roman" w:hAnsi="Times New Roman" w:eastAsia="黑体" w:cs="Times New Roman"/>
                <w:sz w:val="18"/>
                <w:szCs w:val="18"/>
              </w:rPr>
              <w:t>g</w:t>
            </w:r>
          </w:p>
        </w:tc>
        <w:tc>
          <w:tcPr>
            <w:tcW w:w="1701"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试液分取量</w:t>
            </w:r>
            <w:r>
              <w:rPr>
                <w:rFonts w:hint="default" w:ascii="Times New Roman" w:hAnsi="Times New Roman" w:eastAsia="黑体" w:cs="Times New Roman"/>
                <w:sz w:val="18"/>
                <w:szCs w:val="18"/>
                <w:lang w:val="en-US" w:eastAsia="zh-CN"/>
              </w:rPr>
              <w:t>/</w:t>
            </w:r>
            <w:r>
              <w:rPr>
                <w:rFonts w:hint="default" w:ascii="Times New Roman" w:hAnsi="Times New Roman" w:eastAsia="黑体" w:cs="Times New Roman"/>
                <w:sz w:val="18"/>
                <w:szCs w:val="18"/>
              </w:rPr>
              <w:t>mL</w:t>
            </w:r>
          </w:p>
        </w:tc>
        <w:tc>
          <w:tcPr>
            <w:tcW w:w="2145"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分取后定容体积</w:t>
            </w:r>
            <w:r>
              <w:rPr>
                <w:rFonts w:hint="default" w:ascii="Times New Roman" w:hAnsi="Times New Roman" w:eastAsia="黑体" w:cs="Times New Roman"/>
                <w:sz w:val="18"/>
                <w:szCs w:val="18"/>
                <w:lang w:val="en-US" w:eastAsia="zh-CN"/>
              </w:rPr>
              <w:t>/</w:t>
            </w:r>
            <w:r>
              <w:rPr>
                <w:rFonts w:hint="default" w:ascii="Times New Roman" w:hAnsi="Times New Roman" w:eastAsia="黑体" w:cs="Times New Roman"/>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0.080</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0.30</w:t>
            </w:r>
          </w:p>
        </w:tc>
        <w:tc>
          <w:tcPr>
            <w:tcW w:w="1228" w:type="dxa"/>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0.50</w:t>
            </w:r>
          </w:p>
        </w:tc>
        <w:tc>
          <w:tcPr>
            <w:tcW w:w="1701"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w:t>
            </w:r>
          </w:p>
        </w:tc>
        <w:tc>
          <w:tcPr>
            <w:tcW w:w="2145"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&gt;</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0.30</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0.80</w:t>
            </w:r>
          </w:p>
        </w:tc>
        <w:tc>
          <w:tcPr>
            <w:tcW w:w="1228" w:type="dxa"/>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0.20</w:t>
            </w:r>
          </w:p>
        </w:tc>
        <w:tc>
          <w:tcPr>
            <w:tcW w:w="1701"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w:t>
            </w:r>
          </w:p>
        </w:tc>
        <w:tc>
          <w:tcPr>
            <w:tcW w:w="2145"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&gt;</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0.80</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2.00</w:t>
            </w:r>
          </w:p>
        </w:tc>
        <w:tc>
          <w:tcPr>
            <w:tcW w:w="1228" w:type="dxa"/>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0.20</w:t>
            </w:r>
          </w:p>
        </w:tc>
        <w:tc>
          <w:tcPr>
            <w:tcW w:w="1701"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20</w:t>
            </w:r>
          </w:p>
        </w:tc>
        <w:tc>
          <w:tcPr>
            <w:tcW w:w="2145"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&gt;</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2.00</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w:t>
            </w:r>
            <w:r>
              <w:rPr>
                <w:rFonts w:hint="eastAsia" w:eastAsia="黑体" w:cs="Times New Roman"/>
                <w:sz w:val="18"/>
                <w:szCs w:val="18"/>
                <w:lang w:val="en-US" w:eastAsia="zh-CN"/>
              </w:rPr>
              <w:t xml:space="preserve"> </w:t>
            </w:r>
            <w:r>
              <w:rPr>
                <w:rFonts w:hint="default" w:ascii="Times New Roman" w:hAnsi="Times New Roman" w:eastAsia="黑体" w:cs="Times New Roman"/>
                <w:sz w:val="18"/>
                <w:szCs w:val="18"/>
              </w:rPr>
              <w:t>7.00</w:t>
            </w:r>
          </w:p>
        </w:tc>
        <w:tc>
          <w:tcPr>
            <w:tcW w:w="1228" w:type="dxa"/>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0.20</w:t>
            </w:r>
          </w:p>
        </w:tc>
        <w:tc>
          <w:tcPr>
            <w:tcW w:w="1701"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5</w:t>
            </w:r>
          </w:p>
        </w:tc>
        <w:tc>
          <w:tcPr>
            <w:tcW w:w="2145" w:type="dxa"/>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50</w:t>
            </w:r>
          </w:p>
        </w:tc>
      </w:tr>
    </w:tbl>
    <w:p>
      <w:pPr>
        <w:spacing w:line="360" w:lineRule="auto"/>
        <w:rPr>
          <w:rFonts w:eastAsia="黑体"/>
          <w:spacing w:val="6"/>
        </w:rPr>
      </w:pPr>
      <w:r>
        <w:rPr>
          <w:rFonts w:hint="eastAsia" w:eastAsia="黑体"/>
          <w:spacing w:val="6"/>
          <w:lang w:val="en-US" w:eastAsia="zh-CN"/>
        </w:rPr>
        <w:t>8</w:t>
      </w:r>
      <w:r>
        <w:rPr>
          <w:rFonts w:eastAsia="黑体"/>
          <w:spacing w:val="6"/>
        </w:rPr>
        <w:t>.</w:t>
      </w:r>
      <w:r>
        <w:rPr>
          <w:rFonts w:hint="eastAsia" w:eastAsia="黑体"/>
          <w:spacing w:val="6"/>
        </w:rPr>
        <w:t>4.</w:t>
      </w:r>
      <w:r>
        <w:rPr>
          <w:rFonts w:hint="eastAsia" w:eastAsia="黑体"/>
          <w:spacing w:val="6"/>
          <w:lang w:val="en-US" w:eastAsia="zh-CN"/>
        </w:rPr>
        <w:t>4</w:t>
      </w:r>
      <w:r>
        <w:rPr>
          <w:rFonts w:eastAsia="黑体"/>
          <w:spacing w:val="6"/>
        </w:rPr>
        <w:t xml:space="preserve"> 工作曲线的绘制</w:t>
      </w:r>
    </w:p>
    <w:p>
      <w:pPr>
        <w:snapToGrid w:val="0"/>
        <w:spacing w:line="240" w:lineRule="auto"/>
        <w:ind w:firstLine="480"/>
        <w:rPr>
          <w:rFonts w:hint="default" w:ascii="Times New Roman" w:hAnsi="Times New Roman" w:cs="Times New Roman"/>
        </w:rPr>
      </w:pPr>
      <w:r>
        <w:rPr>
          <w:rFonts w:hint="default" w:ascii="Times New Roman" w:hAnsi="Times New Roman" w:cs="Times New Roman"/>
        </w:rPr>
        <w:t>分别移取0、2.00 mL、4.00 mL、6.00 mL、8.00 mL、10.00 mL锑标准溶液（</w:t>
      </w:r>
      <w:r>
        <w:rPr>
          <w:rFonts w:hint="eastAsia" w:cs="Times New Roman"/>
          <w:lang w:val="en-US" w:eastAsia="zh-CN"/>
        </w:rPr>
        <w:t>5</w:t>
      </w:r>
      <w:r>
        <w:rPr>
          <w:rFonts w:hint="default" w:ascii="Times New Roman" w:hAnsi="Times New Roman" w:cs="Times New Roman"/>
        </w:rPr>
        <w:t>.9）于一组100mL容量瓶中，加入10 mL盐酸（</w:t>
      </w:r>
      <w:r>
        <w:rPr>
          <w:rFonts w:hint="eastAsia" w:cs="Times New Roman"/>
          <w:lang w:val="en-US" w:eastAsia="zh-CN"/>
        </w:rPr>
        <w:t>5</w:t>
      </w:r>
      <w:r>
        <w:rPr>
          <w:rFonts w:hint="default" w:ascii="Times New Roman" w:hAnsi="Times New Roman" w:cs="Times New Roman"/>
        </w:rPr>
        <w:t>.2），以水稀释至刻度、混匀。</w:t>
      </w:r>
    </w:p>
    <w:p>
      <w:pPr>
        <w:snapToGrid w:val="0"/>
        <w:spacing w:line="240" w:lineRule="auto"/>
        <w:ind w:firstLine="480"/>
        <w:rPr>
          <w:rFonts w:hint="default" w:ascii="Times New Roman" w:hAnsi="Times New Roman" w:cs="Times New Roman"/>
        </w:rPr>
      </w:pPr>
      <w:r>
        <w:rPr>
          <w:rFonts w:hint="default" w:ascii="Times New Roman" w:hAnsi="Times New Roman" w:cs="Times New Roman"/>
        </w:rPr>
        <w:t>使用空气-乙炔火焰，于原子吸收光谱仪波长217.6 nm处，以水调零，测量系列锑标准溶液的吸光度，减去系列标准溶液中“零”浓度溶液的吸光度，以锑的浓度为横坐标，吸光度为纵坐标，绘制工作曲线。</w:t>
      </w:r>
    </w:p>
    <w:p>
      <w:pPr>
        <w:spacing w:line="360" w:lineRule="auto"/>
        <w:rPr>
          <w:rFonts w:eastAsia="黑体"/>
          <w:bCs/>
          <w:color w:val="000000"/>
          <w:szCs w:val="21"/>
        </w:rPr>
      </w:pPr>
      <w:r>
        <w:rPr>
          <w:rFonts w:hint="eastAsia" w:eastAsia="黑体"/>
          <w:bCs/>
          <w:color w:val="000000"/>
          <w:szCs w:val="21"/>
          <w:lang w:val="en-US" w:eastAsia="zh-CN"/>
        </w:rPr>
        <w:t>9</w:t>
      </w:r>
      <w:r>
        <w:rPr>
          <w:rFonts w:eastAsia="黑体"/>
          <w:bCs/>
          <w:color w:val="000000"/>
          <w:szCs w:val="21"/>
        </w:rPr>
        <w:t xml:space="preserve"> </w:t>
      </w:r>
      <w:r>
        <w:rPr>
          <w:rFonts w:hint="eastAsia" w:eastAsia="黑体"/>
          <w:bCs/>
          <w:color w:val="000000"/>
          <w:szCs w:val="21"/>
        </w:rPr>
        <w:t>试验数据处理</w:t>
      </w:r>
    </w:p>
    <w:p>
      <w:pPr>
        <w:adjustRightInd w:val="0"/>
        <w:snapToGrid w:val="0"/>
        <w:spacing w:before="50" w:after="50"/>
        <w:ind w:firstLine="420" w:firstLineChars="200"/>
        <w:rPr>
          <w:spacing w:val="6"/>
        </w:rPr>
      </w:pPr>
      <w:r>
        <w:rPr>
          <w:rFonts w:hint="eastAsia"/>
          <w:szCs w:val="21"/>
        </w:rPr>
        <w:t>锑含量以锑的质量分数</w:t>
      </w:r>
      <w:r>
        <w:rPr>
          <w:rFonts w:hint="eastAsia"/>
          <w:i/>
          <w:sz w:val="24"/>
          <w:szCs w:val="24"/>
        </w:rPr>
        <w:t>w</w:t>
      </w:r>
      <w:r>
        <w:rPr>
          <w:rFonts w:hint="eastAsia"/>
          <w:szCs w:val="21"/>
          <w:vertAlign w:val="subscript"/>
        </w:rPr>
        <w:t>Sb</w:t>
      </w:r>
      <w:r>
        <w:rPr>
          <w:rFonts w:hint="eastAsia"/>
          <w:szCs w:val="21"/>
        </w:rPr>
        <w:t>计，</w:t>
      </w:r>
      <w:r>
        <w:rPr>
          <w:rFonts w:hint="eastAsia"/>
          <w:szCs w:val="21"/>
          <w:lang w:eastAsia="zh-CN"/>
        </w:rPr>
        <w:t>数值以百分数表示，</w:t>
      </w:r>
      <w:r>
        <w:rPr>
          <w:rFonts w:hint="eastAsia"/>
          <w:szCs w:val="21"/>
        </w:rPr>
        <w:t>按公式</w:t>
      </w:r>
      <w:r>
        <w:rPr>
          <w:szCs w:val="21"/>
        </w:rPr>
        <w:t>（</w:t>
      </w:r>
      <w:r>
        <w:rPr>
          <w:rFonts w:hint="eastAsia"/>
          <w:szCs w:val="21"/>
        </w:rPr>
        <w:t>1</w:t>
      </w:r>
      <w:r>
        <w:rPr>
          <w:szCs w:val="21"/>
        </w:rPr>
        <w:t>）</w:t>
      </w:r>
      <w:r>
        <w:rPr>
          <w:rFonts w:hint="eastAsia"/>
          <w:szCs w:val="21"/>
        </w:rPr>
        <w:t>计算：</w:t>
      </w:r>
    </w:p>
    <w:p>
      <w:pPr>
        <w:jc w:val="right"/>
        <w:rPr>
          <w:szCs w:val="21"/>
        </w:rPr>
      </w:pPr>
      <w:r>
        <w:rPr>
          <w:position w:val="-30"/>
          <w:szCs w:val="21"/>
        </w:rPr>
        <w:object>
          <v:shape id="_x0000_i1025" o:spt="75" type="#_x0000_t75" style="height:35.65pt;width:159.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szCs w:val="21"/>
        </w:rPr>
        <w:t xml:space="preserve">     …………………………（1）</w:t>
      </w:r>
    </w:p>
    <w:p>
      <w:pPr>
        <w:adjustRightInd w:val="0"/>
        <w:snapToGrid w:val="0"/>
        <w:spacing w:before="50" w:after="50"/>
        <w:ind w:firstLine="444" w:firstLineChars="200"/>
        <w:rPr>
          <w:spacing w:val="6"/>
        </w:rPr>
      </w:pPr>
      <w:r>
        <w:rPr>
          <w:spacing w:val="6"/>
        </w:rPr>
        <w:t>式中：</w:t>
      </w:r>
    </w:p>
    <w:p>
      <w:pPr>
        <w:adjustRightInd w:val="0"/>
        <w:snapToGrid w:val="0"/>
        <w:spacing w:before="50" w:after="50"/>
        <w:ind w:firstLine="444" w:firstLineChars="200"/>
        <w:rPr>
          <w:spacing w:val="6"/>
        </w:rPr>
      </w:pPr>
      <w:r>
        <w:rPr>
          <w:i/>
          <w:spacing w:val="6"/>
        </w:rPr>
        <w:t>ρ</w:t>
      </w:r>
      <w:r>
        <w:rPr>
          <w:rFonts w:hint="eastAsia"/>
          <w:spacing w:val="6"/>
          <w:vertAlign w:val="subscript"/>
        </w:rPr>
        <w:t>1</w:t>
      </w:r>
      <w:r>
        <w:rPr>
          <w:spacing w:val="6"/>
        </w:rPr>
        <w:t>——</w:t>
      </w:r>
      <w:r>
        <w:rPr>
          <w:rFonts w:hint="eastAsia"/>
          <w:spacing w:val="6"/>
        </w:rPr>
        <w:t>自工作曲线上查得</w:t>
      </w:r>
      <w:r>
        <w:rPr>
          <w:spacing w:val="6"/>
        </w:rPr>
        <w:t>试液中</w:t>
      </w:r>
      <w:r>
        <w:rPr>
          <w:rFonts w:hint="eastAsia"/>
          <w:spacing w:val="6"/>
        </w:rPr>
        <w:t>锑</w:t>
      </w:r>
      <w:r>
        <w:rPr>
          <w:spacing w:val="6"/>
        </w:rPr>
        <w:t>的质量浓度，单位为微克每毫升（µg/mL）；</w:t>
      </w:r>
    </w:p>
    <w:p>
      <w:pPr>
        <w:adjustRightInd w:val="0"/>
        <w:snapToGrid w:val="0"/>
        <w:spacing w:before="50" w:after="50"/>
        <w:ind w:firstLine="444" w:firstLineChars="200"/>
        <w:rPr>
          <w:spacing w:val="6"/>
        </w:rPr>
      </w:pPr>
      <w:r>
        <w:rPr>
          <w:i/>
          <w:spacing w:val="6"/>
        </w:rPr>
        <w:t>ρ</w:t>
      </w:r>
      <w:r>
        <w:rPr>
          <w:spacing w:val="6"/>
          <w:vertAlign w:val="subscript"/>
        </w:rPr>
        <w:t>0</w:t>
      </w:r>
      <w:r>
        <w:rPr>
          <w:spacing w:val="6"/>
        </w:rPr>
        <w:t>——</w:t>
      </w:r>
      <w:r>
        <w:rPr>
          <w:rFonts w:hint="eastAsia"/>
          <w:spacing w:val="6"/>
        </w:rPr>
        <w:t>自工作曲线上查得</w:t>
      </w:r>
      <w:r>
        <w:rPr>
          <w:spacing w:val="6"/>
        </w:rPr>
        <w:t>空白溶液中</w:t>
      </w:r>
      <w:r>
        <w:rPr>
          <w:rFonts w:hint="eastAsia"/>
          <w:spacing w:val="6"/>
        </w:rPr>
        <w:t>锑</w:t>
      </w:r>
      <w:r>
        <w:rPr>
          <w:spacing w:val="6"/>
        </w:rPr>
        <w:t>的质量浓度，单位为微克每毫升（µg/mL）；</w:t>
      </w:r>
    </w:p>
    <w:p>
      <w:pPr>
        <w:adjustRightInd w:val="0"/>
        <w:snapToGrid w:val="0"/>
        <w:spacing w:before="50" w:after="50"/>
        <w:ind w:firstLine="444" w:firstLineChars="200"/>
        <w:rPr>
          <w:spacing w:val="6"/>
        </w:rPr>
      </w:pPr>
      <w:r>
        <w:rPr>
          <w:i/>
          <w:spacing w:val="6"/>
        </w:rPr>
        <w:t>V</w:t>
      </w:r>
      <w:r>
        <w:rPr>
          <w:spacing w:val="6"/>
        </w:rPr>
        <w:t>——试液总体积，单位为毫升（mL）；</w:t>
      </w:r>
    </w:p>
    <w:p>
      <w:pPr>
        <w:adjustRightInd w:val="0"/>
        <w:snapToGrid w:val="0"/>
        <w:spacing w:before="50" w:after="50"/>
        <w:ind w:firstLine="444" w:firstLineChars="200"/>
        <w:rPr>
          <w:rFonts w:hint="eastAsia" w:eastAsia="宋体"/>
          <w:spacing w:val="6"/>
          <w:lang w:eastAsia="zh-CN"/>
        </w:rPr>
      </w:pPr>
      <w:r>
        <w:rPr>
          <w:i/>
          <w:spacing w:val="6"/>
        </w:rPr>
        <w:t>V</w:t>
      </w:r>
      <w:r>
        <w:rPr>
          <w:spacing w:val="6"/>
          <w:vertAlign w:val="subscript"/>
        </w:rPr>
        <w:t>2</w:t>
      </w:r>
      <w:r>
        <w:rPr>
          <w:spacing w:val="6"/>
        </w:rPr>
        <w:t>——测定试液的体积，单位为毫升（mL）</w:t>
      </w:r>
      <w:r>
        <w:rPr>
          <w:rFonts w:hint="eastAsia"/>
          <w:spacing w:val="6"/>
          <w:lang w:eastAsia="zh-CN"/>
        </w:rPr>
        <w:t>；</w:t>
      </w:r>
    </w:p>
    <w:p>
      <w:pPr>
        <w:adjustRightInd w:val="0"/>
        <w:snapToGrid w:val="0"/>
        <w:spacing w:before="50" w:after="50"/>
        <w:ind w:firstLine="444" w:firstLineChars="200"/>
        <w:rPr>
          <w:rFonts w:hint="eastAsia"/>
          <w:spacing w:val="6"/>
        </w:rPr>
      </w:pPr>
      <w:r>
        <w:rPr>
          <w:rFonts w:hint="eastAsia"/>
          <w:i/>
          <w:iCs/>
          <w:spacing w:val="6"/>
        </w:rPr>
        <w:t>m</w:t>
      </w:r>
      <w:r>
        <w:rPr>
          <w:spacing w:val="6"/>
        </w:rPr>
        <w:t>——</w:t>
      </w:r>
      <w:r>
        <w:rPr>
          <w:rFonts w:hint="eastAsia"/>
          <w:spacing w:val="6"/>
        </w:rPr>
        <w:t>试料的质量，单位为克（g）；</w:t>
      </w:r>
    </w:p>
    <w:p>
      <w:pPr>
        <w:adjustRightInd w:val="0"/>
        <w:snapToGrid w:val="0"/>
        <w:spacing w:before="50" w:after="50"/>
        <w:ind w:firstLine="444" w:firstLineChars="200"/>
        <w:rPr>
          <w:rFonts w:hint="eastAsia" w:eastAsia="宋体"/>
          <w:spacing w:val="6"/>
          <w:lang w:eastAsia="zh-CN"/>
        </w:rPr>
      </w:pPr>
      <w:r>
        <w:rPr>
          <w:i/>
          <w:spacing w:val="6"/>
        </w:rPr>
        <w:t>V</w:t>
      </w:r>
      <w:r>
        <w:rPr>
          <w:spacing w:val="6"/>
          <w:vertAlign w:val="subscript"/>
        </w:rPr>
        <w:t>1</w:t>
      </w:r>
      <w:r>
        <w:rPr>
          <w:spacing w:val="6"/>
        </w:rPr>
        <w:t>——分取试液体积，单位为毫升（mL）</w:t>
      </w:r>
      <w:r>
        <w:rPr>
          <w:rFonts w:hint="eastAsia"/>
          <w:spacing w:val="6"/>
          <w:lang w:eastAsia="zh-CN"/>
        </w:rPr>
        <w:t>。</w:t>
      </w:r>
    </w:p>
    <w:p>
      <w:pPr>
        <w:adjustRightInd w:val="0"/>
        <w:snapToGrid w:val="0"/>
        <w:spacing w:before="50" w:after="50"/>
        <w:ind w:firstLine="444" w:firstLineChars="200"/>
        <w:rPr>
          <w:rFonts w:hint="eastAsia"/>
          <w:spacing w:val="6"/>
          <w:szCs w:val="22"/>
          <w:lang w:val="en-US" w:eastAsia="zh-CN"/>
        </w:rPr>
      </w:pPr>
      <w:r>
        <w:rPr>
          <w:rFonts w:hint="eastAsia"/>
          <w:spacing w:val="6"/>
          <w:szCs w:val="22"/>
          <w:lang w:val="en-US" w:eastAsia="zh-CN"/>
        </w:rPr>
        <w:t>计算结果小数点后保留两位有效数字。</w:t>
      </w:r>
    </w:p>
    <w:p>
      <w:pPr>
        <w:spacing w:line="360" w:lineRule="auto"/>
        <w:rPr>
          <w:rFonts w:eastAsia="黑体"/>
          <w:color w:val="000000"/>
          <w:szCs w:val="21"/>
        </w:rPr>
      </w:pPr>
      <w:r>
        <w:rPr>
          <w:rFonts w:hint="eastAsia" w:eastAsia="黑体"/>
          <w:color w:val="000000"/>
          <w:szCs w:val="21"/>
          <w:lang w:val="en-US" w:eastAsia="zh-CN"/>
        </w:rPr>
        <w:t>10</w:t>
      </w:r>
      <w:r>
        <w:rPr>
          <w:rFonts w:hint="eastAsia" w:eastAsia="黑体"/>
          <w:color w:val="000000"/>
          <w:szCs w:val="21"/>
        </w:rPr>
        <w:t xml:space="preserve"> </w:t>
      </w:r>
      <w:r>
        <w:rPr>
          <w:rFonts w:eastAsia="黑体"/>
          <w:color w:val="000000"/>
          <w:szCs w:val="21"/>
        </w:rPr>
        <w:t>精密度</w:t>
      </w:r>
    </w:p>
    <w:p>
      <w:pPr>
        <w:pStyle w:val="8"/>
        <w:spacing w:line="360" w:lineRule="auto"/>
        <w:rPr>
          <w:rFonts w:ascii="Times New Roman" w:hAnsi="Times New Roman" w:eastAsia="黑体" w:cs="Times New Roman"/>
          <w:color w:val="000000"/>
        </w:rPr>
      </w:pPr>
      <w:r>
        <w:rPr>
          <w:rFonts w:hint="eastAsia" w:ascii="Times New Roman" w:hAnsi="Times New Roman" w:eastAsia="黑体" w:cs="Times New Roman"/>
          <w:color w:val="000000"/>
          <w:lang w:val="en-US" w:eastAsia="zh-CN"/>
        </w:rPr>
        <w:t>10</w:t>
      </w:r>
      <w:r>
        <w:rPr>
          <w:rFonts w:ascii="Times New Roman" w:hAnsi="Times New Roman" w:eastAsia="黑体" w:cs="Times New Roman"/>
          <w:color w:val="000000"/>
        </w:rPr>
        <w:t>.1重复性</w:t>
      </w:r>
    </w:p>
    <w:p>
      <w:pPr>
        <w:pStyle w:val="8"/>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在重复性条件下获得的两次独立测试结果的测定值，在以下给出的平均值范围内，这两个测试结果的绝对差值不超过重复性限（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）的情况不超过5%，重复性限（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rPr>
        <w:t>表</w:t>
      </w:r>
      <w:r>
        <w:rPr>
          <w:rFonts w:hint="eastAsia" w:ascii="Times New Roman" w:hAnsi="Times New Roman" w:cs="Times New Roman"/>
        </w:rPr>
        <w:t>2</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rPr>
      </w:pPr>
      <w:r>
        <w:rPr>
          <w:rFonts w:ascii="Times New Roman" w:hAnsi="Times New Roman" w:eastAsia="黑体" w:cs="Times New Roman"/>
        </w:rPr>
        <w:t>表</w:t>
      </w:r>
      <w:r>
        <w:rPr>
          <w:rFonts w:hint="eastAsia" w:ascii="Times New Roman" w:hAnsi="Times New Roman" w:eastAsia="黑体" w:cs="Times New Roman"/>
        </w:rPr>
        <w:t>2</w:t>
      </w:r>
      <w:r>
        <w:rPr>
          <w:rFonts w:ascii="Times New Roman" w:hAnsi="Times New Roman" w:eastAsia="黑体" w:cs="Times New Roman"/>
          <w:color w:val="000000"/>
        </w:rPr>
        <w:t>重复性限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Sb</w:t>
            </w:r>
            <w:r>
              <w:rPr>
                <w:rFonts w:ascii="Times New Roman" w:hAnsi="Times New Roman" w:cs="Times New Roman"/>
                <w:kern w:val="0"/>
                <w:sz w:val="18"/>
                <w:szCs w:val="18"/>
              </w:rPr>
              <w:t>/%</w:t>
            </w:r>
          </w:p>
        </w:tc>
        <w:tc>
          <w:tcPr>
            <w:tcW w:w="1568"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0.15</w:t>
            </w:r>
          </w:p>
        </w:tc>
        <w:tc>
          <w:tcPr>
            <w:tcW w:w="1568" w:type="dxa"/>
            <w:vAlign w:val="bottom"/>
          </w:tcPr>
          <w:p>
            <w:pPr>
              <w:widowControl/>
              <w:jc w:val="center"/>
              <w:rPr>
                <w:rFonts w:hint="eastAsia"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1.1</w:t>
            </w:r>
            <w:r>
              <w:rPr>
                <w:rFonts w:hint="eastAsia" w:cs="Times New Roman"/>
                <w:color w:val="000000"/>
                <w:kern w:val="0"/>
                <w:sz w:val="18"/>
                <w:szCs w:val="18"/>
                <w:lang w:val="en-US" w:eastAsia="zh-CN"/>
              </w:rPr>
              <w:t>5</w:t>
            </w:r>
          </w:p>
        </w:tc>
        <w:tc>
          <w:tcPr>
            <w:tcW w:w="1568"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3.14</w:t>
            </w:r>
          </w:p>
        </w:tc>
        <w:tc>
          <w:tcPr>
            <w:tcW w:w="1568"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5.37</w:t>
            </w:r>
          </w:p>
        </w:tc>
        <w:tc>
          <w:tcPr>
            <w:tcW w:w="1567"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6.65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0.0</w:t>
            </w:r>
            <w:r>
              <w:rPr>
                <w:rFonts w:hint="eastAsia" w:cs="Times New Roman"/>
                <w:color w:val="000000"/>
                <w:kern w:val="0"/>
                <w:sz w:val="18"/>
                <w:szCs w:val="18"/>
                <w:lang w:val="en-US" w:eastAsia="zh-CN"/>
              </w:rPr>
              <w:t>2</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0.06</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0.12</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0.1</w:t>
            </w:r>
            <w:r>
              <w:rPr>
                <w:rFonts w:hint="eastAsia" w:cs="Times New Roman"/>
                <w:color w:val="000000"/>
                <w:kern w:val="0"/>
                <w:sz w:val="18"/>
                <w:szCs w:val="18"/>
                <w:lang w:val="en-US" w:eastAsia="zh-CN"/>
              </w:rPr>
              <w:t>4</w:t>
            </w:r>
          </w:p>
        </w:tc>
        <w:tc>
          <w:tcPr>
            <w:tcW w:w="1567"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w:t>
            </w:r>
            <w:r>
              <w:rPr>
                <w:rFonts w:hint="eastAsia" w:cs="Times New Roman"/>
                <w:color w:val="000000"/>
                <w:kern w:val="0"/>
                <w:sz w:val="18"/>
                <w:szCs w:val="18"/>
                <w:lang w:val="en-US" w:eastAsia="zh-CN"/>
              </w:rPr>
              <w:t>16</w:t>
            </w:r>
          </w:p>
        </w:tc>
      </w:tr>
    </w:tbl>
    <w:p>
      <w:pPr>
        <w:pStyle w:val="8"/>
        <w:rPr>
          <w:rFonts w:ascii="Times New Roman" w:hAnsi="Times New Roman" w:eastAsia="黑体" w:cs="Times New Roman"/>
          <w:color w:val="000000"/>
        </w:rPr>
      </w:pPr>
      <w:r>
        <w:rPr>
          <w:rFonts w:hint="eastAsia" w:ascii="Times New Roman" w:hAnsi="Times New Roman" w:eastAsia="黑体" w:cs="Times New Roman"/>
          <w:color w:val="000000"/>
          <w:lang w:val="en-US" w:eastAsia="zh-CN"/>
        </w:rPr>
        <w:t>10</w:t>
      </w:r>
      <w:r>
        <w:rPr>
          <w:rFonts w:ascii="Times New Roman" w:hAnsi="Times New Roman" w:eastAsia="黑体" w:cs="Times New Roman"/>
          <w:color w:val="000000"/>
        </w:rPr>
        <w:t>.2 再现性</w:t>
      </w:r>
    </w:p>
    <w:p>
      <w:pPr>
        <w:pStyle w:val="8"/>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rPr>
        <w:t>在再现性条件下获得的两次独立测试结果的测定值，在以下给出的平均值范围内，这两个测试结果的绝对差值不超过再现性限（</w:t>
      </w:r>
      <w:r>
        <w:rPr>
          <w:rFonts w:ascii="Times New Roman" w:hAnsi="Times New Roman" w:cs="Times New Roman"/>
          <w:i/>
          <w:color w:val="000000"/>
        </w:rPr>
        <w:t>R</w:t>
      </w:r>
      <w:r>
        <w:rPr>
          <w:rFonts w:ascii="Times New Roman" w:hAnsi="Times New Roman" w:cs="Times New Roman"/>
          <w:color w:val="000000"/>
        </w:rPr>
        <w:t>），超过再现性限（</w:t>
      </w:r>
      <w:r>
        <w:rPr>
          <w:rFonts w:ascii="Times New Roman" w:hAnsi="Times New Roman" w:cs="Times New Roman"/>
          <w:i/>
          <w:color w:val="000000"/>
        </w:rPr>
        <w:t>R</w:t>
      </w:r>
      <w:r>
        <w:rPr>
          <w:rFonts w:ascii="Times New Roman" w:hAnsi="Times New Roman" w:cs="Times New Roman"/>
          <w:color w:val="000000"/>
        </w:rPr>
        <w:t>）的情况不超过5%，再现性限（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color w:val="000000" w:themeColor="text1"/>
          <w14:textFill>
            <w14:solidFill>
              <w14:schemeClr w14:val="tx1"/>
            </w14:solidFill>
          </w14:textFill>
        </w:rPr>
        <w:t>表</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数据采用线性内插法</w:t>
      </w:r>
      <w:r>
        <w:rPr>
          <w:rFonts w:hint="eastAsia" w:ascii="Times New Roman" w:hAnsi="Times New Roman" w:cs="Times New Roman"/>
          <w:color w:val="000000" w:themeColor="text1"/>
          <w14:textFill>
            <w14:solidFill>
              <w14:schemeClr w14:val="tx1"/>
            </w14:solidFill>
          </w14:textFill>
        </w:rPr>
        <w:t>或外延法</w:t>
      </w:r>
      <w:r>
        <w:rPr>
          <w:rFonts w:ascii="Times New Roman" w:hAnsi="Times New Roman" w:cs="Times New Roman"/>
          <w:color w:val="000000" w:themeColor="text1"/>
          <w14:textFill>
            <w14:solidFill>
              <w14:schemeClr w14:val="tx1"/>
            </w14:solidFill>
          </w14:textFill>
        </w:rPr>
        <w:t>求得：</w:t>
      </w:r>
    </w:p>
    <w:p>
      <w:pPr>
        <w:pStyle w:val="8"/>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w:t>
      </w:r>
      <w:r>
        <w:rPr>
          <w:rFonts w:hint="eastAsia" w:ascii="Times New Roman" w:hAnsi="Times New Roman" w:eastAsia="黑体" w:cs="Times New Roman"/>
          <w:color w:val="000000" w:themeColor="text1"/>
          <w14:textFill>
            <w14:solidFill>
              <w14:schemeClr w14:val="tx1"/>
            </w14:solidFill>
          </w14:textFill>
        </w:rPr>
        <w:t>3</w:t>
      </w:r>
      <w:r>
        <w:rPr>
          <w:rFonts w:ascii="Times New Roman" w:hAnsi="Times New Roman" w:eastAsia="黑体" w:cs="Times New Roman"/>
          <w:color w:val="000000" w:themeColor="text1"/>
          <w14:textFill>
            <w14:solidFill>
              <w14:schemeClr w14:val="tx1"/>
            </w14:solidFill>
          </w14:textFill>
        </w:rPr>
        <w:t>再现性限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Sb</w:t>
            </w:r>
            <w:r>
              <w:rPr>
                <w:rFonts w:ascii="Times New Roman" w:hAnsi="Times New Roman" w:cs="Times New Roman"/>
                <w:kern w:val="0"/>
                <w:sz w:val="18"/>
                <w:szCs w:val="18"/>
              </w:rPr>
              <w:t>/%</w:t>
            </w:r>
          </w:p>
        </w:tc>
        <w:tc>
          <w:tcPr>
            <w:tcW w:w="1568"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0.15</w:t>
            </w:r>
          </w:p>
        </w:tc>
        <w:tc>
          <w:tcPr>
            <w:tcW w:w="1568" w:type="dxa"/>
            <w:vAlign w:val="bottom"/>
          </w:tcPr>
          <w:p>
            <w:pPr>
              <w:widowControl/>
              <w:jc w:val="center"/>
              <w:rPr>
                <w:rFonts w:hint="eastAsia"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1.1</w:t>
            </w:r>
            <w:r>
              <w:rPr>
                <w:rFonts w:hint="eastAsia" w:cs="Times New Roman"/>
                <w:color w:val="000000"/>
                <w:kern w:val="0"/>
                <w:sz w:val="18"/>
                <w:szCs w:val="18"/>
                <w:lang w:val="en-US" w:eastAsia="zh-CN"/>
              </w:rPr>
              <w:t>5</w:t>
            </w:r>
          </w:p>
        </w:tc>
        <w:tc>
          <w:tcPr>
            <w:tcW w:w="1568"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3.14</w:t>
            </w:r>
          </w:p>
        </w:tc>
        <w:tc>
          <w:tcPr>
            <w:tcW w:w="1568"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5.37</w:t>
            </w:r>
          </w:p>
        </w:tc>
        <w:tc>
          <w:tcPr>
            <w:tcW w:w="1567" w:type="dxa"/>
            <w:vAlign w:val="bottom"/>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6.65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hint="eastAsia"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0.0</w:t>
            </w:r>
            <w:r>
              <w:rPr>
                <w:rFonts w:hint="eastAsia" w:cs="Times New Roman"/>
                <w:color w:val="000000"/>
                <w:kern w:val="0"/>
                <w:sz w:val="18"/>
                <w:szCs w:val="18"/>
                <w:lang w:val="en-US" w:eastAsia="zh-CN"/>
              </w:rPr>
              <w:t>3</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w:t>
            </w:r>
            <w:r>
              <w:rPr>
                <w:rFonts w:hint="eastAsia" w:ascii="Times New Roman" w:hAnsi="Times New Roman" w:cs="Times New Roman"/>
                <w:color w:val="000000"/>
                <w:kern w:val="0"/>
                <w:sz w:val="18"/>
                <w:szCs w:val="18"/>
                <w:lang w:val="en-US" w:eastAsia="zh-CN"/>
              </w:rPr>
              <w:t>.11</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0.18</w:t>
            </w:r>
          </w:p>
        </w:tc>
        <w:tc>
          <w:tcPr>
            <w:tcW w:w="1568"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0.2</w:t>
            </w:r>
            <w:r>
              <w:rPr>
                <w:rFonts w:hint="eastAsia" w:cs="Times New Roman"/>
                <w:color w:val="000000"/>
                <w:kern w:val="0"/>
                <w:sz w:val="18"/>
                <w:szCs w:val="18"/>
                <w:lang w:val="en-US" w:eastAsia="zh-CN"/>
              </w:rPr>
              <w:t>5</w:t>
            </w:r>
          </w:p>
        </w:tc>
        <w:tc>
          <w:tcPr>
            <w:tcW w:w="1567"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0.3</w:t>
            </w:r>
            <w:r>
              <w:rPr>
                <w:rFonts w:hint="eastAsia" w:cs="Times New Roman"/>
                <w:color w:val="000000"/>
                <w:kern w:val="0"/>
                <w:sz w:val="18"/>
                <w:szCs w:val="18"/>
                <w:lang w:val="en-US" w:eastAsia="zh-CN"/>
              </w:rPr>
              <w:t>0</w:t>
            </w:r>
          </w:p>
        </w:tc>
      </w:tr>
    </w:tbl>
    <w:p>
      <w:pPr>
        <w:pStyle w:val="8"/>
        <w:spacing w:before="156" w:beforeLines="50" w:line="360" w:lineRule="auto"/>
        <w:rPr>
          <w:rFonts w:ascii="Times New Roman" w:hAnsi="Times New Roman" w:eastAsia="黑体" w:cs="Times New Roman"/>
          <w:color w:val="000000"/>
        </w:rPr>
      </w:pPr>
      <w:r>
        <w:rPr>
          <w:rFonts w:hint="eastAsia" w:ascii="Times New Roman" w:hAnsi="Times New Roman" w:eastAsia="黑体" w:cs="Times New Roman"/>
          <w:color w:val="000000"/>
          <w:lang w:val="en-US" w:eastAsia="zh-CN"/>
        </w:rPr>
        <w:t>11</w:t>
      </w:r>
      <w:r>
        <w:rPr>
          <w:rFonts w:hint="eastAsia" w:ascii="Times New Roman" w:hAnsi="Times New Roman" w:eastAsia="黑体" w:cs="Times New Roman"/>
          <w:color w:val="000000"/>
        </w:rPr>
        <w:t xml:space="preserve"> </w:t>
      </w:r>
      <w:r>
        <w:rPr>
          <w:rFonts w:ascii="Times New Roman" w:hAnsi="Times New Roman" w:eastAsia="黑体" w:cs="Times New Roman"/>
          <w:color w:val="000000"/>
        </w:rPr>
        <w:t>试验报告</w:t>
      </w:r>
    </w:p>
    <w:p>
      <w:pPr>
        <w:ind w:firstLine="420" w:firstLineChars="200"/>
        <w:rPr>
          <w:rFonts w:ascii="宋体" w:hAnsi="宋体"/>
          <w:szCs w:val="21"/>
        </w:rPr>
      </w:pPr>
      <w:r>
        <w:rPr>
          <w:rFonts w:hint="eastAsia" w:ascii="宋体" w:hAnsi="宋体"/>
          <w:szCs w:val="21"/>
        </w:rPr>
        <w:t>本章规定试验报告所包括的内容。至少应给出以下几个方面的内容：</w:t>
      </w:r>
    </w:p>
    <w:p>
      <w:pPr>
        <w:ind w:firstLine="420" w:firstLineChars="200"/>
        <w:rPr>
          <w:rFonts w:eastAsiaTheme="minorEastAsia"/>
        </w:rPr>
      </w:pPr>
      <w:r>
        <w:rPr>
          <w:rFonts w:hint="eastAsia" w:eastAsiaTheme="minorEastAsia"/>
        </w:rPr>
        <w:t>——试样；</w:t>
      </w:r>
    </w:p>
    <w:p>
      <w:pPr>
        <w:ind w:firstLine="420" w:firstLineChars="200"/>
        <w:rPr>
          <w:rFonts w:eastAsiaTheme="minorEastAsia"/>
        </w:rPr>
      </w:pPr>
      <w:r>
        <w:rPr>
          <w:rFonts w:hint="eastAsia" w:eastAsiaTheme="minorEastAsia"/>
        </w:rPr>
        <w:t>——使用的标准（YS/TXXXX.9-201X）；</w:t>
      </w:r>
    </w:p>
    <w:p>
      <w:pPr>
        <w:ind w:firstLine="420" w:firstLineChars="200"/>
        <w:rPr>
          <w:rFonts w:eastAsiaTheme="minorEastAsia"/>
        </w:rPr>
      </w:pPr>
      <w:r>
        <w:rPr>
          <w:rFonts w:hint="eastAsia" w:eastAsiaTheme="minorEastAsia"/>
        </w:rPr>
        <w:t>——分析结果及其表示；</w:t>
      </w:r>
    </w:p>
    <w:p>
      <w:pPr>
        <w:ind w:firstLine="420" w:firstLineChars="200"/>
        <w:rPr>
          <w:rFonts w:eastAsiaTheme="minorEastAsia"/>
        </w:rPr>
      </w:pPr>
      <w:r>
        <w:rPr>
          <w:rFonts w:hint="eastAsia" w:eastAsiaTheme="minorEastAsia"/>
        </w:rPr>
        <w:t>——与基本分析步骤的差异；</w:t>
      </w:r>
    </w:p>
    <w:p>
      <w:pPr>
        <w:ind w:firstLine="420" w:firstLineChars="200"/>
        <w:rPr>
          <w:rFonts w:eastAsiaTheme="minorEastAsia"/>
        </w:rPr>
      </w:pPr>
      <w:r>
        <w:rPr>
          <w:rFonts w:hint="eastAsia" w:eastAsiaTheme="minorEastAsia"/>
        </w:rPr>
        <w:t>——测定中观察到的异常现象；</w:t>
      </w:r>
    </w:p>
    <w:p>
      <w:pPr>
        <w:ind w:firstLine="420" w:firstLineChars="200"/>
        <w:rPr>
          <w:rFonts w:hint="eastAsia" w:eastAsiaTheme="minorEastAsia"/>
        </w:rPr>
      </w:pPr>
      <w:r>
        <w:rPr>
          <w:rFonts w:hint="eastAsia" w:eastAsiaTheme="minorEastAsia"/>
        </w:rPr>
        <w:t>——试验日期。</w:t>
      </w:r>
    </w:p>
    <w:p>
      <w:pPr>
        <w:ind w:firstLine="420" w:firstLineChars="200"/>
        <w:rPr>
          <w:rFonts w:hint="eastAsia" w:eastAsiaTheme="minorEastAsia"/>
        </w:rPr>
      </w:pPr>
    </w:p>
    <w:p>
      <w:pPr>
        <w:ind w:firstLine="420" w:firstLineChars="200"/>
        <w:rPr>
          <w:rFonts w:hint="eastAsia" w:eastAsiaTheme="minorEastAsia"/>
        </w:rPr>
      </w:pPr>
    </w:p>
    <w:p>
      <w:pPr>
        <w:ind w:firstLine="420" w:firstLineChars="200"/>
        <w:rPr>
          <w:rFonts w:hint="eastAsia" w:eastAsiaTheme="minorEastAsia"/>
        </w:rPr>
      </w:pPr>
    </w:p>
    <w:p>
      <w:pPr>
        <w:ind w:firstLine="420" w:firstLineChars="200"/>
        <w:rPr>
          <w:rFonts w:hint="eastAsia" w:eastAsiaTheme="minorEastAsia"/>
        </w:rPr>
      </w:pPr>
      <w:r>
        <w:rPr>
          <w:sz w:val="21"/>
        </w:rPr>
        <mc:AlternateContent>
          <mc:Choice Requires="wps">
            <w:drawing>
              <wp:anchor distT="0" distB="0" distL="114300" distR="114300" simplePos="0" relativeHeight="251670528" behindDoc="0" locked="0" layoutInCell="1" allowOverlap="1">
                <wp:simplePos x="0" y="0"/>
                <wp:positionH relativeFrom="column">
                  <wp:posOffset>846455</wp:posOffset>
                </wp:positionH>
                <wp:positionV relativeFrom="paragraph">
                  <wp:posOffset>360045</wp:posOffset>
                </wp:positionV>
                <wp:extent cx="3295650" cy="0"/>
                <wp:effectExtent l="0" t="0" r="0" b="0"/>
                <wp:wrapNone/>
                <wp:docPr id="7" name="直接连接符 7"/>
                <wp:cNvGraphicFramePr/>
                <a:graphic xmlns:a="http://schemas.openxmlformats.org/drawingml/2006/main">
                  <a:graphicData uri="http://schemas.microsoft.com/office/word/2010/wordprocessingShape">
                    <wps:wsp>
                      <wps:cNvCnPr/>
                      <wps:spPr>
                        <a:xfrm>
                          <a:off x="1746885" y="7976235"/>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6.65pt;margin-top:28.35pt;height:0pt;width:259.5pt;z-index:251670528;mso-width-relative:page;mso-height-relative:page;" filled="f" stroked="t" coordsize="21600,21600" o:gfxdata="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0fktUAAAAJAQAADwAAAAAAAAABACAAAAAiAAAAZHJzL2Rv&#10;d25yZXYueG1sUEsBAhQAFAAAAAgAh07iQGO6wuTLAQAAWAMAAA4AAAAAAAAAAQAgAAAAJAEAAGRy&#10;cy9lMm9Eb2MueG1sUEsFBgAAAAAGAAYAWQEAAGEFAAAAAA==&#10;">
                <v:fill on="f" focussize="0,0"/>
                <v:stroke color="#000000 [3213]" joinstyle="round"/>
                <v:imagedata o:title=""/>
                <o:lock v:ext="edit" aspectratio="f"/>
              </v:line>
            </w:pict>
          </mc:Fallback>
        </mc:AlternateContent>
      </w:r>
    </w:p>
    <w:sectPr>
      <w:headerReference r:id="rId10"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20"/>
      </w:rPr>
    </w:pPr>
    <w:r>
      <w:fldChar w:fldCharType="begin"/>
    </w:r>
    <w:r>
      <w:rPr>
        <w:rStyle w:val="20"/>
      </w:rPr>
      <w:instrText xml:space="preserve">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20"/>
      </w:rPr>
    </w:pPr>
    <w:r>
      <w:fldChar w:fldCharType="begin"/>
    </w:r>
    <w:r>
      <w:rPr>
        <w:rStyle w:val="2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760" w:right="360" w:hanging="5760" w:hangingChars="3200"/>
      <w:jc w:val="right"/>
    </w:pPr>
    <w:r>
      <w:fldChar w:fldCharType="begin"/>
    </w:r>
    <w:r>
      <w:rPr>
        <w:rStyle w:val="20"/>
      </w:rPr>
      <w:instrText xml:space="preserve"> PAGE </w:instrText>
    </w:r>
    <w:r>
      <w:fldChar w:fldCharType="separate"/>
    </w:r>
    <w:r>
      <w:rPr>
        <w:rStyle w:val="20"/>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080" w:firstLine="360" w:firstLineChars="200"/>
    </w:pPr>
    <w:r>
      <w:fldChar w:fldCharType="begin"/>
    </w:r>
    <w:r>
      <w:rPr>
        <w:rStyle w:val="20"/>
      </w:rPr>
      <w:instrText xml:space="preserve"> PAGE </w:instrText>
    </w:r>
    <w:r>
      <w:fldChar w:fldCharType="separate"/>
    </w:r>
    <w:r>
      <w:rPr>
        <w:rStyle w:val="20"/>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XXXX.9—201X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XXXX.9—201X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8"/>
    <w:rsid w:val="00014B88"/>
    <w:rsid w:val="00027BA0"/>
    <w:rsid w:val="000432EF"/>
    <w:rsid w:val="0004455F"/>
    <w:rsid w:val="00057B3A"/>
    <w:rsid w:val="0006521B"/>
    <w:rsid w:val="000755C8"/>
    <w:rsid w:val="00075FBE"/>
    <w:rsid w:val="000776E4"/>
    <w:rsid w:val="00087634"/>
    <w:rsid w:val="00094A72"/>
    <w:rsid w:val="0009638A"/>
    <w:rsid w:val="000B3960"/>
    <w:rsid w:val="000B4D68"/>
    <w:rsid w:val="000D3A0B"/>
    <w:rsid w:val="000D5DEA"/>
    <w:rsid w:val="000E462A"/>
    <w:rsid w:val="000F1E08"/>
    <w:rsid w:val="00103DBF"/>
    <w:rsid w:val="001044EF"/>
    <w:rsid w:val="00106436"/>
    <w:rsid w:val="00107ED3"/>
    <w:rsid w:val="00110915"/>
    <w:rsid w:val="0011217A"/>
    <w:rsid w:val="001125F2"/>
    <w:rsid w:val="00113873"/>
    <w:rsid w:val="00117138"/>
    <w:rsid w:val="00122BAB"/>
    <w:rsid w:val="00127362"/>
    <w:rsid w:val="0013177C"/>
    <w:rsid w:val="00132043"/>
    <w:rsid w:val="00140F04"/>
    <w:rsid w:val="00141170"/>
    <w:rsid w:val="001516A2"/>
    <w:rsid w:val="00152FB1"/>
    <w:rsid w:val="00154DAB"/>
    <w:rsid w:val="001705DD"/>
    <w:rsid w:val="00170A6D"/>
    <w:rsid w:val="00171A10"/>
    <w:rsid w:val="00174FEA"/>
    <w:rsid w:val="001A0390"/>
    <w:rsid w:val="001A05FF"/>
    <w:rsid w:val="001A618B"/>
    <w:rsid w:val="001A6F15"/>
    <w:rsid w:val="001B46B1"/>
    <w:rsid w:val="001B4CFC"/>
    <w:rsid w:val="001C33A5"/>
    <w:rsid w:val="001D1C88"/>
    <w:rsid w:val="001D1D1D"/>
    <w:rsid w:val="001D1D7B"/>
    <w:rsid w:val="001D2E90"/>
    <w:rsid w:val="001E1055"/>
    <w:rsid w:val="001E184B"/>
    <w:rsid w:val="001F2046"/>
    <w:rsid w:val="001F2C85"/>
    <w:rsid w:val="001F3F3F"/>
    <w:rsid w:val="001F5732"/>
    <w:rsid w:val="001F5775"/>
    <w:rsid w:val="002111FE"/>
    <w:rsid w:val="00211F4A"/>
    <w:rsid w:val="00217F9C"/>
    <w:rsid w:val="002255A0"/>
    <w:rsid w:val="002272F3"/>
    <w:rsid w:val="00241A83"/>
    <w:rsid w:val="00241D04"/>
    <w:rsid w:val="00254006"/>
    <w:rsid w:val="00254AB8"/>
    <w:rsid w:val="0025790D"/>
    <w:rsid w:val="002626C0"/>
    <w:rsid w:val="00286298"/>
    <w:rsid w:val="00286519"/>
    <w:rsid w:val="002A2B66"/>
    <w:rsid w:val="002B1282"/>
    <w:rsid w:val="002B7603"/>
    <w:rsid w:val="002C0372"/>
    <w:rsid w:val="002C1F9F"/>
    <w:rsid w:val="002C37A1"/>
    <w:rsid w:val="002C52C9"/>
    <w:rsid w:val="002D36A3"/>
    <w:rsid w:val="002E17EF"/>
    <w:rsid w:val="002E5440"/>
    <w:rsid w:val="002F4261"/>
    <w:rsid w:val="00301C4F"/>
    <w:rsid w:val="00335A33"/>
    <w:rsid w:val="003415DC"/>
    <w:rsid w:val="003576CF"/>
    <w:rsid w:val="00373167"/>
    <w:rsid w:val="00376C9E"/>
    <w:rsid w:val="00377C39"/>
    <w:rsid w:val="00380AC1"/>
    <w:rsid w:val="00381FD2"/>
    <w:rsid w:val="003850A7"/>
    <w:rsid w:val="00387A16"/>
    <w:rsid w:val="0039284D"/>
    <w:rsid w:val="003C0D2D"/>
    <w:rsid w:val="003C70DF"/>
    <w:rsid w:val="003D400B"/>
    <w:rsid w:val="003E08BD"/>
    <w:rsid w:val="003E0DCB"/>
    <w:rsid w:val="003F2EAE"/>
    <w:rsid w:val="003F3B9B"/>
    <w:rsid w:val="003F4DD9"/>
    <w:rsid w:val="0040344B"/>
    <w:rsid w:val="004236C0"/>
    <w:rsid w:val="004372C6"/>
    <w:rsid w:val="004470A4"/>
    <w:rsid w:val="0045627E"/>
    <w:rsid w:val="004607CD"/>
    <w:rsid w:val="00473CB9"/>
    <w:rsid w:val="004745F1"/>
    <w:rsid w:val="00494540"/>
    <w:rsid w:val="00495D85"/>
    <w:rsid w:val="004B0838"/>
    <w:rsid w:val="004B26B6"/>
    <w:rsid w:val="004B2ECF"/>
    <w:rsid w:val="004C1ADB"/>
    <w:rsid w:val="004C5E08"/>
    <w:rsid w:val="004C72B1"/>
    <w:rsid w:val="004D3DBA"/>
    <w:rsid w:val="004E17CB"/>
    <w:rsid w:val="004E4D43"/>
    <w:rsid w:val="004E4EC3"/>
    <w:rsid w:val="004F1A83"/>
    <w:rsid w:val="00504F9D"/>
    <w:rsid w:val="005123F2"/>
    <w:rsid w:val="0052067D"/>
    <w:rsid w:val="005259EE"/>
    <w:rsid w:val="005358DB"/>
    <w:rsid w:val="00551AE0"/>
    <w:rsid w:val="00556B83"/>
    <w:rsid w:val="00560B95"/>
    <w:rsid w:val="00565CE5"/>
    <w:rsid w:val="00567AE5"/>
    <w:rsid w:val="00570EC2"/>
    <w:rsid w:val="0058141B"/>
    <w:rsid w:val="00586BF8"/>
    <w:rsid w:val="005A0D11"/>
    <w:rsid w:val="005A6101"/>
    <w:rsid w:val="005A79BD"/>
    <w:rsid w:val="005B5EB1"/>
    <w:rsid w:val="005B6E89"/>
    <w:rsid w:val="005C5E8E"/>
    <w:rsid w:val="005D1857"/>
    <w:rsid w:val="005E5033"/>
    <w:rsid w:val="005E6494"/>
    <w:rsid w:val="005F2EFF"/>
    <w:rsid w:val="005F5C10"/>
    <w:rsid w:val="005F7DF8"/>
    <w:rsid w:val="00602E43"/>
    <w:rsid w:val="00605E80"/>
    <w:rsid w:val="00610C50"/>
    <w:rsid w:val="00611F7E"/>
    <w:rsid w:val="006135FE"/>
    <w:rsid w:val="00625D7D"/>
    <w:rsid w:val="00626003"/>
    <w:rsid w:val="00633B57"/>
    <w:rsid w:val="00635D6D"/>
    <w:rsid w:val="006465CE"/>
    <w:rsid w:val="00646D48"/>
    <w:rsid w:val="00646FFF"/>
    <w:rsid w:val="0065565D"/>
    <w:rsid w:val="00660739"/>
    <w:rsid w:val="00661E37"/>
    <w:rsid w:val="00674DEC"/>
    <w:rsid w:val="00683D80"/>
    <w:rsid w:val="00685BF1"/>
    <w:rsid w:val="00686364"/>
    <w:rsid w:val="00697B3D"/>
    <w:rsid w:val="006A008A"/>
    <w:rsid w:val="006B26BE"/>
    <w:rsid w:val="006C3D67"/>
    <w:rsid w:val="006C6D99"/>
    <w:rsid w:val="006D068B"/>
    <w:rsid w:val="006D0AC4"/>
    <w:rsid w:val="006D10D9"/>
    <w:rsid w:val="006D7225"/>
    <w:rsid w:val="006E5DF7"/>
    <w:rsid w:val="006F0DB3"/>
    <w:rsid w:val="006F747A"/>
    <w:rsid w:val="007005FB"/>
    <w:rsid w:val="0070348E"/>
    <w:rsid w:val="007052B8"/>
    <w:rsid w:val="00706265"/>
    <w:rsid w:val="0072752D"/>
    <w:rsid w:val="007304F5"/>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7FCC"/>
    <w:rsid w:val="00793CBC"/>
    <w:rsid w:val="0079748E"/>
    <w:rsid w:val="007A02EB"/>
    <w:rsid w:val="007A3130"/>
    <w:rsid w:val="007B63B2"/>
    <w:rsid w:val="007B769A"/>
    <w:rsid w:val="007C2608"/>
    <w:rsid w:val="007C67DB"/>
    <w:rsid w:val="007D33C4"/>
    <w:rsid w:val="007E243A"/>
    <w:rsid w:val="007E779C"/>
    <w:rsid w:val="007E7BE6"/>
    <w:rsid w:val="007F2E8E"/>
    <w:rsid w:val="007F728F"/>
    <w:rsid w:val="00820A8C"/>
    <w:rsid w:val="008304AD"/>
    <w:rsid w:val="00837021"/>
    <w:rsid w:val="00847FFE"/>
    <w:rsid w:val="008537B3"/>
    <w:rsid w:val="0085384C"/>
    <w:rsid w:val="00854280"/>
    <w:rsid w:val="00856CC5"/>
    <w:rsid w:val="00863034"/>
    <w:rsid w:val="00874B46"/>
    <w:rsid w:val="00881414"/>
    <w:rsid w:val="0088509B"/>
    <w:rsid w:val="008A08AC"/>
    <w:rsid w:val="008B496A"/>
    <w:rsid w:val="008B6938"/>
    <w:rsid w:val="008C2C03"/>
    <w:rsid w:val="008D2A77"/>
    <w:rsid w:val="008D3E76"/>
    <w:rsid w:val="008D6391"/>
    <w:rsid w:val="008D64D1"/>
    <w:rsid w:val="008D713D"/>
    <w:rsid w:val="008E2846"/>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32DE5"/>
    <w:rsid w:val="00941359"/>
    <w:rsid w:val="0094674B"/>
    <w:rsid w:val="009519A7"/>
    <w:rsid w:val="0096485C"/>
    <w:rsid w:val="00967B79"/>
    <w:rsid w:val="00970ABA"/>
    <w:rsid w:val="009743DC"/>
    <w:rsid w:val="00977852"/>
    <w:rsid w:val="00982971"/>
    <w:rsid w:val="00986C64"/>
    <w:rsid w:val="00991520"/>
    <w:rsid w:val="00993884"/>
    <w:rsid w:val="009953DC"/>
    <w:rsid w:val="009A3D4B"/>
    <w:rsid w:val="009A5EA1"/>
    <w:rsid w:val="009B5E5C"/>
    <w:rsid w:val="009C2687"/>
    <w:rsid w:val="009C6558"/>
    <w:rsid w:val="009D1EE9"/>
    <w:rsid w:val="009D26F0"/>
    <w:rsid w:val="009D58BA"/>
    <w:rsid w:val="009D6B6D"/>
    <w:rsid w:val="009D72B2"/>
    <w:rsid w:val="009F19FE"/>
    <w:rsid w:val="009F4685"/>
    <w:rsid w:val="00A02B17"/>
    <w:rsid w:val="00A0765A"/>
    <w:rsid w:val="00A22E9B"/>
    <w:rsid w:val="00A27DB3"/>
    <w:rsid w:val="00A309EA"/>
    <w:rsid w:val="00A32661"/>
    <w:rsid w:val="00A32AA4"/>
    <w:rsid w:val="00A354C1"/>
    <w:rsid w:val="00A35F0C"/>
    <w:rsid w:val="00A3699A"/>
    <w:rsid w:val="00A41FF7"/>
    <w:rsid w:val="00A44D05"/>
    <w:rsid w:val="00A46C27"/>
    <w:rsid w:val="00A545E1"/>
    <w:rsid w:val="00A57EC3"/>
    <w:rsid w:val="00A6127B"/>
    <w:rsid w:val="00A62C12"/>
    <w:rsid w:val="00A66695"/>
    <w:rsid w:val="00A72F4D"/>
    <w:rsid w:val="00A739A7"/>
    <w:rsid w:val="00A756F1"/>
    <w:rsid w:val="00A7601E"/>
    <w:rsid w:val="00A7689C"/>
    <w:rsid w:val="00A77A71"/>
    <w:rsid w:val="00A958D4"/>
    <w:rsid w:val="00A95986"/>
    <w:rsid w:val="00A97875"/>
    <w:rsid w:val="00AA329A"/>
    <w:rsid w:val="00AA5B16"/>
    <w:rsid w:val="00AA78EF"/>
    <w:rsid w:val="00AD3AB0"/>
    <w:rsid w:val="00AD570F"/>
    <w:rsid w:val="00AD609C"/>
    <w:rsid w:val="00AE0C2C"/>
    <w:rsid w:val="00AE196F"/>
    <w:rsid w:val="00AE5335"/>
    <w:rsid w:val="00AF22F5"/>
    <w:rsid w:val="00AF748A"/>
    <w:rsid w:val="00B06E4D"/>
    <w:rsid w:val="00B10172"/>
    <w:rsid w:val="00B11ECD"/>
    <w:rsid w:val="00B17611"/>
    <w:rsid w:val="00B221C7"/>
    <w:rsid w:val="00B30563"/>
    <w:rsid w:val="00B30878"/>
    <w:rsid w:val="00B3667B"/>
    <w:rsid w:val="00B40FDC"/>
    <w:rsid w:val="00B526DC"/>
    <w:rsid w:val="00B52F53"/>
    <w:rsid w:val="00B63A2D"/>
    <w:rsid w:val="00B65877"/>
    <w:rsid w:val="00B7224B"/>
    <w:rsid w:val="00B7466C"/>
    <w:rsid w:val="00B7469A"/>
    <w:rsid w:val="00B810F0"/>
    <w:rsid w:val="00B83000"/>
    <w:rsid w:val="00B86015"/>
    <w:rsid w:val="00B92074"/>
    <w:rsid w:val="00B93C3C"/>
    <w:rsid w:val="00B942F7"/>
    <w:rsid w:val="00B953A3"/>
    <w:rsid w:val="00B969E7"/>
    <w:rsid w:val="00B978C7"/>
    <w:rsid w:val="00BA4AAE"/>
    <w:rsid w:val="00BA7BC3"/>
    <w:rsid w:val="00BB1E63"/>
    <w:rsid w:val="00BB52DC"/>
    <w:rsid w:val="00BB6CEF"/>
    <w:rsid w:val="00BC4F7A"/>
    <w:rsid w:val="00BC7609"/>
    <w:rsid w:val="00BD206B"/>
    <w:rsid w:val="00BD47D1"/>
    <w:rsid w:val="00BD6BA5"/>
    <w:rsid w:val="00BE1BD6"/>
    <w:rsid w:val="00BE7CAC"/>
    <w:rsid w:val="00BE7E35"/>
    <w:rsid w:val="00C14907"/>
    <w:rsid w:val="00C170D3"/>
    <w:rsid w:val="00C22670"/>
    <w:rsid w:val="00C251E7"/>
    <w:rsid w:val="00C320B8"/>
    <w:rsid w:val="00C32604"/>
    <w:rsid w:val="00C358FB"/>
    <w:rsid w:val="00C42038"/>
    <w:rsid w:val="00C45356"/>
    <w:rsid w:val="00C6323A"/>
    <w:rsid w:val="00C702A0"/>
    <w:rsid w:val="00C71C06"/>
    <w:rsid w:val="00C83ECF"/>
    <w:rsid w:val="00C91227"/>
    <w:rsid w:val="00C9540A"/>
    <w:rsid w:val="00CA26A6"/>
    <w:rsid w:val="00CB0B4B"/>
    <w:rsid w:val="00CC0042"/>
    <w:rsid w:val="00CC68C8"/>
    <w:rsid w:val="00CD180A"/>
    <w:rsid w:val="00CE0FF0"/>
    <w:rsid w:val="00CE7430"/>
    <w:rsid w:val="00D261F2"/>
    <w:rsid w:val="00D32A04"/>
    <w:rsid w:val="00D41F15"/>
    <w:rsid w:val="00D51F1F"/>
    <w:rsid w:val="00D57B96"/>
    <w:rsid w:val="00D72CF4"/>
    <w:rsid w:val="00D77593"/>
    <w:rsid w:val="00D80EC2"/>
    <w:rsid w:val="00D91BEC"/>
    <w:rsid w:val="00D92D4A"/>
    <w:rsid w:val="00D95856"/>
    <w:rsid w:val="00DA1C54"/>
    <w:rsid w:val="00DA3EC1"/>
    <w:rsid w:val="00DB44B4"/>
    <w:rsid w:val="00DB7F1C"/>
    <w:rsid w:val="00DC7B26"/>
    <w:rsid w:val="00DD1CB8"/>
    <w:rsid w:val="00DD488B"/>
    <w:rsid w:val="00DD614F"/>
    <w:rsid w:val="00E01A41"/>
    <w:rsid w:val="00E122BD"/>
    <w:rsid w:val="00E34166"/>
    <w:rsid w:val="00E402AF"/>
    <w:rsid w:val="00E4557F"/>
    <w:rsid w:val="00E468E4"/>
    <w:rsid w:val="00E62B53"/>
    <w:rsid w:val="00E81A12"/>
    <w:rsid w:val="00E868B8"/>
    <w:rsid w:val="00E909DD"/>
    <w:rsid w:val="00E9789F"/>
    <w:rsid w:val="00EB0166"/>
    <w:rsid w:val="00EB7F83"/>
    <w:rsid w:val="00ED1ADE"/>
    <w:rsid w:val="00ED7A5C"/>
    <w:rsid w:val="00ED7C1C"/>
    <w:rsid w:val="00EE3158"/>
    <w:rsid w:val="00EE67EA"/>
    <w:rsid w:val="00EE6ACC"/>
    <w:rsid w:val="00EF1CA6"/>
    <w:rsid w:val="00EF31CE"/>
    <w:rsid w:val="00F033AB"/>
    <w:rsid w:val="00F1184A"/>
    <w:rsid w:val="00F1377C"/>
    <w:rsid w:val="00F14E6F"/>
    <w:rsid w:val="00F21A09"/>
    <w:rsid w:val="00F22820"/>
    <w:rsid w:val="00F2319F"/>
    <w:rsid w:val="00F27887"/>
    <w:rsid w:val="00F34DF6"/>
    <w:rsid w:val="00F4466B"/>
    <w:rsid w:val="00F52A05"/>
    <w:rsid w:val="00F57E77"/>
    <w:rsid w:val="00F739B2"/>
    <w:rsid w:val="00F76DDE"/>
    <w:rsid w:val="00F82EA4"/>
    <w:rsid w:val="00F84333"/>
    <w:rsid w:val="00F85815"/>
    <w:rsid w:val="00F85C62"/>
    <w:rsid w:val="00F8622B"/>
    <w:rsid w:val="00F868D3"/>
    <w:rsid w:val="00F9049F"/>
    <w:rsid w:val="00F944E1"/>
    <w:rsid w:val="00FB1F8B"/>
    <w:rsid w:val="00FB7939"/>
    <w:rsid w:val="00FC65F1"/>
    <w:rsid w:val="00FD430F"/>
    <w:rsid w:val="00FD6533"/>
    <w:rsid w:val="00FE076F"/>
    <w:rsid w:val="00FE2FD8"/>
    <w:rsid w:val="00FF3077"/>
    <w:rsid w:val="00FF6B79"/>
    <w:rsid w:val="00FF7AEF"/>
    <w:rsid w:val="07A27F9D"/>
    <w:rsid w:val="086F7515"/>
    <w:rsid w:val="0AF63ECF"/>
    <w:rsid w:val="0B1968D0"/>
    <w:rsid w:val="0E14250B"/>
    <w:rsid w:val="1035437A"/>
    <w:rsid w:val="113D7B45"/>
    <w:rsid w:val="11F31E78"/>
    <w:rsid w:val="13681E92"/>
    <w:rsid w:val="150D059F"/>
    <w:rsid w:val="15C846D6"/>
    <w:rsid w:val="163C3F02"/>
    <w:rsid w:val="175D05B7"/>
    <w:rsid w:val="193D1F75"/>
    <w:rsid w:val="1B7A5616"/>
    <w:rsid w:val="1BF23AAA"/>
    <w:rsid w:val="1EAA4FD1"/>
    <w:rsid w:val="1F2C240E"/>
    <w:rsid w:val="25DF205D"/>
    <w:rsid w:val="2A132460"/>
    <w:rsid w:val="2B0425D4"/>
    <w:rsid w:val="2D937A17"/>
    <w:rsid w:val="30C819DB"/>
    <w:rsid w:val="38A8514A"/>
    <w:rsid w:val="3F01162D"/>
    <w:rsid w:val="42961585"/>
    <w:rsid w:val="43D16799"/>
    <w:rsid w:val="44CC5677"/>
    <w:rsid w:val="473E23A2"/>
    <w:rsid w:val="4A3F72C9"/>
    <w:rsid w:val="4E37771C"/>
    <w:rsid w:val="4F16663E"/>
    <w:rsid w:val="525D44AE"/>
    <w:rsid w:val="561167AC"/>
    <w:rsid w:val="562E3ED1"/>
    <w:rsid w:val="57754FC4"/>
    <w:rsid w:val="57C84862"/>
    <w:rsid w:val="58023654"/>
    <w:rsid w:val="5B7A347E"/>
    <w:rsid w:val="5C4F4EC0"/>
    <w:rsid w:val="5D0F3956"/>
    <w:rsid w:val="626A5DAB"/>
    <w:rsid w:val="671B1667"/>
    <w:rsid w:val="6BBB2046"/>
    <w:rsid w:val="6BD66ECA"/>
    <w:rsid w:val="6ED559A1"/>
    <w:rsid w:val="6F114F4A"/>
    <w:rsid w:val="732E611F"/>
    <w:rsid w:val="7B2F2F94"/>
    <w:rsid w:val="7FCC5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link w:val="47"/>
    <w:qFormat/>
    <w:uiPriority w:val="0"/>
    <w:pPr>
      <w:shd w:val="clear" w:color="auto" w:fill="000080"/>
    </w:pPr>
  </w:style>
  <w:style w:type="paragraph" w:styleId="6">
    <w:name w:val="annotation text"/>
    <w:basedOn w:val="1"/>
    <w:link w:val="67"/>
    <w:qFormat/>
    <w:uiPriority w:val="0"/>
    <w:pPr>
      <w:jc w:val="left"/>
    </w:pPr>
  </w:style>
  <w:style w:type="paragraph" w:styleId="7">
    <w:name w:val="Body Text Indent"/>
    <w:basedOn w:val="1"/>
    <w:link w:val="46"/>
    <w:qFormat/>
    <w:uiPriority w:val="0"/>
    <w:pPr>
      <w:ind w:firstLine="480" w:firstLineChars="200"/>
    </w:pPr>
    <w:rPr>
      <w:sz w:val="24"/>
    </w:rPr>
  </w:style>
  <w:style w:type="paragraph" w:styleId="8">
    <w:name w:val="Plain Text"/>
    <w:basedOn w:val="1"/>
    <w:link w:val="65"/>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70"/>
    <w:qFormat/>
    <w:uiPriority w:val="0"/>
    <w:pPr>
      <w:ind w:left="100" w:leftChars="2500"/>
    </w:pPr>
  </w:style>
  <w:style w:type="paragraph" w:styleId="11">
    <w:name w:val="Body Text Indent 2"/>
    <w:basedOn w:val="1"/>
    <w:link w:val="75"/>
    <w:unhideWhenUsed/>
    <w:qFormat/>
    <w:uiPriority w:val="99"/>
    <w:pPr>
      <w:spacing w:after="120" w:line="480" w:lineRule="auto"/>
      <w:ind w:left="420" w:leftChars="200"/>
    </w:pPr>
  </w:style>
  <w:style w:type="paragraph" w:styleId="12">
    <w:name w:val="Balloon Text"/>
    <w:basedOn w:val="1"/>
    <w:link w:val="48"/>
    <w:qFormat/>
    <w:uiPriority w:val="0"/>
    <w:rPr>
      <w:sz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5"/>
    <w:qFormat/>
    <w:uiPriority w:val="0"/>
    <w:pPr>
      <w:snapToGrid w:val="0"/>
      <w:jc w:val="left"/>
    </w:pPr>
    <w:rPr>
      <w:sz w:val="18"/>
    </w:rPr>
  </w:style>
  <w:style w:type="paragraph" w:styleId="16">
    <w:name w:val="annotation subject"/>
    <w:basedOn w:val="6"/>
    <w:next w:val="6"/>
    <w:link w:val="68"/>
    <w:qFormat/>
    <w:uiPriority w:val="0"/>
    <w:rPr>
      <w:b/>
      <w:bCs/>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qFormat/>
    <w:uiPriority w:val="0"/>
    <w:rPr>
      <w:color w:val="261CDC"/>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character" w:customStyle="1" w:styleId="24">
    <w:name w:val="页眉 字符"/>
    <w:basedOn w:val="19"/>
    <w:link w:val="14"/>
    <w:qFormat/>
    <w:uiPriority w:val="0"/>
    <w:rPr>
      <w:sz w:val="18"/>
      <w:szCs w:val="18"/>
    </w:rPr>
  </w:style>
  <w:style w:type="character" w:customStyle="1" w:styleId="25">
    <w:name w:val="页脚 字符"/>
    <w:basedOn w:val="19"/>
    <w:link w:val="13"/>
    <w:qFormat/>
    <w:uiPriority w:val="0"/>
    <w:rPr>
      <w:sz w:val="18"/>
      <w:szCs w:val="18"/>
    </w:rPr>
  </w:style>
  <w:style w:type="character" w:customStyle="1" w:styleId="26">
    <w:name w:val="标题 2 字符"/>
    <w:basedOn w:val="19"/>
    <w:link w:val="2"/>
    <w:qFormat/>
    <w:uiPriority w:val="0"/>
    <w:rPr>
      <w:rFonts w:ascii="Arial" w:hAnsi="Arial" w:eastAsia="黑体" w:cs="Times New Roman"/>
      <w:b/>
      <w:sz w:val="32"/>
      <w:szCs w:val="20"/>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附录三级条标题"/>
    <w:basedOn w:val="36"/>
    <w:next w:val="28"/>
    <w:qFormat/>
    <w:uiPriority w:val="0"/>
    <w:pPr>
      <w:outlineLvl w:val="4"/>
    </w:pPr>
  </w:style>
  <w:style w:type="paragraph" w:customStyle="1" w:styleId="36">
    <w:name w:val="附录二级条标题"/>
    <w:basedOn w:val="37"/>
    <w:next w:val="28"/>
    <w:qFormat/>
    <w:uiPriority w:val="0"/>
    <w:pPr>
      <w:outlineLvl w:val="3"/>
    </w:pPr>
  </w:style>
  <w:style w:type="paragraph" w:customStyle="1" w:styleId="37">
    <w:name w:val="附录一级条标题"/>
    <w:basedOn w:val="1"/>
    <w:next w:val="28"/>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8">
    <w:name w:val="附录标识"/>
    <w:basedOn w:val="31"/>
    <w:qFormat/>
    <w:uiPriority w:val="0"/>
    <w:pPr>
      <w:tabs>
        <w:tab w:val="left" w:pos="6405"/>
      </w:tabs>
      <w:spacing w:after="200"/>
    </w:pPr>
    <w:rPr>
      <w:sz w:val="21"/>
    </w:rPr>
  </w:style>
  <w:style w:type="paragraph" w:customStyle="1" w:styleId="39">
    <w:name w:val="二级条标题"/>
    <w:basedOn w:val="40"/>
    <w:next w:val="28"/>
    <w:qFormat/>
    <w:uiPriority w:val="0"/>
  </w:style>
  <w:style w:type="paragraph" w:customStyle="1" w:styleId="40">
    <w:name w:val="一级条标题"/>
    <w:basedOn w:val="41"/>
    <w:next w:val="28"/>
    <w:qFormat/>
    <w:uiPriority w:val="0"/>
    <w:pPr>
      <w:spacing w:beforeLines="0" w:afterLines="0"/>
      <w:outlineLvl w:val="2"/>
    </w:pPr>
  </w:style>
  <w:style w:type="paragraph" w:customStyle="1" w:styleId="41">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发布部门"/>
    <w:next w:val="28"/>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5">
    <w:name w:val="脚注文本 字符"/>
    <w:basedOn w:val="19"/>
    <w:link w:val="15"/>
    <w:qFormat/>
    <w:uiPriority w:val="0"/>
    <w:rPr>
      <w:rFonts w:ascii="Times New Roman" w:hAnsi="Times New Roman" w:eastAsia="宋体" w:cs="Times New Roman"/>
      <w:sz w:val="18"/>
      <w:szCs w:val="20"/>
    </w:rPr>
  </w:style>
  <w:style w:type="character" w:customStyle="1" w:styleId="46">
    <w:name w:val="正文文本缩进 字符"/>
    <w:basedOn w:val="19"/>
    <w:link w:val="7"/>
    <w:qFormat/>
    <w:uiPriority w:val="0"/>
    <w:rPr>
      <w:rFonts w:ascii="Times New Roman" w:hAnsi="Times New Roman" w:eastAsia="宋体" w:cs="Times New Roman"/>
      <w:sz w:val="24"/>
      <w:szCs w:val="20"/>
    </w:rPr>
  </w:style>
  <w:style w:type="character" w:customStyle="1" w:styleId="47">
    <w:name w:val="文档结构图 字符"/>
    <w:basedOn w:val="19"/>
    <w:link w:val="5"/>
    <w:qFormat/>
    <w:uiPriority w:val="0"/>
    <w:rPr>
      <w:rFonts w:ascii="Times New Roman" w:hAnsi="Times New Roman" w:eastAsia="宋体" w:cs="Times New Roman"/>
      <w:szCs w:val="20"/>
      <w:shd w:val="clear" w:color="auto" w:fill="000080"/>
    </w:rPr>
  </w:style>
  <w:style w:type="character" w:customStyle="1" w:styleId="48">
    <w:name w:val="批注框文本 字符"/>
    <w:basedOn w:val="19"/>
    <w:link w:val="12"/>
    <w:qFormat/>
    <w:uiPriority w:val="0"/>
    <w:rPr>
      <w:rFonts w:ascii="Times New Roman" w:hAnsi="Times New Roman" w:eastAsia="宋体" w:cs="Times New Roman"/>
      <w:sz w:val="18"/>
      <w:szCs w:val="20"/>
    </w:rPr>
  </w:style>
  <w:style w:type="paragraph" w:customStyle="1" w:styleId="49">
    <w:name w:val="标准书眉_偶数页"/>
    <w:basedOn w:val="32"/>
    <w:next w:val="1"/>
    <w:qFormat/>
    <w:uiPriority w:val="0"/>
    <w:pPr>
      <w:jc w:val="left"/>
    </w:pPr>
  </w:style>
  <w:style w:type="paragraph" w:customStyle="1" w:styleId="50">
    <w:name w:val="三级条标题"/>
    <w:basedOn w:val="1"/>
    <w:next w:val="28"/>
    <w:qFormat/>
    <w:uiPriority w:val="0"/>
    <w:pPr>
      <w:widowControl/>
      <w:outlineLvl w:val="4"/>
    </w:pPr>
    <w:rPr>
      <w:rFonts w:ascii="黑体" w:hAnsi="宋体" w:eastAsia="黑体"/>
      <w:kern w:val="0"/>
    </w:rPr>
  </w:style>
  <w:style w:type="paragraph" w:customStyle="1" w:styleId="51">
    <w:name w:val="四级条标题"/>
    <w:basedOn w:val="50"/>
    <w:next w:val="28"/>
    <w:qFormat/>
    <w:uiPriority w:val="0"/>
    <w:pPr>
      <w:outlineLvl w:val="5"/>
    </w:pPr>
  </w:style>
  <w:style w:type="paragraph" w:customStyle="1" w:styleId="5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
    <w:name w:val="附录图标题"/>
    <w:next w:val="28"/>
    <w:qFormat/>
    <w:uiPriority w:val="0"/>
    <w:pPr>
      <w:tabs>
        <w:tab w:val="left" w:pos="360"/>
      </w:tabs>
      <w:jc w:val="center"/>
    </w:pPr>
    <w:rPr>
      <w:rFonts w:ascii="黑体" w:hAnsi="Times New Roman" w:eastAsia="黑体" w:cs="Times New Roman"/>
      <w:sz w:val="21"/>
      <w:lang w:val="en-US" w:eastAsia="zh-CN" w:bidi="ar-SA"/>
    </w:rPr>
  </w:style>
  <w:style w:type="paragraph" w:customStyle="1" w:styleId="54">
    <w:name w:val="图表脚注"/>
    <w:next w:val="28"/>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发布日期"/>
    <w:qFormat/>
    <w:uiPriority w:val="0"/>
    <w:rPr>
      <w:rFonts w:ascii="Times New Roman" w:hAnsi="Times New Roman" w:eastAsia="黑体" w:cs="Times New Roman"/>
      <w:sz w:val="28"/>
      <w:lang w:val="en-US" w:eastAsia="zh-CN" w:bidi="ar-SA"/>
    </w:rPr>
  </w:style>
  <w:style w:type="paragraph" w:customStyle="1" w:styleId="60">
    <w:name w:val="五级条标题"/>
    <w:basedOn w:val="51"/>
    <w:next w:val="28"/>
    <w:qFormat/>
    <w:uiPriority w:val="0"/>
    <w:pPr>
      <w:outlineLvl w:val="6"/>
    </w:pPr>
  </w:style>
  <w:style w:type="paragraph" w:customStyle="1" w:styleId="61">
    <w:name w:val="附录四级条标题"/>
    <w:basedOn w:val="35"/>
    <w:next w:val="28"/>
    <w:qFormat/>
    <w:uiPriority w:val="0"/>
    <w:pPr>
      <w:outlineLvl w:val="5"/>
    </w:pPr>
  </w:style>
  <w:style w:type="paragraph" w:customStyle="1" w:styleId="62">
    <w:name w:val="附录表标题"/>
    <w:next w:val="2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实施日期"/>
    <w:basedOn w:val="59"/>
    <w:qFormat/>
    <w:uiPriority w:val="0"/>
    <w:pPr>
      <w:jc w:val="right"/>
    </w:pPr>
  </w:style>
  <w:style w:type="character" w:customStyle="1" w:styleId="65">
    <w:name w:val="纯文本 字符"/>
    <w:basedOn w:val="19"/>
    <w:link w:val="8"/>
    <w:qFormat/>
    <w:uiPriority w:val="0"/>
    <w:rPr>
      <w:rFonts w:ascii="宋体" w:hAnsi="Courier New" w:eastAsia="宋体" w:cs="Courier New"/>
      <w:szCs w:val="21"/>
    </w:rPr>
  </w:style>
  <w:style w:type="paragraph" w:styleId="66">
    <w:name w:val="List Paragraph"/>
    <w:basedOn w:val="1"/>
    <w:qFormat/>
    <w:uiPriority w:val="34"/>
    <w:pPr>
      <w:ind w:firstLine="420" w:firstLineChars="200"/>
    </w:pPr>
  </w:style>
  <w:style w:type="character" w:customStyle="1" w:styleId="67">
    <w:name w:val="批注文字 字符"/>
    <w:basedOn w:val="19"/>
    <w:link w:val="6"/>
    <w:qFormat/>
    <w:uiPriority w:val="0"/>
    <w:rPr>
      <w:rFonts w:ascii="Times New Roman" w:hAnsi="Times New Roman" w:eastAsia="宋体" w:cs="Times New Roman"/>
      <w:szCs w:val="20"/>
    </w:rPr>
  </w:style>
  <w:style w:type="character" w:customStyle="1" w:styleId="68">
    <w:name w:val="批注主题 字符"/>
    <w:basedOn w:val="67"/>
    <w:link w:val="16"/>
    <w:qFormat/>
    <w:uiPriority w:val="0"/>
    <w:rPr>
      <w:rFonts w:ascii="Times New Roman" w:hAnsi="Times New Roman" w:eastAsia="宋体" w:cs="Times New Roman"/>
      <w:b/>
      <w:bCs/>
      <w:szCs w:val="20"/>
    </w:rPr>
  </w:style>
  <w:style w:type="character" w:customStyle="1" w:styleId="69">
    <w:name w:val="sh141"/>
    <w:basedOn w:val="19"/>
    <w:qFormat/>
    <w:uiPriority w:val="0"/>
    <w:rPr>
      <w:color w:val="2B2B2B"/>
      <w:sz w:val="18"/>
      <w:szCs w:val="18"/>
    </w:rPr>
  </w:style>
  <w:style w:type="character" w:customStyle="1" w:styleId="70">
    <w:name w:val="日期 字符"/>
    <w:basedOn w:val="19"/>
    <w:link w:val="10"/>
    <w:qFormat/>
    <w:uiPriority w:val="0"/>
    <w:rPr>
      <w:rFonts w:ascii="Times New Roman" w:hAnsi="Times New Roman" w:eastAsia="宋体" w:cs="Times New Roman"/>
      <w:szCs w:val="20"/>
    </w:rPr>
  </w:style>
  <w:style w:type="paragraph" w:customStyle="1" w:styleId="71">
    <w:name w:val="封面标准号2"/>
    <w:basedOn w:val="30"/>
    <w:qFormat/>
    <w:uiPriority w:val="0"/>
    <w:pPr>
      <w:framePr w:w="9138" w:h="1244" w:hRule="exact" w:wrap="around" w:vAnchor="page" w:hAnchor="margin" w:y="2908" w:anchorLock="1"/>
      <w:adjustRightInd w:val="0"/>
      <w:spacing w:before="357" w:line="280" w:lineRule="exact"/>
    </w:pPr>
  </w:style>
  <w:style w:type="paragraph" w:customStyle="1" w:styleId="72">
    <w:name w:val="封面标准代替信息"/>
    <w:basedOn w:val="71"/>
    <w:qFormat/>
    <w:uiPriority w:val="0"/>
    <w:pPr>
      <w:spacing w:before="57"/>
    </w:pPr>
    <w:rPr>
      <w:rFonts w:ascii="宋体"/>
      <w:sz w:val="21"/>
    </w:rPr>
  </w:style>
  <w:style w:type="character" w:styleId="73">
    <w:name w:val="Placeholder Text"/>
    <w:basedOn w:val="19"/>
    <w:semiHidden/>
    <w:qFormat/>
    <w:uiPriority w:val="99"/>
    <w:rPr>
      <w:color w:val="808080"/>
    </w:rPr>
  </w:style>
  <w:style w:type="character" w:customStyle="1" w:styleId="74">
    <w:name w:val="font31"/>
    <w:qFormat/>
    <w:uiPriority w:val="0"/>
    <w:rPr>
      <w:rFonts w:hint="eastAsia" w:ascii="宋体" w:hAnsi="宋体" w:eastAsia="宋体" w:cs="宋体"/>
      <w:color w:val="000000"/>
      <w:sz w:val="21"/>
      <w:szCs w:val="21"/>
      <w:u w:val="none"/>
    </w:rPr>
  </w:style>
  <w:style w:type="character" w:customStyle="1" w:styleId="75">
    <w:name w:val="正文文本缩进 2 字符"/>
    <w:basedOn w:val="19"/>
    <w:link w:val="11"/>
    <w:qFormat/>
    <w:uiPriority w:val="99"/>
    <w:rPr>
      <w:rFonts w:ascii="Times New Roman" w:hAnsi="Times New Roman" w:eastAsia="宋体" w:cs="Times New Roman"/>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5D8D5-8511-4E6D-926D-1227225EADF4}">
  <ds:schemaRefs/>
</ds:datastoreItem>
</file>

<file path=customXml/itemProps3.xml><?xml version="1.0" encoding="utf-8"?>
<ds:datastoreItem xmlns:ds="http://schemas.openxmlformats.org/officeDocument/2006/customXml" ds:itemID="{AD88689C-5AFF-4C29-9DCF-54A0AA91312D}">
  <ds:schemaRefs/>
</ds:datastoreItem>
</file>

<file path=customXml/itemProps4.xml><?xml version="1.0" encoding="utf-8"?>
<ds:datastoreItem xmlns:ds="http://schemas.openxmlformats.org/officeDocument/2006/customXml" ds:itemID="{DA836BFE-5634-4721-99A2-DEA23EB223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435</Words>
  <Characters>2486</Characters>
  <Lines>20</Lines>
  <Paragraphs>5</Paragraphs>
  <TotalTime>0</TotalTime>
  <ScaleCrop>false</ScaleCrop>
  <LinksUpToDate>false</LinksUpToDate>
  <CharactersWithSpaces>2916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2018-02-21T14:17:00Z</dcterms:created>
  <dc:creator>风</dc:creator>
  <cp:lastModifiedBy>WPS_1505917521</cp:lastModifiedBy>
  <cp:lastPrinted>2015-09-26T09:34:00Z</cp:lastPrinted>
  <dcterms:modified xsi:type="dcterms:W3CDTF">2020-09-14T05:13:12Z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