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r>
        <w:rPr>
          <w:rFonts w:hint="eastAsia" w:ascii="宋体" w:hAnsi="宋体"/>
          <w:b/>
          <w:color w:val="000000"/>
          <w:sz w:val="44"/>
          <w:szCs w:val="44"/>
        </w:rPr>
        <w:t>国家标准</w:t>
      </w: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r>
        <w:rPr>
          <w:rFonts w:hint="eastAsia" w:ascii="宋体" w:hAnsi="宋体"/>
          <w:b/>
          <w:color w:val="000000"/>
          <w:sz w:val="44"/>
          <w:szCs w:val="44"/>
        </w:rPr>
        <w:t>粉末床熔融增材制造镍基合金</w:t>
      </w: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24"/>
        </w:rPr>
      </w:pPr>
    </w:p>
    <w:p>
      <w:pPr>
        <w:spacing w:line="360" w:lineRule="auto"/>
        <w:jc w:val="center"/>
        <w:rPr>
          <w:rFonts w:ascii="宋体" w:hAnsi="宋体"/>
          <w:b/>
          <w:color w:val="000000"/>
          <w:sz w:val="44"/>
          <w:szCs w:val="44"/>
        </w:rPr>
      </w:pPr>
      <w:r>
        <w:rPr>
          <w:rFonts w:hint="eastAsia" w:ascii="宋体" w:hAnsi="宋体"/>
          <w:b/>
          <w:color w:val="000000"/>
          <w:sz w:val="44"/>
          <w:szCs w:val="44"/>
        </w:rPr>
        <w:t>编制说明</w:t>
      </w: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44"/>
          <w:szCs w:val="44"/>
        </w:rPr>
      </w:pPr>
    </w:p>
    <w:p>
      <w:pPr>
        <w:spacing w:line="360" w:lineRule="auto"/>
        <w:jc w:val="center"/>
        <w:rPr>
          <w:rFonts w:ascii="宋体" w:hAnsi="宋体"/>
          <w:b/>
          <w:color w:val="000000"/>
          <w:sz w:val="28"/>
          <w:szCs w:val="28"/>
        </w:rPr>
      </w:pPr>
      <w:r>
        <w:rPr>
          <w:rFonts w:hint="eastAsia" w:ascii="宋体" w:hAnsi="宋体"/>
          <w:b/>
          <w:color w:val="000000"/>
          <w:sz w:val="28"/>
          <w:szCs w:val="28"/>
        </w:rPr>
        <w:t>（征求意见稿）</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4"/>
        </w:rPr>
      </w:pPr>
    </w:p>
    <w:p>
      <w:pPr>
        <w:rPr>
          <w:rFonts w:ascii="宋体" w:hAnsi="宋体"/>
          <w:color w:val="000000"/>
        </w:rPr>
      </w:pPr>
    </w:p>
    <w:p>
      <w:pPr>
        <w:pStyle w:val="17"/>
        <w:jc w:val="both"/>
        <w:rPr>
          <w:rFonts w:ascii="宋体" w:hAnsi="宋体"/>
          <w:b/>
          <w:color w:val="000000"/>
          <w:sz w:val="30"/>
          <w:szCs w:val="30"/>
        </w:rPr>
        <w:sectPr>
          <w:pgSz w:w="11906" w:h="16838"/>
          <w:pgMar w:top="1440" w:right="1800" w:bottom="1440" w:left="1800" w:header="851" w:footer="992" w:gutter="0"/>
          <w:cols w:space="720" w:num="1"/>
          <w:docGrid w:type="lines" w:linePitch="312" w:charSpace="0"/>
        </w:sectPr>
      </w:pPr>
    </w:p>
    <w:p>
      <w:pPr>
        <w:pStyle w:val="17"/>
        <w:rPr>
          <w:rFonts w:ascii="宋体" w:hAnsi="宋体"/>
          <w:b/>
          <w:color w:val="000000"/>
          <w:sz w:val="30"/>
          <w:szCs w:val="30"/>
        </w:rPr>
      </w:pPr>
      <w:r>
        <w:rPr>
          <w:rFonts w:hint="eastAsia" w:ascii="宋体" w:hAnsi="宋体"/>
          <w:b/>
          <w:color w:val="000000"/>
          <w:sz w:val="30"/>
          <w:szCs w:val="30"/>
        </w:rPr>
        <w:t>国家</w:t>
      </w:r>
      <w:r>
        <w:rPr>
          <w:rFonts w:ascii="宋体" w:hAnsi="宋体"/>
          <w:b/>
          <w:color w:val="000000"/>
          <w:sz w:val="30"/>
          <w:szCs w:val="30"/>
        </w:rPr>
        <w:t>标准</w:t>
      </w:r>
      <w:r>
        <w:rPr>
          <w:rFonts w:hint="eastAsia" w:ascii="宋体" w:hAnsi="宋体"/>
          <w:b/>
          <w:color w:val="000000"/>
          <w:sz w:val="30"/>
          <w:szCs w:val="30"/>
        </w:rPr>
        <w:t>《粉末床熔融增材制造镍基合金》</w:t>
      </w:r>
    </w:p>
    <w:p>
      <w:pPr>
        <w:pStyle w:val="17"/>
        <w:rPr>
          <w:rFonts w:ascii="宋体" w:hAnsi="宋体"/>
          <w:b/>
          <w:color w:val="000000"/>
          <w:sz w:val="30"/>
          <w:szCs w:val="30"/>
        </w:rPr>
      </w:pPr>
      <w:r>
        <w:rPr>
          <w:rFonts w:ascii="宋体" w:hAnsi="宋体"/>
          <w:b/>
          <w:color w:val="000000"/>
          <w:sz w:val="30"/>
          <w:szCs w:val="30"/>
        </w:rPr>
        <w:t>编制说明</w:t>
      </w:r>
      <w:r>
        <w:rPr>
          <w:rFonts w:hint="eastAsia" w:ascii="宋体" w:hAnsi="宋体"/>
          <w:b/>
          <w:color w:val="000000"/>
          <w:szCs w:val="28"/>
        </w:rPr>
        <w:t>（征求意见稿）</w:t>
      </w:r>
    </w:p>
    <w:p>
      <w:pPr>
        <w:jc w:val="center"/>
        <w:rPr>
          <w:rFonts w:ascii="宋体" w:hAnsi="宋体"/>
          <w:color w:val="000000"/>
          <w:sz w:val="24"/>
        </w:rPr>
      </w:pPr>
    </w:p>
    <w:p>
      <w:pPr>
        <w:pStyle w:val="14"/>
        <w:spacing w:line="360" w:lineRule="auto"/>
        <w:ind w:firstLine="0" w:firstLineChars="0"/>
        <w:rPr>
          <w:rFonts w:ascii="黑体" w:hAnsi="黑体" w:eastAsia="黑体"/>
          <w:bCs/>
          <w:color w:val="000000"/>
          <w:sz w:val="24"/>
          <w:szCs w:val="24"/>
        </w:rPr>
      </w:pPr>
      <w:r>
        <w:rPr>
          <w:rFonts w:hint="eastAsia" w:ascii="黑体" w:hAnsi="黑体" w:eastAsia="黑体"/>
          <w:bCs/>
          <w:color w:val="000000"/>
          <w:sz w:val="24"/>
          <w:szCs w:val="24"/>
        </w:rPr>
        <w:t>一、工作简况</w:t>
      </w:r>
    </w:p>
    <w:p>
      <w:pPr>
        <w:pStyle w:val="14"/>
        <w:spacing w:line="360" w:lineRule="auto"/>
        <w:ind w:firstLine="0" w:firstLineChars="0"/>
        <w:rPr>
          <w:rFonts w:ascii="黑体" w:hAnsi="黑体" w:eastAsia="黑体"/>
          <w:bCs/>
          <w:color w:val="000000"/>
          <w:sz w:val="24"/>
          <w:szCs w:val="24"/>
        </w:rPr>
      </w:pPr>
      <w:r>
        <w:rPr>
          <w:rFonts w:hint="eastAsia" w:ascii="黑体" w:hAnsi="黑体" w:eastAsia="黑体"/>
          <w:bCs/>
          <w:color w:val="000000"/>
          <w:sz w:val="24"/>
          <w:szCs w:val="24"/>
        </w:rPr>
        <w:t>1.1任务来源</w:t>
      </w:r>
    </w:p>
    <w:p>
      <w:pPr>
        <w:pStyle w:val="2"/>
        <w:spacing w:line="360" w:lineRule="auto"/>
        <w:ind w:firstLine="480" w:firstLineChars="200"/>
        <w:rPr>
          <w:rFonts w:ascii="宋体" w:hAnsi="宋体"/>
          <w:b w:val="0"/>
          <w:bCs w:val="0"/>
          <w:color w:val="000000"/>
          <w:kern w:val="2"/>
          <w:sz w:val="24"/>
        </w:rPr>
      </w:pPr>
      <w:r>
        <w:rPr>
          <w:rFonts w:hint="eastAsia" w:ascii="宋体" w:hAnsi="宋体"/>
          <w:b w:val="0"/>
          <w:bCs w:val="0"/>
          <w:color w:val="000000"/>
          <w:kern w:val="2"/>
          <w:sz w:val="24"/>
        </w:rPr>
        <w:t>根据《国家标准化管理委员会关于下达第二批推荐性国家标准制计划的通知》（国标委发[2019]22号）文的要求，由广东省科学院材料与加工研究所主持负责制定推荐性国家标准《粉末床熔融增材制造镍基合金》，项目计划编号为：20192051-T-610。按计划要求，本标准应在2021年7月完成。</w:t>
      </w:r>
    </w:p>
    <w:p>
      <w:pPr>
        <w:pStyle w:val="14"/>
        <w:spacing w:line="360" w:lineRule="auto"/>
        <w:ind w:firstLine="0" w:firstLineChars="0"/>
        <w:rPr>
          <w:rFonts w:ascii="黑体" w:hAnsi="黑体" w:eastAsia="黑体"/>
          <w:bCs/>
          <w:color w:val="000000"/>
          <w:sz w:val="24"/>
          <w:szCs w:val="24"/>
        </w:rPr>
      </w:pPr>
      <w:r>
        <w:rPr>
          <w:rFonts w:hint="eastAsia" w:ascii="黑体" w:hAnsi="黑体" w:eastAsia="黑体"/>
          <w:bCs/>
          <w:color w:val="000000"/>
          <w:sz w:val="24"/>
          <w:szCs w:val="24"/>
        </w:rPr>
        <w:t>1.2 项目概况</w:t>
      </w:r>
    </w:p>
    <w:p>
      <w:pPr>
        <w:pStyle w:val="2"/>
        <w:spacing w:line="360" w:lineRule="auto"/>
        <w:ind w:firstLine="480" w:firstLineChars="200"/>
        <w:rPr>
          <w:rFonts w:ascii="宋体" w:hAnsi="宋体" w:cs="宋体"/>
          <w:b w:val="0"/>
          <w:bCs w:val="0"/>
          <w:sz w:val="24"/>
          <w:szCs w:val="20"/>
        </w:rPr>
      </w:pPr>
      <w:r>
        <w:rPr>
          <w:rFonts w:hint="eastAsia" w:ascii="宋体" w:hAnsi="宋体" w:cs="宋体"/>
          <w:b w:val="0"/>
          <w:bCs w:val="0"/>
          <w:sz w:val="24"/>
          <w:szCs w:val="20"/>
        </w:rPr>
        <w:t>镍基合金材料凭借其耐高温、耐腐蚀、耐复杂应力等性能，被广泛应用于涡轮发动机工作叶片、导向叶片、飞机发动机以及工业用燃气轮机等高温零部件方面。镍基合金材料的传统制备主要通过铸造、锻造及机加工的方式来成形，但是高温合金零构件存在个性化程度较好，而且具有小批量生产的特点。增材制造技术具有加工自由化等加工特点，在制备镍基高温合金上，解除了对加工技术要求高的局限，同时增材制造技术制备的成形件具有较高的致密度、组织均匀、细小，以及显著的加工效率和成本优势，因此增材制造镍基高温合金的制备成为研究的热点，并已被用于制备航空领域如发动机中的涡轮盘、涡轮叶片等热端部件。</w:t>
      </w:r>
    </w:p>
    <w:p>
      <w:pPr>
        <w:pStyle w:val="2"/>
        <w:spacing w:line="360" w:lineRule="auto"/>
        <w:ind w:firstLine="480" w:firstLineChars="200"/>
        <w:rPr>
          <w:rFonts w:ascii="宋体" w:hAnsi="宋体" w:cs="宋体"/>
          <w:b w:val="0"/>
          <w:bCs w:val="0"/>
          <w:sz w:val="24"/>
          <w:szCs w:val="20"/>
        </w:rPr>
      </w:pPr>
      <w:r>
        <w:rPr>
          <w:rFonts w:hint="eastAsia" w:ascii="宋体" w:hAnsi="宋体" w:cs="宋体"/>
          <w:b w:val="0"/>
          <w:bCs w:val="0"/>
          <w:sz w:val="24"/>
          <w:szCs w:val="20"/>
        </w:rPr>
        <w:t>近年全球金属3D打印产品应用市场增长态势迅猛，预计2021年，航空产品市场达1.37亿美元。IDTechEx发布报告，预测2028年，金属3D打印市场全球规模有望达到120亿美元。国务院印发的《中国制造2025》部署全面推进实施制造强国战略中，将增材制造列为重点布局范围；工信部印发的《增材制造产业发展行动计划（2017-2020年）》中，也指出要推动增材制造在航空领域规模化应用。</w:t>
      </w:r>
    </w:p>
    <w:p>
      <w:pPr>
        <w:pStyle w:val="2"/>
        <w:spacing w:line="360" w:lineRule="auto"/>
        <w:ind w:firstLine="480" w:firstLineChars="200"/>
        <w:rPr>
          <w:rFonts w:ascii="宋体" w:hAnsi="宋体" w:cs="宋体"/>
          <w:b w:val="0"/>
          <w:bCs w:val="0"/>
          <w:sz w:val="24"/>
          <w:szCs w:val="20"/>
        </w:rPr>
      </w:pPr>
      <w:r>
        <w:rPr>
          <w:rFonts w:hint="eastAsia" w:ascii="宋体" w:hAnsi="宋体" w:cs="宋体"/>
          <w:b w:val="0"/>
          <w:bCs w:val="0"/>
          <w:sz w:val="24"/>
          <w:szCs w:val="20"/>
        </w:rPr>
        <w:t>目前粉末床熔融增材制造镍基合金材料还没有相关的国家标准或者行业标准，没有统一的标准要求和检验测试规范，对材料的化学成分、力学性能、金相组织通常根据用户的要求进行，产品的使用工况不清晰，用户无选型依据；无产品相关的贮存、运输方法；无产品检验、使用、验收等相关规范；各企业性能参数不在同一基准上，造成了行业市场的无序，为生产制造商及客户都带来了很大的不便，阻碍了增材制造镍基合金材料行业的技术进步和产业化应用推广。</w:t>
      </w:r>
    </w:p>
    <w:p>
      <w:pPr>
        <w:pStyle w:val="14"/>
        <w:spacing w:line="360" w:lineRule="auto"/>
        <w:ind w:firstLine="480"/>
        <w:rPr>
          <w:rFonts w:hAnsi="宋体" w:cs="宋体"/>
          <w:bCs/>
          <w:sz w:val="24"/>
          <w:szCs w:val="20"/>
        </w:rPr>
      </w:pPr>
      <w:r>
        <w:rPr>
          <w:rFonts w:hint="eastAsia" w:hAnsi="宋体" w:cs="宋体"/>
          <w:bCs/>
          <w:sz w:val="24"/>
          <w:szCs w:val="20"/>
        </w:rPr>
        <w:t>本标准的制订将使增材制造镍基合金材料的生产、检验和交付使用等全过程得到规范，大大提高产品的质量可靠性；同时也有利于增材制造镍基合金材料的推广应用，促进增材制造行业的健康有序发展；综上所述，本标准的制订将具有显著的经济效益和社会效益。</w:t>
      </w:r>
    </w:p>
    <w:p>
      <w:pPr>
        <w:spacing w:line="360" w:lineRule="auto"/>
        <w:rPr>
          <w:rFonts w:ascii="黑体" w:hAnsi="宋体" w:eastAsia="黑体" w:cs="Calibri"/>
          <w:sz w:val="24"/>
        </w:rPr>
      </w:pPr>
      <w:r>
        <w:rPr>
          <w:rFonts w:ascii="黑体" w:hAnsi="宋体" w:eastAsia="黑体" w:cs="Calibri"/>
          <w:sz w:val="24"/>
        </w:rPr>
        <w:t>1.</w:t>
      </w:r>
      <w:r>
        <w:rPr>
          <w:rFonts w:hint="eastAsia" w:ascii="黑体" w:hAnsi="宋体" w:eastAsia="黑体" w:cs="Calibri"/>
          <w:sz w:val="24"/>
        </w:rPr>
        <w:t>3承担单位情况</w:t>
      </w:r>
    </w:p>
    <w:p>
      <w:pPr>
        <w:spacing w:line="360" w:lineRule="auto"/>
        <w:ind w:firstLine="480" w:firstLineChars="200"/>
        <w:rPr>
          <w:sz w:val="24"/>
        </w:rPr>
      </w:pPr>
      <w:r>
        <w:rPr>
          <w:rFonts w:hint="eastAsia"/>
          <w:sz w:val="24"/>
        </w:rPr>
        <w:t>广东省科学院材料与加工研究所由原广州有色金属研究院金属加工与成型技术研究所与粉末冶金研究所等联合组建而成，现隶属于广东省科学院。主要从事粉末冶金材料、金属基复合材料、铝镁铜钛有色金属材料、先进成形加工技术及装备的研发、设计和工程化应用等研究工作。围绕国家、省市对关键材料技术的迫切需求，以应用基础研究、技术创新和工程应用的综合集成为特色，形成了以粉体制备与改性、耐磨及复合材料、高性能铝镁铜钛有色金属材料、零件近净成形制造、短流程成形技术及相关装备研发等多个特色研究方向。研究所是华南地区材料成形与加工的应用基础理论研究、技术创新和工程化应用示范基地，同时也是华南地区重要的人才培养和学术交流基地。</w:t>
      </w:r>
    </w:p>
    <w:p>
      <w:pPr>
        <w:spacing w:line="360" w:lineRule="auto"/>
        <w:ind w:firstLine="480" w:firstLineChars="200"/>
        <w:rPr>
          <w:sz w:val="24"/>
        </w:rPr>
      </w:pPr>
      <w:r>
        <w:rPr>
          <w:rFonts w:hint="eastAsia"/>
          <w:sz w:val="24"/>
        </w:rPr>
        <w:t>研究所现有正式职工125人。其中高级职称人员32人，博士25人，硕士31人，研究生导师21人，在读研究生40余人，形成一支年龄结构合理、综合素质高、创新能力强、富有朝气的高层次科研开发团队。</w:t>
      </w:r>
    </w:p>
    <w:p>
      <w:pPr>
        <w:spacing w:line="360" w:lineRule="auto"/>
        <w:ind w:firstLine="480" w:firstLineChars="200"/>
        <w:rPr>
          <w:sz w:val="24"/>
        </w:rPr>
      </w:pPr>
      <w:r>
        <w:rPr>
          <w:rFonts w:hint="eastAsia"/>
          <w:sz w:val="24"/>
        </w:rPr>
        <w:t>单位拥有“国家钛及稀有金属粉末冶金工程技术研究中心”、“广东省金属粉体材料工程技术研究中心”、“广州市粉体材料及精密零件制造工程技术研究中心”，是“广东省粉末冶金产业技术创新联盟”理事长单位。已形成了从粉体制备、应用到产品中试的创新平台。拥有2500平方米办公场地、10000平方米的应用基础研究和中试化生产基地，拥有各类大型仪器设备180多台套，固定资产9000多万元。拥有国际先进的真空惰性气体雾化制粉系统、丝材等离子雾化制粉系统等粉末制备装备，以及德国EOS金属3D打印设备、直读光谱仪、激光粒度仪等完备的粉末分析评价等仪器设备。</w:t>
      </w:r>
    </w:p>
    <w:p>
      <w:pPr>
        <w:spacing w:line="360" w:lineRule="auto"/>
        <w:ind w:firstLine="480" w:firstLineChars="200"/>
        <w:rPr>
          <w:sz w:val="24"/>
        </w:rPr>
      </w:pPr>
      <w:r>
        <w:rPr>
          <w:rFonts w:hint="eastAsia"/>
          <w:sz w:val="24"/>
        </w:rPr>
        <w:t>申请单位先后承担完成国家和省市200余项科研课题，项目累计经费逾2 亿元，获国家、省部级奖励20 余项，其中获得国家科学技术进步二等奖2 项、省部级科学进步一等奖6 项、二等奖9 项，三等奖5 项，广东省专利金奖1 项；申请专利161项，国家发明专利授权29 件，发表学术论文500 余篇，SCI/EI 检索100余篇；编写专著4 部，制定国家或行业标准20余项。与国内外高校和科研机构建立定期互访机制，主办7次国际国内大型学术会议，获批国际合作项目8项。派驻企业科技特派员20余人，与企业共建实验室/工程中心9个。近年来，研究所取得了一批高水平、具有自主知识产权的研究成果，开发的技术和产品广泛应用于汽车、轨道交通、船舶、电子电器、矿山、建筑、水泥、电力、冶金等行业，产生了显著的经济和社会效益，在推动行业技术进步、人才培养、学术交流等方面为国家和省市做出了重要贡献。</w:t>
      </w:r>
    </w:p>
    <w:p>
      <w:pPr>
        <w:spacing w:line="360" w:lineRule="auto"/>
        <w:rPr>
          <w:rFonts w:ascii="黑体" w:hAnsi="黑体" w:eastAsia="黑体" w:cs="宋体"/>
          <w:b/>
          <w:sz w:val="24"/>
        </w:rPr>
      </w:pPr>
      <w:r>
        <w:rPr>
          <w:rFonts w:hint="eastAsia" w:ascii="黑体" w:hAnsi="黑体" w:eastAsia="黑体"/>
          <w:sz w:val="24"/>
        </w:rPr>
        <w:t>1.4参编单位及主要起草人工作情况</w:t>
      </w:r>
    </w:p>
    <w:p>
      <w:pPr>
        <w:tabs>
          <w:tab w:val="left" w:pos="670"/>
        </w:tabs>
        <w:spacing w:line="360" w:lineRule="auto"/>
        <w:ind w:firstLine="480" w:firstLineChars="200"/>
        <w:rPr>
          <w:rFonts w:ascii="宋体" w:hAnsi="宋体"/>
          <w:color w:val="000000"/>
          <w:sz w:val="24"/>
        </w:rPr>
      </w:pPr>
      <w:r>
        <w:rPr>
          <w:rFonts w:hint="eastAsia" w:ascii="宋体" w:hAnsi="宋体"/>
          <w:color w:val="000000"/>
          <w:sz w:val="24"/>
        </w:rPr>
        <w:t>整个标准起草过程中各参编单位给予了大力的支持帮助。</w:t>
      </w:r>
    </w:p>
    <w:p>
      <w:pPr>
        <w:spacing w:line="360" w:lineRule="auto"/>
        <w:rPr>
          <w:rFonts w:ascii="黑体" w:hAnsi="黑体" w:eastAsia="黑体"/>
          <w:sz w:val="24"/>
        </w:rPr>
      </w:pPr>
      <w:r>
        <w:rPr>
          <w:rFonts w:ascii="黑体" w:hAnsi="黑体" w:eastAsia="黑体"/>
          <w:sz w:val="24"/>
        </w:rPr>
        <w:t>1.</w:t>
      </w:r>
      <w:r>
        <w:rPr>
          <w:rFonts w:hint="eastAsia" w:ascii="黑体" w:hAnsi="黑体" w:eastAsia="黑体"/>
          <w:sz w:val="24"/>
        </w:rPr>
        <w:t>5</w:t>
      </w:r>
      <w:r>
        <w:rPr>
          <w:rFonts w:ascii="黑体" w:hAnsi="黑体" w:eastAsia="黑体"/>
          <w:sz w:val="24"/>
        </w:rPr>
        <w:t>主要工作过程</w:t>
      </w:r>
    </w:p>
    <w:p>
      <w:pPr>
        <w:pStyle w:val="2"/>
        <w:rPr>
          <w:rFonts w:hint="eastAsia" w:ascii="黑体" w:hAnsi="黑体" w:eastAsia="黑体" w:cs="Times New Roman"/>
          <w:b w:val="0"/>
          <w:bCs w:val="0"/>
          <w:kern w:val="2"/>
          <w:sz w:val="24"/>
          <w:szCs w:val="24"/>
          <w:lang w:val="en-US" w:eastAsia="zh-CN" w:bidi="ar-SA"/>
        </w:rPr>
      </w:pPr>
      <w:r>
        <w:rPr>
          <w:rFonts w:hint="eastAsia" w:ascii="黑体" w:hAnsi="黑体" w:eastAsia="黑体" w:cs="Times New Roman"/>
          <w:b w:val="0"/>
          <w:bCs w:val="0"/>
          <w:kern w:val="2"/>
          <w:sz w:val="24"/>
          <w:szCs w:val="24"/>
          <w:lang w:val="en-US" w:eastAsia="zh-CN" w:bidi="ar-SA"/>
        </w:rPr>
        <w:t>1.5.1 起草阶段</w:t>
      </w:r>
    </w:p>
    <w:p>
      <w:pPr>
        <w:spacing w:line="360" w:lineRule="auto"/>
        <w:ind w:firstLine="480" w:firstLineChars="200"/>
        <w:rPr>
          <w:rFonts w:ascii="宋体" w:hAnsi="宋体" w:cs="宋体"/>
          <w:sz w:val="24"/>
        </w:rPr>
      </w:pPr>
      <w:r>
        <w:rPr>
          <w:rFonts w:hint="eastAsia" w:ascii="宋体" w:hAnsi="宋体" w:cs="宋体"/>
          <w:sz w:val="24"/>
        </w:rPr>
        <w:t>2019年10月，有色标委会组织召开会议，对本项目进行了任务落实。</w:t>
      </w:r>
      <w:r>
        <w:rPr>
          <w:rFonts w:hint="eastAsia"/>
          <w:sz w:val="24"/>
        </w:rPr>
        <w:t>广东省材料与加工研究所</w:t>
      </w:r>
      <w:r>
        <w:rPr>
          <w:rFonts w:hint="eastAsia" w:ascii="宋体" w:hAnsi="宋体" w:cs="宋体"/>
          <w:sz w:val="24"/>
        </w:rPr>
        <w:t>及参编单位立即成立了标准编制工作组，对目标任务进行分解，明确成员的任务要求，制定工作计划和进度安排。项目运行以来，项目组积极收集国内外粉末床熔融增材制造镍基合金的应用信息，收集粉末床熔融增材制造镍基合金的生产、检验数据，调研国内外粉末床熔融增材制造镍基合金科研单位、生产企业的基本情况，并对各类信息进行分析汇总，已于2020年7月31日</w:t>
      </w:r>
      <w:r>
        <w:rPr>
          <w:rFonts w:hint="eastAsia" w:ascii="宋体" w:hAnsi="宋体"/>
          <w:color w:val="000000"/>
          <w:sz w:val="24"/>
        </w:rPr>
        <w:t>形成了标准的征求意见稿和编制说明</w:t>
      </w:r>
      <w:r>
        <w:rPr>
          <w:rFonts w:hint="eastAsia" w:ascii="宋体" w:hAnsi="宋体" w:cs="宋体"/>
          <w:sz w:val="24"/>
        </w:rPr>
        <w:t>。</w:t>
      </w:r>
      <w:bookmarkStart w:id="0" w:name="_GoBack"/>
      <w:bookmarkEnd w:id="0"/>
    </w:p>
    <w:p>
      <w:pPr>
        <w:spacing w:line="360" w:lineRule="auto"/>
        <w:rPr>
          <w:rFonts w:ascii="黑体" w:hAnsi="宋体" w:eastAsia="黑体" w:cs="Calibri"/>
          <w:sz w:val="24"/>
        </w:rPr>
      </w:pPr>
      <w:r>
        <w:rPr>
          <w:rFonts w:hint="eastAsia" w:ascii="黑体" w:hAnsi="宋体" w:eastAsia="黑体" w:cs="Calibri"/>
          <w:sz w:val="24"/>
        </w:rPr>
        <w:t>二、标准的制定原则、主要内容与论据</w:t>
      </w:r>
    </w:p>
    <w:p>
      <w:pPr>
        <w:spacing w:line="360" w:lineRule="auto"/>
        <w:rPr>
          <w:rFonts w:ascii="黑体" w:hAnsi="宋体" w:eastAsia="黑体" w:cs="Calibri"/>
          <w:sz w:val="24"/>
        </w:rPr>
      </w:pPr>
      <w:r>
        <w:rPr>
          <w:rFonts w:hint="eastAsia" w:ascii="黑体" w:hAnsi="宋体" w:eastAsia="黑体" w:cs="Calibri"/>
          <w:sz w:val="24"/>
        </w:rPr>
        <w:t>2.1标准制定的原则</w:t>
      </w:r>
    </w:p>
    <w:p>
      <w:pPr>
        <w:spacing w:line="360" w:lineRule="auto"/>
        <w:ind w:firstLine="480" w:firstLineChars="200"/>
        <w:rPr>
          <w:rFonts w:ascii="宋体"/>
          <w:kern w:val="0"/>
          <w:sz w:val="24"/>
          <w:szCs w:val="20"/>
        </w:rPr>
      </w:pPr>
      <w:r>
        <w:rPr>
          <w:rFonts w:hint="eastAsia" w:ascii="宋体" w:hAnsi="宋体"/>
          <w:color w:val="000000"/>
          <w:sz w:val="24"/>
        </w:rPr>
        <w:t>该标准按照GB/T 1.1-</w:t>
      </w:r>
      <w:r>
        <w:rPr>
          <w:rFonts w:hint="eastAsia" w:ascii="宋体" w:hAnsi="宋体"/>
          <w:sz w:val="24"/>
        </w:rPr>
        <w:t>2</w:t>
      </w:r>
      <w:r>
        <w:rPr>
          <w:rFonts w:ascii="宋体" w:hAnsi="宋体"/>
          <w:sz w:val="24"/>
        </w:rPr>
        <w:t>020</w:t>
      </w:r>
      <w:r>
        <w:rPr>
          <w:rFonts w:hint="eastAsia" w:ascii="宋体" w:hAnsi="宋体"/>
          <w:sz w:val="24"/>
        </w:rPr>
        <w:t>《</w:t>
      </w:r>
      <w:r>
        <w:rPr>
          <w:rFonts w:hint="eastAsia" w:ascii="宋体" w:hAnsi="宋体"/>
          <w:color w:val="000000"/>
          <w:sz w:val="24"/>
        </w:rPr>
        <w:t>标准化工作导则 第1部分：标准的结构和编写》和GB/T 20000.2-2009《标准化工作指南 第2部分：采用国际标准》的要求编写。</w:t>
      </w:r>
      <w:r>
        <w:rPr>
          <w:rFonts w:hint="eastAsia" w:ascii="宋体"/>
          <w:kern w:val="0"/>
          <w:sz w:val="24"/>
          <w:szCs w:val="20"/>
        </w:rPr>
        <w:t>标准规定了粉末床熔融增材制造镍基合金的要求、试验方法、检验规则和包装、标志、运输、贮存、质量证明书及合同（或订货单）内容等。</w:t>
      </w:r>
    </w:p>
    <w:p>
      <w:pPr>
        <w:spacing w:line="360" w:lineRule="auto"/>
        <w:ind w:firstLine="480" w:firstLineChars="200"/>
        <w:rPr>
          <w:sz w:val="24"/>
        </w:rPr>
      </w:pPr>
      <w:r>
        <w:rPr>
          <w:rFonts w:hAnsi="宋体"/>
          <w:sz w:val="24"/>
        </w:rPr>
        <w:t>本标准编制小组对</w:t>
      </w:r>
      <w:r>
        <w:rPr>
          <w:rFonts w:hint="eastAsia" w:ascii="宋体" w:hAnsi="宋体" w:cs="宋体"/>
          <w:sz w:val="24"/>
        </w:rPr>
        <w:t>粉末床熔融增材制造镍基合金</w:t>
      </w:r>
      <w:r>
        <w:rPr>
          <w:rFonts w:hAnsi="宋体"/>
          <w:sz w:val="24"/>
        </w:rPr>
        <w:t>进行标准化，对标准适用范围、产品的</w:t>
      </w:r>
      <w:r>
        <w:rPr>
          <w:rFonts w:hint="eastAsia" w:hAnsi="宋体"/>
          <w:sz w:val="24"/>
        </w:rPr>
        <w:t>供应状态、</w:t>
      </w:r>
      <w:r>
        <w:rPr>
          <w:rFonts w:hAnsi="宋体"/>
          <w:sz w:val="24"/>
        </w:rPr>
        <w:t>化学成分、物理性能</w:t>
      </w:r>
      <w:r>
        <w:rPr>
          <w:rFonts w:hint="eastAsia" w:hAnsi="宋体"/>
          <w:sz w:val="24"/>
        </w:rPr>
        <w:t>、金相组织、尺寸及允许偏差、</w:t>
      </w:r>
      <w:r>
        <w:rPr>
          <w:rFonts w:hAnsi="宋体"/>
          <w:sz w:val="24"/>
        </w:rPr>
        <w:t>外观质量</w:t>
      </w:r>
      <w:r>
        <w:rPr>
          <w:rFonts w:hint="eastAsia" w:hAnsi="宋体"/>
          <w:sz w:val="24"/>
        </w:rPr>
        <w:t>、</w:t>
      </w:r>
      <w:r>
        <w:rPr>
          <w:rFonts w:hAnsi="宋体"/>
          <w:sz w:val="24"/>
        </w:rPr>
        <w:t>抽样方法等做了规定，</w:t>
      </w:r>
      <w:r>
        <w:rPr>
          <w:rFonts w:hint="eastAsia" w:hAnsi="宋体"/>
          <w:sz w:val="24"/>
        </w:rPr>
        <w:t>使其</w:t>
      </w:r>
      <w:r>
        <w:rPr>
          <w:rFonts w:hAnsi="宋体"/>
          <w:sz w:val="24"/>
        </w:rPr>
        <w:t>符合相关行业的实际应用。</w:t>
      </w:r>
    </w:p>
    <w:p>
      <w:pPr>
        <w:spacing w:line="360" w:lineRule="auto"/>
        <w:rPr>
          <w:rFonts w:ascii="黑体" w:hAnsi="宋体" w:eastAsia="黑体" w:cs="Calibri"/>
          <w:sz w:val="24"/>
        </w:rPr>
      </w:pPr>
      <w:r>
        <w:rPr>
          <w:rFonts w:hint="eastAsia" w:ascii="黑体" w:hAnsi="宋体" w:eastAsia="黑体" w:cs="Calibri"/>
          <w:sz w:val="24"/>
        </w:rPr>
        <w:t>2.2</w:t>
      </w:r>
      <w:r>
        <w:rPr>
          <w:rFonts w:ascii="黑体" w:hAnsi="宋体" w:eastAsia="黑体" w:cs="Calibri"/>
          <w:sz w:val="24"/>
        </w:rPr>
        <w:t>确定标准主要内容的论据</w:t>
      </w:r>
    </w:p>
    <w:p>
      <w:pPr>
        <w:spacing w:line="360" w:lineRule="auto"/>
        <w:rPr>
          <w:rFonts w:ascii="黑体" w:hAnsi="宋体" w:eastAsia="黑体" w:cs="Calibri"/>
          <w:sz w:val="24"/>
        </w:rPr>
      </w:pPr>
      <w:r>
        <w:rPr>
          <w:rFonts w:hint="eastAsia" w:ascii="黑体" w:hAnsi="宋体" w:eastAsia="黑体" w:cs="Calibri"/>
          <w:sz w:val="24"/>
        </w:rPr>
        <w:t>2.2.1 供应状态</w:t>
      </w:r>
    </w:p>
    <w:p>
      <w:pPr>
        <w:pStyle w:val="2"/>
        <w:spacing w:line="360" w:lineRule="auto"/>
        <w:ind w:firstLine="555"/>
        <w:rPr>
          <w:b w:val="0"/>
          <w:bCs w:val="0"/>
          <w:sz w:val="24"/>
          <w:szCs w:val="20"/>
        </w:rPr>
      </w:pPr>
      <w:r>
        <w:rPr>
          <w:rFonts w:hint="eastAsia" w:ascii="宋体"/>
          <w:b w:val="0"/>
          <w:bCs w:val="0"/>
          <w:sz w:val="24"/>
          <w:szCs w:val="20"/>
        </w:rPr>
        <w:t>采用粉末床熔融增材制造技术生产镍基合金，可直接得到镍基合金产品，此状态即为成形态；由于成形态的产品存在孔隙或裂纹缺陷，对于性能要求较高的产品需要进行热等静压处理，得到热等静压态的产品，该状态的产品孔隙和裂纹大幅减少；由于GH3625镍基合金是以钼铌为主要强化元素的固溶强化型镍基变形高温合金，因此需要进行固溶热处理，对应产品的状态即为固溶热处理态；而GH4169镍基合金是以</w:t>
      </w:r>
      <w:r>
        <w:rPr>
          <w:b w:val="0"/>
          <w:bCs w:val="0"/>
          <w:sz w:val="24"/>
          <w:szCs w:val="20"/>
        </w:rPr>
        <w:t>γ’</w:t>
      </w:r>
      <w:r>
        <w:rPr>
          <w:rFonts w:hint="eastAsia"/>
          <w:b w:val="0"/>
          <w:bCs w:val="0"/>
          <w:sz w:val="24"/>
          <w:szCs w:val="20"/>
        </w:rPr>
        <w:t>（Ni</w:t>
      </w:r>
      <w:r>
        <w:rPr>
          <w:rFonts w:hint="eastAsia"/>
          <w:b w:val="0"/>
          <w:bCs w:val="0"/>
          <w:sz w:val="24"/>
          <w:szCs w:val="20"/>
          <w:vertAlign w:val="subscript"/>
        </w:rPr>
        <w:t>3</w:t>
      </w:r>
      <w:r>
        <w:rPr>
          <w:rFonts w:hint="eastAsia"/>
          <w:b w:val="0"/>
          <w:bCs w:val="0"/>
          <w:sz w:val="24"/>
          <w:szCs w:val="20"/>
        </w:rPr>
        <w:t>Al）和</w:t>
      </w:r>
      <w:r>
        <w:rPr>
          <w:b w:val="0"/>
          <w:bCs w:val="0"/>
          <w:sz w:val="24"/>
          <w:szCs w:val="20"/>
        </w:rPr>
        <w:t>γ’’</w:t>
      </w:r>
      <w:r>
        <w:rPr>
          <w:rFonts w:hint="eastAsia"/>
          <w:b w:val="0"/>
          <w:bCs w:val="0"/>
          <w:sz w:val="24"/>
          <w:szCs w:val="20"/>
        </w:rPr>
        <w:t>（Ni</w:t>
      </w:r>
      <w:r>
        <w:rPr>
          <w:rFonts w:hint="eastAsia"/>
          <w:b w:val="0"/>
          <w:bCs w:val="0"/>
          <w:sz w:val="24"/>
          <w:szCs w:val="20"/>
          <w:vertAlign w:val="subscript"/>
        </w:rPr>
        <w:t>3</w:t>
      </w:r>
      <w:r>
        <w:rPr>
          <w:rFonts w:hint="eastAsia"/>
          <w:b w:val="0"/>
          <w:bCs w:val="0"/>
          <w:sz w:val="24"/>
          <w:szCs w:val="20"/>
        </w:rPr>
        <w:t>Nb）为主要强化相的沉淀强化型镍基高温合金，通常需要先通过固溶热处理，再进行时效热处理，从而保证强化相的沉淀析出，得到的产品状态即为时效热处理态。因此，本标准规定将产品按供应状态分为成形态、热等静压态、热处理态、热等静压+热处理态。</w:t>
      </w:r>
    </w:p>
    <w:p>
      <w:pPr>
        <w:spacing w:line="360" w:lineRule="auto"/>
        <w:rPr>
          <w:rFonts w:ascii="黑体" w:hAnsi="宋体" w:eastAsia="黑体" w:cs="Calibri"/>
          <w:sz w:val="24"/>
        </w:rPr>
      </w:pPr>
      <w:r>
        <w:rPr>
          <w:rFonts w:hint="eastAsia" w:ascii="黑体" w:hAnsi="宋体" w:eastAsia="黑体" w:cs="Calibri"/>
          <w:sz w:val="24"/>
        </w:rPr>
        <w:t>2.2.2化学成分</w:t>
      </w:r>
    </w:p>
    <w:p>
      <w:pPr>
        <w:pStyle w:val="2"/>
        <w:spacing w:line="360" w:lineRule="auto"/>
        <w:ind w:firstLine="480" w:firstLineChars="200"/>
        <w:rPr>
          <w:b w:val="0"/>
          <w:bCs w:val="0"/>
          <w:sz w:val="24"/>
          <w:szCs w:val="20"/>
        </w:rPr>
      </w:pPr>
      <w:r>
        <w:rPr>
          <w:rFonts w:hint="eastAsia"/>
          <w:b w:val="0"/>
          <w:bCs w:val="0"/>
          <w:sz w:val="24"/>
          <w:szCs w:val="20"/>
        </w:rPr>
        <w:t>粉末床熔融增材制造</w:t>
      </w:r>
      <w:r>
        <w:rPr>
          <w:b w:val="0"/>
          <w:bCs w:val="0"/>
          <w:sz w:val="24"/>
          <w:szCs w:val="20"/>
        </w:rPr>
        <w:t>GH3625</w:t>
      </w:r>
      <w:r>
        <w:rPr>
          <w:rFonts w:hint="eastAsia"/>
          <w:b w:val="0"/>
          <w:bCs w:val="0"/>
          <w:sz w:val="24"/>
          <w:szCs w:val="20"/>
        </w:rPr>
        <w:t>镍基合金化学成分主要包括镍、铬、钼、铌等元素；粉末床熔融增材制造</w:t>
      </w:r>
      <w:r>
        <w:rPr>
          <w:b w:val="0"/>
          <w:bCs w:val="0"/>
          <w:sz w:val="24"/>
          <w:szCs w:val="20"/>
        </w:rPr>
        <w:t>GH</w:t>
      </w:r>
      <w:r>
        <w:rPr>
          <w:rFonts w:hint="eastAsia"/>
          <w:b w:val="0"/>
          <w:bCs w:val="0"/>
          <w:sz w:val="24"/>
          <w:szCs w:val="20"/>
        </w:rPr>
        <w:t>4169镍基合金化学成分主要包括镍、铬、钼、铌、铝、钛等元素；</w:t>
      </w:r>
      <w:r>
        <w:rPr>
          <w:b w:val="0"/>
          <w:bCs w:val="0"/>
          <w:sz w:val="24"/>
          <w:szCs w:val="20"/>
        </w:rPr>
        <w:t>GH3625</w:t>
      </w:r>
      <w:r>
        <w:rPr>
          <w:rFonts w:hint="eastAsia"/>
          <w:b w:val="0"/>
          <w:bCs w:val="0"/>
          <w:sz w:val="24"/>
          <w:szCs w:val="20"/>
        </w:rPr>
        <w:t>镍基合金和</w:t>
      </w:r>
      <w:r>
        <w:rPr>
          <w:b w:val="0"/>
          <w:bCs w:val="0"/>
          <w:sz w:val="24"/>
          <w:szCs w:val="20"/>
        </w:rPr>
        <w:t>GH</w:t>
      </w:r>
      <w:r>
        <w:rPr>
          <w:rFonts w:hint="eastAsia"/>
          <w:b w:val="0"/>
          <w:bCs w:val="0"/>
          <w:sz w:val="24"/>
          <w:szCs w:val="20"/>
        </w:rPr>
        <w:t>4169镍基合金是镍基合金中应用最为广泛的两种，化学成分在GB14992中已有明确规定。因此，本标准产品的化学成分与GB/T 14992的规定相符合。</w:t>
      </w:r>
    </w:p>
    <w:p>
      <w:pPr>
        <w:pStyle w:val="29"/>
        <w:numPr>
          <w:ilvl w:val="0"/>
          <w:numId w:val="3"/>
        </w:numPr>
        <w:tabs>
          <w:tab w:val="left" w:pos="360"/>
        </w:tabs>
        <w:wordWrap w:val="0"/>
        <w:spacing w:before="156" w:after="156"/>
        <w:jc w:val="right"/>
      </w:pPr>
      <w:r>
        <w:rPr>
          <w:rFonts w:hint="eastAsia"/>
        </w:rPr>
        <w:t xml:space="preserve">产品的牌号及化学成分                    </w:t>
      </w:r>
      <w:r>
        <w:rPr>
          <w:rFonts w:hint="eastAsia" w:hAnsi="宋体" w:cs="宋体"/>
          <w:sz w:val="18"/>
          <w:szCs w:val="18"/>
        </w:rPr>
        <w:t>(质量分数)/%</w:t>
      </w:r>
    </w:p>
    <w:tbl>
      <w:tblPr>
        <w:tblStyle w:val="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15"/>
        <w:gridCol w:w="1276"/>
        <w:gridCol w:w="1276"/>
        <w:gridCol w:w="1161"/>
        <w:gridCol w:w="1158"/>
        <w:gridCol w:w="1158"/>
        <w:gridCol w:w="6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6" w:type="dxa"/>
            <w:vAlign w:val="center"/>
          </w:tcPr>
          <w:p>
            <w:pPr>
              <w:jc w:val="center"/>
              <w:rPr>
                <w:sz w:val="18"/>
              </w:rPr>
            </w:pPr>
            <w:r>
              <w:rPr>
                <w:rFonts w:hint="eastAsia"/>
                <w:sz w:val="18"/>
              </w:rPr>
              <w:t>牌号</w:t>
            </w:r>
          </w:p>
        </w:tc>
        <w:tc>
          <w:tcPr>
            <w:tcW w:w="1115" w:type="dxa"/>
            <w:vAlign w:val="center"/>
          </w:tcPr>
          <w:p>
            <w:pPr>
              <w:jc w:val="center"/>
              <w:rPr>
                <w:sz w:val="18"/>
                <w:szCs w:val="21"/>
              </w:rPr>
            </w:pPr>
            <w:r>
              <w:rPr>
                <w:rFonts w:hint="eastAsia"/>
                <w:sz w:val="18"/>
                <w:szCs w:val="21"/>
              </w:rPr>
              <w:t>Ni</w:t>
            </w:r>
          </w:p>
        </w:tc>
        <w:tc>
          <w:tcPr>
            <w:tcW w:w="1276" w:type="dxa"/>
            <w:vAlign w:val="center"/>
          </w:tcPr>
          <w:p>
            <w:pPr>
              <w:jc w:val="center"/>
              <w:rPr>
                <w:sz w:val="18"/>
                <w:szCs w:val="21"/>
              </w:rPr>
            </w:pPr>
            <w:r>
              <w:rPr>
                <w:rFonts w:hint="eastAsia"/>
                <w:sz w:val="18"/>
                <w:szCs w:val="21"/>
              </w:rPr>
              <w:t>Cr</w:t>
            </w:r>
          </w:p>
        </w:tc>
        <w:tc>
          <w:tcPr>
            <w:tcW w:w="1276" w:type="dxa"/>
            <w:vAlign w:val="center"/>
          </w:tcPr>
          <w:p>
            <w:pPr>
              <w:jc w:val="center"/>
              <w:rPr>
                <w:sz w:val="18"/>
                <w:szCs w:val="21"/>
              </w:rPr>
            </w:pPr>
            <w:r>
              <w:rPr>
                <w:rFonts w:hint="eastAsia"/>
                <w:sz w:val="18"/>
                <w:szCs w:val="21"/>
              </w:rPr>
              <w:t>Mo</w:t>
            </w:r>
          </w:p>
        </w:tc>
        <w:tc>
          <w:tcPr>
            <w:tcW w:w="1161" w:type="dxa"/>
            <w:vAlign w:val="center"/>
          </w:tcPr>
          <w:p>
            <w:pPr>
              <w:jc w:val="center"/>
              <w:rPr>
                <w:sz w:val="18"/>
                <w:szCs w:val="21"/>
              </w:rPr>
            </w:pPr>
            <w:r>
              <w:rPr>
                <w:rFonts w:hint="eastAsia"/>
                <w:sz w:val="18"/>
                <w:szCs w:val="21"/>
              </w:rPr>
              <w:t>Nb</w:t>
            </w:r>
          </w:p>
        </w:tc>
        <w:tc>
          <w:tcPr>
            <w:tcW w:w="1158" w:type="dxa"/>
            <w:vAlign w:val="center"/>
          </w:tcPr>
          <w:p>
            <w:pPr>
              <w:jc w:val="center"/>
              <w:rPr>
                <w:sz w:val="18"/>
                <w:szCs w:val="21"/>
              </w:rPr>
            </w:pPr>
            <w:r>
              <w:rPr>
                <w:rFonts w:hint="eastAsia"/>
                <w:sz w:val="18"/>
                <w:szCs w:val="21"/>
              </w:rPr>
              <w:t>Al</w:t>
            </w:r>
          </w:p>
        </w:tc>
        <w:tc>
          <w:tcPr>
            <w:tcW w:w="1158" w:type="dxa"/>
            <w:vAlign w:val="center"/>
          </w:tcPr>
          <w:p>
            <w:pPr>
              <w:jc w:val="center"/>
              <w:rPr>
                <w:sz w:val="18"/>
                <w:szCs w:val="21"/>
              </w:rPr>
            </w:pPr>
            <w:r>
              <w:rPr>
                <w:rFonts w:hint="eastAsia"/>
                <w:sz w:val="18"/>
                <w:szCs w:val="21"/>
              </w:rPr>
              <w:t>Ti</w:t>
            </w:r>
          </w:p>
        </w:tc>
        <w:tc>
          <w:tcPr>
            <w:tcW w:w="917" w:type="dxa"/>
            <w:gridSpan w:val="2"/>
          </w:tcPr>
          <w:p>
            <w:pPr>
              <w:jc w:val="center"/>
              <w:rPr>
                <w:sz w:val="18"/>
              </w:rPr>
            </w:pPr>
            <w:r>
              <w:rPr>
                <w:rFonts w:hint="eastAsia"/>
                <w:sz w:val="18"/>
              </w:rPr>
              <w:t>Fe</w:t>
            </w:r>
          </w:p>
        </w:tc>
        <w:tc>
          <w:tcPr>
            <w:tcW w:w="850" w:type="dxa"/>
            <w:vAlign w:val="center"/>
          </w:tcPr>
          <w:p>
            <w:pPr>
              <w:jc w:val="center"/>
              <w:rPr>
                <w:sz w:val="18"/>
                <w:szCs w:val="21"/>
              </w:rPr>
            </w:pPr>
            <w:r>
              <w:rPr>
                <w:rFonts w:hint="eastAsia"/>
                <w:sz w:val="18"/>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36" w:type="dxa"/>
            <w:vAlign w:val="center"/>
          </w:tcPr>
          <w:p>
            <w:pPr>
              <w:jc w:val="center"/>
              <w:rPr>
                <w:sz w:val="18"/>
              </w:rPr>
            </w:pPr>
            <w:r>
              <w:rPr>
                <w:rFonts w:hint="eastAsia"/>
                <w:sz w:val="18"/>
              </w:rPr>
              <w:t>GH3625</w:t>
            </w:r>
          </w:p>
        </w:tc>
        <w:tc>
          <w:tcPr>
            <w:tcW w:w="1115" w:type="dxa"/>
            <w:vAlign w:val="center"/>
          </w:tcPr>
          <w:p>
            <w:pPr>
              <w:jc w:val="center"/>
              <w:rPr>
                <w:sz w:val="18"/>
                <w:szCs w:val="21"/>
              </w:rPr>
            </w:pPr>
            <w:r>
              <w:rPr>
                <w:rFonts w:hint="eastAsia" w:hAnsi="宋体"/>
                <w:sz w:val="18"/>
                <w:szCs w:val="21"/>
              </w:rPr>
              <w:t>余量</w:t>
            </w:r>
          </w:p>
        </w:tc>
        <w:tc>
          <w:tcPr>
            <w:tcW w:w="1276" w:type="dxa"/>
            <w:vAlign w:val="center"/>
          </w:tcPr>
          <w:p>
            <w:pPr>
              <w:jc w:val="center"/>
              <w:rPr>
                <w:sz w:val="18"/>
                <w:szCs w:val="21"/>
              </w:rPr>
            </w:pPr>
            <w:r>
              <w:rPr>
                <w:rFonts w:hint="eastAsia"/>
                <w:sz w:val="18"/>
                <w:szCs w:val="21"/>
              </w:rPr>
              <w:t>20.00</w:t>
            </w:r>
            <w:r>
              <w:rPr>
                <w:rFonts w:hint="eastAsia"/>
                <w:sz w:val="18"/>
                <w:szCs w:val="18"/>
              </w:rPr>
              <w:t>～23.00</w:t>
            </w:r>
          </w:p>
        </w:tc>
        <w:tc>
          <w:tcPr>
            <w:tcW w:w="1276" w:type="dxa"/>
            <w:vAlign w:val="center"/>
          </w:tcPr>
          <w:p>
            <w:pPr>
              <w:jc w:val="center"/>
              <w:rPr>
                <w:sz w:val="18"/>
                <w:szCs w:val="21"/>
              </w:rPr>
            </w:pPr>
            <w:r>
              <w:rPr>
                <w:rFonts w:hint="eastAsia"/>
                <w:sz w:val="18"/>
                <w:szCs w:val="21"/>
              </w:rPr>
              <w:t>8.00</w:t>
            </w:r>
            <w:r>
              <w:rPr>
                <w:rFonts w:hint="eastAsia"/>
                <w:sz w:val="18"/>
                <w:szCs w:val="18"/>
              </w:rPr>
              <w:t>～10.00</w:t>
            </w:r>
          </w:p>
        </w:tc>
        <w:tc>
          <w:tcPr>
            <w:tcW w:w="1161" w:type="dxa"/>
            <w:vAlign w:val="center"/>
          </w:tcPr>
          <w:p>
            <w:pPr>
              <w:jc w:val="center"/>
              <w:rPr>
                <w:sz w:val="18"/>
                <w:szCs w:val="21"/>
              </w:rPr>
            </w:pPr>
            <w:r>
              <w:rPr>
                <w:rFonts w:hint="eastAsia"/>
                <w:sz w:val="18"/>
                <w:szCs w:val="21"/>
              </w:rPr>
              <w:t>3.15</w:t>
            </w:r>
            <w:r>
              <w:rPr>
                <w:rFonts w:hint="eastAsia"/>
                <w:sz w:val="18"/>
                <w:szCs w:val="18"/>
              </w:rPr>
              <w:t>～4.15</w:t>
            </w:r>
          </w:p>
        </w:tc>
        <w:tc>
          <w:tcPr>
            <w:tcW w:w="1158" w:type="dxa"/>
            <w:vAlign w:val="center"/>
          </w:tcPr>
          <w:p>
            <w:pPr>
              <w:jc w:val="center"/>
              <w:rPr>
                <w:sz w:val="18"/>
                <w:szCs w:val="21"/>
              </w:rPr>
            </w:pPr>
            <w:r>
              <w:rPr>
                <w:rFonts w:hint="eastAsia"/>
                <w:sz w:val="18"/>
                <w:szCs w:val="21"/>
              </w:rPr>
              <w:t>≤0.40</w:t>
            </w:r>
          </w:p>
        </w:tc>
        <w:tc>
          <w:tcPr>
            <w:tcW w:w="1158" w:type="dxa"/>
            <w:vAlign w:val="center"/>
          </w:tcPr>
          <w:p>
            <w:pPr>
              <w:jc w:val="center"/>
              <w:rPr>
                <w:sz w:val="18"/>
                <w:szCs w:val="21"/>
              </w:rPr>
            </w:pPr>
            <w:r>
              <w:rPr>
                <w:rFonts w:hint="eastAsia"/>
                <w:sz w:val="18"/>
                <w:szCs w:val="21"/>
              </w:rPr>
              <w:t>≤0.40</w:t>
            </w:r>
          </w:p>
        </w:tc>
        <w:tc>
          <w:tcPr>
            <w:tcW w:w="917" w:type="dxa"/>
            <w:gridSpan w:val="2"/>
            <w:vAlign w:val="center"/>
          </w:tcPr>
          <w:p>
            <w:pPr>
              <w:jc w:val="center"/>
              <w:rPr>
                <w:sz w:val="18"/>
              </w:rPr>
            </w:pPr>
            <w:r>
              <w:rPr>
                <w:rFonts w:hint="eastAsia"/>
                <w:sz w:val="18"/>
                <w:szCs w:val="21"/>
              </w:rPr>
              <w:t>≤5.00</w:t>
            </w:r>
          </w:p>
        </w:tc>
        <w:tc>
          <w:tcPr>
            <w:tcW w:w="850" w:type="dxa"/>
            <w:vAlign w:val="center"/>
          </w:tcPr>
          <w:p>
            <w:pPr>
              <w:jc w:val="center"/>
              <w:rPr>
                <w:sz w:val="18"/>
                <w:szCs w:val="21"/>
              </w:rPr>
            </w:pPr>
            <w:r>
              <w:rPr>
                <w:rFonts w:hint="eastAsia"/>
                <w:sz w:val="18"/>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36" w:type="dxa"/>
            <w:vAlign w:val="center"/>
          </w:tcPr>
          <w:p>
            <w:pPr>
              <w:jc w:val="center"/>
              <w:rPr>
                <w:sz w:val="18"/>
              </w:rPr>
            </w:pPr>
            <w:r>
              <w:rPr>
                <w:rFonts w:hint="eastAsia"/>
                <w:sz w:val="18"/>
              </w:rPr>
              <w:t>GH4169</w:t>
            </w:r>
          </w:p>
        </w:tc>
        <w:tc>
          <w:tcPr>
            <w:tcW w:w="1115" w:type="dxa"/>
            <w:vAlign w:val="center"/>
          </w:tcPr>
          <w:p>
            <w:pPr>
              <w:jc w:val="center"/>
              <w:rPr>
                <w:sz w:val="18"/>
                <w:szCs w:val="21"/>
              </w:rPr>
            </w:pPr>
            <w:r>
              <w:rPr>
                <w:rFonts w:hint="eastAsia"/>
                <w:sz w:val="18"/>
                <w:szCs w:val="21"/>
              </w:rPr>
              <w:t>50.0</w:t>
            </w:r>
            <w:r>
              <w:rPr>
                <w:rFonts w:hint="eastAsia"/>
                <w:sz w:val="18"/>
                <w:szCs w:val="18"/>
              </w:rPr>
              <w:t>～</w:t>
            </w:r>
            <w:r>
              <w:rPr>
                <w:rFonts w:hint="eastAsia"/>
                <w:sz w:val="18"/>
                <w:szCs w:val="21"/>
              </w:rPr>
              <w:t>55.0</w:t>
            </w:r>
          </w:p>
        </w:tc>
        <w:tc>
          <w:tcPr>
            <w:tcW w:w="1276" w:type="dxa"/>
            <w:vAlign w:val="center"/>
          </w:tcPr>
          <w:p>
            <w:pPr>
              <w:jc w:val="center"/>
              <w:rPr>
                <w:sz w:val="18"/>
                <w:szCs w:val="21"/>
              </w:rPr>
            </w:pPr>
            <w:r>
              <w:rPr>
                <w:rFonts w:hint="eastAsia"/>
                <w:sz w:val="18"/>
                <w:szCs w:val="21"/>
              </w:rPr>
              <w:t>17.00</w:t>
            </w:r>
            <w:r>
              <w:rPr>
                <w:rFonts w:hint="eastAsia"/>
                <w:sz w:val="18"/>
                <w:szCs w:val="18"/>
              </w:rPr>
              <w:t>～21.00</w:t>
            </w:r>
          </w:p>
        </w:tc>
        <w:tc>
          <w:tcPr>
            <w:tcW w:w="1276" w:type="dxa"/>
            <w:vAlign w:val="center"/>
          </w:tcPr>
          <w:p>
            <w:pPr>
              <w:jc w:val="center"/>
              <w:rPr>
                <w:sz w:val="18"/>
                <w:szCs w:val="21"/>
              </w:rPr>
            </w:pPr>
            <w:r>
              <w:rPr>
                <w:rFonts w:hint="eastAsia"/>
                <w:sz w:val="18"/>
                <w:szCs w:val="21"/>
              </w:rPr>
              <w:t>2.80</w:t>
            </w:r>
            <w:r>
              <w:rPr>
                <w:rFonts w:hint="eastAsia"/>
                <w:sz w:val="18"/>
                <w:szCs w:val="18"/>
              </w:rPr>
              <w:t>～3.30</w:t>
            </w:r>
          </w:p>
        </w:tc>
        <w:tc>
          <w:tcPr>
            <w:tcW w:w="1161" w:type="dxa"/>
            <w:vAlign w:val="center"/>
          </w:tcPr>
          <w:p>
            <w:pPr>
              <w:jc w:val="center"/>
              <w:rPr>
                <w:sz w:val="18"/>
                <w:szCs w:val="21"/>
              </w:rPr>
            </w:pPr>
            <w:r>
              <w:rPr>
                <w:rFonts w:hint="eastAsia"/>
                <w:sz w:val="18"/>
                <w:szCs w:val="21"/>
              </w:rPr>
              <w:t>4.75</w:t>
            </w:r>
            <w:r>
              <w:rPr>
                <w:rFonts w:hint="eastAsia"/>
                <w:sz w:val="18"/>
                <w:szCs w:val="18"/>
              </w:rPr>
              <w:t>～5.50</w:t>
            </w:r>
          </w:p>
        </w:tc>
        <w:tc>
          <w:tcPr>
            <w:tcW w:w="1158" w:type="dxa"/>
            <w:vAlign w:val="center"/>
          </w:tcPr>
          <w:p>
            <w:pPr>
              <w:jc w:val="center"/>
              <w:rPr>
                <w:sz w:val="18"/>
                <w:szCs w:val="21"/>
              </w:rPr>
            </w:pPr>
            <w:r>
              <w:rPr>
                <w:rFonts w:hint="eastAsia"/>
                <w:sz w:val="18"/>
                <w:szCs w:val="21"/>
              </w:rPr>
              <w:t>0.20</w:t>
            </w:r>
            <w:r>
              <w:rPr>
                <w:rFonts w:hint="eastAsia"/>
                <w:sz w:val="18"/>
                <w:szCs w:val="18"/>
              </w:rPr>
              <w:t>～0.80</w:t>
            </w:r>
          </w:p>
        </w:tc>
        <w:tc>
          <w:tcPr>
            <w:tcW w:w="1158" w:type="dxa"/>
            <w:vAlign w:val="center"/>
          </w:tcPr>
          <w:p>
            <w:pPr>
              <w:jc w:val="center"/>
              <w:rPr>
                <w:sz w:val="18"/>
                <w:szCs w:val="21"/>
              </w:rPr>
            </w:pPr>
            <w:r>
              <w:rPr>
                <w:rFonts w:hint="eastAsia"/>
                <w:sz w:val="18"/>
                <w:szCs w:val="21"/>
              </w:rPr>
              <w:t>0.65</w:t>
            </w:r>
            <w:r>
              <w:rPr>
                <w:rFonts w:hint="eastAsia"/>
                <w:sz w:val="18"/>
                <w:szCs w:val="18"/>
              </w:rPr>
              <w:t>～1.15</w:t>
            </w:r>
          </w:p>
        </w:tc>
        <w:tc>
          <w:tcPr>
            <w:tcW w:w="917" w:type="dxa"/>
            <w:gridSpan w:val="2"/>
            <w:vAlign w:val="center"/>
          </w:tcPr>
          <w:p>
            <w:pPr>
              <w:jc w:val="center"/>
              <w:rPr>
                <w:sz w:val="18"/>
              </w:rPr>
            </w:pPr>
            <w:r>
              <w:rPr>
                <w:rFonts w:hint="eastAsia"/>
                <w:sz w:val="18"/>
              </w:rPr>
              <w:t>余量</w:t>
            </w:r>
          </w:p>
        </w:tc>
        <w:tc>
          <w:tcPr>
            <w:tcW w:w="850" w:type="dxa"/>
            <w:vAlign w:val="center"/>
          </w:tcPr>
          <w:p>
            <w:pPr>
              <w:jc w:val="center"/>
              <w:rPr>
                <w:sz w:val="18"/>
                <w:szCs w:val="21"/>
              </w:rPr>
            </w:pPr>
            <w:r>
              <w:rPr>
                <w:rFonts w:hint="eastAsia"/>
                <w:sz w:val="18"/>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47" w:type="dxa"/>
            <w:gridSpan w:val="10"/>
            <w:vAlign w:val="center"/>
          </w:tcPr>
          <w:p>
            <w:pPr>
              <w:pStyle w:val="14"/>
              <w:ind w:firstLine="0" w:firstLineChars="0"/>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6" w:type="dxa"/>
          </w:tcPr>
          <w:p>
            <w:pPr>
              <w:pStyle w:val="14"/>
              <w:ind w:firstLine="0" w:firstLineChars="0"/>
              <w:rPr>
                <w:rFonts w:ascii="Times New Roman"/>
              </w:rPr>
            </w:pPr>
            <w:r>
              <w:rPr>
                <w:rFonts w:hint="eastAsia" w:ascii="Times New Roman"/>
                <w:sz w:val="18"/>
              </w:rPr>
              <w:t>牌号</w:t>
            </w:r>
          </w:p>
        </w:tc>
        <w:tc>
          <w:tcPr>
            <w:tcW w:w="1115" w:type="dxa"/>
            <w:vAlign w:val="center"/>
          </w:tcPr>
          <w:p>
            <w:pPr>
              <w:jc w:val="center"/>
              <w:rPr>
                <w:sz w:val="18"/>
                <w:szCs w:val="21"/>
              </w:rPr>
            </w:pPr>
            <w:r>
              <w:rPr>
                <w:rFonts w:hint="eastAsia"/>
                <w:sz w:val="18"/>
                <w:szCs w:val="21"/>
              </w:rPr>
              <w:t>Co</w:t>
            </w:r>
          </w:p>
        </w:tc>
        <w:tc>
          <w:tcPr>
            <w:tcW w:w="1276" w:type="dxa"/>
          </w:tcPr>
          <w:p>
            <w:pPr>
              <w:pStyle w:val="14"/>
              <w:ind w:firstLine="0" w:firstLineChars="0"/>
              <w:jc w:val="center"/>
              <w:rPr>
                <w:rFonts w:ascii="Times New Roman"/>
              </w:rPr>
            </w:pPr>
            <w:r>
              <w:rPr>
                <w:rFonts w:hint="eastAsia" w:ascii="Times New Roman"/>
              </w:rPr>
              <w:t>Mg</w:t>
            </w:r>
          </w:p>
        </w:tc>
        <w:tc>
          <w:tcPr>
            <w:tcW w:w="1276" w:type="dxa"/>
          </w:tcPr>
          <w:p>
            <w:pPr>
              <w:pStyle w:val="14"/>
              <w:ind w:firstLine="0" w:firstLineChars="0"/>
              <w:jc w:val="center"/>
              <w:rPr>
                <w:rFonts w:ascii="Times New Roman"/>
              </w:rPr>
            </w:pPr>
            <w:r>
              <w:rPr>
                <w:rFonts w:hint="eastAsia" w:ascii="Times New Roman"/>
              </w:rPr>
              <w:t>B</w:t>
            </w:r>
          </w:p>
        </w:tc>
        <w:tc>
          <w:tcPr>
            <w:tcW w:w="1161" w:type="dxa"/>
            <w:vAlign w:val="center"/>
          </w:tcPr>
          <w:p>
            <w:pPr>
              <w:jc w:val="center"/>
              <w:rPr>
                <w:sz w:val="18"/>
                <w:szCs w:val="21"/>
              </w:rPr>
            </w:pPr>
            <w:r>
              <w:rPr>
                <w:rFonts w:hint="eastAsia"/>
                <w:sz w:val="18"/>
                <w:szCs w:val="21"/>
              </w:rPr>
              <w:t>Cu</w:t>
            </w:r>
          </w:p>
        </w:tc>
        <w:tc>
          <w:tcPr>
            <w:tcW w:w="1158" w:type="dxa"/>
            <w:vAlign w:val="center"/>
          </w:tcPr>
          <w:p>
            <w:pPr>
              <w:jc w:val="center"/>
              <w:rPr>
                <w:sz w:val="18"/>
                <w:szCs w:val="21"/>
              </w:rPr>
            </w:pPr>
            <w:r>
              <w:rPr>
                <w:rFonts w:hint="eastAsia"/>
                <w:sz w:val="18"/>
                <w:szCs w:val="21"/>
              </w:rPr>
              <w:t>Mn</w:t>
            </w:r>
          </w:p>
        </w:tc>
        <w:tc>
          <w:tcPr>
            <w:tcW w:w="1224" w:type="dxa"/>
            <w:gridSpan w:val="2"/>
            <w:vAlign w:val="center"/>
          </w:tcPr>
          <w:p>
            <w:pPr>
              <w:jc w:val="center"/>
              <w:rPr>
                <w:sz w:val="18"/>
                <w:szCs w:val="21"/>
              </w:rPr>
            </w:pPr>
            <w:r>
              <w:rPr>
                <w:rFonts w:hint="eastAsia"/>
                <w:sz w:val="18"/>
                <w:szCs w:val="21"/>
              </w:rPr>
              <w:t>Si</w:t>
            </w:r>
          </w:p>
        </w:tc>
        <w:tc>
          <w:tcPr>
            <w:tcW w:w="851" w:type="dxa"/>
            <w:vAlign w:val="center"/>
          </w:tcPr>
          <w:p>
            <w:pPr>
              <w:jc w:val="center"/>
              <w:rPr>
                <w:sz w:val="18"/>
                <w:szCs w:val="21"/>
              </w:rPr>
            </w:pPr>
            <w:r>
              <w:rPr>
                <w:rFonts w:hint="eastAsia"/>
                <w:sz w:val="18"/>
                <w:szCs w:val="21"/>
              </w:rPr>
              <w:t>P</w:t>
            </w:r>
          </w:p>
        </w:tc>
        <w:tc>
          <w:tcPr>
            <w:tcW w:w="850" w:type="dxa"/>
            <w:vAlign w:val="center"/>
          </w:tcPr>
          <w:p>
            <w:pPr>
              <w:jc w:val="center"/>
              <w:rPr>
                <w:sz w:val="18"/>
                <w:szCs w:val="21"/>
              </w:rPr>
            </w:pPr>
            <w:r>
              <w:rPr>
                <w:rFonts w:hint="eastAsia"/>
                <w:sz w:val="18"/>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6" w:type="dxa"/>
            <w:vAlign w:val="center"/>
          </w:tcPr>
          <w:p>
            <w:pPr>
              <w:jc w:val="center"/>
              <w:rPr>
                <w:sz w:val="18"/>
              </w:rPr>
            </w:pPr>
            <w:r>
              <w:rPr>
                <w:rFonts w:hint="eastAsia"/>
                <w:sz w:val="18"/>
              </w:rPr>
              <w:t>GH3625</w:t>
            </w:r>
          </w:p>
        </w:tc>
        <w:tc>
          <w:tcPr>
            <w:tcW w:w="1115" w:type="dxa"/>
            <w:vAlign w:val="center"/>
          </w:tcPr>
          <w:p>
            <w:pPr>
              <w:jc w:val="center"/>
              <w:rPr>
                <w:sz w:val="18"/>
                <w:szCs w:val="21"/>
              </w:rPr>
            </w:pPr>
            <w:r>
              <w:rPr>
                <w:rFonts w:hint="eastAsia"/>
                <w:sz w:val="18"/>
                <w:szCs w:val="21"/>
              </w:rPr>
              <w:t>≤1.00</w:t>
            </w:r>
          </w:p>
        </w:tc>
        <w:tc>
          <w:tcPr>
            <w:tcW w:w="1276" w:type="dxa"/>
          </w:tcPr>
          <w:p>
            <w:pPr>
              <w:pStyle w:val="14"/>
              <w:ind w:firstLine="0" w:firstLineChars="0"/>
              <w:jc w:val="center"/>
              <w:rPr>
                <w:rFonts w:ascii="Times New Roman"/>
              </w:rPr>
            </w:pPr>
            <w:r>
              <w:rPr>
                <w:rFonts w:hint="eastAsia" w:ascii="Times New Roman"/>
              </w:rPr>
              <w:t>-</w:t>
            </w:r>
          </w:p>
        </w:tc>
        <w:tc>
          <w:tcPr>
            <w:tcW w:w="1276" w:type="dxa"/>
            <w:vAlign w:val="center"/>
          </w:tcPr>
          <w:p>
            <w:pPr>
              <w:jc w:val="center"/>
              <w:rPr>
                <w:sz w:val="18"/>
                <w:szCs w:val="21"/>
              </w:rPr>
            </w:pPr>
            <w:r>
              <w:rPr>
                <w:rFonts w:hint="eastAsia"/>
                <w:sz w:val="18"/>
                <w:szCs w:val="21"/>
              </w:rPr>
              <w:t>-</w:t>
            </w:r>
          </w:p>
        </w:tc>
        <w:tc>
          <w:tcPr>
            <w:tcW w:w="1161" w:type="dxa"/>
            <w:vAlign w:val="center"/>
          </w:tcPr>
          <w:p>
            <w:pPr>
              <w:jc w:val="center"/>
              <w:rPr>
                <w:sz w:val="18"/>
                <w:szCs w:val="21"/>
              </w:rPr>
            </w:pPr>
            <w:r>
              <w:rPr>
                <w:rFonts w:hint="eastAsia"/>
                <w:sz w:val="18"/>
                <w:szCs w:val="21"/>
              </w:rPr>
              <w:t>≤0.07</w:t>
            </w:r>
            <w:r>
              <w:rPr>
                <w:rFonts w:hint="eastAsia"/>
                <w:szCs w:val="21"/>
              </w:rPr>
              <w:t>0</w:t>
            </w:r>
          </w:p>
        </w:tc>
        <w:tc>
          <w:tcPr>
            <w:tcW w:w="1158" w:type="dxa"/>
            <w:vAlign w:val="center"/>
          </w:tcPr>
          <w:p>
            <w:pPr>
              <w:jc w:val="center"/>
              <w:rPr>
                <w:sz w:val="18"/>
                <w:szCs w:val="21"/>
              </w:rPr>
            </w:pPr>
            <w:r>
              <w:rPr>
                <w:rFonts w:hint="eastAsia"/>
                <w:sz w:val="18"/>
                <w:szCs w:val="21"/>
              </w:rPr>
              <w:t>≤0.50</w:t>
            </w:r>
          </w:p>
        </w:tc>
        <w:tc>
          <w:tcPr>
            <w:tcW w:w="1224" w:type="dxa"/>
            <w:gridSpan w:val="2"/>
            <w:vAlign w:val="center"/>
          </w:tcPr>
          <w:p>
            <w:pPr>
              <w:jc w:val="center"/>
              <w:rPr>
                <w:sz w:val="18"/>
                <w:szCs w:val="21"/>
              </w:rPr>
            </w:pPr>
            <w:r>
              <w:rPr>
                <w:rFonts w:hint="eastAsia"/>
                <w:sz w:val="18"/>
                <w:szCs w:val="21"/>
              </w:rPr>
              <w:t>≤0.50</w:t>
            </w:r>
          </w:p>
        </w:tc>
        <w:tc>
          <w:tcPr>
            <w:tcW w:w="851" w:type="dxa"/>
            <w:vAlign w:val="center"/>
          </w:tcPr>
          <w:p>
            <w:pPr>
              <w:jc w:val="center"/>
              <w:rPr>
                <w:sz w:val="18"/>
                <w:szCs w:val="21"/>
              </w:rPr>
            </w:pPr>
            <w:r>
              <w:rPr>
                <w:rFonts w:hint="eastAsia"/>
                <w:sz w:val="18"/>
                <w:szCs w:val="21"/>
              </w:rPr>
              <w:t>≤0.015</w:t>
            </w:r>
          </w:p>
        </w:tc>
        <w:tc>
          <w:tcPr>
            <w:tcW w:w="850" w:type="dxa"/>
            <w:vAlign w:val="center"/>
          </w:tcPr>
          <w:p>
            <w:pPr>
              <w:jc w:val="center"/>
              <w:rPr>
                <w:sz w:val="18"/>
                <w:szCs w:val="21"/>
              </w:rPr>
            </w:pPr>
            <w:r>
              <w:rPr>
                <w:rFonts w:hint="eastAsia"/>
                <w:sz w:val="18"/>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6" w:type="dxa"/>
            <w:vAlign w:val="center"/>
          </w:tcPr>
          <w:p>
            <w:pPr>
              <w:jc w:val="center"/>
              <w:rPr>
                <w:sz w:val="18"/>
              </w:rPr>
            </w:pPr>
            <w:r>
              <w:rPr>
                <w:rFonts w:hint="eastAsia"/>
                <w:sz w:val="18"/>
              </w:rPr>
              <w:t>GH4169</w:t>
            </w:r>
          </w:p>
        </w:tc>
        <w:tc>
          <w:tcPr>
            <w:tcW w:w="1115" w:type="dxa"/>
            <w:vAlign w:val="center"/>
          </w:tcPr>
          <w:p>
            <w:pPr>
              <w:jc w:val="center"/>
              <w:rPr>
                <w:sz w:val="18"/>
                <w:szCs w:val="21"/>
              </w:rPr>
            </w:pPr>
            <w:r>
              <w:rPr>
                <w:rFonts w:hint="eastAsia"/>
                <w:sz w:val="18"/>
                <w:szCs w:val="21"/>
              </w:rPr>
              <w:t>≤1.00</w:t>
            </w:r>
          </w:p>
        </w:tc>
        <w:tc>
          <w:tcPr>
            <w:tcW w:w="1276" w:type="dxa"/>
          </w:tcPr>
          <w:p>
            <w:pPr>
              <w:pStyle w:val="14"/>
              <w:ind w:firstLine="0" w:firstLineChars="0"/>
              <w:jc w:val="center"/>
              <w:rPr>
                <w:rFonts w:ascii="Times New Roman"/>
              </w:rPr>
            </w:pPr>
            <w:r>
              <w:rPr>
                <w:rFonts w:hint="eastAsia" w:ascii="Times New Roman"/>
                <w:sz w:val="18"/>
                <w:szCs w:val="21"/>
              </w:rPr>
              <w:t>≤0.010</w:t>
            </w:r>
          </w:p>
        </w:tc>
        <w:tc>
          <w:tcPr>
            <w:tcW w:w="1276" w:type="dxa"/>
            <w:vAlign w:val="center"/>
          </w:tcPr>
          <w:p>
            <w:pPr>
              <w:jc w:val="center"/>
              <w:rPr>
                <w:sz w:val="18"/>
                <w:szCs w:val="21"/>
              </w:rPr>
            </w:pPr>
            <w:r>
              <w:rPr>
                <w:rFonts w:hint="eastAsia"/>
                <w:sz w:val="18"/>
                <w:szCs w:val="21"/>
              </w:rPr>
              <w:t>≤0.006</w:t>
            </w:r>
          </w:p>
        </w:tc>
        <w:tc>
          <w:tcPr>
            <w:tcW w:w="1161" w:type="dxa"/>
            <w:vAlign w:val="center"/>
          </w:tcPr>
          <w:p>
            <w:pPr>
              <w:jc w:val="center"/>
              <w:rPr>
                <w:sz w:val="18"/>
                <w:szCs w:val="21"/>
              </w:rPr>
            </w:pPr>
            <w:r>
              <w:rPr>
                <w:rFonts w:hint="eastAsia"/>
                <w:sz w:val="18"/>
                <w:szCs w:val="21"/>
              </w:rPr>
              <w:t>≤0.30</w:t>
            </w:r>
            <w:r>
              <w:rPr>
                <w:rFonts w:hint="eastAsia"/>
                <w:szCs w:val="21"/>
              </w:rPr>
              <w:t>0</w:t>
            </w:r>
          </w:p>
        </w:tc>
        <w:tc>
          <w:tcPr>
            <w:tcW w:w="1158" w:type="dxa"/>
            <w:vAlign w:val="center"/>
          </w:tcPr>
          <w:p>
            <w:pPr>
              <w:jc w:val="center"/>
              <w:rPr>
                <w:sz w:val="18"/>
                <w:szCs w:val="21"/>
              </w:rPr>
            </w:pPr>
            <w:r>
              <w:rPr>
                <w:rFonts w:hint="eastAsia"/>
                <w:sz w:val="18"/>
                <w:szCs w:val="21"/>
              </w:rPr>
              <w:t>≤0.35</w:t>
            </w:r>
          </w:p>
        </w:tc>
        <w:tc>
          <w:tcPr>
            <w:tcW w:w="1224" w:type="dxa"/>
            <w:gridSpan w:val="2"/>
            <w:vAlign w:val="center"/>
          </w:tcPr>
          <w:p>
            <w:pPr>
              <w:jc w:val="center"/>
              <w:rPr>
                <w:sz w:val="18"/>
                <w:szCs w:val="21"/>
              </w:rPr>
            </w:pPr>
            <w:r>
              <w:rPr>
                <w:rFonts w:hint="eastAsia"/>
                <w:sz w:val="18"/>
                <w:szCs w:val="21"/>
              </w:rPr>
              <w:t>≤0.35</w:t>
            </w:r>
          </w:p>
        </w:tc>
        <w:tc>
          <w:tcPr>
            <w:tcW w:w="851" w:type="dxa"/>
            <w:vAlign w:val="center"/>
          </w:tcPr>
          <w:p>
            <w:pPr>
              <w:jc w:val="center"/>
              <w:rPr>
                <w:sz w:val="18"/>
                <w:szCs w:val="21"/>
              </w:rPr>
            </w:pPr>
            <w:r>
              <w:rPr>
                <w:rFonts w:hint="eastAsia"/>
                <w:sz w:val="18"/>
                <w:szCs w:val="21"/>
              </w:rPr>
              <w:t>≤0.015</w:t>
            </w:r>
          </w:p>
        </w:tc>
        <w:tc>
          <w:tcPr>
            <w:tcW w:w="850" w:type="dxa"/>
            <w:vAlign w:val="center"/>
          </w:tcPr>
          <w:p>
            <w:pPr>
              <w:jc w:val="center"/>
              <w:rPr>
                <w:sz w:val="18"/>
                <w:szCs w:val="21"/>
              </w:rPr>
            </w:pPr>
            <w:r>
              <w:rPr>
                <w:rFonts w:hint="eastAsia"/>
                <w:sz w:val="18"/>
                <w:szCs w:val="21"/>
              </w:rPr>
              <w:t>≤0.015</w:t>
            </w:r>
          </w:p>
        </w:tc>
      </w:tr>
    </w:tbl>
    <w:p>
      <w:pPr>
        <w:spacing w:line="360" w:lineRule="auto"/>
        <w:rPr>
          <w:rFonts w:ascii="黑体" w:hAnsi="宋体" w:eastAsia="黑体" w:cs="Calibri"/>
          <w:sz w:val="24"/>
        </w:rPr>
      </w:pPr>
      <w:r>
        <w:rPr>
          <w:rFonts w:hint="eastAsia" w:ascii="黑体" w:hAnsi="宋体" w:eastAsia="黑体" w:cs="Calibri"/>
          <w:sz w:val="24"/>
        </w:rPr>
        <w:t>2.2.3密度</w:t>
      </w:r>
    </w:p>
    <w:p>
      <w:pPr>
        <w:pStyle w:val="2"/>
        <w:spacing w:line="360" w:lineRule="auto"/>
        <w:ind w:firstLine="480" w:firstLineChars="200"/>
        <w:rPr>
          <w:rFonts w:ascii="宋体"/>
          <w:sz w:val="24"/>
          <w:szCs w:val="20"/>
        </w:rPr>
      </w:pPr>
      <w:r>
        <w:rPr>
          <w:rFonts w:hint="eastAsia" w:ascii="宋体"/>
          <w:b w:val="0"/>
          <w:bCs w:val="0"/>
          <w:sz w:val="24"/>
          <w:szCs w:val="20"/>
        </w:rPr>
        <w:t>根据我们对本研究所以及调研部分企业的生产数据调研和统计结果，工作组完成了产品相关物理性能的统计，结果表明产品的密度均不小于99%，同时客户对产品的密度也提出不小于99%的技术要求。因此，本标准规定产品的密度应不小于99%。</w:t>
      </w:r>
    </w:p>
    <w:p>
      <w:pPr>
        <w:spacing w:line="360" w:lineRule="auto"/>
        <w:rPr>
          <w:rFonts w:ascii="黑体" w:hAnsi="宋体" w:eastAsia="黑体" w:cs="Calibri"/>
          <w:sz w:val="24"/>
        </w:rPr>
      </w:pPr>
      <w:r>
        <w:rPr>
          <w:rFonts w:hint="eastAsia" w:ascii="黑体" w:hAnsi="宋体" w:eastAsia="黑体" w:cs="Calibri"/>
          <w:sz w:val="24"/>
        </w:rPr>
        <w:t>2.2.4力学性能</w:t>
      </w:r>
    </w:p>
    <w:p>
      <w:pPr>
        <w:pStyle w:val="2"/>
        <w:spacing w:line="360" w:lineRule="auto"/>
        <w:ind w:firstLine="480" w:firstLineChars="200"/>
        <w:rPr>
          <w:rFonts w:eastAsiaTheme="minorEastAsia"/>
          <w:b w:val="0"/>
          <w:bCs w:val="0"/>
          <w:sz w:val="24"/>
          <w:szCs w:val="20"/>
        </w:rPr>
      </w:pPr>
      <w:r>
        <w:rPr>
          <w:b w:val="0"/>
          <w:bCs w:val="0"/>
          <w:sz w:val="24"/>
          <w:szCs w:val="20"/>
        </w:rPr>
        <w:t>本标准的力学性能采用了国际标准ASTM F3055-14a《粉床熔融增材制造镍合金（UNS N07718）标准规范》和ASTM F3056-14e1《粉床熔融增材制造镍合金（UNS N06625）标准规范》的</w:t>
      </w:r>
      <w:r>
        <w:rPr>
          <w:rFonts w:hint="eastAsia"/>
          <w:b w:val="0"/>
          <w:bCs w:val="0"/>
          <w:sz w:val="24"/>
          <w:szCs w:val="20"/>
        </w:rPr>
        <w:t>对</w:t>
      </w:r>
      <w:r>
        <w:rPr>
          <w:b w:val="0"/>
          <w:bCs w:val="0"/>
          <w:sz w:val="24"/>
          <w:szCs w:val="20"/>
        </w:rPr>
        <w:t>抗拉强度、规定塑性延伸强度和断后伸长率</w:t>
      </w:r>
      <w:r>
        <w:rPr>
          <w:rFonts w:hint="eastAsia"/>
          <w:b w:val="0"/>
          <w:bCs w:val="0"/>
          <w:sz w:val="24"/>
          <w:szCs w:val="20"/>
        </w:rPr>
        <w:t>的规定，见表3</w:t>
      </w:r>
      <w:r>
        <w:rPr>
          <w:b w:val="0"/>
          <w:bCs w:val="0"/>
          <w:sz w:val="24"/>
          <w:szCs w:val="20"/>
        </w:rPr>
        <w:t>。</w:t>
      </w:r>
    </w:p>
    <w:p>
      <w:pPr>
        <w:pStyle w:val="30"/>
        <w:numPr>
          <w:ilvl w:val="0"/>
          <w:numId w:val="0"/>
        </w:numPr>
        <w:spacing w:before="156" w:after="156"/>
        <w:rPr>
          <w:rFonts w:hAnsi="Calibri"/>
        </w:rPr>
      </w:pPr>
      <w:r>
        <w:rPr>
          <w:rFonts w:hint="eastAsia" w:hAnsi="Calibri"/>
        </w:rPr>
        <w:t>表3粉末床增材制造镍基高温合金力学性能数据统计表</w:t>
      </w: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220"/>
        <w:gridCol w:w="882"/>
        <w:gridCol w:w="1230"/>
        <w:gridCol w:w="1147"/>
        <w:gridCol w:w="1256"/>
        <w:gridCol w:w="97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pPr>
              <w:jc w:val="center"/>
              <w:rPr>
                <w:rFonts w:ascii="宋体" w:eastAsia="Times New Roman"/>
                <w:sz w:val="18"/>
              </w:rPr>
            </w:pPr>
            <w:r>
              <w:rPr>
                <w:rFonts w:hint="eastAsia" w:ascii="宋体" w:eastAsia="Times New Roman"/>
                <w:sz w:val="18"/>
              </w:rPr>
              <w:t>牌号</w:t>
            </w:r>
          </w:p>
        </w:tc>
        <w:tc>
          <w:tcPr>
            <w:tcW w:w="2102" w:type="dxa"/>
            <w:gridSpan w:val="2"/>
          </w:tcPr>
          <w:p>
            <w:pPr>
              <w:jc w:val="center"/>
              <w:rPr>
                <w:rFonts w:ascii="宋体"/>
                <w:sz w:val="18"/>
              </w:rPr>
            </w:pPr>
            <w:r>
              <w:rPr>
                <w:rFonts w:hint="eastAsia" w:ascii="宋体" w:eastAsia="Times New Roman"/>
                <w:sz w:val="18"/>
              </w:rPr>
              <w:t>抗拉强度Rm/MPa</w:t>
            </w:r>
          </w:p>
          <w:p>
            <w:pPr>
              <w:jc w:val="center"/>
              <w:rPr>
                <w:rFonts w:ascii="宋体" w:hAnsi="宋体" w:cs="宋体"/>
                <w:color w:val="000000"/>
                <w:sz w:val="18"/>
                <w:szCs w:val="18"/>
              </w:rPr>
            </w:pPr>
            <w:r>
              <w:rPr>
                <w:rFonts w:hint="eastAsia" w:ascii="宋体" w:hAnsi="宋体" w:cs="宋体"/>
                <w:color w:val="000000"/>
                <w:sz w:val="18"/>
                <w:szCs w:val="18"/>
              </w:rPr>
              <w:t>≥</w:t>
            </w:r>
          </w:p>
        </w:tc>
        <w:tc>
          <w:tcPr>
            <w:tcW w:w="2377" w:type="dxa"/>
            <w:gridSpan w:val="2"/>
          </w:tcPr>
          <w:p>
            <w:pPr>
              <w:jc w:val="center"/>
              <w:rPr>
                <w:rFonts w:ascii="宋体"/>
                <w:sz w:val="18"/>
              </w:rPr>
            </w:pPr>
            <w:r>
              <w:rPr>
                <w:rFonts w:hint="eastAsia" w:ascii="宋体" w:hAnsi="宋体" w:cs="宋体"/>
                <w:sz w:val="18"/>
              </w:rPr>
              <w:t>规定塑性延伸强度</w:t>
            </w:r>
            <w:r>
              <w:rPr>
                <w:rFonts w:eastAsia="Times New Roman"/>
                <w:sz w:val="18"/>
              </w:rPr>
              <w:t>R</w:t>
            </w:r>
            <w:r>
              <w:rPr>
                <w:rFonts w:eastAsia="Times New Roman"/>
                <w:sz w:val="20"/>
                <w:vertAlign w:val="subscript"/>
              </w:rPr>
              <w:t>p0.2</w:t>
            </w:r>
            <w:r>
              <w:rPr>
                <w:rFonts w:hint="eastAsia" w:ascii="宋体" w:eastAsia="Times New Roman"/>
                <w:sz w:val="18"/>
              </w:rPr>
              <w:t>/MPa</w:t>
            </w:r>
          </w:p>
          <w:p>
            <w:pPr>
              <w:jc w:val="center"/>
              <w:rPr>
                <w:rFonts w:ascii="宋体" w:hAnsi="宋体" w:cs="宋体"/>
                <w:color w:val="000000"/>
                <w:sz w:val="18"/>
                <w:szCs w:val="18"/>
              </w:rPr>
            </w:pPr>
            <w:r>
              <w:rPr>
                <w:rFonts w:hint="eastAsia" w:ascii="宋体" w:hAnsi="宋体" w:cs="宋体"/>
                <w:color w:val="000000"/>
                <w:sz w:val="18"/>
                <w:szCs w:val="18"/>
              </w:rPr>
              <w:t>≥</w:t>
            </w:r>
          </w:p>
        </w:tc>
        <w:tc>
          <w:tcPr>
            <w:tcW w:w="2234" w:type="dxa"/>
            <w:gridSpan w:val="2"/>
          </w:tcPr>
          <w:p>
            <w:pPr>
              <w:jc w:val="center"/>
              <w:rPr>
                <w:rFonts w:ascii="宋体"/>
                <w:sz w:val="18"/>
              </w:rPr>
            </w:pPr>
            <w:r>
              <w:rPr>
                <w:rFonts w:hint="eastAsia" w:ascii="宋体" w:eastAsia="Times New Roman"/>
                <w:sz w:val="18"/>
              </w:rPr>
              <w:t>断后伸长率A/%</w:t>
            </w:r>
          </w:p>
          <w:p>
            <w:pPr>
              <w:pStyle w:val="2"/>
              <w:jc w:val="center"/>
            </w:pPr>
            <w:r>
              <w:rPr>
                <w:rFonts w:hint="eastAsia" w:ascii="宋体" w:hAnsi="宋体" w:cs="宋体"/>
                <w:color w:val="000000"/>
                <w:sz w:val="18"/>
                <w:szCs w:val="18"/>
              </w:rPr>
              <w:t>≥</w:t>
            </w:r>
          </w:p>
        </w:tc>
        <w:tc>
          <w:tcPr>
            <w:tcW w:w="1086" w:type="dxa"/>
            <w:vMerge w:val="restart"/>
            <w:vAlign w:val="center"/>
          </w:tcPr>
          <w:p>
            <w:pPr>
              <w:jc w:val="center"/>
              <w:rPr>
                <w:rFonts w:ascii="宋体" w:eastAsia="Times New Roman"/>
                <w:sz w:val="18"/>
              </w:rPr>
            </w:pPr>
            <w:r>
              <w:rPr>
                <w:rFonts w:hint="eastAsia" w:ascii="宋体" w:eastAsiaTheme="minorEastAsia"/>
                <w:sz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tcPr>
          <w:p>
            <w:pPr>
              <w:jc w:val="center"/>
              <w:rPr>
                <w:rFonts w:ascii="宋体" w:eastAsia="Times New Roman"/>
                <w:sz w:val="18"/>
              </w:rPr>
            </w:pPr>
          </w:p>
        </w:tc>
        <w:tc>
          <w:tcPr>
            <w:tcW w:w="1220" w:type="dxa"/>
          </w:tcPr>
          <w:p>
            <w:pPr>
              <w:jc w:val="center"/>
              <w:rPr>
                <w:rFonts w:ascii="宋体"/>
                <w:sz w:val="18"/>
              </w:rPr>
            </w:pPr>
            <w:r>
              <w:rPr>
                <w:rFonts w:hint="eastAsia" w:ascii="宋体" w:eastAsia="Times New Roman"/>
                <w:sz w:val="18"/>
              </w:rPr>
              <w:t>X和Y轴方向</w:t>
            </w:r>
          </w:p>
        </w:tc>
        <w:tc>
          <w:tcPr>
            <w:tcW w:w="882" w:type="dxa"/>
          </w:tcPr>
          <w:p>
            <w:pPr>
              <w:jc w:val="center"/>
              <w:rPr>
                <w:rFonts w:ascii="宋体"/>
                <w:sz w:val="18"/>
              </w:rPr>
            </w:pPr>
            <w:r>
              <w:rPr>
                <w:rFonts w:hint="eastAsia" w:ascii="宋体" w:eastAsia="Times New Roman"/>
                <w:sz w:val="18"/>
              </w:rPr>
              <w:t>Z轴方向</w:t>
            </w:r>
          </w:p>
        </w:tc>
        <w:tc>
          <w:tcPr>
            <w:tcW w:w="1230" w:type="dxa"/>
          </w:tcPr>
          <w:p>
            <w:pPr>
              <w:jc w:val="center"/>
              <w:rPr>
                <w:rFonts w:ascii="宋体"/>
                <w:sz w:val="18"/>
              </w:rPr>
            </w:pPr>
            <w:r>
              <w:rPr>
                <w:rFonts w:hint="eastAsia" w:ascii="宋体" w:eastAsia="Times New Roman"/>
                <w:sz w:val="18"/>
              </w:rPr>
              <w:t>X和Y轴方向</w:t>
            </w:r>
          </w:p>
        </w:tc>
        <w:tc>
          <w:tcPr>
            <w:tcW w:w="1147" w:type="dxa"/>
          </w:tcPr>
          <w:p>
            <w:pPr>
              <w:jc w:val="center"/>
              <w:rPr>
                <w:rFonts w:ascii="宋体"/>
                <w:sz w:val="18"/>
              </w:rPr>
            </w:pPr>
            <w:r>
              <w:rPr>
                <w:rFonts w:hint="eastAsia" w:ascii="宋体" w:eastAsia="Times New Roman"/>
                <w:sz w:val="18"/>
              </w:rPr>
              <w:t>Z轴方向</w:t>
            </w:r>
          </w:p>
        </w:tc>
        <w:tc>
          <w:tcPr>
            <w:tcW w:w="1256" w:type="dxa"/>
          </w:tcPr>
          <w:p>
            <w:pPr>
              <w:jc w:val="center"/>
              <w:rPr>
                <w:rFonts w:ascii="宋体"/>
                <w:sz w:val="18"/>
              </w:rPr>
            </w:pPr>
            <w:r>
              <w:rPr>
                <w:rFonts w:hint="eastAsia" w:ascii="宋体" w:eastAsia="Times New Roman"/>
                <w:sz w:val="18"/>
              </w:rPr>
              <w:t>X和Y轴方向</w:t>
            </w:r>
          </w:p>
        </w:tc>
        <w:tc>
          <w:tcPr>
            <w:tcW w:w="978" w:type="dxa"/>
          </w:tcPr>
          <w:p>
            <w:pPr>
              <w:jc w:val="center"/>
              <w:rPr>
                <w:rFonts w:ascii="宋体"/>
                <w:sz w:val="18"/>
              </w:rPr>
            </w:pPr>
            <w:r>
              <w:rPr>
                <w:rFonts w:hint="eastAsia" w:ascii="宋体" w:eastAsia="Times New Roman"/>
                <w:sz w:val="18"/>
              </w:rPr>
              <w:t>Z轴方向</w:t>
            </w:r>
          </w:p>
        </w:tc>
        <w:tc>
          <w:tcPr>
            <w:tcW w:w="1086" w:type="dxa"/>
            <w:vMerge w:val="continue"/>
          </w:tcPr>
          <w:p>
            <w:pPr>
              <w:jc w:val="center"/>
              <w:rPr>
                <w:rFonts w:ascii="宋体" w:eastAsiaTheme="minor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pPr>
              <w:jc w:val="center"/>
              <w:rPr>
                <w:rFonts w:eastAsia="Times New Roman"/>
                <w:sz w:val="18"/>
              </w:rPr>
            </w:pPr>
            <w:r>
              <w:rPr>
                <w:rFonts w:eastAsia="Times New Roman"/>
                <w:sz w:val="18"/>
              </w:rPr>
              <w:t>GH3625</w:t>
            </w:r>
          </w:p>
        </w:tc>
        <w:tc>
          <w:tcPr>
            <w:tcW w:w="1220" w:type="dxa"/>
            <w:vAlign w:val="center"/>
          </w:tcPr>
          <w:p>
            <w:pPr>
              <w:jc w:val="center"/>
              <w:rPr>
                <w:rFonts w:eastAsia="Times New Roman"/>
                <w:sz w:val="18"/>
              </w:rPr>
            </w:pPr>
            <w:r>
              <w:rPr>
                <w:rFonts w:eastAsia="Times New Roman"/>
                <w:sz w:val="18"/>
              </w:rPr>
              <w:t>485</w:t>
            </w:r>
          </w:p>
        </w:tc>
        <w:tc>
          <w:tcPr>
            <w:tcW w:w="882" w:type="dxa"/>
            <w:vAlign w:val="center"/>
          </w:tcPr>
          <w:p>
            <w:pPr>
              <w:jc w:val="center"/>
              <w:rPr>
                <w:rFonts w:eastAsia="Times New Roman"/>
                <w:sz w:val="18"/>
              </w:rPr>
            </w:pPr>
            <w:r>
              <w:rPr>
                <w:rFonts w:eastAsia="Times New Roman"/>
                <w:sz w:val="18"/>
              </w:rPr>
              <w:t>485</w:t>
            </w:r>
          </w:p>
        </w:tc>
        <w:tc>
          <w:tcPr>
            <w:tcW w:w="1230" w:type="dxa"/>
            <w:vAlign w:val="center"/>
          </w:tcPr>
          <w:p>
            <w:pPr>
              <w:jc w:val="center"/>
              <w:rPr>
                <w:rFonts w:eastAsia="Times New Roman"/>
                <w:sz w:val="18"/>
              </w:rPr>
            </w:pPr>
            <w:r>
              <w:rPr>
                <w:rFonts w:eastAsia="Times New Roman"/>
                <w:sz w:val="18"/>
              </w:rPr>
              <w:t>275</w:t>
            </w:r>
          </w:p>
        </w:tc>
        <w:tc>
          <w:tcPr>
            <w:tcW w:w="1147" w:type="dxa"/>
            <w:vAlign w:val="center"/>
          </w:tcPr>
          <w:p>
            <w:pPr>
              <w:jc w:val="center"/>
              <w:rPr>
                <w:rFonts w:eastAsia="Times New Roman"/>
                <w:sz w:val="18"/>
              </w:rPr>
            </w:pPr>
            <w:r>
              <w:rPr>
                <w:rFonts w:eastAsia="Times New Roman"/>
                <w:sz w:val="18"/>
              </w:rPr>
              <w:t>275</w:t>
            </w:r>
          </w:p>
        </w:tc>
        <w:tc>
          <w:tcPr>
            <w:tcW w:w="1256" w:type="dxa"/>
            <w:vAlign w:val="center"/>
          </w:tcPr>
          <w:p>
            <w:pPr>
              <w:jc w:val="center"/>
              <w:rPr>
                <w:rFonts w:eastAsia="Times New Roman"/>
                <w:sz w:val="18"/>
              </w:rPr>
            </w:pPr>
            <w:r>
              <w:rPr>
                <w:rFonts w:eastAsia="Times New Roman"/>
                <w:sz w:val="18"/>
              </w:rPr>
              <w:t>30</w:t>
            </w:r>
          </w:p>
        </w:tc>
        <w:tc>
          <w:tcPr>
            <w:tcW w:w="978" w:type="dxa"/>
            <w:vAlign w:val="center"/>
          </w:tcPr>
          <w:p>
            <w:pPr>
              <w:jc w:val="center"/>
              <w:rPr>
                <w:rFonts w:eastAsia="Times New Roman"/>
                <w:sz w:val="18"/>
              </w:rPr>
            </w:pPr>
            <w:r>
              <w:rPr>
                <w:rFonts w:eastAsia="Times New Roman"/>
                <w:sz w:val="18"/>
              </w:rPr>
              <w:t>30</w:t>
            </w:r>
          </w:p>
        </w:tc>
        <w:tc>
          <w:tcPr>
            <w:tcW w:w="1086" w:type="dxa"/>
          </w:tcPr>
          <w:p>
            <w:pPr>
              <w:jc w:val="center"/>
              <w:rPr>
                <w:rFonts w:eastAsia="Times New Roman"/>
                <w:sz w:val="18"/>
              </w:rPr>
            </w:pPr>
            <w:r>
              <w:rPr>
                <w:rFonts w:eastAsia="Times New Roman"/>
                <w:sz w:val="18"/>
              </w:rPr>
              <w:t>ASTM F3056-14e1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pPr>
              <w:jc w:val="center"/>
              <w:rPr>
                <w:rFonts w:eastAsia="Times New Roman"/>
                <w:sz w:val="18"/>
              </w:rPr>
            </w:pPr>
            <w:r>
              <w:rPr>
                <w:rFonts w:eastAsia="Times New Roman"/>
                <w:sz w:val="18"/>
              </w:rPr>
              <w:t>GH4169</w:t>
            </w:r>
          </w:p>
        </w:tc>
        <w:tc>
          <w:tcPr>
            <w:tcW w:w="1220" w:type="dxa"/>
            <w:vAlign w:val="center"/>
          </w:tcPr>
          <w:p>
            <w:pPr>
              <w:jc w:val="center"/>
              <w:rPr>
                <w:rFonts w:eastAsia="Times New Roman"/>
                <w:sz w:val="18"/>
              </w:rPr>
            </w:pPr>
            <w:r>
              <w:rPr>
                <w:rFonts w:eastAsia="Times New Roman"/>
                <w:sz w:val="18"/>
              </w:rPr>
              <w:t>980</w:t>
            </w:r>
          </w:p>
        </w:tc>
        <w:tc>
          <w:tcPr>
            <w:tcW w:w="882" w:type="dxa"/>
            <w:vAlign w:val="center"/>
          </w:tcPr>
          <w:p>
            <w:pPr>
              <w:jc w:val="center"/>
              <w:rPr>
                <w:rFonts w:eastAsia="Times New Roman"/>
                <w:sz w:val="18"/>
              </w:rPr>
            </w:pPr>
            <w:r>
              <w:rPr>
                <w:rFonts w:eastAsia="Times New Roman"/>
                <w:sz w:val="18"/>
              </w:rPr>
              <w:t>920</w:t>
            </w:r>
          </w:p>
        </w:tc>
        <w:tc>
          <w:tcPr>
            <w:tcW w:w="1230" w:type="dxa"/>
            <w:vAlign w:val="center"/>
          </w:tcPr>
          <w:p>
            <w:pPr>
              <w:jc w:val="center"/>
              <w:rPr>
                <w:rFonts w:eastAsia="Times New Roman"/>
                <w:sz w:val="18"/>
              </w:rPr>
            </w:pPr>
            <w:r>
              <w:rPr>
                <w:rFonts w:eastAsia="Times New Roman"/>
                <w:sz w:val="18"/>
              </w:rPr>
              <w:t>635</w:t>
            </w:r>
          </w:p>
        </w:tc>
        <w:tc>
          <w:tcPr>
            <w:tcW w:w="1147" w:type="dxa"/>
            <w:vAlign w:val="center"/>
          </w:tcPr>
          <w:p>
            <w:pPr>
              <w:jc w:val="center"/>
              <w:rPr>
                <w:rFonts w:eastAsia="Times New Roman"/>
                <w:sz w:val="18"/>
              </w:rPr>
            </w:pPr>
            <w:r>
              <w:rPr>
                <w:rFonts w:eastAsia="Times New Roman"/>
                <w:sz w:val="18"/>
              </w:rPr>
              <w:t>600</w:t>
            </w:r>
          </w:p>
        </w:tc>
        <w:tc>
          <w:tcPr>
            <w:tcW w:w="1256" w:type="dxa"/>
            <w:vAlign w:val="center"/>
          </w:tcPr>
          <w:p>
            <w:pPr>
              <w:jc w:val="center"/>
              <w:rPr>
                <w:rFonts w:eastAsia="Times New Roman"/>
                <w:sz w:val="18"/>
              </w:rPr>
            </w:pPr>
            <w:r>
              <w:rPr>
                <w:rFonts w:eastAsia="Times New Roman"/>
                <w:sz w:val="18"/>
              </w:rPr>
              <w:t>27</w:t>
            </w:r>
          </w:p>
        </w:tc>
        <w:tc>
          <w:tcPr>
            <w:tcW w:w="978" w:type="dxa"/>
            <w:vAlign w:val="center"/>
          </w:tcPr>
          <w:p>
            <w:pPr>
              <w:jc w:val="center"/>
              <w:rPr>
                <w:rFonts w:eastAsia="Times New Roman"/>
                <w:sz w:val="18"/>
              </w:rPr>
            </w:pPr>
            <w:r>
              <w:rPr>
                <w:rFonts w:eastAsia="Times New Roman"/>
                <w:sz w:val="18"/>
              </w:rPr>
              <w:t>27</w:t>
            </w:r>
          </w:p>
        </w:tc>
        <w:tc>
          <w:tcPr>
            <w:tcW w:w="1086" w:type="dxa"/>
          </w:tcPr>
          <w:p>
            <w:pPr>
              <w:jc w:val="center"/>
              <w:rPr>
                <w:rFonts w:eastAsia="Times New Roman"/>
                <w:sz w:val="18"/>
              </w:rPr>
            </w:pPr>
            <w:r>
              <w:rPr>
                <w:rFonts w:eastAsia="Times New Roman"/>
                <w:sz w:val="18"/>
              </w:rPr>
              <w:t>ASTM F3055-14a</w:t>
            </w:r>
          </w:p>
        </w:tc>
      </w:tr>
    </w:tbl>
    <w:p>
      <w:pPr>
        <w:pStyle w:val="2"/>
        <w:rPr>
          <w:b w:val="0"/>
          <w:sz w:val="18"/>
        </w:rPr>
      </w:pPr>
      <w:r>
        <w:rPr>
          <w:rFonts w:hint="eastAsia"/>
          <w:b w:val="0"/>
          <w:sz w:val="18"/>
        </w:rPr>
        <w:t>注：X和Y轴方向为平行基板水平方向；Z轴方向为垂直基板水平方向。</w:t>
      </w:r>
    </w:p>
    <w:p>
      <w:pPr>
        <w:spacing w:line="360" w:lineRule="auto"/>
        <w:rPr>
          <w:rFonts w:ascii="黑体" w:hAnsi="宋体" w:eastAsia="黑体" w:cs="Calibri"/>
          <w:sz w:val="24"/>
        </w:rPr>
      </w:pPr>
      <w:r>
        <w:rPr>
          <w:rFonts w:hint="eastAsia" w:ascii="黑体" w:hAnsi="宋体" w:eastAsia="黑体" w:cs="Calibri"/>
          <w:sz w:val="24"/>
        </w:rPr>
        <w:t>三、标准水平</w:t>
      </w:r>
    </w:p>
    <w:p>
      <w:pPr>
        <w:spacing w:line="360" w:lineRule="auto"/>
        <w:rPr>
          <w:rFonts w:ascii="黑体" w:hAnsi="宋体" w:eastAsia="黑体" w:cs="Calibri"/>
          <w:sz w:val="24"/>
        </w:rPr>
      </w:pPr>
      <w:r>
        <w:rPr>
          <w:rFonts w:ascii="黑体" w:hAnsi="宋体" w:eastAsia="黑体" w:cs="Calibri"/>
          <w:sz w:val="24"/>
        </w:rPr>
        <w:t>3.1</w:t>
      </w:r>
      <w:r>
        <w:rPr>
          <w:rFonts w:hint="eastAsia" w:ascii="黑体" w:hAnsi="宋体" w:eastAsia="黑体" w:cs="Calibri"/>
          <w:sz w:val="24"/>
        </w:rPr>
        <w:t xml:space="preserve"> 采用国际标准及国外先进标准的程度</w:t>
      </w:r>
    </w:p>
    <w:p>
      <w:pPr>
        <w:spacing w:line="360" w:lineRule="auto"/>
        <w:ind w:firstLine="540"/>
        <w:rPr>
          <w:rFonts w:ascii="宋体" w:hAnsi="宋体"/>
          <w:color w:val="000000"/>
          <w:sz w:val="24"/>
        </w:rPr>
      </w:pPr>
      <w:r>
        <w:rPr>
          <w:rFonts w:hint="eastAsia" w:ascii="宋体" w:hAnsi="宋体"/>
          <w:color w:val="000000"/>
          <w:sz w:val="24"/>
        </w:rPr>
        <w:t>本标准力学性能部分采用了</w:t>
      </w:r>
      <w:r>
        <w:rPr>
          <w:rFonts w:hint="eastAsia" w:ascii="宋体" w:hAnsi="宋体"/>
          <w:bCs/>
          <w:color w:val="000000"/>
          <w:sz w:val="24"/>
        </w:rPr>
        <w:t>国外标准ASTM F3055-14a《粉末床熔融增材制造镍合金（UNS N07718）标准规范》和ASTM F3056-14e1《粉末床熔融增材制造镍合金（UNS N06625）标准规范》</w:t>
      </w:r>
      <w:r>
        <w:rPr>
          <w:rFonts w:hint="eastAsia" w:ascii="宋体" w:hAnsi="宋体"/>
          <w:color w:val="000000"/>
          <w:sz w:val="24"/>
        </w:rPr>
        <w:t>。</w:t>
      </w:r>
    </w:p>
    <w:p>
      <w:pPr>
        <w:spacing w:line="360" w:lineRule="auto"/>
        <w:rPr>
          <w:rFonts w:ascii="黑体" w:hAnsi="宋体" w:eastAsia="黑体" w:cs="Calibri"/>
          <w:sz w:val="24"/>
        </w:rPr>
      </w:pPr>
      <w:r>
        <w:rPr>
          <w:rFonts w:ascii="黑体" w:hAnsi="宋体" w:eastAsia="黑体" w:cs="Calibri"/>
          <w:sz w:val="24"/>
        </w:rPr>
        <w:t>3.</w:t>
      </w:r>
      <w:r>
        <w:rPr>
          <w:rFonts w:hint="eastAsia" w:ascii="黑体" w:hAnsi="宋体" w:eastAsia="黑体" w:cs="Calibri"/>
          <w:sz w:val="24"/>
        </w:rPr>
        <w:t>2 与国际标准及国外同类标准水平的对比</w:t>
      </w:r>
    </w:p>
    <w:p>
      <w:pPr>
        <w:spacing w:line="360" w:lineRule="auto"/>
        <w:rPr>
          <w:rFonts w:ascii="宋体" w:hAnsi="宋体"/>
          <w:color w:val="000000"/>
          <w:sz w:val="24"/>
        </w:rPr>
      </w:pPr>
      <w:r>
        <w:rPr>
          <w:rFonts w:hint="eastAsia" w:ascii="宋体" w:hAnsi="宋体"/>
          <w:color w:val="000000"/>
          <w:sz w:val="24"/>
        </w:rPr>
        <w:t xml:space="preserve">    本标准达到了国际先进水平。</w:t>
      </w:r>
    </w:p>
    <w:p>
      <w:pPr>
        <w:spacing w:line="360" w:lineRule="auto"/>
        <w:rPr>
          <w:rFonts w:ascii="宋体" w:hAnsi="宋体"/>
          <w:b/>
          <w:bCs/>
          <w:color w:val="000000"/>
          <w:sz w:val="24"/>
        </w:rPr>
      </w:pPr>
      <w:r>
        <w:rPr>
          <w:rFonts w:hint="eastAsia" w:ascii="黑体" w:hAnsi="宋体" w:eastAsia="黑体" w:cs="Calibri"/>
          <w:sz w:val="24"/>
        </w:rPr>
        <w:t>3.3  与现有标准及修订中的标准协调配套情况</w:t>
      </w:r>
    </w:p>
    <w:p>
      <w:pPr>
        <w:spacing w:line="360" w:lineRule="auto"/>
        <w:ind w:firstLine="480"/>
        <w:rPr>
          <w:rFonts w:ascii="宋体" w:hAnsi="宋体"/>
          <w:color w:val="000000"/>
          <w:sz w:val="24"/>
        </w:rPr>
      </w:pPr>
      <w:r>
        <w:rPr>
          <w:rFonts w:hint="eastAsia" w:ascii="宋体" w:hAnsi="宋体"/>
          <w:color w:val="000000"/>
          <w:sz w:val="24"/>
        </w:rPr>
        <w:t>本标准与现有标准及修订中的标准协调配套，</w:t>
      </w:r>
      <w:r>
        <w:rPr>
          <w:rFonts w:hint="eastAsia" w:ascii="宋体" w:hAnsi="宋体" w:cs="宋体"/>
          <w:sz w:val="24"/>
        </w:rPr>
        <w:t>无重复交叉现象</w:t>
      </w:r>
      <w:r>
        <w:rPr>
          <w:rFonts w:hint="eastAsia" w:ascii="宋体" w:hAnsi="宋体"/>
          <w:color w:val="000000"/>
          <w:sz w:val="24"/>
        </w:rPr>
        <w:t>。</w:t>
      </w:r>
    </w:p>
    <w:p>
      <w:pPr>
        <w:spacing w:line="360" w:lineRule="auto"/>
        <w:rPr>
          <w:rFonts w:ascii="黑体" w:hAnsi="宋体" w:eastAsia="黑体" w:cs="Calibri"/>
          <w:sz w:val="24"/>
        </w:rPr>
      </w:pPr>
      <w:r>
        <w:rPr>
          <w:rFonts w:hint="eastAsia" w:ascii="黑体" w:hAnsi="宋体" w:eastAsia="黑体" w:cs="Calibri"/>
          <w:sz w:val="24"/>
        </w:rPr>
        <w:t>3.4  涉及国内外专利及处置情况</w:t>
      </w:r>
    </w:p>
    <w:p>
      <w:pPr>
        <w:spacing w:line="360" w:lineRule="auto"/>
        <w:rPr>
          <w:rFonts w:ascii="宋体" w:hAnsi="宋体"/>
          <w:color w:val="000000"/>
          <w:sz w:val="24"/>
        </w:rPr>
      </w:pPr>
      <w:r>
        <w:rPr>
          <w:rFonts w:hint="eastAsia" w:ascii="宋体" w:hAnsi="宋体"/>
          <w:b/>
          <w:color w:val="000000"/>
          <w:sz w:val="24"/>
        </w:rPr>
        <w:t xml:space="preserve">     </w:t>
      </w:r>
      <w:r>
        <w:rPr>
          <w:rFonts w:hint="eastAsia" w:ascii="宋体" w:hAnsi="宋体"/>
          <w:color w:val="000000"/>
          <w:sz w:val="24"/>
        </w:rPr>
        <w:t>经查，本标准没有涉及国内外专利。</w:t>
      </w:r>
    </w:p>
    <w:p>
      <w:pPr>
        <w:spacing w:line="360" w:lineRule="auto"/>
        <w:rPr>
          <w:rFonts w:ascii="黑体" w:hAnsi="宋体" w:eastAsia="黑体" w:cs="Calibri"/>
          <w:sz w:val="24"/>
        </w:rPr>
      </w:pPr>
      <w:r>
        <w:rPr>
          <w:rFonts w:hint="eastAsia" w:ascii="黑体" w:hAnsi="宋体" w:eastAsia="黑体" w:cs="Calibri"/>
          <w:sz w:val="24"/>
        </w:rPr>
        <w:t>四、与有关的现行法律、法规和强制性国家标准的关系</w:t>
      </w:r>
    </w:p>
    <w:p>
      <w:pPr>
        <w:spacing w:line="360" w:lineRule="auto"/>
        <w:ind w:firstLine="540"/>
        <w:rPr>
          <w:rFonts w:ascii="宋体" w:hAnsi="宋体"/>
          <w:color w:val="000000"/>
          <w:sz w:val="24"/>
        </w:rPr>
      </w:pPr>
      <w:r>
        <w:rPr>
          <w:rFonts w:hint="eastAsia" w:ascii="宋体" w:hAnsi="宋体"/>
          <w:color w:val="000000"/>
          <w:sz w:val="24"/>
        </w:rPr>
        <w:t>本标准与有关现行法律、法规和强制性国家标准具有一致性，无冲突之处。</w:t>
      </w:r>
    </w:p>
    <w:p>
      <w:pPr>
        <w:spacing w:line="360" w:lineRule="auto"/>
        <w:rPr>
          <w:rFonts w:ascii="宋体" w:hAnsi="宋体"/>
          <w:b/>
          <w:bCs/>
          <w:color w:val="000000"/>
          <w:sz w:val="24"/>
        </w:rPr>
      </w:pPr>
      <w:r>
        <w:rPr>
          <w:rFonts w:hint="eastAsia" w:ascii="黑体" w:hAnsi="宋体" w:eastAsia="黑体" w:cs="Calibri"/>
          <w:sz w:val="24"/>
        </w:rPr>
        <w:t>五、重大分歧意见的处理经过和依据</w:t>
      </w:r>
    </w:p>
    <w:p>
      <w:pPr>
        <w:spacing w:line="360" w:lineRule="auto"/>
        <w:ind w:firstLine="480" w:firstLineChars="200"/>
        <w:rPr>
          <w:rFonts w:ascii="宋体" w:hAnsi="宋体"/>
          <w:color w:val="000000"/>
          <w:sz w:val="24"/>
        </w:rPr>
      </w:pPr>
      <w:r>
        <w:rPr>
          <w:rFonts w:hint="eastAsia" w:ascii="宋体" w:hAnsi="宋体"/>
          <w:color w:val="000000"/>
          <w:sz w:val="24"/>
        </w:rPr>
        <w:t>无。</w:t>
      </w:r>
    </w:p>
    <w:p>
      <w:pPr>
        <w:spacing w:line="360" w:lineRule="auto"/>
        <w:rPr>
          <w:rFonts w:ascii="黑体" w:hAnsi="宋体" w:eastAsia="黑体" w:cs="Calibri"/>
          <w:sz w:val="24"/>
        </w:rPr>
      </w:pPr>
      <w:r>
        <w:rPr>
          <w:rFonts w:hint="eastAsia" w:ascii="黑体" w:hAnsi="宋体" w:eastAsia="黑体" w:cs="Calibri"/>
          <w:sz w:val="24"/>
        </w:rPr>
        <w:t>六、标准作为强制性或推荐性国家（或行业）标准的建议</w:t>
      </w:r>
    </w:p>
    <w:p>
      <w:pPr>
        <w:spacing w:line="360" w:lineRule="auto"/>
        <w:rPr>
          <w:rFonts w:ascii="宋体" w:hAnsi="宋体"/>
          <w:color w:val="000000"/>
          <w:sz w:val="24"/>
        </w:rPr>
      </w:pPr>
      <w:r>
        <w:rPr>
          <w:rFonts w:hint="eastAsia" w:ascii="宋体" w:hAnsi="宋体"/>
          <w:color w:val="000000"/>
          <w:sz w:val="24"/>
        </w:rPr>
        <w:t xml:space="preserve">    本标准建议作为推荐性国家标准。</w:t>
      </w:r>
    </w:p>
    <w:p>
      <w:pPr>
        <w:spacing w:line="360" w:lineRule="auto"/>
        <w:rPr>
          <w:rFonts w:ascii="黑体" w:hAnsi="黑体" w:eastAsia="黑体"/>
          <w:bCs/>
          <w:color w:val="000000"/>
          <w:sz w:val="24"/>
        </w:rPr>
      </w:pPr>
      <w:r>
        <w:rPr>
          <w:rFonts w:hint="eastAsia" w:ascii="黑体" w:hAnsi="黑体" w:eastAsia="黑体"/>
          <w:bCs/>
          <w:color w:val="000000"/>
          <w:sz w:val="24"/>
        </w:rPr>
        <w:t>七、贯彻标准的要求和措施建议</w:t>
      </w:r>
    </w:p>
    <w:p>
      <w:pPr>
        <w:spacing w:line="360" w:lineRule="auto"/>
        <w:ind w:firstLine="480" w:firstLineChars="200"/>
        <w:rPr>
          <w:rFonts w:ascii="宋体" w:hAnsi="宋体"/>
          <w:color w:val="000000"/>
          <w:sz w:val="24"/>
        </w:rPr>
      </w:pPr>
      <w:r>
        <w:rPr>
          <w:rFonts w:hint="eastAsia" w:ascii="宋体" w:hAnsi="宋体"/>
          <w:color w:val="000000"/>
          <w:sz w:val="24"/>
        </w:rPr>
        <w:t>无。</w:t>
      </w:r>
    </w:p>
    <w:p>
      <w:pPr>
        <w:spacing w:line="360" w:lineRule="auto"/>
        <w:rPr>
          <w:rFonts w:ascii="黑体" w:hAnsi="黑体" w:eastAsia="黑体"/>
          <w:bCs/>
          <w:color w:val="000000"/>
          <w:sz w:val="24"/>
        </w:rPr>
      </w:pPr>
      <w:r>
        <w:rPr>
          <w:rFonts w:hint="eastAsia" w:ascii="黑体" w:hAnsi="黑体" w:eastAsia="黑体"/>
          <w:bCs/>
          <w:color w:val="000000"/>
          <w:sz w:val="24"/>
        </w:rPr>
        <w:t>八、废止现行有关标准的建议</w:t>
      </w:r>
    </w:p>
    <w:p>
      <w:pPr>
        <w:spacing w:line="360" w:lineRule="auto"/>
        <w:rPr>
          <w:rFonts w:ascii="宋体" w:hAnsi="宋体"/>
          <w:color w:val="000000"/>
          <w:sz w:val="24"/>
        </w:rPr>
      </w:pPr>
      <w:r>
        <w:rPr>
          <w:rFonts w:hint="eastAsia" w:ascii="宋体" w:hAnsi="宋体"/>
          <w:b/>
          <w:color w:val="000000"/>
          <w:sz w:val="24"/>
        </w:rPr>
        <w:t xml:space="preserve">    </w:t>
      </w:r>
      <w:r>
        <w:rPr>
          <w:rFonts w:hint="eastAsia" w:ascii="宋体" w:hAnsi="宋体"/>
          <w:color w:val="000000"/>
          <w:sz w:val="24"/>
        </w:rPr>
        <w:t>无</w:t>
      </w:r>
    </w:p>
    <w:p>
      <w:pPr>
        <w:spacing w:line="360" w:lineRule="auto"/>
        <w:rPr>
          <w:rFonts w:ascii="黑体" w:hAnsi="黑体" w:eastAsia="黑体"/>
          <w:bCs/>
          <w:color w:val="000000"/>
          <w:sz w:val="24"/>
        </w:rPr>
      </w:pPr>
      <w:r>
        <w:rPr>
          <w:rFonts w:hint="eastAsia" w:ascii="黑体" w:hAnsi="黑体" w:eastAsia="黑体"/>
          <w:bCs/>
          <w:color w:val="000000"/>
          <w:sz w:val="24"/>
        </w:rPr>
        <w:t>九、其他应予以说明的事项</w:t>
      </w:r>
    </w:p>
    <w:p>
      <w:pPr>
        <w:tabs>
          <w:tab w:val="left" w:pos="555"/>
        </w:tabs>
        <w:spacing w:line="360" w:lineRule="auto"/>
        <w:rPr>
          <w:rFonts w:ascii="宋体" w:hAnsi="宋体"/>
          <w:color w:val="000000"/>
          <w:sz w:val="24"/>
        </w:rPr>
      </w:pPr>
      <w:r>
        <w:rPr>
          <w:rFonts w:ascii="宋体" w:hAnsi="宋体"/>
          <w:color w:val="000000"/>
          <w:sz w:val="24"/>
        </w:rPr>
        <w:tab/>
      </w:r>
      <w:r>
        <w:rPr>
          <w:rFonts w:hint="eastAsia" w:ascii="宋体" w:hAnsi="宋体"/>
          <w:color w:val="000000"/>
          <w:sz w:val="24"/>
        </w:rPr>
        <w:t>无。</w:t>
      </w:r>
    </w:p>
    <w:p>
      <w:pPr>
        <w:spacing w:line="360" w:lineRule="auto"/>
        <w:rPr>
          <w:rFonts w:ascii="黑体" w:hAnsi="黑体" w:eastAsia="黑体"/>
          <w:bCs/>
          <w:color w:val="000000"/>
          <w:sz w:val="24"/>
        </w:rPr>
      </w:pPr>
      <w:r>
        <w:rPr>
          <w:rFonts w:hint="eastAsia" w:ascii="黑体" w:hAnsi="黑体" w:eastAsia="黑体"/>
          <w:bCs/>
          <w:color w:val="000000"/>
          <w:sz w:val="24"/>
        </w:rPr>
        <w:t>十、预期效果</w:t>
      </w:r>
    </w:p>
    <w:p>
      <w:pPr>
        <w:pStyle w:val="2"/>
        <w:spacing w:line="360" w:lineRule="auto"/>
        <w:ind w:firstLine="482"/>
        <w:rPr>
          <w:rFonts w:ascii="宋体" w:hAnsi="宋体"/>
          <w:b w:val="0"/>
          <w:bCs w:val="0"/>
          <w:color w:val="000000"/>
          <w:kern w:val="2"/>
          <w:sz w:val="24"/>
        </w:rPr>
      </w:pPr>
      <w:r>
        <w:rPr>
          <w:rFonts w:hint="eastAsia" w:ascii="宋体" w:hAnsi="宋体"/>
          <w:b w:val="0"/>
          <w:bCs w:val="0"/>
          <w:color w:val="000000"/>
          <w:kern w:val="2"/>
          <w:sz w:val="24"/>
        </w:rPr>
        <w:t>在充分考虑我国增材制造工艺技术水平，并结合国际先进标准技术规范的前提下，本标准的制定有利于进一步规范完善增材制造镍基合金的生产、检验和交付使用等全过程，提高产品的质量可靠性；引导增材制造镍基合金产品的生产及使用企业进行质量控制，实现有标准可查、有据可依，提高行业的整体技术水平，促进企业的有序竞争和发展，推动增材制造镍基合金产品的生产和应用，促进增材制造行业的健康有序发展。</w:t>
      </w:r>
    </w:p>
    <w:p>
      <w:pPr>
        <w:pStyle w:val="2"/>
        <w:spacing w:line="360" w:lineRule="auto"/>
        <w:ind w:firstLine="482"/>
        <w:rPr>
          <w:rFonts w:ascii="宋体" w:hAnsi="宋体"/>
          <w:b w:val="0"/>
          <w:bCs w:val="0"/>
          <w:color w:val="000000"/>
          <w:kern w:val="2"/>
          <w:sz w:val="24"/>
        </w:rPr>
      </w:pPr>
    </w:p>
    <w:p>
      <w:pPr>
        <w:pStyle w:val="2"/>
        <w:spacing w:line="360" w:lineRule="auto"/>
        <w:ind w:firstLine="482"/>
        <w:rPr>
          <w:rFonts w:ascii="宋体" w:hAnsi="宋体"/>
          <w:b w:val="0"/>
          <w:bCs w:val="0"/>
          <w:color w:val="000000"/>
          <w:kern w:val="2"/>
          <w:sz w:val="24"/>
        </w:rPr>
      </w:pPr>
    </w:p>
    <w:p>
      <w:pPr>
        <w:tabs>
          <w:tab w:val="left" w:pos="670"/>
        </w:tabs>
        <w:spacing w:line="360" w:lineRule="auto"/>
        <w:ind w:firstLine="354" w:firstLineChars="147"/>
        <w:jc w:val="right"/>
        <w:rPr>
          <w:rFonts w:ascii="宋体" w:hAnsi="宋体"/>
          <w:b/>
          <w:color w:val="000000"/>
          <w:sz w:val="24"/>
        </w:rPr>
      </w:pPr>
      <w:r>
        <w:rPr>
          <w:rFonts w:hint="eastAsia" w:ascii="宋体" w:hAnsi="宋体" w:cs="宋体"/>
          <w:b/>
          <w:color w:val="000000"/>
          <w:sz w:val="24"/>
        </w:rPr>
        <w:t xml:space="preserve">       《粉末床熔融增材制造镍基合金</w:t>
      </w:r>
      <w:r>
        <w:rPr>
          <w:rFonts w:hint="eastAsia" w:ascii="宋体" w:hAnsi="宋体"/>
          <w:b/>
          <w:color w:val="000000"/>
          <w:sz w:val="24"/>
        </w:rPr>
        <w:t>》标准编制组</w:t>
      </w:r>
    </w:p>
    <w:p>
      <w:pPr>
        <w:tabs>
          <w:tab w:val="left" w:pos="670"/>
        </w:tabs>
        <w:spacing w:line="360" w:lineRule="auto"/>
        <w:ind w:firstLine="354" w:firstLineChars="147"/>
        <w:jc w:val="center"/>
        <w:rPr>
          <w:rFonts w:ascii="宋体" w:hAnsi="宋体"/>
          <w:b/>
          <w:color w:val="000000"/>
          <w:sz w:val="30"/>
          <w:szCs w:val="30"/>
        </w:rPr>
      </w:pPr>
      <w:r>
        <w:rPr>
          <w:rFonts w:hint="eastAsia" w:ascii="宋体" w:hAnsi="宋体"/>
          <w:b/>
          <w:color w:val="000000"/>
          <w:sz w:val="24"/>
        </w:rPr>
        <w:t xml:space="preserve">                         2020年8月</w:t>
      </w:r>
    </w:p>
    <w:p>
      <w:pPr>
        <w:rPr>
          <w:rFonts w:ascii="宋体" w:hAnsi="宋体"/>
          <w:color w:val="00000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BDD4E83"/>
    <w:multiLevelType w:val="multilevel"/>
    <w:tmpl w:val="3BDD4E83"/>
    <w:lvl w:ilvl="0" w:tentative="0">
      <w:start w:val="1"/>
      <w:numFmt w:val="decimal"/>
      <w:pStyle w:val="2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57C2AF5"/>
    <w:multiLevelType w:val="multilevel"/>
    <w:tmpl w:val="557C2AF5"/>
    <w:lvl w:ilvl="0" w:tentative="0">
      <w:start w:val="1"/>
      <w:numFmt w:val="decimal"/>
      <w:pStyle w:val="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2505"/>
    <w:rsid w:val="000052B8"/>
    <w:rsid w:val="0001137A"/>
    <w:rsid w:val="0001209A"/>
    <w:rsid w:val="00014245"/>
    <w:rsid w:val="00025943"/>
    <w:rsid w:val="000333A2"/>
    <w:rsid w:val="0003735A"/>
    <w:rsid w:val="00037CEA"/>
    <w:rsid w:val="00042C4C"/>
    <w:rsid w:val="000440A1"/>
    <w:rsid w:val="00051C69"/>
    <w:rsid w:val="000520D6"/>
    <w:rsid w:val="00053F2B"/>
    <w:rsid w:val="0005461E"/>
    <w:rsid w:val="00065E5E"/>
    <w:rsid w:val="00086D01"/>
    <w:rsid w:val="000918E7"/>
    <w:rsid w:val="000976AD"/>
    <w:rsid w:val="000A35A6"/>
    <w:rsid w:val="000A6359"/>
    <w:rsid w:val="000B29BC"/>
    <w:rsid w:val="000C7D9E"/>
    <w:rsid w:val="000D7805"/>
    <w:rsid w:val="000E4EE7"/>
    <w:rsid w:val="000F2733"/>
    <w:rsid w:val="000F3C8C"/>
    <w:rsid w:val="00112BCF"/>
    <w:rsid w:val="0012056B"/>
    <w:rsid w:val="00123334"/>
    <w:rsid w:val="00140961"/>
    <w:rsid w:val="00142E5B"/>
    <w:rsid w:val="0017436A"/>
    <w:rsid w:val="0017574B"/>
    <w:rsid w:val="00185653"/>
    <w:rsid w:val="0018673C"/>
    <w:rsid w:val="00191FE7"/>
    <w:rsid w:val="0019651E"/>
    <w:rsid w:val="001B27B5"/>
    <w:rsid w:val="001B2F9F"/>
    <w:rsid w:val="001B3790"/>
    <w:rsid w:val="001B406D"/>
    <w:rsid w:val="001D2C31"/>
    <w:rsid w:val="001D7CD1"/>
    <w:rsid w:val="001F346B"/>
    <w:rsid w:val="001F7976"/>
    <w:rsid w:val="00235F20"/>
    <w:rsid w:val="00242617"/>
    <w:rsid w:val="00243718"/>
    <w:rsid w:val="0024706C"/>
    <w:rsid w:val="002479FE"/>
    <w:rsid w:val="002616D1"/>
    <w:rsid w:val="00262422"/>
    <w:rsid w:val="002C4E87"/>
    <w:rsid w:val="002D2494"/>
    <w:rsid w:val="002D7E2E"/>
    <w:rsid w:val="002E0052"/>
    <w:rsid w:val="002E4549"/>
    <w:rsid w:val="0031345B"/>
    <w:rsid w:val="00313870"/>
    <w:rsid w:val="0031397D"/>
    <w:rsid w:val="00322A71"/>
    <w:rsid w:val="00324E9C"/>
    <w:rsid w:val="00325CBC"/>
    <w:rsid w:val="00334ECD"/>
    <w:rsid w:val="00335411"/>
    <w:rsid w:val="00336748"/>
    <w:rsid w:val="00362812"/>
    <w:rsid w:val="00365D28"/>
    <w:rsid w:val="003763E2"/>
    <w:rsid w:val="00397278"/>
    <w:rsid w:val="003B0722"/>
    <w:rsid w:val="003B33A0"/>
    <w:rsid w:val="003C3CE5"/>
    <w:rsid w:val="003C6F50"/>
    <w:rsid w:val="003D3DB0"/>
    <w:rsid w:val="003F775A"/>
    <w:rsid w:val="00402505"/>
    <w:rsid w:val="00406C91"/>
    <w:rsid w:val="00412464"/>
    <w:rsid w:val="0042552C"/>
    <w:rsid w:val="00425713"/>
    <w:rsid w:val="00436224"/>
    <w:rsid w:val="004405DC"/>
    <w:rsid w:val="004603AE"/>
    <w:rsid w:val="00462813"/>
    <w:rsid w:val="00473FD6"/>
    <w:rsid w:val="00476945"/>
    <w:rsid w:val="00487EC6"/>
    <w:rsid w:val="00494ABF"/>
    <w:rsid w:val="004A0B5D"/>
    <w:rsid w:val="004C3158"/>
    <w:rsid w:val="004C49D5"/>
    <w:rsid w:val="004E652B"/>
    <w:rsid w:val="004F0DC9"/>
    <w:rsid w:val="00502762"/>
    <w:rsid w:val="00514372"/>
    <w:rsid w:val="00527B92"/>
    <w:rsid w:val="00537519"/>
    <w:rsid w:val="00552D56"/>
    <w:rsid w:val="0056061E"/>
    <w:rsid w:val="00564D06"/>
    <w:rsid w:val="00571412"/>
    <w:rsid w:val="00575172"/>
    <w:rsid w:val="00581C45"/>
    <w:rsid w:val="00587B14"/>
    <w:rsid w:val="00590D17"/>
    <w:rsid w:val="00595D55"/>
    <w:rsid w:val="00596552"/>
    <w:rsid w:val="005A6BD3"/>
    <w:rsid w:val="005B5FED"/>
    <w:rsid w:val="005D6251"/>
    <w:rsid w:val="005F4811"/>
    <w:rsid w:val="00600673"/>
    <w:rsid w:val="00607ADA"/>
    <w:rsid w:val="0061249E"/>
    <w:rsid w:val="0061706F"/>
    <w:rsid w:val="0061783D"/>
    <w:rsid w:val="006228BA"/>
    <w:rsid w:val="006364F3"/>
    <w:rsid w:val="0063687C"/>
    <w:rsid w:val="006438DF"/>
    <w:rsid w:val="00645758"/>
    <w:rsid w:val="00646043"/>
    <w:rsid w:val="00655F8A"/>
    <w:rsid w:val="006578DF"/>
    <w:rsid w:val="00664CDF"/>
    <w:rsid w:val="0066799D"/>
    <w:rsid w:val="00671C37"/>
    <w:rsid w:val="0068181F"/>
    <w:rsid w:val="00690B86"/>
    <w:rsid w:val="006A4520"/>
    <w:rsid w:val="006B1A94"/>
    <w:rsid w:val="006B43C7"/>
    <w:rsid w:val="006C75B5"/>
    <w:rsid w:val="006C78A0"/>
    <w:rsid w:val="006D4695"/>
    <w:rsid w:val="006D55B3"/>
    <w:rsid w:val="006D55F3"/>
    <w:rsid w:val="006D68C8"/>
    <w:rsid w:val="006E58A0"/>
    <w:rsid w:val="006E5D63"/>
    <w:rsid w:val="006E6CD7"/>
    <w:rsid w:val="006F1E14"/>
    <w:rsid w:val="006F3D32"/>
    <w:rsid w:val="00714DA7"/>
    <w:rsid w:val="00716B64"/>
    <w:rsid w:val="0072023D"/>
    <w:rsid w:val="00734FCB"/>
    <w:rsid w:val="007372F8"/>
    <w:rsid w:val="00743BB9"/>
    <w:rsid w:val="00751AE5"/>
    <w:rsid w:val="00766500"/>
    <w:rsid w:val="00767B89"/>
    <w:rsid w:val="00781DF2"/>
    <w:rsid w:val="00786304"/>
    <w:rsid w:val="007A7BCA"/>
    <w:rsid w:val="007B6F81"/>
    <w:rsid w:val="007F38AF"/>
    <w:rsid w:val="008067E6"/>
    <w:rsid w:val="00820050"/>
    <w:rsid w:val="00822B79"/>
    <w:rsid w:val="00833341"/>
    <w:rsid w:val="00843279"/>
    <w:rsid w:val="00844324"/>
    <w:rsid w:val="008546DC"/>
    <w:rsid w:val="00854901"/>
    <w:rsid w:val="00866D3B"/>
    <w:rsid w:val="0087344A"/>
    <w:rsid w:val="0087374D"/>
    <w:rsid w:val="0087713E"/>
    <w:rsid w:val="0088071D"/>
    <w:rsid w:val="0088442D"/>
    <w:rsid w:val="00890E2B"/>
    <w:rsid w:val="00896363"/>
    <w:rsid w:val="008A4E80"/>
    <w:rsid w:val="008B051B"/>
    <w:rsid w:val="008B1432"/>
    <w:rsid w:val="008B288C"/>
    <w:rsid w:val="008C720D"/>
    <w:rsid w:val="008C7869"/>
    <w:rsid w:val="008E2512"/>
    <w:rsid w:val="008F1DB1"/>
    <w:rsid w:val="008F2326"/>
    <w:rsid w:val="008F75B3"/>
    <w:rsid w:val="009006E6"/>
    <w:rsid w:val="00906FAC"/>
    <w:rsid w:val="00927446"/>
    <w:rsid w:val="00933B1E"/>
    <w:rsid w:val="009408BF"/>
    <w:rsid w:val="00942A04"/>
    <w:rsid w:val="00945369"/>
    <w:rsid w:val="009572A4"/>
    <w:rsid w:val="00987FE2"/>
    <w:rsid w:val="00992201"/>
    <w:rsid w:val="009A2167"/>
    <w:rsid w:val="009A7AA1"/>
    <w:rsid w:val="009B0866"/>
    <w:rsid w:val="009B37C7"/>
    <w:rsid w:val="009B7DC2"/>
    <w:rsid w:val="009C2DAE"/>
    <w:rsid w:val="009F5651"/>
    <w:rsid w:val="00A01F1D"/>
    <w:rsid w:val="00A021E8"/>
    <w:rsid w:val="00A04FC5"/>
    <w:rsid w:val="00A070C3"/>
    <w:rsid w:val="00A11919"/>
    <w:rsid w:val="00A349C2"/>
    <w:rsid w:val="00A405E6"/>
    <w:rsid w:val="00A41E7F"/>
    <w:rsid w:val="00A44E0F"/>
    <w:rsid w:val="00A5497D"/>
    <w:rsid w:val="00A616BB"/>
    <w:rsid w:val="00A61DA6"/>
    <w:rsid w:val="00A74CD4"/>
    <w:rsid w:val="00A75366"/>
    <w:rsid w:val="00A87297"/>
    <w:rsid w:val="00A8750D"/>
    <w:rsid w:val="00A95096"/>
    <w:rsid w:val="00AB0884"/>
    <w:rsid w:val="00AC1FE6"/>
    <w:rsid w:val="00AC7A5F"/>
    <w:rsid w:val="00AE1AF1"/>
    <w:rsid w:val="00AE2709"/>
    <w:rsid w:val="00AF6573"/>
    <w:rsid w:val="00AF7D3A"/>
    <w:rsid w:val="00B00C72"/>
    <w:rsid w:val="00B01DEB"/>
    <w:rsid w:val="00B1000C"/>
    <w:rsid w:val="00B25442"/>
    <w:rsid w:val="00B25A5D"/>
    <w:rsid w:val="00B34165"/>
    <w:rsid w:val="00B42645"/>
    <w:rsid w:val="00B4592B"/>
    <w:rsid w:val="00B478C3"/>
    <w:rsid w:val="00B67F35"/>
    <w:rsid w:val="00B704B8"/>
    <w:rsid w:val="00B764B5"/>
    <w:rsid w:val="00B76820"/>
    <w:rsid w:val="00B83C15"/>
    <w:rsid w:val="00B902A8"/>
    <w:rsid w:val="00B939B3"/>
    <w:rsid w:val="00BB2D23"/>
    <w:rsid w:val="00BB35AD"/>
    <w:rsid w:val="00BC36E5"/>
    <w:rsid w:val="00BF4C5F"/>
    <w:rsid w:val="00C0171A"/>
    <w:rsid w:val="00C01CF1"/>
    <w:rsid w:val="00C02529"/>
    <w:rsid w:val="00C04C1C"/>
    <w:rsid w:val="00C1256D"/>
    <w:rsid w:val="00C168D9"/>
    <w:rsid w:val="00C64BF8"/>
    <w:rsid w:val="00C67BEF"/>
    <w:rsid w:val="00C74F65"/>
    <w:rsid w:val="00C834D6"/>
    <w:rsid w:val="00C8674B"/>
    <w:rsid w:val="00C8790B"/>
    <w:rsid w:val="00C9302E"/>
    <w:rsid w:val="00C95C5D"/>
    <w:rsid w:val="00CA07EB"/>
    <w:rsid w:val="00CC2C5A"/>
    <w:rsid w:val="00CE5606"/>
    <w:rsid w:val="00CF37DB"/>
    <w:rsid w:val="00CF6CB6"/>
    <w:rsid w:val="00D00F66"/>
    <w:rsid w:val="00D16662"/>
    <w:rsid w:val="00D21E38"/>
    <w:rsid w:val="00D372C7"/>
    <w:rsid w:val="00D416FA"/>
    <w:rsid w:val="00D43A96"/>
    <w:rsid w:val="00D73755"/>
    <w:rsid w:val="00D80199"/>
    <w:rsid w:val="00D93CA7"/>
    <w:rsid w:val="00DA7588"/>
    <w:rsid w:val="00DC1BF3"/>
    <w:rsid w:val="00DC59DE"/>
    <w:rsid w:val="00DE0835"/>
    <w:rsid w:val="00DE1B0B"/>
    <w:rsid w:val="00DE7374"/>
    <w:rsid w:val="00DF0A09"/>
    <w:rsid w:val="00E0462F"/>
    <w:rsid w:val="00E05204"/>
    <w:rsid w:val="00E11305"/>
    <w:rsid w:val="00E1647E"/>
    <w:rsid w:val="00E1656C"/>
    <w:rsid w:val="00E22D73"/>
    <w:rsid w:val="00E25CF5"/>
    <w:rsid w:val="00E46AE0"/>
    <w:rsid w:val="00E54DF9"/>
    <w:rsid w:val="00E65867"/>
    <w:rsid w:val="00E74213"/>
    <w:rsid w:val="00E849CB"/>
    <w:rsid w:val="00E932C5"/>
    <w:rsid w:val="00EA488B"/>
    <w:rsid w:val="00EC0FEC"/>
    <w:rsid w:val="00ED00B4"/>
    <w:rsid w:val="00EE1CDF"/>
    <w:rsid w:val="00EE31BA"/>
    <w:rsid w:val="00EF08B8"/>
    <w:rsid w:val="00EF24DA"/>
    <w:rsid w:val="00EF413C"/>
    <w:rsid w:val="00EF4D7D"/>
    <w:rsid w:val="00F01830"/>
    <w:rsid w:val="00F058F3"/>
    <w:rsid w:val="00F10550"/>
    <w:rsid w:val="00F17822"/>
    <w:rsid w:val="00F3132A"/>
    <w:rsid w:val="00F3655C"/>
    <w:rsid w:val="00F44BD8"/>
    <w:rsid w:val="00F537EA"/>
    <w:rsid w:val="00F54B91"/>
    <w:rsid w:val="00F73F5A"/>
    <w:rsid w:val="00F8067C"/>
    <w:rsid w:val="00F83C9F"/>
    <w:rsid w:val="00F87007"/>
    <w:rsid w:val="00FB5E20"/>
    <w:rsid w:val="00FB7117"/>
    <w:rsid w:val="00FC004E"/>
    <w:rsid w:val="00FC5F97"/>
    <w:rsid w:val="00FE2B83"/>
    <w:rsid w:val="00FE7AEE"/>
    <w:rsid w:val="00FF59D3"/>
    <w:rsid w:val="01130ABA"/>
    <w:rsid w:val="01A35753"/>
    <w:rsid w:val="01E33055"/>
    <w:rsid w:val="024C1F5A"/>
    <w:rsid w:val="02BA3E0E"/>
    <w:rsid w:val="02E87F58"/>
    <w:rsid w:val="02F0229E"/>
    <w:rsid w:val="03CF5A06"/>
    <w:rsid w:val="040C49D3"/>
    <w:rsid w:val="041F17E5"/>
    <w:rsid w:val="04C952CB"/>
    <w:rsid w:val="04D1656F"/>
    <w:rsid w:val="05353E7D"/>
    <w:rsid w:val="05847872"/>
    <w:rsid w:val="05B73A02"/>
    <w:rsid w:val="06673B7B"/>
    <w:rsid w:val="06A9242D"/>
    <w:rsid w:val="06D87750"/>
    <w:rsid w:val="07022353"/>
    <w:rsid w:val="07382D36"/>
    <w:rsid w:val="07C7356D"/>
    <w:rsid w:val="083E66FE"/>
    <w:rsid w:val="09431837"/>
    <w:rsid w:val="09D9690A"/>
    <w:rsid w:val="0A172A2F"/>
    <w:rsid w:val="0A69296F"/>
    <w:rsid w:val="0B7C020F"/>
    <w:rsid w:val="0C342131"/>
    <w:rsid w:val="0C9D1043"/>
    <w:rsid w:val="0D7212C0"/>
    <w:rsid w:val="0EB07501"/>
    <w:rsid w:val="100E4228"/>
    <w:rsid w:val="10C76C08"/>
    <w:rsid w:val="111369E7"/>
    <w:rsid w:val="111C5E50"/>
    <w:rsid w:val="11367DC2"/>
    <w:rsid w:val="11C6101A"/>
    <w:rsid w:val="12363932"/>
    <w:rsid w:val="12843CDD"/>
    <w:rsid w:val="129F1B3B"/>
    <w:rsid w:val="13415B0C"/>
    <w:rsid w:val="135026BD"/>
    <w:rsid w:val="14B02B3A"/>
    <w:rsid w:val="162A743E"/>
    <w:rsid w:val="162F27A9"/>
    <w:rsid w:val="1642094A"/>
    <w:rsid w:val="169E35CC"/>
    <w:rsid w:val="16C669BB"/>
    <w:rsid w:val="16F634C5"/>
    <w:rsid w:val="170A06FC"/>
    <w:rsid w:val="170E0512"/>
    <w:rsid w:val="178C3A89"/>
    <w:rsid w:val="1955708A"/>
    <w:rsid w:val="196F3634"/>
    <w:rsid w:val="19955DA2"/>
    <w:rsid w:val="19DB281D"/>
    <w:rsid w:val="1A7057E1"/>
    <w:rsid w:val="1BDC4523"/>
    <w:rsid w:val="1C6A0BF8"/>
    <w:rsid w:val="1C8629F4"/>
    <w:rsid w:val="1DDC4121"/>
    <w:rsid w:val="1EA23C85"/>
    <w:rsid w:val="1FCA33E8"/>
    <w:rsid w:val="1FCC04D3"/>
    <w:rsid w:val="20296CDC"/>
    <w:rsid w:val="20664BA4"/>
    <w:rsid w:val="207D4916"/>
    <w:rsid w:val="20E62773"/>
    <w:rsid w:val="20EC63CE"/>
    <w:rsid w:val="219643A9"/>
    <w:rsid w:val="21CC0CBB"/>
    <w:rsid w:val="22122542"/>
    <w:rsid w:val="22864509"/>
    <w:rsid w:val="2346748E"/>
    <w:rsid w:val="237557CA"/>
    <w:rsid w:val="237E46CE"/>
    <w:rsid w:val="245259CA"/>
    <w:rsid w:val="246F78F7"/>
    <w:rsid w:val="24D2650E"/>
    <w:rsid w:val="24E348FE"/>
    <w:rsid w:val="2500252F"/>
    <w:rsid w:val="25324D23"/>
    <w:rsid w:val="25440BEA"/>
    <w:rsid w:val="256B102F"/>
    <w:rsid w:val="2579053E"/>
    <w:rsid w:val="26517CBB"/>
    <w:rsid w:val="266C6E79"/>
    <w:rsid w:val="26753457"/>
    <w:rsid w:val="27097054"/>
    <w:rsid w:val="28487AA8"/>
    <w:rsid w:val="28834F3E"/>
    <w:rsid w:val="28C51A84"/>
    <w:rsid w:val="291065CE"/>
    <w:rsid w:val="298B4248"/>
    <w:rsid w:val="2A0606EF"/>
    <w:rsid w:val="2A7E240C"/>
    <w:rsid w:val="2AD06082"/>
    <w:rsid w:val="2AED66F5"/>
    <w:rsid w:val="2AF8721F"/>
    <w:rsid w:val="2B407ECA"/>
    <w:rsid w:val="2BBC68C5"/>
    <w:rsid w:val="2BD65CB4"/>
    <w:rsid w:val="2C164B74"/>
    <w:rsid w:val="2C792E42"/>
    <w:rsid w:val="2CFA7090"/>
    <w:rsid w:val="2D131B24"/>
    <w:rsid w:val="2D1C5182"/>
    <w:rsid w:val="2D25115F"/>
    <w:rsid w:val="2D8463D8"/>
    <w:rsid w:val="2DAE78F1"/>
    <w:rsid w:val="2E060195"/>
    <w:rsid w:val="2F8E1049"/>
    <w:rsid w:val="2F946CA4"/>
    <w:rsid w:val="30376CBA"/>
    <w:rsid w:val="3094392C"/>
    <w:rsid w:val="30AF6453"/>
    <w:rsid w:val="30B34A77"/>
    <w:rsid w:val="31A93F82"/>
    <w:rsid w:val="320601E6"/>
    <w:rsid w:val="324700FE"/>
    <w:rsid w:val="33DB4D0F"/>
    <w:rsid w:val="341A2DD1"/>
    <w:rsid w:val="34903960"/>
    <w:rsid w:val="34CF3862"/>
    <w:rsid w:val="34FC728C"/>
    <w:rsid w:val="35077635"/>
    <w:rsid w:val="350A27CC"/>
    <w:rsid w:val="351D75AC"/>
    <w:rsid w:val="352E7DA5"/>
    <w:rsid w:val="35806CE0"/>
    <w:rsid w:val="361241E6"/>
    <w:rsid w:val="36292C88"/>
    <w:rsid w:val="373E1116"/>
    <w:rsid w:val="37557C8A"/>
    <w:rsid w:val="377E6110"/>
    <w:rsid w:val="37C05B87"/>
    <w:rsid w:val="37DB019D"/>
    <w:rsid w:val="388E01EA"/>
    <w:rsid w:val="38A207B3"/>
    <w:rsid w:val="39CB52C3"/>
    <w:rsid w:val="3A0540A7"/>
    <w:rsid w:val="3A4A4CE9"/>
    <w:rsid w:val="3B2D013D"/>
    <w:rsid w:val="3B4B5C89"/>
    <w:rsid w:val="3BAF6CB7"/>
    <w:rsid w:val="3BE26444"/>
    <w:rsid w:val="3BF71D38"/>
    <w:rsid w:val="3C341FDB"/>
    <w:rsid w:val="3C3A7CB4"/>
    <w:rsid w:val="3C9A1060"/>
    <w:rsid w:val="3CB66923"/>
    <w:rsid w:val="3CE971B7"/>
    <w:rsid w:val="3CF04BB4"/>
    <w:rsid w:val="3D272A7D"/>
    <w:rsid w:val="3D2F16EE"/>
    <w:rsid w:val="3D426A09"/>
    <w:rsid w:val="3D576419"/>
    <w:rsid w:val="3D5C4F59"/>
    <w:rsid w:val="3DB30B78"/>
    <w:rsid w:val="3DD27CEE"/>
    <w:rsid w:val="3E417762"/>
    <w:rsid w:val="3E985EE8"/>
    <w:rsid w:val="3EAF49A9"/>
    <w:rsid w:val="3EF72790"/>
    <w:rsid w:val="3F177B99"/>
    <w:rsid w:val="3F2959F8"/>
    <w:rsid w:val="3F2E3540"/>
    <w:rsid w:val="3F3512BD"/>
    <w:rsid w:val="3F586C24"/>
    <w:rsid w:val="3FF72A9B"/>
    <w:rsid w:val="402F39EE"/>
    <w:rsid w:val="40386D70"/>
    <w:rsid w:val="40EC3F98"/>
    <w:rsid w:val="4142074A"/>
    <w:rsid w:val="4170601B"/>
    <w:rsid w:val="4257647A"/>
    <w:rsid w:val="42833849"/>
    <w:rsid w:val="42B029ED"/>
    <w:rsid w:val="43960CDE"/>
    <w:rsid w:val="43BB34A1"/>
    <w:rsid w:val="43E32031"/>
    <w:rsid w:val="43EF5C31"/>
    <w:rsid w:val="44046082"/>
    <w:rsid w:val="44BF3917"/>
    <w:rsid w:val="44F928FE"/>
    <w:rsid w:val="45463217"/>
    <w:rsid w:val="456B5508"/>
    <w:rsid w:val="457C0D04"/>
    <w:rsid w:val="45977CA5"/>
    <w:rsid w:val="478B22D1"/>
    <w:rsid w:val="48116E95"/>
    <w:rsid w:val="49753D48"/>
    <w:rsid w:val="4B4D6351"/>
    <w:rsid w:val="4C3F3B4F"/>
    <w:rsid w:val="4D754B96"/>
    <w:rsid w:val="4D8B1270"/>
    <w:rsid w:val="4E6B278A"/>
    <w:rsid w:val="4E7313FD"/>
    <w:rsid w:val="4ED13BB5"/>
    <w:rsid w:val="4EE6110F"/>
    <w:rsid w:val="4F16015B"/>
    <w:rsid w:val="4F25236D"/>
    <w:rsid w:val="4F38231E"/>
    <w:rsid w:val="505B789B"/>
    <w:rsid w:val="51427657"/>
    <w:rsid w:val="51B05E38"/>
    <w:rsid w:val="51B21FDD"/>
    <w:rsid w:val="52155CFF"/>
    <w:rsid w:val="52441C20"/>
    <w:rsid w:val="5342646D"/>
    <w:rsid w:val="53FB4323"/>
    <w:rsid w:val="540B6B16"/>
    <w:rsid w:val="54383BC0"/>
    <w:rsid w:val="54696479"/>
    <w:rsid w:val="54A82E23"/>
    <w:rsid w:val="54CF7AEC"/>
    <w:rsid w:val="54E9421A"/>
    <w:rsid w:val="55C862B6"/>
    <w:rsid w:val="5625544E"/>
    <w:rsid w:val="56CD7655"/>
    <w:rsid w:val="56E40FB1"/>
    <w:rsid w:val="57760CC4"/>
    <w:rsid w:val="58731EBB"/>
    <w:rsid w:val="589C7A88"/>
    <w:rsid w:val="590C0945"/>
    <w:rsid w:val="5997577B"/>
    <w:rsid w:val="59BE2033"/>
    <w:rsid w:val="59E12D28"/>
    <w:rsid w:val="5A176AEB"/>
    <w:rsid w:val="5A450573"/>
    <w:rsid w:val="5A484179"/>
    <w:rsid w:val="5AE72EDB"/>
    <w:rsid w:val="5B352140"/>
    <w:rsid w:val="5B486E79"/>
    <w:rsid w:val="5CFB5D01"/>
    <w:rsid w:val="5D1E02B5"/>
    <w:rsid w:val="5D530BB0"/>
    <w:rsid w:val="5D5460F4"/>
    <w:rsid w:val="5D9B08D4"/>
    <w:rsid w:val="5DC72A63"/>
    <w:rsid w:val="5DE1096C"/>
    <w:rsid w:val="5DEF5B33"/>
    <w:rsid w:val="5DFE2B68"/>
    <w:rsid w:val="5FAE6377"/>
    <w:rsid w:val="5FD45D0D"/>
    <w:rsid w:val="607B2135"/>
    <w:rsid w:val="618B1550"/>
    <w:rsid w:val="61FB07F4"/>
    <w:rsid w:val="62784051"/>
    <w:rsid w:val="637C1833"/>
    <w:rsid w:val="63B26F5D"/>
    <w:rsid w:val="63D841FA"/>
    <w:rsid w:val="652F7942"/>
    <w:rsid w:val="65737564"/>
    <w:rsid w:val="65BC618B"/>
    <w:rsid w:val="664D4A9E"/>
    <w:rsid w:val="666B5137"/>
    <w:rsid w:val="667110E1"/>
    <w:rsid w:val="66E66527"/>
    <w:rsid w:val="67046D27"/>
    <w:rsid w:val="671E51DA"/>
    <w:rsid w:val="67271FD1"/>
    <w:rsid w:val="672F4DF0"/>
    <w:rsid w:val="674126D0"/>
    <w:rsid w:val="67444ACA"/>
    <w:rsid w:val="679D760A"/>
    <w:rsid w:val="67FB619F"/>
    <w:rsid w:val="68715D53"/>
    <w:rsid w:val="69371503"/>
    <w:rsid w:val="6951266F"/>
    <w:rsid w:val="695B1C45"/>
    <w:rsid w:val="69833D37"/>
    <w:rsid w:val="6B305F89"/>
    <w:rsid w:val="6B664AC9"/>
    <w:rsid w:val="6B9A451F"/>
    <w:rsid w:val="6BB7774F"/>
    <w:rsid w:val="6BD21815"/>
    <w:rsid w:val="6C1C7580"/>
    <w:rsid w:val="6CF57F6D"/>
    <w:rsid w:val="6D0D7411"/>
    <w:rsid w:val="6D787D6A"/>
    <w:rsid w:val="6D980E22"/>
    <w:rsid w:val="6E1D3FCC"/>
    <w:rsid w:val="6E6551C1"/>
    <w:rsid w:val="6EBF3F1B"/>
    <w:rsid w:val="6F015CE4"/>
    <w:rsid w:val="6F271B2D"/>
    <w:rsid w:val="6F2B3395"/>
    <w:rsid w:val="6F71082D"/>
    <w:rsid w:val="6F8B57E2"/>
    <w:rsid w:val="6FF63437"/>
    <w:rsid w:val="70020C41"/>
    <w:rsid w:val="700B5568"/>
    <w:rsid w:val="705E2763"/>
    <w:rsid w:val="706C1DDE"/>
    <w:rsid w:val="71183BE3"/>
    <w:rsid w:val="714D2E4E"/>
    <w:rsid w:val="715A4C1C"/>
    <w:rsid w:val="71CE23B0"/>
    <w:rsid w:val="720816D0"/>
    <w:rsid w:val="723A6D67"/>
    <w:rsid w:val="72ED5800"/>
    <w:rsid w:val="72FA63CF"/>
    <w:rsid w:val="73596485"/>
    <w:rsid w:val="73A3536D"/>
    <w:rsid w:val="73B310A9"/>
    <w:rsid w:val="743A4890"/>
    <w:rsid w:val="744C37A3"/>
    <w:rsid w:val="74881307"/>
    <w:rsid w:val="74AC4C3D"/>
    <w:rsid w:val="75B72DF0"/>
    <w:rsid w:val="764F6DBE"/>
    <w:rsid w:val="7671644E"/>
    <w:rsid w:val="770D1DFD"/>
    <w:rsid w:val="77536E2E"/>
    <w:rsid w:val="779E5AD8"/>
    <w:rsid w:val="77BC5608"/>
    <w:rsid w:val="77E078B1"/>
    <w:rsid w:val="77F26003"/>
    <w:rsid w:val="781D0C9A"/>
    <w:rsid w:val="786E6559"/>
    <w:rsid w:val="78FA0611"/>
    <w:rsid w:val="792653C9"/>
    <w:rsid w:val="795028AB"/>
    <w:rsid w:val="79BF12EB"/>
    <w:rsid w:val="7A463482"/>
    <w:rsid w:val="7A610762"/>
    <w:rsid w:val="7A9219BB"/>
    <w:rsid w:val="7AB820B9"/>
    <w:rsid w:val="7B041766"/>
    <w:rsid w:val="7B587362"/>
    <w:rsid w:val="7DD668FD"/>
    <w:rsid w:val="7E0D7024"/>
    <w:rsid w:val="7E2D2B7E"/>
    <w:rsid w:val="7E305883"/>
    <w:rsid w:val="7E5A32F6"/>
    <w:rsid w:val="7E873369"/>
    <w:rsid w:val="7EA1038A"/>
    <w:rsid w:val="7F261CEA"/>
    <w:rsid w:val="7FBA5A85"/>
    <w:rsid w:val="7FD9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0"/>
    <w:uiPriority w:val="0"/>
    <w:rPr>
      <w:b/>
      <w:bCs/>
      <w:kern w:val="0"/>
      <w:sz w:val="28"/>
    </w:rPr>
  </w:style>
  <w:style w:type="paragraph" w:styleId="3">
    <w:name w:val="Date"/>
    <w:basedOn w:val="1"/>
    <w:next w:val="1"/>
    <w:link w:val="32"/>
    <w:semiHidden/>
    <w:unhideWhenUsed/>
    <w:qFormat/>
    <w:uiPriority w:val="99"/>
    <w:pPr>
      <w:ind w:left="100" w:leftChars="2500"/>
    </w:pPr>
  </w:style>
  <w:style w:type="paragraph" w:styleId="4">
    <w:name w:val="Balloon Text"/>
    <w:basedOn w:val="1"/>
    <w:link w:val="21"/>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20"/>
    <w:rPr>
      <w:i/>
      <w:iCs/>
    </w:rPr>
  </w:style>
  <w:style w:type="character" w:styleId="12">
    <w:name w:val="Hyperlink"/>
    <w:unhideWhenUsed/>
    <w:qFormat/>
    <w:uiPriority w:val="99"/>
    <w:rPr>
      <w:color w:val="0000FF"/>
      <w:u w:val="single"/>
    </w:rPr>
  </w:style>
  <w:style w:type="character" w:customStyle="1" w:styleId="13">
    <w:name w:val="段 Char"/>
    <w:link w:val="14"/>
    <w:uiPriority w:val="0"/>
    <w:rPr>
      <w:rFonts w:ascii="宋体"/>
      <w:kern w:val="2"/>
      <w:sz w:val="21"/>
      <w:szCs w:val="22"/>
      <w:lang w:val="en-US" w:eastAsia="zh-CN" w:bidi="ar-SA"/>
    </w:rPr>
  </w:style>
  <w:style w:type="paragraph" w:customStyle="1" w:styleId="14">
    <w:name w:val="段"/>
    <w:link w:val="13"/>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5">
    <w:name w:val="页眉 Char"/>
    <w:link w:val="6"/>
    <w:semiHidden/>
    <w:uiPriority w:val="99"/>
    <w:rPr>
      <w:rFonts w:ascii="Times New Roman" w:hAnsi="Times New Roman"/>
      <w:kern w:val="2"/>
      <w:sz w:val="18"/>
      <w:szCs w:val="18"/>
    </w:rPr>
  </w:style>
  <w:style w:type="character" w:customStyle="1" w:styleId="16">
    <w:name w:val="页脚 Char"/>
    <w:link w:val="5"/>
    <w:semiHidden/>
    <w:uiPriority w:val="99"/>
    <w:rPr>
      <w:rFonts w:ascii="Times New Roman" w:hAnsi="Times New Roman"/>
      <w:kern w:val="2"/>
      <w:sz w:val="18"/>
      <w:szCs w:val="18"/>
    </w:rPr>
  </w:style>
  <w:style w:type="paragraph" w:customStyle="1" w:styleId="1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9">
    <w:name w:val="列出段落1"/>
    <w:basedOn w:val="1"/>
    <w:qFormat/>
    <w:uiPriority w:val="34"/>
    <w:pPr>
      <w:ind w:left="357" w:firstLine="420" w:firstLineChars="200"/>
    </w:pPr>
    <w:rPr>
      <w:rFonts w:ascii="Calibri" w:hAnsi="Calibri"/>
      <w:szCs w:val="22"/>
    </w:rPr>
  </w:style>
  <w:style w:type="character" w:customStyle="1" w:styleId="20">
    <w:name w:val="正文文本 Char"/>
    <w:link w:val="2"/>
    <w:uiPriority w:val="0"/>
    <w:rPr>
      <w:b/>
      <w:bCs/>
      <w:sz w:val="28"/>
      <w:szCs w:val="24"/>
    </w:rPr>
  </w:style>
  <w:style w:type="character" w:customStyle="1" w:styleId="21">
    <w:name w:val="批注框文本 Char1"/>
    <w:link w:val="4"/>
    <w:uiPriority w:val="99"/>
    <w:rPr>
      <w:kern w:val="2"/>
      <w:sz w:val="18"/>
      <w:szCs w:val="18"/>
    </w:rPr>
  </w:style>
  <w:style w:type="character" w:customStyle="1" w:styleId="22">
    <w:name w:val="批注框文本 Char"/>
    <w:semiHidden/>
    <w:uiPriority w:val="99"/>
    <w:rPr>
      <w:kern w:val="2"/>
      <w:sz w:val="18"/>
      <w:szCs w:val="18"/>
    </w:rPr>
  </w:style>
  <w:style w:type="paragraph" w:customStyle="1" w:styleId="23">
    <w:name w:val="一级条标题"/>
    <w:next w:val="14"/>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二级条标题"/>
    <w:basedOn w:val="23"/>
    <w:next w:val="14"/>
    <w:qFormat/>
    <w:uiPriority w:val="0"/>
    <w:pPr>
      <w:numPr>
        <w:ilvl w:val="2"/>
      </w:numPr>
      <w:spacing w:before="50" w:after="50"/>
      <w:outlineLvl w:val="3"/>
    </w:pPr>
  </w:style>
  <w:style w:type="paragraph" w:customStyle="1" w:styleId="26">
    <w:name w:val="三级条标题"/>
    <w:basedOn w:val="25"/>
    <w:next w:val="14"/>
    <w:qFormat/>
    <w:uiPriority w:val="0"/>
    <w:pPr>
      <w:numPr>
        <w:ilvl w:val="3"/>
      </w:numPr>
      <w:outlineLvl w:val="4"/>
    </w:pPr>
  </w:style>
  <w:style w:type="paragraph" w:customStyle="1" w:styleId="27">
    <w:name w:val="四级条标题"/>
    <w:basedOn w:val="26"/>
    <w:next w:val="14"/>
    <w:qFormat/>
    <w:uiPriority w:val="0"/>
    <w:pPr>
      <w:numPr>
        <w:ilvl w:val="4"/>
      </w:numPr>
      <w:outlineLvl w:val="5"/>
    </w:pPr>
  </w:style>
  <w:style w:type="paragraph" w:customStyle="1" w:styleId="28">
    <w:name w:val="五级条标题"/>
    <w:basedOn w:val="27"/>
    <w:next w:val="14"/>
    <w:qFormat/>
    <w:uiPriority w:val="0"/>
    <w:pPr>
      <w:numPr>
        <w:ilvl w:val="5"/>
      </w:numPr>
      <w:outlineLvl w:val="6"/>
    </w:pPr>
  </w:style>
  <w:style w:type="paragraph" w:customStyle="1" w:styleId="29">
    <w:name w:val="正文表标题"/>
    <w:next w:val="14"/>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30">
    <w:name w:val="正文图标题"/>
    <w:next w:val="14"/>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1">
    <w:name w:val="其他发布日期"/>
    <w:basedOn w:val="1"/>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character" w:customStyle="1" w:styleId="32">
    <w:name w:val="日期 Char"/>
    <w:basedOn w:val="10"/>
    <w:link w:val="3"/>
    <w:semiHidden/>
    <w:qFormat/>
    <w:uiPriority w:val="99"/>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7</Pages>
  <Words>709</Words>
  <Characters>4044</Characters>
  <Lines>33</Lines>
  <Paragraphs>9</Paragraphs>
  <TotalTime>35</TotalTime>
  <ScaleCrop>false</ScaleCrop>
  <LinksUpToDate>false</LinksUpToDate>
  <CharactersWithSpaces>4744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2020-08-15T15:21:00Z</dcterms:created>
  <dc:creator>谈萍</dc:creator>
  <cp:lastModifiedBy>wuyanhua</cp:lastModifiedBy>
  <dcterms:modified xsi:type="dcterms:W3CDTF">2020-09-02T10:19:41Z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