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0"/>
        <w:rPr>
          <w:rFonts w:eastAsiaTheme="minorEastAsia"/>
        </w:rPr>
        <w:sectPr>
          <w:headerReference r:id="rId4" w:type="first"/>
          <w:footerReference r:id="rId7" w:type="first"/>
          <w:headerReference r:id="rId3" w:type="default"/>
          <w:footerReference r:id="rId5" w:type="default"/>
          <w:footerReference r:id="rId6" w:type="even"/>
          <w:pgSz w:w="11907" w:h="16839"/>
          <w:pgMar w:top="567" w:right="851" w:bottom="1361" w:left="1418" w:header="0" w:footer="0" w:gutter="0"/>
          <w:pgNumType w:start="1"/>
          <w:cols w:space="425" w:num="1"/>
          <w:titlePg/>
          <w:docGrid w:type="lines" w:linePitch="312" w:charSpace="0"/>
        </w:sectPr>
      </w:pPr>
      <w:bookmarkStart w:id="2" w:name="_GoBack"/>
      <w:bookmarkEnd w:id="2"/>
      <w:bookmarkStart w:id="0" w:name="SectionMark0"/>
      <w:r>
        <w:rPr>
          <w:rFonts w:eastAsiaTheme="minorEastAsia"/>
        </w:rPr>
        <w:pict>
          <v:line id="Line 193" o:spid="_x0000_s1026" o:spt="20" style="position:absolute;left:0pt;margin-left:-10.5pt;margin-top:161.7pt;height:0pt;width:504pt;z-index:251662336;mso-width-relative:page;mso-height-relative:page;" coordsize="21600,21600" o:gfxdata="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WjI&#10;C9cAAAALAQAADwAAAAAAAAABACAAAAAiAAAAZHJzL2Rvd25yZXYueG1sUEsBAhQAFAAAAAgAh07i&#10;QLDSUI6xAQAAVAMAAA4AAAAAAAAAAQAgAAAAJgEAAGRycy9lMm9Eb2MueG1sUEsFBgAAAAAGAAYA&#10;WQEAAEkFAAAAAA==&#10;">
            <v:path arrowok="t"/>
            <v:fill focussize="0,0"/>
            <v:stroke/>
            <v:imagedata o:title=""/>
            <o:lock v:ext="edit"/>
          </v:line>
        </w:pict>
      </w:r>
      <w:r>
        <w:rPr>
          <w:rFonts w:eastAsiaTheme="minorEastAsia"/>
        </w:rPr>
        <w:pict>
          <v:line id="Line 192" o:spid="_x0000_s1035" o:spt="20" style="position:absolute;left:0pt;margin-left:0pt;margin-top:700pt;height:0pt;width:482pt;z-index:251661312;mso-width-relative:page;mso-height-relative:page;" stroked="t" coordsize="21600,21600" o:gfxdata="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9IlP1QAA&#10;AAoBAAAPAAAAAAAAAAEAIAAAACIAAABkcnMvZG93bnJldi54bWxQSwECFAAUAAAACACHTuJAkFch&#10;+K8BAABVAwAADgAAAAAAAAABACAAAAAkAQAAZHJzL2Uyb0RvYy54bWxQSwUGAAAAAAYABgBZAQAA&#10;RQUAAAAA&#10;">
            <v:path arrowok="t"/>
            <v:fill focussize="0,0"/>
            <v:stroke weight="1pt" color="#080000"/>
            <v:imagedata o:title=""/>
            <o:lock v:ext="edit"/>
          </v:line>
        </w:pict>
      </w:r>
      <w:r>
        <w:rPr>
          <w:rFonts w:eastAsiaTheme="minorEastAsia"/>
        </w:rPr>
        <w:pict>
          <v:shape id="fmFrame7" o:spid="_x0000_s1034" o:spt="202" type="#_x0000_t202" style="position:absolute;left:0pt;margin-left:0pt;margin-top:717.6pt;height:46.8pt;width:481.9pt;mso-position-horizontal-relative:margin;mso-position-vertical-relative:margin;z-index:251659264;mso-width-relative:page;mso-height-relative:page;" stroked="f" coordsize="21600,21600" o:gfxdata="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UlaG9kAAAAKAQAADwAAAAAAAAABACAAAAAiAAAAZHJzL2Rvd25yZXYueG1sUEsB&#10;AhQAFAAAAAgAh07iQPMjgg30AQAA3QMAAA4AAAAAAAAAAQAgAAAAKAEAAGRycy9lMm9Eb2MueG1s&#10;UEsFBgAAAAAGAAYAWQEAAI4FAAAAAA==&#10;">
            <v:path/>
            <v:fill focussize="0,0"/>
            <v:stroke on="f" joinstyle="miter"/>
            <v:imagedata o:title=""/>
            <o:lock v:ext="edit"/>
            <v:textbox inset="0mm,0mm,0mm,0mm">
              <w:txbxContent>
                <w:p>
                  <w:pPr>
                    <w:pStyle w:val="60"/>
                    <w:spacing w:line="0" w:lineRule="atLeast"/>
                    <w:ind w:firstLine="887" w:firstLineChars="200"/>
                    <w:jc w:val="both"/>
                    <w:rPr>
                      <w:color w:val="000000"/>
                      <w:spacing w:val="0"/>
                      <w:w w:val="130"/>
                      <w:szCs w:val="36"/>
                    </w:rPr>
                  </w:pPr>
                  <w:r>
                    <w:rPr>
                      <w:rFonts w:hint="eastAsia"/>
                      <w:color w:val="000000"/>
                      <w:spacing w:val="0"/>
                      <w:w w:val="130"/>
                      <w:sz w:val="34"/>
                      <w:szCs w:val="34"/>
                    </w:rPr>
                    <w:t>国 家 市 场 监 督 管 理 总 局</w:t>
                  </w:r>
                </w:p>
                <w:p>
                  <w:pPr>
                    <w:pStyle w:val="60"/>
                    <w:spacing w:line="0" w:lineRule="atLeast"/>
                    <w:ind w:right="490" w:firstLine="887" w:firstLineChars="200"/>
                    <w:jc w:val="both"/>
                    <w:rPr>
                      <w:rFonts w:hAnsi="宋体"/>
                      <w:color w:val="000000"/>
                      <w:spacing w:val="0"/>
                      <w:szCs w:val="36"/>
                    </w:rPr>
                  </w:pPr>
                  <w:r>
                    <w:rPr>
                      <w:rFonts w:hint="eastAsia"/>
                      <w:color w:val="000000"/>
                      <w:spacing w:val="0"/>
                      <w:w w:val="130"/>
                      <w:sz w:val="34"/>
                      <w:szCs w:val="34"/>
                    </w:rPr>
                    <w:t xml:space="preserve">国 家 标 准 化 管 理 委 员 会   </w:t>
                  </w:r>
                  <w:r>
                    <w:rPr>
                      <w:rFonts w:hint="eastAsia" w:hAnsi="宋体"/>
                      <w:color w:val="000000"/>
                      <w:spacing w:val="0"/>
                      <w:sz w:val="44"/>
                      <w:szCs w:val="44"/>
                      <w:vertAlign w:val="superscript"/>
                    </w:rPr>
                    <w:t>发布</w:t>
                  </w:r>
                </w:p>
                <w:p/>
              </w:txbxContent>
            </v:textbox>
            <w10:anchorlock/>
          </v:shape>
        </w:pict>
      </w:r>
      <w:r>
        <w:rPr>
          <w:rFonts w:eastAsiaTheme="minorEastAsia"/>
        </w:rPr>
        <w:pict>
          <v:shape id="fmFrame6" o:spid="_x0000_s1033" o:spt="202" type="#_x0000_t202" style="position:absolute;left:0pt;margin-left:322.9pt;margin-top:674.3pt;height:24.6pt;width:159pt;mso-position-horizontal-relative:margin;mso-position-vertical-relative:margin;z-index:251657216;mso-width-relative:page;mso-height-relative:page;"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2q19oAAAANAQAADwAAAAAAAAABACAAAAAiAAAAZHJzL2Rvd25yZXYueG1sUEsB&#10;AhQAFAAAAAgAh07iQB3ANSDzAQAA3QMAAA4AAAAAAAAAAQAgAAAAKQEAAGRycy9lMm9Eb2MueG1s&#10;UEsFBgAAAAAGAAYAWQEAAI4FAAAAAA==&#10;">
            <v:path/>
            <v:fill focussize="0,0"/>
            <v:stroke on="f" joinstyle="miter"/>
            <v:imagedata o:title=""/>
            <o:lock v:ext="edit"/>
            <v:textbox inset="0mm,0mm,0mm,0mm">
              <w:txbxContent>
                <w:p>
                  <w:pPr>
                    <w:pStyle w:val="89"/>
                  </w:pPr>
                  <w:r>
                    <w:rPr>
                      <w:rFonts w:hint="eastAsia"/>
                    </w:rPr>
                    <w:t>202×—××—××实施</w:t>
                  </w:r>
                </w:p>
              </w:txbxContent>
            </v:textbox>
            <w10:anchorlock/>
          </v:shape>
        </w:pict>
      </w:r>
      <w:r>
        <w:rPr>
          <w:rFonts w:eastAsiaTheme="minorEastAsia"/>
        </w:rPr>
        <w:pict>
          <v:shape id="fmFrame5" o:spid="_x0000_s1032" o:spt="202" type="#_x0000_t202" style="position:absolute;left:0pt;margin-left:0pt;margin-top:674.3pt;height:24.6pt;width:159pt;mso-position-horizontal-relative:margin;mso-position-vertical-relative:margin;z-index:251658240;mso-width-relative:page;mso-height-relative:page;"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NsqI2AAAAAoBAAAPAAAAAAAAAAEAIAAAACIAAABkcnMvZG93bnJldi54bWxQSwEC&#10;FAAUAAAACACHTuJALXQNAPQBAADdAwAADgAAAAAAAAABACAAAAAnAQAAZHJzL2Uyb0RvYy54bWxQ&#10;SwUGAAAAAAYABgBZAQAAjQUAAAAA&#10;">
            <v:path/>
            <v:fill focussize="0,0"/>
            <v:stroke on="f" joinstyle="miter"/>
            <v:imagedata o:title=""/>
            <o:lock v:ext="edit"/>
            <v:textbox inset="0mm,0mm,0mm,0mm">
              <w:txbxContent>
                <w:p>
                  <w:pPr>
                    <w:pStyle w:val="61"/>
                  </w:pPr>
                  <w:r>
                    <w:rPr>
                      <w:rFonts w:hint="eastAsia"/>
                    </w:rPr>
                    <w:t>202×—××—××发布</w:t>
                  </w:r>
                </w:p>
              </w:txbxContent>
            </v:textbox>
            <w10:anchorlock/>
          </v:shape>
        </w:pict>
      </w:r>
      <w:r>
        <w:rPr>
          <w:rFonts w:eastAsiaTheme="minorEastAsia"/>
        </w:rPr>
        <w:pict>
          <v:shape id="fmFrame4" o:spid="_x0000_s1031" o:spt="202" type="#_x0000_t202" style="position:absolute;left:0pt;margin-left:0pt;margin-top:286.25pt;height:275.35pt;width:470pt;mso-position-horizontal-relative:margin;mso-position-vertical-relative:margin;z-index:251656192;mso-width-relative:page;mso-height-relative:page;" stroked="f" coordsize="21600,21600" o:gfxdata="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bKU0tgAAAAJAQAADwAAAAAAAAABACAAAAAiAAAAZHJzL2Rvd25yZXYueG1sUEsB&#10;AhQAFAAAAAgAh07iQBICTwz1AQAA3gMAAA4AAAAAAAAAAQAgAAAAJwEAAGRycy9lMm9Eb2MueG1s&#10;UEsFBgAAAAAGAAYAWQEAAI4FAAAAAA==&#10;">
            <v:path/>
            <v:fill focussize="0,0"/>
            <v:stroke on="f" joinstyle="miter"/>
            <v:imagedata o:title=""/>
            <o:lock v:ext="edit"/>
            <v:textbox inset="0mm,0mm,0mm,0mm">
              <w:txbxContent>
                <w:p>
                  <w:pPr>
                    <w:pStyle w:val="68"/>
                    <w:spacing w:before="0" w:line="240" w:lineRule="auto"/>
                    <w:rPr>
                      <w:rFonts w:ascii="黑体" w:hAnsi="黑体" w:eastAsia="黑体" w:cs="黑体"/>
                      <w:bCs/>
                      <w:sz w:val="52"/>
                      <w:szCs w:val="52"/>
                    </w:rPr>
                  </w:pPr>
                  <w:r>
                    <w:rPr>
                      <w:rFonts w:hint="eastAsia" w:ascii="黑体" w:hAnsi="黑体" w:eastAsia="黑体" w:cs="黑体"/>
                      <w:bCs/>
                      <w:sz w:val="52"/>
                      <w:szCs w:val="52"/>
                    </w:rPr>
                    <w:t>粉末床熔融增材制造镍基合金</w:t>
                  </w:r>
                </w:p>
                <w:p>
                  <w:pPr>
                    <w:pStyle w:val="68"/>
                    <w:rPr>
                      <w:rFonts w:hint="eastAsia" w:ascii="黑体" w:hAnsi="黑体" w:eastAsia="黑体" w:cs="黑体"/>
                      <w:bCs/>
                      <w:szCs w:val="28"/>
                    </w:rPr>
                  </w:pPr>
                  <w:r>
                    <w:rPr>
                      <w:rFonts w:ascii="黑体" w:hAnsi="黑体" w:eastAsia="黑体" w:cs="黑体"/>
                      <w:bCs/>
                      <w:szCs w:val="28"/>
                    </w:rPr>
                    <w:t>Additive manufacturing nickel alloy with powder bed fusion</w:t>
                  </w:r>
                </w:p>
                <w:p>
                  <w:pPr>
                    <w:pStyle w:val="68"/>
                  </w:pPr>
                </w:p>
                <w:p>
                  <w:pPr>
                    <w:jc w:val="center"/>
                    <w:rPr>
                      <w:rFonts w:ascii="黑体" w:eastAsia="黑体"/>
                      <w:sz w:val="28"/>
                      <w:szCs w:val="28"/>
                    </w:rPr>
                  </w:pPr>
                  <w:r>
                    <w:rPr>
                      <w:rFonts w:hint="eastAsia" w:ascii="黑体" w:eastAsia="黑体"/>
                      <w:sz w:val="28"/>
                      <w:szCs w:val="28"/>
                    </w:rPr>
                    <w:t xml:space="preserve"> </w:t>
                  </w:r>
                </w:p>
                <w:p>
                  <w:pPr>
                    <w:jc w:val="center"/>
                  </w:pPr>
                  <w:r>
                    <w:rPr>
                      <w:rFonts w:hint="eastAsia"/>
                    </w:rPr>
                    <w:t>（征求意见稿）</w:t>
                  </w:r>
                </w:p>
              </w:txbxContent>
            </v:textbox>
            <w10:anchorlock/>
          </v:shape>
        </w:pict>
      </w:r>
      <w:r>
        <w:rPr>
          <w:rFonts w:eastAsiaTheme="minorEastAsia"/>
        </w:rPr>
        <w:pict>
          <v:shape id="fmFrame3" o:spid="_x0000_s1030" o:spt="202" type="#_x0000_t202" style="position:absolute;left:0pt;margin-left:231pt;margin-top:114.3pt;height:38.4pt;width:245.85pt;mso-position-horizontal-relative:margin;mso-position-vertical-relative:margin;z-index:251655168;mso-width-relative:page;mso-height-relative:page;" stroked="f" coordsize="21600,21600" o:gfxdata="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XKujTbAAAACwEAAA8AAAAAAAAAAQAgAAAAIgAAAGRycy9kb3ducmV2Lnht&#10;bFBLAQIUABQAAAAIAIdO4kBN2+t59gEAAN0DAAAOAAAAAAAAAAEAIAAAACoBAABkcnMvZTJvRG9j&#10;LnhtbFBLBQYAAAAABgAGAFkBAACSBQAAAAA=&#10;">
            <v:path/>
            <v:fill focussize="0,0"/>
            <v:stroke on="f" joinstyle="miter"/>
            <v:imagedata o:title=""/>
            <o:lock v:ext="edit"/>
            <v:textbox inset="0mm,0mm,0mm,0mm">
              <w:txbxContent>
                <w:p>
                  <w:pPr>
                    <w:pStyle w:val="63"/>
                    <w:wordWrap w:val="0"/>
                    <w:spacing w:before="0" w:line="400" w:lineRule="exact"/>
                    <w:rPr>
                      <w:b/>
                      <w:lang w:val="de-DE"/>
                    </w:rPr>
                  </w:pPr>
                </w:p>
                <w:p>
                  <w:pPr>
                    <w:pStyle w:val="63"/>
                    <w:wordWrap w:val="0"/>
                    <w:spacing w:before="0" w:line="400" w:lineRule="exact"/>
                    <w:rPr>
                      <w:rFonts w:ascii="黑体" w:hAnsi="黑体" w:eastAsia="黑体" w:cs="黑体"/>
                      <w:bCs/>
                      <w:lang w:val="de-DE"/>
                    </w:rPr>
                  </w:pPr>
                  <w:r>
                    <w:rPr>
                      <w:rFonts w:hint="eastAsia" w:ascii="黑体" w:hAnsi="黑体" w:eastAsia="黑体" w:cs="黑体"/>
                      <w:bCs/>
                      <w:lang w:val="de-DE"/>
                    </w:rPr>
                    <w:t>GB/T XXXX-</w:t>
                  </w:r>
                  <w:r>
                    <w:rPr>
                      <w:rFonts w:hint="eastAsia" w:ascii="黑体" w:hAnsi="黑体" w:eastAsia="黑体" w:cs="黑体"/>
                      <w:bCs/>
                    </w:rPr>
                    <w:t>202</w:t>
                  </w:r>
                  <w:r>
                    <w:rPr>
                      <w:rFonts w:hint="eastAsia" w:ascii="黑体" w:hAnsi="黑体" w:eastAsia="黑体" w:cs="黑体"/>
                      <w:bCs/>
                      <w:lang w:val="de-DE"/>
                    </w:rPr>
                    <w:t>X</w:t>
                  </w:r>
                </w:p>
                <w:p>
                  <w:pPr>
                    <w:pStyle w:val="63"/>
                    <w:spacing w:before="0" w:line="400" w:lineRule="exact"/>
                    <w:rPr>
                      <w:rFonts w:ascii="宋体" w:hAnsi="宋体"/>
                      <w:sz w:val="21"/>
                      <w:szCs w:val="21"/>
                      <w:lang w:val="de-DE"/>
                    </w:rPr>
                  </w:pPr>
                  <w:r>
                    <w:rPr>
                      <w:rFonts w:ascii="宋体" w:hAnsi="宋体"/>
                      <w:sz w:val="21"/>
                      <w:szCs w:val="21"/>
                      <w:lang w:val="de-DE"/>
                    </w:rPr>
                    <w:t>3</w:t>
                  </w:r>
                </w:p>
                <w:p>
                  <w:pPr>
                    <w:pStyle w:val="63"/>
                    <w:wordWrap w:val="0"/>
                    <w:spacing w:before="0" w:line="400" w:lineRule="exact"/>
                    <w:rPr>
                      <w:rFonts w:ascii="宋体" w:hAnsi="宋体"/>
                      <w:lang w:val="de-DE"/>
                    </w:rPr>
                  </w:pPr>
                </w:p>
                <w:p>
                  <w:pPr>
                    <w:pStyle w:val="63"/>
                    <w:spacing w:before="0" w:line="400" w:lineRule="exact"/>
                    <w:rPr>
                      <w:rFonts w:ascii="宋体" w:hAnsi="宋体"/>
                      <w:lang w:val="de-DE"/>
                    </w:rPr>
                  </w:pPr>
                </w:p>
                <w:p>
                  <w:pPr>
                    <w:pStyle w:val="63"/>
                    <w:spacing w:before="0" w:line="400" w:lineRule="exact"/>
                    <w:rPr>
                      <w:rFonts w:ascii="宋体" w:hAnsi="宋体"/>
                      <w:lang w:val="de-DE"/>
                    </w:rPr>
                  </w:pPr>
                </w:p>
              </w:txbxContent>
            </v:textbox>
            <w10:anchorlock/>
          </v:shape>
        </w:pict>
      </w:r>
      <w:r>
        <w:rPr>
          <w:rFonts w:eastAsiaTheme="minorEastAsia"/>
        </w:rPr>
        <w:drawing>
          <wp:anchor distT="0" distB="0" distL="114300" distR="114300" simplePos="0" relativeHeight="251654144"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186" name="HBPicture" descr="GB"/>
            <wp:cNvGraphicFramePr/>
            <a:graphic xmlns:a="http://schemas.openxmlformats.org/drawingml/2006/main">
              <a:graphicData uri="http://schemas.openxmlformats.org/drawingml/2006/picture">
                <pic:pic xmlns:pic="http://schemas.openxmlformats.org/drawingml/2006/picture">
                  <pic:nvPicPr>
                    <pic:cNvPr id="186" name="HBPicture" descr="GB"/>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rFonts w:eastAsiaTheme="minorEastAsia"/>
        </w:rPr>
        <w:pict>
          <v:shape id="fmFrame2" o:spid="_x0000_s1029" o:spt="202" type="#_x0000_t202" style="position:absolute;left:0pt;margin-left:0pt;margin-top:79.6pt;height:30.8pt;width:481.9pt;mso-position-horizontal-relative:margin;mso-position-vertical-relative:margin;z-index:251653120;mso-width-relative:page;mso-height-relative:page;"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g5HBdcAAAAIAQAADwAAAAAAAAABACAAAAAiAAAAZHJzL2Rvd25yZXYueG1sUEsBAhQA&#10;FAAAAAgAh07iQJJU2XrzAQAA3QMAAA4AAAAAAAAAAQAgAAAAJgEAAGRycy9lMm9Eb2MueG1sUEsF&#10;BgAAAAAGAAYAWQEAAIsFAAAAAA==&#10;">
            <v:path/>
            <v:fill focussize="0,0"/>
            <v:stroke on="f" joinstyle="miter"/>
            <v:imagedata o:title=""/>
            <o:lock v:ext="edit"/>
            <v:textbox inset="0mm,0mm,0mm,0mm">
              <w:txbxContent>
                <w:p>
                  <w:pPr>
                    <w:pStyle w:val="47"/>
                  </w:pPr>
                  <w:r>
                    <w:rPr>
                      <w:rFonts w:hint="eastAsia"/>
                    </w:rPr>
                    <w:t>中华人民共和国国家标准</w:t>
                  </w:r>
                </w:p>
              </w:txbxContent>
            </v:textbox>
            <w10:anchorlock/>
          </v:shape>
        </w:pict>
      </w:r>
      <w:r>
        <w:rPr>
          <w:rFonts w:eastAsiaTheme="minorEastAsia"/>
        </w:rPr>
        <w:pict>
          <v:shape id="fmFrame1" o:spid="_x0000_s1028" o:spt="202" type="#_x0000_t202" style="position:absolute;left:0pt;margin-left:0pt;margin-top:0pt;height:51.8pt;width:200pt;mso-position-horizontal-relative:margin;mso-position-vertical-relative:margin;z-index:251652096;mso-width-relative:page;mso-height-relative:page;"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ezL4NMAAAAFAQAADwAAAAAAAAABACAAAAAiAAAAZHJzL2Rvd25yZXYueG1sUEsBAhQAFAAA&#10;AAgAh07iQCbfya70AQAA3QMAAA4AAAAAAAAAAQAgAAAAIgEAAGRycy9lMm9Eb2MueG1sUEsFBgAA&#10;AAAGAAYAWQEAAIgFAAAAAA==&#10;">
            <v:path/>
            <v:fill focussize="0,0"/>
            <v:stroke on="f" joinstyle="miter"/>
            <v:imagedata o:title=""/>
            <o:lock v:ext="edit"/>
            <v:textbox inset="0mm,0mm,0mm,0mm">
              <w:txbxContent>
                <w:p>
                  <w:pPr>
                    <w:pBdr>
                      <w:top w:val="none" w:sz="0" w:space="0"/>
                      <w:left w:val="none" w:sz="0" w:space="0"/>
                      <w:bottom w:val="none" w:sz="0" w:space="0"/>
                      <w:right w:val="none" w:sz="0" w:space="0"/>
                    </w:pBdr>
                    <w:rPr>
                      <w:rFonts w:ascii="黑体" w:eastAsia="黑体"/>
                    </w:rPr>
                  </w:pPr>
                  <w:r>
                    <w:rPr>
                      <w:rFonts w:hint="eastAsia" w:ascii="黑体" w:eastAsia="黑体"/>
                    </w:rPr>
                    <w:t>ICS 77.160/25.030</w:t>
                  </w:r>
                </w:p>
                <w:p>
                  <w:pPr>
                    <w:pStyle w:val="95"/>
                    <w:rPr>
                      <w:rFonts w:ascii="黑体" w:hAnsi="黑体" w:cs="黑体"/>
                      <w:bCs/>
                    </w:rPr>
                  </w:pPr>
                  <w:r>
                    <w:rPr>
                      <w:rFonts w:hint="eastAsia" w:ascii="黑体" w:hAnsi="黑体" w:cs="黑体"/>
                      <w:bCs/>
                    </w:rPr>
                    <w:t>CCS H 72</w:t>
                  </w:r>
                </w:p>
              </w:txbxContent>
            </v:textbox>
            <w10:anchorlock/>
          </v:shape>
        </w:pict>
      </w:r>
    </w:p>
    <w:bookmarkEnd w:id="0"/>
    <w:p>
      <w:pPr>
        <w:pStyle w:val="53"/>
        <w:rPr>
          <w:rFonts w:hint="eastAsia" w:ascii="黑体" w:hAnsi="黑体" w:eastAsia="黑体" w:cs="黑体"/>
        </w:rPr>
      </w:pPr>
      <w:r>
        <w:rPr>
          <w:rFonts w:hint="eastAsia" w:ascii="黑体" w:hAnsi="黑体" w:eastAsia="黑体" w:cs="黑体"/>
        </w:rPr>
        <w:t>前</w:t>
      </w:r>
      <w:bookmarkStart w:id="1" w:name="BKQY"/>
      <w:r>
        <w:rPr>
          <w:rFonts w:hint="eastAsia" w:ascii="黑体" w:hAnsi="黑体" w:eastAsia="黑体" w:cs="黑体"/>
        </w:rPr>
        <w:t>  言</w:t>
      </w:r>
      <w:bookmarkEnd w:id="1"/>
    </w:p>
    <w:p>
      <w:pPr>
        <w:pStyle w:val="55"/>
        <w:ind w:firstLine="420"/>
        <w:rPr>
          <w:rFonts w:hAnsi="宋体" w:cs="宋体"/>
        </w:rPr>
      </w:pPr>
      <w:r>
        <w:rPr>
          <w:szCs w:val="22"/>
        </w:rPr>
        <w:t>本</w:t>
      </w:r>
      <w:r>
        <w:rPr>
          <w:rFonts w:hint="eastAsia"/>
          <w:szCs w:val="22"/>
        </w:rPr>
        <w:t>文件</w:t>
      </w:r>
      <w:r>
        <w:rPr>
          <w:szCs w:val="22"/>
        </w:rPr>
        <w:t>按照GB/T 1.1-20</w:t>
      </w:r>
      <w:r>
        <w:rPr>
          <w:rFonts w:hint="eastAsia"/>
          <w:szCs w:val="22"/>
        </w:rPr>
        <w:t>20《标准化工作导则 第1部分：标准化文件的结构和起草规则》</w:t>
      </w:r>
      <w:r>
        <w:rPr>
          <w:szCs w:val="22"/>
        </w:rPr>
        <w:t>的规</w:t>
      </w:r>
      <w:r>
        <w:rPr>
          <w:rFonts w:hint="eastAsia"/>
          <w:szCs w:val="22"/>
        </w:rPr>
        <w:t>定</w:t>
      </w:r>
      <w:r>
        <w:rPr>
          <w:szCs w:val="22"/>
        </w:rPr>
        <w:t>起草。</w:t>
      </w:r>
    </w:p>
    <w:p>
      <w:pPr>
        <w:pStyle w:val="55"/>
        <w:ind w:firstLine="420"/>
        <w:rPr>
          <w:rFonts w:hAnsi="宋体" w:cs="宋体"/>
          <w:kern w:val="2"/>
          <w:szCs w:val="24"/>
        </w:rPr>
      </w:pPr>
      <w:r>
        <w:rPr>
          <w:rFonts w:hint="eastAsia" w:hAnsi="宋体" w:cs="宋体"/>
          <w:kern w:val="2"/>
          <w:szCs w:val="24"/>
        </w:rPr>
        <w:t>请注意本文件的某些内容可能涉及专利。本文件的发布机构不承担识别专利的责任。</w:t>
      </w:r>
    </w:p>
    <w:p>
      <w:pPr>
        <w:pStyle w:val="55"/>
        <w:ind w:firstLine="420"/>
        <w:rPr>
          <w:rFonts w:hAnsi="宋体" w:cs="宋体"/>
        </w:rPr>
      </w:pPr>
      <w:r>
        <w:rPr>
          <w:rFonts w:hint="eastAsia" w:hAnsi="宋体" w:cs="宋体"/>
          <w:szCs w:val="21"/>
        </w:rPr>
        <w:t>本文件由中国有色金属工业协会提出。</w:t>
      </w:r>
    </w:p>
    <w:p>
      <w:pPr>
        <w:ind w:firstLine="420" w:firstLineChars="200"/>
        <w:rPr>
          <w:color w:val="000000"/>
        </w:rPr>
      </w:pPr>
      <w:r>
        <w:rPr>
          <w:rFonts w:hint="eastAsia"/>
        </w:rPr>
        <w:t>本文件</w:t>
      </w:r>
      <w:r>
        <w:rPr>
          <w:color w:val="000000"/>
        </w:rPr>
        <w:t>由全国有色金属标准化技术委员会（SAC/TC 243）</w:t>
      </w:r>
      <w:r>
        <w:rPr>
          <w:rFonts w:hint="eastAsia"/>
          <w:color w:val="000000"/>
        </w:rPr>
        <w:t>和全国增材制造标准化技术委员会（SAC</w:t>
      </w:r>
      <w:r>
        <w:rPr>
          <w:color w:val="000000"/>
        </w:rPr>
        <w:t>/ TC562</w:t>
      </w:r>
      <w:r>
        <w:rPr>
          <w:rFonts w:hint="eastAsia"/>
          <w:color w:val="000000"/>
        </w:rPr>
        <w:t>）</w:t>
      </w:r>
      <w:r>
        <w:rPr>
          <w:color w:val="000000"/>
        </w:rPr>
        <w:t>归口。</w:t>
      </w:r>
    </w:p>
    <w:p>
      <w:pPr>
        <w:pStyle w:val="55"/>
        <w:ind w:firstLine="420"/>
        <w:rPr>
          <w:rFonts w:hAnsi="宋体" w:cs="宋体"/>
        </w:rPr>
      </w:pPr>
      <w:r>
        <w:rPr>
          <w:rFonts w:hint="eastAsia" w:hAnsi="宋体" w:cs="宋体"/>
        </w:rPr>
        <w:t>本</w:t>
      </w:r>
      <w:r>
        <w:rPr>
          <w:rFonts w:hint="eastAsia" w:hAnsi="宋体" w:cs="宋体"/>
          <w:szCs w:val="21"/>
        </w:rPr>
        <w:t>文件</w:t>
      </w:r>
      <w:r>
        <w:rPr>
          <w:rFonts w:hint="eastAsia" w:hAnsi="宋体" w:cs="宋体"/>
        </w:rPr>
        <w:t>起草单位：</w:t>
      </w:r>
      <w:r>
        <w:rPr>
          <w:rFonts w:hint="eastAsia"/>
        </w:rPr>
        <w:t>广东省科学院材料与加工研究所</w:t>
      </w:r>
      <w:r>
        <w:rPr>
          <w:rFonts w:hint="eastAsia" w:hAnsi="宋体" w:cs="宋体"/>
        </w:rPr>
        <w:t>、。</w:t>
      </w:r>
    </w:p>
    <w:p>
      <w:pPr>
        <w:pStyle w:val="55"/>
        <w:ind w:firstLine="420"/>
        <w:rPr>
          <w:rFonts w:ascii="Times New Roman" w:eastAsiaTheme="minorEastAsia"/>
          <w:szCs w:val="21"/>
        </w:rPr>
      </w:pPr>
      <w:r>
        <w:rPr>
          <w:rFonts w:ascii="Times New Roman"/>
        </w:rPr>
        <w:t>本</w:t>
      </w:r>
      <w:r>
        <w:rPr>
          <w:rFonts w:hint="eastAsia" w:ascii="Times New Roman"/>
          <w:szCs w:val="21"/>
        </w:rPr>
        <w:t>文件</w:t>
      </w:r>
      <w:r>
        <w:rPr>
          <w:rFonts w:ascii="Times New Roman"/>
        </w:rPr>
        <w:t>主要起草人：</w:t>
      </w:r>
      <w:r>
        <w:rPr>
          <w:rFonts w:hint="eastAsia" w:ascii="Times New Roman"/>
        </w:rPr>
        <w:t>。</w:t>
      </w:r>
    </w:p>
    <w:p>
      <w:pPr>
        <w:pStyle w:val="55"/>
        <w:ind w:firstLine="0" w:firstLineChars="0"/>
        <w:rPr>
          <w:rFonts w:ascii="Times New Roman" w:eastAsiaTheme="minorEastAsia"/>
        </w:rPr>
      </w:pPr>
    </w:p>
    <w:p>
      <w:pPr>
        <w:pStyle w:val="55"/>
        <w:ind w:firstLine="0" w:firstLineChars="0"/>
        <w:rPr>
          <w:rFonts w:ascii="Times New Roman" w:eastAsiaTheme="minorEastAsia"/>
        </w:rPr>
      </w:pPr>
    </w:p>
    <w:p>
      <w:pPr>
        <w:pStyle w:val="55"/>
        <w:ind w:firstLine="0" w:firstLineChars="0"/>
        <w:rPr>
          <w:rFonts w:ascii="Times New Roman" w:eastAsiaTheme="minorEastAsia"/>
        </w:rPr>
        <w:sectPr>
          <w:headerReference r:id="rId9" w:type="first"/>
          <w:footerReference r:id="rId11" w:type="first"/>
          <w:headerReference r:id="rId8" w:type="default"/>
          <w:footerReference r:id="rId10" w:type="default"/>
          <w:pgSz w:w="11907" w:h="16839"/>
          <w:pgMar w:top="1418" w:right="1134" w:bottom="1134" w:left="1418" w:header="1020" w:footer="850" w:gutter="0"/>
          <w:pgNumType w:fmt="upperRoman" w:start="1"/>
          <w:cols w:space="425" w:num="1"/>
          <w:titlePg/>
          <w:docGrid w:type="lines" w:linePitch="312" w:charSpace="0"/>
        </w:sectPr>
      </w:pPr>
    </w:p>
    <w:p>
      <w:pPr>
        <w:spacing w:before="850" w:after="680"/>
        <w:jc w:val="center"/>
        <w:rPr>
          <w:rFonts w:ascii="黑体" w:hAnsi="黑体" w:eastAsia="黑体" w:cs="黑体"/>
          <w:sz w:val="32"/>
          <w:szCs w:val="32"/>
        </w:rPr>
      </w:pPr>
      <w:r>
        <w:rPr>
          <w:rFonts w:hint="eastAsia" w:ascii="黑体" w:hAnsi="黑体" w:eastAsia="黑体" w:cs="黑体"/>
          <w:sz w:val="32"/>
          <w:szCs w:val="32"/>
        </w:rPr>
        <w:t>粉末床熔融增材制造镍基合金</w:t>
      </w:r>
    </w:p>
    <w:p>
      <w:pPr>
        <w:pStyle w:val="127"/>
        <w:numPr>
          <w:ilvl w:val="0"/>
          <w:numId w:val="16"/>
        </w:numPr>
        <w:spacing w:before="317" w:beforeLines="100" w:after="317" w:afterLines="100"/>
        <w:ind w:left="357" w:hanging="357" w:firstLineChars="0"/>
        <w:rPr>
          <w:rFonts w:ascii="黑体" w:hAnsi="黑体" w:eastAsia="黑体" w:cs="黑体"/>
        </w:rPr>
      </w:pPr>
      <w:r>
        <w:rPr>
          <w:rFonts w:hint="eastAsia" w:ascii="黑体" w:hAnsi="黑体" w:eastAsia="黑体" w:cs="黑体"/>
        </w:rPr>
        <w:t>范围</w:t>
      </w:r>
    </w:p>
    <w:p>
      <w:pPr>
        <w:ind w:firstLine="420" w:firstLineChars="200"/>
        <w:rPr>
          <w:rFonts w:hint="eastAsia" w:eastAsiaTheme="minorEastAsia"/>
          <w:szCs w:val="21"/>
        </w:rPr>
      </w:pPr>
      <w:r>
        <w:rPr>
          <w:rFonts w:hint="eastAsia" w:eastAsiaTheme="minorEastAsia"/>
          <w:szCs w:val="21"/>
        </w:rPr>
        <w:t>本文件规定了粉末床熔融增材制造镍基合金的要求、试验方法、检验规则和包装、标志、运输、贮存、质量证明书及</w:t>
      </w:r>
      <w:r>
        <w:rPr>
          <w:rFonts w:hint="eastAsia" w:eastAsiaTheme="minorEastAsia"/>
          <w:szCs w:val="21"/>
          <w:lang w:eastAsia="zh-CN"/>
        </w:rPr>
        <w:t>订货单</w:t>
      </w:r>
      <w:r>
        <w:rPr>
          <w:rFonts w:hint="eastAsia" w:eastAsiaTheme="minorEastAsia"/>
          <w:szCs w:val="21"/>
        </w:rPr>
        <w:t>内容等。</w:t>
      </w:r>
    </w:p>
    <w:p>
      <w:pPr>
        <w:ind w:firstLine="420" w:firstLineChars="200"/>
        <w:rPr>
          <w:rFonts w:eastAsiaTheme="minorEastAsia"/>
          <w:szCs w:val="21"/>
        </w:rPr>
      </w:pPr>
      <w:r>
        <w:rPr>
          <w:rFonts w:hint="eastAsia" w:eastAsiaTheme="minorEastAsia"/>
          <w:szCs w:val="21"/>
        </w:rPr>
        <w:t>本文件适用于选区激光熔融以及电子束熔化的粉末床熔融增材制造工艺制造的镍基合金。</w:t>
      </w:r>
    </w:p>
    <w:p>
      <w:pPr>
        <w:pStyle w:val="127"/>
        <w:numPr>
          <w:ilvl w:val="0"/>
          <w:numId w:val="16"/>
        </w:numPr>
        <w:spacing w:before="317" w:beforeLines="100" w:after="317" w:afterLines="100"/>
        <w:ind w:left="357" w:hanging="357" w:firstLineChars="0"/>
        <w:rPr>
          <w:rFonts w:ascii="黑体" w:hAnsi="黑体" w:eastAsia="黑体" w:cs="黑体"/>
        </w:rPr>
      </w:pPr>
      <w:r>
        <w:rPr>
          <w:rFonts w:hint="eastAsia" w:ascii="黑体" w:hAnsi="黑体" w:eastAsia="黑体" w:cs="黑体"/>
        </w:rPr>
        <w:t>规范性引用文件</w:t>
      </w:r>
    </w:p>
    <w:p>
      <w:pPr>
        <w:autoSpaceDE w:val="0"/>
        <w:autoSpaceDN w:val="0"/>
        <w:adjustRightInd w:val="0"/>
        <w:spacing w:line="276" w:lineRule="auto"/>
        <w:ind w:firstLine="420" w:firstLineChars="200"/>
        <w:jc w:val="left"/>
        <w:rPr>
          <w:rFonts w:hint="eastAsia"/>
          <w:kern w:val="0"/>
          <w:szCs w:val="21"/>
        </w:rPr>
      </w:pPr>
      <w:r>
        <w:rPr>
          <w:kern w:val="0"/>
          <w:szCs w:val="21"/>
        </w:rPr>
        <w:t>下列文件</w:t>
      </w:r>
      <w:r>
        <w:rPr>
          <w:rFonts w:hint="eastAsia"/>
          <w:kern w:val="0"/>
          <w:szCs w:val="21"/>
        </w:rPr>
        <w:t>中的内容通过文中的规范性引用而构成本文件必不可少的条款</w:t>
      </w:r>
      <w:r>
        <w:rPr>
          <w:kern w:val="0"/>
          <w:szCs w:val="21"/>
        </w:rPr>
        <w:t>。</w:t>
      </w:r>
      <w:r>
        <w:rPr>
          <w:rFonts w:hint="eastAsia"/>
          <w:kern w:val="0"/>
          <w:szCs w:val="21"/>
        </w:rPr>
        <w:t>其中，注日期的引用文件，仅该日期对应的版本适用于本文件；不注日期的引用文件，其最新版本（包括所有的修改单）适用于本文件。</w:t>
      </w:r>
    </w:p>
    <w:p>
      <w:pPr>
        <w:pStyle w:val="55"/>
        <w:ind w:firstLine="420"/>
        <w:rPr>
          <w:rFonts w:hint="eastAsia"/>
        </w:rPr>
      </w:pPr>
      <w:r>
        <w:rPr>
          <w:rFonts w:hint="eastAsia"/>
        </w:rPr>
        <w:t>GB/T 228.1</w:t>
      </w:r>
      <w:r>
        <w:rPr>
          <w:rFonts w:hint="eastAsia" w:hAnsi="宋体" w:cs="宋体"/>
        </w:rPr>
        <w:t xml:space="preserve">   </w:t>
      </w:r>
      <w:r>
        <w:rPr>
          <w:rFonts w:hint="eastAsia"/>
        </w:rPr>
        <w:t>金属材料 拉伸试验 第1部分：室温试验方法</w:t>
      </w:r>
    </w:p>
    <w:p>
      <w:pPr>
        <w:pStyle w:val="55"/>
        <w:ind w:firstLine="420"/>
        <w:rPr>
          <w:rFonts w:hint="eastAsia"/>
        </w:rPr>
      </w:pPr>
      <w:r>
        <w:rPr>
          <w:rFonts w:hint="eastAsia"/>
        </w:rPr>
        <w:t>GB/T 3850</w:t>
      </w:r>
      <w:r>
        <w:rPr>
          <w:rFonts w:hint="eastAsia" w:hAnsi="宋体" w:cs="宋体"/>
        </w:rPr>
        <w:t xml:space="preserve">   </w:t>
      </w:r>
      <w:r>
        <w:rPr>
          <w:rFonts w:hint="eastAsia"/>
        </w:rPr>
        <w:t>致密烧结金属材料与硬质合金 密度测定方法</w:t>
      </w:r>
    </w:p>
    <w:p>
      <w:pPr>
        <w:pStyle w:val="55"/>
        <w:ind w:firstLine="420"/>
        <w:rPr>
          <w:rFonts w:hint="eastAsia"/>
        </w:rPr>
      </w:pPr>
      <w:r>
        <w:t>GB/T 14992</w:t>
      </w:r>
      <w:r>
        <w:rPr>
          <w:rFonts w:hint="eastAsia" w:hAnsi="宋体" w:cs="宋体"/>
        </w:rPr>
        <w:t xml:space="preserve">   </w:t>
      </w:r>
      <w:r>
        <w:rPr>
          <w:rFonts w:hint="eastAsia"/>
        </w:rPr>
        <w:t>高温合金和金属间化合物高温材料的分类和牌号</w:t>
      </w:r>
    </w:p>
    <w:p>
      <w:pPr>
        <w:pStyle w:val="55"/>
        <w:ind w:firstLine="420"/>
        <w:rPr>
          <w:rFonts w:hint="eastAsia"/>
        </w:rPr>
      </w:pPr>
      <w:r>
        <w:rPr>
          <w:rFonts w:hint="eastAsia"/>
        </w:rPr>
        <w:t>GB/T 14999.1</w:t>
      </w:r>
      <w:r>
        <w:rPr>
          <w:rFonts w:hint="eastAsia" w:hAnsi="宋体" w:cs="宋体"/>
        </w:rPr>
        <w:t xml:space="preserve">   </w:t>
      </w:r>
      <w:r>
        <w:rPr>
          <w:rFonts w:hint="eastAsia"/>
        </w:rPr>
        <w:t>高温合金试验方法 第1部分：纵向低倍组织及缺陷酸浸检验</w:t>
      </w:r>
    </w:p>
    <w:p>
      <w:pPr>
        <w:pStyle w:val="55"/>
        <w:ind w:firstLine="420"/>
      </w:pPr>
      <w:r>
        <w:rPr>
          <w:rFonts w:hint="eastAsia"/>
        </w:rPr>
        <w:t>GB/T 14999.2</w:t>
      </w:r>
      <w:r>
        <w:rPr>
          <w:rFonts w:hint="eastAsia" w:hAnsi="宋体" w:cs="宋体"/>
        </w:rPr>
        <w:t xml:space="preserve">   </w:t>
      </w:r>
      <w:r>
        <w:rPr>
          <w:rFonts w:hint="eastAsia"/>
        </w:rPr>
        <w:t>高温合金试验方法 第2部分：横向低倍组织及缺陷酸浸检验</w:t>
      </w:r>
    </w:p>
    <w:p>
      <w:pPr>
        <w:pStyle w:val="55"/>
        <w:ind w:firstLine="420"/>
        <w:rPr>
          <w:rFonts w:hint="eastAsia"/>
        </w:rPr>
      </w:pPr>
      <w:r>
        <w:rPr>
          <w:rFonts w:hint="eastAsia"/>
        </w:rPr>
        <w:t>HB 5220（所有部分）</w:t>
      </w:r>
      <w:r>
        <w:rPr>
          <w:rFonts w:hint="eastAsia" w:hAnsi="宋体" w:cs="宋体"/>
        </w:rPr>
        <w:t xml:space="preserve">   </w:t>
      </w:r>
      <w:r>
        <w:rPr>
          <w:rFonts w:hint="eastAsia"/>
        </w:rPr>
        <w:t>高温合金化学分析方法</w:t>
      </w:r>
    </w:p>
    <w:p>
      <w:pPr>
        <w:pStyle w:val="127"/>
        <w:numPr>
          <w:ilvl w:val="0"/>
          <w:numId w:val="16"/>
        </w:numPr>
        <w:spacing w:before="317" w:beforeLines="100" w:after="317" w:afterLines="100"/>
        <w:ind w:left="357" w:hanging="357" w:firstLineChars="0"/>
        <w:rPr>
          <w:rFonts w:hint="eastAsia" w:ascii="黑体" w:hAnsi="黑体" w:eastAsia="黑体" w:cs="黑体"/>
        </w:rPr>
      </w:pPr>
      <w:r>
        <w:rPr>
          <w:rFonts w:hint="eastAsia" w:ascii="黑体" w:hAnsi="黑体" w:eastAsia="黑体" w:cs="黑体"/>
        </w:rPr>
        <w:t>术语和定义</w:t>
      </w:r>
    </w:p>
    <w:p>
      <w:pPr>
        <w:pStyle w:val="127"/>
        <w:spacing w:before="317" w:beforeLines="100" w:after="317" w:afterLines="100"/>
        <w:ind w:left="0"/>
        <w:rPr>
          <w:rFonts w:hint="eastAsia" w:ascii="宋体" w:hAnsi="Times New Roman"/>
          <w:kern w:val="0"/>
          <w:szCs w:val="21"/>
        </w:rPr>
      </w:pPr>
      <w:r>
        <w:rPr>
          <w:rFonts w:hint="eastAsia" w:asciiTheme="minorEastAsia" w:hAnsiTheme="minorEastAsia"/>
          <w:szCs w:val="21"/>
        </w:rPr>
        <w:t>GB/T 35351</w:t>
      </w:r>
      <w:r>
        <w:rPr>
          <w:rFonts w:hint="eastAsia" w:ascii="宋体" w:hAnsi="宋体" w:cs="宋体"/>
          <w:szCs w:val="21"/>
        </w:rPr>
        <w:t>中界定的定义的术语适用于本文件。</w:t>
      </w:r>
    </w:p>
    <w:p>
      <w:pPr>
        <w:pStyle w:val="56"/>
        <w:numPr>
          <w:ilvl w:val="0"/>
          <w:numId w:val="16"/>
        </w:numPr>
        <w:spacing w:before="317" w:beforeLines="100" w:after="317" w:afterLines="100"/>
      </w:pPr>
      <w:r>
        <w:rPr>
          <w:rFonts w:hint="eastAsia"/>
        </w:rPr>
        <w:t>要求</w:t>
      </w:r>
    </w:p>
    <w:p>
      <w:pPr>
        <w:pStyle w:val="57"/>
        <w:numPr>
          <w:ilvl w:val="1"/>
          <w:numId w:val="17"/>
        </w:numPr>
        <w:spacing w:before="158" w:beforeLines="50" w:after="158" w:afterLines="50"/>
        <w:rPr>
          <w:rFonts w:hint="eastAsia"/>
        </w:rPr>
      </w:pPr>
      <w:r>
        <w:rPr>
          <w:rFonts w:hint="eastAsia" w:ascii="宋体" w:hAnsi="宋体" w:eastAsia="宋体"/>
        </w:rPr>
        <w:t xml:space="preserve"> </w:t>
      </w:r>
      <w:r>
        <w:rPr>
          <w:rFonts w:hint="eastAsia"/>
        </w:rPr>
        <w:t>供应状态</w:t>
      </w:r>
    </w:p>
    <w:p>
      <w:pPr>
        <w:pStyle w:val="55"/>
        <w:ind w:firstLine="420"/>
      </w:pPr>
      <w:r>
        <w:rPr>
          <w:rFonts w:hint="eastAsia"/>
        </w:rPr>
        <w:t>产品按供应状态分为成形态、热等静压态、热处理态、热等静压+热处理态。当需方对产品供应状态有特殊要求时，应由供需双方商定，并在</w:t>
      </w:r>
      <w:r>
        <w:rPr>
          <w:rFonts w:hint="eastAsia"/>
          <w:lang w:eastAsia="zh-CN"/>
        </w:rPr>
        <w:t>订货单</w:t>
      </w:r>
      <w:r>
        <w:rPr>
          <w:rFonts w:hint="eastAsia"/>
        </w:rPr>
        <w:t>中注明。</w:t>
      </w:r>
    </w:p>
    <w:p>
      <w:pPr>
        <w:pStyle w:val="57"/>
        <w:numPr>
          <w:ilvl w:val="1"/>
          <w:numId w:val="17"/>
        </w:numPr>
        <w:spacing w:before="158" w:beforeLines="50" w:after="158" w:afterLines="50"/>
        <w:rPr>
          <w:rFonts w:hint="eastAsia"/>
        </w:rPr>
      </w:pPr>
      <w:r>
        <w:rPr>
          <w:rFonts w:hint="eastAsia" w:ascii="宋体" w:hAnsi="宋体" w:eastAsia="宋体"/>
        </w:rPr>
        <w:t xml:space="preserve"> </w:t>
      </w:r>
      <w:r>
        <w:rPr>
          <w:rFonts w:hint="eastAsia"/>
        </w:rPr>
        <w:t>化学成分</w:t>
      </w:r>
    </w:p>
    <w:p>
      <w:pPr>
        <w:pStyle w:val="55"/>
        <w:ind w:firstLine="420"/>
      </w:pPr>
      <w:r>
        <w:rPr>
          <w:rFonts w:hint="eastAsia"/>
        </w:rPr>
        <w:t>产品的化学成分应符合GB/T 14992的规定，见表1。</w:t>
      </w:r>
    </w:p>
    <w:p>
      <w:pPr>
        <w:pStyle w:val="98"/>
        <w:tabs>
          <w:tab w:val="left" w:pos="360"/>
        </w:tabs>
        <w:wordWrap w:val="0"/>
        <w:spacing w:before="158" w:beforeLines="50" w:after="158" w:afterLines="50"/>
        <w:jc w:val="right"/>
      </w:pPr>
      <w:r>
        <w:rPr>
          <w:rFonts w:hint="eastAsia"/>
        </w:rPr>
        <w:t xml:space="preserve">化学成分                          </w:t>
      </w:r>
      <w:r>
        <w:rPr>
          <w:rFonts w:hint="eastAsia" w:hAnsi="宋体" w:cs="宋体"/>
          <w:sz w:val="18"/>
          <w:szCs w:val="18"/>
        </w:rPr>
        <w:t>(质量分数)/%</w:t>
      </w:r>
    </w:p>
    <w:tbl>
      <w:tblPr>
        <w:tblStyle w:val="31"/>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115"/>
        <w:gridCol w:w="1276"/>
        <w:gridCol w:w="1276"/>
        <w:gridCol w:w="1161"/>
        <w:gridCol w:w="1158"/>
        <w:gridCol w:w="1158"/>
        <w:gridCol w:w="66"/>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36" w:type="dxa"/>
            <w:vAlign w:val="center"/>
          </w:tcPr>
          <w:p>
            <w:pPr>
              <w:jc w:val="center"/>
              <w:rPr>
                <w:sz w:val="18"/>
              </w:rPr>
            </w:pPr>
            <w:r>
              <w:rPr>
                <w:rFonts w:hint="eastAsia"/>
                <w:sz w:val="18"/>
              </w:rPr>
              <w:t>牌号</w:t>
            </w:r>
          </w:p>
        </w:tc>
        <w:tc>
          <w:tcPr>
            <w:tcW w:w="1115" w:type="dxa"/>
            <w:vAlign w:val="center"/>
          </w:tcPr>
          <w:p>
            <w:pPr>
              <w:jc w:val="center"/>
              <w:rPr>
                <w:sz w:val="18"/>
                <w:szCs w:val="21"/>
              </w:rPr>
            </w:pPr>
            <w:r>
              <w:rPr>
                <w:rFonts w:hint="eastAsia"/>
                <w:sz w:val="18"/>
                <w:szCs w:val="21"/>
              </w:rPr>
              <w:t>Ni</w:t>
            </w:r>
          </w:p>
        </w:tc>
        <w:tc>
          <w:tcPr>
            <w:tcW w:w="1276" w:type="dxa"/>
            <w:vAlign w:val="center"/>
          </w:tcPr>
          <w:p>
            <w:pPr>
              <w:jc w:val="center"/>
              <w:rPr>
                <w:sz w:val="18"/>
                <w:szCs w:val="21"/>
              </w:rPr>
            </w:pPr>
            <w:r>
              <w:rPr>
                <w:rFonts w:hint="eastAsia"/>
                <w:sz w:val="18"/>
                <w:szCs w:val="21"/>
              </w:rPr>
              <w:t>Cr</w:t>
            </w:r>
          </w:p>
        </w:tc>
        <w:tc>
          <w:tcPr>
            <w:tcW w:w="1276" w:type="dxa"/>
            <w:vAlign w:val="center"/>
          </w:tcPr>
          <w:p>
            <w:pPr>
              <w:jc w:val="center"/>
              <w:rPr>
                <w:sz w:val="18"/>
                <w:szCs w:val="21"/>
              </w:rPr>
            </w:pPr>
            <w:r>
              <w:rPr>
                <w:rFonts w:hint="eastAsia"/>
                <w:sz w:val="18"/>
                <w:szCs w:val="21"/>
              </w:rPr>
              <w:t>Mo</w:t>
            </w:r>
          </w:p>
        </w:tc>
        <w:tc>
          <w:tcPr>
            <w:tcW w:w="1161" w:type="dxa"/>
            <w:vAlign w:val="center"/>
          </w:tcPr>
          <w:p>
            <w:pPr>
              <w:jc w:val="center"/>
              <w:rPr>
                <w:sz w:val="18"/>
                <w:szCs w:val="21"/>
              </w:rPr>
            </w:pPr>
            <w:r>
              <w:rPr>
                <w:rFonts w:hint="eastAsia"/>
                <w:sz w:val="18"/>
                <w:szCs w:val="21"/>
              </w:rPr>
              <w:t>Nb</w:t>
            </w:r>
          </w:p>
        </w:tc>
        <w:tc>
          <w:tcPr>
            <w:tcW w:w="1158" w:type="dxa"/>
            <w:vAlign w:val="center"/>
          </w:tcPr>
          <w:p>
            <w:pPr>
              <w:jc w:val="center"/>
              <w:rPr>
                <w:sz w:val="18"/>
                <w:szCs w:val="21"/>
              </w:rPr>
            </w:pPr>
            <w:r>
              <w:rPr>
                <w:rFonts w:hint="eastAsia"/>
                <w:sz w:val="18"/>
                <w:szCs w:val="21"/>
              </w:rPr>
              <w:t>Al</w:t>
            </w:r>
          </w:p>
        </w:tc>
        <w:tc>
          <w:tcPr>
            <w:tcW w:w="1158" w:type="dxa"/>
            <w:vAlign w:val="center"/>
          </w:tcPr>
          <w:p>
            <w:pPr>
              <w:jc w:val="center"/>
              <w:rPr>
                <w:sz w:val="18"/>
                <w:szCs w:val="21"/>
              </w:rPr>
            </w:pPr>
            <w:r>
              <w:rPr>
                <w:rFonts w:hint="eastAsia"/>
                <w:sz w:val="18"/>
                <w:szCs w:val="21"/>
              </w:rPr>
              <w:t>Ti</w:t>
            </w:r>
          </w:p>
        </w:tc>
        <w:tc>
          <w:tcPr>
            <w:tcW w:w="917" w:type="dxa"/>
            <w:gridSpan w:val="2"/>
          </w:tcPr>
          <w:p>
            <w:pPr>
              <w:jc w:val="center"/>
              <w:rPr>
                <w:sz w:val="18"/>
              </w:rPr>
            </w:pPr>
            <w:r>
              <w:rPr>
                <w:rFonts w:hint="eastAsia"/>
                <w:sz w:val="18"/>
              </w:rPr>
              <w:t>Fe</w:t>
            </w:r>
          </w:p>
        </w:tc>
        <w:tc>
          <w:tcPr>
            <w:tcW w:w="850" w:type="dxa"/>
            <w:vAlign w:val="center"/>
          </w:tcPr>
          <w:p>
            <w:pPr>
              <w:jc w:val="center"/>
              <w:rPr>
                <w:sz w:val="18"/>
                <w:szCs w:val="21"/>
              </w:rPr>
            </w:pPr>
            <w:r>
              <w:rPr>
                <w:rFonts w:hint="eastAsia"/>
                <w:sz w:val="18"/>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836" w:type="dxa"/>
            <w:vAlign w:val="center"/>
          </w:tcPr>
          <w:p>
            <w:pPr>
              <w:jc w:val="center"/>
              <w:rPr>
                <w:sz w:val="18"/>
              </w:rPr>
            </w:pPr>
            <w:r>
              <w:rPr>
                <w:rFonts w:hint="eastAsia"/>
                <w:sz w:val="18"/>
              </w:rPr>
              <w:t>GH3625</w:t>
            </w:r>
          </w:p>
        </w:tc>
        <w:tc>
          <w:tcPr>
            <w:tcW w:w="1115" w:type="dxa"/>
            <w:vAlign w:val="center"/>
          </w:tcPr>
          <w:p>
            <w:pPr>
              <w:jc w:val="center"/>
              <w:rPr>
                <w:sz w:val="18"/>
                <w:szCs w:val="21"/>
              </w:rPr>
            </w:pPr>
            <w:r>
              <w:rPr>
                <w:rFonts w:hint="eastAsia" w:hAnsi="宋体"/>
                <w:sz w:val="18"/>
                <w:szCs w:val="21"/>
              </w:rPr>
              <w:t>余量</w:t>
            </w:r>
          </w:p>
        </w:tc>
        <w:tc>
          <w:tcPr>
            <w:tcW w:w="1276" w:type="dxa"/>
            <w:vAlign w:val="center"/>
          </w:tcPr>
          <w:p>
            <w:pPr>
              <w:jc w:val="center"/>
              <w:rPr>
                <w:sz w:val="18"/>
                <w:szCs w:val="21"/>
              </w:rPr>
            </w:pPr>
            <w:r>
              <w:rPr>
                <w:rFonts w:hint="eastAsia"/>
                <w:sz w:val="18"/>
                <w:szCs w:val="21"/>
              </w:rPr>
              <w:t>20.00</w:t>
            </w:r>
            <w:r>
              <w:rPr>
                <w:rFonts w:hint="eastAsia"/>
                <w:sz w:val="18"/>
                <w:szCs w:val="18"/>
              </w:rPr>
              <w:t>～23.00</w:t>
            </w:r>
          </w:p>
        </w:tc>
        <w:tc>
          <w:tcPr>
            <w:tcW w:w="1276" w:type="dxa"/>
            <w:vAlign w:val="center"/>
          </w:tcPr>
          <w:p>
            <w:pPr>
              <w:jc w:val="center"/>
              <w:rPr>
                <w:sz w:val="18"/>
                <w:szCs w:val="21"/>
              </w:rPr>
            </w:pPr>
            <w:r>
              <w:rPr>
                <w:rFonts w:hint="eastAsia"/>
                <w:sz w:val="18"/>
                <w:szCs w:val="21"/>
              </w:rPr>
              <w:t>8.00</w:t>
            </w:r>
            <w:r>
              <w:rPr>
                <w:rFonts w:hint="eastAsia"/>
                <w:sz w:val="18"/>
                <w:szCs w:val="18"/>
              </w:rPr>
              <w:t>～10.00</w:t>
            </w:r>
          </w:p>
        </w:tc>
        <w:tc>
          <w:tcPr>
            <w:tcW w:w="1161" w:type="dxa"/>
            <w:vAlign w:val="center"/>
          </w:tcPr>
          <w:p>
            <w:pPr>
              <w:jc w:val="center"/>
              <w:rPr>
                <w:sz w:val="18"/>
                <w:szCs w:val="21"/>
              </w:rPr>
            </w:pPr>
            <w:r>
              <w:rPr>
                <w:rFonts w:hint="eastAsia"/>
                <w:sz w:val="18"/>
                <w:szCs w:val="21"/>
              </w:rPr>
              <w:t>3.15</w:t>
            </w:r>
            <w:r>
              <w:rPr>
                <w:rFonts w:hint="eastAsia"/>
                <w:sz w:val="18"/>
                <w:szCs w:val="18"/>
              </w:rPr>
              <w:t>～4.15</w:t>
            </w:r>
          </w:p>
        </w:tc>
        <w:tc>
          <w:tcPr>
            <w:tcW w:w="1158" w:type="dxa"/>
            <w:vAlign w:val="center"/>
          </w:tcPr>
          <w:p>
            <w:pPr>
              <w:jc w:val="center"/>
              <w:rPr>
                <w:sz w:val="18"/>
                <w:szCs w:val="21"/>
              </w:rPr>
            </w:pPr>
            <w:r>
              <w:rPr>
                <w:rFonts w:hint="eastAsia"/>
                <w:sz w:val="18"/>
                <w:szCs w:val="21"/>
              </w:rPr>
              <w:t>≤0.40</w:t>
            </w:r>
          </w:p>
        </w:tc>
        <w:tc>
          <w:tcPr>
            <w:tcW w:w="1158" w:type="dxa"/>
            <w:vAlign w:val="center"/>
          </w:tcPr>
          <w:p>
            <w:pPr>
              <w:jc w:val="center"/>
              <w:rPr>
                <w:sz w:val="18"/>
                <w:szCs w:val="21"/>
              </w:rPr>
            </w:pPr>
            <w:r>
              <w:rPr>
                <w:rFonts w:hint="eastAsia"/>
                <w:sz w:val="18"/>
                <w:szCs w:val="21"/>
              </w:rPr>
              <w:t>≤0.40</w:t>
            </w:r>
          </w:p>
        </w:tc>
        <w:tc>
          <w:tcPr>
            <w:tcW w:w="917" w:type="dxa"/>
            <w:gridSpan w:val="2"/>
            <w:vAlign w:val="center"/>
          </w:tcPr>
          <w:p>
            <w:pPr>
              <w:jc w:val="center"/>
              <w:rPr>
                <w:sz w:val="18"/>
              </w:rPr>
            </w:pPr>
            <w:r>
              <w:rPr>
                <w:rFonts w:hint="eastAsia"/>
                <w:sz w:val="18"/>
                <w:szCs w:val="21"/>
              </w:rPr>
              <w:t>≤5.00</w:t>
            </w:r>
          </w:p>
        </w:tc>
        <w:tc>
          <w:tcPr>
            <w:tcW w:w="850" w:type="dxa"/>
            <w:vAlign w:val="center"/>
          </w:tcPr>
          <w:p>
            <w:pPr>
              <w:jc w:val="center"/>
              <w:rPr>
                <w:sz w:val="18"/>
                <w:szCs w:val="21"/>
              </w:rPr>
            </w:pPr>
            <w:r>
              <w:rPr>
                <w:rFonts w:hint="eastAsia"/>
                <w:sz w:val="18"/>
                <w:szCs w:val="21"/>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836" w:type="dxa"/>
            <w:vAlign w:val="center"/>
          </w:tcPr>
          <w:p>
            <w:pPr>
              <w:jc w:val="center"/>
              <w:rPr>
                <w:sz w:val="18"/>
              </w:rPr>
            </w:pPr>
            <w:r>
              <w:rPr>
                <w:rFonts w:hint="eastAsia"/>
                <w:sz w:val="18"/>
              </w:rPr>
              <w:t>GH4169</w:t>
            </w:r>
          </w:p>
        </w:tc>
        <w:tc>
          <w:tcPr>
            <w:tcW w:w="1115" w:type="dxa"/>
            <w:vAlign w:val="center"/>
          </w:tcPr>
          <w:p>
            <w:pPr>
              <w:jc w:val="center"/>
              <w:rPr>
                <w:sz w:val="18"/>
                <w:szCs w:val="21"/>
              </w:rPr>
            </w:pPr>
            <w:r>
              <w:rPr>
                <w:rFonts w:hint="eastAsia"/>
                <w:sz w:val="18"/>
                <w:szCs w:val="21"/>
              </w:rPr>
              <w:t>50.0</w:t>
            </w:r>
            <w:r>
              <w:rPr>
                <w:rFonts w:hint="eastAsia"/>
                <w:sz w:val="18"/>
                <w:szCs w:val="18"/>
              </w:rPr>
              <w:t>～</w:t>
            </w:r>
            <w:r>
              <w:rPr>
                <w:rFonts w:hint="eastAsia"/>
                <w:sz w:val="18"/>
                <w:szCs w:val="21"/>
              </w:rPr>
              <w:t>55.0</w:t>
            </w:r>
          </w:p>
        </w:tc>
        <w:tc>
          <w:tcPr>
            <w:tcW w:w="1276" w:type="dxa"/>
            <w:vAlign w:val="center"/>
          </w:tcPr>
          <w:p>
            <w:pPr>
              <w:jc w:val="center"/>
              <w:rPr>
                <w:sz w:val="18"/>
                <w:szCs w:val="21"/>
              </w:rPr>
            </w:pPr>
            <w:r>
              <w:rPr>
                <w:rFonts w:hint="eastAsia"/>
                <w:sz w:val="18"/>
                <w:szCs w:val="21"/>
              </w:rPr>
              <w:t>17.00</w:t>
            </w:r>
            <w:r>
              <w:rPr>
                <w:rFonts w:hint="eastAsia"/>
                <w:sz w:val="18"/>
                <w:szCs w:val="18"/>
              </w:rPr>
              <w:t>～21.00</w:t>
            </w:r>
          </w:p>
        </w:tc>
        <w:tc>
          <w:tcPr>
            <w:tcW w:w="1276" w:type="dxa"/>
            <w:vAlign w:val="center"/>
          </w:tcPr>
          <w:p>
            <w:pPr>
              <w:jc w:val="center"/>
              <w:rPr>
                <w:sz w:val="18"/>
                <w:szCs w:val="21"/>
              </w:rPr>
            </w:pPr>
            <w:r>
              <w:rPr>
                <w:rFonts w:hint="eastAsia"/>
                <w:sz w:val="18"/>
                <w:szCs w:val="21"/>
              </w:rPr>
              <w:t>2.80</w:t>
            </w:r>
            <w:r>
              <w:rPr>
                <w:rFonts w:hint="eastAsia"/>
                <w:sz w:val="18"/>
                <w:szCs w:val="18"/>
              </w:rPr>
              <w:t>～3.30</w:t>
            </w:r>
          </w:p>
        </w:tc>
        <w:tc>
          <w:tcPr>
            <w:tcW w:w="1161" w:type="dxa"/>
            <w:vAlign w:val="center"/>
          </w:tcPr>
          <w:p>
            <w:pPr>
              <w:jc w:val="center"/>
              <w:rPr>
                <w:sz w:val="18"/>
                <w:szCs w:val="21"/>
              </w:rPr>
            </w:pPr>
            <w:r>
              <w:rPr>
                <w:rFonts w:hint="eastAsia"/>
                <w:sz w:val="18"/>
                <w:szCs w:val="21"/>
              </w:rPr>
              <w:t>4.75</w:t>
            </w:r>
            <w:r>
              <w:rPr>
                <w:rFonts w:hint="eastAsia"/>
                <w:sz w:val="18"/>
                <w:szCs w:val="18"/>
              </w:rPr>
              <w:t>～5.50</w:t>
            </w:r>
          </w:p>
        </w:tc>
        <w:tc>
          <w:tcPr>
            <w:tcW w:w="1158" w:type="dxa"/>
            <w:vAlign w:val="center"/>
          </w:tcPr>
          <w:p>
            <w:pPr>
              <w:jc w:val="center"/>
              <w:rPr>
                <w:sz w:val="18"/>
                <w:szCs w:val="21"/>
              </w:rPr>
            </w:pPr>
            <w:r>
              <w:rPr>
                <w:rFonts w:hint="eastAsia"/>
                <w:sz w:val="18"/>
                <w:szCs w:val="21"/>
              </w:rPr>
              <w:t>0.20</w:t>
            </w:r>
            <w:r>
              <w:rPr>
                <w:rFonts w:hint="eastAsia"/>
                <w:sz w:val="18"/>
                <w:szCs w:val="18"/>
              </w:rPr>
              <w:t>～0.80</w:t>
            </w:r>
          </w:p>
        </w:tc>
        <w:tc>
          <w:tcPr>
            <w:tcW w:w="1158" w:type="dxa"/>
            <w:vAlign w:val="center"/>
          </w:tcPr>
          <w:p>
            <w:pPr>
              <w:jc w:val="center"/>
              <w:rPr>
                <w:sz w:val="18"/>
                <w:szCs w:val="21"/>
              </w:rPr>
            </w:pPr>
            <w:r>
              <w:rPr>
                <w:rFonts w:hint="eastAsia"/>
                <w:sz w:val="18"/>
                <w:szCs w:val="21"/>
              </w:rPr>
              <w:t>0.65</w:t>
            </w:r>
            <w:r>
              <w:rPr>
                <w:rFonts w:hint="eastAsia"/>
                <w:sz w:val="18"/>
                <w:szCs w:val="18"/>
              </w:rPr>
              <w:t>～1.15</w:t>
            </w:r>
          </w:p>
        </w:tc>
        <w:tc>
          <w:tcPr>
            <w:tcW w:w="917" w:type="dxa"/>
            <w:gridSpan w:val="2"/>
            <w:vAlign w:val="center"/>
          </w:tcPr>
          <w:p>
            <w:pPr>
              <w:jc w:val="center"/>
              <w:rPr>
                <w:sz w:val="18"/>
              </w:rPr>
            </w:pPr>
            <w:r>
              <w:rPr>
                <w:rFonts w:hint="eastAsia"/>
                <w:sz w:val="18"/>
              </w:rPr>
              <w:t>余量</w:t>
            </w:r>
          </w:p>
        </w:tc>
        <w:tc>
          <w:tcPr>
            <w:tcW w:w="850" w:type="dxa"/>
            <w:vAlign w:val="center"/>
          </w:tcPr>
          <w:p>
            <w:pPr>
              <w:jc w:val="center"/>
              <w:rPr>
                <w:sz w:val="18"/>
                <w:szCs w:val="21"/>
              </w:rPr>
            </w:pPr>
            <w:r>
              <w:rPr>
                <w:rFonts w:hint="eastAsia"/>
                <w:sz w:val="18"/>
                <w:szCs w:val="21"/>
              </w:rPr>
              <w:t>≤0.08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36" w:type="dxa"/>
          </w:tcPr>
          <w:p>
            <w:pPr>
              <w:pStyle w:val="55"/>
              <w:ind w:firstLine="0" w:firstLineChars="0"/>
              <w:rPr>
                <w:rFonts w:ascii="Times New Roman"/>
                <w:szCs w:val="18"/>
              </w:rPr>
            </w:pPr>
            <w:r>
              <w:rPr>
                <w:rFonts w:hint="eastAsia" w:ascii="Times New Roman"/>
                <w:sz w:val="18"/>
                <w:szCs w:val="18"/>
              </w:rPr>
              <w:t>牌号</w:t>
            </w:r>
          </w:p>
        </w:tc>
        <w:tc>
          <w:tcPr>
            <w:tcW w:w="1115" w:type="dxa"/>
            <w:vAlign w:val="center"/>
          </w:tcPr>
          <w:p>
            <w:pPr>
              <w:jc w:val="center"/>
              <w:rPr>
                <w:sz w:val="18"/>
                <w:szCs w:val="21"/>
              </w:rPr>
            </w:pPr>
            <w:r>
              <w:rPr>
                <w:rFonts w:hint="eastAsia"/>
                <w:sz w:val="18"/>
                <w:szCs w:val="21"/>
              </w:rPr>
              <w:t>Co</w:t>
            </w:r>
          </w:p>
        </w:tc>
        <w:tc>
          <w:tcPr>
            <w:tcW w:w="1276" w:type="dxa"/>
          </w:tcPr>
          <w:p>
            <w:pPr>
              <w:pStyle w:val="55"/>
              <w:ind w:firstLine="0" w:firstLineChars="0"/>
              <w:jc w:val="center"/>
              <w:rPr>
                <w:rFonts w:ascii="Times New Roman"/>
                <w:szCs w:val="18"/>
              </w:rPr>
            </w:pPr>
            <w:r>
              <w:rPr>
                <w:rFonts w:hint="eastAsia" w:ascii="Times New Roman"/>
                <w:szCs w:val="18"/>
              </w:rPr>
              <w:t>Mg</w:t>
            </w:r>
          </w:p>
        </w:tc>
        <w:tc>
          <w:tcPr>
            <w:tcW w:w="1276" w:type="dxa"/>
          </w:tcPr>
          <w:p>
            <w:pPr>
              <w:pStyle w:val="55"/>
              <w:ind w:firstLine="0" w:firstLineChars="0"/>
              <w:jc w:val="center"/>
              <w:rPr>
                <w:rFonts w:ascii="Times New Roman"/>
                <w:szCs w:val="18"/>
              </w:rPr>
            </w:pPr>
            <w:r>
              <w:rPr>
                <w:rFonts w:hint="eastAsia" w:ascii="Times New Roman"/>
                <w:szCs w:val="18"/>
              </w:rPr>
              <w:t>B</w:t>
            </w:r>
          </w:p>
        </w:tc>
        <w:tc>
          <w:tcPr>
            <w:tcW w:w="1161" w:type="dxa"/>
            <w:vAlign w:val="center"/>
          </w:tcPr>
          <w:p>
            <w:pPr>
              <w:jc w:val="center"/>
              <w:rPr>
                <w:sz w:val="18"/>
                <w:szCs w:val="21"/>
              </w:rPr>
            </w:pPr>
            <w:r>
              <w:rPr>
                <w:rFonts w:hint="eastAsia"/>
                <w:sz w:val="18"/>
                <w:szCs w:val="21"/>
              </w:rPr>
              <w:t>Cu</w:t>
            </w:r>
          </w:p>
        </w:tc>
        <w:tc>
          <w:tcPr>
            <w:tcW w:w="1158" w:type="dxa"/>
            <w:vAlign w:val="center"/>
          </w:tcPr>
          <w:p>
            <w:pPr>
              <w:jc w:val="center"/>
              <w:rPr>
                <w:sz w:val="18"/>
                <w:szCs w:val="21"/>
              </w:rPr>
            </w:pPr>
            <w:r>
              <w:rPr>
                <w:rFonts w:hint="eastAsia"/>
                <w:sz w:val="18"/>
                <w:szCs w:val="21"/>
              </w:rPr>
              <w:t>Mn</w:t>
            </w:r>
          </w:p>
        </w:tc>
        <w:tc>
          <w:tcPr>
            <w:tcW w:w="1224" w:type="dxa"/>
            <w:gridSpan w:val="2"/>
            <w:vAlign w:val="center"/>
          </w:tcPr>
          <w:p>
            <w:pPr>
              <w:jc w:val="center"/>
              <w:rPr>
                <w:sz w:val="18"/>
                <w:szCs w:val="21"/>
              </w:rPr>
            </w:pPr>
            <w:r>
              <w:rPr>
                <w:rFonts w:hint="eastAsia"/>
                <w:sz w:val="18"/>
                <w:szCs w:val="21"/>
              </w:rPr>
              <w:t>Si</w:t>
            </w:r>
          </w:p>
        </w:tc>
        <w:tc>
          <w:tcPr>
            <w:tcW w:w="851" w:type="dxa"/>
            <w:vAlign w:val="center"/>
          </w:tcPr>
          <w:p>
            <w:pPr>
              <w:jc w:val="center"/>
              <w:rPr>
                <w:sz w:val="18"/>
                <w:szCs w:val="21"/>
              </w:rPr>
            </w:pPr>
            <w:r>
              <w:rPr>
                <w:rFonts w:hint="eastAsia"/>
                <w:sz w:val="18"/>
                <w:szCs w:val="21"/>
              </w:rPr>
              <w:t>P</w:t>
            </w:r>
          </w:p>
        </w:tc>
        <w:tc>
          <w:tcPr>
            <w:tcW w:w="850" w:type="dxa"/>
            <w:vAlign w:val="center"/>
          </w:tcPr>
          <w:p>
            <w:pPr>
              <w:jc w:val="center"/>
              <w:rPr>
                <w:sz w:val="18"/>
                <w:szCs w:val="21"/>
              </w:rPr>
            </w:pPr>
            <w:r>
              <w:rPr>
                <w:rFonts w:hint="eastAsia"/>
                <w:sz w:val="18"/>
                <w:szCs w:val="21"/>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36" w:type="dxa"/>
            <w:vAlign w:val="center"/>
          </w:tcPr>
          <w:p>
            <w:pPr>
              <w:jc w:val="center"/>
              <w:rPr>
                <w:sz w:val="18"/>
              </w:rPr>
            </w:pPr>
            <w:r>
              <w:rPr>
                <w:rFonts w:hint="eastAsia"/>
                <w:sz w:val="18"/>
              </w:rPr>
              <w:t>GH3625</w:t>
            </w:r>
          </w:p>
        </w:tc>
        <w:tc>
          <w:tcPr>
            <w:tcW w:w="1115" w:type="dxa"/>
            <w:vAlign w:val="center"/>
          </w:tcPr>
          <w:p>
            <w:pPr>
              <w:jc w:val="center"/>
              <w:rPr>
                <w:sz w:val="18"/>
                <w:szCs w:val="21"/>
              </w:rPr>
            </w:pPr>
            <w:r>
              <w:rPr>
                <w:rFonts w:hint="eastAsia"/>
                <w:sz w:val="18"/>
                <w:szCs w:val="21"/>
              </w:rPr>
              <w:t>≤1.00</w:t>
            </w:r>
          </w:p>
        </w:tc>
        <w:tc>
          <w:tcPr>
            <w:tcW w:w="1276" w:type="dxa"/>
          </w:tcPr>
          <w:p>
            <w:pPr>
              <w:pStyle w:val="55"/>
              <w:ind w:firstLine="0" w:firstLineChars="0"/>
              <w:jc w:val="center"/>
              <w:rPr>
                <w:rFonts w:ascii="Times New Roman"/>
                <w:szCs w:val="18"/>
              </w:rPr>
            </w:pPr>
            <w:r>
              <w:rPr>
                <w:rFonts w:hint="eastAsia" w:ascii="Times New Roman"/>
                <w:szCs w:val="18"/>
              </w:rPr>
              <w:t>-</w:t>
            </w:r>
          </w:p>
        </w:tc>
        <w:tc>
          <w:tcPr>
            <w:tcW w:w="1276" w:type="dxa"/>
            <w:vAlign w:val="center"/>
          </w:tcPr>
          <w:p>
            <w:pPr>
              <w:jc w:val="center"/>
              <w:rPr>
                <w:sz w:val="18"/>
                <w:szCs w:val="21"/>
              </w:rPr>
            </w:pPr>
            <w:r>
              <w:rPr>
                <w:rFonts w:hint="eastAsia"/>
                <w:sz w:val="18"/>
                <w:szCs w:val="21"/>
              </w:rPr>
              <w:t>-</w:t>
            </w:r>
          </w:p>
        </w:tc>
        <w:tc>
          <w:tcPr>
            <w:tcW w:w="1161" w:type="dxa"/>
            <w:vAlign w:val="center"/>
          </w:tcPr>
          <w:p>
            <w:pPr>
              <w:jc w:val="center"/>
              <w:rPr>
                <w:sz w:val="18"/>
                <w:szCs w:val="21"/>
              </w:rPr>
            </w:pPr>
            <w:r>
              <w:rPr>
                <w:rFonts w:hint="eastAsia"/>
                <w:sz w:val="18"/>
                <w:szCs w:val="21"/>
              </w:rPr>
              <w:t>≤0.070</w:t>
            </w:r>
          </w:p>
        </w:tc>
        <w:tc>
          <w:tcPr>
            <w:tcW w:w="1158" w:type="dxa"/>
            <w:vAlign w:val="center"/>
          </w:tcPr>
          <w:p>
            <w:pPr>
              <w:jc w:val="center"/>
              <w:rPr>
                <w:sz w:val="18"/>
                <w:szCs w:val="21"/>
              </w:rPr>
            </w:pPr>
            <w:r>
              <w:rPr>
                <w:rFonts w:hint="eastAsia"/>
                <w:sz w:val="18"/>
                <w:szCs w:val="21"/>
              </w:rPr>
              <w:t>≤0.50</w:t>
            </w:r>
          </w:p>
        </w:tc>
        <w:tc>
          <w:tcPr>
            <w:tcW w:w="1224" w:type="dxa"/>
            <w:gridSpan w:val="2"/>
            <w:vAlign w:val="center"/>
          </w:tcPr>
          <w:p>
            <w:pPr>
              <w:jc w:val="center"/>
              <w:rPr>
                <w:sz w:val="18"/>
                <w:szCs w:val="21"/>
              </w:rPr>
            </w:pPr>
            <w:r>
              <w:rPr>
                <w:rFonts w:hint="eastAsia"/>
                <w:sz w:val="18"/>
                <w:szCs w:val="21"/>
              </w:rPr>
              <w:t>≤0.50</w:t>
            </w:r>
          </w:p>
        </w:tc>
        <w:tc>
          <w:tcPr>
            <w:tcW w:w="851" w:type="dxa"/>
            <w:vAlign w:val="center"/>
          </w:tcPr>
          <w:p>
            <w:pPr>
              <w:jc w:val="center"/>
              <w:rPr>
                <w:sz w:val="18"/>
                <w:szCs w:val="21"/>
              </w:rPr>
            </w:pPr>
            <w:r>
              <w:rPr>
                <w:rFonts w:hint="eastAsia"/>
                <w:sz w:val="18"/>
                <w:szCs w:val="21"/>
              </w:rPr>
              <w:t>≤0.015</w:t>
            </w:r>
          </w:p>
        </w:tc>
        <w:tc>
          <w:tcPr>
            <w:tcW w:w="850" w:type="dxa"/>
            <w:vAlign w:val="center"/>
          </w:tcPr>
          <w:p>
            <w:pPr>
              <w:jc w:val="center"/>
              <w:rPr>
                <w:sz w:val="18"/>
                <w:szCs w:val="21"/>
              </w:rPr>
            </w:pPr>
            <w:r>
              <w:rPr>
                <w:rFonts w:hint="eastAsia"/>
                <w:sz w:val="18"/>
                <w:szCs w:val="21"/>
              </w:rPr>
              <w:t>≤0.015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36" w:type="dxa"/>
            <w:vAlign w:val="center"/>
          </w:tcPr>
          <w:p>
            <w:pPr>
              <w:jc w:val="center"/>
              <w:rPr>
                <w:sz w:val="18"/>
              </w:rPr>
            </w:pPr>
            <w:r>
              <w:rPr>
                <w:rFonts w:hint="eastAsia"/>
                <w:sz w:val="18"/>
              </w:rPr>
              <w:t>GH4169</w:t>
            </w:r>
          </w:p>
        </w:tc>
        <w:tc>
          <w:tcPr>
            <w:tcW w:w="1115" w:type="dxa"/>
            <w:vAlign w:val="center"/>
          </w:tcPr>
          <w:p>
            <w:pPr>
              <w:jc w:val="center"/>
              <w:rPr>
                <w:sz w:val="18"/>
                <w:szCs w:val="21"/>
              </w:rPr>
            </w:pPr>
            <w:r>
              <w:rPr>
                <w:rFonts w:hint="eastAsia"/>
                <w:sz w:val="18"/>
                <w:szCs w:val="21"/>
              </w:rPr>
              <w:t>≤1.00</w:t>
            </w:r>
          </w:p>
        </w:tc>
        <w:tc>
          <w:tcPr>
            <w:tcW w:w="1276" w:type="dxa"/>
          </w:tcPr>
          <w:p>
            <w:pPr>
              <w:pStyle w:val="55"/>
              <w:ind w:firstLine="0" w:firstLineChars="0"/>
              <w:rPr>
                <w:rFonts w:ascii="Times New Roman"/>
                <w:szCs w:val="18"/>
              </w:rPr>
            </w:pPr>
            <w:r>
              <w:rPr>
                <w:rFonts w:hint="eastAsia" w:ascii="Times New Roman"/>
                <w:sz w:val="18"/>
                <w:szCs w:val="21"/>
              </w:rPr>
              <w:t>≤0.010</w:t>
            </w:r>
          </w:p>
        </w:tc>
        <w:tc>
          <w:tcPr>
            <w:tcW w:w="1276" w:type="dxa"/>
            <w:vAlign w:val="center"/>
          </w:tcPr>
          <w:p>
            <w:pPr>
              <w:jc w:val="center"/>
              <w:rPr>
                <w:sz w:val="18"/>
                <w:szCs w:val="21"/>
              </w:rPr>
            </w:pPr>
            <w:r>
              <w:rPr>
                <w:rFonts w:hint="eastAsia"/>
                <w:sz w:val="18"/>
                <w:szCs w:val="21"/>
              </w:rPr>
              <w:t>≤0.006</w:t>
            </w:r>
          </w:p>
        </w:tc>
        <w:tc>
          <w:tcPr>
            <w:tcW w:w="1161" w:type="dxa"/>
            <w:vAlign w:val="center"/>
          </w:tcPr>
          <w:p>
            <w:pPr>
              <w:jc w:val="center"/>
              <w:rPr>
                <w:sz w:val="18"/>
                <w:szCs w:val="21"/>
              </w:rPr>
            </w:pPr>
            <w:r>
              <w:rPr>
                <w:rFonts w:hint="eastAsia"/>
                <w:sz w:val="18"/>
                <w:szCs w:val="21"/>
              </w:rPr>
              <w:t>≤0.300</w:t>
            </w:r>
          </w:p>
        </w:tc>
        <w:tc>
          <w:tcPr>
            <w:tcW w:w="1158" w:type="dxa"/>
            <w:vAlign w:val="center"/>
          </w:tcPr>
          <w:p>
            <w:pPr>
              <w:jc w:val="center"/>
              <w:rPr>
                <w:sz w:val="18"/>
                <w:szCs w:val="21"/>
              </w:rPr>
            </w:pPr>
            <w:r>
              <w:rPr>
                <w:rFonts w:hint="eastAsia"/>
                <w:sz w:val="18"/>
                <w:szCs w:val="21"/>
              </w:rPr>
              <w:t>≤0.35</w:t>
            </w:r>
          </w:p>
        </w:tc>
        <w:tc>
          <w:tcPr>
            <w:tcW w:w="1224" w:type="dxa"/>
            <w:gridSpan w:val="2"/>
            <w:vAlign w:val="center"/>
          </w:tcPr>
          <w:p>
            <w:pPr>
              <w:jc w:val="center"/>
              <w:rPr>
                <w:sz w:val="18"/>
                <w:szCs w:val="21"/>
              </w:rPr>
            </w:pPr>
            <w:r>
              <w:rPr>
                <w:rFonts w:hint="eastAsia"/>
                <w:sz w:val="18"/>
                <w:szCs w:val="21"/>
              </w:rPr>
              <w:t>≤0.35</w:t>
            </w:r>
          </w:p>
        </w:tc>
        <w:tc>
          <w:tcPr>
            <w:tcW w:w="851" w:type="dxa"/>
            <w:vAlign w:val="center"/>
          </w:tcPr>
          <w:p>
            <w:pPr>
              <w:jc w:val="center"/>
              <w:rPr>
                <w:sz w:val="18"/>
                <w:szCs w:val="21"/>
              </w:rPr>
            </w:pPr>
            <w:r>
              <w:rPr>
                <w:rFonts w:hint="eastAsia"/>
                <w:sz w:val="18"/>
                <w:szCs w:val="21"/>
              </w:rPr>
              <w:t>≤0.015</w:t>
            </w:r>
          </w:p>
        </w:tc>
        <w:tc>
          <w:tcPr>
            <w:tcW w:w="850" w:type="dxa"/>
            <w:vAlign w:val="center"/>
          </w:tcPr>
          <w:p>
            <w:pPr>
              <w:jc w:val="center"/>
              <w:rPr>
                <w:sz w:val="18"/>
                <w:szCs w:val="21"/>
              </w:rPr>
            </w:pPr>
            <w:r>
              <w:rPr>
                <w:rFonts w:hint="eastAsia"/>
                <w:sz w:val="18"/>
                <w:szCs w:val="21"/>
              </w:rPr>
              <w:t>≤0.015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9747" w:type="dxa"/>
            <w:gridSpan w:val="10"/>
            <w:vAlign w:val="center"/>
          </w:tcPr>
          <w:p>
            <w:pPr>
              <w:jc w:val="left"/>
              <w:rPr>
                <w:rFonts w:hint="eastAsia"/>
                <w:sz w:val="18"/>
                <w:szCs w:val="21"/>
              </w:rPr>
            </w:pPr>
            <w:r>
              <w:rPr>
                <w:rFonts w:hint="eastAsia"/>
                <w:sz w:val="18"/>
                <w:szCs w:val="21"/>
              </w:rPr>
              <w:t>注：N、H、O等元素含量由供需双方协商确定。</w:t>
            </w:r>
          </w:p>
        </w:tc>
      </w:tr>
    </w:tbl>
    <w:p>
      <w:pPr>
        <w:pStyle w:val="57"/>
        <w:numPr>
          <w:ilvl w:val="1"/>
          <w:numId w:val="17"/>
        </w:numPr>
        <w:spacing w:before="158" w:beforeLines="50" w:after="158" w:afterLines="50"/>
      </w:pPr>
      <w:r>
        <w:rPr>
          <w:rFonts w:hint="eastAsia"/>
        </w:rPr>
        <w:t>密度</w:t>
      </w:r>
    </w:p>
    <w:p>
      <w:pPr>
        <w:pStyle w:val="55"/>
        <w:ind w:firstLine="420"/>
      </w:pPr>
      <w:r>
        <w:rPr>
          <w:rFonts w:hint="eastAsia"/>
        </w:rPr>
        <w:t>产品的密度应不小于99%。</w:t>
      </w:r>
    </w:p>
    <w:p>
      <w:pPr>
        <w:pStyle w:val="57"/>
        <w:numPr>
          <w:ilvl w:val="1"/>
          <w:numId w:val="17"/>
        </w:numPr>
        <w:spacing w:before="158" w:beforeLines="50" w:after="158" w:afterLines="50"/>
      </w:pPr>
      <w:r>
        <w:rPr>
          <w:rFonts w:hint="eastAsia"/>
        </w:rPr>
        <w:t>力学性能</w:t>
      </w:r>
    </w:p>
    <w:p>
      <w:pPr>
        <w:pStyle w:val="55"/>
        <w:ind w:firstLine="420"/>
      </w:pPr>
      <w:r>
        <w:rPr>
          <w:rFonts w:hint="eastAsia"/>
        </w:rPr>
        <w:t>产品的力学性能应符合表2的规定。</w:t>
      </w:r>
    </w:p>
    <w:p>
      <w:pPr>
        <w:pStyle w:val="98"/>
        <w:tabs>
          <w:tab w:val="left" w:pos="360"/>
        </w:tabs>
        <w:spacing w:before="158" w:beforeLines="50" w:after="158" w:afterLines="50"/>
      </w:pPr>
      <w:r>
        <w:rPr>
          <w:rFonts w:hint="eastAsia"/>
        </w:rPr>
        <w:t>室温力学性能</w:t>
      </w:r>
    </w:p>
    <w:tbl>
      <w:tblPr>
        <w:tblStyle w:val="31"/>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1393"/>
        <w:gridCol w:w="1394"/>
        <w:gridCol w:w="1393"/>
        <w:gridCol w:w="1394"/>
        <w:gridCol w:w="1394"/>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43" w:type="dxa"/>
            <w:vMerge w:val="restart"/>
            <w:vAlign w:val="center"/>
          </w:tcPr>
          <w:p>
            <w:pPr>
              <w:jc w:val="center"/>
              <w:rPr>
                <w:rFonts w:eastAsia="Times New Roman"/>
                <w:sz w:val="18"/>
              </w:rPr>
            </w:pPr>
            <w:r>
              <w:rPr>
                <w:rFonts w:hint="eastAsia" w:eastAsia="Times New Roman"/>
                <w:sz w:val="18"/>
              </w:rPr>
              <w:t>牌号</w:t>
            </w:r>
          </w:p>
        </w:tc>
        <w:tc>
          <w:tcPr>
            <w:tcW w:w="2787" w:type="dxa"/>
            <w:gridSpan w:val="2"/>
          </w:tcPr>
          <w:p>
            <w:pPr>
              <w:jc w:val="center"/>
              <w:rPr>
                <w:sz w:val="18"/>
              </w:rPr>
            </w:pPr>
            <w:r>
              <w:rPr>
                <w:rFonts w:hint="eastAsia" w:eastAsia="Times New Roman"/>
                <w:sz w:val="18"/>
              </w:rPr>
              <w:t>抗拉强度Rm/MPa</w:t>
            </w:r>
          </w:p>
          <w:p>
            <w:pPr>
              <w:jc w:val="center"/>
              <w:rPr>
                <w:rFonts w:cs="宋体"/>
                <w:color w:val="000000"/>
                <w:sz w:val="18"/>
                <w:szCs w:val="18"/>
              </w:rPr>
            </w:pPr>
            <w:r>
              <w:rPr>
                <w:rFonts w:hint="eastAsia" w:cs="宋体"/>
                <w:color w:val="000000"/>
                <w:sz w:val="18"/>
                <w:szCs w:val="18"/>
              </w:rPr>
              <w:t>≥</w:t>
            </w:r>
          </w:p>
        </w:tc>
        <w:tc>
          <w:tcPr>
            <w:tcW w:w="2787" w:type="dxa"/>
            <w:gridSpan w:val="2"/>
          </w:tcPr>
          <w:p>
            <w:pPr>
              <w:jc w:val="center"/>
              <w:rPr>
                <w:sz w:val="18"/>
              </w:rPr>
            </w:pPr>
            <w:r>
              <w:rPr>
                <w:rFonts w:hint="eastAsia" w:hAnsi="宋体" w:cs="宋体"/>
                <w:sz w:val="18"/>
              </w:rPr>
              <w:t>规定塑性延伸强度</w:t>
            </w:r>
            <w:r>
              <w:rPr>
                <w:rFonts w:eastAsia="Times New Roman"/>
                <w:sz w:val="18"/>
              </w:rPr>
              <w:t>R</w:t>
            </w:r>
            <w:r>
              <w:rPr>
                <w:rFonts w:eastAsia="Times New Roman"/>
                <w:sz w:val="20"/>
                <w:vertAlign w:val="subscript"/>
              </w:rPr>
              <w:t>p0.2</w:t>
            </w:r>
            <w:r>
              <w:rPr>
                <w:rFonts w:hint="eastAsia" w:eastAsia="Times New Roman"/>
                <w:sz w:val="18"/>
              </w:rPr>
              <w:t>/MPa</w:t>
            </w:r>
          </w:p>
          <w:p>
            <w:pPr>
              <w:jc w:val="center"/>
              <w:rPr>
                <w:rFonts w:cs="宋体"/>
                <w:color w:val="000000"/>
                <w:sz w:val="18"/>
                <w:szCs w:val="18"/>
              </w:rPr>
            </w:pPr>
            <w:r>
              <w:rPr>
                <w:rFonts w:hint="eastAsia" w:cs="宋体"/>
                <w:color w:val="000000"/>
                <w:sz w:val="18"/>
                <w:szCs w:val="18"/>
              </w:rPr>
              <w:t>≥</w:t>
            </w:r>
          </w:p>
        </w:tc>
        <w:tc>
          <w:tcPr>
            <w:tcW w:w="2789" w:type="dxa"/>
            <w:gridSpan w:val="2"/>
          </w:tcPr>
          <w:p>
            <w:pPr>
              <w:jc w:val="center"/>
              <w:rPr>
                <w:sz w:val="18"/>
              </w:rPr>
            </w:pPr>
            <w:r>
              <w:rPr>
                <w:rFonts w:hint="eastAsia" w:eastAsia="Times New Roman"/>
                <w:sz w:val="18"/>
              </w:rPr>
              <w:t>断后伸长率A/%</w:t>
            </w:r>
          </w:p>
          <w:p>
            <w:pPr>
              <w:pStyle w:val="19"/>
              <w:jc w:val="center"/>
              <w:rPr>
                <w:b/>
                <w:bCs/>
              </w:rPr>
            </w:pPr>
            <w:r>
              <w:rPr>
                <w:rFonts w:hint="eastAsia" w:cs="宋体"/>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43" w:type="dxa"/>
            <w:vMerge w:val="continue"/>
          </w:tcPr>
          <w:p>
            <w:pPr>
              <w:jc w:val="center"/>
              <w:rPr>
                <w:rFonts w:eastAsia="Times New Roman"/>
                <w:sz w:val="18"/>
              </w:rPr>
            </w:pPr>
          </w:p>
        </w:tc>
        <w:tc>
          <w:tcPr>
            <w:tcW w:w="1393" w:type="dxa"/>
          </w:tcPr>
          <w:p>
            <w:pPr>
              <w:jc w:val="center"/>
              <w:rPr>
                <w:sz w:val="18"/>
              </w:rPr>
            </w:pPr>
            <w:r>
              <w:rPr>
                <w:rFonts w:hint="eastAsia" w:eastAsia="Times New Roman"/>
                <w:sz w:val="18"/>
              </w:rPr>
              <w:t>X和Y轴方向</w:t>
            </w:r>
          </w:p>
        </w:tc>
        <w:tc>
          <w:tcPr>
            <w:tcW w:w="1394" w:type="dxa"/>
          </w:tcPr>
          <w:p>
            <w:pPr>
              <w:jc w:val="center"/>
              <w:rPr>
                <w:sz w:val="18"/>
              </w:rPr>
            </w:pPr>
            <w:r>
              <w:rPr>
                <w:rFonts w:hint="eastAsia" w:eastAsia="Times New Roman"/>
                <w:sz w:val="18"/>
              </w:rPr>
              <w:t>Z轴方向</w:t>
            </w:r>
          </w:p>
        </w:tc>
        <w:tc>
          <w:tcPr>
            <w:tcW w:w="1393" w:type="dxa"/>
          </w:tcPr>
          <w:p>
            <w:pPr>
              <w:jc w:val="center"/>
              <w:rPr>
                <w:sz w:val="18"/>
              </w:rPr>
            </w:pPr>
            <w:r>
              <w:rPr>
                <w:rFonts w:hint="eastAsia" w:eastAsia="Times New Roman"/>
                <w:sz w:val="18"/>
              </w:rPr>
              <w:t>X和Y轴方向</w:t>
            </w:r>
          </w:p>
        </w:tc>
        <w:tc>
          <w:tcPr>
            <w:tcW w:w="1394" w:type="dxa"/>
          </w:tcPr>
          <w:p>
            <w:pPr>
              <w:jc w:val="center"/>
              <w:rPr>
                <w:sz w:val="18"/>
              </w:rPr>
            </w:pPr>
            <w:r>
              <w:rPr>
                <w:rFonts w:hint="eastAsia" w:eastAsia="Times New Roman"/>
                <w:sz w:val="18"/>
              </w:rPr>
              <w:t>Z轴方向</w:t>
            </w:r>
          </w:p>
        </w:tc>
        <w:tc>
          <w:tcPr>
            <w:tcW w:w="1394" w:type="dxa"/>
          </w:tcPr>
          <w:p>
            <w:pPr>
              <w:jc w:val="center"/>
              <w:rPr>
                <w:sz w:val="18"/>
              </w:rPr>
            </w:pPr>
            <w:r>
              <w:rPr>
                <w:rFonts w:hint="eastAsia" w:eastAsia="Times New Roman"/>
                <w:sz w:val="18"/>
              </w:rPr>
              <w:t>X和Y轴方向</w:t>
            </w:r>
          </w:p>
        </w:tc>
        <w:tc>
          <w:tcPr>
            <w:tcW w:w="1395" w:type="dxa"/>
          </w:tcPr>
          <w:p>
            <w:pPr>
              <w:jc w:val="center"/>
              <w:rPr>
                <w:sz w:val="18"/>
              </w:rPr>
            </w:pPr>
            <w:r>
              <w:rPr>
                <w:rFonts w:hint="eastAsia" w:eastAsia="Times New Roman"/>
                <w:sz w:val="18"/>
              </w:rPr>
              <w:t>Z轴方向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43" w:type="dxa"/>
          </w:tcPr>
          <w:p>
            <w:pPr>
              <w:jc w:val="center"/>
              <w:rPr>
                <w:sz w:val="18"/>
              </w:rPr>
            </w:pPr>
            <w:r>
              <w:rPr>
                <w:rFonts w:hint="eastAsia"/>
                <w:sz w:val="18"/>
              </w:rPr>
              <w:t>GH3625</w:t>
            </w:r>
          </w:p>
        </w:tc>
        <w:tc>
          <w:tcPr>
            <w:tcW w:w="1393" w:type="dxa"/>
          </w:tcPr>
          <w:p>
            <w:pPr>
              <w:jc w:val="center"/>
              <w:rPr>
                <w:sz w:val="18"/>
              </w:rPr>
            </w:pPr>
            <w:r>
              <w:rPr>
                <w:rFonts w:hint="eastAsia"/>
                <w:sz w:val="18"/>
              </w:rPr>
              <w:t>485</w:t>
            </w:r>
          </w:p>
        </w:tc>
        <w:tc>
          <w:tcPr>
            <w:tcW w:w="1394" w:type="dxa"/>
          </w:tcPr>
          <w:p>
            <w:pPr>
              <w:jc w:val="center"/>
              <w:rPr>
                <w:sz w:val="18"/>
              </w:rPr>
            </w:pPr>
            <w:r>
              <w:rPr>
                <w:rFonts w:hint="eastAsia"/>
                <w:sz w:val="18"/>
              </w:rPr>
              <w:t>485</w:t>
            </w:r>
          </w:p>
        </w:tc>
        <w:tc>
          <w:tcPr>
            <w:tcW w:w="1393" w:type="dxa"/>
          </w:tcPr>
          <w:p>
            <w:pPr>
              <w:jc w:val="center"/>
              <w:rPr>
                <w:sz w:val="18"/>
              </w:rPr>
            </w:pPr>
            <w:r>
              <w:rPr>
                <w:rFonts w:hint="eastAsia"/>
                <w:sz w:val="18"/>
              </w:rPr>
              <w:t>275</w:t>
            </w:r>
          </w:p>
        </w:tc>
        <w:tc>
          <w:tcPr>
            <w:tcW w:w="1394" w:type="dxa"/>
          </w:tcPr>
          <w:p>
            <w:pPr>
              <w:jc w:val="center"/>
              <w:rPr>
                <w:sz w:val="18"/>
              </w:rPr>
            </w:pPr>
            <w:r>
              <w:rPr>
                <w:rFonts w:hint="eastAsia"/>
                <w:sz w:val="18"/>
              </w:rPr>
              <w:t>275</w:t>
            </w:r>
          </w:p>
        </w:tc>
        <w:tc>
          <w:tcPr>
            <w:tcW w:w="1394" w:type="dxa"/>
          </w:tcPr>
          <w:p>
            <w:pPr>
              <w:jc w:val="center"/>
              <w:rPr>
                <w:sz w:val="18"/>
              </w:rPr>
            </w:pPr>
            <w:r>
              <w:rPr>
                <w:rFonts w:hint="eastAsia"/>
                <w:sz w:val="18"/>
              </w:rPr>
              <w:t>30</w:t>
            </w:r>
          </w:p>
        </w:tc>
        <w:tc>
          <w:tcPr>
            <w:tcW w:w="1395" w:type="dxa"/>
          </w:tcPr>
          <w:p>
            <w:pPr>
              <w:jc w:val="center"/>
              <w:rPr>
                <w:sz w:val="18"/>
              </w:rPr>
            </w:pPr>
            <w:r>
              <w:rPr>
                <w:rFonts w:hint="eastAsia"/>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43" w:type="dxa"/>
          </w:tcPr>
          <w:p>
            <w:pPr>
              <w:jc w:val="center"/>
              <w:rPr>
                <w:sz w:val="18"/>
              </w:rPr>
            </w:pPr>
            <w:r>
              <w:rPr>
                <w:rFonts w:hint="eastAsia"/>
                <w:sz w:val="18"/>
              </w:rPr>
              <w:t>GH4169</w:t>
            </w:r>
          </w:p>
        </w:tc>
        <w:tc>
          <w:tcPr>
            <w:tcW w:w="1393" w:type="dxa"/>
          </w:tcPr>
          <w:p>
            <w:pPr>
              <w:jc w:val="center"/>
              <w:rPr>
                <w:sz w:val="18"/>
              </w:rPr>
            </w:pPr>
            <w:r>
              <w:rPr>
                <w:rFonts w:hint="eastAsia"/>
                <w:sz w:val="18"/>
              </w:rPr>
              <w:t>980</w:t>
            </w:r>
          </w:p>
        </w:tc>
        <w:tc>
          <w:tcPr>
            <w:tcW w:w="1394" w:type="dxa"/>
          </w:tcPr>
          <w:p>
            <w:pPr>
              <w:jc w:val="center"/>
              <w:rPr>
                <w:sz w:val="18"/>
              </w:rPr>
            </w:pPr>
            <w:r>
              <w:rPr>
                <w:rFonts w:hint="eastAsia"/>
                <w:sz w:val="18"/>
              </w:rPr>
              <w:t>920</w:t>
            </w:r>
          </w:p>
        </w:tc>
        <w:tc>
          <w:tcPr>
            <w:tcW w:w="1393" w:type="dxa"/>
          </w:tcPr>
          <w:p>
            <w:pPr>
              <w:jc w:val="center"/>
              <w:rPr>
                <w:sz w:val="18"/>
              </w:rPr>
            </w:pPr>
            <w:r>
              <w:rPr>
                <w:rFonts w:hint="eastAsia"/>
                <w:sz w:val="18"/>
              </w:rPr>
              <w:t>635</w:t>
            </w:r>
          </w:p>
        </w:tc>
        <w:tc>
          <w:tcPr>
            <w:tcW w:w="1394" w:type="dxa"/>
          </w:tcPr>
          <w:p>
            <w:pPr>
              <w:jc w:val="center"/>
              <w:rPr>
                <w:sz w:val="18"/>
              </w:rPr>
            </w:pPr>
            <w:r>
              <w:rPr>
                <w:rFonts w:hint="eastAsia"/>
                <w:sz w:val="18"/>
              </w:rPr>
              <w:t>600</w:t>
            </w:r>
          </w:p>
        </w:tc>
        <w:tc>
          <w:tcPr>
            <w:tcW w:w="1394" w:type="dxa"/>
          </w:tcPr>
          <w:p>
            <w:pPr>
              <w:jc w:val="center"/>
              <w:rPr>
                <w:sz w:val="18"/>
              </w:rPr>
            </w:pPr>
            <w:r>
              <w:rPr>
                <w:rFonts w:hint="eastAsia"/>
                <w:sz w:val="18"/>
              </w:rPr>
              <w:t>27</w:t>
            </w:r>
          </w:p>
        </w:tc>
        <w:tc>
          <w:tcPr>
            <w:tcW w:w="1395" w:type="dxa"/>
          </w:tcPr>
          <w:p>
            <w:pPr>
              <w:jc w:val="center"/>
              <w:rPr>
                <w:sz w:val="18"/>
              </w:rPr>
            </w:pPr>
            <w:r>
              <w:rPr>
                <w:rFonts w:hint="eastAsia"/>
                <w:sz w:val="18"/>
              </w:rPr>
              <w:t>27</w:t>
            </w:r>
          </w:p>
        </w:tc>
      </w:tr>
    </w:tbl>
    <w:p>
      <w:pPr>
        <w:ind w:firstLine="360" w:firstLineChars="200"/>
        <w:rPr>
          <w:sz w:val="18"/>
        </w:rPr>
      </w:pPr>
      <w:r>
        <w:rPr>
          <w:rFonts w:hint="eastAsia"/>
          <w:sz w:val="18"/>
        </w:rPr>
        <w:t>注：X和Y轴方向为平行基板水平方向；Z轴方向为垂直基板水平方向。</w:t>
      </w:r>
    </w:p>
    <w:p>
      <w:pPr>
        <w:pStyle w:val="57"/>
        <w:numPr>
          <w:ilvl w:val="1"/>
          <w:numId w:val="17"/>
        </w:numPr>
        <w:spacing w:before="158" w:beforeLines="50" w:after="158" w:afterLines="50"/>
        <w:rPr>
          <w:rFonts w:hint="eastAsia"/>
        </w:rPr>
      </w:pPr>
      <w:r>
        <w:rPr>
          <w:rFonts w:hint="eastAsia"/>
        </w:rPr>
        <w:t>金相组织</w:t>
      </w:r>
    </w:p>
    <w:p>
      <w:pPr>
        <w:pStyle w:val="55"/>
        <w:ind w:firstLine="420"/>
        <w:rPr>
          <w:rFonts w:hint="eastAsia"/>
        </w:rPr>
      </w:pPr>
      <w:r>
        <w:rPr>
          <w:rFonts w:hint="eastAsia"/>
        </w:rPr>
        <w:t>金相组织要求由供需双方在</w:t>
      </w:r>
      <w:r>
        <w:rPr>
          <w:rFonts w:hint="eastAsia"/>
          <w:lang w:eastAsia="zh-CN"/>
        </w:rPr>
        <w:t>订货单</w:t>
      </w:r>
      <w:r>
        <w:rPr>
          <w:rFonts w:hint="eastAsia"/>
        </w:rPr>
        <w:t>中约定。</w:t>
      </w:r>
    </w:p>
    <w:p>
      <w:pPr>
        <w:pStyle w:val="57"/>
        <w:numPr>
          <w:ilvl w:val="1"/>
          <w:numId w:val="17"/>
        </w:numPr>
        <w:spacing w:before="158" w:beforeLines="50" w:after="158" w:afterLines="50"/>
        <w:rPr>
          <w:rFonts w:hint="eastAsia"/>
        </w:rPr>
      </w:pPr>
      <w:r>
        <w:rPr>
          <w:rFonts w:hint="eastAsia"/>
        </w:rPr>
        <w:t>无损检验</w:t>
      </w:r>
    </w:p>
    <w:p>
      <w:pPr>
        <w:pStyle w:val="55"/>
        <w:ind w:firstLine="420"/>
        <w:rPr>
          <w:rFonts w:hint="eastAsia"/>
        </w:rPr>
      </w:pPr>
      <w:r>
        <w:rPr>
          <w:rFonts w:hint="eastAsia"/>
        </w:rPr>
        <w:t>需方在</w:t>
      </w:r>
      <w:r>
        <w:rPr>
          <w:rFonts w:hint="eastAsia"/>
          <w:lang w:eastAsia="zh-CN"/>
        </w:rPr>
        <w:t>订货单</w:t>
      </w:r>
      <w:r>
        <w:rPr>
          <w:rFonts w:hint="eastAsia"/>
        </w:rPr>
        <w:t>中要求进行无损检验时，可对产品进行超声检测、X射线探照相检验、X射线CT检测等无损检查，表面抛光或机加工后的产品还可进行荧光渗透检测。</w:t>
      </w:r>
    </w:p>
    <w:p>
      <w:pPr>
        <w:pStyle w:val="57"/>
        <w:numPr>
          <w:ilvl w:val="1"/>
          <w:numId w:val="17"/>
        </w:numPr>
        <w:spacing w:before="158" w:beforeLines="50" w:after="158" w:afterLines="50"/>
        <w:rPr>
          <w:rFonts w:hint="eastAsia"/>
        </w:rPr>
      </w:pPr>
      <w:r>
        <w:rPr>
          <w:rFonts w:hint="eastAsia"/>
        </w:rPr>
        <w:t>尺寸及允许偏差</w:t>
      </w:r>
    </w:p>
    <w:p>
      <w:pPr>
        <w:pStyle w:val="55"/>
        <w:ind w:firstLine="420"/>
        <w:rPr>
          <w:rFonts w:hint="eastAsia"/>
        </w:rPr>
      </w:pPr>
      <w:r>
        <w:rPr>
          <w:rFonts w:hint="eastAsia"/>
        </w:rPr>
        <w:t>产品的尺寸及允许偏差应符合供需双方签订的技术图样，允许通过机加工达到技术图样要求。</w:t>
      </w:r>
    </w:p>
    <w:p>
      <w:pPr>
        <w:pStyle w:val="57"/>
        <w:numPr>
          <w:ilvl w:val="1"/>
          <w:numId w:val="17"/>
        </w:numPr>
        <w:spacing w:before="158" w:beforeLines="50" w:after="158" w:afterLines="50"/>
        <w:rPr>
          <w:rFonts w:hint="eastAsia"/>
        </w:rPr>
      </w:pPr>
      <w:r>
        <w:rPr>
          <w:rFonts w:hint="eastAsia"/>
        </w:rPr>
        <w:t>外观质量</w:t>
      </w:r>
    </w:p>
    <w:p>
      <w:pPr>
        <w:pStyle w:val="58"/>
        <w:numPr>
          <w:ilvl w:val="2"/>
          <w:numId w:val="17"/>
        </w:numPr>
        <w:spacing w:before="158" w:beforeLines="50" w:after="158" w:afterLines="50"/>
        <w:rPr>
          <w:rFonts w:hint="eastAsia" w:ascii="宋体" w:eastAsia="宋体"/>
        </w:rPr>
      </w:pPr>
      <w:r>
        <w:rPr>
          <w:rFonts w:hint="eastAsia" w:ascii="宋体" w:eastAsia="宋体"/>
        </w:rPr>
        <w:t>产品不应有缺损、掉块、裂纹等缺陷。</w:t>
      </w:r>
    </w:p>
    <w:p>
      <w:pPr>
        <w:pStyle w:val="58"/>
        <w:numPr>
          <w:ilvl w:val="2"/>
          <w:numId w:val="17"/>
        </w:numPr>
        <w:spacing w:before="158" w:beforeLines="50" w:after="158" w:afterLines="50"/>
        <w:rPr>
          <w:rFonts w:hint="eastAsia" w:ascii="宋体" w:eastAsia="宋体"/>
        </w:rPr>
      </w:pPr>
      <w:r>
        <w:rPr>
          <w:rFonts w:hint="eastAsia" w:ascii="宋体" w:eastAsia="宋体"/>
        </w:rPr>
        <w:t>产品外表面及表面允许轻微起伏，允许对表面凸起进行修磨处理。</w:t>
      </w:r>
    </w:p>
    <w:p>
      <w:pPr>
        <w:pStyle w:val="58"/>
        <w:numPr>
          <w:ilvl w:val="2"/>
          <w:numId w:val="17"/>
        </w:numPr>
        <w:spacing w:before="158" w:beforeLines="50" w:after="158" w:afterLines="50"/>
        <w:rPr>
          <w:rFonts w:hint="eastAsia" w:ascii="宋体" w:eastAsia="宋体"/>
        </w:rPr>
      </w:pPr>
      <w:r>
        <w:rPr>
          <w:rFonts w:hint="eastAsia" w:ascii="宋体" w:eastAsia="宋体"/>
        </w:rPr>
        <w:t>在不超出尺寸允许偏差的前提下，允许采用喷砂、打磨、机加工等方法改善表面质量。</w:t>
      </w:r>
    </w:p>
    <w:p>
      <w:pPr>
        <w:pStyle w:val="58"/>
        <w:numPr>
          <w:ilvl w:val="2"/>
          <w:numId w:val="17"/>
        </w:numPr>
        <w:spacing w:before="158" w:beforeLines="50" w:after="158" w:afterLines="50"/>
        <w:rPr>
          <w:rFonts w:hint="eastAsia" w:ascii="宋体" w:eastAsia="宋体"/>
        </w:rPr>
      </w:pPr>
      <w:r>
        <w:rPr>
          <w:rFonts w:hint="eastAsia" w:ascii="宋体" w:eastAsia="宋体"/>
        </w:rPr>
        <w:t>需方对外观质量有特殊要求并在合同(或订货单)中注明时，按照合同(或订货单)的规定进行。</w:t>
      </w:r>
    </w:p>
    <w:p>
      <w:pPr>
        <w:pStyle w:val="56"/>
        <w:numPr>
          <w:ilvl w:val="0"/>
          <w:numId w:val="17"/>
        </w:numPr>
        <w:spacing w:before="317" w:beforeLines="100" w:after="317" w:afterLines="100"/>
        <w:rPr>
          <w:rFonts w:hint="eastAsia"/>
        </w:rPr>
      </w:pPr>
      <w:r>
        <w:rPr>
          <w:rFonts w:hint="eastAsia"/>
        </w:rPr>
        <w:t>试验方法</w:t>
      </w:r>
    </w:p>
    <w:p>
      <w:pPr>
        <w:pStyle w:val="57"/>
        <w:numPr>
          <w:ilvl w:val="1"/>
          <w:numId w:val="17"/>
        </w:numPr>
        <w:spacing w:before="158" w:beforeLines="50" w:after="158" w:afterLines="50"/>
      </w:pPr>
      <w:r>
        <w:rPr>
          <w:rFonts w:hint="eastAsia"/>
        </w:rPr>
        <w:t>化学成分</w:t>
      </w:r>
    </w:p>
    <w:p>
      <w:pPr>
        <w:pStyle w:val="57"/>
        <w:numPr>
          <w:ilvl w:val="0"/>
          <w:numId w:val="0"/>
        </w:numPr>
        <w:spacing w:before="120" w:after="120"/>
        <w:ind w:firstLine="420"/>
        <w:rPr>
          <w:rFonts w:ascii="宋体" w:eastAsia="宋体"/>
        </w:rPr>
      </w:pPr>
      <w:r>
        <w:rPr>
          <w:rFonts w:hint="eastAsia" w:ascii="宋体" w:eastAsia="宋体"/>
        </w:rPr>
        <w:t>产品化学成分的分析按HB 5220的规定进行。铁、铝、镁、钴、铌的测定方法由供需双方协商确定。</w:t>
      </w:r>
    </w:p>
    <w:p>
      <w:pPr>
        <w:pStyle w:val="57"/>
        <w:numPr>
          <w:ilvl w:val="1"/>
          <w:numId w:val="17"/>
        </w:numPr>
        <w:spacing w:before="158" w:beforeLines="50" w:after="158" w:afterLines="50"/>
      </w:pPr>
      <w:r>
        <w:rPr>
          <w:rFonts w:hint="eastAsia"/>
        </w:rPr>
        <w:t>密度</w:t>
      </w:r>
    </w:p>
    <w:p>
      <w:pPr>
        <w:pStyle w:val="57"/>
        <w:numPr>
          <w:ilvl w:val="0"/>
          <w:numId w:val="0"/>
        </w:numPr>
        <w:spacing w:before="120" w:after="120"/>
        <w:ind w:firstLine="420"/>
        <w:rPr>
          <w:rFonts w:ascii="宋体" w:eastAsia="宋体"/>
        </w:rPr>
      </w:pPr>
      <w:r>
        <w:rPr>
          <w:rFonts w:hint="eastAsia" w:ascii="宋体" w:eastAsia="宋体"/>
        </w:rPr>
        <w:t>产品密度的测定按GB/T 3850的规定进行。</w:t>
      </w:r>
    </w:p>
    <w:p>
      <w:pPr>
        <w:pStyle w:val="57"/>
        <w:numPr>
          <w:ilvl w:val="1"/>
          <w:numId w:val="17"/>
        </w:numPr>
        <w:spacing w:before="158" w:beforeLines="50" w:after="158" w:afterLines="50"/>
      </w:pPr>
      <w:r>
        <w:rPr>
          <w:rFonts w:hint="eastAsia"/>
        </w:rPr>
        <w:t>力学性能</w:t>
      </w:r>
    </w:p>
    <w:p>
      <w:pPr>
        <w:pStyle w:val="57"/>
        <w:numPr>
          <w:ilvl w:val="0"/>
          <w:numId w:val="0"/>
        </w:numPr>
        <w:spacing w:before="120" w:after="120"/>
        <w:ind w:firstLine="420"/>
        <w:rPr>
          <w:rFonts w:ascii="宋体" w:eastAsia="宋体"/>
        </w:rPr>
      </w:pPr>
      <w:r>
        <w:rPr>
          <w:rFonts w:hint="eastAsia" w:ascii="宋体" w:eastAsia="宋体"/>
        </w:rPr>
        <w:t>产品力学性能的测定按GB/T 228.1的规定进行。</w:t>
      </w:r>
    </w:p>
    <w:p>
      <w:pPr>
        <w:pStyle w:val="57"/>
        <w:numPr>
          <w:ilvl w:val="1"/>
          <w:numId w:val="17"/>
        </w:numPr>
        <w:spacing w:before="158" w:beforeLines="50" w:after="158" w:afterLines="50"/>
      </w:pPr>
      <w:r>
        <w:rPr>
          <w:rFonts w:hint="eastAsia"/>
        </w:rPr>
        <w:t>金相组织</w:t>
      </w:r>
    </w:p>
    <w:p>
      <w:pPr>
        <w:pStyle w:val="57"/>
        <w:numPr>
          <w:ilvl w:val="0"/>
          <w:numId w:val="0"/>
        </w:numPr>
        <w:spacing w:before="120" w:after="120"/>
        <w:ind w:firstLine="420"/>
      </w:pPr>
      <w:r>
        <w:rPr>
          <w:rFonts w:hint="eastAsia" w:ascii="宋体" w:eastAsia="宋体"/>
        </w:rPr>
        <w:t>产品纵向低倍金相组织的分析按</w:t>
      </w:r>
      <w:r>
        <w:rPr>
          <w:rFonts w:ascii="宋体" w:eastAsia="宋体"/>
        </w:rPr>
        <w:t>GB/T 14999.1</w:t>
      </w:r>
      <w:r>
        <w:rPr>
          <w:rFonts w:hint="eastAsia" w:ascii="宋体" w:eastAsia="宋体"/>
        </w:rPr>
        <w:t>的规定进行，产品横向低倍金相组织的分析按</w:t>
      </w:r>
      <w:r>
        <w:rPr>
          <w:rFonts w:ascii="宋体" w:eastAsia="宋体"/>
        </w:rPr>
        <w:t>GB/T 14999.</w:t>
      </w:r>
      <w:r>
        <w:rPr>
          <w:rFonts w:hint="eastAsia" w:ascii="宋体" w:eastAsia="宋体"/>
        </w:rPr>
        <w:t>2的规定进行</w:t>
      </w:r>
      <w:r>
        <w:rPr>
          <w:rFonts w:hint="eastAsia"/>
        </w:rPr>
        <w:t>。</w:t>
      </w:r>
    </w:p>
    <w:p>
      <w:pPr>
        <w:pStyle w:val="57"/>
        <w:numPr>
          <w:ilvl w:val="1"/>
          <w:numId w:val="17"/>
        </w:numPr>
        <w:spacing w:before="158" w:beforeLines="50" w:after="158" w:afterLines="50"/>
      </w:pPr>
      <w:r>
        <w:rPr>
          <w:rFonts w:hint="eastAsia"/>
        </w:rPr>
        <w:t>无损检验</w:t>
      </w:r>
    </w:p>
    <w:p>
      <w:pPr>
        <w:pStyle w:val="57"/>
        <w:numPr>
          <w:ilvl w:val="0"/>
          <w:numId w:val="0"/>
        </w:numPr>
        <w:spacing w:before="120" w:after="120"/>
        <w:ind w:firstLine="420"/>
      </w:pPr>
      <w:r>
        <w:rPr>
          <w:rFonts w:hint="eastAsia" w:ascii="宋体" w:eastAsia="宋体"/>
        </w:rPr>
        <w:t>无损检验方法和质量判定文件按供需双方约定进行。</w:t>
      </w:r>
    </w:p>
    <w:p>
      <w:pPr>
        <w:pStyle w:val="57"/>
        <w:numPr>
          <w:ilvl w:val="1"/>
          <w:numId w:val="17"/>
        </w:numPr>
        <w:spacing w:before="158" w:beforeLines="50" w:after="158" w:afterLines="50"/>
      </w:pPr>
      <w:r>
        <w:rPr>
          <w:rFonts w:hint="eastAsia"/>
        </w:rPr>
        <w:t>尺寸</w:t>
      </w:r>
    </w:p>
    <w:p>
      <w:pPr>
        <w:pStyle w:val="57"/>
        <w:numPr>
          <w:ilvl w:val="0"/>
          <w:numId w:val="0"/>
        </w:numPr>
        <w:spacing w:before="120" w:after="120"/>
        <w:ind w:firstLine="420"/>
        <w:rPr>
          <w:rFonts w:ascii="宋体" w:eastAsia="宋体"/>
        </w:rPr>
      </w:pPr>
      <w:r>
        <w:rPr>
          <w:rFonts w:hint="eastAsia" w:ascii="宋体" w:eastAsia="宋体"/>
        </w:rPr>
        <w:t>产品的尺寸采用相应精度的量具测量，检验位置及方法按供需双方约定进行。</w:t>
      </w:r>
    </w:p>
    <w:p>
      <w:pPr>
        <w:pStyle w:val="57"/>
        <w:numPr>
          <w:ilvl w:val="1"/>
          <w:numId w:val="17"/>
        </w:numPr>
        <w:spacing w:before="158" w:beforeLines="50" w:after="158" w:afterLines="50"/>
      </w:pPr>
      <w:r>
        <w:rPr>
          <w:rFonts w:hint="eastAsia"/>
        </w:rPr>
        <w:t>外观质量</w:t>
      </w:r>
    </w:p>
    <w:p>
      <w:pPr>
        <w:pStyle w:val="57"/>
        <w:numPr>
          <w:ilvl w:val="0"/>
          <w:numId w:val="0"/>
        </w:numPr>
        <w:spacing w:before="120" w:after="120"/>
        <w:ind w:firstLine="420"/>
        <w:rPr>
          <w:rFonts w:ascii="宋体" w:eastAsia="宋体"/>
        </w:rPr>
      </w:pPr>
      <w:r>
        <w:rPr>
          <w:rFonts w:hint="eastAsia" w:ascii="宋体" w:eastAsia="宋体"/>
        </w:rPr>
        <w:t>产品的外观质量采用目视检查，必要时，结合相应精度的量具进行检验。</w:t>
      </w:r>
    </w:p>
    <w:p>
      <w:pPr>
        <w:pStyle w:val="56"/>
        <w:numPr>
          <w:ilvl w:val="0"/>
          <w:numId w:val="17"/>
        </w:numPr>
        <w:spacing w:before="317" w:beforeLines="100" w:after="317" w:afterLines="100"/>
        <w:rPr>
          <w:rFonts w:hint="eastAsia"/>
        </w:rPr>
      </w:pPr>
      <w:r>
        <w:rPr>
          <w:rFonts w:hint="eastAsia"/>
        </w:rPr>
        <w:t>检验规则</w:t>
      </w:r>
    </w:p>
    <w:p>
      <w:pPr>
        <w:pStyle w:val="57"/>
        <w:numPr>
          <w:ilvl w:val="1"/>
          <w:numId w:val="17"/>
        </w:numPr>
        <w:spacing w:before="158" w:beforeLines="50" w:after="158" w:afterLines="50"/>
        <w:rPr>
          <w:rFonts w:hint="eastAsia"/>
        </w:rPr>
      </w:pPr>
      <w:r>
        <w:rPr>
          <w:rFonts w:hint="eastAsia"/>
        </w:rPr>
        <w:t>检验和验收</w:t>
      </w:r>
    </w:p>
    <w:p>
      <w:pPr>
        <w:pStyle w:val="58"/>
        <w:numPr>
          <w:ilvl w:val="2"/>
          <w:numId w:val="17"/>
        </w:numPr>
        <w:spacing w:before="158" w:beforeLines="50" w:after="158" w:afterLines="50"/>
        <w:rPr>
          <w:rFonts w:hint="eastAsia" w:ascii="宋体" w:hAnsi="宋体" w:eastAsia="宋体"/>
        </w:rPr>
      </w:pPr>
      <w:r>
        <w:rPr>
          <w:rFonts w:hint="eastAsia" w:ascii="宋体" w:hAnsi="宋体" w:eastAsia="宋体"/>
        </w:rPr>
        <w:t>产品应由供方进行检验，保证产品质量符合本文件及</w:t>
      </w:r>
      <w:r>
        <w:rPr>
          <w:rFonts w:hint="eastAsia" w:ascii="宋体" w:hAnsi="宋体" w:eastAsia="宋体"/>
          <w:lang w:eastAsia="zh-CN"/>
        </w:rPr>
        <w:t>订货单</w:t>
      </w:r>
      <w:r>
        <w:rPr>
          <w:rFonts w:hint="eastAsia" w:ascii="宋体" w:hAnsi="宋体" w:eastAsia="宋体"/>
        </w:rPr>
        <w:t>的规定，并填写质量证明书。</w:t>
      </w:r>
    </w:p>
    <w:p>
      <w:pPr>
        <w:pStyle w:val="58"/>
        <w:numPr>
          <w:ilvl w:val="2"/>
          <w:numId w:val="17"/>
        </w:numPr>
        <w:spacing w:before="158" w:beforeLines="50" w:after="158" w:afterLines="50"/>
        <w:rPr>
          <w:rFonts w:hint="eastAsia" w:ascii="宋体" w:hAnsi="宋体" w:eastAsia="宋体"/>
        </w:rPr>
      </w:pPr>
      <w:r>
        <w:rPr>
          <w:rFonts w:hint="eastAsia" w:ascii="宋体" w:hAnsi="宋体" w:eastAsia="宋体"/>
        </w:rPr>
        <w:t>需方应对收到的产品按本文件及</w:t>
      </w:r>
      <w:r>
        <w:rPr>
          <w:rFonts w:hint="eastAsia" w:ascii="宋体" w:hAnsi="宋体" w:eastAsia="宋体"/>
          <w:lang w:eastAsia="zh-CN"/>
        </w:rPr>
        <w:t>订货单</w:t>
      </w:r>
      <w:r>
        <w:rPr>
          <w:rFonts w:hint="eastAsia" w:ascii="宋体" w:hAnsi="宋体" w:eastAsia="宋体"/>
        </w:rPr>
        <w:t>的规定进行检验，如检验结果与本文件及</w:t>
      </w:r>
      <w:r>
        <w:rPr>
          <w:rFonts w:hint="eastAsia" w:ascii="宋体" w:hAnsi="宋体" w:eastAsia="宋体"/>
          <w:lang w:eastAsia="zh-CN"/>
        </w:rPr>
        <w:t>订货单</w:t>
      </w:r>
      <w:r>
        <w:rPr>
          <w:rFonts w:hint="eastAsia" w:ascii="宋体" w:hAnsi="宋体" w:eastAsia="宋体"/>
        </w:rPr>
        <w:t>的规定不符时，应在收到产品之日起3个月内向供方提出，由供需双方协商解决。</w:t>
      </w:r>
    </w:p>
    <w:p>
      <w:pPr>
        <w:pStyle w:val="57"/>
        <w:numPr>
          <w:ilvl w:val="1"/>
          <w:numId w:val="17"/>
        </w:numPr>
        <w:spacing w:before="158" w:beforeLines="50" w:after="158" w:afterLines="50"/>
        <w:rPr>
          <w:rFonts w:hint="eastAsia"/>
        </w:rPr>
      </w:pPr>
      <w:r>
        <w:rPr>
          <w:rFonts w:hint="eastAsia"/>
        </w:rPr>
        <w:t>组批</w:t>
      </w:r>
    </w:p>
    <w:p>
      <w:pPr>
        <w:pStyle w:val="55"/>
        <w:ind w:firstLine="420"/>
        <w:rPr>
          <w:rFonts w:hint="eastAsia"/>
        </w:rPr>
      </w:pPr>
      <w:r>
        <w:rPr>
          <w:rFonts w:hint="eastAsia"/>
        </w:rPr>
        <w:t>产品应成批提交验收，每批产品由同一牌号、同一生产工艺、同一规格、同一状态的产品组成。</w:t>
      </w:r>
    </w:p>
    <w:p>
      <w:pPr>
        <w:pStyle w:val="57"/>
        <w:numPr>
          <w:ilvl w:val="1"/>
          <w:numId w:val="17"/>
        </w:numPr>
        <w:spacing w:before="158" w:beforeLines="50" w:after="158" w:afterLines="50"/>
        <w:rPr>
          <w:rFonts w:hint="eastAsia"/>
        </w:rPr>
      </w:pPr>
      <w:r>
        <w:rPr>
          <w:rFonts w:hint="eastAsia"/>
        </w:rPr>
        <w:t>检验项目及取样</w:t>
      </w:r>
    </w:p>
    <w:p>
      <w:pPr>
        <w:pStyle w:val="58"/>
        <w:numPr>
          <w:ilvl w:val="2"/>
          <w:numId w:val="17"/>
        </w:numPr>
        <w:spacing w:before="158" w:beforeLines="50" w:after="158" w:afterLines="50"/>
        <w:rPr>
          <w:rFonts w:hint="eastAsia" w:ascii="宋体" w:eastAsia="宋体"/>
        </w:rPr>
      </w:pPr>
      <w:r>
        <w:rPr>
          <w:rFonts w:hint="eastAsia" w:ascii="宋体" w:eastAsia="宋体"/>
        </w:rPr>
        <w:t>产品的检验项目及取样应符合表3的规定。</w:t>
      </w:r>
    </w:p>
    <w:p>
      <w:pPr>
        <w:pStyle w:val="98"/>
        <w:tabs>
          <w:tab w:val="left" w:pos="360"/>
        </w:tabs>
        <w:spacing w:before="158" w:beforeLines="50" w:after="158" w:afterLines="50"/>
        <w:rPr>
          <w:rFonts w:hint="eastAsia"/>
        </w:rPr>
      </w:pPr>
      <w:r>
        <w:rPr>
          <w:rFonts w:hint="eastAsia"/>
        </w:rPr>
        <w:t>检验项目及取样</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1"/>
        <w:gridCol w:w="4111"/>
        <w:gridCol w:w="1701"/>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shd w:val="clear" w:color="auto" w:fill="auto"/>
          </w:tcPr>
          <w:p>
            <w:pPr>
              <w:pStyle w:val="55"/>
              <w:ind w:firstLine="0" w:firstLineChars="0"/>
              <w:jc w:val="center"/>
              <w:rPr>
                <w:rFonts w:hint="eastAsia"/>
                <w:sz w:val="18"/>
                <w:szCs w:val="18"/>
              </w:rPr>
            </w:pPr>
            <w:r>
              <w:rPr>
                <w:rFonts w:hint="eastAsia"/>
                <w:sz w:val="18"/>
                <w:szCs w:val="18"/>
              </w:rPr>
              <w:t>检验项目</w:t>
            </w:r>
          </w:p>
        </w:tc>
        <w:tc>
          <w:tcPr>
            <w:tcW w:w="4111" w:type="dxa"/>
            <w:shd w:val="clear" w:color="auto" w:fill="auto"/>
          </w:tcPr>
          <w:p>
            <w:pPr>
              <w:pStyle w:val="55"/>
              <w:ind w:firstLine="0" w:firstLineChars="0"/>
              <w:jc w:val="center"/>
              <w:rPr>
                <w:rFonts w:hint="eastAsia"/>
                <w:sz w:val="18"/>
                <w:szCs w:val="18"/>
              </w:rPr>
            </w:pPr>
            <w:r>
              <w:rPr>
                <w:rFonts w:hint="eastAsia"/>
                <w:sz w:val="18"/>
                <w:szCs w:val="18"/>
              </w:rPr>
              <w:t>取样规定</w:t>
            </w:r>
          </w:p>
        </w:tc>
        <w:tc>
          <w:tcPr>
            <w:tcW w:w="1701" w:type="dxa"/>
            <w:shd w:val="clear" w:color="auto" w:fill="auto"/>
          </w:tcPr>
          <w:p>
            <w:pPr>
              <w:pStyle w:val="55"/>
              <w:ind w:firstLine="0" w:firstLineChars="0"/>
              <w:jc w:val="center"/>
              <w:rPr>
                <w:rFonts w:hint="eastAsia"/>
                <w:sz w:val="18"/>
                <w:szCs w:val="18"/>
              </w:rPr>
            </w:pPr>
            <w:r>
              <w:rPr>
                <w:rFonts w:hint="eastAsia"/>
                <w:sz w:val="18"/>
                <w:szCs w:val="18"/>
              </w:rPr>
              <w:t>要求的章节号</w:t>
            </w:r>
          </w:p>
        </w:tc>
        <w:tc>
          <w:tcPr>
            <w:tcW w:w="1807" w:type="dxa"/>
            <w:shd w:val="clear" w:color="auto" w:fill="auto"/>
          </w:tcPr>
          <w:p>
            <w:pPr>
              <w:pStyle w:val="55"/>
              <w:ind w:firstLine="0" w:firstLineChars="0"/>
              <w:jc w:val="center"/>
              <w:rPr>
                <w:rFonts w:hint="eastAsia"/>
                <w:sz w:val="18"/>
                <w:szCs w:val="18"/>
              </w:rPr>
            </w:pPr>
            <w:r>
              <w:rPr>
                <w:rFonts w:hint="eastAsia"/>
                <w:sz w:val="18"/>
                <w:szCs w:val="18"/>
              </w:rPr>
              <w:t>试验方法的章节号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shd w:val="clear" w:color="auto" w:fill="auto"/>
          </w:tcPr>
          <w:p>
            <w:pPr>
              <w:pStyle w:val="55"/>
              <w:ind w:firstLine="0" w:firstLineChars="0"/>
              <w:jc w:val="center"/>
              <w:rPr>
                <w:rFonts w:hint="eastAsia"/>
                <w:sz w:val="18"/>
                <w:szCs w:val="18"/>
              </w:rPr>
            </w:pPr>
            <w:r>
              <w:rPr>
                <w:rFonts w:hint="eastAsia"/>
                <w:sz w:val="18"/>
                <w:szCs w:val="18"/>
              </w:rPr>
              <w:t>化学成分</w:t>
            </w:r>
          </w:p>
        </w:tc>
        <w:tc>
          <w:tcPr>
            <w:tcW w:w="4111" w:type="dxa"/>
            <w:shd w:val="clear" w:color="auto" w:fill="auto"/>
            <w:vAlign w:val="center"/>
          </w:tcPr>
          <w:p>
            <w:pPr>
              <w:pStyle w:val="55"/>
              <w:ind w:firstLine="0" w:firstLineChars="0"/>
              <w:jc w:val="center"/>
              <w:rPr>
                <w:rFonts w:hint="eastAsia"/>
                <w:sz w:val="18"/>
                <w:szCs w:val="18"/>
              </w:rPr>
            </w:pPr>
            <w:r>
              <w:rPr>
                <w:rFonts w:hint="eastAsia"/>
                <w:sz w:val="18"/>
                <w:szCs w:val="18"/>
              </w:rPr>
              <w:t>产品或随炉样上取件，逐批取件</w:t>
            </w:r>
          </w:p>
        </w:tc>
        <w:tc>
          <w:tcPr>
            <w:tcW w:w="1701" w:type="dxa"/>
            <w:shd w:val="clear" w:color="auto" w:fill="auto"/>
          </w:tcPr>
          <w:p>
            <w:pPr>
              <w:pStyle w:val="55"/>
              <w:ind w:firstLine="0" w:firstLineChars="0"/>
              <w:jc w:val="center"/>
              <w:rPr>
                <w:rFonts w:hint="eastAsia"/>
                <w:sz w:val="18"/>
                <w:szCs w:val="18"/>
              </w:rPr>
            </w:pPr>
            <w:r>
              <w:rPr>
                <w:rFonts w:hint="eastAsia"/>
                <w:sz w:val="18"/>
                <w:szCs w:val="18"/>
              </w:rPr>
              <w:t>3.2</w:t>
            </w:r>
          </w:p>
        </w:tc>
        <w:tc>
          <w:tcPr>
            <w:tcW w:w="1807" w:type="dxa"/>
            <w:shd w:val="clear" w:color="auto" w:fill="auto"/>
          </w:tcPr>
          <w:p>
            <w:pPr>
              <w:pStyle w:val="55"/>
              <w:ind w:firstLine="0" w:firstLineChars="0"/>
              <w:jc w:val="center"/>
              <w:rPr>
                <w:rFonts w:hint="eastAsia"/>
                <w:sz w:val="18"/>
                <w:szCs w:val="18"/>
              </w:rPr>
            </w:pPr>
            <w:r>
              <w:rPr>
                <w:rFonts w:hint="eastAsia"/>
                <w:sz w:val="18"/>
                <w:szCs w:val="18"/>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shd w:val="clear" w:color="auto" w:fill="auto"/>
          </w:tcPr>
          <w:p>
            <w:pPr>
              <w:pStyle w:val="55"/>
              <w:ind w:firstLine="0" w:firstLineChars="0"/>
              <w:jc w:val="center"/>
              <w:rPr>
                <w:rFonts w:hint="eastAsia"/>
                <w:sz w:val="18"/>
                <w:szCs w:val="18"/>
              </w:rPr>
            </w:pPr>
            <w:r>
              <w:rPr>
                <w:rFonts w:hint="eastAsia"/>
                <w:sz w:val="18"/>
                <w:szCs w:val="18"/>
              </w:rPr>
              <w:t>密度</w:t>
            </w:r>
          </w:p>
        </w:tc>
        <w:tc>
          <w:tcPr>
            <w:tcW w:w="4111" w:type="dxa"/>
            <w:shd w:val="clear" w:color="auto" w:fill="auto"/>
            <w:vAlign w:val="center"/>
          </w:tcPr>
          <w:p>
            <w:pPr>
              <w:pStyle w:val="55"/>
              <w:ind w:firstLine="0" w:firstLineChars="0"/>
              <w:jc w:val="center"/>
              <w:rPr>
                <w:rFonts w:hint="eastAsia"/>
                <w:sz w:val="18"/>
                <w:szCs w:val="18"/>
              </w:rPr>
            </w:pPr>
            <w:r>
              <w:rPr>
                <w:rFonts w:hint="eastAsia"/>
                <w:sz w:val="18"/>
                <w:szCs w:val="18"/>
              </w:rPr>
              <w:t>产品或随炉样上取件，逐批取件</w:t>
            </w:r>
          </w:p>
        </w:tc>
        <w:tc>
          <w:tcPr>
            <w:tcW w:w="1701" w:type="dxa"/>
            <w:shd w:val="clear" w:color="auto" w:fill="auto"/>
          </w:tcPr>
          <w:p>
            <w:pPr>
              <w:pStyle w:val="55"/>
              <w:ind w:firstLine="0" w:firstLineChars="0"/>
              <w:jc w:val="center"/>
              <w:rPr>
                <w:rFonts w:hint="eastAsia"/>
                <w:sz w:val="18"/>
                <w:szCs w:val="18"/>
              </w:rPr>
            </w:pPr>
            <w:r>
              <w:rPr>
                <w:rFonts w:hint="eastAsia"/>
                <w:sz w:val="18"/>
                <w:szCs w:val="18"/>
              </w:rPr>
              <w:t>3.3</w:t>
            </w:r>
          </w:p>
        </w:tc>
        <w:tc>
          <w:tcPr>
            <w:tcW w:w="1807" w:type="dxa"/>
            <w:shd w:val="clear" w:color="auto" w:fill="auto"/>
          </w:tcPr>
          <w:p>
            <w:pPr>
              <w:pStyle w:val="55"/>
              <w:ind w:firstLine="0" w:firstLineChars="0"/>
              <w:jc w:val="center"/>
              <w:rPr>
                <w:rFonts w:hint="eastAsia"/>
                <w:sz w:val="18"/>
                <w:szCs w:val="18"/>
              </w:rPr>
            </w:pPr>
            <w:r>
              <w:rPr>
                <w:rFonts w:hint="eastAsia"/>
                <w:sz w:val="18"/>
                <w:szCs w:val="18"/>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shd w:val="clear" w:color="auto" w:fill="auto"/>
          </w:tcPr>
          <w:p>
            <w:pPr>
              <w:pStyle w:val="55"/>
              <w:ind w:firstLine="0" w:firstLineChars="0"/>
              <w:jc w:val="center"/>
              <w:rPr>
                <w:rFonts w:hint="eastAsia"/>
                <w:sz w:val="18"/>
                <w:szCs w:val="18"/>
              </w:rPr>
            </w:pPr>
            <w:r>
              <w:rPr>
                <w:rFonts w:hint="eastAsia"/>
                <w:sz w:val="18"/>
                <w:szCs w:val="18"/>
              </w:rPr>
              <w:t>力学性能</w:t>
            </w:r>
          </w:p>
        </w:tc>
        <w:tc>
          <w:tcPr>
            <w:tcW w:w="4111" w:type="dxa"/>
            <w:shd w:val="clear" w:color="auto" w:fill="auto"/>
            <w:vAlign w:val="center"/>
          </w:tcPr>
          <w:p>
            <w:pPr>
              <w:pStyle w:val="55"/>
              <w:ind w:firstLine="0" w:firstLineChars="0"/>
              <w:jc w:val="center"/>
              <w:rPr>
                <w:rFonts w:hint="eastAsia"/>
                <w:sz w:val="18"/>
                <w:szCs w:val="18"/>
              </w:rPr>
            </w:pPr>
            <w:r>
              <w:rPr>
                <w:rFonts w:hint="eastAsia"/>
                <w:sz w:val="18"/>
                <w:szCs w:val="18"/>
              </w:rPr>
              <w:t>产品或随炉样上取件，逐批取件</w:t>
            </w:r>
          </w:p>
        </w:tc>
        <w:tc>
          <w:tcPr>
            <w:tcW w:w="1701" w:type="dxa"/>
            <w:shd w:val="clear" w:color="auto" w:fill="auto"/>
          </w:tcPr>
          <w:p>
            <w:pPr>
              <w:pStyle w:val="55"/>
              <w:ind w:firstLine="0" w:firstLineChars="0"/>
              <w:jc w:val="center"/>
              <w:rPr>
                <w:rFonts w:hint="eastAsia"/>
                <w:sz w:val="18"/>
                <w:szCs w:val="18"/>
              </w:rPr>
            </w:pPr>
            <w:r>
              <w:rPr>
                <w:rFonts w:hint="eastAsia"/>
                <w:sz w:val="18"/>
                <w:szCs w:val="18"/>
              </w:rPr>
              <w:t>3.4</w:t>
            </w:r>
          </w:p>
        </w:tc>
        <w:tc>
          <w:tcPr>
            <w:tcW w:w="1807" w:type="dxa"/>
            <w:shd w:val="clear" w:color="auto" w:fill="auto"/>
          </w:tcPr>
          <w:p>
            <w:pPr>
              <w:pStyle w:val="55"/>
              <w:ind w:firstLine="0" w:firstLineChars="0"/>
              <w:jc w:val="center"/>
              <w:rPr>
                <w:rFonts w:hint="eastAsia"/>
                <w:sz w:val="18"/>
                <w:szCs w:val="18"/>
              </w:rPr>
            </w:pPr>
            <w:r>
              <w:rPr>
                <w:rFonts w:hint="eastAsia"/>
                <w:sz w:val="18"/>
                <w:szCs w:val="18"/>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shd w:val="clear" w:color="auto" w:fill="auto"/>
          </w:tcPr>
          <w:p>
            <w:pPr>
              <w:pStyle w:val="55"/>
              <w:ind w:firstLine="0" w:firstLineChars="0"/>
              <w:jc w:val="center"/>
              <w:rPr>
                <w:rFonts w:hint="eastAsia"/>
                <w:sz w:val="18"/>
                <w:szCs w:val="18"/>
              </w:rPr>
            </w:pPr>
            <w:r>
              <w:rPr>
                <w:rFonts w:hint="eastAsia"/>
                <w:sz w:val="18"/>
                <w:szCs w:val="18"/>
              </w:rPr>
              <w:t>金相组织</w:t>
            </w:r>
          </w:p>
        </w:tc>
        <w:tc>
          <w:tcPr>
            <w:tcW w:w="4111" w:type="dxa"/>
            <w:shd w:val="clear" w:color="auto" w:fill="auto"/>
            <w:vAlign w:val="center"/>
          </w:tcPr>
          <w:p>
            <w:pPr>
              <w:pStyle w:val="55"/>
              <w:ind w:firstLine="0" w:firstLineChars="0"/>
              <w:jc w:val="center"/>
              <w:rPr>
                <w:rFonts w:hint="eastAsia"/>
                <w:sz w:val="18"/>
                <w:szCs w:val="18"/>
              </w:rPr>
            </w:pPr>
            <w:r>
              <w:rPr>
                <w:rFonts w:hint="eastAsia"/>
                <w:sz w:val="18"/>
                <w:szCs w:val="18"/>
              </w:rPr>
              <w:t>产品或随炉样上取件，检验频次由供需双方商定</w:t>
            </w:r>
          </w:p>
        </w:tc>
        <w:tc>
          <w:tcPr>
            <w:tcW w:w="1701" w:type="dxa"/>
            <w:shd w:val="clear" w:color="auto" w:fill="auto"/>
          </w:tcPr>
          <w:p>
            <w:pPr>
              <w:pStyle w:val="55"/>
              <w:ind w:firstLine="0" w:firstLineChars="0"/>
              <w:jc w:val="center"/>
              <w:rPr>
                <w:rFonts w:hint="eastAsia"/>
                <w:sz w:val="18"/>
                <w:szCs w:val="18"/>
              </w:rPr>
            </w:pPr>
            <w:r>
              <w:rPr>
                <w:rFonts w:hint="eastAsia"/>
                <w:sz w:val="18"/>
                <w:szCs w:val="18"/>
              </w:rPr>
              <w:t>3.5</w:t>
            </w:r>
          </w:p>
        </w:tc>
        <w:tc>
          <w:tcPr>
            <w:tcW w:w="1807" w:type="dxa"/>
            <w:shd w:val="clear" w:color="auto" w:fill="auto"/>
          </w:tcPr>
          <w:p>
            <w:pPr>
              <w:pStyle w:val="55"/>
              <w:ind w:firstLine="0" w:firstLineChars="0"/>
              <w:jc w:val="center"/>
              <w:rPr>
                <w:rFonts w:hint="eastAsia"/>
                <w:sz w:val="18"/>
                <w:szCs w:val="18"/>
              </w:rPr>
            </w:pPr>
            <w:r>
              <w:rPr>
                <w:rFonts w:hint="eastAsia"/>
                <w:sz w:val="18"/>
                <w:szCs w:val="18"/>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shd w:val="clear" w:color="auto" w:fill="auto"/>
          </w:tcPr>
          <w:p>
            <w:pPr>
              <w:pStyle w:val="55"/>
              <w:ind w:firstLine="0" w:firstLineChars="0"/>
              <w:jc w:val="center"/>
              <w:rPr>
                <w:rFonts w:hint="eastAsia"/>
                <w:sz w:val="18"/>
                <w:szCs w:val="18"/>
              </w:rPr>
            </w:pPr>
            <w:r>
              <w:rPr>
                <w:rFonts w:hint="eastAsia"/>
                <w:sz w:val="18"/>
                <w:szCs w:val="18"/>
              </w:rPr>
              <w:t>无损检验</w:t>
            </w:r>
          </w:p>
        </w:tc>
        <w:tc>
          <w:tcPr>
            <w:tcW w:w="4111" w:type="dxa"/>
            <w:shd w:val="clear" w:color="auto" w:fill="auto"/>
          </w:tcPr>
          <w:p>
            <w:pPr>
              <w:pStyle w:val="55"/>
              <w:ind w:firstLine="0" w:firstLineChars="0"/>
              <w:jc w:val="center"/>
              <w:rPr>
                <w:rFonts w:hint="eastAsia"/>
                <w:sz w:val="18"/>
                <w:szCs w:val="18"/>
              </w:rPr>
            </w:pPr>
            <w:r>
              <w:rPr>
                <w:rFonts w:hint="eastAsia"/>
                <w:sz w:val="18"/>
                <w:szCs w:val="18"/>
              </w:rPr>
              <w:t>逐件检验</w:t>
            </w:r>
          </w:p>
        </w:tc>
        <w:tc>
          <w:tcPr>
            <w:tcW w:w="1701" w:type="dxa"/>
            <w:shd w:val="clear" w:color="auto" w:fill="auto"/>
          </w:tcPr>
          <w:p>
            <w:pPr>
              <w:pStyle w:val="55"/>
              <w:ind w:firstLine="0" w:firstLineChars="0"/>
              <w:jc w:val="center"/>
              <w:rPr>
                <w:rFonts w:hint="eastAsia"/>
                <w:sz w:val="18"/>
                <w:szCs w:val="18"/>
              </w:rPr>
            </w:pPr>
            <w:r>
              <w:rPr>
                <w:rFonts w:hint="eastAsia"/>
                <w:sz w:val="18"/>
                <w:szCs w:val="18"/>
              </w:rPr>
              <w:t>3.6</w:t>
            </w:r>
          </w:p>
        </w:tc>
        <w:tc>
          <w:tcPr>
            <w:tcW w:w="1807" w:type="dxa"/>
            <w:shd w:val="clear" w:color="auto" w:fill="auto"/>
          </w:tcPr>
          <w:p>
            <w:pPr>
              <w:pStyle w:val="55"/>
              <w:ind w:firstLine="0" w:firstLineChars="0"/>
              <w:jc w:val="center"/>
              <w:rPr>
                <w:rFonts w:hint="eastAsia"/>
                <w:sz w:val="18"/>
                <w:szCs w:val="18"/>
              </w:rPr>
            </w:pPr>
            <w:r>
              <w:rPr>
                <w:rFonts w:hint="eastAsia"/>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shd w:val="clear" w:color="auto" w:fill="auto"/>
          </w:tcPr>
          <w:p>
            <w:pPr>
              <w:pStyle w:val="55"/>
              <w:ind w:firstLine="0" w:firstLineChars="0"/>
              <w:jc w:val="center"/>
              <w:rPr>
                <w:rFonts w:hint="eastAsia"/>
                <w:sz w:val="18"/>
                <w:szCs w:val="18"/>
              </w:rPr>
            </w:pPr>
            <w:r>
              <w:rPr>
                <w:rFonts w:hint="eastAsia"/>
                <w:sz w:val="18"/>
                <w:szCs w:val="18"/>
              </w:rPr>
              <w:t>尺寸及允许偏差</w:t>
            </w:r>
          </w:p>
        </w:tc>
        <w:tc>
          <w:tcPr>
            <w:tcW w:w="4111" w:type="dxa"/>
            <w:shd w:val="clear" w:color="auto" w:fill="auto"/>
          </w:tcPr>
          <w:p>
            <w:pPr>
              <w:pStyle w:val="55"/>
              <w:ind w:firstLine="0" w:firstLineChars="0"/>
              <w:jc w:val="center"/>
              <w:rPr>
                <w:rFonts w:hint="eastAsia"/>
                <w:sz w:val="18"/>
                <w:szCs w:val="18"/>
              </w:rPr>
            </w:pPr>
            <w:r>
              <w:rPr>
                <w:rFonts w:hint="eastAsia"/>
                <w:sz w:val="18"/>
                <w:szCs w:val="18"/>
              </w:rPr>
              <w:t>逐件检验</w:t>
            </w:r>
          </w:p>
        </w:tc>
        <w:tc>
          <w:tcPr>
            <w:tcW w:w="1701" w:type="dxa"/>
            <w:shd w:val="clear" w:color="auto" w:fill="auto"/>
          </w:tcPr>
          <w:p>
            <w:pPr>
              <w:pStyle w:val="55"/>
              <w:ind w:firstLine="0" w:firstLineChars="0"/>
              <w:jc w:val="center"/>
              <w:rPr>
                <w:rFonts w:hint="eastAsia"/>
                <w:sz w:val="18"/>
                <w:szCs w:val="18"/>
              </w:rPr>
            </w:pPr>
            <w:r>
              <w:rPr>
                <w:rFonts w:hint="eastAsia"/>
                <w:sz w:val="18"/>
                <w:szCs w:val="18"/>
              </w:rPr>
              <w:t>3.7</w:t>
            </w:r>
          </w:p>
        </w:tc>
        <w:tc>
          <w:tcPr>
            <w:tcW w:w="1807" w:type="dxa"/>
            <w:shd w:val="clear" w:color="auto" w:fill="auto"/>
          </w:tcPr>
          <w:p>
            <w:pPr>
              <w:pStyle w:val="55"/>
              <w:ind w:firstLine="0" w:firstLineChars="0"/>
              <w:jc w:val="center"/>
              <w:rPr>
                <w:rFonts w:hint="eastAsia"/>
                <w:sz w:val="18"/>
                <w:szCs w:val="18"/>
              </w:rPr>
            </w:pPr>
            <w:r>
              <w:rPr>
                <w:rFonts w:hint="eastAsia"/>
                <w:sz w:val="18"/>
                <w:szCs w:val="18"/>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shd w:val="clear" w:color="auto" w:fill="auto"/>
          </w:tcPr>
          <w:p>
            <w:pPr>
              <w:pStyle w:val="55"/>
              <w:ind w:firstLine="0" w:firstLineChars="0"/>
              <w:jc w:val="center"/>
              <w:rPr>
                <w:rFonts w:hint="eastAsia"/>
                <w:sz w:val="18"/>
                <w:szCs w:val="18"/>
              </w:rPr>
            </w:pPr>
            <w:r>
              <w:rPr>
                <w:rFonts w:hint="eastAsia"/>
                <w:sz w:val="18"/>
                <w:szCs w:val="18"/>
              </w:rPr>
              <w:t>外观质量</w:t>
            </w:r>
          </w:p>
        </w:tc>
        <w:tc>
          <w:tcPr>
            <w:tcW w:w="4111" w:type="dxa"/>
            <w:shd w:val="clear" w:color="auto" w:fill="auto"/>
          </w:tcPr>
          <w:p>
            <w:pPr>
              <w:pStyle w:val="55"/>
              <w:ind w:firstLine="0" w:firstLineChars="0"/>
              <w:jc w:val="center"/>
              <w:rPr>
                <w:rFonts w:hint="eastAsia"/>
                <w:sz w:val="18"/>
                <w:szCs w:val="18"/>
              </w:rPr>
            </w:pPr>
            <w:r>
              <w:rPr>
                <w:rFonts w:hint="eastAsia"/>
                <w:sz w:val="18"/>
                <w:szCs w:val="18"/>
              </w:rPr>
              <w:t>逐件检验</w:t>
            </w:r>
          </w:p>
        </w:tc>
        <w:tc>
          <w:tcPr>
            <w:tcW w:w="1701" w:type="dxa"/>
            <w:shd w:val="clear" w:color="auto" w:fill="auto"/>
          </w:tcPr>
          <w:p>
            <w:pPr>
              <w:pStyle w:val="55"/>
              <w:ind w:firstLine="0" w:firstLineChars="0"/>
              <w:jc w:val="center"/>
              <w:rPr>
                <w:rFonts w:hint="eastAsia"/>
                <w:sz w:val="18"/>
                <w:szCs w:val="18"/>
              </w:rPr>
            </w:pPr>
            <w:r>
              <w:rPr>
                <w:rFonts w:hint="eastAsia"/>
                <w:sz w:val="18"/>
                <w:szCs w:val="18"/>
              </w:rPr>
              <w:t>3.8</w:t>
            </w:r>
          </w:p>
        </w:tc>
        <w:tc>
          <w:tcPr>
            <w:tcW w:w="1807" w:type="dxa"/>
            <w:shd w:val="clear" w:color="auto" w:fill="auto"/>
          </w:tcPr>
          <w:p>
            <w:pPr>
              <w:pStyle w:val="55"/>
              <w:ind w:firstLine="0" w:firstLineChars="0"/>
              <w:jc w:val="center"/>
              <w:rPr>
                <w:rFonts w:hint="eastAsia"/>
                <w:sz w:val="18"/>
                <w:szCs w:val="18"/>
              </w:rPr>
            </w:pPr>
            <w:r>
              <w:rPr>
                <w:rFonts w:hint="eastAsia"/>
                <w:sz w:val="18"/>
                <w:szCs w:val="18"/>
              </w:rPr>
              <w:t>4.7</w:t>
            </w:r>
          </w:p>
        </w:tc>
      </w:tr>
    </w:tbl>
    <w:p>
      <w:pPr>
        <w:pStyle w:val="58"/>
        <w:numPr>
          <w:ilvl w:val="2"/>
          <w:numId w:val="17"/>
        </w:numPr>
        <w:spacing w:before="158" w:beforeLines="50" w:after="158" w:afterLines="50"/>
        <w:rPr>
          <w:rFonts w:hint="eastAsia" w:ascii="宋体" w:hAnsi="宋体" w:eastAsia="宋体"/>
        </w:rPr>
      </w:pPr>
      <w:r>
        <w:rPr>
          <w:rFonts w:hint="eastAsia" w:ascii="宋体" w:hAnsi="宋体" w:eastAsia="宋体"/>
        </w:rPr>
        <w:t>供需双方应对拉伸试样的数量、取样位置、取样时间和试样热处理工艺等进行约定；若供需双方未做约定，则按供方确定的方案进行。</w:t>
      </w:r>
    </w:p>
    <w:p>
      <w:pPr>
        <w:pStyle w:val="58"/>
        <w:numPr>
          <w:ilvl w:val="2"/>
          <w:numId w:val="17"/>
        </w:numPr>
        <w:spacing w:before="158" w:beforeLines="50" w:after="158" w:afterLines="50"/>
        <w:rPr>
          <w:rFonts w:hint="eastAsia" w:ascii="宋体" w:hAnsi="宋体" w:eastAsia="宋体"/>
        </w:rPr>
      </w:pPr>
      <w:r>
        <w:rPr>
          <w:rFonts w:hint="eastAsia" w:ascii="宋体" w:hAnsi="宋体" w:eastAsia="宋体"/>
        </w:rPr>
        <w:t>随炉样的热处理工艺与零件的热处理方式一致，随炉样的数量和放置位置应以测试结果能够准确代表成形零件性能为依据。</w:t>
      </w:r>
    </w:p>
    <w:p>
      <w:pPr>
        <w:pStyle w:val="57"/>
        <w:numPr>
          <w:ilvl w:val="1"/>
          <w:numId w:val="17"/>
        </w:numPr>
        <w:spacing w:before="158" w:beforeLines="50" w:after="158" w:afterLines="50"/>
        <w:rPr>
          <w:rFonts w:hint="eastAsia"/>
        </w:rPr>
      </w:pPr>
      <w:r>
        <w:rPr>
          <w:rFonts w:hint="eastAsia"/>
        </w:rPr>
        <w:t>检验结果判定</w:t>
      </w:r>
    </w:p>
    <w:p>
      <w:pPr>
        <w:pStyle w:val="58"/>
        <w:numPr>
          <w:ilvl w:val="2"/>
          <w:numId w:val="17"/>
        </w:numPr>
        <w:spacing w:before="158" w:beforeLines="50" w:after="158" w:afterLines="50"/>
        <w:rPr>
          <w:rFonts w:hint="eastAsia" w:ascii="宋体" w:hAnsi="宋体" w:eastAsia="宋体"/>
        </w:rPr>
      </w:pPr>
      <w:r>
        <w:rPr>
          <w:rFonts w:hint="eastAsia" w:ascii="宋体" w:hAnsi="宋体" w:eastAsia="宋体"/>
        </w:rPr>
        <w:t>化学成分、力学性能、密度、金相组织检验结果不合格时，允许另取双倍试样（不包括原受检样）对不合格项进行一次重复检验，若重复检验仍不合格，则判该批产品不合格。</w:t>
      </w:r>
    </w:p>
    <w:p>
      <w:pPr>
        <w:pStyle w:val="58"/>
        <w:numPr>
          <w:ilvl w:val="2"/>
          <w:numId w:val="17"/>
        </w:numPr>
        <w:spacing w:before="158" w:beforeLines="50" w:after="158" w:afterLines="50"/>
        <w:rPr>
          <w:rFonts w:hint="eastAsia" w:ascii="宋体" w:hAnsi="宋体" w:eastAsia="宋体"/>
        </w:rPr>
      </w:pPr>
      <w:r>
        <w:rPr>
          <w:rFonts w:hint="eastAsia" w:ascii="宋体" w:hAnsi="宋体" w:eastAsia="宋体"/>
        </w:rPr>
        <w:t>无损检验、尺寸及允许偏差、外观质量检验不合格时，判该件产品不合格。</w:t>
      </w:r>
    </w:p>
    <w:p>
      <w:pPr>
        <w:pStyle w:val="56"/>
        <w:numPr>
          <w:ilvl w:val="0"/>
          <w:numId w:val="17"/>
        </w:numPr>
        <w:spacing w:before="317" w:beforeLines="100" w:after="317" w:afterLines="100"/>
        <w:rPr>
          <w:rFonts w:hint="eastAsia"/>
        </w:rPr>
      </w:pPr>
      <w:r>
        <w:rPr>
          <w:rFonts w:hint="eastAsia"/>
        </w:rPr>
        <w:t>包装、标志、运输、贮存和质量证明书</w:t>
      </w:r>
    </w:p>
    <w:p>
      <w:pPr>
        <w:pStyle w:val="57"/>
        <w:numPr>
          <w:ilvl w:val="1"/>
          <w:numId w:val="17"/>
        </w:numPr>
        <w:spacing w:before="158" w:beforeLines="50" w:after="158" w:afterLines="50"/>
        <w:rPr>
          <w:rFonts w:hint="eastAsia"/>
        </w:rPr>
      </w:pPr>
      <w:r>
        <w:rPr>
          <w:rFonts w:hint="eastAsia"/>
        </w:rPr>
        <w:t>包装</w:t>
      </w:r>
    </w:p>
    <w:p>
      <w:pPr>
        <w:pStyle w:val="55"/>
        <w:ind w:firstLine="420"/>
        <w:rPr>
          <w:rFonts w:hint="eastAsia"/>
        </w:rPr>
      </w:pPr>
      <w:r>
        <w:rPr>
          <w:rFonts w:hint="eastAsia"/>
        </w:rPr>
        <w:t>除非有其他注明，以本文件采购的零件应按供方的常规或惯例进行包装，但应遵从保证零件贮存、运输和使用安全的原则。</w:t>
      </w:r>
    </w:p>
    <w:p>
      <w:pPr>
        <w:pStyle w:val="57"/>
        <w:numPr>
          <w:ilvl w:val="1"/>
          <w:numId w:val="17"/>
        </w:numPr>
        <w:spacing w:before="158" w:beforeLines="50" w:after="158" w:afterLines="50"/>
        <w:rPr>
          <w:rFonts w:hint="eastAsia"/>
        </w:rPr>
      </w:pPr>
      <w:r>
        <w:rPr>
          <w:rFonts w:hint="eastAsia"/>
        </w:rPr>
        <w:t>标志</w:t>
      </w:r>
    </w:p>
    <w:p>
      <w:pPr>
        <w:pStyle w:val="55"/>
        <w:ind w:firstLine="420"/>
        <w:rPr>
          <w:rFonts w:hint="eastAsia"/>
        </w:rPr>
      </w:pPr>
      <w:r>
        <w:rPr>
          <w:rFonts w:hint="eastAsia"/>
        </w:rPr>
        <w:t>在产品的包装上应做如下标志（或贴标签）：</w:t>
      </w:r>
    </w:p>
    <w:p>
      <w:pPr>
        <w:pStyle w:val="102"/>
        <w:numPr>
          <w:ilvl w:val="0"/>
          <w:numId w:val="18"/>
        </w:numPr>
        <w:ind w:leftChars="0" w:firstLineChars="0"/>
        <w:rPr>
          <w:rFonts w:hint="eastAsia"/>
        </w:rPr>
      </w:pPr>
      <w:r>
        <w:rPr>
          <w:rFonts w:hint="eastAsia"/>
        </w:rPr>
        <w:t>供方质量部门印记；</w:t>
      </w:r>
    </w:p>
    <w:p>
      <w:pPr>
        <w:pStyle w:val="102"/>
        <w:numPr>
          <w:ilvl w:val="0"/>
          <w:numId w:val="18"/>
        </w:numPr>
        <w:ind w:leftChars="0" w:firstLineChars="0"/>
        <w:rPr>
          <w:rFonts w:hint="eastAsia"/>
        </w:rPr>
      </w:pPr>
      <w:r>
        <w:rPr>
          <w:rFonts w:hint="eastAsia"/>
        </w:rPr>
        <w:t>产品名称、牌号；</w:t>
      </w:r>
    </w:p>
    <w:p>
      <w:pPr>
        <w:pStyle w:val="102"/>
        <w:numPr>
          <w:ilvl w:val="0"/>
          <w:numId w:val="18"/>
        </w:numPr>
        <w:ind w:leftChars="0" w:firstLineChars="0"/>
        <w:rPr>
          <w:rFonts w:hint="eastAsia"/>
        </w:rPr>
      </w:pPr>
      <w:r>
        <w:rPr>
          <w:rFonts w:hint="eastAsia"/>
        </w:rPr>
        <w:t>供应状态；</w:t>
      </w:r>
    </w:p>
    <w:p>
      <w:pPr>
        <w:pStyle w:val="102"/>
        <w:numPr>
          <w:ilvl w:val="0"/>
          <w:numId w:val="18"/>
        </w:numPr>
        <w:ind w:leftChars="0" w:firstLineChars="0"/>
        <w:rPr>
          <w:rFonts w:hint="eastAsia"/>
        </w:rPr>
      </w:pPr>
      <w:r>
        <w:rPr>
          <w:rFonts w:hint="eastAsia"/>
        </w:rPr>
        <w:t>产品净重；</w:t>
      </w:r>
    </w:p>
    <w:p>
      <w:pPr>
        <w:pStyle w:val="102"/>
        <w:numPr>
          <w:ilvl w:val="0"/>
          <w:numId w:val="18"/>
        </w:numPr>
        <w:ind w:leftChars="0" w:firstLineChars="0"/>
        <w:rPr>
          <w:rFonts w:hint="eastAsia"/>
        </w:rPr>
      </w:pPr>
      <w:r>
        <w:rPr>
          <w:rFonts w:hint="eastAsia"/>
        </w:rPr>
        <w:t>产品批号。</w:t>
      </w:r>
    </w:p>
    <w:p>
      <w:pPr>
        <w:pStyle w:val="57"/>
        <w:numPr>
          <w:ilvl w:val="1"/>
          <w:numId w:val="17"/>
        </w:numPr>
        <w:spacing w:before="158" w:beforeLines="50" w:after="158" w:afterLines="50"/>
        <w:rPr>
          <w:rFonts w:hint="eastAsia"/>
        </w:rPr>
      </w:pPr>
      <w:r>
        <w:rPr>
          <w:rFonts w:hint="eastAsia"/>
        </w:rPr>
        <w:t>运输</w:t>
      </w:r>
    </w:p>
    <w:p>
      <w:pPr>
        <w:pStyle w:val="55"/>
        <w:ind w:firstLine="420"/>
        <w:rPr>
          <w:rFonts w:hint="eastAsia"/>
        </w:rPr>
      </w:pPr>
      <w:r>
        <w:rPr>
          <w:rFonts w:hint="eastAsia"/>
        </w:rPr>
        <w:t>产品运输时，应防止产品受潮，搬运过程中应轻装轻卸，严禁剧烈碰撞和机械挤压。</w:t>
      </w:r>
    </w:p>
    <w:p>
      <w:pPr>
        <w:pStyle w:val="57"/>
        <w:numPr>
          <w:ilvl w:val="1"/>
          <w:numId w:val="17"/>
        </w:numPr>
        <w:spacing w:before="158" w:beforeLines="50" w:after="158" w:afterLines="50"/>
        <w:rPr>
          <w:rFonts w:hint="eastAsia"/>
        </w:rPr>
      </w:pPr>
      <w:r>
        <w:rPr>
          <w:rFonts w:hint="eastAsia"/>
        </w:rPr>
        <w:t>贮存</w:t>
      </w:r>
    </w:p>
    <w:p>
      <w:pPr>
        <w:pStyle w:val="55"/>
        <w:ind w:firstLine="420"/>
        <w:rPr>
          <w:rFonts w:hint="eastAsia"/>
        </w:rPr>
      </w:pPr>
      <w:r>
        <w:rPr>
          <w:rFonts w:hint="eastAsia"/>
        </w:rPr>
        <w:t>产品应贮存在干燥、通风、阴凉、无腐蚀性物质侵蚀的的环境中。</w:t>
      </w:r>
    </w:p>
    <w:p>
      <w:pPr>
        <w:pStyle w:val="57"/>
        <w:numPr>
          <w:ilvl w:val="1"/>
          <w:numId w:val="17"/>
        </w:numPr>
        <w:spacing w:before="158" w:beforeLines="50" w:after="158" w:afterLines="50"/>
        <w:rPr>
          <w:rFonts w:hint="eastAsia"/>
        </w:rPr>
      </w:pPr>
      <w:r>
        <w:rPr>
          <w:rFonts w:hint="eastAsia"/>
        </w:rPr>
        <w:t>质量证明书</w:t>
      </w:r>
    </w:p>
    <w:p>
      <w:pPr>
        <w:pStyle w:val="55"/>
        <w:ind w:firstLine="420"/>
        <w:rPr>
          <w:rFonts w:hint="eastAsia"/>
        </w:rPr>
      </w:pPr>
      <w:r>
        <w:rPr>
          <w:rFonts w:hint="eastAsia"/>
        </w:rPr>
        <w:t>每批产品应附有质量证明书，其上注明：</w:t>
      </w:r>
    </w:p>
    <w:p>
      <w:pPr>
        <w:pStyle w:val="102"/>
        <w:numPr>
          <w:ilvl w:val="0"/>
          <w:numId w:val="19"/>
        </w:numPr>
        <w:ind w:leftChars="0" w:firstLineChars="0"/>
        <w:rPr>
          <w:rFonts w:hint="eastAsia"/>
        </w:rPr>
      </w:pPr>
      <w:r>
        <w:rPr>
          <w:rFonts w:hint="eastAsia"/>
        </w:rPr>
        <w:t>供方名称；</w:t>
      </w:r>
    </w:p>
    <w:p>
      <w:pPr>
        <w:pStyle w:val="102"/>
        <w:numPr>
          <w:ilvl w:val="0"/>
          <w:numId w:val="19"/>
        </w:numPr>
        <w:ind w:leftChars="0" w:firstLineChars="0"/>
        <w:rPr>
          <w:rFonts w:hint="eastAsia"/>
        </w:rPr>
      </w:pPr>
      <w:r>
        <w:rPr>
          <w:rFonts w:hint="eastAsia"/>
        </w:rPr>
        <w:t>产品名称；</w:t>
      </w:r>
    </w:p>
    <w:p>
      <w:pPr>
        <w:pStyle w:val="102"/>
        <w:numPr>
          <w:ilvl w:val="0"/>
          <w:numId w:val="19"/>
        </w:numPr>
        <w:ind w:leftChars="0" w:firstLineChars="0"/>
        <w:rPr>
          <w:rFonts w:hint="eastAsia"/>
        </w:rPr>
      </w:pPr>
      <w:r>
        <w:rPr>
          <w:rFonts w:hint="eastAsia"/>
        </w:rPr>
        <w:t>牌号；</w:t>
      </w:r>
    </w:p>
    <w:p>
      <w:pPr>
        <w:pStyle w:val="102"/>
        <w:numPr>
          <w:ilvl w:val="0"/>
          <w:numId w:val="19"/>
        </w:numPr>
        <w:ind w:leftChars="0" w:firstLineChars="0"/>
        <w:rPr>
          <w:rFonts w:hint="eastAsia"/>
        </w:rPr>
      </w:pPr>
      <w:r>
        <w:rPr>
          <w:rFonts w:hint="eastAsia"/>
        </w:rPr>
        <w:t>批号；</w:t>
      </w:r>
    </w:p>
    <w:p>
      <w:pPr>
        <w:pStyle w:val="102"/>
        <w:numPr>
          <w:ilvl w:val="0"/>
          <w:numId w:val="19"/>
        </w:numPr>
        <w:ind w:leftChars="0" w:firstLineChars="0"/>
        <w:rPr>
          <w:rFonts w:hint="eastAsia"/>
        </w:rPr>
      </w:pPr>
      <w:r>
        <w:rPr>
          <w:rFonts w:hint="eastAsia"/>
        </w:rPr>
        <w:t>净重和数量；</w:t>
      </w:r>
    </w:p>
    <w:p>
      <w:pPr>
        <w:pStyle w:val="102"/>
        <w:numPr>
          <w:ilvl w:val="0"/>
          <w:numId w:val="19"/>
        </w:numPr>
        <w:ind w:leftChars="0" w:firstLineChars="0"/>
        <w:rPr>
          <w:rFonts w:hint="eastAsia"/>
        </w:rPr>
      </w:pPr>
      <w:r>
        <w:rPr>
          <w:rFonts w:hint="eastAsia"/>
        </w:rPr>
        <w:t>供应状态；</w:t>
      </w:r>
    </w:p>
    <w:p>
      <w:pPr>
        <w:pStyle w:val="102"/>
        <w:numPr>
          <w:ilvl w:val="0"/>
          <w:numId w:val="19"/>
        </w:numPr>
        <w:ind w:leftChars="0" w:firstLineChars="0"/>
        <w:rPr>
          <w:rFonts w:hint="eastAsia"/>
        </w:rPr>
      </w:pPr>
      <w:r>
        <w:rPr>
          <w:rFonts w:hint="eastAsia"/>
        </w:rPr>
        <w:t>各项分析检验结果和供方质量部门印记；</w:t>
      </w:r>
    </w:p>
    <w:p>
      <w:pPr>
        <w:pStyle w:val="102"/>
        <w:numPr>
          <w:ilvl w:val="0"/>
          <w:numId w:val="19"/>
        </w:numPr>
        <w:ind w:leftChars="0" w:firstLineChars="0"/>
        <w:rPr>
          <w:rFonts w:hint="eastAsia"/>
        </w:rPr>
      </w:pPr>
      <w:r>
        <w:rPr>
          <w:rFonts w:hint="eastAsia"/>
        </w:rPr>
        <w:t>本文件编号；</w:t>
      </w:r>
    </w:p>
    <w:p>
      <w:pPr>
        <w:pStyle w:val="102"/>
        <w:numPr>
          <w:ilvl w:val="0"/>
          <w:numId w:val="19"/>
        </w:numPr>
        <w:ind w:leftChars="0" w:firstLineChars="0"/>
        <w:rPr>
          <w:rFonts w:hint="eastAsia"/>
        </w:rPr>
      </w:pPr>
      <w:r>
        <w:rPr>
          <w:rFonts w:hint="eastAsia"/>
        </w:rPr>
        <w:t>包装日期。</w:t>
      </w:r>
    </w:p>
    <w:p>
      <w:pPr>
        <w:pStyle w:val="56"/>
        <w:numPr>
          <w:ilvl w:val="0"/>
          <w:numId w:val="17"/>
        </w:numPr>
        <w:spacing w:before="317" w:beforeLines="100" w:after="317" w:afterLines="100"/>
        <w:rPr>
          <w:rFonts w:hint="eastAsia"/>
        </w:rPr>
      </w:pPr>
      <w:r>
        <w:rPr>
          <w:rFonts w:hint="eastAsia"/>
          <w:lang w:eastAsia="zh-CN"/>
        </w:rPr>
        <w:t>订货单</w:t>
      </w:r>
      <w:r>
        <w:rPr>
          <w:rFonts w:hint="eastAsia"/>
        </w:rPr>
        <w:t>内容</w:t>
      </w:r>
    </w:p>
    <w:p>
      <w:pPr>
        <w:pStyle w:val="55"/>
        <w:ind w:firstLine="420"/>
        <w:rPr>
          <w:rFonts w:hint="eastAsia"/>
        </w:rPr>
      </w:pPr>
      <w:r>
        <w:rPr>
          <w:rFonts w:hint="eastAsia"/>
        </w:rPr>
        <w:t>订购本文件所列产品的</w:t>
      </w:r>
      <w:r>
        <w:rPr>
          <w:rFonts w:hint="eastAsia"/>
          <w:lang w:eastAsia="zh-CN"/>
        </w:rPr>
        <w:t>订货单</w:t>
      </w:r>
      <w:r>
        <w:rPr>
          <w:rFonts w:hint="eastAsia"/>
        </w:rPr>
        <w:t>应包括下列内容：</w:t>
      </w:r>
    </w:p>
    <w:p>
      <w:pPr>
        <w:pStyle w:val="55"/>
        <w:ind w:firstLine="420" w:firstLineChars="0"/>
        <w:rPr>
          <w:rFonts w:hint="eastAsia"/>
        </w:rPr>
      </w:pPr>
      <w:r>
        <w:rPr>
          <w:rFonts w:hint="eastAsia"/>
        </w:rPr>
        <w:t>a) 产品名称；</w:t>
      </w:r>
    </w:p>
    <w:p>
      <w:pPr>
        <w:pStyle w:val="55"/>
        <w:ind w:firstLine="420" w:firstLineChars="0"/>
        <w:rPr>
          <w:rFonts w:hint="eastAsia"/>
        </w:rPr>
      </w:pPr>
      <w:r>
        <w:rPr>
          <w:rFonts w:hint="eastAsia"/>
        </w:rPr>
        <w:t>b) 牌号；</w:t>
      </w:r>
    </w:p>
    <w:p>
      <w:pPr>
        <w:pStyle w:val="102"/>
        <w:numPr>
          <w:ilvl w:val="0"/>
          <w:numId w:val="20"/>
        </w:numPr>
        <w:ind w:leftChars="0" w:firstLineChars="0"/>
        <w:rPr>
          <w:rFonts w:hint="eastAsia"/>
        </w:rPr>
      </w:pPr>
      <w:r>
        <w:rPr>
          <w:rFonts w:hint="eastAsia"/>
        </w:rPr>
        <w:t>数量；</w:t>
      </w:r>
    </w:p>
    <w:p>
      <w:pPr>
        <w:pStyle w:val="102"/>
        <w:numPr>
          <w:ilvl w:val="0"/>
          <w:numId w:val="20"/>
        </w:numPr>
        <w:ind w:leftChars="0" w:firstLineChars="0"/>
        <w:rPr>
          <w:rFonts w:hint="eastAsia"/>
        </w:rPr>
      </w:pPr>
      <w:r>
        <w:rPr>
          <w:rFonts w:hint="eastAsia"/>
        </w:rPr>
        <w:t>产品性能要求；</w:t>
      </w:r>
    </w:p>
    <w:p>
      <w:pPr>
        <w:pStyle w:val="102"/>
        <w:numPr>
          <w:ilvl w:val="0"/>
          <w:numId w:val="20"/>
        </w:numPr>
        <w:ind w:leftChars="0" w:firstLineChars="0"/>
        <w:rPr>
          <w:rFonts w:hint="eastAsia"/>
        </w:rPr>
      </w:pPr>
      <w:r>
        <w:rPr>
          <w:rFonts w:hint="eastAsia"/>
        </w:rPr>
        <w:t>技术图样；</w:t>
      </w:r>
    </w:p>
    <w:p>
      <w:pPr>
        <w:pStyle w:val="102"/>
        <w:numPr>
          <w:ilvl w:val="0"/>
          <w:numId w:val="20"/>
        </w:numPr>
        <w:ind w:leftChars="0" w:firstLineChars="0"/>
        <w:rPr>
          <w:rFonts w:hint="eastAsia"/>
        </w:rPr>
      </w:pPr>
      <w:r>
        <w:rPr>
          <w:rFonts w:hint="eastAsia"/>
        </w:rPr>
        <w:t>产品模型STL文件尺寸单位。</w:t>
      </w:r>
    </w:p>
    <w:p>
      <w:pPr>
        <w:pStyle w:val="102"/>
        <w:numPr>
          <w:ilvl w:val="0"/>
          <w:numId w:val="20"/>
        </w:numPr>
        <w:ind w:leftChars="0" w:firstLineChars="0"/>
        <w:rPr>
          <w:rFonts w:hint="eastAsia"/>
        </w:rPr>
      </w:pPr>
      <w:r>
        <w:rPr>
          <w:rFonts w:hint="eastAsia"/>
        </w:rPr>
        <w:t>取样方法；</w:t>
      </w:r>
    </w:p>
    <w:p>
      <w:pPr>
        <w:pStyle w:val="102"/>
        <w:numPr>
          <w:ilvl w:val="0"/>
          <w:numId w:val="20"/>
        </w:numPr>
        <w:ind w:leftChars="0" w:firstLineChars="0"/>
        <w:rPr>
          <w:rFonts w:hint="eastAsia"/>
        </w:rPr>
      </w:pPr>
      <w:r>
        <w:rPr>
          <w:rFonts w:hint="eastAsia"/>
        </w:rPr>
        <w:t>后处理工艺要求；</w:t>
      </w:r>
    </w:p>
    <w:p>
      <w:pPr>
        <w:pStyle w:val="102"/>
        <w:numPr>
          <w:ilvl w:val="0"/>
          <w:numId w:val="20"/>
        </w:numPr>
        <w:ind w:leftChars="0" w:firstLineChars="0"/>
        <w:rPr>
          <w:rFonts w:hint="eastAsia"/>
        </w:rPr>
      </w:pPr>
      <w:r>
        <w:rPr>
          <w:rFonts w:hint="eastAsia"/>
        </w:rPr>
        <w:t>热等静压要求；</w:t>
      </w:r>
    </w:p>
    <w:p>
      <w:pPr>
        <w:pStyle w:val="102"/>
        <w:numPr>
          <w:ilvl w:val="0"/>
          <w:numId w:val="20"/>
        </w:numPr>
        <w:ind w:leftChars="0" w:firstLineChars="0"/>
        <w:rPr>
          <w:rFonts w:hint="eastAsia"/>
        </w:rPr>
      </w:pPr>
      <w:r>
        <w:rPr>
          <w:rFonts w:hint="eastAsia"/>
        </w:rPr>
        <w:t>热处理要求；</w:t>
      </w:r>
    </w:p>
    <w:p>
      <w:pPr>
        <w:pStyle w:val="102"/>
        <w:numPr>
          <w:ilvl w:val="0"/>
          <w:numId w:val="20"/>
        </w:numPr>
        <w:ind w:leftChars="0" w:firstLineChars="0"/>
        <w:rPr>
          <w:rFonts w:hint="eastAsia"/>
        </w:rPr>
      </w:pPr>
      <w:r>
        <w:rPr>
          <w:rFonts w:hint="eastAsia"/>
        </w:rPr>
        <w:t>本文件编号；</w:t>
      </w:r>
    </w:p>
    <w:p>
      <w:pPr>
        <w:pStyle w:val="102"/>
        <w:numPr>
          <w:ilvl w:val="0"/>
          <w:numId w:val="20"/>
        </w:numPr>
        <w:ind w:leftChars="0" w:firstLineChars="0"/>
      </w:pPr>
      <w:r>
        <w:rPr>
          <w:rFonts w:hint="eastAsia"/>
        </w:rPr>
        <w:t>其他要求。</w:t>
      </w:r>
      <w:r>
        <w:pict>
          <v:line id="Line 194" o:spid="_x0000_s1027" o:spt="20" style="position:absolute;left:0pt;margin-left:198.75pt;margin-top:101.9pt;height:0pt;width:110pt;z-index:251663360;mso-width-relative:page;mso-height-relative:page;" coordsize="21600,21600" o:allowincell="f" o:gfxdata="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9AHoXY&#10;AAAACwEAAA8AAAAAAAAAAQAgAAAAIgAAAGRycy9kb3ducmV2LnhtbFBLAQIUABQAAAAIAIdO4kDW&#10;5pxCrgEAAFQDAAAOAAAAAAAAAAEAIAAAACcBAABkcnMvZTJvRG9jLnhtbFBLBQYAAAAABgAGAFkB&#10;AABHBQAAAAA=&#10;">
            <v:path arrowok="t"/>
            <v:fill focussize="0,0"/>
            <v:stroke weight="1pt"/>
            <v:imagedata o:title=""/>
            <o:lock v:ext="edit"/>
          </v:line>
        </w:pict>
      </w:r>
    </w:p>
    <w:sectPr>
      <w:footerReference r:id="rId14" w:type="first"/>
      <w:footerReference r:id="rId12" w:type="default"/>
      <w:footerReference r:id="rId13" w:type="even"/>
      <w:pgSz w:w="11907" w:h="16839"/>
      <w:pgMar w:top="1417" w:right="1134" w:bottom="1134" w:left="1418" w:header="1020" w:footer="850" w:gutter="0"/>
      <w:cols w:space="0" w:num="1"/>
      <w:titlePg/>
      <w:docGrid w:type="lines" w:linePitch="317"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Style w:val="34"/>
      </w:rPr>
    </w:pPr>
    <w:r>
      <w:pict>
        <v:shape id="_x0000_s2056" o:spid="_x0000_s205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qXRUQ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6l0VEAIAAAkEAAAOAAAAAAAAAAEAIAAA&#10;AB8BAABkcnMvZTJvRG9jLnhtbFBLBQYAAAAABgAGAFkBAAChBQAAAAA=&#10;">
          <v:path/>
          <v:fill on="f" focussize="0,0"/>
          <v:stroke on="f" weight="0.5pt" joinstyle="miter"/>
          <v:imagedata o:title=""/>
          <o:lock v:ext="edit"/>
          <v:textbox inset="0mm,0mm,0mm,0mm" style="mso-fit-shape-to-text:t;">
            <w:txbxContent>
              <w:p>
                <w:pPr>
                  <w:pStyle w:val="49"/>
                </w:pPr>
                <w:r>
                  <w:rPr>
                    <w:rStyle w:val="34"/>
                  </w:rPr>
                  <w:fldChar w:fldCharType="begin"/>
                </w:r>
                <w:r>
                  <w:rPr>
                    <w:rStyle w:val="34"/>
                  </w:rPr>
                  <w:instrText xml:space="preserve">PAGE  </w:instrText>
                </w:r>
                <w:r>
                  <w:rPr>
                    <w:rStyle w:val="34"/>
                  </w:rPr>
                  <w:fldChar w:fldCharType="separate"/>
                </w:r>
                <w:r>
                  <w:rPr>
                    <w:rStyle w:val="34"/>
                  </w:rPr>
                  <w:t>1</w:t>
                </w:r>
                <w:r>
                  <w:rPr>
                    <w:rStyle w:val="3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r>
      <w:pict>
        <v:shape id="_x0000_s2055" o:spid="_x0000_s2055"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nDlUR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t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U6cOVRECAAAJBAAADgAAAAAAAAABACAA&#10;AAAfAQAAZHJzL2Uyb0RvYy54bWxQSwUGAAAAAAYABgBZAQAAogUAAAAA&#10;">
          <v:path/>
          <v:fill on="f" focussize="0,0"/>
          <v:stroke on="f" weight="0.5pt" joinstyle="miter"/>
          <v:imagedata o:title=""/>
          <o:lock v:ext="edit"/>
          <v:textbox inset="0mm,0mm,0mm,0mm" style="mso-fit-shape-to-text:t;">
            <w:txbxContent>
              <w:p>
                <w:pPr>
                  <w:pStyle w:val="25"/>
                  <w:jc w:val="left"/>
                </w:pPr>
                <w:r>
                  <w:fldChar w:fldCharType="begin"/>
                </w:r>
                <w:r>
                  <w:instrText xml:space="preserve">PAGE   \* MERGEFORMAT</w:instrText>
                </w:r>
                <w:r>
                  <w:fldChar w:fldCharType="separate"/>
                </w:r>
                <w:r>
                  <w:rPr>
                    <w:lang w:val="zh-CN"/>
                  </w:rP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2057" o:spid="_x0000_s2057"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mziA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kmziAPAgAACQQAAA4AAAAAAAAAAQAgAAAA&#10;HwEAAGRycy9lMm9Eb2MueG1sUEsFBgAAAAAGAAYAWQEAAKA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34"/>
      </w:rPr>
    </w:pPr>
    <w:r>
      <w:pict>
        <v:shape id="_x0000_s2053" o:spid="_x0000_s2053"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rnWAR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t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YWudYBECAAAJBAAADgAAAAAAAAABACAA&#10;AAAfAQAAZHJzL2Uyb0RvYy54bWxQSwUGAAAAAAYABgBZAQAAogUAAAAA&#10;">
          <v:path/>
          <v:fill on="f" focussize="0,0"/>
          <v:stroke on="f" weight="0.5pt" joinstyle="miter"/>
          <v:imagedata o:title=""/>
          <o:lock v:ext="edit"/>
          <v:textbox inset="0mm,0mm,0mm,0mm" style="mso-fit-shape-to-text:t;">
            <w:txbxContent>
              <w:p>
                <w:pPr>
                  <w:pStyle w:val="25"/>
                </w:pPr>
                <w:r>
                  <w:fldChar w:fldCharType="begin"/>
                </w:r>
                <w:r>
                  <w:instrText xml:space="preserve">PAGE   \* MERGEFORMAT</w:instrText>
                </w:r>
                <w:r>
                  <w:fldChar w:fldCharType="separate"/>
                </w:r>
                <w:r>
                  <w:rPr>
                    <w:lang w:val="zh-CN"/>
                  </w:rPr>
                  <w:t>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1200" w:hanging="360"/>
    </w:pPr>
    <w:r>
      <w:pict>
        <v:shape id="_x0000_s2054" o:spid="_x0000_s2054"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5ipc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OYqXEAIAAAkEAAAOAAAAAAAAAAEAIAAA&#10;AB8BAABkcnMvZTJvRG9jLnhtbFBLBQYAAAAABgAGAFkBAAChBQAAAAA=&#10;">
          <v:path/>
          <v:fill on="f" focussize="0,0"/>
          <v:stroke on="f" weight="0.5pt" joinstyle="miter"/>
          <v:imagedata o:title=""/>
          <o:lock v:ext="edit"/>
          <v:textbox inset="0mm,0mm,0mm,0mm" style="mso-fit-shape-to-text:t;">
            <w:txbxContent>
              <w:p>
                <w:pPr>
                  <w:pStyle w:val="25"/>
                  <w:ind w:left="1200" w:hanging="360"/>
                </w:pPr>
                <w:r>
                  <w:fldChar w:fldCharType="begin"/>
                </w:r>
                <w:r>
                  <w:instrText xml:space="preserve">PAGE   \* MERGEFORMAT</w:instrText>
                </w:r>
                <w:r>
                  <w:fldChar w:fldCharType="separate"/>
                </w:r>
                <w:r>
                  <w:rPr>
                    <w:lang w:val="zh-CN"/>
                  </w:rPr>
                  <w:t>I</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34"/>
      </w:rPr>
    </w:pPr>
    <w:r>
      <w:pict>
        <v:shape id="_x0000_s2050" o:spid="_x0000_s2050"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path/>
          <v:fill on="f" focussize="0,0"/>
          <v:stroke on="f" weight="0.5pt" joinstyle="miter"/>
          <v:imagedata o:title=""/>
          <o:lock v:ext="edit"/>
          <v:textbox inset="0mm,0mm,0mm,0mm" style="mso-fit-shape-to-text:t;">
            <w:txbxContent>
              <w:p>
                <w:pPr>
                  <w:pStyle w:val="25"/>
                </w:pPr>
                <w:r>
                  <w:fldChar w:fldCharType="begin"/>
                </w:r>
                <w:r>
                  <w:instrText xml:space="preserve">PAGE   \* MERGEFORMAT</w:instrText>
                </w:r>
                <w:r>
                  <w:fldChar w:fldCharType="separate"/>
                </w:r>
                <w:r>
                  <w:rPr>
                    <w:lang w:val="zh-CN"/>
                  </w:rPr>
                  <w:t>3</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r>
      <w:pict>
        <v:shape id="_x0000_s2049" o:spid="_x0000_s2049"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path/>
          <v:fill on="f" focussize="0,0"/>
          <v:stroke on="f" weight="0.5pt" joinstyle="miter"/>
          <v:imagedata o:title=""/>
          <o:lock v:ext="edit"/>
          <v:textbox inset="0mm,0mm,0mm,0mm" style="mso-fit-shape-to-text:t;">
            <w:txbxContent>
              <w:p>
                <w:pPr>
                  <w:pStyle w:val="25"/>
                  <w:jc w:val="left"/>
                </w:pPr>
                <w:r>
                  <w:fldChar w:fldCharType="begin"/>
                </w:r>
                <w:r>
                  <w:instrText xml:space="preserve">PAGE   \* MERGEFORMAT</w:instrText>
                </w:r>
                <w:r>
                  <w:fldChar w:fldCharType="separate"/>
                </w:r>
                <w:r>
                  <w:rPr>
                    <w:lang w:val="zh-CN"/>
                  </w:rPr>
                  <w:t>4</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1200" w:hanging="360"/>
    </w:pPr>
    <w:r>
      <w:pict>
        <v:shape id="_x0000_s2051" o:spid="_x0000_s2051"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path/>
          <v:fill on="f" focussize="0,0"/>
          <v:stroke on="f" weight="0.5pt" joinstyle="miter"/>
          <v:imagedata o:title=""/>
          <o:lock v:ext="edit"/>
          <v:textbox inset="0mm,0mm,0mm,0mm" style="mso-fit-shape-to-text:t;">
            <w:txbxContent>
              <w:p>
                <w:pPr>
                  <w:pStyle w:val="25"/>
                  <w:ind w:left="1200" w:hanging="360"/>
                </w:pPr>
                <w:r>
                  <w:fldChar w:fldCharType="begin"/>
                </w:r>
                <w:r>
                  <w:instrText xml:space="preserve">PAGE   \* MERGEFORMAT</w:instrText>
                </w:r>
                <w:r>
                  <w:fldChar w:fldCharType="separate"/>
                </w:r>
                <w:r>
                  <w:rPr>
                    <w:lang w:val="zh-CN"/>
                  </w:rP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wordWrap w:val="0"/>
      <w:rPr>
        <w:rFonts w:ascii="黑体" w:eastAsia="黑体"/>
        <w:lang w:val="pt-BR"/>
      </w:rPr>
    </w:pPr>
    <w:r>
      <w:rPr>
        <w:rFonts w:ascii="黑体" w:eastAsia="黑体"/>
        <w:lang w:val="pt-BR"/>
      </w:rPr>
      <w:t>GB/T 3488.2-XXXX/ISO 4499-2:2008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wordWrap w:val="0"/>
      <w:rPr>
        <w:rFonts w:ascii="黑体" w:eastAsia="黑体"/>
        <w:lang w:val="pt-BR"/>
      </w:rPr>
    </w:pPr>
    <w:r>
      <w:rPr>
        <w:rFonts w:ascii="黑体" w:eastAsia="黑体"/>
        <w:lang w:val="pt-BR"/>
      </w:rPr>
      <w:t>GB/T 3488.2-XXXX/ISO 4499-2:2008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ascii="黑体" w:hAnsi="黑体" w:eastAsia="黑体" w:cs="黑体"/>
        <w:b w:val="0"/>
        <w:bCs/>
      </w:rPr>
    </w:pPr>
    <w:r>
      <w:rPr>
        <w:rFonts w:hint="eastAsia" w:ascii="黑体" w:hAnsi="黑体" w:eastAsia="黑体" w:cs="黑体"/>
        <w:b w:val="0"/>
        <w:bCs/>
        <w:lang w:val="de-DE"/>
      </w:rPr>
      <w:t>GB/T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2"/>
      <w:suff w:val="nothing"/>
      <w:lvlText w:val="%1%2.%3　"/>
      <w:lvlJc w:val="left"/>
      <w:pPr>
        <w:ind w:left="0" w:firstLine="0"/>
      </w:pPr>
      <w:rPr>
        <w:rFonts w:hint="eastAsia" w:ascii="黑体" w:hAnsi="Times New Roman" w:eastAsia="黑体"/>
        <w:b w:val="0"/>
        <w:i w:val="0"/>
        <w:sz w:val="21"/>
      </w:rPr>
    </w:lvl>
    <w:lvl w:ilvl="3" w:tentative="0">
      <w:start w:val="1"/>
      <w:numFmt w:val="decimal"/>
      <w:pStyle w:val="108"/>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11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EAA1992"/>
    <w:multiLevelType w:val="multilevel"/>
    <w:tmpl w:val="1EAA1992"/>
    <w:lvl w:ilvl="0" w:tentative="0">
      <w:start w:val="1"/>
      <w:numFmt w:val="none"/>
      <w:pStyle w:val="123"/>
      <w:suff w:val="nothing"/>
      <w:lvlText w:val="——"/>
      <w:lvlJc w:val="left"/>
      <w:pPr>
        <w:ind w:left="794" w:hanging="397"/>
      </w:pPr>
      <w:rPr>
        <w:rFonts w:hint="eastAsia" w:ascii="黑体" w:hAnsi="Times New Roman" w:eastAsia="黑体"/>
        <w:b w:val="0"/>
        <w:i w:val="0"/>
        <w:spacing w:val="0"/>
        <w:sz w:val="21"/>
      </w:rPr>
    </w:lvl>
    <w:lvl w:ilvl="1" w:tentative="0">
      <w:start w:val="1"/>
      <w:numFmt w:val="decimal"/>
      <w:suff w:val="nothing"/>
      <w:lvlText w:val="%1.%2　"/>
      <w:lvlJc w:val="left"/>
      <w:pPr>
        <w:ind w:left="397"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397" w:firstLine="0"/>
      </w:pPr>
      <w:rPr>
        <w:rFonts w:hint="eastAsia" w:ascii="黑体" w:hAnsi="Times New Roman" w:eastAsia="黑体"/>
        <w:b w:val="0"/>
        <w:i w:val="0"/>
        <w:sz w:val="21"/>
      </w:rPr>
    </w:lvl>
    <w:lvl w:ilvl="3" w:tentative="0">
      <w:start w:val="1"/>
      <w:numFmt w:val="decimal"/>
      <w:suff w:val="nothing"/>
      <w:lvlText w:val="%1.%2.%3.%4　"/>
      <w:lvlJc w:val="left"/>
      <w:pPr>
        <w:ind w:left="397" w:firstLine="0"/>
      </w:pPr>
      <w:rPr>
        <w:rFonts w:hint="eastAsia" w:ascii="黑体" w:hAnsi="Times New Roman" w:eastAsia="黑体"/>
        <w:b w:val="0"/>
        <w:i w:val="0"/>
        <w:sz w:val="21"/>
      </w:rPr>
    </w:lvl>
    <w:lvl w:ilvl="4" w:tentative="0">
      <w:start w:val="1"/>
      <w:numFmt w:val="decimal"/>
      <w:suff w:val="nothing"/>
      <w:lvlText w:val="%1.%2.%3.%4.%5　"/>
      <w:lvlJc w:val="left"/>
      <w:pPr>
        <w:ind w:left="397" w:firstLine="0"/>
      </w:pPr>
      <w:rPr>
        <w:rFonts w:hint="eastAsia" w:ascii="黑体" w:hAnsi="Times New Roman" w:eastAsia="黑体"/>
        <w:b w:val="0"/>
        <w:i w:val="0"/>
        <w:sz w:val="21"/>
      </w:rPr>
    </w:lvl>
    <w:lvl w:ilvl="5" w:tentative="0">
      <w:start w:val="1"/>
      <w:numFmt w:val="decimal"/>
      <w:suff w:val="nothing"/>
      <w:lvlText w:val="%1.%2.%3.%4.%5.%6　"/>
      <w:lvlJc w:val="left"/>
      <w:pPr>
        <w:ind w:left="397" w:firstLine="0"/>
      </w:pPr>
      <w:rPr>
        <w:rFonts w:hint="eastAsia" w:ascii="黑体" w:hAnsi="Times New Roman" w:eastAsia="黑体"/>
        <w:b w:val="0"/>
        <w:i w:val="0"/>
        <w:sz w:val="21"/>
      </w:rPr>
    </w:lvl>
    <w:lvl w:ilvl="6" w:tentative="0">
      <w:start w:val="1"/>
      <w:numFmt w:val="decimal"/>
      <w:suff w:val="nothing"/>
      <w:lvlText w:val="%1.%2.%3.%4.%5.%6.%7　"/>
      <w:lvlJc w:val="left"/>
      <w:pPr>
        <w:ind w:left="397" w:firstLine="0"/>
      </w:pPr>
      <w:rPr>
        <w:rFonts w:hint="eastAsia" w:ascii="黑体" w:hAnsi="Times New Roman" w:eastAsia="黑体"/>
        <w:b w:val="0"/>
        <w:i w:val="0"/>
        <w:sz w:val="21"/>
      </w:rPr>
    </w:lvl>
    <w:lvl w:ilvl="7" w:tentative="0">
      <w:start w:val="1"/>
      <w:numFmt w:val="decimal"/>
      <w:lvlText w:val="%1.%2.%3.%4.%5.%6.%7.%8"/>
      <w:lvlJc w:val="left"/>
      <w:pPr>
        <w:tabs>
          <w:tab w:val="left" w:pos="4791"/>
        </w:tabs>
        <w:ind w:left="4791" w:hanging="1418"/>
      </w:pPr>
      <w:rPr>
        <w:rFonts w:hint="eastAsia"/>
      </w:rPr>
    </w:lvl>
    <w:lvl w:ilvl="8" w:tentative="0">
      <w:start w:val="1"/>
      <w:numFmt w:val="decimal"/>
      <w:lvlText w:val="%1.%2.%3.%4.%5.%6.%7.%8.%9"/>
      <w:lvlJc w:val="left"/>
      <w:pPr>
        <w:tabs>
          <w:tab w:val="left" w:pos="5499"/>
        </w:tabs>
        <w:ind w:left="5499" w:hanging="1700"/>
      </w:pPr>
      <w:rPr>
        <w:rFonts w:hint="eastAsia"/>
      </w:rPr>
    </w:lvl>
  </w:abstractNum>
  <w:abstractNum w:abstractNumId="3">
    <w:nsid w:val="257D5FF2"/>
    <w:multiLevelType w:val="multilevel"/>
    <w:tmpl w:val="257D5FF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41440833"/>
    <w:multiLevelType w:val="multilevel"/>
    <w:tmpl w:val="41440833"/>
    <w:lvl w:ilvl="0" w:tentative="0">
      <w:start w:val="3"/>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46806F7D"/>
    <w:multiLevelType w:val="multilevel"/>
    <w:tmpl w:val="46806F7D"/>
    <w:lvl w:ilvl="0" w:tentative="0">
      <w:start w:val="1"/>
      <w:numFmt w:val="none"/>
      <w:pStyle w:val="78"/>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6D22D8F"/>
    <w:multiLevelType w:val="multilevel"/>
    <w:tmpl w:val="46D22D8F"/>
    <w:lvl w:ilvl="0" w:tentative="0">
      <w:start w:val="1"/>
      <w:numFmt w:val="none"/>
      <w:pStyle w:val="104"/>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96E4D7B"/>
    <w:multiLevelType w:val="multilevel"/>
    <w:tmpl w:val="496E4D7B"/>
    <w:lvl w:ilvl="0" w:tentative="0">
      <w:start w:val="1"/>
      <w:numFmt w:val="none"/>
      <w:pStyle w:val="10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F302902"/>
    <w:multiLevelType w:val="multilevel"/>
    <w:tmpl w:val="4F302902"/>
    <w:lvl w:ilvl="0" w:tentative="0">
      <w:start w:val="1"/>
      <w:numFmt w:val="none"/>
      <w:pStyle w:val="7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4632751"/>
    <w:multiLevelType w:val="multilevel"/>
    <w:tmpl w:val="54632751"/>
    <w:lvl w:ilvl="0" w:tentative="0">
      <w:start w:val="1"/>
      <w:numFmt w:val="none"/>
      <w:pStyle w:val="124"/>
      <w:suff w:val="nothing"/>
      <w:lvlText w:val="——"/>
      <w:lvlJc w:val="left"/>
      <w:pPr>
        <w:ind w:left="1588" w:firstLine="0"/>
      </w:pPr>
      <w:rPr>
        <w:rFonts w:hint="eastAsia" w:ascii="黑体" w:hAnsi="Times New Roman" w:eastAsia="黑体"/>
        <w:b w:val="0"/>
        <w:i w:val="0"/>
        <w:spacing w:val="0"/>
        <w:sz w:val="21"/>
      </w:rPr>
    </w:lvl>
    <w:lvl w:ilvl="1" w:tentative="0">
      <w:start w:val="1"/>
      <w:numFmt w:val="decimal"/>
      <w:suff w:val="nothing"/>
      <w:lvlText w:val="%1.%2　"/>
      <w:lvlJc w:val="left"/>
      <w:pPr>
        <w:ind w:left="1588"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588" w:firstLine="0"/>
      </w:pPr>
      <w:rPr>
        <w:rFonts w:hint="eastAsia" w:ascii="黑体" w:hAnsi="Times New Roman" w:eastAsia="黑体"/>
        <w:b w:val="0"/>
        <w:i w:val="0"/>
        <w:sz w:val="21"/>
      </w:rPr>
    </w:lvl>
    <w:lvl w:ilvl="3" w:tentative="0">
      <w:start w:val="1"/>
      <w:numFmt w:val="decimal"/>
      <w:suff w:val="nothing"/>
      <w:lvlText w:val="%1.%2.%3.%4　"/>
      <w:lvlJc w:val="left"/>
      <w:pPr>
        <w:ind w:left="1588" w:firstLine="0"/>
      </w:pPr>
      <w:rPr>
        <w:rFonts w:hint="eastAsia" w:ascii="黑体" w:hAnsi="Times New Roman" w:eastAsia="黑体"/>
        <w:b w:val="0"/>
        <w:i w:val="0"/>
        <w:sz w:val="21"/>
      </w:rPr>
    </w:lvl>
    <w:lvl w:ilvl="4" w:tentative="0">
      <w:start w:val="1"/>
      <w:numFmt w:val="decimal"/>
      <w:suff w:val="nothing"/>
      <w:lvlText w:val="%1.%2.%3.%4.%5　"/>
      <w:lvlJc w:val="left"/>
      <w:pPr>
        <w:ind w:left="1588" w:firstLine="0"/>
      </w:pPr>
      <w:rPr>
        <w:rFonts w:hint="eastAsia" w:ascii="黑体" w:hAnsi="Times New Roman" w:eastAsia="黑体"/>
        <w:b w:val="0"/>
        <w:i w:val="0"/>
        <w:sz w:val="21"/>
      </w:rPr>
    </w:lvl>
    <w:lvl w:ilvl="5" w:tentative="0">
      <w:start w:val="1"/>
      <w:numFmt w:val="decimal"/>
      <w:suff w:val="nothing"/>
      <w:lvlText w:val="%1.%2.%3.%4.%5.%6　"/>
      <w:lvlJc w:val="left"/>
      <w:pPr>
        <w:ind w:left="1588" w:firstLine="0"/>
      </w:pPr>
      <w:rPr>
        <w:rFonts w:hint="eastAsia" w:ascii="黑体" w:hAnsi="Times New Roman" w:eastAsia="黑体"/>
        <w:b w:val="0"/>
        <w:i w:val="0"/>
        <w:sz w:val="21"/>
      </w:rPr>
    </w:lvl>
    <w:lvl w:ilvl="6" w:tentative="0">
      <w:start w:val="1"/>
      <w:numFmt w:val="decimal"/>
      <w:suff w:val="nothing"/>
      <w:lvlText w:val="%1.%2.%3.%4.%5.%6.%7　"/>
      <w:lvlJc w:val="left"/>
      <w:pPr>
        <w:ind w:left="1588" w:firstLine="0"/>
      </w:pPr>
      <w:rPr>
        <w:rFonts w:hint="eastAsia" w:ascii="黑体" w:hAnsi="Times New Roman" w:eastAsia="黑体"/>
        <w:b w:val="0"/>
        <w:i w:val="0"/>
        <w:sz w:val="21"/>
      </w:rPr>
    </w:lvl>
    <w:lvl w:ilvl="7" w:tentative="0">
      <w:start w:val="1"/>
      <w:numFmt w:val="decimal"/>
      <w:lvlText w:val="%1.%2.%3.%4.%5.%6.%7.%8"/>
      <w:lvlJc w:val="left"/>
      <w:pPr>
        <w:tabs>
          <w:tab w:val="left" w:pos="5982"/>
        </w:tabs>
        <w:ind w:left="5982" w:hanging="1418"/>
      </w:pPr>
      <w:rPr>
        <w:rFonts w:hint="eastAsia"/>
      </w:rPr>
    </w:lvl>
    <w:lvl w:ilvl="8" w:tentative="0">
      <w:start w:val="1"/>
      <w:numFmt w:val="decimal"/>
      <w:lvlText w:val="%1.%2.%3.%4.%5.%6.%7.%8.%9"/>
      <w:lvlJc w:val="left"/>
      <w:pPr>
        <w:tabs>
          <w:tab w:val="left" w:pos="6690"/>
        </w:tabs>
        <w:ind w:left="6690" w:hanging="1700"/>
      </w:pPr>
      <w:rPr>
        <w:rFonts w:hint="eastAsia"/>
      </w:rPr>
    </w:lvl>
  </w:abstractNum>
  <w:abstractNum w:abstractNumId="11">
    <w:nsid w:val="557C2AF5"/>
    <w:multiLevelType w:val="multilevel"/>
    <w:tmpl w:val="557C2AF5"/>
    <w:lvl w:ilvl="0" w:tentative="0">
      <w:start w:val="1"/>
      <w:numFmt w:val="decimal"/>
      <w:pStyle w:val="9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5CA56962"/>
    <w:multiLevelType w:val="multilevel"/>
    <w:tmpl w:val="5CA56962"/>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ascii="黑体" w:hAnsi="黑体" w:eastAsia="黑体"/>
      </w:rPr>
    </w:lvl>
    <w:lvl w:ilvl="2" w:tentative="0">
      <w:start w:val="1"/>
      <w:numFmt w:val="decimal"/>
      <w:lvlText w:val="%1.%2.%3"/>
      <w:lvlJc w:val="left"/>
      <w:pPr>
        <w:ind w:left="720" w:hanging="720"/>
      </w:pPr>
      <w:rPr>
        <w:rFonts w:hint="default" w:ascii="黑体" w:hAnsi="黑体" w:eastAsia="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3">
    <w:nsid w:val="6350366A"/>
    <w:multiLevelType w:val="multilevel"/>
    <w:tmpl w:val="6350366A"/>
    <w:lvl w:ilvl="0" w:tentative="0">
      <w:start w:val="1"/>
      <w:numFmt w:val="none"/>
      <w:pStyle w:val="83"/>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46260FA"/>
    <w:multiLevelType w:val="multilevel"/>
    <w:tmpl w:val="646260FA"/>
    <w:lvl w:ilvl="0" w:tentative="0">
      <w:start w:val="1"/>
      <w:numFmt w:val="decimal"/>
      <w:pStyle w:val="9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71"/>
      <w:suff w:val="nothing"/>
      <w:lvlText w:val="附　录　%1"/>
      <w:lvlJc w:val="left"/>
      <w:pPr>
        <w:ind w:left="0" w:firstLine="0"/>
      </w:pPr>
      <w:rPr>
        <w:rFonts w:hint="eastAsia" w:ascii="黑体" w:hAnsi="Times New Roman" w:eastAsia="黑体"/>
        <w:b w:val="0"/>
        <w:i w:val="0"/>
        <w:sz w:val="21"/>
      </w:rPr>
    </w:lvl>
    <w:lvl w:ilvl="1" w:tentative="0">
      <w:start w:val="1"/>
      <w:numFmt w:val="decimal"/>
      <w:pStyle w:val="7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7"/>
      <w:suff w:val="nothing"/>
      <w:lvlText w:val="%1.%2.%3.%4.%5.%6　"/>
      <w:lvlJc w:val="left"/>
      <w:pPr>
        <w:ind w:left="0" w:firstLine="0"/>
      </w:pPr>
      <w:rPr>
        <w:rFonts w:hint="eastAsia" w:ascii="黑体" w:hAnsi="Times New Roman" w:eastAsia="黑体"/>
        <w:b w:val="0"/>
        <w:i w:val="0"/>
        <w:sz w:val="21"/>
      </w:rPr>
    </w:lvl>
    <w:lvl w:ilvl="6" w:tentative="0">
      <w:start w:val="1"/>
      <w:numFmt w:val="decimal"/>
      <w:pStyle w:val="7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CEA2025"/>
    <w:multiLevelType w:val="multilevel"/>
    <w:tmpl w:val="6CEA2025"/>
    <w:lvl w:ilvl="0" w:tentative="0">
      <w:start w:val="1"/>
      <w:numFmt w:val="none"/>
      <w:pStyle w:val="53"/>
      <w:suff w:val="nothing"/>
      <w:lvlText w:val="%1"/>
      <w:lvlJc w:val="left"/>
      <w:pPr>
        <w:ind w:left="0" w:firstLine="0"/>
      </w:pPr>
      <w:rPr>
        <w:rFonts w:hint="default" w:ascii="Times New Roman" w:hAnsi="Times New Roman"/>
        <w:b/>
        <w:i w:val="0"/>
        <w:sz w:val="21"/>
      </w:rPr>
    </w:lvl>
    <w:lvl w:ilvl="1" w:tentative="0">
      <w:start w:val="1"/>
      <w:numFmt w:val="decimal"/>
      <w:pStyle w:val="56"/>
      <w:suff w:val="nothing"/>
      <w:lvlText w:val="%1%2　"/>
      <w:lvlJc w:val="left"/>
      <w:pPr>
        <w:ind w:left="0" w:firstLine="0"/>
      </w:pPr>
      <w:rPr>
        <w:rFonts w:hint="eastAsia" w:ascii="黑体" w:hAnsi="Times New Roman" w:eastAsia="黑体"/>
        <w:b w:val="0"/>
        <w:i w:val="0"/>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BF04F4"/>
    <w:multiLevelType w:val="multilevel"/>
    <w:tmpl w:val="6DBF04F4"/>
    <w:lvl w:ilvl="0" w:tentative="0">
      <w:start w:val="1"/>
      <w:numFmt w:val="none"/>
      <w:pStyle w:val="10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6933334"/>
    <w:multiLevelType w:val="multilevel"/>
    <w:tmpl w:val="76933334"/>
    <w:lvl w:ilvl="0" w:tentative="0">
      <w:start w:val="1"/>
      <w:numFmt w:val="none"/>
      <w:pStyle w:val="8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BC80201"/>
    <w:multiLevelType w:val="multilevel"/>
    <w:tmpl w:val="7BC80201"/>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5"/>
  </w:num>
  <w:num w:numId="3">
    <w:abstractNumId w:val="9"/>
  </w:num>
  <w:num w:numId="4">
    <w:abstractNumId w:val="6"/>
  </w:num>
  <w:num w:numId="5">
    <w:abstractNumId w:val="18"/>
  </w:num>
  <w:num w:numId="6">
    <w:abstractNumId w:val="13"/>
  </w:num>
  <w:num w:numId="7">
    <w:abstractNumId w:val="1"/>
  </w:num>
  <w:num w:numId="8">
    <w:abstractNumId w:val="14"/>
  </w:num>
  <w:num w:numId="9">
    <w:abstractNumId w:val="11"/>
  </w:num>
  <w:num w:numId="10">
    <w:abstractNumId w:val="17"/>
  </w:num>
  <w:num w:numId="11">
    <w:abstractNumId w:val="8"/>
  </w:num>
  <w:num w:numId="12">
    <w:abstractNumId w:val="7"/>
  </w:num>
  <w:num w:numId="13">
    <w:abstractNumId w:val="0"/>
  </w:num>
  <w:num w:numId="14">
    <w:abstractNumId w:val="2"/>
  </w:num>
  <w:num w:numId="15">
    <w:abstractNumId w:val="10"/>
  </w:num>
  <w:num w:numId="16">
    <w:abstractNumId w:val="19"/>
  </w:num>
  <w:num w:numId="17">
    <w:abstractNumId w:val="12"/>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linkStyles/>
  <w:attachedTemplate r:id="rId1"/>
  <w:documentProtection w:enforcement="0"/>
  <w:defaultTabStop w:val="420"/>
  <w:evenAndOddHeaders w:val="1"/>
  <w:drawingGridHorizontalSpacing w:val="105"/>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127AC"/>
    <w:rsid w:val="00000795"/>
    <w:rsid w:val="00001796"/>
    <w:rsid w:val="000020F7"/>
    <w:rsid w:val="00006CAC"/>
    <w:rsid w:val="00007C4D"/>
    <w:rsid w:val="000111EB"/>
    <w:rsid w:val="00011EEE"/>
    <w:rsid w:val="00012EAC"/>
    <w:rsid w:val="00015B84"/>
    <w:rsid w:val="00017650"/>
    <w:rsid w:val="000227BD"/>
    <w:rsid w:val="000249D2"/>
    <w:rsid w:val="00025EE5"/>
    <w:rsid w:val="000277AB"/>
    <w:rsid w:val="00031F19"/>
    <w:rsid w:val="00032B04"/>
    <w:rsid w:val="00032BFB"/>
    <w:rsid w:val="000348E3"/>
    <w:rsid w:val="00035E36"/>
    <w:rsid w:val="00036B7D"/>
    <w:rsid w:val="000410A7"/>
    <w:rsid w:val="00041139"/>
    <w:rsid w:val="00042EAA"/>
    <w:rsid w:val="00043168"/>
    <w:rsid w:val="00043CD0"/>
    <w:rsid w:val="000440CF"/>
    <w:rsid w:val="00045CD2"/>
    <w:rsid w:val="00050AD7"/>
    <w:rsid w:val="0005110D"/>
    <w:rsid w:val="000520AA"/>
    <w:rsid w:val="000556F2"/>
    <w:rsid w:val="00055EF7"/>
    <w:rsid w:val="00057654"/>
    <w:rsid w:val="00057B96"/>
    <w:rsid w:val="000634A7"/>
    <w:rsid w:val="00065155"/>
    <w:rsid w:val="00065263"/>
    <w:rsid w:val="00065815"/>
    <w:rsid w:val="00065B85"/>
    <w:rsid w:val="00065D21"/>
    <w:rsid w:val="000708A7"/>
    <w:rsid w:val="00072952"/>
    <w:rsid w:val="00072CAD"/>
    <w:rsid w:val="00073EED"/>
    <w:rsid w:val="00074A26"/>
    <w:rsid w:val="00076291"/>
    <w:rsid w:val="00076845"/>
    <w:rsid w:val="0007739B"/>
    <w:rsid w:val="00077573"/>
    <w:rsid w:val="00077610"/>
    <w:rsid w:val="0008093E"/>
    <w:rsid w:val="00081556"/>
    <w:rsid w:val="00082A51"/>
    <w:rsid w:val="000831A8"/>
    <w:rsid w:val="000842AB"/>
    <w:rsid w:val="00084570"/>
    <w:rsid w:val="00084887"/>
    <w:rsid w:val="00085099"/>
    <w:rsid w:val="000853C5"/>
    <w:rsid w:val="00090784"/>
    <w:rsid w:val="000912BE"/>
    <w:rsid w:val="000915B0"/>
    <w:rsid w:val="00095EB4"/>
    <w:rsid w:val="00096C20"/>
    <w:rsid w:val="00097E31"/>
    <w:rsid w:val="000A0811"/>
    <w:rsid w:val="000A2BB3"/>
    <w:rsid w:val="000A2E0C"/>
    <w:rsid w:val="000A3512"/>
    <w:rsid w:val="000A3E80"/>
    <w:rsid w:val="000A624C"/>
    <w:rsid w:val="000A6677"/>
    <w:rsid w:val="000B051A"/>
    <w:rsid w:val="000B0B0E"/>
    <w:rsid w:val="000B275C"/>
    <w:rsid w:val="000B2AE3"/>
    <w:rsid w:val="000B2C7B"/>
    <w:rsid w:val="000B3E1C"/>
    <w:rsid w:val="000B5116"/>
    <w:rsid w:val="000B58AC"/>
    <w:rsid w:val="000B6439"/>
    <w:rsid w:val="000C156E"/>
    <w:rsid w:val="000C1F54"/>
    <w:rsid w:val="000C27CF"/>
    <w:rsid w:val="000C364B"/>
    <w:rsid w:val="000D0E16"/>
    <w:rsid w:val="000D1698"/>
    <w:rsid w:val="000D1A4A"/>
    <w:rsid w:val="000D1ADA"/>
    <w:rsid w:val="000D3DC0"/>
    <w:rsid w:val="000D3E86"/>
    <w:rsid w:val="000E114E"/>
    <w:rsid w:val="000E14DC"/>
    <w:rsid w:val="000E248F"/>
    <w:rsid w:val="000E27C6"/>
    <w:rsid w:val="000E2CE9"/>
    <w:rsid w:val="000E3BA5"/>
    <w:rsid w:val="000E5631"/>
    <w:rsid w:val="000E5813"/>
    <w:rsid w:val="000E6197"/>
    <w:rsid w:val="000E6775"/>
    <w:rsid w:val="000E710A"/>
    <w:rsid w:val="000E719C"/>
    <w:rsid w:val="000E75E4"/>
    <w:rsid w:val="000E7DEB"/>
    <w:rsid w:val="000F1043"/>
    <w:rsid w:val="000F18D8"/>
    <w:rsid w:val="000F3ABD"/>
    <w:rsid w:val="000F3CA4"/>
    <w:rsid w:val="000F3F36"/>
    <w:rsid w:val="000F41CC"/>
    <w:rsid w:val="000F7487"/>
    <w:rsid w:val="00101045"/>
    <w:rsid w:val="001017C2"/>
    <w:rsid w:val="0010386B"/>
    <w:rsid w:val="00103E5D"/>
    <w:rsid w:val="001040BC"/>
    <w:rsid w:val="00104A20"/>
    <w:rsid w:val="00105445"/>
    <w:rsid w:val="00106B81"/>
    <w:rsid w:val="001117C5"/>
    <w:rsid w:val="00112151"/>
    <w:rsid w:val="001131F1"/>
    <w:rsid w:val="0012145F"/>
    <w:rsid w:val="0012196B"/>
    <w:rsid w:val="001223AF"/>
    <w:rsid w:val="00123CE5"/>
    <w:rsid w:val="001262B7"/>
    <w:rsid w:val="00127FDB"/>
    <w:rsid w:val="00131450"/>
    <w:rsid w:val="00134DE2"/>
    <w:rsid w:val="001365AB"/>
    <w:rsid w:val="00136A86"/>
    <w:rsid w:val="001375F7"/>
    <w:rsid w:val="00140C99"/>
    <w:rsid w:val="00141721"/>
    <w:rsid w:val="00141FFB"/>
    <w:rsid w:val="00142593"/>
    <w:rsid w:val="00142628"/>
    <w:rsid w:val="001445ED"/>
    <w:rsid w:val="00144939"/>
    <w:rsid w:val="001479CC"/>
    <w:rsid w:val="00150078"/>
    <w:rsid w:val="00150424"/>
    <w:rsid w:val="00150FF2"/>
    <w:rsid w:val="00156D26"/>
    <w:rsid w:val="0016316A"/>
    <w:rsid w:val="00163294"/>
    <w:rsid w:val="001657F1"/>
    <w:rsid w:val="00165930"/>
    <w:rsid w:val="00167690"/>
    <w:rsid w:val="00171DEB"/>
    <w:rsid w:val="00174A89"/>
    <w:rsid w:val="00181C7E"/>
    <w:rsid w:val="0018231D"/>
    <w:rsid w:val="00184547"/>
    <w:rsid w:val="0019012E"/>
    <w:rsid w:val="00192BC5"/>
    <w:rsid w:val="001930B7"/>
    <w:rsid w:val="001934F9"/>
    <w:rsid w:val="00193CBC"/>
    <w:rsid w:val="00194DEA"/>
    <w:rsid w:val="001962E7"/>
    <w:rsid w:val="00197343"/>
    <w:rsid w:val="001A187F"/>
    <w:rsid w:val="001A2CC4"/>
    <w:rsid w:val="001A6385"/>
    <w:rsid w:val="001A6B0B"/>
    <w:rsid w:val="001B00A6"/>
    <w:rsid w:val="001B053A"/>
    <w:rsid w:val="001B07F2"/>
    <w:rsid w:val="001B0F38"/>
    <w:rsid w:val="001B1A58"/>
    <w:rsid w:val="001B24C4"/>
    <w:rsid w:val="001B2C30"/>
    <w:rsid w:val="001B2C59"/>
    <w:rsid w:val="001B64B2"/>
    <w:rsid w:val="001B6B43"/>
    <w:rsid w:val="001B7572"/>
    <w:rsid w:val="001C434D"/>
    <w:rsid w:val="001C5C52"/>
    <w:rsid w:val="001C7707"/>
    <w:rsid w:val="001C7C78"/>
    <w:rsid w:val="001D05D0"/>
    <w:rsid w:val="001D088D"/>
    <w:rsid w:val="001D0C3A"/>
    <w:rsid w:val="001D67D4"/>
    <w:rsid w:val="001E2CCA"/>
    <w:rsid w:val="001E456E"/>
    <w:rsid w:val="001E79D8"/>
    <w:rsid w:val="001F02AB"/>
    <w:rsid w:val="001F04D2"/>
    <w:rsid w:val="001F62F1"/>
    <w:rsid w:val="002001D4"/>
    <w:rsid w:val="002004CC"/>
    <w:rsid w:val="002011A7"/>
    <w:rsid w:val="00202574"/>
    <w:rsid w:val="00202B69"/>
    <w:rsid w:val="002045CC"/>
    <w:rsid w:val="002065A0"/>
    <w:rsid w:val="00207448"/>
    <w:rsid w:val="00211C2A"/>
    <w:rsid w:val="00211E66"/>
    <w:rsid w:val="002127AC"/>
    <w:rsid w:val="00212EB8"/>
    <w:rsid w:val="00213E25"/>
    <w:rsid w:val="0021510D"/>
    <w:rsid w:val="00215EA9"/>
    <w:rsid w:val="00221779"/>
    <w:rsid w:val="002227D2"/>
    <w:rsid w:val="00224236"/>
    <w:rsid w:val="002242FA"/>
    <w:rsid w:val="00224EF9"/>
    <w:rsid w:val="00225E89"/>
    <w:rsid w:val="00226889"/>
    <w:rsid w:val="00226C28"/>
    <w:rsid w:val="0023312C"/>
    <w:rsid w:val="002344AC"/>
    <w:rsid w:val="00234CEF"/>
    <w:rsid w:val="00236A1F"/>
    <w:rsid w:val="00236EC3"/>
    <w:rsid w:val="002378D1"/>
    <w:rsid w:val="00237CBB"/>
    <w:rsid w:val="00241480"/>
    <w:rsid w:val="002454FD"/>
    <w:rsid w:val="00246821"/>
    <w:rsid w:val="002504DE"/>
    <w:rsid w:val="002555AC"/>
    <w:rsid w:val="00255B84"/>
    <w:rsid w:val="002576B4"/>
    <w:rsid w:val="002619BC"/>
    <w:rsid w:val="00262FD1"/>
    <w:rsid w:val="002668AC"/>
    <w:rsid w:val="00266FD0"/>
    <w:rsid w:val="00271742"/>
    <w:rsid w:val="00272006"/>
    <w:rsid w:val="0027206E"/>
    <w:rsid w:val="00272FDF"/>
    <w:rsid w:val="00273729"/>
    <w:rsid w:val="002737DC"/>
    <w:rsid w:val="00276C97"/>
    <w:rsid w:val="00277B4B"/>
    <w:rsid w:val="00277E1D"/>
    <w:rsid w:val="002865A7"/>
    <w:rsid w:val="00286C1E"/>
    <w:rsid w:val="00286FE5"/>
    <w:rsid w:val="002907EA"/>
    <w:rsid w:val="00290E3B"/>
    <w:rsid w:val="00294713"/>
    <w:rsid w:val="00295379"/>
    <w:rsid w:val="002A09B5"/>
    <w:rsid w:val="002A30A0"/>
    <w:rsid w:val="002B0BE3"/>
    <w:rsid w:val="002B0DF1"/>
    <w:rsid w:val="002B0E9B"/>
    <w:rsid w:val="002B12E3"/>
    <w:rsid w:val="002B3882"/>
    <w:rsid w:val="002B52FD"/>
    <w:rsid w:val="002B55F9"/>
    <w:rsid w:val="002C3B1F"/>
    <w:rsid w:val="002C5FD1"/>
    <w:rsid w:val="002C61F3"/>
    <w:rsid w:val="002C67C0"/>
    <w:rsid w:val="002C7EDD"/>
    <w:rsid w:val="002D0E11"/>
    <w:rsid w:val="002E0456"/>
    <w:rsid w:val="002E0CEF"/>
    <w:rsid w:val="002E1A55"/>
    <w:rsid w:val="002E2F26"/>
    <w:rsid w:val="002E355D"/>
    <w:rsid w:val="002E405F"/>
    <w:rsid w:val="002E53EF"/>
    <w:rsid w:val="002E558B"/>
    <w:rsid w:val="002E6CDC"/>
    <w:rsid w:val="002F3E51"/>
    <w:rsid w:val="002F6383"/>
    <w:rsid w:val="002F6873"/>
    <w:rsid w:val="00300238"/>
    <w:rsid w:val="003012DA"/>
    <w:rsid w:val="00303058"/>
    <w:rsid w:val="00303CDC"/>
    <w:rsid w:val="0030428F"/>
    <w:rsid w:val="00306250"/>
    <w:rsid w:val="003063D6"/>
    <w:rsid w:val="00310BA0"/>
    <w:rsid w:val="00311522"/>
    <w:rsid w:val="0031306D"/>
    <w:rsid w:val="00313338"/>
    <w:rsid w:val="00313E48"/>
    <w:rsid w:val="003151F0"/>
    <w:rsid w:val="0031673E"/>
    <w:rsid w:val="00317530"/>
    <w:rsid w:val="003234C2"/>
    <w:rsid w:val="0032389B"/>
    <w:rsid w:val="00325406"/>
    <w:rsid w:val="0032545A"/>
    <w:rsid w:val="0032799E"/>
    <w:rsid w:val="003300F7"/>
    <w:rsid w:val="00336B8A"/>
    <w:rsid w:val="0033764C"/>
    <w:rsid w:val="003431A7"/>
    <w:rsid w:val="003474E1"/>
    <w:rsid w:val="00356742"/>
    <w:rsid w:val="00356C96"/>
    <w:rsid w:val="003602F8"/>
    <w:rsid w:val="00361F0A"/>
    <w:rsid w:val="00367A4C"/>
    <w:rsid w:val="003717BD"/>
    <w:rsid w:val="00371902"/>
    <w:rsid w:val="00373240"/>
    <w:rsid w:val="003805A9"/>
    <w:rsid w:val="00381886"/>
    <w:rsid w:val="003821EE"/>
    <w:rsid w:val="0038404E"/>
    <w:rsid w:val="00384BB1"/>
    <w:rsid w:val="00390625"/>
    <w:rsid w:val="0039293F"/>
    <w:rsid w:val="00394AD3"/>
    <w:rsid w:val="00395436"/>
    <w:rsid w:val="00395935"/>
    <w:rsid w:val="0039606D"/>
    <w:rsid w:val="00397FB9"/>
    <w:rsid w:val="003A31C3"/>
    <w:rsid w:val="003A352F"/>
    <w:rsid w:val="003A3B3C"/>
    <w:rsid w:val="003A5215"/>
    <w:rsid w:val="003A6A00"/>
    <w:rsid w:val="003B1044"/>
    <w:rsid w:val="003B61EB"/>
    <w:rsid w:val="003B6A1F"/>
    <w:rsid w:val="003C2B43"/>
    <w:rsid w:val="003C3E33"/>
    <w:rsid w:val="003C597A"/>
    <w:rsid w:val="003C6EF9"/>
    <w:rsid w:val="003D0834"/>
    <w:rsid w:val="003D0A40"/>
    <w:rsid w:val="003D1F99"/>
    <w:rsid w:val="003D5932"/>
    <w:rsid w:val="003D5981"/>
    <w:rsid w:val="003D619D"/>
    <w:rsid w:val="003D6F26"/>
    <w:rsid w:val="003E01A8"/>
    <w:rsid w:val="003E1E4F"/>
    <w:rsid w:val="003E20F9"/>
    <w:rsid w:val="003E32FE"/>
    <w:rsid w:val="003E65D3"/>
    <w:rsid w:val="003F0CC9"/>
    <w:rsid w:val="003F1903"/>
    <w:rsid w:val="003F54D3"/>
    <w:rsid w:val="00405356"/>
    <w:rsid w:val="00411E4F"/>
    <w:rsid w:val="00415E50"/>
    <w:rsid w:val="004212E8"/>
    <w:rsid w:val="0042390D"/>
    <w:rsid w:val="00424A14"/>
    <w:rsid w:val="004256B1"/>
    <w:rsid w:val="00426DB5"/>
    <w:rsid w:val="00426F75"/>
    <w:rsid w:val="00427108"/>
    <w:rsid w:val="00433547"/>
    <w:rsid w:val="00434B8C"/>
    <w:rsid w:val="00434C9B"/>
    <w:rsid w:val="004367C2"/>
    <w:rsid w:val="00437116"/>
    <w:rsid w:val="00437D0B"/>
    <w:rsid w:val="00437F4A"/>
    <w:rsid w:val="00437F62"/>
    <w:rsid w:val="00440DFD"/>
    <w:rsid w:val="004412B6"/>
    <w:rsid w:val="004416DF"/>
    <w:rsid w:val="00444652"/>
    <w:rsid w:val="004476F2"/>
    <w:rsid w:val="0044787D"/>
    <w:rsid w:val="00450A2E"/>
    <w:rsid w:val="00450FDB"/>
    <w:rsid w:val="00457559"/>
    <w:rsid w:val="00460E02"/>
    <w:rsid w:val="00461BF9"/>
    <w:rsid w:val="004622CF"/>
    <w:rsid w:val="0046417E"/>
    <w:rsid w:val="00464846"/>
    <w:rsid w:val="00464ADD"/>
    <w:rsid w:val="00464DB7"/>
    <w:rsid w:val="0047231E"/>
    <w:rsid w:val="0047398E"/>
    <w:rsid w:val="0047610D"/>
    <w:rsid w:val="00476666"/>
    <w:rsid w:val="00481C5F"/>
    <w:rsid w:val="00482A8B"/>
    <w:rsid w:val="00482EC7"/>
    <w:rsid w:val="00483057"/>
    <w:rsid w:val="00485B59"/>
    <w:rsid w:val="004911AC"/>
    <w:rsid w:val="00494B16"/>
    <w:rsid w:val="004958DA"/>
    <w:rsid w:val="004A14E6"/>
    <w:rsid w:val="004A1AA8"/>
    <w:rsid w:val="004A2FF6"/>
    <w:rsid w:val="004B1587"/>
    <w:rsid w:val="004B2296"/>
    <w:rsid w:val="004B4C33"/>
    <w:rsid w:val="004B5A2D"/>
    <w:rsid w:val="004B77FD"/>
    <w:rsid w:val="004C0009"/>
    <w:rsid w:val="004C08A5"/>
    <w:rsid w:val="004C0955"/>
    <w:rsid w:val="004C38E6"/>
    <w:rsid w:val="004C56D7"/>
    <w:rsid w:val="004D0911"/>
    <w:rsid w:val="004D0939"/>
    <w:rsid w:val="004D2B01"/>
    <w:rsid w:val="004D36DF"/>
    <w:rsid w:val="004D4D11"/>
    <w:rsid w:val="004D526E"/>
    <w:rsid w:val="004D566B"/>
    <w:rsid w:val="004D767B"/>
    <w:rsid w:val="004E3DC1"/>
    <w:rsid w:val="004E41EB"/>
    <w:rsid w:val="004E6046"/>
    <w:rsid w:val="004E76DC"/>
    <w:rsid w:val="004F0FE7"/>
    <w:rsid w:val="004F1756"/>
    <w:rsid w:val="004F3D0C"/>
    <w:rsid w:val="004F6C50"/>
    <w:rsid w:val="004F7D73"/>
    <w:rsid w:val="00500A44"/>
    <w:rsid w:val="005019FE"/>
    <w:rsid w:val="00502FC8"/>
    <w:rsid w:val="00503F42"/>
    <w:rsid w:val="00507FA1"/>
    <w:rsid w:val="00513B8A"/>
    <w:rsid w:val="0051795E"/>
    <w:rsid w:val="005222C4"/>
    <w:rsid w:val="005238C1"/>
    <w:rsid w:val="0052438C"/>
    <w:rsid w:val="00525639"/>
    <w:rsid w:val="00526CAF"/>
    <w:rsid w:val="00531F44"/>
    <w:rsid w:val="00536583"/>
    <w:rsid w:val="00536828"/>
    <w:rsid w:val="00537AB3"/>
    <w:rsid w:val="00542392"/>
    <w:rsid w:val="00546D4D"/>
    <w:rsid w:val="00547260"/>
    <w:rsid w:val="00551032"/>
    <w:rsid w:val="00551B8D"/>
    <w:rsid w:val="0055214B"/>
    <w:rsid w:val="0055476A"/>
    <w:rsid w:val="00554DB9"/>
    <w:rsid w:val="005573C5"/>
    <w:rsid w:val="00573259"/>
    <w:rsid w:val="0058023E"/>
    <w:rsid w:val="00581211"/>
    <w:rsid w:val="005837E2"/>
    <w:rsid w:val="0058597F"/>
    <w:rsid w:val="00586FA9"/>
    <w:rsid w:val="0058779C"/>
    <w:rsid w:val="0059134B"/>
    <w:rsid w:val="0059405D"/>
    <w:rsid w:val="005A2252"/>
    <w:rsid w:val="005B1E88"/>
    <w:rsid w:val="005B2E58"/>
    <w:rsid w:val="005B633C"/>
    <w:rsid w:val="005B7B16"/>
    <w:rsid w:val="005C2F78"/>
    <w:rsid w:val="005C3A96"/>
    <w:rsid w:val="005C3C2B"/>
    <w:rsid w:val="005C58E7"/>
    <w:rsid w:val="005D212E"/>
    <w:rsid w:val="005D4BA3"/>
    <w:rsid w:val="005D69CE"/>
    <w:rsid w:val="005D77B6"/>
    <w:rsid w:val="005E1232"/>
    <w:rsid w:val="005E76E4"/>
    <w:rsid w:val="005F3A85"/>
    <w:rsid w:val="005F6AC3"/>
    <w:rsid w:val="005F732A"/>
    <w:rsid w:val="006012D3"/>
    <w:rsid w:val="00602A07"/>
    <w:rsid w:val="006038A9"/>
    <w:rsid w:val="0060532D"/>
    <w:rsid w:val="00605574"/>
    <w:rsid w:val="0060593D"/>
    <w:rsid w:val="006060AC"/>
    <w:rsid w:val="0060634F"/>
    <w:rsid w:val="00607030"/>
    <w:rsid w:val="00607492"/>
    <w:rsid w:val="006108AF"/>
    <w:rsid w:val="00611E1D"/>
    <w:rsid w:val="0061386C"/>
    <w:rsid w:val="00614C30"/>
    <w:rsid w:val="006168E9"/>
    <w:rsid w:val="00620C03"/>
    <w:rsid w:val="00620D2C"/>
    <w:rsid w:val="00622335"/>
    <w:rsid w:val="00622C25"/>
    <w:rsid w:val="00622F61"/>
    <w:rsid w:val="00623D79"/>
    <w:rsid w:val="00625E91"/>
    <w:rsid w:val="00626807"/>
    <w:rsid w:val="00632563"/>
    <w:rsid w:val="006335F5"/>
    <w:rsid w:val="00635CEF"/>
    <w:rsid w:val="00636019"/>
    <w:rsid w:val="006375D7"/>
    <w:rsid w:val="00643583"/>
    <w:rsid w:val="00643BF6"/>
    <w:rsid w:val="006462A5"/>
    <w:rsid w:val="0064633B"/>
    <w:rsid w:val="00650838"/>
    <w:rsid w:val="00655C6B"/>
    <w:rsid w:val="006677EA"/>
    <w:rsid w:val="00672D36"/>
    <w:rsid w:val="0067327F"/>
    <w:rsid w:val="00673863"/>
    <w:rsid w:val="006740A6"/>
    <w:rsid w:val="00681515"/>
    <w:rsid w:val="00681F9D"/>
    <w:rsid w:val="00683A5F"/>
    <w:rsid w:val="00685475"/>
    <w:rsid w:val="006871B5"/>
    <w:rsid w:val="00687F48"/>
    <w:rsid w:val="00687F8E"/>
    <w:rsid w:val="00690C3F"/>
    <w:rsid w:val="006916EC"/>
    <w:rsid w:val="00691A3A"/>
    <w:rsid w:val="00692CBE"/>
    <w:rsid w:val="006934C0"/>
    <w:rsid w:val="006963DA"/>
    <w:rsid w:val="00696506"/>
    <w:rsid w:val="006A089E"/>
    <w:rsid w:val="006A1C13"/>
    <w:rsid w:val="006A2764"/>
    <w:rsid w:val="006A3C58"/>
    <w:rsid w:val="006A72A0"/>
    <w:rsid w:val="006A7647"/>
    <w:rsid w:val="006B1AC3"/>
    <w:rsid w:val="006B29B6"/>
    <w:rsid w:val="006B428A"/>
    <w:rsid w:val="006C19CE"/>
    <w:rsid w:val="006C3912"/>
    <w:rsid w:val="006C7461"/>
    <w:rsid w:val="006C7F02"/>
    <w:rsid w:val="006D02BB"/>
    <w:rsid w:val="006D5397"/>
    <w:rsid w:val="006D5D76"/>
    <w:rsid w:val="006D642D"/>
    <w:rsid w:val="006D72A1"/>
    <w:rsid w:val="006D755D"/>
    <w:rsid w:val="006E09ED"/>
    <w:rsid w:val="006E176D"/>
    <w:rsid w:val="006E187D"/>
    <w:rsid w:val="006E22FD"/>
    <w:rsid w:val="006E58CE"/>
    <w:rsid w:val="006F0CB9"/>
    <w:rsid w:val="006F0ED5"/>
    <w:rsid w:val="006F211B"/>
    <w:rsid w:val="006F2374"/>
    <w:rsid w:val="006F26CE"/>
    <w:rsid w:val="006F68CD"/>
    <w:rsid w:val="00702BD6"/>
    <w:rsid w:val="00710467"/>
    <w:rsid w:val="007109B5"/>
    <w:rsid w:val="0071398B"/>
    <w:rsid w:val="00713D26"/>
    <w:rsid w:val="00714D62"/>
    <w:rsid w:val="007202E6"/>
    <w:rsid w:val="007213C0"/>
    <w:rsid w:val="00722989"/>
    <w:rsid w:val="00722E06"/>
    <w:rsid w:val="007317A7"/>
    <w:rsid w:val="00731D1F"/>
    <w:rsid w:val="00732194"/>
    <w:rsid w:val="00740BFA"/>
    <w:rsid w:val="00742520"/>
    <w:rsid w:val="0074302E"/>
    <w:rsid w:val="00746226"/>
    <w:rsid w:val="0075008E"/>
    <w:rsid w:val="00750165"/>
    <w:rsid w:val="00750885"/>
    <w:rsid w:val="00750BE3"/>
    <w:rsid w:val="00751A24"/>
    <w:rsid w:val="007534BB"/>
    <w:rsid w:val="00754B2A"/>
    <w:rsid w:val="00754FE0"/>
    <w:rsid w:val="00755170"/>
    <w:rsid w:val="00755C23"/>
    <w:rsid w:val="007578F7"/>
    <w:rsid w:val="007612D9"/>
    <w:rsid w:val="007625AE"/>
    <w:rsid w:val="00765BBE"/>
    <w:rsid w:val="00766598"/>
    <w:rsid w:val="007669EB"/>
    <w:rsid w:val="00767B36"/>
    <w:rsid w:val="007718FA"/>
    <w:rsid w:val="0077301F"/>
    <w:rsid w:val="007764E8"/>
    <w:rsid w:val="0077711C"/>
    <w:rsid w:val="00777156"/>
    <w:rsid w:val="007809EC"/>
    <w:rsid w:val="00780D23"/>
    <w:rsid w:val="00781338"/>
    <w:rsid w:val="00781861"/>
    <w:rsid w:val="00781947"/>
    <w:rsid w:val="007819AB"/>
    <w:rsid w:val="00781E55"/>
    <w:rsid w:val="00784D1A"/>
    <w:rsid w:val="007865CD"/>
    <w:rsid w:val="00786B3B"/>
    <w:rsid w:val="007875BA"/>
    <w:rsid w:val="00793AEF"/>
    <w:rsid w:val="0079511B"/>
    <w:rsid w:val="007955D8"/>
    <w:rsid w:val="00797740"/>
    <w:rsid w:val="007A1125"/>
    <w:rsid w:val="007A2799"/>
    <w:rsid w:val="007A2B48"/>
    <w:rsid w:val="007A32BA"/>
    <w:rsid w:val="007A3A6A"/>
    <w:rsid w:val="007A3C2D"/>
    <w:rsid w:val="007A45F1"/>
    <w:rsid w:val="007A5500"/>
    <w:rsid w:val="007A6517"/>
    <w:rsid w:val="007A6674"/>
    <w:rsid w:val="007B22D3"/>
    <w:rsid w:val="007B3E0D"/>
    <w:rsid w:val="007B6445"/>
    <w:rsid w:val="007B7563"/>
    <w:rsid w:val="007B78C5"/>
    <w:rsid w:val="007B7F4E"/>
    <w:rsid w:val="007C03B6"/>
    <w:rsid w:val="007C2C64"/>
    <w:rsid w:val="007C3FFC"/>
    <w:rsid w:val="007C589A"/>
    <w:rsid w:val="007D0208"/>
    <w:rsid w:val="007D233D"/>
    <w:rsid w:val="007D3675"/>
    <w:rsid w:val="007D6B11"/>
    <w:rsid w:val="007E29D1"/>
    <w:rsid w:val="007E2FF6"/>
    <w:rsid w:val="007E343A"/>
    <w:rsid w:val="007E3AC8"/>
    <w:rsid w:val="007E6BC7"/>
    <w:rsid w:val="007F2253"/>
    <w:rsid w:val="007F27BD"/>
    <w:rsid w:val="008008EA"/>
    <w:rsid w:val="0080258C"/>
    <w:rsid w:val="008036CA"/>
    <w:rsid w:val="008041BE"/>
    <w:rsid w:val="00805841"/>
    <w:rsid w:val="00810B7F"/>
    <w:rsid w:val="008119F0"/>
    <w:rsid w:val="00811B09"/>
    <w:rsid w:val="00812FCC"/>
    <w:rsid w:val="00814F07"/>
    <w:rsid w:val="008158A5"/>
    <w:rsid w:val="00822981"/>
    <w:rsid w:val="00827C93"/>
    <w:rsid w:val="008310ED"/>
    <w:rsid w:val="0083146D"/>
    <w:rsid w:val="008325E9"/>
    <w:rsid w:val="0083279C"/>
    <w:rsid w:val="00836D5E"/>
    <w:rsid w:val="008376E3"/>
    <w:rsid w:val="00837F7D"/>
    <w:rsid w:val="00840932"/>
    <w:rsid w:val="00841725"/>
    <w:rsid w:val="00841985"/>
    <w:rsid w:val="00841B46"/>
    <w:rsid w:val="00841B83"/>
    <w:rsid w:val="0084292F"/>
    <w:rsid w:val="00843048"/>
    <w:rsid w:val="008436BB"/>
    <w:rsid w:val="00844C4A"/>
    <w:rsid w:val="00846281"/>
    <w:rsid w:val="00846D01"/>
    <w:rsid w:val="008477E7"/>
    <w:rsid w:val="00852C11"/>
    <w:rsid w:val="00855747"/>
    <w:rsid w:val="00855A81"/>
    <w:rsid w:val="00863E04"/>
    <w:rsid w:val="00864ECB"/>
    <w:rsid w:val="00866B09"/>
    <w:rsid w:val="00867C63"/>
    <w:rsid w:val="00867E5E"/>
    <w:rsid w:val="00871128"/>
    <w:rsid w:val="008725A3"/>
    <w:rsid w:val="00872D3F"/>
    <w:rsid w:val="00874A40"/>
    <w:rsid w:val="008750DF"/>
    <w:rsid w:val="008767B7"/>
    <w:rsid w:val="0087681D"/>
    <w:rsid w:val="00876AC2"/>
    <w:rsid w:val="00880440"/>
    <w:rsid w:val="00883981"/>
    <w:rsid w:val="008843EA"/>
    <w:rsid w:val="00885678"/>
    <w:rsid w:val="00886D0D"/>
    <w:rsid w:val="00892E04"/>
    <w:rsid w:val="00896F99"/>
    <w:rsid w:val="00897561"/>
    <w:rsid w:val="008A237B"/>
    <w:rsid w:val="008A2EBF"/>
    <w:rsid w:val="008B03DF"/>
    <w:rsid w:val="008B07AF"/>
    <w:rsid w:val="008B0B75"/>
    <w:rsid w:val="008B312F"/>
    <w:rsid w:val="008B5634"/>
    <w:rsid w:val="008B5D1E"/>
    <w:rsid w:val="008B6B92"/>
    <w:rsid w:val="008C1094"/>
    <w:rsid w:val="008C1ECF"/>
    <w:rsid w:val="008C55EA"/>
    <w:rsid w:val="008C62EB"/>
    <w:rsid w:val="008C7E8C"/>
    <w:rsid w:val="008D1328"/>
    <w:rsid w:val="008D4728"/>
    <w:rsid w:val="008D50C5"/>
    <w:rsid w:val="008E0B55"/>
    <w:rsid w:val="008E19E0"/>
    <w:rsid w:val="008E2794"/>
    <w:rsid w:val="008E2CF0"/>
    <w:rsid w:val="008E35A9"/>
    <w:rsid w:val="008E3EEE"/>
    <w:rsid w:val="008E44CB"/>
    <w:rsid w:val="008F034F"/>
    <w:rsid w:val="008F0B4D"/>
    <w:rsid w:val="008F60FE"/>
    <w:rsid w:val="008F672F"/>
    <w:rsid w:val="008F7BE3"/>
    <w:rsid w:val="0090165F"/>
    <w:rsid w:val="009028CB"/>
    <w:rsid w:val="00902A7C"/>
    <w:rsid w:val="009044BF"/>
    <w:rsid w:val="00904D5E"/>
    <w:rsid w:val="00905217"/>
    <w:rsid w:val="00906A2D"/>
    <w:rsid w:val="00906BDF"/>
    <w:rsid w:val="00906E2C"/>
    <w:rsid w:val="00912DD6"/>
    <w:rsid w:val="009141BE"/>
    <w:rsid w:val="0091589B"/>
    <w:rsid w:val="00915AEC"/>
    <w:rsid w:val="00917BBF"/>
    <w:rsid w:val="00925B68"/>
    <w:rsid w:val="00925C09"/>
    <w:rsid w:val="009302BF"/>
    <w:rsid w:val="00931A39"/>
    <w:rsid w:val="0093281A"/>
    <w:rsid w:val="009347F9"/>
    <w:rsid w:val="00940049"/>
    <w:rsid w:val="00942428"/>
    <w:rsid w:val="009433BB"/>
    <w:rsid w:val="00945A47"/>
    <w:rsid w:val="00946C0A"/>
    <w:rsid w:val="00947439"/>
    <w:rsid w:val="009475BE"/>
    <w:rsid w:val="00947995"/>
    <w:rsid w:val="009502ED"/>
    <w:rsid w:val="00951E1C"/>
    <w:rsid w:val="009521EA"/>
    <w:rsid w:val="009535B7"/>
    <w:rsid w:val="0095582B"/>
    <w:rsid w:val="00960024"/>
    <w:rsid w:val="00960F88"/>
    <w:rsid w:val="00962FFB"/>
    <w:rsid w:val="00964F9A"/>
    <w:rsid w:val="009677C2"/>
    <w:rsid w:val="00967D8F"/>
    <w:rsid w:val="00970A91"/>
    <w:rsid w:val="0097687E"/>
    <w:rsid w:val="00981B0B"/>
    <w:rsid w:val="009823B8"/>
    <w:rsid w:val="00984927"/>
    <w:rsid w:val="0098555A"/>
    <w:rsid w:val="00986A45"/>
    <w:rsid w:val="0099049F"/>
    <w:rsid w:val="00990B9D"/>
    <w:rsid w:val="009916AC"/>
    <w:rsid w:val="00994049"/>
    <w:rsid w:val="0099444B"/>
    <w:rsid w:val="009950F6"/>
    <w:rsid w:val="009A054B"/>
    <w:rsid w:val="009A0623"/>
    <w:rsid w:val="009A0F8E"/>
    <w:rsid w:val="009A7848"/>
    <w:rsid w:val="009B1AF6"/>
    <w:rsid w:val="009B20C0"/>
    <w:rsid w:val="009B56ED"/>
    <w:rsid w:val="009C187A"/>
    <w:rsid w:val="009C25F8"/>
    <w:rsid w:val="009C34E2"/>
    <w:rsid w:val="009C3533"/>
    <w:rsid w:val="009C3994"/>
    <w:rsid w:val="009C721F"/>
    <w:rsid w:val="009D250C"/>
    <w:rsid w:val="009D34C2"/>
    <w:rsid w:val="009D4EF9"/>
    <w:rsid w:val="009D7D7A"/>
    <w:rsid w:val="009D7EC2"/>
    <w:rsid w:val="009E03B3"/>
    <w:rsid w:val="009E05BE"/>
    <w:rsid w:val="009E0C32"/>
    <w:rsid w:val="009E2956"/>
    <w:rsid w:val="009E3EE2"/>
    <w:rsid w:val="009E42A2"/>
    <w:rsid w:val="009E4C7A"/>
    <w:rsid w:val="009E5098"/>
    <w:rsid w:val="009E5B29"/>
    <w:rsid w:val="009E6A45"/>
    <w:rsid w:val="009E6C6E"/>
    <w:rsid w:val="009E7248"/>
    <w:rsid w:val="009F2A5C"/>
    <w:rsid w:val="009F339F"/>
    <w:rsid w:val="009F3C73"/>
    <w:rsid w:val="009F52A4"/>
    <w:rsid w:val="009F6C37"/>
    <w:rsid w:val="009F6E25"/>
    <w:rsid w:val="00A03E4C"/>
    <w:rsid w:val="00A05703"/>
    <w:rsid w:val="00A059B5"/>
    <w:rsid w:val="00A10473"/>
    <w:rsid w:val="00A158E0"/>
    <w:rsid w:val="00A15BFD"/>
    <w:rsid w:val="00A1780E"/>
    <w:rsid w:val="00A2142C"/>
    <w:rsid w:val="00A23089"/>
    <w:rsid w:val="00A240D5"/>
    <w:rsid w:val="00A241C5"/>
    <w:rsid w:val="00A266F6"/>
    <w:rsid w:val="00A3047A"/>
    <w:rsid w:val="00A32D03"/>
    <w:rsid w:val="00A33D42"/>
    <w:rsid w:val="00A371ED"/>
    <w:rsid w:val="00A37D43"/>
    <w:rsid w:val="00A412A9"/>
    <w:rsid w:val="00A43F1A"/>
    <w:rsid w:val="00A527C6"/>
    <w:rsid w:val="00A52AF5"/>
    <w:rsid w:val="00A5332C"/>
    <w:rsid w:val="00A539C1"/>
    <w:rsid w:val="00A622E5"/>
    <w:rsid w:val="00A64842"/>
    <w:rsid w:val="00A71FFE"/>
    <w:rsid w:val="00A72092"/>
    <w:rsid w:val="00A7221E"/>
    <w:rsid w:val="00A73A6E"/>
    <w:rsid w:val="00A84010"/>
    <w:rsid w:val="00A85892"/>
    <w:rsid w:val="00A85E16"/>
    <w:rsid w:val="00A86BF2"/>
    <w:rsid w:val="00A871EC"/>
    <w:rsid w:val="00A904B9"/>
    <w:rsid w:val="00A90782"/>
    <w:rsid w:val="00A9117C"/>
    <w:rsid w:val="00A91A96"/>
    <w:rsid w:val="00A920FC"/>
    <w:rsid w:val="00A9388B"/>
    <w:rsid w:val="00A96581"/>
    <w:rsid w:val="00A96E60"/>
    <w:rsid w:val="00A97B8E"/>
    <w:rsid w:val="00AA02AF"/>
    <w:rsid w:val="00AA0C28"/>
    <w:rsid w:val="00AA36F1"/>
    <w:rsid w:val="00AA4B15"/>
    <w:rsid w:val="00AA54AF"/>
    <w:rsid w:val="00AA6D69"/>
    <w:rsid w:val="00AA72E8"/>
    <w:rsid w:val="00AA7955"/>
    <w:rsid w:val="00AB2459"/>
    <w:rsid w:val="00AB27C2"/>
    <w:rsid w:val="00AB3E37"/>
    <w:rsid w:val="00AB60B2"/>
    <w:rsid w:val="00AC47FF"/>
    <w:rsid w:val="00AC4A8F"/>
    <w:rsid w:val="00AC7A4C"/>
    <w:rsid w:val="00AD173E"/>
    <w:rsid w:val="00AD4EE7"/>
    <w:rsid w:val="00AD5AEC"/>
    <w:rsid w:val="00AD65D4"/>
    <w:rsid w:val="00AE1111"/>
    <w:rsid w:val="00AE1D28"/>
    <w:rsid w:val="00AE2CEB"/>
    <w:rsid w:val="00AE3C1F"/>
    <w:rsid w:val="00AE4F2B"/>
    <w:rsid w:val="00AE53A5"/>
    <w:rsid w:val="00AE78F8"/>
    <w:rsid w:val="00AF22BD"/>
    <w:rsid w:val="00AF2E9C"/>
    <w:rsid w:val="00AF3216"/>
    <w:rsid w:val="00AF4172"/>
    <w:rsid w:val="00AF7C64"/>
    <w:rsid w:val="00B00792"/>
    <w:rsid w:val="00B0179F"/>
    <w:rsid w:val="00B06A60"/>
    <w:rsid w:val="00B1132B"/>
    <w:rsid w:val="00B12863"/>
    <w:rsid w:val="00B12C3A"/>
    <w:rsid w:val="00B16E95"/>
    <w:rsid w:val="00B1791F"/>
    <w:rsid w:val="00B17B6E"/>
    <w:rsid w:val="00B247C4"/>
    <w:rsid w:val="00B27B49"/>
    <w:rsid w:val="00B27DB2"/>
    <w:rsid w:val="00B32BCE"/>
    <w:rsid w:val="00B35FCB"/>
    <w:rsid w:val="00B366ED"/>
    <w:rsid w:val="00B37FAA"/>
    <w:rsid w:val="00B40469"/>
    <w:rsid w:val="00B40DB2"/>
    <w:rsid w:val="00B42E48"/>
    <w:rsid w:val="00B47CFB"/>
    <w:rsid w:val="00B514F9"/>
    <w:rsid w:val="00B535A0"/>
    <w:rsid w:val="00B5404A"/>
    <w:rsid w:val="00B56EA6"/>
    <w:rsid w:val="00B571E5"/>
    <w:rsid w:val="00B6260E"/>
    <w:rsid w:val="00B65F83"/>
    <w:rsid w:val="00B6643B"/>
    <w:rsid w:val="00B67EB3"/>
    <w:rsid w:val="00B71AD3"/>
    <w:rsid w:val="00B73625"/>
    <w:rsid w:val="00B7413B"/>
    <w:rsid w:val="00B74466"/>
    <w:rsid w:val="00B7472B"/>
    <w:rsid w:val="00B750A4"/>
    <w:rsid w:val="00B76BF1"/>
    <w:rsid w:val="00B77A0D"/>
    <w:rsid w:val="00B77E21"/>
    <w:rsid w:val="00B80D46"/>
    <w:rsid w:val="00B81FFC"/>
    <w:rsid w:val="00B822F4"/>
    <w:rsid w:val="00B82ECB"/>
    <w:rsid w:val="00B832EF"/>
    <w:rsid w:val="00B86D53"/>
    <w:rsid w:val="00B87C52"/>
    <w:rsid w:val="00B909DA"/>
    <w:rsid w:val="00B910D9"/>
    <w:rsid w:val="00B9133F"/>
    <w:rsid w:val="00B91C6F"/>
    <w:rsid w:val="00B97613"/>
    <w:rsid w:val="00BA0AFE"/>
    <w:rsid w:val="00BA2FDE"/>
    <w:rsid w:val="00BB1735"/>
    <w:rsid w:val="00BB3B7A"/>
    <w:rsid w:val="00BB41B8"/>
    <w:rsid w:val="00BB48B4"/>
    <w:rsid w:val="00BB6290"/>
    <w:rsid w:val="00BB78D5"/>
    <w:rsid w:val="00BC2F3C"/>
    <w:rsid w:val="00BC3AD6"/>
    <w:rsid w:val="00BC410E"/>
    <w:rsid w:val="00BC5B79"/>
    <w:rsid w:val="00BC6E90"/>
    <w:rsid w:val="00BD1AFA"/>
    <w:rsid w:val="00BD2D63"/>
    <w:rsid w:val="00BD47F3"/>
    <w:rsid w:val="00BD4B35"/>
    <w:rsid w:val="00BD7EAB"/>
    <w:rsid w:val="00BE0EFA"/>
    <w:rsid w:val="00BE12FD"/>
    <w:rsid w:val="00BE185E"/>
    <w:rsid w:val="00BE2CED"/>
    <w:rsid w:val="00BE3725"/>
    <w:rsid w:val="00BE4995"/>
    <w:rsid w:val="00BE5B5A"/>
    <w:rsid w:val="00BE6A6F"/>
    <w:rsid w:val="00BF03D0"/>
    <w:rsid w:val="00BF0F6F"/>
    <w:rsid w:val="00BF243F"/>
    <w:rsid w:val="00BF4CFB"/>
    <w:rsid w:val="00BF57E7"/>
    <w:rsid w:val="00BF5FC4"/>
    <w:rsid w:val="00BF7334"/>
    <w:rsid w:val="00BF7895"/>
    <w:rsid w:val="00C00634"/>
    <w:rsid w:val="00C01B41"/>
    <w:rsid w:val="00C05AA9"/>
    <w:rsid w:val="00C05E2B"/>
    <w:rsid w:val="00C06CCE"/>
    <w:rsid w:val="00C107FE"/>
    <w:rsid w:val="00C11202"/>
    <w:rsid w:val="00C13030"/>
    <w:rsid w:val="00C13764"/>
    <w:rsid w:val="00C13DE5"/>
    <w:rsid w:val="00C13F1D"/>
    <w:rsid w:val="00C1697E"/>
    <w:rsid w:val="00C212EA"/>
    <w:rsid w:val="00C23CDF"/>
    <w:rsid w:val="00C31425"/>
    <w:rsid w:val="00C32635"/>
    <w:rsid w:val="00C335D2"/>
    <w:rsid w:val="00C36712"/>
    <w:rsid w:val="00C37D2D"/>
    <w:rsid w:val="00C41B44"/>
    <w:rsid w:val="00C41C03"/>
    <w:rsid w:val="00C43654"/>
    <w:rsid w:val="00C4429D"/>
    <w:rsid w:val="00C4449B"/>
    <w:rsid w:val="00C446CC"/>
    <w:rsid w:val="00C44E17"/>
    <w:rsid w:val="00C469CD"/>
    <w:rsid w:val="00C470DF"/>
    <w:rsid w:val="00C52221"/>
    <w:rsid w:val="00C5413A"/>
    <w:rsid w:val="00C54B1D"/>
    <w:rsid w:val="00C55D4D"/>
    <w:rsid w:val="00C569A0"/>
    <w:rsid w:val="00C63C15"/>
    <w:rsid w:val="00C7016D"/>
    <w:rsid w:val="00C7633A"/>
    <w:rsid w:val="00C76E9E"/>
    <w:rsid w:val="00C81CFB"/>
    <w:rsid w:val="00C83705"/>
    <w:rsid w:val="00C83D06"/>
    <w:rsid w:val="00C854F7"/>
    <w:rsid w:val="00C85AEA"/>
    <w:rsid w:val="00C86745"/>
    <w:rsid w:val="00C867BD"/>
    <w:rsid w:val="00C90650"/>
    <w:rsid w:val="00C93045"/>
    <w:rsid w:val="00C95D8C"/>
    <w:rsid w:val="00C972E0"/>
    <w:rsid w:val="00CA0464"/>
    <w:rsid w:val="00CA1D98"/>
    <w:rsid w:val="00CA3A8D"/>
    <w:rsid w:val="00CA41C9"/>
    <w:rsid w:val="00CA4436"/>
    <w:rsid w:val="00CA49E2"/>
    <w:rsid w:val="00CA6188"/>
    <w:rsid w:val="00CA74FB"/>
    <w:rsid w:val="00CA7A9F"/>
    <w:rsid w:val="00CA7AC5"/>
    <w:rsid w:val="00CB0912"/>
    <w:rsid w:val="00CB0D02"/>
    <w:rsid w:val="00CB31C4"/>
    <w:rsid w:val="00CB3755"/>
    <w:rsid w:val="00CB79D5"/>
    <w:rsid w:val="00CC1A43"/>
    <w:rsid w:val="00CC41BA"/>
    <w:rsid w:val="00CC6E16"/>
    <w:rsid w:val="00CD042B"/>
    <w:rsid w:val="00CD2C54"/>
    <w:rsid w:val="00CD2CA4"/>
    <w:rsid w:val="00CD38ED"/>
    <w:rsid w:val="00CD431B"/>
    <w:rsid w:val="00CD50EE"/>
    <w:rsid w:val="00CD63EF"/>
    <w:rsid w:val="00CE0748"/>
    <w:rsid w:val="00CE191E"/>
    <w:rsid w:val="00CE2770"/>
    <w:rsid w:val="00CE2CE5"/>
    <w:rsid w:val="00CE5496"/>
    <w:rsid w:val="00CE7151"/>
    <w:rsid w:val="00CF0D79"/>
    <w:rsid w:val="00CF21EC"/>
    <w:rsid w:val="00CF23B4"/>
    <w:rsid w:val="00CF5796"/>
    <w:rsid w:val="00D00134"/>
    <w:rsid w:val="00D00BDA"/>
    <w:rsid w:val="00D02078"/>
    <w:rsid w:val="00D02E99"/>
    <w:rsid w:val="00D04E99"/>
    <w:rsid w:val="00D0620B"/>
    <w:rsid w:val="00D079E5"/>
    <w:rsid w:val="00D106D3"/>
    <w:rsid w:val="00D11C5E"/>
    <w:rsid w:val="00D11FD8"/>
    <w:rsid w:val="00D1436B"/>
    <w:rsid w:val="00D14533"/>
    <w:rsid w:val="00D218F0"/>
    <w:rsid w:val="00D24C9F"/>
    <w:rsid w:val="00D26617"/>
    <w:rsid w:val="00D3121A"/>
    <w:rsid w:val="00D32FF1"/>
    <w:rsid w:val="00D340C2"/>
    <w:rsid w:val="00D34AFF"/>
    <w:rsid w:val="00D36D64"/>
    <w:rsid w:val="00D40599"/>
    <w:rsid w:val="00D40837"/>
    <w:rsid w:val="00D42260"/>
    <w:rsid w:val="00D42E55"/>
    <w:rsid w:val="00D44EF3"/>
    <w:rsid w:val="00D45201"/>
    <w:rsid w:val="00D45360"/>
    <w:rsid w:val="00D47D42"/>
    <w:rsid w:val="00D514AF"/>
    <w:rsid w:val="00D53661"/>
    <w:rsid w:val="00D56556"/>
    <w:rsid w:val="00D56749"/>
    <w:rsid w:val="00D574AF"/>
    <w:rsid w:val="00D57749"/>
    <w:rsid w:val="00D606D2"/>
    <w:rsid w:val="00D62689"/>
    <w:rsid w:val="00D62786"/>
    <w:rsid w:val="00D6280A"/>
    <w:rsid w:val="00D63C94"/>
    <w:rsid w:val="00D63D69"/>
    <w:rsid w:val="00D64CDD"/>
    <w:rsid w:val="00D65E9B"/>
    <w:rsid w:val="00D669F0"/>
    <w:rsid w:val="00D67A3A"/>
    <w:rsid w:val="00D73696"/>
    <w:rsid w:val="00D73D25"/>
    <w:rsid w:val="00D75010"/>
    <w:rsid w:val="00D75F0B"/>
    <w:rsid w:val="00D760E0"/>
    <w:rsid w:val="00D77826"/>
    <w:rsid w:val="00D77BE5"/>
    <w:rsid w:val="00D806BC"/>
    <w:rsid w:val="00D83E64"/>
    <w:rsid w:val="00D90505"/>
    <w:rsid w:val="00D90F66"/>
    <w:rsid w:val="00D94CA4"/>
    <w:rsid w:val="00DA0464"/>
    <w:rsid w:val="00DA050B"/>
    <w:rsid w:val="00DA06E0"/>
    <w:rsid w:val="00DA7BF0"/>
    <w:rsid w:val="00DA7E4F"/>
    <w:rsid w:val="00DB4EDE"/>
    <w:rsid w:val="00DB5CF7"/>
    <w:rsid w:val="00DB719A"/>
    <w:rsid w:val="00DB7344"/>
    <w:rsid w:val="00DC08C6"/>
    <w:rsid w:val="00DC23CC"/>
    <w:rsid w:val="00DC2FDC"/>
    <w:rsid w:val="00DC4697"/>
    <w:rsid w:val="00DC4EC3"/>
    <w:rsid w:val="00DC516F"/>
    <w:rsid w:val="00DC68E9"/>
    <w:rsid w:val="00DC7E98"/>
    <w:rsid w:val="00DD0B7D"/>
    <w:rsid w:val="00DD1CDA"/>
    <w:rsid w:val="00DD557C"/>
    <w:rsid w:val="00DD7003"/>
    <w:rsid w:val="00DE0970"/>
    <w:rsid w:val="00DE1C11"/>
    <w:rsid w:val="00DE26D2"/>
    <w:rsid w:val="00DE3A67"/>
    <w:rsid w:val="00DE4C41"/>
    <w:rsid w:val="00DE5046"/>
    <w:rsid w:val="00DE524E"/>
    <w:rsid w:val="00DE6B63"/>
    <w:rsid w:val="00DF0B8F"/>
    <w:rsid w:val="00DF0DC9"/>
    <w:rsid w:val="00DF1E51"/>
    <w:rsid w:val="00DF25F4"/>
    <w:rsid w:val="00DF2AD2"/>
    <w:rsid w:val="00DF5543"/>
    <w:rsid w:val="00E02C7C"/>
    <w:rsid w:val="00E033FD"/>
    <w:rsid w:val="00E03701"/>
    <w:rsid w:val="00E05AAF"/>
    <w:rsid w:val="00E06D6A"/>
    <w:rsid w:val="00E071C2"/>
    <w:rsid w:val="00E15323"/>
    <w:rsid w:val="00E15EC7"/>
    <w:rsid w:val="00E16915"/>
    <w:rsid w:val="00E208ED"/>
    <w:rsid w:val="00E2100C"/>
    <w:rsid w:val="00E212AE"/>
    <w:rsid w:val="00E2247E"/>
    <w:rsid w:val="00E24B9A"/>
    <w:rsid w:val="00E2588F"/>
    <w:rsid w:val="00E30F59"/>
    <w:rsid w:val="00E30F91"/>
    <w:rsid w:val="00E339DD"/>
    <w:rsid w:val="00E41A37"/>
    <w:rsid w:val="00E41C08"/>
    <w:rsid w:val="00E420FD"/>
    <w:rsid w:val="00E4243B"/>
    <w:rsid w:val="00E44490"/>
    <w:rsid w:val="00E44BDB"/>
    <w:rsid w:val="00E46C95"/>
    <w:rsid w:val="00E5034D"/>
    <w:rsid w:val="00E51E06"/>
    <w:rsid w:val="00E51ED5"/>
    <w:rsid w:val="00E52803"/>
    <w:rsid w:val="00E5315B"/>
    <w:rsid w:val="00E534E0"/>
    <w:rsid w:val="00E54092"/>
    <w:rsid w:val="00E55659"/>
    <w:rsid w:val="00E56454"/>
    <w:rsid w:val="00E60364"/>
    <w:rsid w:val="00E6180B"/>
    <w:rsid w:val="00E628E7"/>
    <w:rsid w:val="00E63085"/>
    <w:rsid w:val="00E6633C"/>
    <w:rsid w:val="00E6758B"/>
    <w:rsid w:val="00E76A9B"/>
    <w:rsid w:val="00E76DA1"/>
    <w:rsid w:val="00E8113D"/>
    <w:rsid w:val="00E81387"/>
    <w:rsid w:val="00E823F8"/>
    <w:rsid w:val="00E83479"/>
    <w:rsid w:val="00E83B87"/>
    <w:rsid w:val="00E86275"/>
    <w:rsid w:val="00E8757D"/>
    <w:rsid w:val="00E93D4C"/>
    <w:rsid w:val="00E94A7A"/>
    <w:rsid w:val="00EA1090"/>
    <w:rsid w:val="00EA69F2"/>
    <w:rsid w:val="00EA767E"/>
    <w:rsid w:val="00EB34D8"/>
    <w:rsid w:val="00EB4DA8"/>
    <w:rsid w:val="00EB5531"/>
    <w:rsid w:val="00EB5673"/>
    <w:rsid w:val="00EB6E96"/>
    <w:rsid w:val="00EB79DA"/>
    <w:rsid w:val="00EC4523"/>
    <w:rsid w:val="00EC68F1"/>
    <w:rsid w:val="00ED3876"/>
    <w:rsid w:val="00EE4333"/>
    <w:rsid w:val="00EF0596"/>
    <w:rsid w:val="00EF31F0"/>
    <w:rsid w:val="00EF3C0F"/>
    <w:rsid w:val="00EF5542"/>
    <w:rsid w:val="00EF5F13"/>
    <w:rsid w:val="00EF6F88"/>
    <w:rsid w:val="00EF7194"/>
    <w:rsid w:val="00F000AA"/>
    <w:rsid w:val="00F0060F"/>
    <w:rsid w:val="00F0208F"/>
    <w:rsid w:val="00F02B15"/>
    <w:rsid w:val="00F0347E"/>
    <w:rsid w:val="00F03DAC"/>
    <w:rsid w:val="00F07765"/>
    <w:rsid w:val="00F11C69"/>
    <w:rsid w:val="00F15A93"/>
    <w:rsid w:val="00F15FE0"/>
    <w:rsid w:val="00F207FE"/>
    <w:rsid w:val="00F214EC"/>
    <w:rsid w:val="00F24235"/>
    <w:rsid w:val="00F25429"/>
    <w:rsid w:val="00F2673C"/>
    <w:rsid w:val="00F26DA6"/>
    <w:rsid w:val="00F2746B"/>
    <w:rsid w:val="00F317F9"/>
    <w:rsid w:val="00F32648"/>
    <w:rsid w:val="00F41730"/>
    <w:rsid w:val="00F417B5"/>
    <w:rsid w:val="00F42DB2"/>
    <w:rsid w:val="00F43DD4"/>
    <w:rsid w:val="00F450D2"/>
    <w:rsid w:val="00F45F86"/>
    <w:rsid w:val="00F53D1E"/>
    <w:rsid w:val="00F5401F"/>
    <w:rsid w:val="00F54809"/>
    <w:rsid w:val="00F570FA"/>
    <w:rsid w:val="00F63E3E"/>
    <w:rsid w:val="00F6488F"/>
    <w:rsid w:val="00F65635"/>
    <w:rsid w:val="00F675A7"/>
    <w:rsid w:val="00F709FE"/>
    <w:rsid w:val="00F75910"/>
    <w:rsid w:val="00F76A0F"/>
    <w:rsid w:val="00F81AAA"/>
    <w:rsid w:val="00F8385B"/>
    <w:rsid w:val="00F8403E"/>
    <w:rsid w:val="00F84448"/>
    <w:rsid w:val="00F8496A"/>
    <w:rsid w:val="00F84FA3"/>
    <w:rsid w:val="00F85B85"/>
    <w:rsid w:val="00F85D61"/>
    <w:rsid w:val="00F85F69"/>
    <w:rsid w:val="00F861F4"/>
    <w:rsid w:val="00F90337"/>
    <w:rsid w:val="00F918F5"/>
    <w:rsid w:val="00F939C9"/>
    <w:rsid w:val="00F96D22"/>
    <w:rsid w:val="00F970EE"/>
    <w:rsid w:val="00F97DF1"/>
    <w:rsid w:val="00FA14CE"/>
    <w:rsid w:val="00FA256F"/>
    <w:rsid w:val="00FA316E"/>
    <w:rsid w:val="00FA4D9B"/>
    <w:rsid w:val="00FA5415"/>
    <w:rsid w:val="00FA663B"/>
    <w:rsid w:val="00FA797C"/>
    <w:rsid w:val="00FB0E31"/>
    <w:rsid w:val="00FB146B"/>
    <w:rsid w:val="00FB156E"/>
    <w:rsid w:val="00FB2431"/>
    <w:rsid w:val="00FB2A42"/>
    <w:rsid w:val="00FB2B28"/>
    <w:rsid w:val="00FB62EA"/>
    <w:rsid w:val="00FB6657"/>
    <w:rsid w:val="00FC10CE"/>
    <w:rsid w:val="00FC438F"/>
    <w:rsid w:val="00FC7E16"/>
    <w:rsid w:val="00FD2200"/>
    <w:rsid w:val="00FD7426"/>
    <w:rsid w:val="00FD78FB"/>
    <w:rsid w:val="00FE02E6"/>
    <w:rsid w:val="00FE0E53"/>
    <w:rsid w:val="00FE2C0F"/>
    <w:rsid w:val="00FE3B33"/>
    <w:rsid w:val="00FE419D"/>
    <w:rsid w:val="00FE7277"/>
    <w:rsid w:val="00FE77D3"/>
    <w:rsid w:val="00FF3D78"/>
    <w:rsid w:val="00FF4559"/>
    <w:rsid w:val="00FF4C34"/>
    <w:rsid w:val="00FF4CFF"/>
    <w:rsid w:val="00FF52BB"/>
    <w:rsid w:val="00FF769C"/>
    <w:rsid w:val="02362655"/>
    <w:rsid w:val="0341385D"/>
    <w:rsid w:val="03B576DA"/>
    <w:rsid w:val="03D05241"/>
    <w:rsid w:val="042468F5"/>
    <w:rsid w:val="04511AD4"/>
    <w:rsid w:val="046F321A"/>
    <w:rsid w:val="047F54E8"/>
    <w:rsid w:val="055C763B"/>
    <w:rsid w:val="07F919A9"/>
    <w:rsid w:val="087825A4"/>
    <w:rsid w:val="08B749FE"/>
    <w:rsid w:val="0A0D5942"/>
    <w:rsid w:val="0A8B590B"/>
    <w:rsid w:val="0A8F6CED"/>
    <w:rsid w:val="0AF048B6"/>
    <w:rsid w:val="0BC80F77"/>
    <w:rsid w:val="0CDE0E0A"/>
    <w:rsid w:val="0CDE45A7"/>
    <w:rsid w:val="0D2144FC"/>
    <w:rsid w:val="0D246469"/>
    <w:rsid w:val="0E5A607D"/>
    <w:rsid w:val="134B6E88"/>
    <w:rsid w:val="146A0A5F"/>
    <w:rsid w:val="16B93CDD"/>
    <w:rsid w:val="16CC330E"/>
    <w:rsid w:val="174F69A1"/>
    <w:rsid w:val="17505376"/>
    <w:rsid w:val="180918CB"/>
    <w:rsid w:val="19993D35"/>
    <w:rsid w:val="19D015B3"/>
    <w:rsid w:val="1A255F44"/>
    <w:rsid w:val="1ACA4FA7"/>
    <w:rsid w:val="1AEF2948"/>
    <w:rsid w:val="1B404251"/>
    <w:rsid w:val="1C945FFD"/>
    <w:rsid w:val="1E546C55"/>
    <w:rsid w:val="206E39DA"/>
    <w:rsid w:val="2367449F"/>
    <w:rsid w:val="24AE7BD6"/>
    <w:rsid w:val="26221DF0"/>
    <w:rsid w:val="26530D20"/>
    <w:rsid w:val="26934DA4"/>
    <w:rsid w:val="27142DE2"/>
    <w:rsid w:val="277421C8"/>
    <w:rsid w:val="2B0C5FBE"/>
    <w:rsid w:val="2B806084"/>
    <w:rsid w:val="2C1E48EC"/>
    <w:rsid w:val="2E2246C6"/>
    <w:rsid w:val="31CE0EB9"/>
    <w:rsid w:val="32DC5354"/>
    <w:rsid w:val="33077DA7"/>
    <w:rsid w:val="338D40CF"/>
    <w:rsid w:val="33E44ECE"/>
    <w:rsid w:val="349565B8"/>
    <w:rsid w:val="34AE6447"/>
    <w:rsid w:val="35282082"/>
    <w:rsid w:val="357E12EA"/>
    <w:rsid w:val="35F20654"/>
    <w:rsid w:val="371A6CC3"/>
    <w:rsid w:val="379F45C7"/>
    <w:rsid w:val="38976255"/>
    <w:rsid w:val="38F81BCD"/>
    <w:rsid w:val="390A6F17"/>
    <w:rsid w:val="39E407F6"/>
    <w:rsid w:val="39FC6CE4"/>
    <w:rsid w:val="3C1F720B"/>
    <w:rsid w:val="3EAA5A4F"/>
    <w:rsid w:val="3FF55C0F"/>
    <w:rsid w:val="3FFA2E2E"/>
    <w:rsid w:val="41973178"/>
    <w:rsid w:val="42E23897"/>
    <w:rsid w:val="430D0204"/>
    <w:rsid w:val="440272CB"/>
    <w:rsid w:val="45311B12"/>
    <w:rsid w:val="459C2D19"/>
    <w:rsid w:val="46904D0D"/>
    <w:rsid w:val="46E633C4"/>
    <w:rsid w:val="47F3702A"/>
    <w:rsid w:val="48072637"/>
    <w:rsid w:val="481373BD"/>
    <w:rsid w:val="48FF65D5"/>
    <w:rsid w:val="49091773"/>
    <w:rsid w:val="4A10420F"/>
    <w:rsid w:val="4BBE44C7"/>
    <w:rsid w:val="4BD053D8"/>
    <w:rsid w:val="4C6F421F"/>
    <w:rsid w:val="4CC72669"/>
    <w:rsid w:val="4DCE2DC9"/>
    <w:rsid w:val="4DD40A93"/>
    <w:rsid w:val="4E966B7B"/>
    <w:rsid w:val="4EF90772"/>
    <w:rsid w:val="506D6C44"/>
    <w:rsid w:val="50813C85"/>
    <w:rsid w:val="52DC1E37"/>
    <w:rsid w:val="52FB1CF0"/>
    <w:rsid w:val="53554611"/>
    <w:rsid w:val="5361597C"/>
    <w:rsid w:val="55472E9F"/>
    <w:rsid w:val="56515B6E"/>
    <w:rsid w:val="57694A2E"/>
    <w:rsid w:val="5808416F"/>
    <w:rsid w:val="58E067DA"/>
    <w:rsid w:val="598A585D"/>
    <w:rsid w:val="598D2D46"/>
    <w:rsid w:val="5999365F"/>
    <w:rsid w:val="5A3B5E53"/>
    <w:rsid w:val="5AC3502A"/>
    <w:rsid w:val="5B76496D"/>
    <w:rsid w:val="5C574FEA"/>
    <w:rsid w:val="5D1B3D76"/>
    <w:rsid w:val="5DC74DD9"/>
    <w:rsid w:val="5E3A6A72"/>
    <w:rsid w:val="5E990969"/>
    <w:rsid w:val="5F1E0E83"/>
    <w:rsid w:val="60415521"/>
    <w:rsid w:val="61354C50"/>
    <w:rsid w:val="61495CA1"/>
    <w:rsid w:val="626118BB"/>
    <w:rsid w:val="62CB325B"/>
    <w:rsid w:val="634F4900"/>
    <w:rsid w:val="65FE51B4"/>
    <w:rsid w:val="67161FCD"/>
    <w:rsid w:val="678A011B"/>
    <w:rsid w:val="679C4F5C"/>
    <w:rsid w:val="68D77787"/>
    <w:rsid w:val="69B539E4"/>
    <w:rsid w:val="6B9E52EA"/>
    <w:rsid w:val="6CFD7212"/>
    <w:rsid w:val="6D1F0970"/>
    <w:rsid w:val="6D207DB7"/>
    <w:rsid w:val="6D5348D9"/>
    <w:rsid w:val="6D5361A6"/>
    <w:rsid w:val="6DE86D3B"/>
    <w:rsid w:val="6E0E2E7D"/>
    <w:rsid w:val="6E222D25"/>
    <w:rsid w:val="701C486F"/>
    <w:rsid w:val="70B11756"/>
    <w:rsid w:val="70C13677"/>
    <w:rsid w:val="710B3A84"/>
    <w:rsid w:val="71131484"/>
    <w:rsid w:val="71F97E5D"/>
    <w:rsid w:val="748E1547"/>
    <w:rsid w:val="74FB3BF7"/>
    <w:rsid w:val="750545C9"/>
    <w:rsid w:val="76D4197D"/>
    <w:rsid w:val="77DA116A"/>
    <w:rsid w:val="78A37D37"/>
    <w:rsid w:val="78A37F5E"/>
    <w:rsid w:val="79616F7D"/>
    <w:rsid w:val="7A6F70BE"/>
    <w:rsid w:val="7A775668"/>
    <w:rsid w:val="7AB8227D"/>
    <w:rsid w:val="7B5D0216"/>
    <w:rsid w:val="7C0D0434"/>
    <w:rsid w:val="7C6D60C7"/>
    <w:rsid w:val="7CCB0136"/>
    <w:rsid w:val="7D267A87"/>
    <w:rsid w:val="7D2F0748"/>
    <w:rsid w:val="7D712B9C"/>
    <w:rsid w:val="7D745230"/>
    <w:rsid w:val="7E325633"/>
    <w:rsid w:val="7EB00ECA"/>
    <w:rsid w:val="7F317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annotation text"/>
    <w:basedOn w:val="1"/>
    <w:semiHidden/>
    <w:qFormat/>
    <w:uiPriority w:val="0"/>
    <w:pPr>
      <w:jc w:val="left"/>
    </w:pPr>
  </w:style>
  <w:style w:type="paragraph" w:styleId="19">
    <w:name w:val="Body Text"/>
    <w:basedOn w:val="1"/>
    <w:qFormat/>
    <w:uiPriority w:val="0"/>
    <w:pPr>
      <w:spacing w:after="120"/>
    </w:pPr>
  </w:style>
  <w:style w:type="paragraph" w:styleId="20">
    <w:name w:val="Body Text Indent"/>
    <w:basedOn w:val="1"/>
    <w:qFormat/>
    <w:uiPriority w:val="0"/>
    <w:pPr>
      <w:ind w:left="840" w:firstLine="480"/>
    </w:pPr>
    <w:rPr>
      <w:sz w:val="24"/>
      <w:szCs w:val="20"/>
    </w:rPr>
  </w:style>
  <w:style w:type="paragraph" w:styleId="21">
    <w:name w:val="HTML Address"/>
    <w:basedOn w:val="1"/>
    <w:qFormat/>
    <w:uiPriority w:val="0"/>
    <w:rPr>
      <w:i/>
      <w:iCs/>
    </w:rPr>
  </w:style>
  <w:style w:type="paragraph" w:styleId="22">
    <w:name w:val="toc 8"/>
    <w:basedOn w:val="11"/>
    <w:next w:val="1"/>
    <w:semiHidden/>
    <w:qFormat/>
    <w:uiPriority w:val="0"/>
  </w:style>
  <w:style w:type="paragraph" w:styleId="23">
    <w:name w:val="Date"/>
    <w:basedOn w:val="1"/>
    <w:next w:val="1"/>
    <w:qFormat/>
    <w:uiPriority w:val="0"/>
    <w:pPr>
      <w:ind w:left="100" w:leftChars="2500"/>
    </w:pPr>
  </w:style>
  <w:style w:type="paragraph" w:styleId="24">
    <w:name w:val="Balloon Text"/>
    <w:basedOn w:val="1"/>
    <w:semiHidden/>
    <w:qFormat/>
    <w:uiPriority w:val="0"/>
    <w:rPr>
      <w:sz w:val="18"/>
      <w:szCs w:val="18"/>
    </w:rPr>
  </w:style>
  <w:style w:type="paragraph" w:styleId="25">
    <w:name w:val="footer"/>
    <w:basedOn w:val="1"/>
    <w:link w:val="128"/>
    <w:qFormat/>
    <w:uiPriority w:val="99"/>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HTML Preformatted"/>
    <w:basedOn w:val="1"/>
    <w:qFormat/>
    <w:uiPriority w:val="0"/>
    <w:rPr>
      <w:rFonts w:ascii="Courier New" w:hAnsi="Courier New" w:cs="Courier New"/>
      <w:sz w:val="20"/>
      <w:szCs w:val="20"/>
    </w:rPr>
  </w:style>
  <w:style w:type="paragraph" w:styleId="30">
    <w:name w:val="Title"/>
    <w:basedOn w:val="1"/>
    <w:qFormat/>
    <w:uiPriority w:val="0"/>
    <w:pPr>
      <w:spacing w:before="240" w:after="60"/>
      <w:jc w:val="center"/>
      <w:outlineLvl w:val="0"/>
    </w:pPr>
    <w:rPr>
      <w:rFonts w:ascii="Arial" w:hAnsi="Arial" w:cs="Arial"/>
      <w:b/>
      <w:bCs/>
      <w:sz w:val="32"/>
      <w:szCs w:val="32"/>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qFormat/>
    <w:uiPriority w:val="0"/>
    <w:rPr>
      <w:rFonts w:ascii="Times New Roman" w:hAnsi="Times New Roman" w:eastAsia="宋体"/>
      <w:sz w:val="18"/>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3"/>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HTML Code"/>
    <w:qFormat/>
    <w:uiPriority w:val="0"/>
    <w:rPr>
      <w:rFonts w:ascii="Courier New" w:hAnsi="Courier New"/>
      <w:sz w:val="20"/>
      <w:szCs w:val="20"/>
    </w:rPr>
  </w:style>
  <w:style w:type="character" w:styleId="41">
    <w:name w:val="annotation reference"/>
    <w:semiHidden/>
    <w:qFormat/>
    <w:uiPriority w:val="0"/>
    <w:rPr>
      <w:sz w:val="21"/>
      <w:szCs w:val="21"/>
    </w:rPr>
  </w:style>
  <w:style w:type="character" w:styleId="42">
    <w:name w:val="HTML Cite"/>
    <w:qFormat/>
    <w:uiPriority w:val="0"/>
    <w:rPr>
      <w:i/>
      <w:iCs/>
    </w:rPr>
  </w:style>
  <w:style w:type="character" w:styleId="43">
    <w:name w:val="footnote reference"/>
    <w:semiHidden/>
    <w:qFormat/>
    <w:uiPriority w:val="0"/>
    <w:rPr>
      <w:vertAlign w:val="superscript"/>
    </w:rPr>
  </w:style>
  <w:style w:type="character" w:styleId="44">
    <w:name w:val="HTML Keyboard"/>
    <w:qFormat/>
    <w:uiPriority w:val="0"/>
    <w:rPr>
      <w:rFonts w:ascii="Courier New" w:hAnsi="Courier New"/>
      <w:sz w:val="20"/>
      <w:szCs w:val="20"/>
    </w:rPr>
  </w:style>
  <w:style w:type="character" w:styleId="45">
    <w:name w:val="HTML Sample"/>
    <w:qFormat/>
    <w:uiPriority w:val="0"/>
    <w:rPr>
      <w:rFonts w:ascii="Courier New" w:hAnsi="Courier New"/>
    </w:rPr>
  </w:style>
  <w:style w:type="paragraph" w:customStyle="1" w:styleId="4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1">
    <w:name w:val="标准书眉_偶数页"/>
    <w:basedOn w:val="50"/>
    <w:next w:val="1"/>
    <w:qFormat/>
    <w:uiPriority w:val="0"/>
    <w:pPr>
      <w:jc w:val="left"/>
    </w:pPr>
  </w:style>
  <w:style w:type="paragraph" w:customStyle="1" w:styleId="52">
    <w:name w:val="标准书眉一"/>
    <w:qFormat/>
    <w:uiPriority w:val="0"/>
    <w:pPr>
      <w:jc w:val="both"/>
    </w:pPr>
    <w:rPr>
      <w:rFonts w:ascii="Times New Roman" w:hAnsi="Times New Roman" w:eastAsia="宋体" w:cs="Times New Roman"/>
      <w:lang w:val="en-US" w:eastAsia="zh-CN" w:bidi="ar-SA"/>
    </w:rPr>
  </w:style>
  <w:style w:type="paragraph" w:customStyle="1" w:styleId="5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4">
    <w:name w:val="参考文献、索引标题"/>
    <w:basedOn w:val="53"/>
    <w:next w:val="1"/>
    <w:qFormat/>
    <w:uiPriority w:val="0"/>
    <w:pPr>
      <w:numPr>
        <w:numId w:val="0"/>
      </w:numPr>
      <w:spacing w:after="200"/>
    </w:pPr>
    <w:rPr>
      <w:sz w:val="21"/>
    </w:rPr>
  </w:style>
  <w:style w:type="paragraph" w:customStyle="1" w:styleId="55">
    <w:name w:val="段"/>
    <w:link w:val="1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章标题"/>
    <w:next w:val="55"/>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7">
    <w:name w:val="一级条标题"/>
    <w:next w:val="55"/>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8">
    <w:name w:val="二级条标题"/>
    <w:basedOn w:val="57"/>
    <w:next w:val="55"/>
    <w:qFormat/>
    <w:uiPriority w:val="0"/>
    <w:pPr>
      <w:numPr>
        <w:ilvl w:val="3"/>
      </w:numPr>
      <w:outlineLvl w:val="3"/>
    </w:pPr>
  </w:style>
  <w:style w:type="character" w:customStyle="1" w:styleId="59">
    <w:name w:val="发布"/>
    <w:qFormat/>
    <w:uiPriority w:val="0"/>
    <w:rPr>
      <w:rFonts w:ascii="黑体" w:eastAsia="黑体"/>
      <w:spacing w:val="22"/>
      <w:w w:val="100"/>
      <w:position w:val="3"/>
      <w:sz w:val="28"/>
    </w:rPr>
  </w:style>
  <w:style w:type="paragraph" w:customStyle="1" w:styleId="60">
    <w:name w:val="发布部门"/>
    <w:next w:val="5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3">
    <w:name w:val="封面标准号2"/>
    <w:basedOn w:val="62"/>
    <w:qFormat/>
    <w:uiPriority w:val="0"/>
    <w:pPr>
      <w:framePr w:w="9138" w:h="1244" w:hRule="exact" w:wrap="around" w:vAnchor="page" w:hAnchor="margin" w:y="2908"/>
      <w:adjustRightInd w:val="0"/>
      <w:spacing w:before="357" w:line="280" w:lineRule="exact"/>
    </w:pPr>
  </w:style>
  <w:style w:type="paragraph" w:customStyle="1" w:styleId="64">
    <w:name w:val="封面标准代替信息"/>
    <w:basedOn w:val="63"/>
    <w:qFormat/>
    <w:uiPriority w:val="0"/>
    <w:pPr>
      <w:spacing w:before="57"/>
    </w:pPr>
    <w:rPr>
      <w:rFonts w:ascii="宋体"/>
      <w:sz w:val="21"/>
    </w:rPr>
  </w:style>
  <w:style w:type="paragraph" w:customStyle="1" w:styleId="6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0">
    <w:name w:val="封面正文"/>
    <w:qFormat/>
    <w:uiPriority w:val="0"/>
    <w:pPr>
      <w:jc w:val="both"/>
    </w:pPr>
    <w:rPr>
      <w:rFonts w:ascii="Times New Roman" w:hAnsi="Times New Roman" w:eastAsia="宋体" w:cs="Times New Roman"/>
      <w:lang w:val="en-US" w:eastAsia="zh-CN" w:bidi="ar-SA"/>
    </w:rPr>
  </w:style>
  <w:style w:type="paragraph" w:customStyle="1" w:styleId="71">
    <w:name w:val="附录标识"/>
    <w:basedOn w:val="53"/>
    <w:qFormat/>
    <w:uiPriority w:val="0"/>
    <w:pPr>
      <w:numPr>
        <w:ilvl w:val="0"/>
        <w:numId w:val="2"/>
      </w:numPr>
      <w:tabs>
        <w:tab w:val="left" w:pos="6405"/>
      </w:tabs>
      <w:spacing w:after="200"/>
    </w:pPr>
    <w:rPr>
      <w:sz w:val="21"/>
    </w:rPr>
  </w:style>
  <w:style w:type="paragraph" w:customStyle="1" w:styleId="72">
    <w:name w:val="附录表标题"/>
    <w:next w:val="55"/>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73">
    <w:name w:val="附录章标题"/>
    <w:next w:val="55"/>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4">
    <w:name w:val="附录一级条标题"/>
    <w:basedOn w:val="73"/>
    <w:next w:val="55"/>
    <w:qFormat/>
    <w:uiPriority w:val="0"/>
    <w:pPr>
      <w:numPr>
        <w:ilvl w:val="2"/>
      </w:numPr>
      <w:autoSpaceDN w:val="0"/>
      <w:spacing w:beforeLines="0" w:afterLines="0"/>
      <w:outlineLvl w:val="2"/>
    </w:pPr>
  </w:style>
  <w:style w:type="paragraph" w:customStyle="1" w:styleId="75">
    <w:name w:val="附录二级条标题"/>
    <w:basedOn w:val="74"/>
    <w:next w:val="55"/>
    <w:qFormat/>
    <w:uiPriority w:val="0"/>
    <w:pPr>
      <w:numPr>
        <w:ilvl w:val="3"/>
      </w:numPr>
      <w:outlineLvl w:val="3"/>
    </w:pPr>
  </w:style>
  <w:style w:type="paragraph" w:customStyle="1" w:styleId="76">
    <w:name w:val="附录三级条标题"/>
    <w:basedOn w:val="75"/>
    <w:next w:val="55"/>
    <w:qFormat/>
    <w:uiPriority w:val="0"/>
    <w:pPr>
      <w:numPr>
        <w:ilvl w:val="4"/>
      </w:numPr>
      <w:outlineLvl w:val="4"/>
    </w:pPr>
  </w:style>
  <w:style w:type="paragraph" w:customStyle="1" w:styleId="77">
    <w:name w:val="附录四级条标题"/>
    <w:basedOn w:val="76"/>
    <w:next w:val="55"/>
    <w:qFormat/>
    <w:uiPriority w:val="0"/>
    <w:pPr>
      <w:numPr>
        <w:ilvl w:val="5"/>
      </w:numPr>
      <w:outlineLvl w:val="5"/>
    </w:pPr>
  </w:style>
  <w:style w:type="paragraph" w:customStyle="1" w:styleId="78">
    <w:name w:val="附录图标题"/>
    <w:next w:val="55"/>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79">
    <w:name w:val="附录五级条标题"/>
    <w:basedOn w:val="77"/>
    <w:next w:val="55"/>
    <w:qFormat/>
    <w:uiPriority w:val="0"/>
    <w:pPr>
      <w:numPr>
        <w:ilvl w:val="6"/>
      </w:numPr>
      <w:outlineLvl w:val="6"/>
    </w:pPr>
  </w:style>
  <w:style w:type="character" w:customStyle="1" w:styleId="80">
    <w:name w:val="个人答复风格"/>
    <w:qFormat/>
    <w:uiPriority w:val="0"/>
    <w:rPr>
      <w:rFonts w:ascii="Arial" w:hAnsi="Arial" w:eastAsia="宋体" w:cs="Arial"/>
      <w:color w:val="auto"/>
      <w:sz w:val="20"/>
    </w:rPr>
  </w:style>
  <w:style w:type="character" w:customStyle="1" w:styleId="81">
    <w:name w:val="个人撰写风格"/>
    <w:qFormat/>
    <w:uiPriority w:val="0"/>
    <w:rPr>
      <w:rFonts w:ascii="Arial" w:hAnsi="Arial" w:eastAsia="宋体" w:cs="Arial"/>
      <w:color w:val="auto"/>
      <w:sz w:val="20"/>
    </w:rPr>
  </w:style>
  <w:style w:type="paragraph" w:customStyle="1" w:styleId="82">
    <w:name w:val="列项——（一级）"/>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3">
    <w:name w:val="列项●（二级）"/>
    <w:qFormat/>
    <w:uiPriority w:val="0"/>
    <w:pPr>
      <w:numPr>
        <w:ilvl w:val="0"/>
        <w:numId w:val="6"/>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paragraph" w:customStyle="1" w:styleId="84">
    <w:name w:val="目次、标准名称标题"/>
    <w:basedOn w:val="53"/>
    <w:next w:val="55"/>
    <w:qFormat/>
    <w:uiPriority w:val="0"/>
    <w:pPr>
      <w:spacing w:line="460" w:lineRule="exact"/>
    </w:pPr>
  </w:style>
  <w:style w:type="paragraph" w:customStyle="1" w:styleId="8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7">
    <w:name w:val="其他发布部门"/>
    <w:basedOn w:val="60"/>
    <w:qFormat/>
    <w:uiPriority w:val="0"/>
    <w:pPr>
      <w:spacing w:line="0" w:lineRule="atLeast"/>
    </w:pPr>
    <w:rPr>
      <w:rFonts w:ascii="黑体" w:eastAsia="黑体"/>
      <w:b w:val="0"/>
    </w:rPr>
  </w:style>
  <w:style w:type="paragraph" w:customStyle="1" w:styleId="88">
    <w:name w:val="三级条标题"/>
    <w:basedOn w:val="58"/>
    <w:next w:val="55"/>
    <w:qFormat/>
    <w:uiPriority w:val="0"/>
    <w:pPr>
      <w:numPr>
        <w:ilvl w:val="4"/>
      </w:numPr>
      <w:outlineLvl w:val="4"/>
    </w:pPr>
  </w:style>
  <w:style w:type="paragraph" w:customStyle="1" w:styleId="89">
    <w:name w:val="实施日期"/>
    <w:basedOn w:val="61"/>
    <w:qFormat/>
    <w:uiPriority w:val="0"/>
    <w:pPr>
      <w:framePr w:hSpace="0" w:xAlign="right"/>
      <w:jc w:val="right"/>
    </w:pPr>
  </w:style>
  <w:style w:type="paragraph" w:customStyle="1" w:styleId="90">
    <w:name w:val="示例"/>
    <w:next w:val="55"/>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2">
    <w:name w:val="四级条标题"/>
    <w:basedOn w:val="88"/>
    <w:next w:val="55"/>
    <w:qFormat/>
    <w:uiPriority w:val="0"/>
    <w:pPr>
      <w:numPr>
        <w:ilvl w:val="5"/>
      </w:numPr>
      <w:outlineLvl w:val="5"/>
    </w:pPr>
  </w:style>
  <w:style w:type="paragraph" w:customStyle="1" w:styleId="93">
    <w:name w:val="条文脚注"/>
    <w:basedOn w:val="27"/>
    <w:qFormat/>
    <w:uiPriority w:val="0"/>
    <w:pPr>
      <w:ind w:left="780" w:leftChars="200" w:hanging="360" w:hangingChars="200"/>
      <w:jc w:val="both"/>
    </w:pPr>
    <w:rPr>
      <w:rFonts w:ascii="宋体"/>
    </w:rPr>
  </w:style>
  <w:style w:type="paragraph" w:customStyle="1" w:styleId="94">
    <w:name w:val="图表脚注"/>
    <w:next w:val="5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96">
    <w:name w:val="已访问的超链接1"/>
    <w:qFormat/>
    <w:uiPriority w:val="0"/>
    <w:rPr>
      <w:color w:val="800080"/>
      <w:u w:val="single"/>
    </w:rPr>
  </w:style>
  <w:style w:type="paragraph" w:customStyle="1" w:styleId="97">
    <w:name w:val="五级条标题"/>
    <w:basedOn w:val="92"/>
    <w:next w:val="55"/>
    <w:qFormat/>
    <w:uiPriority w:val="0"/>
    <w:pPr>
      <w:numPr>
        <w:ilvl w:val="6"/>
      </w:numPr>
      <w:outlineLvl w:val="6"/>
    </w:pPr>
  </w:style>
  <w:style w:type="paragraph" w:customStyle="1" w:styleId="98">
    <w:name w:val="正文表标题"/>
    <w:next w:val="55"/>
    <w:link w:val="125"/>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99">
    <w:name w:val="正文图标题"/>
    <w:next w:val="55"/>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0">
    <w:name w:val="注："/>
    <w:next w:val="55"/>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1">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3">
    <w:name w:val="标准文件_段"/>
    <w:qFormat/>
    <w:uiPriority w:val="0"/>
    <w:pPr>
      <w:widowControl w:val="0"/>
      <w:autoSpaceDE w:val="0"/>
      <w:autoSpaceDN w:val="0"/>
      <w:adjustRightInd w:val="0"/>
      <w:snapToGrid w:val="0"/>
      <w:spacing w:line="276" w:lineRule="auto"/>
      <w:ind w:right="-105" w:rightChars="-50"/>
      <w:jc w:val="both"/>
    </w:pPr>
    <w:rPr>
      <w:rFonts w:ascii="宋体" w:hAnsi="宋体" w:eastAsia="宋体" w:cs="Times New Roman"/>
      <w:spacing w:val="2"/>
      <w:sz w:val="21"/>
      <w:szCs w:val="21"/>
      <w:lang w:val="en-US" w:eastAsia="zh-CN" w:bidi="ar-SA"/>
    </w:rPr>
  </w:style>
  <w:style w:type="paragraph" w:customStyle="1" w:styleId="104">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05">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6">
    <w:name w:val="标准文件_正文公式"/>
    <w:basedOn w:val="1"/>
    <w:next w:val="1"/>
    <w:qFormat/>
    <w:uiPriority w:val="0"/>
    <w:pPr>
      <w:tabs>
        <w:tab w:val="right" w:leader="middleDot" w:pos="0"/>
      </w:tabs>
      <w:adjustRightInd w:val="0"/>
      <w:spacing w:line="360" w:lineRule="auto"/>
      <w:ind w:right="10" w:firstLine="1050" w:firstLineChars="500"/>
      <w:jc w:val="right"/>
    </w:pPr>
    <w:rPr>
      <w:rFonts w:ascii="宋体" w:hAnsi="宋体"/>
      <w:szCs w:val="20"/>
    </w:rPr>
  </w:style>
  <w:style w:type="paragraph" w:customStyle="1" w:styleId="107">
    <w:name w:val="标准文件_参考文献、索引标题"/>
    <w:basedOn w:val="1"/>
    <w:next w:val="1"/>
    <w:qFormat/>
    <w:uiPriority w:val="0"/>
    <w:pPr>
      <w:widowControl/>
      <w:shd w:val="clear" w:color="FFFFFF" w:fill="FFFFFF"/>
      <w:spacing w:before="540" w:after="180"/>
      <w:jc w:val="center"/>
      <w:outlineLvl w:val="0"/>
    </w:pPr>
    <w:rPr>
      <w:rFonts w:ascii="黑体" w:eastAsia="黑体"/>
      <w:spacing w:val="200"/>
      <w:kern w:val="0"/>
      <w:szCs w:val="20"/>
    </w:rPr>
  </w:style>
  <w:style w:type="paragraph" w:customStyle="1" w:styleId="108">
    <w:name w:val="二级无标题条"/>
    <w:basedOn w:val="1"/>
    <w:qFormat/>
    <w:uiPriority w:val="0"/>
    <w:pPr>
      <w:numPr>
        <w:ilvl w:val="3"/>
        <w:numId w:val="13"/>
      </w:numPr>
      <w:spacing w:line="310" w:lineRule="exact"/>
    </w:pPr>
  </w:style>
  <w:style w:type="paragraph" w:customStyle="1" w:styleId="109">
    <w:name w:val="三级无标题条"/>
    <w:basedOn w:val="1"/>
    <w:qFormat/>
    <w:uiPriority w:val="0"/>
    <w:pPr>
      <w:numPr>
        <w:ilvl w:val="4"/>
        <w:numId w:val="13"/>
      </w:numPr>
      <w:spacing w:line="310" w:lineRule="exact"/>
    </w:pPr>
  </w:style>
  <w:style w:type="paragraph" w:customStyle="1" w:styleId="110">
    <w:name w:val="四级无标题条"/>
    <w:basedOn w:val="1"/>
    <w:qFormat/>
    <w:uiPriority w:val="0"/>
    <w:pPr>
      <w:numPr>
        <w:ilvl w:val="5"/>
        <w:numId w:val="13"/>
      </w:numPr>
      <w:spacing w:line="310" w:lineRule="exact"/>
    </w:pPr>
  </w:style>
  <w:style w:type="paragraph" w:customStyle="1" w:styleId="111">
    <w:name w:val="五级无标题条"/>
    <w:basedOn w:val="1"/>
    <w:qFormat/>
    <w:uiPriority w:val="0"/>
    <w:pPr>
      <w:numPr>
        <w:ilvl w:val="6"/>
        <w:numId w:val="13"/>
      </w:numPr>
      <w:spacing w:line="310" w:lineRule="exact"/>
    </w:pPr>
  </w:style>
  <w:style w:type="paragraph" w:customStyle="1" w:styleId="112">
    <w:name w:val="一级无标题条"/>
    <w:basedOn w:val="1"/>
    <w:qFormat/>
    <w:uiPriority w:val="0"/>
    <w:pPr>
      <w:numPr>
        <w:ilvl w:val="2"/>
        <w:numId w:val="13"/>
      </w:numPr>
      <w:spacing w:line="310" w:lineRule="exact"/>
    </w:pPr>
  </w:style>
  <w:style w:type="paragraph" w:customStyle="1" w:styleId="113">
    <w:name w:val="标准文件_章标题"/>
    <w:next w:val="103"/>
    <w:qFormat/>
    <w:uiPriority w:val="0"/>
    <w:pPr>
      <w:spacing w:beforeLines="50" w:afterLines="50"/>
      <w:ind w:left="-50" w:leftChars="-50" w:right="-50" w:rightChars="-50"/>
      <w:jc w:val="both"/>
      <w:outlineLvl w:val="1"/>
    </w:pPr>
    <w:rPr>
      <w:rFonts w:ascii="黑体" w:hAnsi="Times New Roman" w:eastAsia="黑体" w:cs="Times New Roman"/>
      <w:spacing w:val="2"/>
      <w:sz w:val="21"/>
      <w:lang w:val="en-US" w:eastAsia="zh-CN" w:bidi="ar-SA"/>
    </w:rPr>
  </w:style>
  <w:style w:type="paragraph" w:customStyle="1" w:styleId="114">
    <w:name w:val="标准文件_一级条标题"/>
    <w:basedOn w:val="113"/>
    <w:next w:val="103"/>
    <w:qFormat/>
    <w:uiPriority w:val="0"/>
    <w:pPr>
      <w:spacing w:beforeLines="0" w:afterLines="0"/>
      <w:outlineLvl w:val="2"/>
    </w:pPr>
  </w:style>
  <w:style w:type="paragraph" w:customStyle="1" w:styleId="115">
    <w:name w:val="标准文件_二级条标题"/>
    <w:basedOn w:val="114"/>
    <w:next w:val="103"/>
    <w:qFormat/>
    <w:uiPriority w:val="0"/>
    <w:pPr>
      <w:ind w:left="0"/>
      <w:outlineLvl w:val="3"/>
    </w:pPr>
  </w:style>
  <w:style w:type="paragraph" w:customStyle="1" w:styleId="116">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7">
    <w:name w:val="标准文件_三级条标题"/>
    <w:basedOn w:val="115"/>
    <w:next w:val="103"/>
    <w:qFormat/>
    <w:uiPriority w:val="0"/>
    <w:pPr>
      <w:ind w:left="-50"/>
      <w:outlineLvl w:val="4"/>
    </w:pPr>
  </w:style>
  <w:style w:type="paragraph" w:customStyle="1" w:styleId="118">
    <w:name w:val="标准文件_四级条标题"/>
    <w:basedOn w:val="117"/>
    <w:next w:val="103"/>
    <w:qFormat/>
    <w:uiPriority w:val="0"/>
    <w:pPr>
      <w:ind w:left="0"/>
      <w:outlineLvl w:val="5"/>
    </w:pPr>
  </w:style>
  <w:style w:type="paragraph" w:customStyle="1" w:styleId="119">
    <w:name w:val="标准文件_五级条标题"/>
    <w:basedOn w:val="118"/>
    <w:next w:val="103"/>
    <w:qFormat/>
    <w:uiPriority w:val="0"/>
    <w:pPr>
      <w:outlineLvl w:val="6"/>
    </w:pPr>
  </w:style>
  <w:style w:type="paragraph" w:customStyle="1" w:styleId="120">
    <w:name w:val="标准文件_正文表标题"/>
    <w:next w:val="103"/>
    <w:qFormat/>
    <w:uiPriority w:val="0"/>
    <w:pPr>
      <w:tabs>
        <w:tab w:val="left" w:pos="0"/>
      </w:tabs>
      <w:jc w:val="center"/>
    </w:pPr>
    <w:rPr>
      <w:rFonts w:ascii="黑体" w:hAnsi="Times New Roman" w:eastAsia="黑体" w:cs="Times New Roman"/>
      <w:sz w:val="21"/>
      <w:lang w:val="en-US" w:eastAsia="zh-CN" w:bidi="ar-SA"/>
    </w:rPr>
  </w:style>
  <w:style w:type="paragraph" w:customStyle="1" w:styleId="121">
    <w:name w:val="标准文件_注："/>
    <w:next w:val="103"/>
    <w:qFormat/>
    <w:uiPriority w:val="0"/>
    <w:pPr>
      <w:widowControl w:val="0"/>
      <w:autoSpaceDE w:val="0"/>
      <w:autoSpaceDN w:val="0"/>
      <w:spacing w:afterLines="30" w:line="300" w:lineRule="exact"/>
      <w:ind w:left="513" w:leftChars="150" w:right="-50" w:rightChars="-50" w:hanging="363"/>
      <w:jc w:val="both"/>
    </w:pPr>
    <w:rPr>
      <w:rFonts w:ascii="宋体" w:hAnsi="Times New Roman" w:eastAsia="宋体" w:cs="Times New Roman"/>
      <w:sz w:val="18"/>
      <w:lang w:val="en-US" w:eastAsia="zh-CN" w:bidi="ar-SA"/>
    </w:rPr>
  </w:style>
  <w:style w:type="paragraph" w:customStyle="1" w:styleId="122">
    <w:name w:val="标准文件_字母编号列项"/>
    <w:qFormat/>
    <w:uiPriority w:val="0"/>
    <w:pPr>
      <w:spacing w:line="300" w:lineRule="exact"/>
      <w:ind w:left="370" w:leftChars="170" w:right="-50" w:rightChars="-50" w:hanging="200" w:hangingChars="200"/>
      <w:jc w:val="both"/>
    </w:pPr>
    <w:rPr>
      <w:rFonts w:ascii="宋体" w:hAnsi="Times New Roman" w:eastAsia="宋体" w:cs="Times New Roman"/>
      <w:sz w:val="21"/>
      <w:lang w:val="en-US" w:eastAsia="zh-CN" w:bidi="ar-SA"/>
    </w:rPr>
  </w:style>
  <w:style w:type="paragraph" w:customStyle="1" w:styleId="123">
    <w:name w:val="标准文件_破折号列项"/>
    <w:qFormat/>
    <w:uiPriority w:val="0"/>
    <w:pPr>
      <w:numPr>
        <w:ilvl w:val="0"/>
        <w:numId w:val="14"/>
      </w:numPr>
      <w:adjustRightInd w:val="0"/>
      <w:snapToGrid w:val="0"/>
      <w:spacing w:line="300" w:lineRule="exact"/>
      <w:ind w:left="350" w:leftChars="150" w:right="-50" w:rightChars="-50" w:hanging="200" w:hangingChars="200"/>
    </w:pPr>
    <w:rPr>
      <w:rFonts w:ascii="Times New Roman" w:hAnsi="Times New Roman" w:eastAsia="宋体" w:cs="Times New Roman"/>
      <w:sz w:val="21"/>
      <w:lang w:val="en-US" w:eastAsia="zh-CN" w:bidi="ar-SA"/>
    </w:rPr>
  </w:style>
  <w:style w:type="paragraph" w:customStyle="1" w:styleId="124">
    <w:name w:val="标准文件_破折号列项（二级）"/>
    <w:basedOn w:val="123"/>
    <w:qFormat/>
    <w:uiPriority w:val="0"/>
    <w:pPr>
      <w:numPr>
        <w:numId w:val="15"/>
      </w:numPr>
      <w:ind w:left="550" w:leftChars="350" w:hanging="200"/>
    </w:pPr>
  </w:style>
  <w:style w:type="character" w:customStyle="1" w:styleId="125">
    <w:name w:val="正文表标题 Char"/>
    <w:link w:val="98"/>
    <w:qFormat/>
    <w:uiPriority w:val="0"/>
    <w:rPr>
      <w:rFonts w:ascii="黑体" w:eastAsia="黑体"/>
      <w:sz w:val="21"/>
      <w:lang w:bidi="ar-SA"/>
    </w:rPr>
  </w:style>
  <w:style w:type="character" w:customStyle="1" w:styleId="126">
    <w:name w:val="段 Char"/>
    <w:link w:val="55"/>
    <w:qFormat/>
    <w:uiPriority w:val="0"/>
    <w:rPr>
      <w:rFonts w:ascii="宋体"/>
      <w:sz w:val="21"/>
      <w:lang w:bidi="ar-SA"/>
    </w:rPr>
  </w:style>
  <w:style w:type="paragraph" w:customStyle="1" w:styleId="127">
    <w:name w:val="列出段落1"/>
    <w:basedOn w:val="1"/>
    <w:qFormat/>
    <w:uiPriority w:val="34"/>
    <w:pPr>
      <w:ind w:left="357" w:firstLine="420" w:firstLineChars="200"/>
    </w:pPr>
    <w:rPr>
      <w:rFonts w:ascii="Calibri" w:hAnsi="Calibri"/>
      <w:szCs w:val="22"/>
    </w:rPr>
  </w:style>
  <w:style w:type="character" w:customStyle="1" w:styleId="128">
    <w:name w:val="页脚 Char"/>
    <w:link w:val="25"/>
    <w:qFormat/>
    <w:uiPriority w:val="99"/>
    <w:rPr>
      <w:kern w:val="2"/>
      <w:sz w:val="18"/>
      <w:szCs w:val="18"/>
    </w:rPr>
  </w:style>
  <w:style w:type="character" w:customStyle="1" w:styleId="129">
    <w:name w:val="占位符文本1"/>
    <w:basedOn w:val="33"/>
    <w:semiHidden/>
    <w:qFormat/>
    <w:uiPriority w:val="99"/>
    <w:rPr>
      <w:color w:val="808080"/>
    </w:rPr>
  </w:style>
  <w:style w:type="paragraph" w:styleId="130">
    <w:name w:val="List Paragraph"/>
    <w:basedOn w:val="1"/>
    <w:qFormat/>
    <w:uiPriority w:val="99"/>
    <w:pPr>
      <w:ind w:firstLine="420" w:firstLineChars="200"/>
    </w:pPr>
  </w:style>
  <w:style w:type="paragraph" w:customStyle="1" w:styleId="131">
    <w:name w:val="其他发布日期"/>
    <w:basedOn w:val="61"/>
    <w:qFormat/>
    <w:uiPriority w:val="0"/>
    <w:pPr>
      <w:framePr w:w="3997" w:h="471" w:hRule="exact" w:hSpace="0" w:vSpace="181" w:vAnchor="page" w:hAnchor="page" w:x="1419" w:y="14097"/>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customShpInfo spid="_x0000_s2055"/>
    <customShpInfo spid="_x0000_s2057"/>
    <customShpInfo spid="_x0000_s2053"/>
    <customShpInfo spid="_x0000_s2054"/>
    <customShpInfo spid="_x0000_s2050"/>
    <customShpInfo spid="_x0000_s2049"/>
    <customShpInfo spid="_x0000_s2051"/>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F6E54-B43D-4959-B32C-B5D457FE5273}">
  <ds:schemaRefs/>
</ds:datastoreItem>
</file>

<file path=docProps/app.xml><?xml version="1.0" encoding="utf-8"?>
<Properties xmlns="http://schemas.openxmlformats.org/officeDocument/2006/extended-properties" xmlns:vt="http://schemas.openxmlformats.org/officeDocument/2006/docPropsVTypes">
  <Template>tds2</Template>
  <Company>CNIS</Company>
  <Pages>8</Pages>
  <Words>463</Words>
  <Characters>2641</Characters>
  <Lines>22</Lines>
  <Paragraphs>6</Paragraphs>
  <TotalTime>0</TotalTime>
  <ScaleCrop>false</ScaleCrop>
  <LinksUpToDate>false</LinksUpToDate>
  <CharactersWithSpaces>3098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2016-05-14T01:01:00Z</dcterms:created>
  <dc:creator>03</dc:creator>
  <cp:lastModifiedBy>wuyanhua</cp:lastModifiedBy>
  <cp:lastPrinted>2017-03-27T02:41:00Z</cp:lastPrinted>
  <dcterms:modified xsi:type="dcterms:W3CDTF">2020-09-02T10:23:56Z</dcterms:modified>
  <dc:title>板式换热器用钛板</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2052-11.1.0.9912</vt:lpwstr>
  </property>
</Properties>
</file>