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黑体"/>
          <w:b/>
          <w:sz w:val="44"/>
          <w:szCs w:val="44"/>
        </w:rPr>
      </w:pPr>
    </w:p>
    <w:p>
      <w:pPr>
        <w:spacing w:line="360" w:lineRule="auto"/>
        <w:rPr>
          <w:rFonts w:eastAsia="黑体"/>
          <w:b/>
          <w:sz w:val="44"/>
          <w:szCs w:val="44"/>
        </w:rPr>
      </w:pPr>
    </w:p>
    <w:p>
      <w:pPr>
        <w:spacing w:line="360" w:lineRule="auto"/>
        <w:jc w:val="center"/>
        <w:rPr>
          <w:rFonts w:eastAsia="黑体"/>
          <w:bCs/>
          <w:sz w:val="52"/>
          <w:szCs w:val="52"/>
        </w:rPr>
      </w:pPr>
      <w:r>
        <w:rPr>
          <w:rFonts w:hint="eastAsia" w:eastAsia="黑体"/>
          <w:bCs/>
          <w:sz w:val="52"/>
          <w:szCs w:val="52"/>
        </w:rPr>
        <w:t>国家标准</w:t>
      </w:r>
    </w:p>
    <w:p>
      <w:pPr>
        <w:pStyle w:val="2"/>
        <w:rPr>
          <w:b w:val="0"/>
        </w:rPr>
      </w:pPr>
    </w:p>
    <w:p>
      <w:pPr>
        <w:pStyle w:val="45"/>
        <w:spacing w:before="0" w:line="360" w:lineRule="auto"/>
        <w:rPr>
          <w:rFonts w:eastAsia="黑体"/>
          <w:bCs/>
          <w:sz w:val="52"/>
          <w:szCs w:val="52"/>
        </w:rPr>
      </w:pPr>
      <w:r>
        <w:rPr>
          <w:rFonts w:hint="eastAsia" w:eastAsia="黑体"/>
          <w:bCs/>
          <w:sz w:val="52"/>
          <w:szCs w:val="52"/>
        </w:rPr>
        <w:t>《增材制造用钨及钨合金粉》</w:t>
      </w:r>
    </w:p>
    <w:p>
      <w:pPr>
        <w:pStyle w:val="45"/>
        <w:spacing w:before="0" w:line="360" w:lineRule="auto"/>
        <w:rPr>
          <w:rFonts w:eastAsia="黑体"/>
          <w:bCs/>
          <w:sz w:val="24"/>
        </w:rPr>
      </w:pPr>
    </w:p>
    <w:p>
      <w:pPr>
        <w:spacing w:line="360" w:lineRule="auto"/>
        <w:jc w:val="center"/>
        <w:rPr>
          <w:rFonts w:eastAsia="黑体"/>
          <w:bCs/>
          <w:sz w:val="24"/>
        </w:rPr>
      </w:pPr>
    </w:p>
    <w:p>
      <w:pPr>
        <w:spacing w:line="360" w:lineRule="auto"/>
        <w:jc w:val="center"/>
        <w:rPr>
          <w:rFonts w:eastAsia="黑体"/>
          <w:bCs/>
          <w:sz w:val="44"/>
          <w:szCs w:val="44"/>
        </w:rPr>
      </w:pPr>
      <w:r>
        <w:rPr>
          <w:rFonts w:hint="eastAsia" w:eastAsia="黑体"/>
          <w:bCs/>
          <w:sz w:val="44"/>
          <w:szCs w:val="44"/>
        </w:rPr>
        <w:t>编制说明</w:t>
      </w:r>
    </w:p>
    <w:p>
      <w:pPr>
        <w:spacing w:line="360" w:lineRule="auto"/>
        <w:jc w:val="center"/>
        <w:rPr>
          <w:rFonts w:eastAsia="黑体"/>
          <w:b/>
          <w:sz w:val="44"/>
          <w:szCs w:val="44"/>
        </w:rPr>
      </w:pPr>
    </w:p>
    <w:p>
      <w:pPr>
        <w:spacing w:line="360" w:lineRule="auto"/>
        <w:jc w:val="center"/>
        <w:rPr>
          <w:rFonts w:eastAsia="黑体"/>
          <w:b/>
          <w:sz w:val="44"/>
          <w:szCs w:val="44"/>
        </w:rPr>
      </w:pPr>
    </w:p>
    <w:p>
      <w:pPr>
        <w:spacing w:line="360" w:lineRule="auto"/>
        <w:jc w:val="center"/>
        <w:rPr>
          <w:rFonts w:eastAsia="黑体"/>
          <w:b/>
          <w:sz w:val="28"/>
          <w:szCs w:val="28"/>
        </w:rPr>
      </w:pPr>
      <w:r>
        <w:rPr>
          <w:rFonts w:hint="eastAsia" w:eastAsia="黑体"/>
          <w:b/>
          <w:sz w:val="28"/>
          <w:szCs w:val="28"/>
        </w:rPr>
        <w:t>（征求意见稿）</w:t>
      </w: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pPr>
    </w:p>
    <w:p>
      <w:pPr>
        <w:spacing w:line="360" w:lineRule="auto"/>
        <w:rPr>
          <w:rFonts w:eastAsia="黑体"/>
          <w:b/>
          <w:sz w:val="24"/>
        </w:rPr>
        <w:sectPr>
          <w:headerReference r:id="rId3" w:type="first"/>
          <w:footerReference r:id="rId4" w:type="default"/>
          <w:pgSz w:w="11906" w:h="16838"/>
          <w:pgMar w:top="1440" w:right="1800" w:bottom="1440" w:left="1800" w:header="851" w:footer="992" w:gutter="0"/>
          <w:pgNumType w:start="1"/>
          <w:cols w:space="720" w:num="1"/>
          <w:titlePg/>
          <w:docGrid w:type="lines" w:linePitch="312" w:charSpace="0"/>
        </w:sectPr>
      </w:pPr>
    </w:p>
    <w:p>
      <w:pPr>
        <w:pStyle w:val="45"/>
        <w:spacing w:before="0" w:line="360" w:lineRule="auto"/>
        <w:rPr>
          <w:rStyle w:val="26"/>
          <w:rFonts w:ascii="Times New Roman" w:hAnsi="Times New Roman"/>
          <w:sz w:val="30"/>
          <w:szCs w:val="30"/>
        </w:rPr>
      </w:pPr>
      <w:r>
        <w:rPr>
          <w:rFonts w:hint="eastAsia" w:eastAsia="黑体"/>
          <w:b/>
          <w:sz w:val="30"/>
          <w:szCs w:val="30"/>
        </w:rPr>
        <w:t>国家</w:t>
      </w:r>
      <w:r>
        <w:rPr>
          <w:rStyle w:val="26"/>
          <w:rFonts w:hint="eastAsia" w:ascii="Times New Roman" w:hAnsi="Times New Roman"/>
          <w:sz w:val="30"/>
          <w:szCs w:val="30"/>
        </w:rPr>
        <w:t>标准《</w:t>
      </w:r>
      <w:r>
        <w:rPr>
          <w:rFonts w:hint="eastAsia" w:eastAsia="黑体"/>
          <w:b/>
          <w:sz w:val="30"/>
          <w:szCs w:val="30"/>
        </w:rPr>
        <w:t>增材制造用钨及钨合金粉</w:t>
      </w:r>
      <w:r>
        <w:rPr>
          <w:rStyle w:val="26"/>
          <w:rFonts w:hint="eastAsia" w:ascii="Times New Roman" w:hAnsi="Times New Roman"/>
          <w:sz w:val="30"/>
          <w:szCs w:val="30"/>
        </w:rPr>
        <w:t>》</w:t>
      </w:r>
    </w:p>
    <w:p>
      <w:pPr>
        <w:pStyle w:val="45"/>
        <w:spacing w:before="0" w:line="360" w:lineRule="auto"/>
        <w:rPr>
          <w:rStyle w:val="26"/>
          <w:rFonts w:ascii="Times New Roman" w:hAnsi="Times New Roman"/>
          <w:sz w:val="30"/>
          <w:szCs w:val="30"/>
        </w:rPr>
      </w:pPr>
      <w:r>
        <w:rPr>
          <w:rStyle w:val="26"/>
          <w:rFonts w:hint="eastAsia" w:ascii="Times New Roman" w:hAnsi="Times New Roman"/>
          <w:sz w:val="30"/>
          <w:szCs w:val="30"/>
        </w:rPr>
        <w:t>编制说明（征求意见稿）</w:t>
      </w:r>
    </w:p>
    <w:p>
      <w:pPr>
        <w:spacing w:line="360" w:lineRule="auto"/>
        <w:rPr>
          <w:rFonts w:eastAsia="黑体"/>
          <w:sz w:val="24"/>
        </w:rPr>
      </w:pPr>
    </w:p>
    <w:p>
      <w:pPr>
        <w:spacing w:line="360" w:lineRule="auto"/>
        <w:rPr>
          <w:rFonts w:eastAsia="黑体"/>
          <w:sz w:val="24"/>
        </w:rPr>
      </w:pPr>
      <w:r>
        <w:rPr>
          <w:rFonts w:hint="eastAsia" w:eastAsia="黑体"/>
          <w:sz w:val="24"/>
        </w:rPr>
        <w:t>一、工作简况</w:t>
      </w:r>
    </w:p>
    <w:p>
      <w:pPr>
        <w:spacing w:line="360" w:lineRule="auto"/>
        <w:rPr>
          <w:rFonts w:eastAsia="黑体"/>
          <w:sz w:val="24"/>
        </w:rPr>
      </w:pPr>
      <w:r>
        <w:rPr>
          <w:rFonts w:hint="eastAsia" w:eastAsia="黑体"/>
          <w:sz w:val="24"/>
        </w:rPr>
        <w:t>1.  项目来源</w:t>
      </w:r>
    </w:p>
    <w:p>
      <w:pPr>
        <w:spacing w:line="360" w:lineRule="auto"/>
        <w:ind w:firstLine="480" w:firstLineChars="200"/>
        <w:rPr>
          <w:sz w:val="24"/>
        </w:rPr>
      </w:pPr>
      <w:r>
        <w:rPr>
          <w:rFonts w:hint="eastAsia"/>
          <w:sz w:val="24"/>
        </w:rPr>
        <w:t>根据《</w:t>
      </w:r>
      <w:r>
        <w:rPr>
          <w:sz w:val="24"/>
        </w:rPr>
        <w:t>国家标准化管理委员会关于下达第</w:t>
      </w:r>
      <w:r>
        <w:rPr>
          <w:rFonts w:hint="eastAsia"/>
          <w:sz w:val="24"/>
        </w:rPr>
        <w:t>二</w:t>
      </w:r>
      <w:r>
        <w:rPr>
          <w:sz w:val="24"/>
        </w:rPr>
        <w:t>批推荐性国家标准计划的通知</w:t>
      </w:r>
      <w:r>
        <w:rPr>
          <w:rFonts w:hint="eastAsia"/>
          <w:sz w:val="24"/>
        </w:rPr>
        <w:t>》（国标委发[2019]22号）的要求</w:t>
      </w:r>
      <w:r>
        <w:rPr>
          <w:rFonts w:hint="eastAsia" w:hAnsi="宋体"/>
          <w:color w:val="000000"/>
          <w:sz w:val="24"/>
        </w:rPr>
        <w:t>，</w:t>
      </w:r>
      <w:r>
        <w:rPr>
          <w:rFonts w:hint="eastAsia"/>
          <w:sz w:val="24"/>
        </w:rPr>
        <w:t>由广东省材料与加工研究所、洛阳金鹭硬质合金工具有限公司负责起草《增材制造用钨及钨合金粉》国家标准。项目计划编号为</w:t>
      </w:r>
      <w:r>
        <w:rPr>
          <w:sz w:val="24"/>
        </w:rPr>
        <w:t>20192050-T-610</w:t>
      </w:r>
      <w:r>
        <w:rPr>
          <w:rFonts w:hint="eastAsia"/>
          <w:sz w:val="24"/>
        </w:rPr>
        <w:t>，按计划要求，本标准应在2021年完成。</w:t>
      </w:r>
    </w:p>
    <w:p>
      <w:pPr>
        <w:spacing w:line="360" w:lineRule="auto"/>
        <w:rPr>
          <w:rFonts w:eastAsia="黑体"/>
          <w:sz w:val="24"/>
        </w:rPr>
      </w:pPr>
      <w:r>
        <w:rPr>
          <w:rFonts w:hint="eastAsia" w:eastAsia="黑体"/>
          <w:sz w:val="24"/>
        </w:rPr>
        <w:t>2. 产品概况</w:t>
      </w:r>
    </w:p>
    <w:p>
      <w:pPr>
        <w:spacing w:line="360" w:lineRule="auto"/>
        <w:ind w:firstLine="480" w:firstLineChars="200"/>
        <w:rPr>
          <w:sz w:val="24"/>
        </w:rPr>
      </w:pPr>
      <w:r>
        <w:rPr>
          <w:rFonts w:hint="eastAsia"/>
          <w:sz w:val="24"/>
        </w:rPr>
        <w:t>钨及钨合金因具有高密度、高硬度、热膨胀系数低、良好的抗腐蚀性能和热电子发射能力等一系列优良性能，被广泛应用于国防军工、航空航天、电子信息、能源、化工、冶金、核工业以及电子工业等诸多领域，如轮螺转子、惯性旋转元件、火箭喷管、压铸模具、穿甲弹芯、子母弹、药型罩、触点、光栅、发热体和隔热屏等。</w:t>
      </w:r>
    </w:p>
    <w:p>
      <w:pPr>
        <w:spacing w:line="360" w:lineRule="auto"/>
        <w:ind w:firstLine="480" w:firstLineChars="200"/>
        <w:rPr>
          <w:sz w:val="24"/>
        </w:rPr>
      </w:pPr>
      <w:r>
        <w:rPr>
          <w:rFonts w:hint="eastAsia"/>
          <w:sz w:val="24"/>
        </w:rPr>
        <w:t>近年来随着国防军工、航空航天等领域的快速发展，对钨及钨合金零部件结构提出了更高的要求，如具有薄壁、曲面、弯曲管道、孔和槽等特征，而传统粉末冶金方法难以实现，因此增材制造技术被广泛用来制备钨及钨合金材料，从而获得满足实际应用需求的产品。</w:t>
      </w:r>
    </w:p>
    <w:p>
      <w:pPr>
        <w:spacing w:line="360" w:lineRule="auto"/>
        <w:ind w:firstLine="480" w:firstLineChars="200"/>
        <w:rPr>
          <w:sz w:val="24"/>
        </w:rPr>
      </w:pPr>
      <w:r>
        <w:rPr>
          <w:rFonts w:hint="eastAsia"/>
          <w:sz w:val="24"/>
        </w:rPr>
        <w:t>目前，增材制造技术已经从研发转向产业化应用，被称为新一轮工业革命的标志性技术之一。世界各国纷纷将增材制造作为未来产业发展新的增长点重点培育，力争抢占未来科技和产业制高点。我国政府高度重视增材制造产业的发展，将其列入了《中国制造2025》重点发展方向。作为加快制造业转变发展方式和提质增效升级的重要手段，《国家增材制造产业发展推进计划》也已经出台。</w:t>
      </w:r>
    </w:p>
    <w:p>
      <w:pPr>
        <w:spacing w:line="360" w:lineRule="auto"/>
        <w:ind w:firstLine="480" w:firstLineChars="200"/>
        <w:rPr>
          <w:bCs/>
          <w:sz w:val="24"/>
        </w:rPr>
      </w:pPr>
      <w:r>
        <w:rPr>
          <w:rFonts w:hint="eastAsia"/>
          <w:bCs/>
          <w:sz w:val="24"/>
        </w:rPr>
        <w:t>对于增材制造技术，金属粉末是关键的原料，要求球形度高、粉末粒径细小、粒度分布较窄、氧含量低、流动性好。目前国内外尚无增材制造用钨及钨合金粉的相关国际标准、国家标准或行业标准可依，没有相应统一的标准要求和检验验收规范，各生产厂家制粉工艺也不完全一致，产品参数不在同一基准上，从而给产品的生产和评价带来不便，阻碍了钨及钨合金增材制造技术的发展和产业化进程，也进一步限制了增材制造钨及钨合金零件在国防军工、航空航天、化工、核工业等领域的实验及推广应用。</w:t>
      </w:r>
    </w:p>
    <w:p>
      <w:pPr>
        <w:pStyle w:val="2"/>
        <w:spacing w:line="360" w:lineRule="auto"/>
        <w:ind w:firstLine="480" w:firstLineChars="200"/>
        <w:rPr>
          <w:b w:val="0"/>
          <w:sz w:val="24"/>
        </w:rPr>
      </w:pPr>
      <w:r>
        <w:rPr>
          <w:rFonts w:hint="eastAsia"/>
          <w:b w:val="0"/>
          <w:sz w:val="24"/>
        </w:rPr>
        <w:t>本标准的制定能够有效的对增材制造用钨及钨合金粉末的生产、检验、包装等活动进行规范，有利于提高增材制造用钨及钨合金粉末产品质量，推进钨及钨合金粉末的市场应用。针对不同增材制造工艺的要求，对钨及钨合金粉末的化学成分及物理化学性能进行了规定，以解决当前增材制造用钨及钨合金粉末无标准可依、粉末性能参差不齐的问题。</w:t>
      </w:r>
    </w:p>
    <w:p>
      <w:pPr>
        <w:spacing w:line="360" w:lineRule="auto"/>
        <w:rPr>
          <w:rFonts w:eastAsia="黑体"/>
          <w:sz w:val="24"/>
        </w:rPr>
      </w:pPr>
      <w:r>
        <w:rPr>
          <w:rFonts w:hint="eastAsia" w:eastAsia="黑体"/>
          <w:sz w:val="24"/>
        </w:rPr>
        <w:t>3.  承担单位简况</w:t>
      </w:r>
    </w:p>
    <w:p>
      <w:pPr>
        <w:spacing w:line="360" w:lineRule="auto"/>
        <w:ind w:firstLine="480" w:firstLineChars="200"/>
        <w:rPr>
          <w:sz w:val="24"/>
        </w:rPr>
      </w:pPr>
      <w:r>
        <w:rPr>
          <w:rFonts w:hint="eastAsia"/>
          <w:sz w:val="24"/>
        </w:rPr>
        <w:t>主承担单位广东省材料与加工研究所是隶属广东省科学院的省属事业单位，由原广州有色金属研究院粉末冶金研究所等单位重新组建而成，是广东省工业领域集技术研究开发、成果集成转化、新兴产业孵化为一体的综合性科研生产单位。依托我所组建有“国家钛及稀有金属粉末冶金工程技术研究中心”，“广东省金属粉体材料工程技术研究中心”，我所长期从事金属合金粉的技术开发和生产应用工作，拥有水气联合雾化、真空雾化、射频等离子球化、等离子旋转电极雾化等金属粉末生产设备，在增材制造金属粉的制备方面拥有多项专利技术并实现了产业化，是金属及合金粉体制备技术重要的产业研发基地，已形成50吨/年3D打印用粉末的中试生产能力，在增材制造用钨及钨合金粉体制备研究方面具有扎实的基础和成熟的经验。目前我所制备的金属粉末的技术水平已达到国际先进水平，与国内外多家知名公司建立了合作关系，金属粉末产品在市场上具有良好的口碑，在行业内具有较高的知名度。迄今我所取得专利授权一百多件，累计有近40项科技成果获得了国家、省、市等政府部门的奖励，制修订国家、行业及企业标准20余项。</w:t>
      </w:r>
    </w:p>
    <w:p>
      <w:pPr>
        <w:pStyle w:val="2"/>
        <w:spacing w:line="360" w:lineRule="auto"/>
        <w:rPr>
          <w:b w:val="0"/>
          <w:sz w:val="24"/>
        </w:rPr>
      </w:pPr>
      <w:r>
        <w:rPr>
          <w:rFonts w:hint="eastAsia"/>
        </w:rPr>
        <w:t xml:space="preserve">   </w:t>
      </w:r>
      <w:r>
        <w:rPr>
          <w:rFonts w:hint="eastAsia"/>
          <w:b w:val="0"/>
          <w:bCs w:val="0"/>
          <w:sz w:val="24"/>
        </w:rPr>
        <w:t>主承担单位</w:t>
      </w:r>
      <w:r>
        <w:rPr>
          <w:rFonts w:hint="eastAsia"/>
          <w:b w:val="0"/>
          <w:sz w:val="24"/>
        </w:rPr>
        <w:t>洛阳金鹭硬质合金工具有限公司是享誉国际的钨粉末、硬质合金及精密刀具制造综合企业。具备年产9000吨/钨粉、碳化钨粉、4000吨合金棒材、1000吨矿用合金、800万支硬质合金整体刀具、4000万支PCB硬质合金微型刀具和1200万片数控切削刀片的综合生产规模。厦门金鹭特种合金有限公司通过不断的自主创新和科技进步，先后自主实施了包括国家科技攻关计划、国家重点火炬计划、国家重点新产品在内的21项国家级科技计划和2项国家重点技改工程，完成省、市及企业级技术课题300多项，研制和开发出一批具有自主知识产权的先进设备、工艺技术和产品，申请专利109项（已获批66项），形成了一系列具有自主知识产权的钨粉、碳化钨粉、硬质合金材及其精密刀具专有制造技术。公司近几年参与国家标准制修订情况：于2011年负责制定了《碳化钨粉安全生产规程》强制性国家标准；于2012～13年负责制定了《硬质合金显微组织金相测定-第1部分 金相照片和描述》国家标准；于2014年负责制定了《硬质合金 孔隙度和非化合碳的金相测定》和《硬质合金横向断裂强度测定方法》两项国家标准；于2015年负责制定了《硬质合金矫顽磁力测定方法》和《微晶硬质合金棒材》两项国家标准；于2016年负责制定了《硬质合金显微组织的金相测定 第二部分:WC晶粒尺寸的测量》；于2017年负责制定了《带圆角圆孔固定的硬质合金可转位刀片尺寸》；于2018年负责制定了《硬质合金圆棒毛坯》。</w:t>
      </w:r>
    </w:p>
    <w:p>
      <w:pPr>
        <w:widowControl/>
        <w:shd w:val="clear" w:color="auto" w:fill="FFFFFF"/>
        <w:spacing w:line="360" w:lineRule="auto"/>
        <w:ind w:firstLine="480" w:firstLineChars="200"/>
        <w:jc w:val="left"/>
        <w:rPr>
          <w:sz w:val="24"/>
        </w:rPr>
      </w:pPr>
      <w:r>
        <w:rPr>
          <w:rFonts w:hint="eastAsia"/>
          <w:sz w:val="24"/>
        </w:rPr>
        <w:t>参与单位</w:t>
      </w:r>
      <w:r>
        <w:rPr>
          <w:sz w:val="24"/>
        </w:rPr>
        <w:t>星尘科技（广东）有限公司是一家专门从事3D打印、粉末冶金、表面工程等领域用高端球形粉体材料研发、生产和销售的科技型企业。公司坚持以射频等离子体球化制粉技术为导向，提供国际先进的产品及应用解决方案。同时提供射频等离子球化、等离子旋转电极雾化、3D打印、热等静压、注射成型、粉末冶金等技术服务。公司由佛山星尘信息咨询合伙企业（有限合伙）、广东省材料与加工研究所、广东省科学院佛山产业技术研究院有限公司联合成立，拥有实力强大的研发中心和完整的技术支持团队。公司主营产品包括钽粉、钨粉、钼粉、铌粉、钛及钛合金粉、铸造碳化钨粉、碳化钨-钴硬质合金粉等高端稀有难熔金属及化合物球形粉体。</w:t>
      </w:r>
    </w:p>
    <w:p>
      <w:pPr>
        <w:spacing w:line="360" w:lineRule="auto"/>
        <w:ind w:firstLine="480" w:firstLineChars="200"/>
        <w:rPr>
          <w:color w:val="000000"/>
          <w:sz w:val="24"/>
        </w:rPr>
      </w:pPr>
      <w:r>
        <w:rPr>
          <w:rFonts w:hint="eastAsia"/>
          <w:sz w:val="24"/>
        </w:rPr>
        <w:t>参与</w:t>
      </w:r>
      <w:r>
        <w:rPr>
          <w:rFonts w:hint="eastAsia"/>
          <w:color w:val="000000"/>
          <w:sz w:val="24"/>
        </w:rPr>
        <w:t>单位</w:t>
      </w:r>
      <w:r>
        <w:rPr>
          <w:color w:val="000000"/>
          <w:sz w:val="24"/>
        </w:rPr>
        <w:t>西安赛隆金属材料有限责任公司成立于2013年，是由西北有色金属研究院发起并控股，依托金属多孔材料国家重点实验室创新平台，以重点实验室在高品质金属粉末和电子束选区熔化成形增材制造相关领域十余年的研发成果为基础成立的科技型企业。公司专业从事商业化粉末床电子束3D打印（SEBM）技术与装备、等离子旋转电极雾化制粉（PREP）技术与装备的研发、生产、销售和技术服务。在高品质球形粉末的生产制备方面，</w:t>
      </w:r>
      <w:r>
        <w:rPr>
          <w:rFonts w:hint="eastAsia"/>
          <w:color w:val="000000"/>
          <w:sz w:val="24"/>
        </w:rPr>
        <w:t>公司研发生产了钛及钛合金、高温合金、难熔金属等不同体系的</w:t>
      </w:r>
      <w:r>
        <w:rPr>
          <w:color w:val="000000"/>
          <w:sz w:val="24"/>
        </w:rPr>
        <w:t>20余种特殊牌号</w:t>
      </w:r>
      <w:r>
        <w:rPr>
          <w:rFonts w:hint="eastAsia"/>
          <w:color w:val="000000"/>
          <w:sz w:val="24"/>
        </w:rPr>
        <w:t>的粉末材料以</w:t>
      </w:r>
      <w:r>
        <w:rPr>
          <w:color w:val="000000"/>
          <w:sz w:val="24"/>
        </w:rPr>
        <w:t>满足增材制造</w:t>
      </w:r>
      <w:r>
        <w:rPr>
          <w:rFonts w:hint="eastAsia"/>
          <w:color w:val="000000"/>
          <w:sz w:val="24"/>
        </w:rPr>
        <w:t>技术应用需求。</w:t>
      </w:r>
      <w:r>
        <w:rPr>
          <w:color w:val="000000"/>
          <w:sz w:val="24"/>
        </w:rPr>
        <w:t>目前公司已经具备年产200吨金属粉末、20台套设备、上万件3D打印件的生产能力。</w:t>
      </w:r>
    </w:p>
    <w:p>
      <w:pPr>
        <w:pStyle w:val="2"/>
        <w:spacing w:line="360" w:lineRule="auto"/>
        <w:ind w:firstLine="480" w:firstLineChars="200"/>
        <w:rPr>
          <w:b w:val="0"/>
          <w:bCs w:val="0"/>
          <w:sz w:val="24"/>
        </w:rPr>
      </w:pPr>
      <w:r>
        <w:rPr>
          <w:rFonts w:hint="eastAsia"/>
          <w:b w:val="0"/>
          <w:sz w:val="24"/>
        </w:rPr>
        <w:t>参与</w:t>
      </w:r>
      <w:r>
        <w:rPr>
          <w:rFonts w:hint="eastAsia"/>
          <w:b w:val="0"/>
          <w:bCs w:val="0"/>
          <w:sz w:val="24"/>
        </w:rPr>
        <w:t>单位北矿新材科技有限公司是由中央直属大型科技企业北京矿冶研究总院以其所属北京钨钼材料厂和金属材料研究所为基础与北京市科委共同出资设立的集研究、开发、生产、经营四位于一体的现代材料科技公司。公司于2011年11月2日在国家工商行政管理局登记注册，注册资本10000万元。近年来承担了3D打印用材料方向省部级项目4项，在3D打印用难熔金属、高温合金粉末和不锈钢粉末领域，经过多年项目研发和市场培育，积累了丰富的研制与生产经验，针对超细、低氧含量合金粉末，已突破了精确控制合金粉末成分、球形度等关键参数的工艺技术。此外在钨、钼粉及预合金粉末冶金方面研究已经有50多年的历史，在球形钼粉、绿色环保稀土钨/钼电极、高温钼制品、钨钼异型件等材料的研制和开发方面具有丰富的经验。公司拥有先进的Tekna生产的80kW和15kW两台等离子等生产设备，以及系列粉末检测设备。而且，近年来公司主持和起草了国家、行业标准20余项，拥有丰富的标准制修订经验。</w:t>
      </w:r>
    </w:p>
    <w:p>
      <w:pPr>
        <w:pStyle w:val="2"/>
        <w:spacing w:line="360" w:lineRule="auto"/>
        <w:ind w:firstLine="480"/>
        <w:rPr>
          <w:b w:val="0"/>
          <w:sz w:val="24"/>
        </w:rPr>
      </w:pPr>
      <w:r>
        <w:rPr>
          <w:rFonts w:hint="eastAsia"/>
          <w:b w:val="0"/>
          <w:sz w:val="24"/>
        </w:rPr>
        <w:t>参与单位江苏威拉里新材料科技有限公司是由徐州矿务集团投资组建的新兴技术企业，注册资本4000万元。公司引进哈尔滨工业大学新材料专业技术团队，采用世界一流的真空气雾化、无坩埚感应熔炼气雾化粉体制备技术，主要从事钛合金、高温镍基合金、铝合金、铜合金、钴铬合金等多种高端金属粉体的研发、生产和销售，并针对客户需求，提供高质量金属粉体个性化定制服务。产品球形度、氧含量、流动性、粒度分布等性能均达到国际先进水平，已广泛应用于航空航天、生物医疗、激光熔覆、3D打印等高端制造领域，以优越的产品品质及技术服务，致力于打造国内顶尖、世界一流高端金属粉体制造企业。</w:t>
      </w:r>
    </w:p>
    <w:p>
      <w:pPr>
        <w:spacing w:line="360" w:lineRule="auto"/>
        <w:ind w:firstLine="480" w:firstLineChars="200"/>
        <w:rPr>
          <w:sz w:val="24"/>
        </w:rPr>
      </w:pPr>
      <w:r>
        <w:rPr>
          <w:rFonts w:hint="eastAsia"/>
          <w:sz w:val="24"/>
        </w:rPr>
        <w:t>参与</w:t>
      </w:r>
      <w:r>
        <w:rPr>
          <w:rFonts w:hint="eastAsia"/>
          <w:sz w:val="24"/>
          <w:lang w:val="zh-CN"/>
        </w:rPr>
        <w:t>单位西安欧中材料科技有限公司（简称欧中科技）是西北有色金属研究院（集团）下属的专业从事金属球形粉末及制件生产与服务的高新技术企业。欧中科技通过“引进消化吸收再创新”，组建了具备国际先进水平的国内首条超高转速（30000rpm）等离子旋转电极雾化SS-PREPTM金属球形粉末工业化生产线，主要致力于钛合金、高温合金及其他金属球形粉末制备，发动机叶片的精深加工服务，粉末冶金制件、增材制造金属丝材的研发、生产及货物的进出口贸易等。产品涵括TC4、TC4-DT等100多种牌号的金属粉末及丝材和高温合金粉末盘等，主要应用于航空航天粉末冶金、增材制造（3D打印）、生物医疗等领域。目前，公司在高品质金属球形粉末制备领域处于国内领先地位。</w:t>
      </w:r>
      <w:r>
        <w:rPr>
          <w:rFonts w:hint="eastAsia"/>
          <w:sz w:val="24"/>
        </w:rPr>
        <w:t>公司通过了航空AS9100（航空航天质量管理体系）、ISO13485（医疗器械质量管理体系）以及GB/T 29490（知识产权管理体系）的认证。承担省、市、国家级科研项目三十余项，获得授权专利十余项，在国内外期刊发表文章二十余篇。目前，公司拥有等离子旋转电极制粉设备、电选生产与实验设备、激光粒度分析仪、数字振筛机、粉体综合特性测试仪等多台套生产检测设备。</w:t>
      </w:r>
    </w:p>
    <w:p>
      <w:pPr>
        <w:pStyle w:val="2"/>
        <w:spacing w:line="360" w:lineRule="auto"/>
        <w:ind w:firstLine="480"/>
        <w:rPr>
          <w:b w:val="0"/>
          <w:sz w:val="24"/>
        </w:rPr>
      </w:pPr>
      <w:r>
        <w:rPr>
          <w:rFonts w:hint="eastAsia"/>
          <w:b w:val="0"/>
          <w:sz w:val="24"/>
        </w:rPr>
        <w:t>参与单位广东银纳科技有限公司是一家致力于增材制造技术领域全产业链的高新技术企业。业务领域涵盖高端金属粉末材料研发，增材制造产业装备研发与制造，职业教育资源综合解决方案提供及3D打印应用服务等四个板块。</w:t>
      </w:r>
    </w:p>
    <w:p>
      <w:pPr>
        <w:spacing w:line="360" w:lineRule="auto"/>
        <w:ind w:firstLine="480" w:firstLineChars="200"/>
        <w:rPr>
          <w:sz w:val="24"/>
        </w:rPr>
      </w:pPr>
      <w:r>
        <w:rPr>
          <w:rFonts w:hint="eastAsia"/>
          <w:sz w:val="24"/>
        </w:rPr>
        <w:t>参与单位北京康普锡威科技有限公司是北京有色金属研究总院控股子公司，专业从事3D打印、合金焊料、软磁等有色金属特种粉体的研发、生产、销售和服务，是国家级高新技术企业。公司拥有成熟的气体雾化制粉生产线和丰富的产品研发经验，能够批量提供多个合金体系的3D打印用金属粉末，包括铝合金、模具钢、铜合金、钴铬合金、不锈钢等。所提供粉末产品杂质含量低，球形度好，成分均匀，批次稳定，适用于多种3D打印工艺，在航空航天、模具、医疗等行业取得了广泛应用。</w:t>
      </w:r>
    </w:p>
    <w:p>
      <w:pPr>
        <w:pStyle w:val="2"/>
        <w:spacing w:line="360" w:lineRule="auto"/>
      </w:pPr>
      <w:r>
        <w:rPr>
          <w:rFonts w:hint="eastAsia"/>
        </w:rPr>
        <w:t xml:space="preserve"> </w:t>
      </w:r>
      <w:r>
        <w:rPr>
          <w:rFonts w:hint="eastAsia"/>
          <w:b w:val="0"/>
          <w:bCs w:val="0"/>
          <w:sz w:val="24"/>
        </w:rPr>
        <w:t xml:space="preserve">   参与单位华中科技大学是国家教育部直属重点综合性大学，由原华中理工大学、同济医科大学、武汉城市建设学院于2000年5月26日合并成立，是国家“211工程”重点建设和“985工程”建设高校之一，是首批“双一流”建设高校。华中科技大学按照“应用领先、基础突破、协调发展”的科技发展方略，构建起了覆盖基础研究层、高新技术研究层、技术开发层三个层次的科技创新体系。建设有武汉光电国家研究中心以及国家脉冲强磁场科学中心（筹）、精密重力测量研究设施等国家重大科技基础设施，还拥有1个国家制造业创新中心、4个国家重点实验室、1个国防科技重点实验室、6个国家工程（技术）研究中心、1个国家临床医学研究中心 、1个国家工程实验室、2个国家专业实验室、6个科技部国家国际科技合作基地及一批省部级研究基地。</w:t>
      </w:r>
    </w:p>
    <w:p>
      <w:pPr>
        <w:spacing w:line="360" w:lineRule="auto"/>
        <w:ind w:firstLine="420" w:firstLineChars="200"/>
        <w:rPr>
          <w:sz w:val="24"/>
        </w:rPr>
      </w:pPr>
      <w:r>
        <w:rPr>
          <w:rFonts w:hint="eastAsia"/>
        </w:rPr>
        <w:t xml:space="preserve"> </w:t>
      </w:r>
      <w:r>
        <w:rPr>
          <w:rFonts w:hint="eastAsia"/>
          <w:sz w:val="24"/>
        </w:rPr>
        <w:t>参与单位西北工业大学坐落于陕西西安，是我国唯一一所以同时发展航空、航天、航海（三航）人才培养和科学研究为特色的多科性、研究型、开放式大学，隶属于工业和信息化部。新中国成立以来，西工大一直是国家重点建设的高校，1960年被国务院确定为全国重点大学，“七五”、“八五”均被国务院列为重点建设的全国15所大学之一，是全国首批设立研究生院的22所高校之一，1995年首批进入“211工程”，2001年进入“985工程”，2017年进入国家“一流大学”建设高校（A类），是“卓越大学联盟”成员高校，先后获得“全国文明单位”、“全国创先争优先进基层党组织”、“全国毕业生就业典型高校”、“全国文明校园”等荣誉称号和表彰奖励。学校充分发挥“三航”特色优势，聚焦国家战略需求和世界科技前沿，为我国国防科技事业发展和国民经济建设作出了重大贡献。近五年，学校科研经费到款累计超过百亿元，位居全国高校前列。其中，2018年科研到款超过30亿元。现建有8个国家级重点实验室，2个国家工程研究中心，4个国家级国际科技合作基地，1个国防科技创新中心，5个国家地方联合创新平台，102个省部级科研平台。在16个国家科技重大专项中，学校重点参与了大飞机、载人航天与探月等10个重大专项的论证及科研攻关，近十年来，获得国家科学技术奖20余项，省部级科技一等奖近50项。</w:t>
      </w:r>
    </w:p>
    <w:p>
      <w:pPr>
        <w:pStyle w:val="2"/>
        <w:spacing w:line="360" w:lineRule="auto"/>
        <w:ind w:firstLine="480"/>
        <w:rPr>
          <w:rFonts w:ascii="宋体" w:hAnsi="宋体"/>
          <w:b w:val="0"/>
          <w:sz w:val="24"/>
        </w:rPr>
      </w:pPr>
      <w:r>
        <w:rPr>
          <w:rFonts w:hint="eastAsia"/>
          <w:b w:val="0"/>
          <w:sz w:val="24"/>
        </w:rPr>
        <w:t>参与</w:t>
      </w:r>
      <w:r>
        <w:rPr>
          <w:rFonts w:hint="eastAsia" w:ascii="宋体" w:hAnsi="宋体"/>
          <w:b w:val="0"/>
          <w:sz w:val="24"/>
        </w:rPr>
        <w:t>单位西北有色金属研究院是我国重要的稀有金属材料研究基地和行业技术开发中心、是稀有金属材料加工国家工程研究中心、金属多孔材料国家重点实验室、超导材料制备国家工程实验室、中国有色金属工业西北质量监督检验中心、层状金属复合材料国家地方联合工程研究中心等的依托单位，地处西安、宝鸡两地五区。研究院现有资产总值104亿元，仪器设备5000多台套，占地3500亩，正式职工3797人，其中科技人员千余人，有中国工程院院士1人，教授、高工430人，博士、硕士902人，2018年全院综合收入114.5亿元。西北有色金属研究院已经建成了一批在国际上有相当影响的材料研究领域，组建了14个研究所及中心，建设了39个国家和省级研究中心及平台，共获得1100余项科研成果奖和1500项专有与专利技术。同时，研究院加强成果转化及工程化工作，积极推进科技产业化进程，开发试制新产品10000多项，发起组建37个控股参股的高新技术企业，形成了国内最大的稀有金属新材料科研、生产基地。近年来，先后荣获"全国五一劳动奖状"、"全国先进基层党组织"、"国家科技计划执行优秀团队"、"国家工程中心重大成就奖"等殊荣。</w:t>
      </w:r>
    </w:p>
    <w:p>
      <w:pPr>
        <w:pStyle w:val="2"/>
        <w:spacing w:line="360" w:lineRule="auto"/>
        <w:ind w:firstLine="480"/>
        <w:rPr>
          <w:b w:val="0"/>
          <w:sz w:val="24"/>
        </w:rPr>
      </w:pPr>
      <w:r>
        <w:rPr>
          <w:rFonts w:hint="eastAsia"/>
          <w:b w:val="0"/>
          <w:sz w:val="24"/>
        </w:rPr>
        <w:t>参与单位广州赛隆增材制造有限责任公司由西北有色金属研究院、西安赛隆金属材料有限责任公司和金属多孔材料国家重点实验室共同发起，技术团队核心成员领办的高新技术企业。公司创业团队由国家万人计划人才、金属多孔材料国家重点实验室主任汤慧萍教授领衔，金属多孔材料国家重点实验室副主任汪强兵等七位博士组成。汤慧萍教授任公司董事长，汪强兵博士任公司总经理，公司研究生学历以上人员占比90%。公司创业团队以3D打印方面的最新研究成果为依托，通过在广州落地转化，高效对接市场和资本，填补粤港澳大湾区在粉床电子束增材制造技术方面的空白，打造金属增材制造国际一流企业和知名品牌。公司主营增材制造制品及原料的设计开发、生产和销售，包括金属3D打印专用球形粉末、3D打印零件及粉末冶金制品。产品已广泛应用于航空航天、医疗、模具等领域</w:t>
      </w:r>
    </w:p>
    <w:p>
      <w:pPr>
        <w:pStyle w:val="2"/>
        <w:spacing w:line="360" w:lineRule="auto"/>
        <w:ind w:firstLine="480"/>
        <w:rPr>
          <w:b w:val="0"/>
          <w:sz w:val="22"/>
        </w:rPr>
      </w:pPr>
      <w:r>
        <w:rPr>
          <w:rFonts w:hint="eastAsia" w:asciiTheme="minorEastAsia" w:hAnsiTheme="minorEastAsia" w:eastAsiaTheme="minorEastAsia" w:cstheme="minorEastAsia"/>
          <w:b w:val="0"/>
          <w:sz w:val="24"/>
        </w:rPr>
        <w:t>参与单位宁夏东方钽业股份有限公司宁夏东方钽业股份有限公司（以下简称“公司”）是中色（宁夏）东方集团有限公司下属控股子公司，是中国有色矿业集团有限公司成员单位。公司是全球知名的钽﹑铌冶炼及加工生产商,通过了ISO9001质量管理体系、ISO14001环境管理体系、OHSAS18001职业健康安全管理体系认证。自2000年上市以来，公司以科学的管理理念、精良的工艺装备、先进的技术水平、高素质的员工队伍等综合优势，已形成钽、铌、钛金属及其合金材料等主要产业格局，钽、铌及其合金制品等系列产品多次荣获“对外贸易出口名牌”“中国名牌产品”称号。主导产品电容器级钽粉、钽丝在钽电容器行业有良好的质量口碑，产销量多年位居行业前列，与美英德日韩等国的主要钽电容器制造商建立了长期稳定的合作关系。</w:t>
      </w:r>
    </w:p>
    <w:p>
      <w:pPr>
        <w:spacing w:line="360" w:lineRule="auto"/>
        <w:ind w:firstLine="480" w:firstLineChars="200"/>
        <w:rPr>
          <w:sz w:val="24"/>
        </w:rPr>
      </w:pPr>
      <w:r>
        <w:rPr>
          <w:rFonts w:hint="eastAsia"/>
          <w:sz w:val="24"/>
        </w:rPr>
        <w:t>参与单位中航迈特粉冶科技（北京）有限公司是一家以先进合金粉末制备、</w:t>
      </w:r>
      <w:r>
        <w:rPr>
          <w:sz w:val="24"/>
        </w:rPr>
        <w:t>3D打印及热等静压技术为基础，以航空航天金属粉末材料及特种合金零部件制造为目标的国家高新技术企业。2015年底在河北固安工业园区投资建成国内技术水平最高的金属粉末材料研发生产基地，占地面积15000平米。2018年在江苏徐州建立金属粉末生产基地二期工程，并成立中航迈特粉冶科技（徐州）有限公司，占地50000平方米，规划制粉生产线30余条。联合国家增材制造产品质量监督检验中心组建国家增材制造联合检研实验室，组建北京市增材制造和新材料中心、粉末工程化研究</w:t>
      </w:r>
      <w:r>
        <w:rPr>
          <w:rFonts w:hint="eastAsia"/>
          <w:sz w:val="24"/>
        </w:rPr>
        <w:t>中心。</w:t>
      </w:r>
      <w:r>
        <w:rPr>
          <w:sz w:val="24"/>
        </w:rPr>
        <w:t>团队核心成员先后参与10余项国家、省级科研项目，并在相关领域核心期刊上发表50余篇学术论文，获授权技术专利多项。公司对外开放合作，联合成立了国家增材制造联合检研实验室、北京市开发区增材制造和新材料技术创新中心、河北省增材制造产业技术研究院等科研平台，累计投入研发经费2000余万元，建有完善的科研设施，包括雾化制粉试验平台1套、粉末后处理研发平台1套、选区激光熔化设备2套、激光熔覆设备1套、打印零件后处理生产线1条，配备粉末激光粒度检测仪、粒度筛分仪、氧氮氢分析仪等检测设备20余套。</w:t>
      </w:r>
    </w:p>
    <w:p>
      <w:pPr>
        <w:spacing w:line="360" w:lineRule="auto"/>
        <w:ind w:firstLine="480" w:firstLineChars="200"/>
        <w:rPr>
          <w:sz w:val="24"/>
        </w:rPr>
      </w:pPr>
      <w:r>
        <w:rPr>
          <w:rFonts w:hint="eastAsia"/>
          <w:sz w:val="24"/>
        </w:rPr>
        <w:t>参与单位上海材料研究所（SRIM）源于1946年成立的“材料性能试验室”，随着新中国工业的崛起和发展而得到同步壮大。至上世纪九十年代，己成为机械工业工程材料技术的核心研发机构。上世纪末，在深化科技体制改革推动下，发展成为上海市新材料高科技企业，同时也是上海市工程材料技术骨干研发机构和公正、权威的第三方材料检测机构。</w:t>
      </w:r>
    </w:p>
    <w:p>
      <w:pPr>
        <w:spacing w:line="360" w:lineRule="auto"/>
        <w:rPr>
          <w:rFonts w:eastAsia="黑体"/>
          <w:sz w:val="24"/>
        </w:rPr>
      </w:pPr>
      <w:r>
        <w:rPr>
          <w:rFonts w:hint="eastAsia" w:eastAsia="黑体"/>
          <w:sz w:val="24"/>
        </w:rPr>
        <w:t>4.  主要工作过程</w:t>
      </w:r>
    </w:p>
    <w:p>
      <w:pPr>
        <w:pStyle w:val="36"/>
        <w:tabs>
          <w:tab w:val="center" w:pos="4201"/>
          <w:tab w:val="right" w:leader="dot" w:pos="9298"/>
        </w:tabs>
        <w:spacing w:line="360" w:lineRule="auto"/>
        <w:ind w:firstLine="480"/>
        <w:rPr>
          <w:rFonts w:ascii="Times New Roman"/>
          <w:sz w:val="24"/>
        </w:rPr>
      </w:pPr>
      <w:r>
        <w:rPr>
          <w:rFonts w:hint="eastAsia" w:ascii="Times New Roman"/>
          <w:sz w:val="24"/>
        </w:rPr>
        <w:t>根据任务落实会议精神，广东省材料与加工研究所和洛阳金鹭硬质合金工具有限公司接到《</w:t>
      </w:r>
      <w:r>
        <w:rPr>
          <w:rFonts w:hint="eastAsia" w:ascii="Times New Roman"/>
          <w:bCs/>
          <w:sz w:val="24"/>
        </w:rPr>
        <w:t>增材制造用钨及钨合金粉末</w:t>
      </w:r>
      <w:r>
        <w:rPr>
          <w:rFonts w:hint="eastAsia" w:ascii="Times New Roman"/>
          <w:sz w:val="24"/>
        </w:rPr>
        <w:t>》编写任务后，组织相关技术人员，成立了标准编制小组，对目标任务进行分解，明确成员的任务要求，制定了工作计划和进度安排。通过收集和整理国内外</w:t>
      </w:r>
      <w:r>
        <w:rPr>
          <w:rFonts w:hint="eastAsia" w:ascii="Times New Roman"/>
          <w:bCs/>
          <w:sz w:val="24"/>
        </w:rPr>
        <w:t>增材制造用钨及钨合金粉末的应用信息</w:t>
      </w:r>
      <w:r>
        <w:rPr>
          <w:rFonts w:hint="eastAsia" w:ascii="Times New Roman"/>
          <w:sz w:val="24"/>
        </w:rPr>
        <w:t>和技术资料，充分了解了</w:t>
      </w:r>
      <w:r>
        <w:rPr>
          <w:rFonts w:hint="eastAsia" w:ascii="Times New Roman"/>
          <w:bCs/>
          <w:sz w:val="24"/>
        </w:rPr>
        <w:t>钨及钨合金粉生产</w:t>
      </w:r>
      <w:r>
        <w:rPr>
          <w:rFonts w:hint="eastAsia" w:ascii="Times New Roman"/>
          <w:sz w:val="24"/>
        </w:rPr>
        <w:t>工艺状况、产品质量控制等，并对国内相关生产制造和质量水平进行了充分论证，于2020年3月形成国家标准《</w:t>
      </w:r>
      <w:r>
        <w:rPr>
          <w:rFonts w:hint="eastAsia" w:ascii="Times New Roman"/>
          <w:bCs/>
          <w:sz w:val="24"/>
        </w:rPr>
        <w:t>增材制造用钨及钨合金粉</w:t>
      </w:r>
      <w:r>
        <w:rPr>
          <w:rFonts w:hint="eastAsia" w:ascii="Times New Roman"/>
          <w:sz w:val="24"/>
        </w:rPr>
        <w:t xml:space="preserve">》草案初稿，经过多次内部讨论分析，对草案进行了修改和完善，于2020年5月形成标准征求意见稿。  </w:t>
      </w:r>
    </w:p>
    <w:p>
      <w:pPr>
        <w:spacing w:line="360" w:lineRule="auto"/>
        <w:rPr>
          <w:rFonts w:ascii="黑体" w:hAnsi="黑体" w:eastAsia="黑体" w:cs="黑体"/>
          <w:b/>
          <w:bCs/>
          <w:sz w:val="24"/>
        </w:rPr>
      </w:pPr>
      <w:r>
        <w:rPr>
          <w:rFonts w:hint="eastAsia" w:ascii="黑体" w:hAnsi="黑体" w:eastAsia="黑体" w:cs="黑体"/>
          <w:b/>
          <w:bCs/>
          <w:sz w:val="24"/>
        </w:rPr>
        <w:t>5. 参编单位工作情况</w:t>
      </w:r>
    </w:p>
    <w:p>
      <w:pPr>
        <w:spacing w:line="360" w:lineRule="auto"/>
        <w:ind w:firstLine="480" w:firstLineChars="200"/>
        <w:rPr>
          <w:sz w:val="24"/>
        </w:rPr>
      </w:pPr>
      <w:r>
        <w:rPr>
          <w:rFonts w:hint="eastAsia"/>
          <w:sz w:val="24"/>
        </w:rPr>
        <w:t>整个标准起草过程中各参与单位给予了大力的支持帮助。</w:t>
      </w:r>
    </w:p>
    <w:p>
      <w:pPr>
        <w:spacing w:line="360" w:lineRule="auto"/>
        <w:ind w:firstLine="480" w:firstLineChars="200"/>
        <w:rPr>
          <w:sz w:val="24"/>
        </w:rPr>
      </w:pPr>
      <w:r>
        <w:rPr>
          <w:rFonts w:hint="eastAsia"/>
          <w:sz w:val="24"/>
        </w:rPr>
        <w:t>西安赛隆金属材料有限责任公司、</w:t>
      </w:r>
      <w:r>
        <w:rPr>
          <w:sz w:val="24"/>
        </w:rPr>
        <w:t>星尘科技（广东）有限公司</w:t>
      </w:r>
      <w:r>
        <w:rPr>
          <w:rFonts w:hint="eastAsia"/>
          <w:sz w:val="24"/>
        </w:rPr>
        <w:t>、北矿新材科技有限公司、江苏威拉里新材料科技有限公司、西安欧中材料科技有限公司、广东银纳科技有限公司、北京康普锡威科技有限公司、华中科技大学、西北工业大学、西北有色金属研究院等单位提供了相关产品的测试数据。</w:t>
      </w:r>
    </w:p>
    <w:p>
      <w:pPr>
        <w:spacing w:line="360" w:lineRule="auto"/>
        <w:ind w:firstLine="480" w:firstLineChars="200"/>
        <w:rPr>
          <w:sz w:val="24"/>
        </w:rPr>
      </w:pPr>
      <w:r>
        <w:rPr>
          <w:rFonts w:hint="eastAsia"/>
          <w:sz w:val="24"/>
        </w:rPr>
        <w:t>广州赛隆增材制造有限责任公司、</w:t>
      </w:r>
      <w:r>
        <w:rPr>
          <w:sz w:val="24"/>
        </w:rPr>
        <w:t>星尘科技（广东）有限公司</w:t>
      </w:r>
      <w:r>
        <w:rPr>
          <w:rFonts w:hint="eastAsia"/>
          <w:sz w:val="24"/>
        </w:rPr>
        <w:t>、同济大学、宁夏东方钽业股份有限公司、中航迈特有限公司、上海材料研究所提供了技术支持及实验数据的验证等工作。</w:t>
      </w:r>
    </w:p>
    <w:p>
      <w:pPr>
        <w:spacing w:line="360" w:lineRule="auto"/>
        <w:rPr>
          <w:rFonts w:eastAsia="黑体"/>
          <w:sz w:val="24"/>
        </w:rPr>
      </w:pPr>
      <w:r>
        <w:rPr>
          <w:rFonts w:hint="eastAsia" w:eastAsia="黑体"/>
          <w:sz w:val="24"/>
        </w:rPr>
        <w:t>二、标准编制原则和确定标准主要内容的论据</w:t>
      </w:r>
    </w:p>
    <w:p>
      <w:pPr>
        <w:spacing w:line="360" w:lineRule="auto"/>
        <w:rPr>
          <w:rFonts w:eastAsia="黑体"/>
          <w:sz w:val="24"/>
        </w:rPr>
      </w:pPr>
      <w:r>
        <w:rPr>
          <w:rFonts w:hint="eastAsia" w:eastAsia="黑体"/>
          <w:sz w:val="24"/>
        </w:rPr>
        <w:t>1.  标准编制原则</w:t>
      </w:r>
    </w:p>
    <w:p>
      <w:pPr>
        <w:spacing w:line="360" w:lineRule="auto"/>
        <w:ind w:firstLine="480" w:firstLineChars="200"/>
        <w:rPr>
          <w:sz w:val="24"/>
        </w:rPr>
      </w:pPr>
      <w:r>
        <w:rPr>
          <w:sz w:val="24"/>
        </w:rPr>
        <w:t>本标准的格式严格按照GB/T 1.1-2009《标准化工作导则 第1部分：标准的结构和编写》进行编写，内容规范。标准规定了</w:t>
      </w:r>
      <w:r>
        <w:rPr>
          <w:rFonts w:hint="eastAsia"/>
          <w:sz w:val="24"/>
        </w:rPr>
        <w:t>增材</w:t>
      </w:r>
      <w:r>
        <w:rPr>
          <w:sz w:val="24"/>
        </w:rPr>
        <w:t>制造用</w:t>
      </w:r>
      <w:r>
        <w:rPr>
          <w:rFonts w:hint="eastAsia"/>
          <w:sz w:val="24"/>
        </w:rPr>
        <w:t>钨</w:t>
      </w:r>
      <w:r>
        <w:rPr>
          <w:sz w:val="24"/>
        </w:rPr>
        <w:t>及钨合金粉末的要求、试验方法、检验规则、标志、包装、运输、贮存、合同（或订货单）内容等。</w:t>
      </w:r>
    </w:p>
    <w:p>
      <w:pPr>
        <w:spacing w:line="360" w:lineRule="auto"/>
        <w:ind w:firstLine="480"/>
        <w:rPr>
          <w:sz w:val="24"/>
        </w:rPr>
      </w:pPr>
      <w:r>
        <w:rPr>
          <w:rFonts w:hint="eastAsia"/>
          <w:sz w:val="24"/>
        </w:rPr>
        <w:t>本标准在参照国内同类产品生产技术水平的基础上制定的，体现了国防军工、航空航天、核工业等领域以及相关行业对增材制造用</w:t>
      </w:r>
      <w:r>
        <w:rPr>
          <w:rFonts w:hint="eastAsia"/>
          <w:bCs/>
          <w:sz w:val="24"/>
        </w:rPr>
        <w:t>钨及钨合金粉末</w:t>
      </w:r>
      <w:r>
        <w:rPr>
          <w:rFonts w:hint="eastAsia"/>
          <w:sz w:val="24"/>
        </w:rPr>
        <w:t>的使用性能要求，使得供需双方对质量检测标准公平受益，能够按现行通用方式进行产品检测，力争做到标准切实可行，具有可操作性，能够被应用单位普遍接受。</w:t>
      </w:r>
    </w:p>
    <w:p>
      <w:pPr>
        <w:spacing w:line="360" w:lineRule="auto"/>
        <w:rPr>
          <w:rFonts w:eastAsia="黑体"/>
          <w:sz w:val="24"/>
        </w:rPr>
      </w:pPr>
      <w:r>
        <w:rPr>
          <w:rFonts w:hint="eastAsia" w:eastAsia="黑体"/>
          <w:sz w:val="24"/>
        </w:rPr>
        <w:t xml:space="preserve">2.  确定标准主要内容的论据 </w:t>
      </w:r>
    </w:p>
    <w:p>
      <w:pPr>
        <w:spacing w:line="360" w:lineRule="auto"/>
        <w:rPr>
          <w:rFonts w:eastAsia="黑体" w:cs="黑体"/>
          <w:sz w:val="24"/>
        </w:rPr>
      </w:pPr>
      <w:r>
        <w:rPr>
          <w:rFonts w:hint="eastAsia" w:eastAsia="黑体" w:cs="黑体"/>
          <w:sz w:val="24"/>
        </w:rPr>
        <w:t>2.1 化学成分</w:t>
      </w:r>
    </w:p>
    <w:p>
      <w:pPr>
        <w:spacing w:line="360" w:lineRule="auto"/>
        <w:ind w:firstLine="480" w:firstLineChars="200"/>
        <w:rPr>
          <w:rFonts w:ascii="宋体" w:hAnsi="宋体" w:cs="宋体"/>
          <w:sz w:val="24"/>
        </w:rPr>
      </w:pPr>
      <w:r>
        <w:rPr>
          <w:rFonts w:hint="eastAsia" w:ascii="宋体" w:hAnsi="宋体" w:cs="宋体"/>
          <w:sz w:val="24"/>
        </w:rPr>
        <w:t>本标准选择目前应用较广泛且相对成熟的钨及钨合金粉末，目前批量化生产增材制造用钨及钨合金牌号有W1、</w:t>
      </w:r>
      <w:r>
        <w:rPr>
          <w:rFonts w:ascii="宋体" w:hAnsi="宋体" w:cs="宋体"/>
          <w:sz w:val="24"/>
        </w:rPr>
        <w:t>W90NiFe</w:t>
      </w:r>
      <w:r>
        <w:rPr>
          <w:rFonts w:hint="eastAsia" w:ascii="宋体" w:hAnsi="宋体" w:cs="宋体"/>
          <w:sz w:val="24"/>
        </w:rPr>
        <w:t>、</w:t>
      </w:r>
      <w:r>
        <w:rPr>
          <w:rFonts w:hint="eastAsia" w:asciiTheme="minorEastAsia" w:hAnsiTheme="minorEastAsia" w:eastAsiaTheme="minorEastAsia"/>
        </w:rPr>
        <w:t>W93NiFe</w:t>
      </w:r>
      <w:r>
        <w:rPr>
          <w:rFonts w:hint="eastAsia" w:ascii="宋体" w:hAnsi="宋体" w:cs="宋体"/>
          <w:sz w:val="24"/>
        </w:rPr>
        <w:t>、</w:t>
      </w:r>
      <w:r>
        <w:rPr>
          <w:rFonts w:ascii="宋体" w:hAnsi="宋体" w:cs="宋体"/>
          <w:sz w:val="24"/>
        </w:rPr>
        <w:t>W9</w:t>
      </w:r>
      <w:r>
        <w:rPr>
          <w:rFonts w:hint="eastAsia" w:ascii="宋体" w:hAnsi="宋体" w:cs="宋体"/>
          <w:sz w:val="24"/>
        </w:rPr>
        <w:t>5</w:t>
      </w:r>
      <w:r>
        <w:rPr>
          <w:rFonts w:ascii="宋体" w:hAnsi="宋体" w:cs="宋体"/>
          <w:sz w:val="24"/>
        </w:rPr>
        <w:t>NiFe</w:t>
      </w:r>
      <w:r>
        <w:rPr>
          <w:rFonts w:hint="eastAsia" w:ascii="宋体" w:hAnsi="宋体" w:cs="宋体"/>
          <w:sz w:val="24"/>
        </w:rPr>
        <w:t>、</w:t>
      </w:r>
      <w:r>
        <w:rPr>
          <w:rFonts w:ascii="宋体" w:hAnsi="宋体" w:cs="宋体"/>
          <w:sz w:val="24"/>
        </w:rPr>
        <w:t>W9</w:t>
      </w:r>
      <w:r>
        <w:rPr>
          <w:rFonts w:hint="eastAsia" w:ascii="宋体" w:hAnsi="宋体" w:cs="宋体"/>
          <w:sz w:val="24"/>
        </w:rPr>
        <w:t>7</w:t>
      </w:r>
      <w:r>
        <w:rPr>
          <w:rFonts w:ascii="宋体" w:hAnsi="宋体" w:cs="宋体"/>
          <w:sz w:val="24"/>
        </w:rPr>
        <w:t>NiFe</w:t>
      </w:r>
      <w:r>
        <w:rPr>
          <w:rFonts w:hint="eastAsia" w:ascii="宋体" w:hAnsi="宋体" w:cs="宋体"/>
          <w:sz w:val="24"/>
        </w:rPr>
        <w:t>。化学成分主要依据</w:t>
      </w:r>
      <w:r>
        <w:rPr>
          <w:rFonts w:ascii="宋体" w:hAnsi="宋体" w:cs="宋体"/>
          <w:sz w:val="24"/>
        </w:rPr>
        <w:t>YS/T 659</w:t>
      </w:r>
      <w:r>
        <w:rPr>
          <w:rFonts w:hint="eastAsia" w:ascii="宋体" w:hAnsi="宋体" w:cs="宋体"/>
          <w:sz w:val="24"/>
        </w:rPr>
        <w:t>《钨及钨合金加工产品牌号和化学成分》，同时参考</w:t>
      </w:r>
      <w:r>
        <w:rPr>
          <w:rFonts w:ascii="宋体" w:hAnsi="宋体" w:cs="宋体"/>
          <w:sz w:val="24"/>
        </w:rPr>
        <w:t>GB/T 3458</w:t>
      </w:r>
      <w:r>
        <w:rPr>
          <w:rFonts w:hint="eastAsia" w:ascii="宋体" w:hAnsi="宋体" w:cs="宋体"/>
          <w:sz w:val="24"/>
        </w:rPr>
        <w:t>《钨粉》，粉末生产过程中，钨及钨合金的主要化学成分不会发生明显变化，只有氧、碳等气体元素会发生轻微波动。为了确保增材制造目标零件的综合性能达到产品的设计要求，相关厂家及研究机构W1、</w:t>
      </w:r>
      <w:r>
        <w:rPr>
          <w:rFonts w:ascii="宋体" w:hAnsi="宋体" w:cs="宋体"/>
          <w:sz w:val="24"/>
        </w:rPr>
        <w:t>W90NiFe</w:t>
      </w:r>
      <w:r>
        <w:rPr>
          <w:rFonts w:hint="eastAsia" w:ascii="宋体" w:hAnsi="宋体" w:cs="宋体"/>
          <w:sz w:val="24"/>
        </w:rPr>
        <w:t>、</w:t>
      </w:r>
      <w:r>
        <w:rPr>
          <w:rFonts w:ascii="宋体" w:hAnsi="宋体" w:cs="宋体"/>
          <w:sz w:val="24"/>
        </w:rPr>
        <w:t>W93NiFe</w:t>
      </w:r>
      <w:r>
        <w:rPr>
          <w:rFonts w:hint="eastAsia" w:ascii="宋体" w:hAnsi="宋体" w:cs="宋体"/>
          <w:sz w:val="24"/>
        </w:rPr>
        <w:t>、</w:t>
      </w:r>
      <w:r>
        <w:rPr>
          <w:rFonts w:ascii="宋体" w:hAnsi="宋体" w:cs="宋体"/>
          <w:sz w:val="24"/>
        </w:rPr>
        <w:t>W9</w:t>
      </w:r>
      <w:r>
        <w:rPr>
          <w:rFonts w:hint="eastAsia" w:ascii="宋体" w:hAnsi="宋体" w:cs="宋体"/>
          <w:sz w:val="24"/>
        </w:rPr>
        <w:t>5</w:t>
      </w:r>
      <w:r>
        <w:rPr>
          <w:rFonts w:ascii="宋体" w:hAnsi="宋体" w:cs="宋体"/>
          <w:sz w:val="24"/>
        </w:rPr>
        <w:t>NiFe</w:t>
      </w:r>
      <w:r>
        <w:rPr>
          <w:rFonts w:hint="eastAsia" w:ascii="宋体" w:hAnsi="宋体" w:cs="宋体"/>
          <w:sz w:val="24"/>
        </w:rPr>
        <w:t>、</w:t>
      </w:r>
      <w:r>
        <w:rPr>
          <w:rFonts w:ascii="宋体" w:hAnsi="宋体" w:cs="宋体"/>
          <w:sz w:val="24"/>
        </w:rPr>
        <w:t>W9</w:t>
      </w:r>
      <w:r>
        <w:rPr>
          <w:rFonts w:hint="eastAsia" w:ascii="宋体" w:hAnsi="宋体" w:cs="宋体"/>
          <w:sz w:val="24"/>
        </w:rPr>
        <w:t>7</w:t>
      </w:r>
      <w:r>
        <w:rPr>
          <w:rFonts w:ascii="宋体" w:hAnsi="宋体" w:cs="宋体"/>
          <w:sz w:val="24"/>
        </w:rPr>
        <w:t>NiFe</w:t>
      </w:r>
      <w:r>
        <w:rPr>
          <w:rFonts w:hint="eastAsia" w:ascii="宋体" w:hAnsi="宋体" w:cs="宋体"/>
          <w:sz w:val="24"/>
        </w:rPr>
        <w:t>化学成分的统计，见表1和表2。本标准规定增材制造用钨及钨合金粉的化学成分见表3。化学成分检测按GB/T 4324（所有部分）《钨化学分析方法》和YB/T 4395《钢钼、铌和钨含量的测定电感耦合等离子体原子发射光谱法》的规定进行，也可按供需双方认可的其他检测标准执行。</w:t>
      </w:r>
    </w:p>
    <w:p>
      <w:pPr>
        <w:pStyle w:val="41"/>
        <w:numPr>
          <w:ilvl w:val="0"/>
          <w:numId w:val="0"/>
        </w:numPr>
        <w:spacing w:beforeLines="0" w:afterLines="0" w:line="360" w:lineRule="auto"/>
        <w:rPr>
          <w:rFonts w:hAnsi="黑体" w:cs="黑体"/>
          <w:sz w:val="24"/>
          <w:szCs w:val="24"/>
        </w:rPr>
      </w:pPr>
      <w:r>
        <w:rPr>
          <w:rFonts w:hint="eastAsia" w:hAnsi="黑体" w:cs="黑体"/>
          <w:sz w:val="24"/>
          <w:szCs w:val="24"/>
        </w:rPr>
        <w:t>表1  相关厂家产品化学成分统计结果（W1）</w:t>
      </w:r>
    </w:p>
    <w:tbl>
      <w:tblPr>
        <w:tblStyle w:val="12"/>
        <w:tblW w:w="10701" w:type="dxa"/>
        <w:tblInd w:w="-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48"/>
        <w:gridCol w:w="670"/>
        <w:gridCol w:w="709"/>
        <w:gridCol w:w="567"/>
        <w:gridCol w:w="567"/>
        <w:gridCol w:w="567"/>
        <w:gridCol w:w="709"/>
        <w:gridCol w:w="709"/>
        <w:gridCol w:w="708"/>
        <w:gridCol w:w="567"/>
        <w:gridCol w:w="709"/>
        <w:gridCol w:w="851"/>
        <w:gridCol w:w="708"/>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4" w:type="dxa"/>
            <w:gridSpan w:val="2"/>
            <w:vMerge w:val="restart"/>
            <w:tcBorders>
              <w:top w:val="single" w:color="auto" w:sz="4" w:space="0"/>
              <w:left w:val="single" w:color="auto" w:sz="4" w:space="0"/>
              <w:bottom w:val="single" w:color="auto" w:sz="4" w:space="0"/>
              <w:right w:val="single" w:color="auto" w:sz="4" w:space="0"/>
            </w:tcBorders>
            <w:vAlign w:val="center"/>
          </w:tcPr>
          <w:p>
            <w:pPr>
              <w:pStyle w:val="36"/>
              <w:spacing w:before="156"/>
              <w:ind w:firstLine="360"/>
              <w:jc w:val="center"/>
              <w:rPr>
                <w:rFonts w:cs="宋体"/>
                <w:sz w:val="16"/>
                <w:szCs w:val="16"/>
              </w:rPr>
            </w:pPr>
            <w:r>
              <w:rPr>
                <w:rFonts w:hint="eastAsia" w:cs="宋体"/>
                <w:sz w:val="16"/>
                <w:szCs w:val="16"/>
              </w:rPr>
              <w:t>牌号</w:t>
            </w:r>
          </w:p>
        </w:tc>
        <w:tc>
          <w:tcPr>
            <w:tcW w:w="9317" w:type="dxa"/>
            <w:gridSpan w:val="14"/>
            <w:tcBorders>
              <w:top w:val="single" w:color="auto" w:sz="4" w:space="0"/>
              <w:left w:val="single" w:color="auto" w:sz="4" w:space="0"/>
              <w:bottom w:val="single" w:color="auto" w:sz="4" w:space="0"/>
              <w:right w:val="single" w:color="auto" w:sz="4" w:space="0"/>
            </w:tcBorders>
          </w:tcPr>
          <w:p>
            <w:pPr>
              <w:pStyle w:val="41"/>
              <w:numPr>
                <w:ilvl w:val="0"/>
                <w:numId w:val="0"/>
              </w:numPr>
              <w:spacing w:before="156" w:after="156"/>
              <w:rPr>
                <w:rFonts w:ascii="宋体" w:hAnsi="宋体" w:eastAsia="宋体" w:cs="宋体"/>
                <w:sz w:val="16"/>
                <w:szCs w:val="16"/>
              </w:rPr>
            </w:pPr>
            <w:r>
              <w:rPr>
                <w:rFonts w:hint="eastAsia" w:ascii="宋体" w:hAnsi="宋体" w:eastAsia="宋体" w:cs="宋体"/>
                <w:sz w:val="16"/>
                <w:szCs w:val="16"/>
              </w:rPr>
              <w:t>化学成分 (质量分数) /%，不大于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67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W</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Al</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K+</w:t>
            </w:r>
          </w:p>
          <w:p>
            <w:pPr>
              <w:pStyle w:val="36"/>
              <w:spacing w:before="156"/>
              <w:ind w:firstLine="0" w:firstLineChars="0"/>
              <w:jc w:val="center"/>
              <w:rPr>
                <w:rFonts w:cs="宋体"/>
                <w:sz w:val="16"/>
                <w:szCs w:val="16"/>
              </w:rPr>
            </w:pPr>
            <w:r>
              <w:rPr>
                <w:rFonts w:hint="eastAsia" w:cs="宋体"/>
                <w:sz w:val="16"/>
                <w:szCs w:val="16"/>
              </w:rPr>
              <w:t>Na</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N</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Fe</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Mg</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Mo</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Ni</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Si</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Sn</w:t>
            </w:r>
          </w:p>
        </w:tc>
        <w:tc>
          <w:tcPr>
            <w:tcW w:w="851"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Cu</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Ca</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C</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636" w:type="dxa"/>
            <w:vMerge w:val="restart"/>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W1</w:t>
            </w:r>
          </w:p>
        </w:tc>
        <w:tc>
          <w:tcPr>
            <w:tcW w:w="74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单位1</w:t>
            </w:r>
          </w:p>
        </w:tc>
        <w:tc>
          <w:tcPr>
            <w:tcW w:w="67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余量</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0.004</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0.004</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0.004</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851"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0.003</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0.007</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74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单位2</w:t>
            </w:r>
          </w:p>
        </w:tc>
        <w:tc>
          <w:tcPr>
            <w:tcW w:w="67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余量</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851"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0.005</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74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cs="宋体"/>
                <w:sz w:val="16"/>
                <w:szCs w:val="16"/>
              </w:rPr>
              <w:t>单位</w:t>
            </w:r>
            <w:r>
              <w:rPr>
                <w:rFonts w:hint="eastAsia" w:cs="宋体"/>
                <w:sz w:val="16"/>
                <w:szCs w:val="16"/>
              </w:rPr>
              <w:t>3</w:t>
            </w:r>
          </w:p>
        </w:tc>
        <w:tc>
          <w:tcPr>
            <w:tcW w:w="67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余量</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0.004</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851"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0.003</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0.008</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p>
        </w:tc>
        <w:tc>
          <w:tcPr>
            <w:tcW w:w="74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cs="宋体"/>
                <w:sz w:val="16"/>
                <w:szCs w:val="16"/>
              </w:rPr>
              <w:t>单位</w:t>
            </w:r>
            <w:r>
              <w:rPr>
                <w:rFonts w:hint="eastAsia" w:cs="宋体"/>
                <w:sz w:val="16"/>
                <w:szCs w:val="16"/>
              </w:rPr>
              <w:t>4</w:t>
            </w:r>
          </w:p>
        </w:tc>
        <w:tc>
          <w:tcPr>
            <w:tcW w:w="67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余量</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0.0004</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0.0004</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0.0022</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0.0008</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0.0007</w:t>
            </w:r>
          </w:p>
        </w:tc>
        <w:tc>
          <w:tcPr>
            <w:tcW w:w="851"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0.0055</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74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cs="宋体"/>
                <w:sz w:val="16"/>
                <w:szCs w:val="16"/>
              </w:rPr>
              <w:t>单位</w:t>
            </w:r>
            <w:r>
              <w:rPr>
                <w:rFonts w:hint="eastAsia" w:cs="宋体"/>
                <w:sz w:val="16"/>
                <w:szCs w:val="16"/>
              </w:rPr>
              <w:t>5</w:t>
            </w:r>
          </w:p>
        </w:tc>
        <w:tc>
          <w:tcPr>
            <w:tcW w:w="67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余量</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0.005</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0.001</w:t>
            </w:r>
          </w:p>
        </w:tc>
        <w:tc>
          <w:tcPr>
            <w:tcW w:w="851"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0.002</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0.005</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6"/>
              </w:rPr>
            </w:pPr>
            <w:r>
              <w:rPr>
                <w:rFonts w:hint="eastAsia" w:cs="宋体"/>
                <w:sz w:val="16"/>
                <w:szCs w:val="16"/>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01" w:type="dxa"/>
            <w:gridSpan w:val="16"/>
            <w:tcBorders>
              <w:top w:val="single" w:color="auto" w:sz="4" w:space="0"/>
              <w:left w:val="single" w:color="auto" w:sz="4" w:space="0"/>
              <w:bottom w:val="single" w:color="auto" w:sz="4" w:space="0"/>
              <w:right w:val="single" w:color="auto" w:sz="4" w:space="0"/>
            </w:tcBorders>
          </w:tcPr>
          <w:p>
            <w:pPr>
              <w:pStyle w:val="36"/>
              <w:spacing w:before="156"/>
              <w:ind w:firstLine="0" w:firstLineChars="0"/>
              <w:jc w:val="left"/>
              <w:rPr>
                <w:rFonts w:cs="宋体"/>
                <w:sz w:val="16"/>
                <w:szCs w:val="16"/>
              </w:rPr>
            </w:pPr>
            <w:r>
              <w:rPr>
                <w:rFonts w:hint="eastAsia" w:cs="宋体"/>
                <w:sz w:val="16"/>
                <w:szCs w:val="16"/>
              </w:rPr>
              <w:t>注：单位1-广东省材料与加工研究所，单位2-星尘科技（广东）有限公司，单位3-广东银纳科技有限公司，单位4-广东银纳科技有限公司，单位4-西北有色金属研究院</w:t>
            </w:r>
            <w:r>
              <w:rPr>
                <w:rFonts w:cs="宋体"/>
                <w:sz w:val="16"/>
                <w:szCs w:val="16"/>
              </w:rPr>
              <w:t xml:space="preserve"> </w:t>
            </w:r>
            <w:r>
              <w:rPr>
                <w:rFonts w:hint="eastAsia" w:cs="宋体"/>
                <w:sz w:val="16"/>
                <w:szCs w:val="16"/>
              </w:rPr>
              <w:t>，</w:t>
            </w:r>
            <w:r>
              <w:rPr>
                <w:rFonts w:cs="宋体"/>
                <w:sz w:val="16"/>
                <w:szCs w:val="16"/>
              </w:rPr>
              <w:t>单位</w:t>
            </w:r>
            <w:r>
              <w:rPr>
                <w:rFonts w:hint="eastAsia" w:cs="宋体"/>
                <w:sz w:val="16"/>
                <w:szCs w:val="16"/>
              </w:rPr>
              <w:t>5-洛阳金鹭硬质合金工具有限公司</w:t>
            </w:r>
          </w:p>
        </w:tc>
      </w:tr>
    </w:tbl>
    <w:p>
      <w:pPr>
        <w:pStyle w:val="36"/>
        <w:ind w:firstLine="420"/>
      </w:pPr>
    </w:p>
    <w:p>
      <w:pPr>
        <w:pStyle w:val="41"/>
        <w:numPr>
          <w:ilvl w:val="0"/>
          <w:numId w:val="0"/>
        </w:numPr>
        <w:spacing w:beforeLines="0" w:afterLines="0" w:line="360" w:lineRule="auto"/>
      </w:pPr>
      <w:r>
        <w:rPr>
          <w:rFonts w:hint="eastAsia" w:hAnsi="黑体" w:cs="黑体"/>
          <w:sz w:val="24"/>
          <w:szCs w:val="24"/>
        </w:rPr>
        <w:t>表2 相关厂家产品化学成分统计结果（W90NiFe、W93NiFe、W95NiFe、W97NiFe）</w:t>
      </w:r>
    </w:p>
    <w:tbl>
      <w:tblPr>
        <w:tblStyle w:val="12"/>
        <w:tblW w:w="10418" w:type="dxa"/>
        <w:tblInd w:w="-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68"/>
        <w:gridCol w:w="567"/>
        <w:gridCol w:w="567"/>
        <w:gridCol w:w="708"/>
        <w:gridCol w:w="426"/>
        <w:gridCol w:w="708"/>
        <w:gridCol w:w="709"/>
        <w:gridCol w:w="709"/>
        <w:gridCol w:w="709"/>
        <w:gridCol w:w="567"/>
        <w:gridCol w:w="567"/>
        <w:gridCol w:w="708"/>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346" w:type="dxa"/>
            <w:gridSpan w:val="2"/>
            <w:vMerge w:val="restart"/>
            <w:tcBorders>
              <w:top w:val="single" w:color="auto" w:sz="4" w:space="0"/>
              <w:left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牌号</w:t>
            </w:r>
          </w:p>
        </w:tc>
        <w:tc>
          <w:tcPr>
            <w:tcW w:w="1842" w:type="dxa"/>
            <w:gridSpan w:val="3"/>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主成分</w:t>
            </w:r>
          </w:p>
        </w:tc>
        <w:tc>
          <w:tcPr>
            <w:tcW w:w="7230" w:type="dxa"/>
            <w:gridSpan w:val="11"/>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化学成分 (质量分数) /%，不大于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6" w:type="dxa"/>
            <w:gridSpan w:val="2"/>
            <w:vMerge w:val="continue"/>
            <w:tcBorders>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W</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Ni</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Fe</w:t>
            </w:r>
          </w:p>
        </w:tc>
        <w:tc>
          <w:tcPr>
            <w:tcW w:w="426"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Al</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Si</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Cr</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Sn</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Cu</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Mg</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Ca</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K+Na</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Mo</w:t>
            </w:r>
          </w:p>
        </w:tc>
        <w:tc>
          <w:tcPr>
            <w:tcW w:w="709" w:type="dxa"/>
            <w:tcBorders>
              <w:top w:val="single" w:color="auto" w:sz="4" w:space="0"/>
              <w:left w:val="single" w:color="auto" w:sz="4" w:space="0"/>
              <w:bottom w:val="single" w:color="auto" w:sz="4" w:space="0"/>
              <w:right w:val="single" w:color="auto" w:sz="4" w:space="0"/>
            </w:tcBorders>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C</w:t>
            </w:r>
          </w:p>
        </w:tc>
        <w:tc>
          <w:tcPr>
            <w:tcW w:w="709" w:type="dxa"/>
            <w:tcBorders>
              <w:top w:val="single" w:color="auto" w:sz="4" w:space="0"/>
              <w:left w:val="single" w:color="auto" w:sz="4" w:space="0"/>
              <w:bottom w:val="single" w:color="auto" w:sz="4" w:space="0"/>
              <w:right w:val="single" w:color="auto" w:sz="4" w:space="0"/>
            </w:tcBorders>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7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6"/>
                <w:szCs w:val="16"/>
              </w:rPr>
            </w:pPr>
            <w:r>
              <w:rPr>
                <w:rFonts w:hint="eastAsia" w:ascii="宋体" w:hAnsi="宋体" w:eastAsia="宋体" w:cs="宋体"/>
                <w:sz w:val="16"/>
                <w:szCs w:val="16"/>
              </w:rPr>
              <w:t>W90NiFe</w:t>
            </w:r>
          </w:p>
        </w:tc>
        <w:tc>
          <w:tcPr>
            <w:tcW w:w="56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单位1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余量</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6.9~7.1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2.9~3.1</w:t>
            </w:r>
          </w:p>
        </w:tc>
        <w:tc>
          <w:tcPr>
            <w:tcW w:w="426"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0.002</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0.005</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6"/>
                <w:szCs w:val="16"/>
              </w:rPr>
            </w:pPr>
          </w:p>
        </w:tc>
        <w:tc>
          <w:tcPr>
            <w:tcW w:w="56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单位2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余量</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6.5-7.5</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2.5-3.5</w:t>
            </w:r>
          </w:p>
        </w:tc>
        <w:tc>
          <w:tcPr>
            <w:tcW w:w="426"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0.003</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0.002</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0.005</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b/>
                <w:sz w:val="16"/>
                <w:szCs w:val="16"/>
                <w:highlight w:val="yellow"/>
              </w:rPr>
            </w:pPr>
            <w:r>
              <w:rPr>
                <w:rFonts w:hint="eastAsia" w:ascii="宋体" w:hAnsi="宋体" w:eastAsia="宋体" w:cs="宋体"/>
                <w:sz w:val="16"/>
                <w:szCs w:val="16"/>
              </w:rPr>
              <w:t>W93NiFe</w:t>
            </w:r>
          </w:p>
        </w:tc>
        <w:tc>
          <w:tcPr>
            <w:tcW w:w="56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单位1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余量</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4.8~5.0</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2.0~2.2</w:t>
            </w:r>
          </w:p>
        </w:tc>
        <w:tc>
          <w:tcPr>
            <w:tcW w:w="426"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0.004</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b/>
                <w:sz w:val="16"/>
                <w:szCs w:val="16"/>
                <w:highlight w:val="yellow"/>
              </w:rPr>
            </w:pPr>
            <w:r>
              <w:rPr>
                <w:rFonts w:hint="eastAsia" w:ascii="宋体" w:hAnsi="宋体" w:eastAsia="宋体" w:cs="宋体"/>
                <w:sz w:val="16"/>
                <w:szCs w:val="16"/>
              </w:rPr>
              <w:t>W95NiFe</w:t>
            </w:r>
          </w:p>
        </w:tc>
        <w:tc>
          <w:tcPr>
            <w:tcW w:w="56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单位1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余量</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tabs>
                <w:tab w:val="center" w:pos="4201"/>
                <w:tab w:val="right" w:leader="dot" w:pos="9298"/>
              </w:tabs>
              <w:spacing w:before="156" w:after="156"/>
              <w:ind w:firstLine="0" w:firstLineChars="0"/>
              <w:jc w:val="center"/>
              <w:rPr>
                <w:rFonts w:hint="eastAsia" w:ascii="宋体" w:hAnsi="宋体" w:eastAsia="宋体" w:cs="宋体"/>
                <w:sz w:val="16"/>
                <w:szCs w:val="16"/>
              </w:rPr>
            </w:pPr>
            <w:r>
              <w:rPr>
                <w:rFonts w:hint="eastAsia" w:ascii="宋体" w:hAnsi="宋体" w:eastAsia="宋体" w:cs="宋体"/>
                <w:sz w:val="16"/>
                <w:szCs w:val="16"/>
              </w:rPr>
              <w:t>3.4~3.6</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tabs>
                <w:tab w:val="center" w:pos="4201"/>
                <w:tab w:val="right" w:leader="dot" w:pos="9298"/>
              </w:tabs>
              <w:spacing w:before="156" w:after="156"/>
              <w:ind w:firstLine="0" w:firstLineChars="0"/>
              <w:jc w:val="center"/>
              <w:rPr>
                <w:rFonts w:hint="eastAsia" w:ascii="宋体" w:hAnsi="宋体" w:eastAsia="宋体" w:cs="宋体"/>
                <w:sz w:val="16"/>
                <w:szCs w:val="16"/>
              </w:rPr>
            </w:pPr>
            <w:r>
              <w:rPr>
                <w:rFonts w:hint="eastAsia" w:ascii="宋体" w:hAnsi="宋体" w:eastAsia="宋体" w:cs="宋体"/>
                <w:sz w:val="16"/>
                <w:szCs w:val="16"/>
              </w:rPr>
              <w:t>1.4~1.6</w:t>
            </w:r>
          </w:p>
        </w:tc>
        <w:tc>
          <w:tcPr>
            <w:tcW w:w="426"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0.003</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0.003</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7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b/>
                <w:sz w:val="16"/>
                <w:szCs w:val="16"/>
                <w:highlight w:val="yellow"/>
              </w:rPr>
            </w:pPr>
            <w:r>
              <w:rPr>
                <w:rFonts w:hint="eastAsia" w:ascii="宋体" w:hAnsi="宋体" w:eastAsia="宋体" w:cs="宋体"/>
                <w:sz w:val="16"/>
                <w:szCs w:val="16"/>
              </w:rPr>
              <w:t>W97NiFe</w:t>
            </w:r>
          </w:p>
        </w:tc>
        <w:tc>
          <w:tcPr>
            <w:tcW w:w="56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单位1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余量</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tabs>
                <w:tab w:val="center" w:pos="4201"/>
                <w:tab w:val="right" w:leader="dot" w:pos="9298"/>
              </w:tabs>
              <w:spacing w:before="156" w:after="156"/>
              <w:ind w:firstLine="0" w:firstLineChars="0"/>
              <w:jc w:val="center"/>
              <w:rPr>
                <w:rFonts w:hint="eastAsia" w:ascii="宋体" w:hAnsi="宋体" w:eastAsia="宋体" w:cs="宋体"/>
                <w:sz w:val="16"/>
                <w:szCs w:val="16"/>
              </w:rPr>
            </w:pPr>
            <w:r>
              <w:rPr>
                <w:rFonts w:hint="eastAsia" w:ascii="宋体" w:hAnsi="宋体" w:eastAsia="宋体" w:cs="宋体"/>
                <w:sz w:val="16"/>
                <w:szCs w:val="16"/>
              </w:rPr>
              <w:t>2.0~2.2</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tabs>
                <w:tab w:val="center" w:pos="4201"/>
                <w:tab w:val="right" w:leader="dot" w:pos="9298"/>
              </w:tabs>
              <w:spacing w:before="156" w:after="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0.8~1.0</w:t>
            </w:r>
          </w:p>
        </w:tc>
        <w:tc>
          <w:tcPr>
            <w:tcW w:w="426"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0.002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hint="eastAsia" w:ascii="宋体" w:hAnsi="宋体" w:eastAsia="宋体" w:cs="宋体"/>
                <w:sz w:val="16"/>
                <w:szCs w:val="16"/>
              </w:rPr>
            </w:pPr>
            <w:r>
              <w:rPr>
                <w:rFonts w:hint="eastAsia" w:ascii="宋体" w:hAnsi="宋体" w:eastAsia="宋体" w:cs="宋体"/>
                <w:sz w:val="16"/>
                <w:szCs w:val="16"/>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418" w:type="dxa"/>
            <w:gridSpan w:val="16"/>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left"/>
              <w:rPr>
                <w:rFonts w:hint="eastAsia" w:ascii="宋体" w:hAnsi="宋体" w:eastAsia="宋体" w:cs="宋体"/>
                <w:sz w:val="16"/>
                <w:szCs w:val="16"/>
              </w:rPr>
            </w:pPr>
            <w:r>
              <w:rPr>
                <w:rFonts w:hint="eastAsia" w:ascii="宋体" w:hAnsi="宋体" w:eastAsia="宋体" w:cs="宋体"/>
                <w:sz w:val="16"/>
                <w:szCs w:val="16"/>
              </w:rPr>
              <w:t>注：单位1-广东省材料与加工研究所，单位2-广东银纳科技有限公司</w:t>
            </w:r>
          </w:p>
        </w:tc>
      </w:tr>
    </w:tbl>
    <w:p>
      <w:pPr>
        <w:pStyle w:val="36"/>
        <w:ind w:firstLine="0" w:firstLineChars="0"/>
        <w:rPr>
          <w:rFonts w:ascii="Times New Roman" w:cs="宋体"/>
        </w:rPr>
      </w:pPr>
    </w:p>
    <w:p>
      <w:pPr>
        <w:pStyle w:val="41"/>
        <w:numPr>
          <w:ilvl w:val="0"/>
          <w:numId w:val="0"/>
        </w:numPr>
        <w:spacing w:beforeLines="0" w:afterLines="0" w:line="360" w:lineRule="auto"/>
        <w:rPr>
          <w:rFonts w:hAnsi="黑体" w:cs="黑体"/>
          <w:sz w:val="24"/>
          <w:szCs w:val="24"/>
        </w:rPr>
      </w:pPr>
      <w:r>
        <w:rPr>
          <w:rFonts w:hint="eastAsia" w:hAnsi="黑体" w:cs="黑体"/>
          <w:sz w:val="24"/>
          <w:szCs w:val="24"/>
        </w:rPr>
        <w:t>表3产品化学成分要求</w:t>
      </w:r>
    </w:p>
    <w:tbl>
      <w:tblPr>
        <w:tblStyle w:val="13"/>
        <w:tblpPr w:leftFromText="180" w:rightFromText="180" w:vertAnchor="page" w:horzAnchor="margin" w:tblpXSpec="center" w:tblpY="5744"/>
        <w:tblW w:w="11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708"/>
        <w:gridCol w:w="709"/>
        <w:gridCol w:w="851"/>
        <w:gridCol w:w="850"/>
        <w:gridCol w:w="851"/>
        <w:gridCol w:w="850"/>
        <w:gridCol w:w="851"/>
        <w:gridCol w:w="850"/>
        <w:gridCol w:w="851"/>
        <w:gridCol w:w="85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59" w:type="dxa"/>
            <w:vMerge w:val="restart"/>
            <w:vAlign w:val="center"/>
          </w:tcPr>
          <w:p>
            <w:pPr>
              <w:pStyle w:val="36"/>
              <w:tabs>
                <w:tab w:val="center" w:pos="4201"/>
                <w:tab w:val="right" w:leader="dot" w:pos="9298"/>
              </w:tabs>
              <w:spacing w:before="156" w:after="156"/>
              <w:ind w:firstLine="0" w:firstLineChars="0"/>
              <w:jc w:val="center"/>
              <w:rPr>
                <w:sz w:val="20"/>
              </w:rPr>
            </w:pPr>
            <w:r>
              <w:rPr>
                <w:rFonts w:hint="eastAsia"/>
                <w:sz w:val="20"/>
              </w:rPr>
              <w:t>牌</w:t>
            </w:r>
          </w:p>
          <w:p>
            <w:pPr>
              <w:pStyle w:val="36"/>
              <w:tabs>
                <w:tab w:val="center" w:pos="4201"/>
                <w:tab w:val="right" w:leader="dot" w:pos="9298"/>
              </w:tabs>
              <w:spacing w:before="156" w:after="156"/>
              <w:ind w:firstLine="0" w:firstLineChars="0"/>
              <w:jc w:val="center"/>
              <w:rPr>
                <w:sz w:val="20"/>
              </w:rPr>
            </w:pPr>
            <w:r>
              <w:rPr>
                <w:rFonts w:hint="eastAsia"/>
                <w:sz w:val="20"/>
              </w:rPr>
              <w:t>号</w:t>
            </w:r>
          </w:p>
        </w:tc>
        <w:tc>
          <w:tcPr>
            <w:tcW w:w="10348" w:type="dxa"/>
            <w:gridSpan w:val="13"/>
            <w:vAlign w:val="center"/>
          </w:tcPr>
          <w:p>
            <w:pPr>
              <w:pStyle w:val="36"/>
              <w:tabs>
                <w:tab w:val="center" w:pos="4201"/>
                <w:tab w:val="right" w:leader="dot" w:pos="9298"/>
              </w:tabs>
              <w:spacing w:before="156" w:after="156"/>
              <w:ind w:firstLine="400"/>
              <w:jc w:val="center"/>
              <w:rPr>
                <w:sz w:val="20"/>
              </w:rPr>
            </w:pPr>
            <w:r>
              <w:rPr>
                <w:rFonts w:hint="eastAsia"/>
                <w:sz w:val="20"/>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59" w:type="dxa"/>
            <w:vMerge w:val="continue"/>
            <w:vAlign w:val="center"/>
          </w:tcPr>
          <w:p>
            <w:pPr>
              <w:pStyle w:val="36"/>
              <w:tabs>
                <w:tab w:val="center" w:pos="4201"/>
                <w:tab w:val="right" w:leader="dot" w:pos="9298"/>
              </w:tabs>
              <w:spacing w:before="156" w:after="156"/>
              <w:ind w:firstLine="400"/>
              <w:jc w:val="center"/>
              <w:rPr>
                <w:sz w:val="20"/>
              </w:rPr>
            </w:pP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W</w:t>
            </w:r>
          </w:p>
        </w:tc>
        <w:tc>
          <w:tcPr>
            <w:tcW w:w="708"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Ni</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Fe</w:t>
            </w:r>
          </w:p>
        </w:tc>
        <w:tc>
          <w:tcPr>
            <w:tcW w:w="851"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Al</w:t>
            </w:r>
          </w:p>
          <w:p>
            <w:pPr>
              <w:pStyle w:val="36"/>
              <w:tabs>
                <w:tab w:val="center" w:pos="4201"/>
                <w:tab w:val="right" w:leader="dot" w:pos="9298"/>
              </w:tabs>
              <w:spacing w:before="156" w:after="156"/>
              <w:ind w:firstLine="0" w:firstLineChars="0"/>
              <w:jc w:val="center"/>
              <w:rPr>
                <w:sz w:val="20"/>
              </w:rPr>
            </w:pPr>
            <w:r>
              <w:rPr>
                <w:rFonts w:hint="eastAsia"/>
                <w:szCs w:val="18"/>
              </w:rPr>
              <w:t>≤</w:t>
            </w:r>
          </w:p>
        </w:tc>
        <w:tc>
          <w:tcPr>
            <w:tcW w:w="850"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Mg</w:t>
            </w:r>
          </w:p>
          <w:p>
            <w:pPr>
              <w:pStyle w:val="36"/>
              <w:tabs>
                <w:tab w:val="center" w:pos="4201"/>
                <w:tab w:val="right" w:leader="dot" w:pos="9298"/>
              </w:tabs>
              <w:spacing w:before="156" w:after="156"/>
              <w:ind w:firstLine="0" w:firstLineChars="0"/>
              <w:jc w:val="center"/>
              <w:rPr>
                <w:sz w:val="20"/>
              </w:rPr>
            </w:pPr>
            <w:r>
              <w:rPr>
                <w:rFonts w:hint="eastAsia"/>
                <w:szCs w:val="18"/>
              </w:rPr>
              <w:t>≤</w:t>
            </w:r>
          </w:p>
        </w:tc>
        <w:tc>
          <w:tcPr>
            <w:tcW w:w="851"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Mn</w:t>
            </w:r>
          </w:p>
          <w:p>
            <w:pPr>
              <w:pStyle w:val="36"/>
              <w:tabs>
                <w:tab w:val="center" w:pos="4201"/>
                <w:tab w:val="right" w:leader="dot" w:pos="9298"/>
              </w:tabs>
              <w:spacing w:before="156" w:after="156"/>
              <w:ind w:firstLine="0" w:firstLineChars="0"/>
              <w:jc w:val="center"/>
              <w:rPr>
                <w:sz w:val="20"/>
              </w:rPr>
            </w:pPr>
            <w:r>
              <w:rPr>
                <w:rFonts w:hint="eastAsia"/>
                <w:szCs w:val="18"/>
              </w:rPr>
              <w:t>≤</w:t>
            </w:r>
          </w:p>
        </w:tc>
        <w:tc>
          <w:tcPr>
            <w:tcW w:w="850"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Ca</w:t>
            </w:r>
          </w:p>
          <w:p>
            <w:pPr>
              <w:pStyle w:val="36"/>
              <w:tabs>
                <w:tab w:val="center" w:pos="4201"/>
                <w:tab w:val="right" w:leader="dot" w:pos="9298"/>
              </w:tabs>
              <w:spacing w:before="156" w:after="156"/>
              <w:ind w:firstLine="0" w:firstLineChars="0"/>
              <w:jc w:val="center"/>
              <w:rPr>
                <w:sz w:val="20"/>
              </w:rPr>
            </w:pPr>
            <w:r>
              <w:rPr>
                <w:rFonts w:hint="eastAsia"/>
                <w:szCs w:val="18"/>
              </w:rPr>
              <w:t>≤</w:t>
            </w:r>
          </w:p>
        </w:tc>
        <w:tc>
          <w:tcPr>
            <w:tcW w:w="851"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C</w:t>
            </w:r>
          </w:p>
          <w:p>
            <w:pPr>
              <w:pStyle w:val="36"/>
              <w:tabs>
                <w:tab w:val="center" w:pos="4201"/>
                <w:tab w:val="right" w:leader="dot" w:pos="9298"/>
              </w:tabs>
              <w:spacing w:before="156" w:after="156"/>
              <w:ind w:firstLine="0" w:firstLineChars="0"/>
              <w:jc w:val="center"/>
              <w:rPr>
                <w:sz w:val="20"/>
              </w:rPr>
            </w:pPr>
            <w:r>
              <w:rPr>
                <w:rFonts w:hint="eastAsia"/>
                <w:szCs w:val="18"/>
              </w:rPr>
              <w:t>≤</w:t>
            </w:r>
          </w:p>
        </w:tc>
        <w:tc>
          <w:tcPr>
            <w:tcW w:w="850"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Si</w:t>
            </w:r>
          </w:p>
          <w:p>
            <w:pPr>
              <w:pStyle w:val="36"/>
              <w:tabs>
                <w:tab w:val="center" w:pos="4201"/>
                <w:tab w:val="right" w:leader="dot" w:pos="9298"/>
              </w:tabs>
              <w:spacing w:before="156" w:after="156"/>
              <w:ind w:firstLine="0" w:firstLineChars="0"/>
              <w:jc w:val="center"/>
              <w:rPr>
                <w:sz w:val="20"/>
              </w:rPr>
            </w:pPr>
            <w:r>
              <w:rPr>
                <w:rFonts w:hint="eastAsia"/>
                <w:szCs w:val="18"/>
              </w:rPr>
              <w:t>≤</w:t>
            </w:r>
          </w:p>
        </w:tc>
        <w:tc>
          <w:tcPr>
            <w:tcW w:w="851"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O</w:t>
            </w:r>
          </w:p>
          <w:p>
            <w:pPr>
              <w:pStyle w:val="36"/>
              <w:tabs>
                <w:tab w:val="center" w:pos="4201"/>
                <w:tab w:val="right" w:leader="dot" w:pos="9298"/>
              </w:tabs>
              <w:spacing w:before="156" w:after="156"/>
              <w:ind w:firstLine="0" w:firstLineChars="0"/>
              <w:jc w:val="center"/>
              <w:rPr>
                <w:sz w:val="20"/>
              </w:rPr>
            </w:pPr>
            <w:r>
              <w:rPr>
                <w:rFonts w:hint="eastAsia"/>
                <w:szCs w:val="18"/>
              </w:rPr>
              <w:t>≤</w:t>
            </w:r>
          </w:p>
        </w:tc>
        <w:tc>
          <w:tcPr>
            <w:tcW w:w="850" w:type="dxa"/>
          </w:tcPr>
          <w:p>
            <w:pPr>
              <w:pStyle w:val="36"/>
              <w:tabs>
                <w:tab w:val="center" w:pos="4201"/>
                <w:tab w:val="right" w:leader="dot" w:pos="9298"/>
              </w:tabs>
              <w:spacing w:before="156" w:after="156"/>
              <w:ind w:firstLine="0" w:firstLineChars="0"/>
              <w:jc w:val="center"/>
              <w:rPr>
                <w:sz w:val="20"/>
              </w:rPr>
            </w:pPr>
            <w:r>
              <w:rPr>
                <w:rFonts w:hint="eastAsia"/>
                <w:sz w:val="20"/>
              </w:rPr>
              <w:t xml:space="preserve">K+Na </w:t>
            </w:r>
          </w:p>
          <w:p>
            <w:pPr>
              <w:pStyle w:val="36"/>
              <w:tabs>
                <w:tab w:val="center" w:pos="4201"/>
                <w:tab w:val="right" w:leader="dot" w:pos="9298"/>
              </w:tabs>
              <w:spacing w:before="156" w:after="156"/>
              <w:ind w:firstLine="0" w:firstLineChars="0"/>
              <w:jc w:val="center"/>
              <w:rPr>
                <w:sz w:val="20"/>
              </w:rPr>
            </w:pPr>
            <w:r>
              <w:rPr>
                <w:rFonts w:hint="eastAsia"/>
                <w:szCs w:val="18"/>
              </w:rPr>
              <w:t>≤</w:t>
            </w:r>
          </w:p>
        </w:tc>
        <w:tc>
          <w:tcPr>
            <w:tcW w:w="709" w:type="dxa"/>
          </w:tcPr>
          <w:p>
            <w:pPr>
              <w:pStyle w:val="36"/>
              <w:tabs>
                <w:tab w:val="center" w:pos="4201"/>
                <w:tab w:val="right" w:leader="dot" w:pos="9298"/>
              </w:tabs>
              <w:spacing w:before="156" w:after="156"/>
              <w:ind w:firstLine="0" w:firstLineChars="0"/>
              <w:jc w:val="center"/>
              <w:rPr>
                <w:sz w:val="20"/>
              </w:rPr>
            </w:pPr>
            <w:r>
              <w:rPr>
                <w:rFonts w:hint="eastAsia"/>
                <w:sz w:val="20"/>
              </w:rPr>
              <w:t>Cu</w:t>
            </w:r>
          </w:p>
          <w:p>
            <w:pPr>
              <w:pStyle w:val="36"/>
              <w:tabs>
                <w:tab w:val="center" w:pos="4201"/>
                <w:tab w:val="right" w:leader="dot" w:pos="9298"/>
              </w:tabs>
              <w:spacing w:before="156" w:after="156"/>
              <w:ind w:firstLine="0" w:firstLineChars="0"/>
              <w:jc w:val="center"/>
              <w:rPr>
                <w:sz w:val="20"/>
              </w:rPr>
            </w:pPr>
            <w:r>
              <w:rPr>
                <w:rFonts w:hint="eastAsia"/>
                <w:szCs w:val="18"/>
              </w:rPr>
              <w:t>≤</w:t>
            </w:r>
          </w:p>
        </w:tc>
        <w:tc>
          <w:tcPr>
            <w:tcW w:w="709" w:type="dxa"/>
          </w:tcPr>
          <w:p>
            <w:pPr>
              <w:pStyle w:val="36"/>
              <w:tabs>
                <w:tab w:val="center" w:pos="4201"/>
                <w:tab w:val="right" w:leader="dot" w:pos="9298"/>
              </w:tabs>
              <w:spacing w:before="156" w:after="156"/>
              <w:ind w:firstLine="0" w:firstLineChars="0"/>
              <w:jc w:val="center"/>
              <w:rPr>
                <w:sz w:val="20"/>
              </w:rPr>
            </w:pPr>
            <w:r>
              <w:rPr>
                <w:rFonts w:hint="eastAsia"/>
                <w:sz w:val="20"/>
              </w:rPr>
              <w:t xml:space="preserve">Mo </w:t>
            </w:r>
          </w:p>
          <w:p>
            <w:pPr>
              <w:pStyle w:val="36"/>
              <w:tabs>
                <w:tab w:val="center" w:pos="4201"/>
                <w:tab w:val="right" w:leader="dot" w:pos="9298"/>
              </w:tabs>
              <w:spacing w:before="156" w:after="156"/>
              <w:ind w:firstLine="0" w:firstLineChars="0"/>
              <w:jc w:val="center"/>
              <w:rPr>
                <w:sz w:val="20"/>
              </w:rPr>
            </w:pPr>
            <w:r>
              <w:rPr>
                <w:rFonts w:hint="eastAsia"/>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5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W</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余量</w:t>
            </w:r>
          </w:p>
        </w:tc>
        <w:tc>
          <w:tcPr>
            <w:tcW w:w="708" w:type="dxa"/>
            <w:vAlign w:val="center"/>
          </w:tcPr>
          <w:p>
            <w:pPr>
              <w:pStyle w:val="36"/>
              <w:ind w:firstLine="0" w:firstLineChars="0"/>
              <w:jc w:val="center"/>
              <w:rPr>
                <w:szCs w:val="18"/>
              </w:rPr>
            </w:pPr>
            <w:r>
              <w:rPr>
                <w:rFonts w:hint="eastAsia" w:hAnsi="宋体" w:cs="宋体"/>
                <w:szCs w:val="18"/>
              </w:rPr>
              <w:t>≤0.008</w:t>
            </w:r>
          </w:p>
        </w:tc>
        <w:tc>
          <w:tcPr>
            <w:tcW w:w="709" w:type="dxa"/>
            <w:vAlign w:val="center"/>
          </w:tcPr>
          <w:p>
            <w:pPr>
              <w:pStyle w:val="36"/>
              <w:ind w:firstLine="0" w:firstLineChars="0"/>
              <w:jc w:val="center"/>
              <w:rPr>
                <w:szCs w:val="18"/>
              </w:rPr>
            </w:pPr>
            <w:r>
              <w:rPr>
                <w:rFonts w:hint="eastAsia"/>
                <w:szCs w:val="18"/>
              </w:rPr>
              <w:t>≤0.008</w:t>
            </w:r>
          </w:p>
        </w:tc>
        <w:tc>
          <w:tcPr>
            <w:tcW w:w="851" w:type="dxa"/>
            <w:vAlign w:val="center"/>
          </w:tcPr>
          <w:p>
            <w:pPr>
              <w:pStyle w:val="36"/>
              <w:ind w:firstLine="0" w:firstLineChars="0"/>
              <w:jc w:val="center"/>
              <w:rPr>
                <w:szCs w:val="18"/>
              </w:rPr>
            </w:pPr>
            <w:r>
              <w:rPr>
                <w:rFonts w:hint="eastAsia"/>
                <w:szCs w:val="18"/>
              </w:rPr>
              <w:t>0.005</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0.005</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0.008</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0.06</w:t>
            </w:r>
          </w:p>
        </w:tc>
        <w:tc>
          <w:tcPr>
            <w:tcW w:w="850" w:type="dxa"/>
            <w:vAlign w:val="center"/>
          </w:tcPr>
          <w:p>
            <w:pPr>
              <w:pStyle w:val="36"/>
              <w:ind w:firstLine="0" w:firstLineChars="0"/>
              <w:jc w:val="center"/>
              <w:rPr>
                <w:szCs w:val="18"/>
              </w:rPr>
            </w:pPr>
            <w:r>
              <w:rPr>
                <w:rFonts w:hint="eastAsia"/>
                <w:szCs w:val="18"/>
              </w:rPr>
              <w:t>0.005</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0.005</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5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W90NiFe</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余量</w:t>
            </w:r>
          </w:p>
        </w:tc>
        <w:tc>
          <w:tcPr>
            <w:tcW w:w="708" w:type="dxa"/>
            <w:vAlign w:val="center"/>
          </w:tcPr>
          <w:p>
            <w:pPr>
              <w:pStyle w:val="36"/>
              <w:ind w:firstLine="0" w:firstLineChars="0"/>
              <w:jc w:val="center"/>
              <w:rPr>
                <w:rFonts w:asciiTheme="minorEastAsia" w:hAnsiTheme="minorEastAsia" w:eastAsiaTheme="minorEastAsia"/>
                <w:szCs w:val="18"/>
              </w:rPr>
            </w:pPr>
            <w:r>
              <w:rPr>
                <w:rFonts w:hint="eastAsia" w:asciiTheme="minorEastAsia" w:hAnsiTheme="minorEastAsia" w:eastAsiaTheme="minorEastAsia"/>
                <w:szCs w:val="18"/>
              </w:rPr>
              <w:t>6.9</w:t>
            </w:r>
            <w:r>
              <w:rPr>
                <w:rFonts w:hint="eastAsia" w:hAnsi="宋体"/>
                <w:szCs w:val="18"/>
              </w:rPr>
              <w:t>～</w:t>
            </w:r>
            <w:r>
              <w:rPr>
                <w:rFonts w:hint="eastAsia" w:cs="宋体" w:asciiTheme="minorEastAsia" w:hAnsiTheme="minorEastAsia" w:eastAsiaTheme="minorEastAsia"/>
                <w:szCs w:val="18"/>
              </w:rPr>
              <w:t>7.1</w:t>
            </w:r>
          </w:p>
        </w:tc>
        <w:tc>
          <w:tcPr>
            <w:tcW w:w="709" w:type="dxa"/>
            <w:vAlign w:val="center"/>
          </w:tcPr>
          <w:p>
            <w:pPr>
              <w:pStyle w:val="36"/>
              <w:ind w:firstLine="0" w:firstLineChars="0"/>
              <w:jc w:val="center"/>
              <w:rPr>
                <w:rFonts w:asciiTheme="minorEastAsia" w:hAnsiTheme="minorEastAsia" w:eastAsiaTheme="minorEastAsia"/>
                <w:szCs w:val="18"/>
              </w:rPr>
            </w:pPr>
            <w:r>
              <w:rPr>
                <w:rFonts w:hint="eastAsia" w:asciiTheme="minorEastAsia" w:hAnsiTheme="minorEastAsia" w:eastAsiaTheme="minorEastAsia"/>
                <w:szCs w:val="18"/>
              </w:rPr>
              <w:t>2.9</w:t>
            </w:r>
            <w:r>
              <w:rPr>
                <w:rFonts w:hint="eastAsia" w:hAnsi="宋体"/>
                <w:szCs w:val="18"/>
              </w:rPr>
              <w:t>～</w:t>
            </w:r>
            <w:r>
              <w:rPr>
                <w:rFonts w:hint="eastAsia" w:asciiTheme="minorEastAsia" w:hAnsiTheme="minorEastAsia" w:eastAsiaTheme="minorEastAsia"/>
                <w:szCs w:val="18"/>
              </w:rPr>
              <w:t>3.1</w:t>
            </w:r>
          </w:p>
        </w:tc>
        <w:tc>
          <w:tcPr>
            <w:tcW w:w="851" w:type="dxa"/>
            <w:vAlign w:val="center"/>
          </w:tcPr>
          <w:p>
            <w:pPr>
              <w:pStyle w:val="36"/>
              <w:ind w:firstLine="0" w:firstLineChars="0"/>
              <w:jc w:val="center"/>
              <w:rPr>
                <w:szCs w:val="18"/>
              </w:rPr>
            </w:pPr>
            <w:r>
              <w:rPr>
                <w:rFonts w:hint="eastAsia"/>
                <w:szCs w:val="18"/>
              </w:rPr>
              <w:t>0.005</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0.005</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0.010</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0.08</w:t>
            </w:r>
          </w:p>
        </w:tc>
        <w:tc>
          <w:tcPr>
            <w:tcW w:w="850" w:type="dxa"/>
            <w:vAlign w:val="center"/>
          </w:tcPr>
          <w:p>
            <w:pPr>
              <w:pStyle w:val="36"/>
              <w:ind w:firstLine="0" w:firstLineChars="0"/>
              <w:jc w:val="center"/>
              <w:rPr>
                <w:szCs w:val="18"/>
              </w:rPr>
            </w:pPr>
            <w:r>
              <w:rPr>
                <w:rFonts w:hint="eastAsia"/>
                <w:szCs w:val="18"/>
              </w:rPr>
              <w:t>0.005</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0.005</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5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W93NiFe</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余量</w:t>
            </w:r>
          </w:p>
        </w:tc>
        <w:tc>
          <w:tcPr>
            <w:tcW w:w="708" w:type="dxa"/>
            <w:vAlign w:val="center"/>
          </w:tcPr>
          <w:p>
            <w:pPr>
              <w:pStyle w:val="36"/>
              <w:ind w:firstLine="0" w:firstLineChars="0"/>
              <w:jc w:val="center"/>
              <w:rPr>
                <w:rFonts w:asciiTheme="minorEastAsia" w:hAnsiTheme="minorEastAsia" w:eastAsiaTheme="minorEastAsia"/>
                <w:szCs w:val="18"/>
              </w:rPr>
            </w:pPr>
            <w:r>
              <w:rPr>
                <w:rFonts w:hint="eastAsia" w:asciiTheme="minorEastAsia" w:hAnsiTheme="minorEastAsia" w:eastAsiaTheme="minorEastAsia"/>
                <w:szCs w:val="18"/>
              </w:rPr>
              <w:t>4.8</w:t>
            </w:r>
            <w:r>
              <w:rPr>
                <w:rFonts w:hint="eastAsia" w:hAnsi="宋体"/>
                <w:szCs w:val="18"/>
              </w:rPr>
              <w:t>～</w:t>
            </w:r>
            <w:r>
              <w:rPr>
                <w:rFonts w:hint="eastAsia" w:asciiTheme="minorEastAsia" w:hAnsiTheme="minorEastAsia" w:eastAsiaTheme="minorEastAsia"/>
                <w:szCs w:val="18"/>
              </w:rPr>
              <w:t>5.0</w:t>
            </w:r>
          </w:p>
        </w:tc>
        <w:tc>
          <w:tcPr>
            <w:tcW w:w="709" w:type="dxa"/>
            <w:vAlign w:val="center"/>
          </w:tcPr>
          <w:p>
            <w:pPr>
              <w:pStyle w:val="36"/>
              <w:ind w:firstLine="0" w:firstLineChars="0"/>
              <w:jc w:val="center"/>
              <w:rPr>
                <w:rFonts w:asciiTheme="minorEastAsia" w:hAnsiTheme="minorEastAsia" w:eastAsiaTheme="minorEastAsia"/>
                <w:szCs w:val="18"/>
              </w:rPr>
            </w:pPr>
            <w:r>
              <w:rPr>
                <w:rFonts w:hint="eastAsia" w:asciiTheme="minorEastAsia" w:hAnsiTheme="minorEastAsia" w:eastAsiaTheme="minorEastAsia"/>
                <w:szCs w:val="18"/>
              </w:rPr>
              <w:t>2.0</w:t>
            </w:r>
            <w:r>
              <w:rPr>
                <w:rFonts w:hint="eastAsia" w:hAnsi="宋体"/>
                <w:szCs w:val="18"/>
              </w:rPr>
              <w:t>～</w:t>
            </w:r>
            <w:r>
              <w:rPr>
                <w:rFonts w:hint="eastAsia" w:asciiTheme="minorEastAsia" w:hAnsiTheme="minorEastAsia" w:eastAsiaTheme="minorEastAsia"/>
                <w:szCs w:val="18"/>
              </w:rPr>
              <w:t>2.2</w:t>
            </w:r>
          </w:p>
        </w:tc>
        <w:tc>
          <w:tcPr>
            <w:tcW w:w="851" w:type="dxa"/>
            <w:vAlign w:val="center"/>
          </w:tcPr>
          <w:p>
            <w:pPr>
              <w:pStyle w:val="36"/>
              <w:ind w:firstLine="0" w:firstLineChars="0"/>
              <w:jc w:val="center"/>
              <w:rPr>
                <w:szCs w:val="18"/>
              </w:rPr>
            </w:pPr>
            <w:r>
              <w:rPr>
                <w:rFonts w:hint="eastAsia"/>
                <w:szCs w:val="18"/>
              </w:rPr>
              <w:t>0.005</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0.005</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0.010</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0.08</w:t>
            </w:r>
          </w:p>
        </w:tc>
        <w:tc>
          <w:tcPr>
            <w:tcW w:w="850" w:type="dxa"/>
            <w:vAlign w:val="center"/>
          </w:tcPr>
          <w:p>
            <w:pPr>
              <w:pStyle w:val="36"/>
              <w:ind w:firstLine="0" w:firstLineChars="0"/>
              <w:jc w:val="center"/>
              <w:rPr>
                <w:szCs w:val="18"/>
              </w:rPr>
            </w:pPr>
            <w:r>
              <w:rPr>
                <w:rFonts w:hint="eastAsia"/>
                <w:szCs w:val="18"/>
              </w:rPr>
              <w:t>0.005</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0.005</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5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W95NiFe</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余量</w:t>
            </w:r>
          </w:p>
        </w:tc>
        <w:tc>
          <w:tcPr>
            <w:tcW w:w="708" w:type="dxa"/>
            <w:vAlign w:val="center"/>
          </w:tcPr>
          <w:p>
            <w:pPr>
              <w:pStyle w:val="36"/>
              <w:ind w:firstLine="0" w:firstLineChars="0"/>
              <w:jc w:val="center"/>
              <w:rPr>
                <w:rFonts w:asciiTheme="minorEastAsia" w:hAnsiTheme="minorEastAsia" w:eastAsiaTheme="minorEastAsia"/>
                <w:szCs w:val="18"/>
              </w:rPr>
            </w:pPr>
            <w:r>
              <w:rPr>
                <w:rFonts w:hint="eastAsia" w:asciiTheme="minorEastAsia" w:hAnsiTheme="minorEastAsia" w:eastAsiaTheme="minorEastAsia"/>
                <w:szCs w:val="18"/>
              </w:rPr>
              <w:t>3.4</w:t>
            </w:r>
            <w:r>
              <w:rPr>
                <w:rFonts w:hint="eastAsia" w:hAnsi="宋体"/>
                <w:szCs w:val="18"/>
              </w:rPr>
              <w:t>～</w:t>
            </w:r>
            <w:r>
              <w:rPr>
                <w:rFonts w:hint="eastAsia" w:asciiTheme="minorEastAsia" w:hAnsiTheme="minorEastAsia" w:eastAsiaTheme="minorEastAsia"/>
                <w:szCs w:val="18"/>
              </w:rPr>
              <w:t>3.6</w:t>
            </w:r>
          </w:p>
        </w:tc>
        <w:tc>
          <w:tcPr>
            <w:tcW w:w="709" w:type="dxa"/>
            <w:vAlign w:val="center"/>
          </w:tcPr>
          <w:p>
            <w:pPr>
              <w:pStyle w:val="36"/>
              <w:ind w:firstLine="0" w:firstLineChars="0"/>
              <w:jc w:val="center"/>
              <w:rPr>
                <w:rFonts w:asciiTheme="minorEastAsia" w:hAnsiTheme="minorEastAsia" w:eastAsiaTheme="minorEastAsia"/>
                <w:szCs w:val="18"/>
              </w:rPr>
            </w:pPr>
            <w:r>
              <w:rPr>
                <w:rFonts w:hint="eastAsia" w:asciiTheme="minorEastAsia" w:hAnsiTheme="minorEastAsia" w:eastAsiaTheme="minorEastAsia"/>
                <w:szCs w:val="18"/>
              </w:rPr>
              <w:t>1.4</w:t>
            </w:r>
            <w:r>
              <w:rPr>
                <w:rFonts w:hint="eastAsia" w:hAnsi="宋体"/>
                <w:szCs w:val="18"/>
              </w:rPr>
              <w:t>～</w:t>
            </w:r>
            <w:r>
              <w:rPr>
                <w:rFonts w:hint="eastAsia" w:asciiTheme="minorEastAsia" w:hAnsiTheme="minorEastAsia" w:eastAsiaTheme="minorEastAsia"/>
                <w:szCs w:val="18"/>
              </w:rPr>
              <w:t>1.6</w:t>
            </w:r>
          </w:p>
        </w:tc>
        <w:tc>
          <w:tcPr>
            <w:tcW w:w="851" w:type="dxa"/>
            <w:vAlign w:val="center"/>
          </w:tcPr>
          <w:p>
            <w:pPr>
              <w:pStyle w:val="36"/>
              <w:ind w:firstLine="0" w:firstLineChars="0"/>
              <w:jc w:val="center"/>
              <w:rPr>
                <w:szCs w:val="18"/>
              </w:rPr>
            </w:pPr>
            <w:r>
              <w:rPr>
                <w:rFonts w:hint="eastAsia"/>
                <w:szCs w:val="18"/>
              </w:rPr>
              <w:t>0.005</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0.005</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0.010</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0.08</w:t>
            </w:r>
          </w:p>
        </w:tc>
        <w:tc>
          <w:tcPr>
            <w:tcW w:w="850" w:type="dxa"/>
            <w:vAlign w:val="center"/>
          </w:tcPr>
          <w:p>
            <w:pPr>
              <w:pStyle w:val="36"/>
              <w:ind w:firstLine="0" w:firstLineChars="0"/>
              <w:jc w:val="center"/>
              <w:rPr>
                <w:szCs w:val="18"/>
              </w:rPr>
            </w:pPr>
            <w:r>
              <w:rPr>
                <w:rFonts w:hint="eastAsia"/>
                <w:szCs w:val="18"/>
              </w:rPr>
              <w:t>0.005</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0.005</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5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W97NiFe</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余量</w:t>
            </w:r>
          </w:p>
        </w:tc>
        <w:tc>
          <w:tcPr>
            <w:tcW w:w="708" w:type="dxa"/>
            <w:vAlign w:val="center"/>
          </w:tcPr>
          <w:p>
            <w:pPr>
              <w:pStyle w:val="36"/>
              <w:ind w:firstLine="0" w:firstLineChars="0"/>
              <w:jc w:val="center"/>
              <w:rPr>
                <w:rFonts w:asciiTheme="minorEastAsia" w:hAnsiTheme="minorEastAsia" w:eastAsiaTheme="minorEastAsia"/>
                <w:szCs w:val="18"/>
              </w:rPr>
            </w:pPr>
            <w:r>
              <w:rPr>
                <w:rFonts w:hint="eastAsia" w:asciiTheme="minorEastAsia" w:hAnsiTheme="minorEastAsia" w:eastAsiaTheme="minorEastAsia"/>
                <w:szCs w:val="18"/>
              </w:rPr>
              <w:t>2.0</w:t>
            </w:r>
            <w:r>
              <w:rPr>
                <w:rFonts w:hint="eastAsia" w:hAnsi="宋体"/>
                <w:szCs w:val="18"/>
              </w:rPr>
              <w:t>～</w:t>
            </w:r>
            <w:r>
              <w:rPr>
                <w:rFonts w:hint="eastAsia" w:asciiTheme="minorEastAsia" w:hAnsiTheme="minorEastAsia" w:eastAsiaTheme="minorEastAsia"/>
                <w:szCs w:val="18"/>
              </w:rPr>
              <w:t>2.2</w:t>
            </w:r>
          </w:p>
        </w:tc>
        <w:tc>
          <w:tcPr>
            <w:tcW w:w="709" w:type="dxa"/>
            <w:vAlign w:val="center"/>
          </w:tcPr>
          <w:p>
            <w:pPr>
              <w:pStyle w:val="36"/>
              <w:ind w:firstLine="0" w:firstLineChars="0"/>
              <w:jc w:val="center"/>
              <w:rPr>
                <w:rFonts w:asciiTheme="minorEastAsia" w:hAnsiTheme="minorEastAsia" w:eastAsiaTheme="minorEastAsia"/>
                <w:szCs w:val="18"/>
              </w:rPr>
            </w:pPr>
            <w:r>
              <w:rPr>
                <w:rFonts w:hint="eastAsia" w:asciiTheme="minorEastAsia" w:hAnsiTheme="minorEastAsia" w:eastAsiaTheme="minorEastAsia"/>
                <w:szCs w:val="18"/>
              </w:rPr>
              <w:t>0.8</w:t>
            </w:r>
            <w:r>
              <w:rPr>
                <w:rFonts w:hint="eastAsia" w:hAnsi="宋体"/>
                <w:szCs w:val="18"/>
              </w:rPr>
              <w:t>～</w:t>
            </w:r>
            <w:r>
              <w:rPr>
                <w:rFonts w:hint="eastAsia" w:asciiTheme="minorEastAsia" w:hAnsiTheme="minorEastAsia" w:eastAsiaTheme="minorEastAsia"/>
                <w:szCs w:val="18"/>
              </w:rPr>
              <w:t>1.0</w:t>
            </w:r>
          </w:p>
        </w:tc>
        <w:tc>
          <w:tcPr>
            <w:tcW w:w="851" w:type="dxa"/>
            <w:vAlign w:val="center"/>
          </w:tcPr>
          <w:p>
            <w:pPr>
              <w:pStyle w:val="36"/>
              <w:ind w:firstLine="0" w:firstLineChars="0"/>
              <w:jc w:val="center"/>
              <w:rPr>
                <w:szCs w:val="18"/>
              </w:rPr>
            </w:pPr>
            <w:r>
              <w:rPr>
                <w:rFonts w:hint="eastAsia"/>
                <w:szCs w:val="18"/>
              </w:rPr>
              <w:t>0.005</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0.005</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0.010</w:t>
            </w:r>
          </w:p>
        </w:tc>
        <w:tc>
          <w:tcPr>
            <w:tcW w:w="850" w:type="dxa"/>
            <w:vAlign w:val="center"/>
          </w:tcPr>
          <w:p>
            <w:pPr>
              <w:pStyle w:val="36"/>
              <w:ind w:firstLine="0" w:firstLineChars="0"/>
              <w:jc w:val="center"/>
              <w:rPr>
                <w:szCs w:val="18"/>
              </w:rPr>
            </w:pPr>
            <w:r>
              <w:rPr>
                <w:rFonts w:hint="eastAsia"/>
                <w:szCs w:val="18"/>
              </w:rPr>
              <w:t>0.005</w:t>
            </w:r>
          </w:p>
        </w:tc>
        <w:tc>
          <w:tcPr>
            <w:tcW w:w="851" w:type="dxa"/>
            <w:vAlign w:val="center"/>
          </w:tcPr>
          <w:p>
            <w:pPr>
              <w:pStyle w:val="36"/>
              <w:ind w:firstLine="0" w:firstLineChars="0"/>
              <w:jc w:val="center"/>
              <w:rPr>
                <w:szCs w:val="18"/>
              </w:rPr>
            </w:pPr>
            <w:r>
              <w:rPr>
                <w:rFonts w:hint="eastAsia"/>
                <w:szCs w:val="18"/>
              </w:rPr>
              <w:t>0.08</w:t>
            </w:r>
          </w:p>
        </w:tc>
        <w:tc>
          <w:tcPr>
            <w:tcW w:w="850" w:type="dxa"/>
            <w:vAlign w:val="center"/>
          </w:tcPr>
          <w:p>
            <w:pPr>
              <w:pStyle w:val="36"/>
              <w:ind w:firstLine="0" w:firstLineChars="0"/>
              <w:jc w:val="center"/>
              <w:rPr>
                <w:szCs w:val="18"/>
              </w:rPr>
            </w:pPr>
            <w:r>
              <w:rPr>
                <w:rFonts w:hint="eastAsia"/>
                <w:szCs w:val="18"/>
              </w:rPr>
              <w:t>0.005</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0.005</w:t>
            </w:r>
          </w:p>
        </w:tc>
        <w:tc>
          <w:tcPr>
            <w:tcW w:w="709" w:type="dxa"/>
            <w:vAlign w:val="center"/>
          </w:tcPr>
          <w:p>
            <w:pPr>
              <w:pStyle w:val="36"/>
              <w:tabs>
                <w:tab w:val="center" w:pos="4201"/>
                <w:tab w:val="right" w:leader="dot" w:pos="9298"/>
              </w:tabs>
              <w:spacing w:before="156" w:after="156"/>
              <w:ind w:firstLine="0" w:firstLineChars="0"/>
              <w:jc w:val="center"/>
              <w:rPr>
                <w:sz w:val="20"/>
              </w:rPr>
            </w:pPr>
            <w:r>
              <w:rPr>
                <w:rFonts w:hint="eastAsia"/>
                <w:sz w:val="20"/>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1307" w:type="dxa"/>
            <w:gridSpan w:val="14"/>
            <w:vAlign w:val="center"/>
          </w:tcPr>
          <w:p>
            <w:pPr>
              <w:pStyle w:val="36"/>
              <w:tabs>
                <w:tab w:val="center" w:pos="4201"/>
                <w:tab w:val="right" w:leader="dot" w:pos="9298"/>
              </w:tabs>
              <w:spacing w:before="156" w:after="156"/>
              <w:ind w:firstLine="0" w:firstLineChars="0"/>
              <w:jc w:val="left"/>
              <w:rPr>
                <w:sz w:val="20"/>
              </w:rPr>
            </w:pPr>
            <w:r>
              <w:rPr>
                <w:rFonts w:hint="eastAsia"/>
                <w:sz w:val="20"/>
              </w:rPr>
              <w:t>注：产品的化学成分可根据用户的特殊要求进行调整。</w:t>
            </w:r>
          </w:p>
        </w:tc>
      </w:tr>
    </w:tbl>
    <w:p>
      <w:pPr>
        <w:pStyle w:val="36"/>
        <w:ind w:firstLine="0" w:firstLineChars="0"/>
        <w:rPr>
          <w:rFonts w:ascii="Times New Roman" w:cs="宋体"/>
        </w:rPr>
      </w:pPr>
      <w:bookmarkStart w:id="0" w:name="_GoBack"/>
      <w:bookmarkEnd w:id="0"/>
    </w:p>
    <w:p>
      <w:pPr>
        <w:tabs>
          <w:tab w:val="center" w:pos="4385"/>
          <w:tab w:val="left" w:pos="7065"/>
        </w:tabs>
        <w:spacing w:line="360" w:lineRule="auto"/>
        <w:rPr>
          <w:rFonts w:eastAsia="黑体"/>
          <w:sz w:val="24"/>
        </w:rPr>
      </w:pPr>
      <w:r>
        <w:rPr>
          <w:rFonts w:hint="eastAsia" w:eastAsia="黑体"/>
          <w:sz w:val="24"/>
        </w:rPr>
        <w:t>2.2.  物理性能</w:t>
      </w:r>
    </w:p>
    <w:p>
      <w:pPr>
        <w:spacing w:line="360" w:lineRule="auto"/>
        <w:ind w:firstLine="480" w:firstLineChars="200"/>
        <w:rPr>
          <w:sz w:val="24"/>
        </w:rPr>
      </w:pPr>
      <w:r>
        <w:rPr>
          <w:rFonts w:hint="eastAsia"/>
          <w:sz w:val="24"/>
        </w:rPr>
        <w:t>钨及钨合金粉可以通过增材制造工艺实现致密化成形，不同的增材制造工艺对粉末的粒度有不同的要求，粉末的松装密度、振实密度、流动性等工艺参数不仅影响增材制造成形过程，且对制件的最终显微组织、力学性能、尺寸精度、表面质量等产生影响。因此，本标准规定了判定钨及钨合金粉末的关键物理性能和工艺性能参数要求：粒度及分布、松装密度、振实密度、流动性、球形度等。</w:t>
      </w:r>
    </w:p>
    <w:p>
      <w:pPr>
        <w:spacing w:line="360" w:lineRule="auto"/>
        <w:rPr>
          <w:rFonts w:eastAsia="黑体" w:cs="黑体"/>
          <w:sz w:val="24"/>
        </w:rPr>
      </w:pPr>
      <w:r>
        <w:rPr>
          <w:rFonts w:hint="eastAsia" w:eastAsia="黑体" w:cs="黑体"/>
          <w:sz w:val="24"/>
        </w:rPr>
        <w:t>2.2.1.  粒度</w:t>
      </w:r>
    </w:p>
    <w:p>
      <w:pPr>
        <w:spacing w:line="360" w:lineRule="auto"/>
        <w:ind w:firstLine="480" w:firstLineChars="200"/>
        <w:rPr>
          <w:rFonts w:ascii="宋体" w:hAnsi="宋体" w:cs="宋体"/>
          <w:sz w:val="24"/>
        </w:rPr>
      </w:pPr>
      <w:r>
        <w:rPr>
          <w:rFonts w:hint="eastAsia" w:ascii="宋体" w:hAnsi="宋体" w:cs="宋体"/>
          <w:sz w:val="24"/>
        </w:rPr>
        <w:t xml:space="preserve">根据增材制造技术领域不同工艺技术要求，钨及钨合金粉粒度可分为三类：不同增材制造工艺对粉末粒度分布有不同的要求。本标准中粉末分为三类，Ⅰ类适用于粉末床激光熔融增材制造领域，粒度范围为0～63 </w:t>
      </w:r>
      <w:r>
        <w:rPr>
          <w:sz w:val="24"/>
        </w:rPr>
        <w:t>μm</w:t>
      </w:r>
      <w:r>
        <w:rPr>
          <w:rFonts w:hint="eastAsia" w:ascii="宋体" w:hAnsi="宋体" w:cs="宋体"/>
          <w:sz w:val="24"/>
        </w:rPr>
        <w:t xml:space="preserve">；Ⅱ类适用于粉末床电子束熔化增材制造领域，粒度范围为45～150 </w:t>
      </w:r>
      <w:r>
        <w:rPr>
          <w:sz w:val="24"/>
        </w:rPr>
        <w:t>μm</w:t>
      </w:r>
      <w:r>
        <w:rPr>
          <w:rFonts w:hint="eastAsia" w:ascii="宋体" w:hAnsi="宋体" w:cs="宋体"/>
          <w:sz w:val="24"/>
        </w:rPr>
        <w:t xml:space="preserve">；Ⅲ类适用于定向能量沉积增材制造领域，粒度范围为30～250 </w:t>
      </w:r>
      <w:r>
        <w:rPr>
          <w:sz w:val="24"/>
        </w:rPr>
        <w:t>μm</w:t>
      </w:r>
      <w:r>
        <w:rPr>
          <w:rFonts w:hint="eastAsia" w:ascii="宋体" w:hAnsi="宋体" w:cs="宋体"/>
          <w:sz w:val="24"/>
        </w:rPr>
        <w:t>。针对以上增材制造应用领域对粉末粒度的要求，统计了有关单位及研究机构的粒度分布，如表4所示。本标准规定了粒度分布的指标，如表5所示。另外也可供货双方协商确定。</w:t>
      </w:r>
    </w:p>
    <w:p>
      <w:pPr>
        <w:spacing w:line="360" w:lineRule="auto"/>
        <w:ind w:firstLine="480" w:firstLineChars="200"/>
        <w:jc w:val="center"/>
        <w:rPr>
          <w:rFonts w:ascii="黑体" w:hAnsi="黑体" w:eastAsia="黑体" w:cs="黑体"/>
          <w:sz w:val="24"/>
        </w:rPr>
      </w:pPr>
      <w:r>
        <w:rPr>
          <w:rFonts w:hint="eastAsia" w:ascii="黑体" w:hAnsi="黑体" w:eastAsia="黑体" w:cs="黑体"/>
          <w:sz w:val="24"/>
        </w:rPr>
        <w:t>表4 粒度分布统计表</w:t>
      </w:r>
    </w:p>
    <w:tbl>
      <w:tblPr>
        <w:tblStyle w:val="12"/>
        <w:tblW w:w="9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170"/>
        <w:gridCol w:w="1213"/>
        <w:gridCol w:w="3002"/>
        <w:gridCol w:w="3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分类</w:t>
            </w:r>
          </w:p>
        </w:tc>
        <w:tc>
          <w:tcPr>
            <w:tcW w:w="1170" w:type="dxa"/>
            <w:vMerge w:val="restart"/>
            <w:vAlign w:val="center"/>
          </w:tcPr>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粒度</w:t>
            </w:r>
          </w:p>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范围/μm</w:t>
            </w:r>
          </w:p>
        </w:tc>
        <w:tc>
          <w:tcPr>
            <w:tcW w:w="1213"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牌号</w:t>
            </w:r>
          </w:p>
        </w:tc>
        <w:tc>
          <w:tcPr>
            <w:tcW w:w="6315" w:type="dxa"/>
            <w:gridSpan w:val="2"/>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粒度分布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Merge w:val="continue"/>
            <w:vAlign w:val="center"/>
          </w:tcPr>
          <w:p>
            <w:pPr>
              <w:spacing w:line="360" w:lineRule="auto"/>
              <w:jc w:val="center"/>
              <w:rPr>
                <w:rFonts w:ascii="宋体" w:hAnsi="宋体" w:cs="宋体"/>
                <w:color w:val="000000"/>
                <w:sz w:val="20"/>
                <w:szCs w:val="18"/>
              </w:rPr>
            </w:pPr>
          </w:p>
        </w:tc>
        <w:tc>
          <w:tcPr>
            <w:tcW w:w="300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单位1</w:t>
            </w:r>
          </w:p>
        </w:tc>
        <w:tc>
          <w:tcPr>
            <w:tcW w:w="3313"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单位2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Ⅰ类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0～63</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300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+63μm不大于5%</w:t>
            </w:r>
          </w:p>
        </w:tc>
        <w:tc>
          <w:tcPr>
            <w:tcW w:w="3313"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+63μm：2.22%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300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+63μm：2.25%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300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+63μm：1.58%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300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+63μm：1.85%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300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+63μm：1.72%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Ⅱ类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45～150</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3002" w:type="dxa"/>
            <w:vAlign w:val="center"/>
          </w:tcPr>
          <w:p>
            <w:pPr>
              <w:jc w:val="center"/>
              <w:rPr>
                <w:rFonts w:ascii="宋体" w:hAnsi="宋体" w:cs="宋体"/>
                <w:color w:val="000000"/>
                <w:sz w:val="20"/>
                <w:szCs w:val="18"/>
              </w:rPr>
            </w:pPr>
            <w:r>
              <w:rPr>
                <w:rFonts w:hint="eastAsia" w:ascii="宋体" w:hAnsi="宋体" w:cs="宋体"/>
                <w:color w:val="000000"/>
                <w:sz w:val="20"/>
                <w:szCs w:val="18"/>
              </w:rPr>
              <w:t>-45μm</w:t>
            </w:r>
            <w:r>
              <w:rPr>
                <w:rFonts w:hint="eastAsia" w:ascii="宋体" w:hAnsi="宋体" w:cs="宋体"/>
                <w:sz w:val="20"/>
                <w:szCs w:val="18"/>
              </w:rPr>
              <w:t>≤</w:t>
            </w:r>
            <w:r>
              <w:rPr>
                <w:rFonts w:hint="eastAsia" w:ascii="宋体" w:hAnsi="宋体" w:cs="宋体"/>
                <w:color w:val="000000"/>
                <w:sz w:val="20"/>
                <w:szCs w:val="18"/>
              </w:rPr>
              <w:t>5%，+150μm</w:t>
            </w:r>
            <w:r>
              <w:rPr>
                <w:rFonts w:hint="eastAsia" w:ascii="宋体" w:hAnsi="宋体" w:cs="宋体"/>
                <w:sz w:val="20"/>
                <w:szCs w:val="18"/>
              </w:rPr>
              <w:t>≤</w:t>
            </w:r>
            <w:r>
              <w:rPr>
                <w:rFonts w:hint="eastAsia" w:ascii="宋体" w:hAnsi="宋体" w:cs="宋体"/>
                <w:color w:val="000000"/>
                <w:sz w:val="20"/>
                <w:szCs w:val="18"/>
              </w:rPr>
              <w:t>5%</w:t>
            </w:r>
          </w:p>
        </w:tc>
        <w:tc>
          <w:tcPr>
            <w:tcW w:w="3313" w:type="dxa"/>
            <w:vAlign w:val="center"/>
          </w:tcPr>
          <w:p>
            <w:pPr>
              <w:jc w:val="center"/>
              <w:rPr>
                <w:rFonts w:ascii="宋体" w:hAnsi="宋体" w:cs="宋体"/>
                <w:color w:val="000000"/>
                <w:sz w:val="20"/>
                <w:szCs w:val="18"/>
              </w:rPr>
            </w:pPr>
            <w:r>
              <w:rPr>
                <w:rFonts w:hint="eastAsia" w:ascii="宋体" w:hAnsi="宋体" w:cs="宋体"/>
                <w:sz w:val="20"/>
                <w:szCs w:val="18"/>
              </w:rPr>
              <w:t>-45μm：0.98%，+150μm：0.89%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3002" w:type="dxa"/>
            <w:vAlign w:val="center"/>
          </w:tcPr>
          <w:p>
            <w:pPr>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jc w:val="center"/>
              <w:rPr>
                <w:rFonts w:ascii="宋体" w:hAnsi="宋体" w:cs="宋体"/>
                <w:color w:val="000000"/>
                <w:sz w:val="20"/>
                <w:szCs w:val="18"/>
              </w:rPr>
            </w:pPr>
            <w:r>
              <w:rPr>
                <w:rFonts w:hint="eastAsia" w:ascii="宋体" w:hAnsi="宋体" w:cs="宋体"/>
                <w:sz w:val="20"/>
                <w:szCs w:val="18"/>
              </w:rPr>
              <w:t>-45μm：2.47%，+150μm：1.08%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3002" w:type="dxa"/>
            <w:vAlign w:val="center"/>
          </w:tcPr>
          <w:p>
            <w:pPr>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jc w:val="center"/>
              <w:rPr>
                <w:rFonts w:ascii="宋体" w:hAnsi="宋体" w:cs="宋体"/>
                <w:color w:val="000000"/>
                <w:sz w:val="20"/>
                <w:szCs w:val="18"/>
              </w:rPr>
            </w:pPr>
            <w:r>
              <w:rPr>
                <w:rFonts w:hint="eastAsia" w:ascii="宋体" w:hAnsi="宋体" w:cs="宋体"/>
                <w:sz w:val="20"/>
                <w:szCs w:val="18"/>
              </w:rPr>
              <w:t>-45μm：1.87%，+150μm：1.10%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3002" w:type="dxa"/>
            <w:vAlign w:val="center"/>
          </w:tcPr>
          <w:p>
            <w:pPr>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jc w:val="center"/>
              <w:rPr>
                <w:rFonts w:ascii="宋体" w:hAnsi="宋体" w:cs="宋体"/>
                <w:color w:val="000000"/>
                <w:sz w:val="20"/>
                <w:szCs w:val="18"/>
              </w:rPr>
            </w:pPr>
            <w:r>
              <w:rPr>
                <w:rFonts w:hint="eastAsia" w:ascii="宋体" w:hAnsi="宋体" w:cs="宋体"/>
                <w:sz w:val="20"/>
                <w:szCs w:val="18"/>
              </w:rPr>
              <w:t>-45μm：2.13%，+150μm：1.12%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3002" w:type="dxa"/>
            <w:vAlign w:val="center"/>
          </w:tcPr>
          <w:p>
            <w:pPr>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jc w:val="center"/>
              <w:rPr>
                <w:rFonts w:ascii="宋体" w:hAnsi="宋体" w:cs="宋体"/>
                <w:color w:val="000000"/>
                <w:sz w:val="20"/>
                <w:szCs w:val="18"/>
              </w:rPr>
            </w:pPr>
            <w:r>
              <w:rPr>
                <w:rFonts w:hint="eastAsia" w:ascii="宋体" w:hAnsi="宋体" w:cs="宋体"/>
                <w:sz w:val="20"/>
                <w:szCs w:val="18"/>
              </w:rPr>
              <w:t>-45μm：1.81%，+150μm：2.37%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Ⅲ类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30-250</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3002" w:type="dxa"/>
            <w:vAlign w:val="center"/>
          </w:tcPr>
          <w:p>
            <w:pPr>
              <w:jc w:val="center"/>
              <w:rPr>
                <w:rFonts w:ascii="宋体" w:hAnsi="宋体" w:cs="宋体"/>
                <w:color w:val="000000"/>
                <w:sz w:val="20"/>
                <w:szCs w:val="18"/>
              </w:rPr>
            </w:pPr>
            <w:r>
              <w:rPr>
                <w:rFonts w:hint="eastAsia" w:ascii="宋体" w:hAnsi="宋体" w:cs="宋体"/>
                <w:color w:val="000000"/>
                <w:sz w:val="20"/>
                <w:szCs w:val="18"/>
              </w:rPr>
              <w:t>-30μm</w:t>
            </w:r>
            <w:r>
              <w:rPr>
                <w:rFonts w:hint="eastAsia" w:ascii="宋体" w:hAnsi="宋体" w:cs="宋体"/>
                <w:sz w:val="20"/>
                <w:szCs w:val="18"/>
              </w:rPr>
              <w:t>≤</w:t>
            </w:r>
            <w:r>
              <w:rPr>
                <w:rFonts w:hint="eastAsia" w:ascii="宋体" w:hAnsi="宋体" w:cs="宋体"/>
                <w:color w:val="000000"/>
                <w:sz w:val="20"/>
                <w:szCs w:val="18"/>
              </w:rPr>
              <w:t>5%，+250μm</w:t>
            </w:r>
            <w:r>
              <w:rPr>
                <w:rFonts w:hint="eastAsia" w:ascii="宋体" w:hAnsi="宋体" w:cs="宋体"/>
                <w:sz w:val="20"/>
                <w:szCs w:val="18"/>
              </w:rPr>
              <w:t>≤</w:t>
            </w:r>
            <w:r>
              <w:rPr>
                <w:rFonts w:hint="eastAsia" w:ascii="宋体" w:hAnsi="宋体" w:cs="宋体"/>
                <w:color w:val="000000"/>
                <w:sz w:val="20"/>
                <w:szCs w:val="18"/>
              </w:rPr>
              <w:t>5%</w:t>
            </w:r>
          </w:p>
        </w:tc>
        <w:tc>
          <w:tcPr>
            <w:tcW w:w="3313" w:type="dxa"/>
            <w:vAlign w:val="center"/>
          </w:tcPr>
          <w:p>
            <w:pPr>
              <w:jc w:val="center"/>
              <w:rPr>
                <w:rFonts w:ascii="宋体" w:hAnsi="宋体" w:cs="宋体"/>
                <w:color w:val="000000"/>
                <w:sz w:val="20"/>
                <w:szCs w:val="18"/>
              </w:rPr>
            </w:pPr>
            <w:r>
              <w:rPr>
                <w:rFonts w:hint="eastAsia" w:ascii="宋体" w:hAnsi="宋体" w:cs="宋体"/>
                <w:sz w:val="20"/>
                <w:szCs w:val="18"/>
              </w:rPr>
              <w:t>-30μm：0.75%，+250μm：1.21%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300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spacing w:line="360" w:lineRule="auto"/>
              <w:jc w:val="center"/>
              <w:rPr>
                <w:rFonts w:ascii="宋体" w:hAnsi="宋体" w:cs="宋体"/>
                <w:color w:val="000000"/>
                <w:sz w:val="20"/>
                <w:szCs w:val="18"/>
              </w:rPr>
            </w:pPr>
            <w:r>
              <w:rPr>
                <w:rFonts w:hint="eastAsia" w:ascii="宋体" w:hAnsi="宋体" w:cs="宋体"/>
                <w:sz w:val="20"/>
                <w:szCs w:val="18"/>
              </w:rPr>
              <w:t>-30μm：2.35%，+250μm：1.32%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300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spacing w:line="360" w:lineRule="auto"/>
              <w:jc w:val="center"/>
              <w:rPr>
                <w:rFonts w:ascii="宋体" w:hAnsi="宋体" w:cs="宋体"/>
                <w:color w:val="000000"/>
                <w:sz w:val="20"/>
                <w:szCs w:val="18"/>
              </w:rPr>
            </w:pPr>
            <w:r>
              <w:rPr>
                <w:rFonts w:hint="eastAsia" w:ascii="宋体" w:hAnsi="宋体" w:cs="宋体"/>
                <w:sz w:val="20"/>
                <w:szCs w:val="18"/>
              </w:rPr>
              <w:t>-30μm：1.01%，+250μm：1.03%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300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spacing w:line="360" w:lineRule="auto"/>
              <w:jc w:val="center"/>
              <w:rPr>
                <w:rFonts w:ascii="宋体" w:hAnsi="宋体" w:cs="宋体"/>
                <w:color w:val="000000"/>
                <w:sz w:val="20"/>
                <w:szCs w:val="18"/>
              </w:rPr>
            </w:pPr>
            <w:r>
              <w:rPr>
                <w:rFonts w:hint="eastAsia" w:ascii="宋体" w:hAnsi="宋体" w:cs="宋体"/>
                <w:sz w:val="20"/>
                <w:szCs w:val="18"/>
              </w:rPr>
              <w:t>-30μm：1.97%，+250μm：1.02%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300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3313" w:type="dxa"/>
            <w:vAlign w:val="center"/>
          </w:tcPr>
          <w:p>
            <w:pPr>
              <w:spacing w:line="360" w:lineRule="auto"/>
              <w:jc w:val="center"/>
              <w:rPr>
                <w:rFonts w:ascii="宋体" w:hAnsi="宋体" w:cs="宋体"/>
                <w:color w:val="000000"/>
                <w:sz w:val="20"/>
                <w:szCs w:val="18"/>
              </w:rPr>
            </w:pPr>
            <w:r>
              <w:rPr>
                <w:rFonts w:hint="eastAsia" w:ascii="宋体" w:hAnsi="宋体" w:cs="宋体"/>
                <w:sz w:val="20"/>
                <w:szCs w:val="18"/>
              </w:rPr>
              <w:t>-30μm：1.13，+250μm：2.01%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9558" w:type="dxa"/>
            <w:gridSpan w:val="5"/>
            <w:vAlign w:val="center"/>
          </w:tcPr>
          <w:p>
            <w:pPr>
              <w:pStyle w:val="36"/>
              <w:spacing w:before="156"/>
              <w:ind w:firstLine="0" w:firstLineChars="0"/>
              <w:jc w:val="left"/>
              <w:rPr>
                <w:rFonts w:cs="宋体"/>
                <w:sz w:val="16"/>
                <w:szCs w:val="18"/>
              </w:rPr>
            </w:pPr>
            <w:r>
              <w:rPr>
                <w:rFonts w:hint="eastAsia" w:cs="宋体"/>
                <w:sz w:val="18"/>
                <w:szCs w:val="18"/>
              </w:rPr>
              <w:t>注：单位1-广东省材料与加工研究所，单位2-星尘科技（广东）有限公司</w:t>
            </w:r>
          </w:p>
        </w:tc>
      </w:tr>
    </w:tbl>
    <w:p>
      <w:pPr>
        <w:spacing w:line="360" w:lineRule="auto"/>
        <w:ind w:left="-2" w:leftChars="-1" w:firstLine="424" w:firstLineChars="177"/>
        <w:jc w:val="left"/>
        <w:rPr>
          <w:sz w:val="24"/>
        </w:rPr>
      </w:pPr>
    </w:p>
    <w:p>
      <w:pPr>
        <w:spacing w:line="360" w:lineRule="auto"/>
        <w:ind w:left="-2" w:leftChars="-1" w:firstLine="424" w:firstLineChars="177"/>
        <w:jc w:val="left"/>
        <w:rPr>
          <w:sz w:val="24"/>
        </w:rPr>
      </w:pPr>
      <w:r>
        <w:rPr>
          <w:rFonts w:hint="eastAsia"/>
          <w:sz w:val="24"/>
        </w:rPr>
        <w:t>粒度检测按照GB/T 1480《金属粉末粒度组成的测定 干筛分法》和GB/T 19077《粒度分布  激光衍射法》的规定执行。</w:t>
      </w:r>
    </w:p>
    <w:p>
      <w:pPr>
        <w:pStyle w:val="36"/>
        <w:tabs>
          <w:tab w:val="left" w:pos="687"/>
        </w:tabs>
        <w:spacing w:line="360" w:lineRule="auto"/>
        <w:ind w:firstLine="0" w:firstLineChars="0"/>
        <w:jc w:val="center"/>
        <w:rPr>
          <w:rFonts w:eastAsia="黑体" w:cs="黑体"/>
          <w:sz w:val="24"/>
        </w:rPr>
      </w:pPr>
      <w:r>
        <w:rPr>
          <w:rFonts w:hint="eastAsia" w:ascii="黑体" w:hAnsi="黑体" w:eastAsia="黑体" w:cs="黑体"/>
          <w:kern w:val="2"/>
          <w:sz w:val="24"/>
          <w:szCs w:val="24"/>
        </w:rPr>
        <w:t>表5 粒度要求</w:t>
      </w:r>
    </w:p>
    <w:tbl>
      <w:tblPr>
        <w:tblStyle w:val="12"/>
        <w:tblW w:w="82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3"/>
        <w:gridCol w:w="1843"/>
        <w:gridCol w:w="2580"/>
        <w:gridCol w:w="2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83" w:type="dxa"/>
            <w:vAlign w:val="center"/>
          </w:tcPr>
          <w:p>
            <w:pPr>
              <w:spacing w:line="360" w:lineRule="auto"/>
              <w:jc w:val="center"/>
              <w:rPr>
                <w:rFonts w:ascii="宋体" w:hAnsi="宋体"/>
              </w:rPr>
            </w:pPr>
            <w:r>
              <w:rPr>
                <w:rFonts w:hint="eastAsia" w:ascii="宋体" w:hAnsi="宋体" w:cs="宋体"/>
                <w:color w:val="000000"/>
                <w:szCs w:val="18"/>
              </w:rPr>
              <w:t>类别</w:t>
            </w:r>
          </w:p>
        </w:tc>
        <w:tc>
          <w:tcPr>
            <w:tcW w:w="1843" w:type="dxa"/>
            <w:vAlign w:val="center"/>
          </w:tcPr>
          <w:p>
            <w:pPr>
              <w:jc w:val="center"/>
              <w:rPr>
                <w:rFonts w:ascii="宋体" w:hAnsi="宋体"/>
              </w:rPr>
            </w:pPr>
            <w:r>
              <w:rPr>
                <w:rFonts w:hint="eastAsia" w:ascii="宋体" w:hAnsi="宋体"/>
              </w:rPr>
              <w:t>粒度范围</w:t>
            </w:r>
          </w:p>
        </w:tc>
        <w:tc>
          <w:tcPr>
            <w:tcW w:w="2580" w:type="dxa"/>
            <w:vAlign w:val="center"/>
          </w:tcPr>
          <w:p>
            <w:pPr>
              <w:jc w:val="center"/>
              <w:rPr>
                <w:rFonts w:ascii="宋体" w:hAnsi="宋体"/>
              </w:rPr>
            </w:pPr>
            <w:r>
              <w:rPr>
                <w:rFonts w:ascii="宋体" w:hAnsi="宋体"/>
              </w:rPr>
              <w:t>粒度组成</w:t>
            </w:r>
          </w:p>
        </w:tc>
        <w:tc>
          <w:tcPr>
            <w:tcW w:w="2807" w:type="dxa"/>
            <w:vAlign w:val="center"/>
          </w:tcPr>
          <w:p>
            <w:pPr>
              <w:jc w:val="center"/>
            </w:pPr>
            <w:r>
              <w:rPr>
                <w:rFonts w:hint="eastAsia"/>
              </w:rPr>
              <w:t>粒度分布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vAlign w:val="center"/>
          </w:tcPr>
          <w:p>
            <w:pPr>
              <w:spacing w:line="360" w:lineRule="auto"/>
              <w:jc w:val="center"/>
              <w:rPr>
                <w:rFonts w:ascii="宋体" w:hAnsi="宋体"/>
              </w:rPr>
            </w:pPr>
            <w:r>
              <w:rPr>
                <w:rFonts w:hint="eastAsia" w:ascii="宋体" w:hAnsi="宋体" w:cs="宋体"/>
                <w:color w:val="000000"/>
                <w:szCs w:val="18"/>
              </w:rPr>
              <w:t>Ⅰ类</w:t>
            </w:r>
          </w:p>
        </w:tc>
        <w:tc>
          <w:tcPr>
            <w:tcW w:w="1843" w:type="dxa"/>
            <w:vAlign w:val="center"/>
          </w:tcPr>
          <w:p>
            <w:pPr>
              <w:jc w:val="center"/>
              <w:rPr>
                <w:rFonts w:ascii="宋体" w:hAnsi="宋体"/>
              </w:rPr>
            </w:pPr>
            <w:r>
              <w:rPr>
                <w:rFonts w:hint="eastAsia" w:ascii="宋体" w:hAnsi="宋体" w:cs="宋体"/>
                <w:szCs w:val="18"/>
              </w:rPr>
              <w:t xml:space="preserve">≤63 </w:t>
            </w:r>
            <w:r>
              <w:rPr>
                <w:szCs w:val="18"/>
              </w:rPr>
              <w:t>μm</w:t>
            </w:r>
          </w:p>
        </w:tc>
        <w:tc>
          <w:tcPr>
            <w:tcW w:w="2580" w:type="dxa"/>
            <w:vAlign w:val="center"/>
          </w:tcPr>
          <w:p>
            <w:pPr>
              <w:jc w:val="center"/>
              <w:rPr>
                <w:rFonts w:ascii="宋体" w:hAnsi="宋体"/>
              </w:rPr>
            </w:pPr>
            <w:r>
              <w:rPr>
                <w:rFonts w:hint="eastAsia" w:ascii="宋体" w:hAnsi="宋体" w:cs="宋体"/>
                <w:szCs w:val="18"/>
              </w:rPr>
              <w:t xml:space="preserve">＞63 </w:t>
            </w:r>
            <w:r>
              <w:rPr>
                <w:szCs w:val="18"/>
              </w:rPr>
              <w:t>μm</w:t>
            </w:r>
            <w:r>
              <w:rPr>
                <w:rFonts w:hint="eastAsia" w:ascii="宋体" w:hAnsi="宋体" w:cs="宋体"/>
                <w:szCs w:val="18"/>
              </w:rPr>
              <w:t xml:space="preserve"> 不大于5%</w:t>
            </w:r>
          </w:p>
        </w:tc>
        <w:tc>
          <w:tcPr>
            <w:tcW w:w="2807" w:type="dxa"/>
            <w:vAlign w:val="center"/>
          </w:tcPr>
          <w:p>
            <w:pPr>
              <w:jc w:val="center"/>
            </w:pPr>
            <w:r>
              <w:rPr>
                <w:rFonts w:hint="eastAsia" w:ascii="宋体" w:hAnsi="宋体" w:cs="宋体"/>
                <w:szCs w:val="18"/>
              </w:rPr>
              <w:t xml:space="preserve">25 </w:t>
            </w:r>
            <w:r>
              <w:rPr>
                <w:szCs w:val="18"/>
              </w:rPr>
              <w:t>μm</w:t>
            </w:r>
            <w:r>
              <w:rPr>
                <w:rFonts w:hint="eastAsia" w:ascii="宋体" w:hAnsi="宋体" w:cs="宋体"/>
                <w:szCs w:val="18"/>
              </w:rPr>
              <w:t xml:space="preserve"> ≤D</w:t>
            </w:r>
            <w:r>
              <w:rPr>
                <w:rFonts w:hint="eastAsia" w:ascii="宋体" w:hAnsi="宋体" w:cs="宋体"/>
                <w:szCs w:val="18"/>
                <w:vertAlign w:val="subscript"/>
              </w:rPr>
              <w:t>50</w:t>
            </w:r>
            <w:r>
              <w:rPr>
                <w:rFonts w:hint="eastAsia" w:ascii="宋体" w:hAnsi="宋体" w:cs="宋体"/>
                <w:szCs w:val="18"/>
              </w:rPr>
              <w:t xml:space="preserve">≤45 </w:t>
            </w:r>
            <w:r>
              <w:rPr>
                <w:szCs w:val="18"/>
              </w:rPr>
              <w:t>μm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vAlign w:val="center"/>
          </w:tcPr>
          <w:p>
            <w:pPr>
              <w:spacing w:line="360" w:lineRule="auto"/>
              <w:jc w:val="center"/>
              <w:rPr>
                <w:rFonts w:ascii="宋体" w:hAnsi="宋体"/>
              </w:rPr>
            </w:pPr>
            <w:r>
              <w:rPr>
                <w:rFonts w:hint="eastAsia" w:ascii="宋体" w:hAnsi="宋体" w:cs="宋体"/>
                <w:color w:val="000000"/>
                <w:szCs w:val="18"/>
              </w:rPr>
              <w:t>Ⅱ类</w:t>
            </w:r>
          </w:p>
        </w:tc>
        <w:tc>
          <w:tcPr>
            <w:tcW w:w="1843" w:type="dxa"/>
            <w:vAlign w:val="center"/>
          </w:tcPr>
          <w:p>
            <w:pPr>
              <w:jc w:val="center"/>
              <w:rPr>
                <w:rFonts w:ascii="宋体" w:hAnsi="宋体"/>
              </w:rPr>
            </w:pPr>
            <w:r>
              <w:rPr>
                <w:rFonts w:hint="eastAsia" w:ascii="宋体" w:hAnsi="宋体" w:cs="宋体"/>
                <w:szCs w:val="18"/>
              </w:rPr>
              <w:t xml:space="preserve">45 </w:t>
            </w:r>
            <w:r>
              <w:rPr>
                <w:szCs w:val="18"/>
              </w:rPr>
              <w:t>μm</w:t>
            </w:r>
            <w:r>
              <w:rPr>
                <w:rFonts w:hint="eastAsia" w:ascii="F-BZ9-PK7483cb-Identity-H" w:eastAsia="F-BZ9-PK7483cb-Identity-H" w:cs="F-BZ9-PK7483cb-Identity-H"/>
                <w:kern w:val="0"/>
                <w:szCs w:val="21"/>
              </w:rPr>
              <w:t>～</w:t>
            </w:r>
            <w:r>
              <w:rPr>
                <w:rFonts w:hint="eastAsia" w:ascii="宋体" w:hAnsi="宋体" w:cs="宋体"/>
                <w:szCs w:val="18"/>
              </w:rPr>
              <w:t xml:space="preserve">150 </w:t>
            </w:r>
            <w:r>
              <w:rPr>
                <w:szCs w:val="18"/>
              </w:rPr>
              <w:t>μm</w:t>
            </w:r>
          </w:p>
        </w:tc>
        <w:tc>
          <w:tcPr>
            <w:tcW w:w="2580" w:type="dxa"/>
            <w:vAlign w:val="center"/>
          </w:tcPr>
          <w:p>
            <w:pPr>
              <w:jc w:val="center"/>
              <w:rPr>
                <w:rFonts w:ascii="宋体" w:hAnsi="宋体" w:cs="宋体"/>
                <w:szCs w:val="18"/>
              </w:rPr>
            </w:pPr>
            <w:r>
              <w:rPr>
                <w:rFonts w:hint="eastAsia" w:ascii="宋体" w:hAnsi="宋体" w:cs="宋体"/>
                <w:szCs w:val="18"/>
              </w:rPr>
              <w:t xml:space="preserve">≤45 </w:t>
            </w:r>
            <w:r>
              <w:rPr>
                <w:szCs w:val="18"/>
              </w:rPr>
              <w:t>μm</w:t>
            </w:r>
            <w:r>
              <w:rPr>
                <w:rFonts w:hint="eastAsia" w:ascii="宋体" w:hAnsi="宋体" w:cs="宋体"/>
                <w:szCs w:val="18"/>
              </w:rPr>
              <w:t xml:space="preserve"> 不大于5%，</w:t>
            </w:r>
          </w:p>
          <w:p>
            <w:pPr>
              <w:jc w:val="center"/>
              <w:rPr>
                <w:rFonts w:ascii="宋体" w:hAnsi="宋体"/>
              </w:rPr>
            </w:pPr>
            <w:r>
              <w:rPr>
                <w:rFonts w:hint="eastAsia" w:ascii="宋体" w:hAnsi="宋体" w:cs="宋体"/>
                <w:szCs w:val="18"/>
              </w:rPr>
              <w:t xml:space="preserve">＞150 </w:t>
            </w:r>
            <w:r>
              <w:rPr>
                <w:szCs w:val="18"/>
              </w:rPr>
              <w:t>μm</w:t>
            </w:r>
            <w:r>
              <w:rPr>
                <w:rFonts w:hint="eastAsia" w:ascii="宋体" w:hAnsi="宋体" w:cs="宋体"/>
                <w:szCs w:val="18"/>
              </w:rPr>
              <w:t xml:space="preserve"> 不大于5%</w:t>
            </w:r>
          </w:p>
        </w:tc>
        <w:tc>
          <w:tcPr>
            <w:tcW w:w="2807" w:type="dxa"/>
            <w:vAlign w:val="center"/>
          </w:tcPr>
          <w:p>
            <w:pPr>
              <w:jc w:val="center"/>
            </w:pPr>
            <w:r>
              <w:rPr>
                <w:rFonts w:hint="eastAsia" w:ascii="宋体" w:hAnsi="宋体" w:cs="宋体"/>
                <w:szCs w:val="18"/>
              </w:rPr>
              <w:t xml:space="preserve">3 </w:t>
            </w:r>
            <w:r>
              <w:rPr>
                <w:szCs w:val="18"/>
              </w:rPr>
              <w:t>μm</w:t>
            </w:r>
            <w:r>
              <w:rPr>
                <w:rFonts w:hint="eastAsia" w:ascii="宋体" w:hAnsi="宋体" w:cs="宋体"/>
                <w:szCs w:val="18"/>
              </w:rPr>
              <w:t xml:space="preserve"> ≤D</w:t>
            </w:r>
            <w:r>
              <w:rPr>
                <w:rFonts w:hint="eastAsia" w:ascii="宋体" w:hAnsi="宋体" w:cs="宋体"/>
                <w:szCs w:val="18"/>
                <w:vertAlign w:val="subscript"/>
              </w:rPr>
              <w:t>50</w:t>
            </w:r>
            <w:r>
              <w:rPr>
                <w:rFonts w:hint="eastAsia" w:ascii="宋体" w:hAnsi="宋体" w:cs="宋体"/>
                <w:szCs w:val="18"/>
              </w:rPr>
              <w:t xml:space="preserve">≤105 </w:t>
            </w:r>
            <w:r>
              <w:rPr>
                <w:szCs w:val="18"/>
              </w:rPr>
              <w:t>μm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3" w:type="dxa"/>
            <w:vAlign w:val="center"/>
          </w:tcPr>
          <w:p>
            <w:pPr>
              <w:spacing w:line="360" w:lineRule="auto"/>
              <w:jc w:val="center"/>
              <w:rPr>
                <w:rFonts w:ascii="宋体" w:hAnsi="宋体"/>
              </w:rPr>
            </w:pPr>
            <w:r>
              <w:rPr>
                <w:rFonts w:hint="eastAsia" w:ascii="宋体" w:hAnsi="宋体" w:cs="宋体"/>
                <w:color w:val="000000"/>
                <w:szCs w:val="18"/>
              </w:rPr>
              <w:t>Ⅲ类</w:t>
            </w:r>
          </w:p>
        </w:tc>
        <w:tc>
          <w:tcPr>
            <w:tcW w:w="1843" w:type="dxa"/>
            <w:vAlign w:val="center"/>
          </w:tcPr>
          <w:p>
            <w:pPr>
              <w:jc w:val="center"/>
              <w:rPr>
                <w:rFonts w:ascii="宋体" w:hAnsi="宋体"/>
              </w:rPr>
            </w:pPr>
            <w:r>
              <w:rPr>
                <w:rFonts w:hint="eastAsia" w:ascii="宋体" w:hAnsi="宋体" w:cs="宋体"/>
                <w:szCs w:val="18"/>
              </w:rPr>
              <w:t xml:space="preserve">30 </w:t>
            </w:r>
            <w:r>
              <w:rPr>
                <w:szCs w:val="18"/>
              </w:rPr>
              <w:t>μm</w:t>
            </w:r>
            <w:r>
              <w:rPr>
                <w:rFonts w:hint="eastAsia" w:ascii="F-BZ9-PK7483cb-Identity-H" w:eastAsia="F-BZ9-PK7483cb-Identity-H" w:cs="F-BZ9-PK7483cb-Identity-H"/>
                <w:kern w:val="0"/>
                <w:szCs w:val="21"/>
              </w:rPr>
              <w:t>～</w:t>
            </w:r>
            <w:r>
              <w:rPr>
                <w:rFonts w:hint="eastAsia" w:ascii="宋体" w:hAnsi="宋体" w:cs="宋体"/>
                <w:szCs w:val="18"/>
              </w:rPr>
              <w:t xml:space="preserve">250 </w:t>
            </w:r>
            <w:r>
              <w:rPr>
                <w:szCs w:val="18"/>
              </w:rPr>
              <w:t>μm</w:t>
            </w:r>
          </w:p>
        </w:tc>
        <w:tc>
          <w:tcPr>
            <w:tcW w:w="2580" w:type="dxa"/>
            <w:vAlign w:val="center"/>
          </w:tcPr>
          <w:p>
            <w:pPr>
              <w:jc w:val="center"/>
              <w:rPr>
                <w:rFonts w:ascii="宋体" w:hAnsi="宋体" w:cs="宋体"/>
                <w:szCs w:val="18"/>
              </w:rPr>
            </w:pPr>
            <w:r>
              <w:rPr>
                <w:rFonts w:hint="eastAsia" w:ascii="宋体" w:hAnsi="宋体" w:cs="宋体"/>
                <w:szCs w:val="18"/>
              </w:rPr>
              <w:t xml:space="preserve">≤30 </w:t>
            </w:r>
            <w:r>
              <w:rPr>
                <w:szCs w:val="18"/>
              </w:rPr>
              <w:t>μm</w:t>
            </w:r>
            <w:r>
              <w:rPr>
                <w:rFonts w:hint="eastAsia" w:ascii="宋体" w:hAnsi="宋体" w:cs="宋体"/>
                <w:szCs w:val="18"/>
              </w:rPr>
              <w:t>不大于5%，</w:t>
            </w:r>
          </w:p>
          <w:p>
            <w:pPr>
              <w:jc w:val="center"/>
              <w:rPr>
                <w:rFonts w:ascii="宋体" w:hAnsi="宋体"/>
              </w:rPr>
            </w:pPr>
            <w:r>
              <w:rPr>
                <w:rFonts w:hint="eastAsia" w:ascii="宋体" w:hAnsi="宋体" w:cs="宋体"/>
                <w:szCs w:val="18"/>
              </w:rPr>
              <w:t xml:space="preserve">＞250 </w:t>
            </w:r>
            <w:r>
              <w:rPr>
                <w:szCs w:val="18"/>
              </w:rPr>
              <w:t>μm</w:t>
            </w:r>
            <w:r>
              <w:rPr>
                <w:rFonts w:hint="eastAsia" w:ascii="宋体" w:hAnsi="宋体" w:cs="宋体"/>
                <w:szCs w:val="18"/>
              </w:rPr>
              <w:t xml:space="preserve"> 不大于5%</w:t>
            </w:r>
          </w:p>
        </w:tc>
        <w:tc>
          <w:tcPr>
            <w:tcW w:w="2807" w:type="dxa"/>
            <w:vAlign w:val="center"/>
          </w:tcPr>
          <w:p>
            <w:pPr>
              <w:jc w:val="center"/>
            </w:pPr>
            <w:r>
              <w:rPr>
                <w:rFonts w:hint="eastAsia" w:ascii="宋体" w:hAnsi="宋体" w:cs="宋体"/>
                <w:szCs w:val="18"/>
              </w:rPr>
              <w:t xml:space="preserve">53 </w:t>
            </w:r>
            <w:r>
              <w:rPr>
                <w:szCs w:val="18"/>
              </w:rPr>
              <w:t>μm</w:t>
            </w:r>
            <w:r>
              <w:rPr>
                <w:rFonts w:hint="eastAsia" w:ascii="宋体" w:hAnsi="宋体" w:cs="宋体"/>
                <w:szCs w:val="18"/>
              </w:rPr>
              <w:t>≤D</w:t>
            </w:r>
            <w:r>
              <w:rPr>
                <w:rFonts w:hint="eastAsia" w:ascii="宋体" w:hAnsi="宋体" w:cs="宋体"/>
                <w:szCs w:val="18"/>
                <w:vertAlign w:val="subscript"/>
              </w:rPr>
              <w:t>50</w:t>
            </w:r>
            <w:r>
              <w:rPr>
                <w:rFonts w:hint="eastAsia" w:ascii="宋体" w:hAnsi="宋体" w:cs="宋体"/>
                <w:szCs w:val="18"/>
              </w:rPr>
              <w:t xml:space="preserve">≤212 </w:t>
            </w:r>
            <w:r>
              <w:rPr>
                <w:szCs w:val="18"/>
              </w:rPr>
              <w:t>μm</w:t>
            </w:r>
          </w:p>
        </w:tc>
      </w:tr>
    </w:tbl>
    <w:p>
      <w:pPr>
        <w:pStyle w:val="36"/>
        <w:tabs>
          <w:tab w:val="center" w:pos="4201"/>
          <w:tab w:val="right" w:leader="dot" w:pos="9298"/>
        </w:tabs>
        <w:spacing w:line="360" w:lineRule="auto"/>
        <w:ind w:firstLine="0" w:firstLineChars="0"/>
        <w:rPr>
          <w:rFonts w:eastAsia="黑体" w:cs="黑体"/>
          <w:sz w:val="24"/>
        </w:rPr>
      </w:pPr>
    </w:p>
    <w:p>
      <w:pPr>
        <w:pStyle w:val="36"/>
        <w:tabs>
          <w:tab w:val="center" w:pos="4201"/>
          <w:tab w:val="right" w:leader="dot" w:pos="9298"/>
        </w:tabs>
        <w:spacing w:line="360" w:lineRule="auto"/>
        <w:ind w:firstLine="0" w:firstLineChars="0"/>
        <w:rPr>
          <w:rFonts w:eastAsia="黑体" w:cs="黑体"/>
          <w:sz w:val="24"/>
        </w:rPr>
      </w:pPr>
      <w:r>
        <w:rPr>
          <w:rFonts w:hint="eastAsia" w:eastAsia="黑体" w:cs="黑体"/>
          <w:sz w:val="24"/>
        </w:rPr>
        <w:t>2.2.2.  松装密度</w:t>
      </w:r>
    </w:p>
    <w:p>
      <w:pPr>
        <w:spacing w:line="360" w:lineRule="auto"/>
        <w:ind w:firstLine="480" w:firstLineChars="200"/>
        <w:rPr>
          <w:sz w:val="24"/>
        </w:rPr>
      </w:pPr>
      <w:r>
        <w:rPr>
          <w:rFonts w:hint="eastAsia"/>
          <w:sz w:val="24"/>
        </w:rPr>
        <w:t>粉末松装密度是粉末在规定条件下自由充满标准容器后所测得的堆积密度，即粉末松散填装时单位体积的质量，是粉末的一种工艺性能。松装密度是粉末多种性能的综合体现，可以反映出粉末的密度、颗粒形状、颗粒表面状态、颗粒的粒度及粒度分布等，对产品生产工艺的稳定性以及产品质量的控制都有重要的影响。通常情况下，粉末颗粒形状越规则、颗粒表面越光滑、颗粒越致密，粉末的松装密度会越大。</w:t>
      </w:r>
    </w:p>
    <w:p>
      <w:pPr>
        <w:spacing w:line="360" w:lineRule="auto"/>
        <w:ind w:firstLine="480" w:firstLineChars="200"/>
        <w:rPr>
          <w:sz w:val="24"/>
        </w:rPr>
      </w:pPr>
      <w:r>
        <w:rPr>
          <w:rFonts w:hint="eastAsia"/>
          <w:sz w:val="24"/>
        </w:rPr>
        <w:t>不利于增材制造工艺钨及钨合金粉的松装密度一般小于9.0g/cm</w:t>
      </w:r>
      <w:r>
        <w:rPr>
          <w:rFonts w:hint="eastAsia"/>
          <w:sz w:val="24"/>
          <w:vertAlign w:val="superscript"/>
        </w:rPr>
        <w:t>3</w:t>
      </w:r>
      <w:r>
        <w:rPr>
          <w:rFonts w:hint="eastAsia"/>
          <w:sz w:val="24"/>
        </w:rPr>
        <w:t>，适用于增材制造工艺的粉末松装密度一般要求大于9.0g/cm</w:t>
      </w:r>
      <w:r>
        <w:rPr>
          <w:rFonts w:hint="eastAsia"/>
          <w:sz w:val="24"/>
          <w:vertAlign w:val="superscript"/>
        </w:rPr>
        <w:t>3</w:t>
      </w:r>
      <w:r>
        <w:rPr>
          <w:rFonts w:hint="eastAsia"/>
          <w:sz w:val="24"/>
        </w:rPr>
        <w:t>。本标准为了确保钨及钨合金粉适用于增材制造快速成型，本标准根据增材制造成形方式不同规定了三类钨及钨合金粉末的松装密度应不小于9.5g/cm</w:t>
      </w:r>
      <w:r>
        <w:rPr>
          <w:rFonts w:hint="eastAsia"/>
          <w:sz w:val="24"/>
          <w:vertAlign w:val="superscript"/>
        </w:rPr>
        <w:t>3</w:t>
      </w:r>
      <w:r>
        <w:rPr>
          <w:rFonts w:hint="eastAsia"/>
          <w:sz w:val="24"/>
        </w:rPr>
        <w:t>，具体要求见表6。</w:t>
      </w:r>
    </w:p>
    <w:p>
      <w:pPr>
        <w:pStyle w:val="2"/>
      </w:pPr>
    </w:p>
    <w:p>
      <w:pPr>
        <w:pStyle w:val="41"/>
        <w:numPr>
          <w:ilvl w:val="0"/>
          <w:numId w:val="0"/>
        </w:numPr>
        <w:spacing w:beforeLines="0" w:afterLines="0" w:line="360" w:lineRule="auto"/>
        <w:rPr>
          <w:rFonts w:hAnsi="黑体" w:cs="黑体"/>
        </w:rPr>
      </w:pPr>
      <w:r>
        <w:rPr>
          <w:rFonts w:hint="eastAsia" w:hAnsi="黑体" w:cs="黑体"/>
          <w:sz w:val="24"/>
          <w:szCs w:val="24"/>
        </w:rPr>
        <w:t>表6  产品的松装密度要求</w:t>
      </w:r>
    </w:p>
    <w:tbl>
      <w:tblPr>
        <w:tblStyle w:val="12"/>
        <w:tblW w:w="62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170"/>
        <w:gridCol w:w="1213"/>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860"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分类</w:t>
            </w:r>
          </w:p>
        </w:tc>
        <w:tc>
          <w:tcPr>
            <w:tcW w:w="1170" w:type="dxa"/>
            <w:vAlign w:val="center"/>
          </w:tcPr>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粒度</w:t>
            </w:r>
          </w:p>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范围/μm</w:t>
            </w:r>
          </w:p>
        </w:tc>
        <w:tc>
          <w:tcPr>
            <w:tcW w:w="1213"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牌号</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松装密度（</w:t>
            </w:r>
            <w:r>
              <w:rPr>
                <w:rFonts w:ascii="宋体" w:hAnsi="宋体" w:cs="宋体"/>
                <w:color w:val="000000"/>
                <w:sz w:val="20"/>
                <w:szCs w:val="18"/>
              </w:rPr>
              <w:t>g/cm</w:t>
            </w:r>
            <w:r>
              <w:rPr>
                <w:rFonts w:ascii="宋体" w:hAnsi="宋体" w:cs="宋体"/>
                <w:color w:val="000000"/>
                <w:sz w:val="20"/>
                <w:szCs w:val="18"/>
                <w:vertAlign w:val="superscript"/>
              </w:rPr>
              <w:t>3</w:t>
            </w:r>
            <w:r>
              <w:rPr>
                <w:rFonts w:hint="eastAsia" w:ascii="宋体" w:hAnsi="宋体" w:cs="宋体"/>
                <w:color w:val="000000"/>
                <w:sz w:val="20"/>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Ⅰ类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0～63</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Ⅱ类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45～150</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Ⅲ类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30-250</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302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w:t>
            </w:r>
          </w:p>
        </w:tc>
      </w:tr>
    </w:tbl>
    <w:p>
      <w:pPr>
        <w:spacing w:line="360" w:lineRule="auto"/>
        <w:ind w:firstLine="480" w:firstLineChars="200"/>
        <w:rPr>
          <w:sz w:val="24"/>
        </w:rPr>
      </w:pPr>
      <w:r>
        <w:rPr>
          <w:rFonts w:hint="eastAsia"/>
          <w:sz w:val="24"/>
        </w:rPr>
        <w:t>松装密度检测按照GB/T1479.1《金属粉末 松装密度的测定 第1部分：漏斗法》的规定执行。</w:t>
      </w:r>
    </w:p>
    <w:p>
      <w:pPr>
        <w:pStyle w:val="41"/>
        <w:numPr>
          <w:ilvl w:val="0"/>
          <w:numId w:val="0"/>
        </w:numPr>
        <w:tabs>
          <w:tab w:val="left" w:pos="971"/>
          <w:tab w:val="clear" w:pos="360"/>
        </w:tabs>
        <w:spacing w:beforeLines="0" w:afterLines="0" w:line="360" w:lineRule="auto"/>
        <w:jc w:val="both"/>
        <w:rPr>
          <w:rFonts w:cs="黑体"/>
          <w:sz w:val="24"/>
        </w:rPr>
      </w:pPr>
    </w:p>
    <w:p>
      <w:pPr>
        <w:pStyle w:val="41"/>
        <w:numPr>
          <w:ilvl w:val="0"/>
          <w:numId w:val="0"/>
        </w:numPr>
        <w:spacing w:beforeLines="0" w:afterLines="0" w:line="360" w:lineRule="auto"/>
        <w:jc w:val="both"/>
        <w:rPr>
          <w:rFonts w:cs="黑体"/>
          <w:sz w:val="24"/>
        </w:rPr>
      </w:pPr>
      <w:r>
        <w:rPr>
          <w:rFonts w:hint="eastAsia" w:cs="黑体"/>
          <w:sz w:val="24"/>
        </w:rPr>
        <w:t>2.2.3.振实密度</w:t>
      </w:r>
    </w:p>
    <w:p>
      <w:pPr>
        <w:pStyle w:val="2"/>
        <w:spacing w:line="360" w:lineRule="auto"/>
        <w:ind w:firstLine="480" w:firstLineChars="200"/>
        <w:rPr>
          <w:rFonts w:cs="宋体"/>
          <w:b w:val="0"/>
          <w:bCs w:val="0"/>
          <w:sz w:val="24"/>
        </w:rPr>
      </w:pPr>
      <w:r>
        <w:rPr>
          <w:rFonts w:hint="eastAsia" w:cs="宋体"/>
          <w:b w:val="0"/>
          <w:bCs w:val="0"/>
          <w:sz w:val="24"/>
        </w:rPr>
        <w:t>振实密度是粉末在容器中经过机械振动达到较理想排列状态的粉末集体密度，其相对于松装密度增大的百分数是粉末多种物理性能，如粉末粒度及其分布、颗粒形状及其表面粗糙度、比表面积等的综合体现。一般来说，振实密度越大，说明粉末的流动性能越好。结合实际增材制造工艺要求，本标准根据增材制造成形方式不同规定了三类钨及钨合金粉的振实密度应不小于11.5g/cm</w:t>
      </w:r>
      <w:r>
        <w:rPr>
          <w:rFonts w:hint="eastAsia" w:cs="宋体"/>
          <w:b w:val="0"/>
          <w:bCs w:val="0"/>
          <w:sz w:val="24"/>
          <w:vertAlign w:val="superscript"/>
        </w:rPr>
        <w:t>3</w:t>
      </w:r>
      <w:r>
        <w:rPr>
          <w:rFonts w:hint="eastAsia" w:cs="宋体"/>
          <w:b w:val="0"/>
          <w:bCs w:val="0"/>
          <w:sz w:val="24"/>
        </w:rPr>
        <w:t>，具体要求见表7。</w:t>
      </w:r>
    </w:p>
    <w:p>
      <w:pPr>
        <w:pStyle w:val="2"/>
        <w:spacing w:line="360" w:lineRule="auto"/>
        <w:ind w:firstLine="480" w:firstLineChars="200"/>
        <w:rPr>
          <w:rFonts w:cs="宋体"/>
          <w:b w:val="0"/>
          <w:bCs w:val="0"/>
          <w:sz w:val="24"/>
        </w:rPr>
      </w:pPr>
    </w:p>
    <w:p>
      <w:pPr>
        <w:pStyle w:val="2"/>
        <w:spacing w:line="360" w:lineRule="auto"/>
        <w:ind w:firstLine="480" w:firstLineChars="200"/>
        <w:rPr>
          <w:rFonts w:cs="宋体"/>
          <w:b w:val="0"/>
          <w:bCs w:val="0"/>
          <w:sz w:val="24"/>
        </w:rPr>
      </w:pPr>
    </w:p>
    <w:p>
      <w:pPr>
        <w:pStyle w:val="2"/>
        <w:spacing w:line="360" w:lineRule="auto"/>
        <w:ind w:firstLine="480" w:firstLineChars="200"/>
        <w:rPr>
          <w:rFonts w:cs="宋体"/>
          <w:b w:val="0"/>
          <w:bCs w:val="0"/>
          <w:sz w:val="24"/>
        </w:rPr>
      </w:pPr>
    </w:p>
    <w:p>
      <w:pPr>
        <w:pStyle w:val="2"/>
        <w:spacing w:line="360" w:lineRule="auto"/>
        <w:ind w:firstLine="480" w:firstLineChars="200"/>
        <w:rPr>
          <w:rFonts w:cs="宋体"/>
          <w:b w:val="0"/>
          <w:bCs w:val="0"/>
          <w:sz w:val="24"/>
        </w:rPr>
      </w:pPr>
    </w:p>
    <w:p>
      <w:pPr>
        <w:pStyle w:val="41"/>
        <w:numPr>
          <w:ilvl w:val="0"/>
          <w:numId w:val="0"/>
        </w:numPr>
        <w:spacing w:beforeLines="0" w:afterLines="0" w:line="360" w:lineRule="auto"/>
        <w:rPr>
          <w:rFonts w:hAnsi="黑体" w:cs="黑体"/>
          <w:sz w:val="24"/>
          <w:szCs w:val="24"/>
        </w:rPr>
      </w:pPr>
      <w:r>
        <w:rPr>
          <w:rFonts w:hint="eastAsia" w:hAnsi="黑体" w:cs="黑体"/>
          <w:sz w:val="24"/>
          <w:szCs w:val="24"/>
        </w:rPr>
        <w:t>表7  产品的振实密度要求</w:t>
      </w:r>
    </w:p>
    <w:tbl>
      <w:tblPr>
        <w:tblStyle w:val="12"/>
        <w:tblW w:w="62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588"/>
        <w:gridCol w:w="1275"/>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860"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分类</w:t>
            </w:r>
          </w:p>
        </w:tc>
        <w:tc>
          <w:tcPr>
            <w:tcW w:w="1588" w:type="dxa"/>
            <w:vAlign w:val="center"/>
          </w:tcPr>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粒度范围/μm</w:t>
            </w:r>
          </w:p>
        </w:tc>
        <w:tc>
          <w:tcPr>
            <w:tcW w:w="127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牌号</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振实密度（</w:t>
            </w:r>
            <w:r>
              <w:rPr>
                <w:rFonts w:ascii="宋体" w:hAnsi="宋体" w:cs="宋体"/>
                <w:color w:val="000000"/>
                <w:sz w:val="20"/>
                <w:szCs w:val="18"/>
              </w:rPr>
              <w:t>g/cm</w:t>
            </w:r>
            <w:r>
              <w:rPr>
                <w:rFonts w:ascii="宋体" w:hAnsi="宋体" w:cs="宋体"/>
                <w:color w:val="000000"/>
                <w:sz w:val="20"/>
                <w:szCs w:val="18"/>
                <w:vertAlign w:val="superscript"/>
              </w:rPr>
              <w:t>3</w:t>
            </w:r>
            <w:r>
              <w:rPr>
                <w:rFonts w:hint="eastAsia" w:ascii="宋体" w:hAnsi="宋体" w:cs="宋体"/>
                <w:color w:val="000000"/>
                <w:sz w:val="20"/>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Ⅰ类</w:t>
            </w:r>
          </w:p>
        </w:tc>
        <w:tc>
          <w:tcPr>
            <w:tcW w:w="1588"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0～63</w:t>
            </w:r>
          </w:p>
        </w:tc>
        <w:tc>
          <w:tcPr>
            <w:tcW w:w="1275"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Ⅱ类</w:t>
            </w:r>
          </w:p>
        </w:tc>
        <w:tc>
          <w:tcPr>
            <w:tcW w:w="1588"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45～150</w:t>
            </w:r>
          </w:p>
        </w:tc>
        <w:tc>
          <w:tcPr>
            <w:tcW w:w="1275"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Ⅲ类</w:t>
            </w:r>
          </w:p>
        </w:tc>
        <w:tc>
          <w:tcPr>
            <w:tcW w:w="1588"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30-250</w:t>
            </w:r>
          </w:p>
        </w:tc>
        <w:tc>
          <w:tcPr>
            <w:tcW w:w="1275"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w:t>
            </w:r>
          </w:p>
        </w:tc>
      </w:tr>
    </w:tbl>
    <w:p>
      <w:pPr>
        <w:pStyle w:val="2"/>
        <w:spacing w:line="360" w:lineRule="auto"/>
        <w:rPr>
          <w:rFonts w:eastAsia="黑体" w:cs="黑体"/>
          <w:b w:val="0"/>
          <w:bCs w:val="0"/>
          <w:sz w:val="24"/>
        </w:rPr>
      </w:pPr>
    </w:p>
    <w:p>
      <w:pPr>
        <w:pStyle w:val="2"/>
        <w:spacing w:line="360" w:lineRule="auto"/>
        <w:rPr>
          <w:rFonts w:eastAsia="黑体" w:cs="黑体"/>
          <w:color w:val="333333"/>
          <w:sz w:val="24"/>
        </w:rPr>
      </w:pPr>
      <w:r>
        <w:rPr>
          <w:rFonts w:hint="eastAsia" w:eastAsia="黑体" w:cs="黑体"/>
          <w:b w:val="0"/>
          <w:bCs w:val="0"/>
          <w:sz w:val="24"/>
        </w:rPr>
        <w:t>2.2.4.流动性</w:t>
      </w:r>
    </w:p>
    <w:p>
      <w:pPr>
        <w:pStyle w:val="2"/>
        <w:spacing w:line="360" w:lineRule="auto"/>
        <w:ind w:firstLine="480" w:firstLineChars="200"/>
        <w:rPr>
          <w:rFonts w:cs="宋体"/>
          <w:b w:val="0"/>
          <w:bCs w:val="0"/>
          <w:sz w:val="24"/>
        </w:rPr>
      </w:pPr>
      <w:r>
        <w:rPr>
          <w:rFonts w:cs="宋体"/>
          <w:b w:val="0"/>
          <w:bCs w:val="0"/>
          <w:sz w:val="24"/>
        </w:rPr>
        <w:t>粉末流动性是指以一定量粉末流过规定孔径的标准漏斗所需要的时间来表示，通常采用的单位为s/50g，其数值愈小说明该粉末的流动性愈好，它是粉末的一种工艺性能。粉末流动性能与很多因素有关，如粉末颗粒尺寸、形状和粗糙度、比表面等。一般地说，增加颗粒间的摩擦系数会使粉末流动困难。通常球形颗粒的粉末流动性最好，而颗粒形状不规则、尺寸小、表面粗糙的粉末，其流动性差。</w:t>
      </w:r>
      <w:r>
        <w:rPr>
          <w:rFonts w:hint="eastAsia" w:cs="宋体"/>
          <w:b w:val="0"/>
          <w:bCs w:val="0"/>
          <w:sz w:val="24"/>
        </w:rPr>
        <w:t>另外，粉末流动性受颗粒间粘附作用的影响，颗粒表面水分、气体等的吸附会降低粉末的流动性。粉末的流动性对增材制造成形工艺影响很大。本标准规定了用于不同增材制造成形方式的五类球形钨及钨合金粉的流动性能(霍尔流速)不大于6.0s/50g。具体要求见表8。</w:t>
      </w:r>
    </w:p>
    <w:p>
      <w:pPr>
        <w:pStyle w:val="2"/>
        <w:spacing w:line="360" w:lineRule="auto"/>
        <w:ind w:firstLine="480" w:firstLineChars="200"/>
        <w:rPr>
          <w:rFonts w:cs="宋体"/>
          <w:b w:val="0"/>
          <w:bCs w:val="0"/>
          <w:sz w:val="24"/>
        </w:rPr>
      </w:pPr>
    </w:p>
    <w:p>
      <w:pPr>
        <w:pStyle w:val="41"/>
        <w:numPr>
          <w:ilvl w:val="0"/>
          <w:numId w:val="0"/>
        </w:numPr>
        <w:spacing w:beforeLines="0" w:afterLines="0" w:line="360" w:lineRule="auto"/>
        <w:rPr>
          <w:rFonts w:hAnsi="黑体" w:cs="黑体"/>
          <w:sz w:val="24"/>
          <w:szCs w:val="24"/>
        </w:rPr>
      </w:pPr>
      <w:r>
        <w:rPr>
          <w:rFonts w:hint="eastAsia" w:hAnsi="黑体" w:cs="黑体"/>
          <w:sz w:val="24"/>
          <w:szCs w:val="24"/>
        </w:rPr>
        <w:t>表8  产品的流动性要求</w:t>
      </w:r>
    </w:p>
    <w:tbl>
      <w:tblPr>
        <w:tblStyle w:val="12"/>
        <w:tblW w:w="62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588"/>
        <w:gridCol w:w="1275"/>
        <w:gridCol w:w="2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jc w:val="center"/>
        </w:trPr>
        <w:tc>
          <w:tcPr>
            <w:tcW w:w="860"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分类</w:t>
            </w:r>
          </w:p>
        </w:tc>
        <w:tc>
          <w:tcPr>
            <w:tcW w:w="1588" w:type="dxa"/>
            <w:vAlign w:val="center"/>
          </w:tcPr>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粒度范围/μm</w:t>
            </w:r>
          </w:p>
        </w:tc>
        <w:tc>
          <w:tcPr>
            <w:tcW w:w="127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牌号</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流动性（s/50g）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Ⅰ类</w:t>
            </w:r>
          </w:p>
        </w:tc>
        <w:tc>
          <w:tcPr>
            <w:tcW w:w="1588"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0～63</w:t>
            </w:r>
          </w:p>
        </w:tc>
        <w:tc>
          <w:tcPr>
            <w:tcW w:w="1275"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Ⅱ类</w:t>
            </w:r>
          </w:p>
        </w:tc>
        <w:tc>
          <w:tcPr>
            <w:tcW w:w="1588"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45～150</w:t>
            </w:r>
          </w:p>
        </w:tc>
        <w:tc>
          <w:tcPr>
            <w:tcW w:w="1275"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Ⅲ类</w:t>
            </w:r>
          </w:p>
        </w:tc>
        <w:tc>
          <w:tcPr>
            <w:tcW w:w="1588"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30-250</w:t>
            </w:r>
          </w:p>
        </w:tc>
        <w:tc>
          <w:tcPr>
            <w:tcW w:w="1275"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588" w:type="dxa"/>
            <w:vMerge w:val="continue"/>
            <w:vAlign w:val="center"/>
          </w:tcPr>
          <w:p>
            <w:pPr>
              <w:spacing w:line="360" w:lineRule="auto"/>
              <w:jc w:val="center"/>
              <w:rPr>
                <w:rFonts w:ascii="宋体" w:hAnsi="宋体" w:cs="宋体"/>
                <w:color w:val="000000"/>
                <w:sz w:val="20"/>
                <w:szCs w:val="18"/>
              </w:rPr>
            </w:pPr>
          </w:p>
        </w:tc>
        <w:tc>
          <w:tcPr>
            <w:tcW w:w="1275"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2542"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≤6.0</w:t>
            </w:r>
          </w:p>
        </w:tc>
      </w:tr>
    </w:tbl>
    <w:p>
      <w:pPr>
        <w:pStyle w:val="36"/>
        <w:ind w:firstLine="420"/>
      </w:pPr>
    </w:p>
    <w:p>
      <w:pPr>
        <w:pStyle w:val="2"/>
        <w:spacing w:line="360" w:lineRule="auto"/>
        <w:rPr>
          <w:rFonts w:eastAsia="黑体" w:cs="黑体"/>
          <w:b w:val="0"/>
          <w:bCs w:val="0"/>
          <w:sz w:val="24"/>
        </w:rPr>
      </w:pPr>
      <w:r>
        <w:rPr>
          <w:rFonts w:hint="eastAsia" w:eastAsia="黑体" w:cs="黑体"/>
          <w:b w:val="0"/>
          <w:bCs w:val="0"/>
          <w:sz w:val="24"/>
        </w:rPr>
        <w:t>2.3.外观质量</w:t>
      </w:r>
    </w:p>
    <w:p>
      <w:pPr>
        <w:pStyle w:val="2"/>
        <w:spacing w:line="360" w:lineRule="auto"/>
        <w:ind w:firstLine="480" w:firstLineChars="200"/>
        <w:rPr>
          <w:rFonts w:cs="宋体"/>
          <w:b w:val="0"/>
          <w:bCs w:val="0"/>
          <w:sz w:val="24"/>
        </w:rPr>
      </w:pPr>
      <w:r>
        <w:rPr>
          <w:rFonts w:hint="eastAsia" w:cs="宋体"/>
          <w:b w:val="0"/>
          <w:bCs w:val="0"/>
          <w:sz w:val="24"/>
        </w:rPr>
        <w:t>钨及钨合金粉的外观质量可以直观反映出粉末品质，以及是否因保存不当导致受潮或其它杂物的污染。本标准规定钨及钨合金粉产品呈银灰色，无目视可见夹杂物。</w:t>
      </w:r>
    </w:p>
    <w:p>
      <w:pPr>
        <w:pStyle w:val="2"/>
        <w:spacing w:line="360" w:lineRule="auto"/>
        <w:rPr>
          <w:rFonts w:eastAsia="黑体" w:cs="黑体"/>
          <w:b w:val="0"/>
          <w:bCs w:val="0"/>
          <w:sz w:val="24"/>
        </w:rPr>
      </w:pPr>
      <w:r>
        <w:rPr>
          <w:rFonts w:hint="eastAsia" w:eastAsia="黑体" w:cs="黑体"/>
          <w:b w:val="0"/>
          <w:bCs w:val="0"/>
          <w:sz w:val="24"/>
        </w:rPr>
        <w:t>2.4. 包装、标志、运输和贮存</w:t>
      </w:r>
    </w:p>
    <w:p>
      <w:pPr>
        <w:pStyle w:val="2"/>
        <w:spacing w:line="360" w:lineRule="auto"/>
        <w:ind w:firstLine="480" w:firstLineChars="200"/>
        <w:rPr>
          <w:b w:val="0"/>
          <w:bCs w:val="0"/>
          <w:sz w:val="24"/>
        </w:rPr>
      </w:pPr>
      <w:r>
        <w:rPr>
          <w:rFonts w:hint="eastAsia" w:cs="宋体"/>
          <w:b w:val="0"/>
          <w:bCs w:val="0"/>
          <w:sz w:val="24"/>
        </w:rPr>
        <w:t>钨及钨合金粉在包装、运输和</w:t>
      </w:r>
      <w:r>
        <w:rPr>
          <w:rFonts w:hint="eastAsia"/>
          <w:b w:val="0"/>
          <w:bCs w:val="0"/>
          <w:sz w:val="24"/>
        </w:rPr>
        <w:t>贮存过程中，尤其是小于63</w:t>
      </w:r>
      <w:r>
        <w:rPr>
          <w:b w:val="0"/>
          <w:bCs w:val="0"/>
          <w:sz w:val="24"/>
        </w:rPr>
        <w:t>μm</w:t>
      </w:r>
      <w:r>
        <w:rPr>
          <w:rFonts w:hint="eastAsia"/>
          <w:b w:val="0"/>
          <w:bCs w:val="0"/>
          <w:sz w:val="24"/>
        </w:rPr>
        <w:t>的细粉末会因强烈碰撞、挤压等原因发生起火、爆炸，且该粉末容易吸附空气中的氧、氮等气体元素使粉末性能变差。此外钨及钨合金粉也易吸附水汽而受潮使粉末品质变差。因此本标准规定：</w:t>
      </w:r>
    </w:p>
    <w:p>
      <w:pPr>
        <w:pStyle w:val="2"/>
        <w:spacing w:line="360" w:lineRule="auto"/>
        <w:rPr>
          <w:rFonts w:ascii="黑体" w:hAnsi="黑体" w:eastAsia="黑体" w:cs="黑体"/>
          <w:b w:val="0"/>
          <w:bCs w:val="0"/>
          <w:sz w:val="24"/>
        </w:rPr>
      </w:pPr>
      <w:r>
        <w:rPr>
          <w:rFonts w:hint="eastAsia" w:ascii="黑体" w:hAnsi="黑体" w:eastAsia="黑体" w:cs="黑体"/>
          <w:b w:val="0"/>
          <w:bCs w:val="0"/>
          <w:sz w:val="24"/>
        </w:rPr>
        <w:t>2.5.1. 标志</w:t>
      </w:r>
    </w:p>
    <w:p>
      <w:pPr>
        <w:pStyle w:val="2"/>
        <w:spacing w:line="360" w:lineRule="auto"/>
        <w:ind w:firstLine="480" w:firstLineChars="200"/>
        <w:rPr>
          <w:rFonts w:cs="宋体"/>
          <w:b w:val="0"/>
          <w:bCs w:val="0"/>
          <w:sz w:val="24"/>
        </w:rPr>
      </w:pPr>
      <w:r>
        <w:rPr>
          <w:rFonts w:hint="eastAsia" w:cs="宋体"/>
          <w:b w:val="0"/>
          <w:bCs w:val="0"/>
          <w:sz w:val="24"/>
        </w:rPr>
        <w:t>在包装好的产品桶上应附有标志，其上注明：</w:t>
      </w:r>
    </w:p>
    <w:p>
      <w:pPr>
        <w:pStyle w:val="2"/>
        <w:numPr>
          <w:ilvl w:val="0"/>
          <w:numId w:val="3"/>
        </w:numPr>
        <w:spacing w:line="360" w:lineRule="auto"/>
        <w:ind w:firstLine="480" w:firstLineChars="200"/>
        <w:rPr>
          <w:rFonts w:cs="宋体"/>
          <w:b w:val="0"/>
          <w:bCs w:val="0"/>
          <w:sz w:val="24"/>
        </w:rPr>
      </w:pPr>
      <w:r>
        <w:rPr>
          <w:rFonts w:hint="eastAsia" w:cs="宋体"/>
          <w:b w:val="0"/>
          <w:bCs w:val="0"/>
          <w:sz w:val="24"/>
        </w:rPr>
        <w:t>供方名称及商标；</w:t>
      </w:r>
    </w:p>
    <w:p>
      <w:pPr>
        <w:pStyle w:val="2"/>
        <w:numPr>
          <w:ilvl w:val="0"/>
          <w:numId w:val="3"/>
        </w:numPr>
        <w:spacing w:line="360" w:lineRule="auto"/>
        <w:ind w:firstLine="480" w:firstLineChars="200"/>
        <w:rPr>
          <w:rFonts w:cs="宋体"/>
          <w:b w:val="0"/>
          <w:bCs w:val="0"/>
          <w:sz w:val="24"/>
        </w:rPr>
      </w:pPr>
      <w:r>
        <w:rPr>
          <w:rFonts w:hint="eastAsia" w:cs="宋体"/>
          <w:b w:val="0"/>
          <w:bCs w:val="0"/>
          <w:sz w:val="24"/>
        </w:rPr>
        <w:t>产品名称；</w:t>
      </w:r>
    </w:p>
    <w:p>
      <w:pPr>
        <w:pStyle w:val="2"/>
        <w:numPr>
          <w:ilvl w:val="0"/>
          <w:numId w:val="3"/>
        </w:numPr>
        <w:spacing w:line="360" w:lineRule="auto"/>
        <w:ind w:firstLine="480" w:firstLineChars="200"/>
        <w:rPr>
          <w:rFonts w:cs="宋体"/>
          <w:b w:val="0"/>
          <w:bCs w:val="0"/>
          <w:sz w:val="24"/>
        </w:rPr>
      </w:pPr>
      <w:r>
        <w:rPr>
          <w:rFonts w:hint="eastAsia" w:cs="宋体"/>
          <w:b w:val="0"/>
          <w:bCs w:val="0"/>
          <w:sz w:val="24"/>
        </w:rPr>
        <w:t>牌号；</w:t>
      </w:r>
    </w:p>
    <w:p>
      <w:pPr>
        <w:pStyle w:val="2"/>
        <w:numPr>
          <w:ilvl w:val="0"/>
          <w:numId w:val="3"/>
        </w:numPr>
        <w:spacing w:line="360" w:lineRule="auto"/>
        <w:ind w:firstLine="480" w:firstLineChars="200"/>
        <w:rPr>
          <w:rFonts w:cs="宋体"/>
          <w:b w:val="0"/>
          <w:bCs w:val="0"/>
          <w:sz w:val="24"/>
        </w:rPr>
      </w:pPr>
      <w:r>
        <w:rPr>
          <w:rFonts w:hint="eastAsia" w:cs="宋体"/>
          <w:b w:val="0"/>
          <w:bCs w:val="0"/>
          <w:sz w:val="24"/>
        </w:rPr>
        <w:t>粒度范围；</w:t>
      </w:r>
    </w:p>
    <w:p>
      <w:pPr>
        <w:pStyle w:val="2"/>
        <w:numPr>
          <w:ilvl w:val="0"/>
          <w:numId w:val="3"/>
        </w:numPr>
        <w:spacing w:line="360" w:lineRule="auto"/>
        <w:ind w:firstLine="480" w:firstLineChars="200"/>
        <w:rPr>
          <w:rFonts w:cs="宋体"/>
          <w:b w:val="0"/>
          <w:bCs w:val="0"/>
          <w:sz w:val="24"/>
        </w:rPr>
      </w:pPr>
      <w:r>
        <w:rPr>
          <w:rFonts w:hint="eastAsia" w:cs="宋体"/>
          <w:b w:val="0"/>
          <w:bCs w:val="0"/>
          <w:sz w:val="24"/>
        </w:rPr>
        <w:t>生产批号；</w:t>
      </w:r>
    </w:p>
    <w:p>
      <w:pPr>
        <w:pStyle w:val="2"/>
        <w:numPr>
          <w:ilvl w:val="0"/>
          <w:numId w:val="3"/>
        </w:numPr>
        <w:spacing w:line="360" w:lineRule="auto"/>
        <w:ind w:firstLine="480" w:firstLineChars="200"/>
        <w:rPr>
          <w:rFonts w:cs="宋体"/>
          <w:b w:val="0"/>
          <w:bCs w:val="0"/>
          <w:sz w:val="24"/>
        </w:rPr>
      </w:pPr>
      <w:r>
        <w:rPr>
          <w:rFonts w:hint="eastAsia" w:cs="宋体"/>
          <w:b w:val="0"/>
          <w:bCs w:val="0"/>
          <w:sz w:val="24"/>
        </w:rPr>
        <w:t>净重、毛重；</w:t>
      </w:r>
    </w:p>
    <w:p>
      <w:pPr>
        <w:pStyle w:val="2"/>
        <w:numPr>
          <w:ilvl w:val="0"/>
          <w:numId w:val="3"/>
        </w:numPr>
        <w:spacing w:line="360" w:lineRule="auto"/>
        <w:ind w:firstLine="480" w:firstLineChars="200"/>
        <w:rPr>
          <w:rFonts w:cs="宋体"/>
          <w:b w:val="0"/>
          <w:bCs w:val="0"/>
          <w:sz w:val="24"/>
        </w:rPr>
      </w:pPr>
      <w:r>
        <w:rPr>
          <w:rFonts w:hint="eastAsia" w:cs="宋体"/>
          <w:b w:val="0"/>
          <w:bCs w:val="0"/>
          <w:sz w:val="24"/>
        </w:rPr>
        <w:t>包装日期；</w:t>
      </w:r>
    </w:p>
    <w:p>
      <w:pPr>
        <w:pStyle w:val="2"/>
        <w:numPr>
          <w:ilvl w:val="0"/>
          <w:numId w:val="3"/>
        </w:numPr>
        <w:spacing w:line="360" w:lineRule="auto"/>
        <w:ind w:firstLine="480" w:firstLineChars="200"/>
        <w:rPr>
          <w:rFonts w:cs="宋体"/>
          <w:b w:val="0"/>
          <w:bCs w:val="0"/>
          <w:sz w:val="24"/>
        </w:rPr>
      </w:pPr>
      <w:r>
        <w:rPr>
          <w:rFonts w:hint="eastAsia" w:cs="宋体"/>
          <w:b w:val="0"/>
          <w:bCs w:val="0"/>
          <w:sz w:val="24"/>
        </w:rPr>
        <w:t>“易燃”、“防火”、“防潮”、“向上”、“禁止翻滚”等标识；</w:t>
      </w:r>
    </w:p>
    <w:p>
      <w:pPr>
        <w:pStyle w:val="2"/>
        <w:numPr>
          <w:ilvl w:val="0"/>
          <w:numId w:val="3"/>
        </w:numPr>
        <w:spacing w:line="360" w:lineRule="auto"/>
        <w:ind w:firstLine="480" w:firstLineChars="200"/>
        <w:rPr>
          <w:rFonts w:cs="宋体"/>
          <w:b w:val="0"/>
          <w:bCs w:val="0"/>
          <w:sz w:val="24"/>
        </w:rPr>
      </w:pPr>
      <w:r>
        <w:rPr>
          <w:rFonts w:hint="eastAsia" w:cs="宋体"/>
          <w:b w:val="0"/>
          <w:bCs w:val="0"/>
          <w:sz w:val="24"/>
        </w:rPr>
        <w:t>本标准编号。</w:t>
      </w:r>
    </w:p>
    <w:p>
      <w:pPr>
        <w:pStyle w:val="2"/>
        <w:spacing w:line="360" w:lineRule="auto"/>
        <w:rPr>
          <w:rFonts w:eastAsia="黑体" w:cs="黑体"/>
          <w:b w:val="0"/>
          <w:bCs w:val="0"/>
          <w:sz w:val="24"/>
        </w:rPr>
      </w:pPr>
      <w:r>
        <w:rPr>
          <w:rFonts w:hint="eastAsia" w:eastAsia="黑体" w:cs="黑体"/>
          <w:b w:val="0"/>
          <w:bCs w:val="0"/>
          <w:sz w:val="24"/>
        </w:rPr>
        <w:t>2.5.2.包装</w:t>
      </w:r>
    </w:p>
    <w:p>
      <w:pPr>
        <w:pStyle w:val="2"/>
        <w:spacing w:line="360" w:lineRule="auto"/>
        <w:ind w:firstLine="480" w:firstLineChars="200"/>
        <w:rPr>
          <w:rFonts w:cs="宋体"/>
          <w:b w:val="0"/>
          <w:bCs w:val="0"/>
          <w:sz w:val="24"/>
        </w:rPr>
      </w:pPr>
      <w:r>
        <w:rPr>
          <w:rFonts w:hint="eastAsia" w:cs="宋体"/>
          <w:b w:val="0"/>
          <w:bCs w:val="0"/>
          <w:sz w:val="24"/>
        </w:rPr>
        <w:t>产品应以洁净的塑料桶、金属瓶等为容器单元，采取充惰性气体保护封装或者真空包装，或采用厚塑料袋抽真空塑封，包装过程中应严格控制环境避免污染。产品包装重量分1kg、2kg、5kg、10kg四种规格，也可以根据需方需要进行包装。包装容器应保证其在运输过程中的完整性，且不应破损、受潮或者使产品接触到外来污染物。</w:t>
      </w:r>
    </w:p>
    <w:p>
      <w:pPr>
        <w:pStyle w:val="2"/>
        <w:spacing w:line="360" w:lineRule="auto"/>
        <w:rPr>
          <w:rFonts w:eastAsia="黑体" w:cs="黑体"/>
          <w:b w:val="0"/>
          <w:bCs w:val="0"/>
          <w:sz w:val="24"/>
        </w:rPr>
      </w:pPr>
      <w:r>
        <w:rPr>
          <w:rFonts w:hint="eastAsia" w:eastAsia="黑体" w:cs="黑体"/>
          <w:b w:val="0"/>
          <w:bCs w:val="0"/>
          <w:sz w:val="24"/>
        </w:rPr>
        <w:t>2.5.3.运输</w:t>
      </w:r>
    </w:p>
    <w:p>
      <w:pPr>
        <w:pStyle w:val="2"/>
        <w:spacing w:line="360" w:lineRule="auto"/>
        <w:ind w:firstLine="480" w:firstLineChars="200"/>
        <w:rPr>
          <w:rFonts w:cs="宋体"/>
          <w:b w:val="0"/>
          <w:bCs w:val="0"/>
          <w:sz w:val="24"/>
        </w:rPr>
      </w:pPr>
      <w:r>
        <w:rPr>
          <w:rFonts w:hint="eastAsia" w:cs="宋体"/>
          <w:b w:val="0"/>
          <w:bCs w:val="0"/>
          <w:sz w:val="24"/>
        </w:rPr>
        <w:t>产品应在有遮盖物的环境下进行运输，运输过程中应防止雨淋受潮、严禁剧烈碰撞和机械挤压，搬运过程应轻装轻卸、切勿倒置，严禁接近火种及火源。</w:t>
      </w:r>
    </w:p>
    <w:p>
      <w:pPr>
        <w:pStyle w:val="2"/>
        <w:spacing w:line="360" w:lineRule="auto"/>
        <w:rPr>
          <w:rFonts w:eastAsia="黑体" w:cs="黑体"/>
          <w:b w:val="0"/>
          <w:bCs w:val="0"/>
          <w:sz w:val="24"/>
        </w:rPr>
      </w:pPr>
      <w:r>
        <w:rPr>
          <w:rFonts w:hint="eastAsia" w:eastAsia="黑体" w:cs="黑体"/>
          <w:b w:val="0"/>
          <w:bCs w:val="0"/>
          <w:sz w:val="24"/>
        </w:rPr>
        <w:t>2.5.4.贮存</w:t>
      </w:r>
    </w:p>
    <w:p>
      <w:pPr>
        <w:pStyle w:val="2"/>
        <w:spacing w:line="360" w:lineRule="auto"/>
        <w:ind w:firstLine="480" w:firstLineChars="200"/>
        <w:rPr>
          <w:b w:val="0"/>
          <w:bCs w:val="0"/>
          <w:sz w:val="24"/>
        </w:rPr>
      </w:pPr>
      <w:r>
        <w:rPr>
          <w:rFonts w:hint="eastAsia"/>
          <w:b w:val="0"/>
          <w:bCs w:val="0"/>
          <w:sz w:val="24"/>
        </w:rPr>
        <w:t>产品应贮存在通风、干燥、阴凉、无腐蚀性侵蚀的环境中，严禁与氧化剂、酸类、碱类一起存放，并避免阳光直晒。</w:t>
      </w:r>
    </w:p>
    <w:p>
      <w:pPr>
        <w:spacing w:line="360" w:lineRule="auto"/>
        <w:rPr>
          <w:rFonts w:ascii="宋体" w:hAnsi="宋体" w:cs="宋体"/>
          <w:b/>
          <w:bCs/>
          <w:sz w:val="24"/>
        </w:rPr>
      </w:pPr>
      <w:r>
        <w:rPr>
          <w:rFonts w:hint="eastAsia" w:ascii="宋体" w:hAnsi="宋体" w:cs="宋体"/>
          <w:b/>
          <w:bCs/>
          <w:sz w:val="24"/>
        </w:rPr>
        <w:t>三、 主要试验（或验证）情况分析</w:t>
      </w:r>
    </w:p>
    <w:p>
      <w:pPr>
        <w:spacing w:line="360" w:lineRule="auto"/>
        <w:ind w:firstLine="480" w:firstLineChars="200"/>
        <w:rPr>
          <w:rFonts w:ascii="宋体" w:hAnsi="宋体" w:cs="宋体"/>
          <w:sz w:val="24"/>
        </w:rPr>
      </w:pPr>
      <w:r>
        <w:rPr>
          <w:rFonts w:hint="eastAsia" w:ascii="宋体" w:hAnsi="宋体"/>
          <w:sz w:val="24"/>
        </w:rPr>
        <w:t>针对本标准涉及产品</w:t>
      </w:r>
      <w:r>
        <w:rPr>
          <w:rFonts w:ascii="宋体" w:hAnsi="宋体"/>
          <w:sz w:val="24"/>
        </w:rPr>
        <w:t>，按本标准规定的方法，对主要技术指标进行了验证，验证数据</w:t>
      </w:r>
      <w:r>
        <w:rPr>
          <w:rFonts w:hint="eastAsia" w:ascii="宋体" w:hAnsi="宋体"/>
          <w:sz w:val="24"/>
        </w:rPr>
        <w:t>如下。</w:t>
      </w:r>
    </w:p>
    <w:p>
      <w:pPr>
        <w:spacing w:line="360" w:lineRule="auto"/>
        <w:rPr>
          <w:rFonts w:ascii="宋体" w:hAnsi="宋体" w:cs="宋体"/>
          <w:b/>
          <w:bCs/>
          <w:sz w:val="24"/>
        </w:rPr>
      </w:pPr>
      <w:r>
        <w:rPr>
          <w:rFonts w:hint="eastAsia" w:ascii="宋体" w:hAnsi="宋体" w:cs="宋体"/>
          <w:b/>
          <w:bCs/>
          <w:sz w:val="24"/>
        </w:rPr>
        <w:t xml:space="preserve">3.1 化学成分 </w:t>
      </w:r>
    </w:p>
    <w:p>
      <w:pPr>
        <w:pStyle w:val="2"/>
        <w:spacing w:line="360" w:lineRule="auto"/>
        <w:ind w:firstLine="480" w:firstLineChars="200"/>
        <w:rPr>
          <w:rFonts w:cs="宋体"/>
          <w:b w:val="0"/>
          <w:bCs w:val="0"/>
          <w:sz w:val="24"/>
        </w:rPr>
      </w:pPr>
      <w:r>
        <w:rPr>
          <w:rFonts w:hint="eastAsia" w:cs="宋体"/>
          <w:b w:val="0"/>
          <w:bCs w:val="0"/>
          <w:sz w:val="24"/>
        </w:rPr>
        <w:t>广东省材料与加工研究所及有关厂家、研究机构W1、W90NiFe、</w:t>
      </w:r>
      <w:r>
        <w:rPr>
          <w:rFonts w:cs="宋体"/>
          <w:b w:val="0"/>
          <w:bCs w:val="0"/>
          <w:sz w:val="24"/>
        </w:rPr>
        <w:t>W93NiFe</w:t>
      </w:r>
      <w:r>
        <w:rPr>
          <w:rFonts w:hint="eastAsia" w:cs="宋体"/>
          <w:b w:val="0"/>
          <w:bCs w:val="0"/>
          <w:sz w:val="24"/>
        </w:rPr>
        <w:t>、</w:t>
      </w:r>
      <w:r>
        <w:rPr>
          <w:rFonts w:cs="宋体"/>
          <w:b w:val="0"/>
          <w:bCs w:val="0"/>
          <w:sz w:val="24"/>
        </w:rPr>
        <w:t>FW95NiFe</w:t>
      </w:r>
      <w:r>
        <w:rPr>
          <w:rFonts w:hint="eastAsia" w:cs="宋体"/>
          <w:b w:val="0"/>
          <w:bCs w:val="0"/>
          <w:sz w:val="24"/>
        </w:rPr>
        <w:t>、</w:t>
      </w:r>
      <w:r>
        <w:rPr>
          <w:rFonts w:cs="宋体"/>
          <w:b w:val="0"/>
          <w:bCs w:val="0"/>
          <w:sz w:val="24"/>
        </w:rPr>
        <w:t>W97NiFe</w:t>
      </w:r>
      <w:r>
        <w:rPr>
          <w:rFonts w:hint="eastAsia" w:cs="宋体"/>
          <w:b w:val="0"/>
          <w:bCs w:val="0"/>
          <w:sz w:val="24"/>
        </w:rPr>
        <w:t>化学成分的统计如表9、表10所示。</w:t>
      </w:r>
    </w:p>
    <w:p>
      <w:pPr>
        <w:pStyle w:val="41"/>
        <w:numPr>
          <w:ilvl w:val="0"/>
          <w:numId w:val="0"/>
        </w:numPr>
        <w:spacing w:beforeLines="0" w:afterLines="0" w:line="360" w:lineRule="auto"/>
        <w:rPr>
          <w:rFonts w:hAnsi="黑体" w:cs="黑体"/>
          <w:sz w:val="24"/>
          <w:szCs w:val="24"/>
        </w:rPr>
      </w:pPr>
      <w:r>
        <w:rPr>
          <w:rFonts w:hint="eastAsia" w:hAnsi="黑体" w:cs="黑体"/>
          <w:sz w:val="24"/>
          <w:szCs w:val="24"/>
        </w:rPr>
        <w:t>表9 相关厂家产品化学成分（W1）</w:t>
      </w:r>
    </w:p>
    <w:tbl>
      <w:tblPr>
        <w:tblStyle w:val="12"/>
        <w:tblW w:w="10701" w:type="dxa"/>
        <w:tblInd w:w="-8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48"/>
        <w:gridCol w:w="670"/>
        <w:gridCol w:w="709"/>
        <w:gridCol w:w="567"/>
        <w:gridCol w:w="567"/>
        <w:gridCol w:w="567"/>
        <w:gridCol w:w="709"/>
        <w:gridCol w:w="709"/>
        <w:gridCol w:w="708"/>
        <w:gridCol w:w="567"/>
        <w:gridCol w:w="709"/>
        <w:gridCol w:w="851"/>
        <w:gridCol w:w="708"/>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1384" w:type="dxa"/>
            <w:gridSpan w:val="2"/>
            <w:vMerge w:val="restart"/>
            <w:tcBorders>
              <w:top w:val="single" w:color="auto" w:sz="4" w:space="0"/>
              <w:left w:val="single" w:color="auto" w:sz="4" w:space="0"/>
              <w:bottom w:val="single" w:color="auto" w:sz="4" w:space="0"/>
              <w:right w:val="single" w:color="auto" w:sz="4" w:space="0"/>
            </w:tcBorders>
            <w:vAlign w:val="center"/>
          </w:tcPr>
          <w:p>
            <w:pPr>
              <w:pStyle w:val="36"/>
              <w:spacing w:before="156"/>
              <w:ind w:firstLine="360"/>
              <w:jc w:val="center"/>
              <w:rPr>
                <w:rFonts w:cs="宋体"/>
                <w:sz w:val="18"/>
                <w:szCs w:val="18"/>
              </w:rPr>
            </w:pPr>
            <w:r>
              <w:rPr>
                <w:rFonts w:hint="eastAsia" w:cs="宋体"/>
                <w:sz w:val="18"/>
                <w:szCs w:val="18"/>
              </w:rPr>
              <w:t>牌号</w:t>
            </w:r>
          </w:p>
        </w:tc>
        <w:tc>
          <w:tcPr>
            <w:tcW w:w="9317" w:type="dxa"/>
            <w:gridSpan w:val="14"/>
            <w:tcBorders>
              <w:top w:val="single" w:color="auto" w:sz="4" w:space="0"/>
              <w:left w:val="single" w:color="auto" w:sz="4" w:space="0"/>
              <w:bottom w:val="single" w:color="auto" w:sz="4" w:space="0"/>
              <w:right w:val="single" w:color="auto" w:sz="4" w:space="0"/>
            </w:tcBorders>
          </w:tcPr>
          <w:p>
            <w:pPr>
              <w:pStyle w:val="41"/>
              <w:numPr>
                <w:ilvl w:val="0"/>
                <w:numId w:val="0"/>
              </w:numPr>
              <w:spacing w:before="156" w:after="156"/>
              <w:rPr>
                <w:rFonts w:ascii="宋体" w:hAnsi="宋体" w:eastAsia="宋体" w:cs="宋体"/>
                <w:sz w:val="18"/>
                <w:szCs w:val="18"/>
              </w:rPr>
            </w:pPr>
            <w:r>
              <w:rPr>
                <w:rFonts w:hint="eastAsia" w:ascii="宋体" w:hAnsi="宋体" w:eastAsia="宋体" w:cs="宋体"/>
                <w:sz w:val="18"/>
                <w:szCs w:val="18"/>
              </w:rPr>
              <w:t>化学成分 (质量分数) /%，不大于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7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W</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Al</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K+</w:t>
            </w:r>
          </w:p>
          <w:p>
            <w:pPr>
              <w:pStyle w:val="36"/>
              <w:spacing w:before="156"/>
              <w:ind w:firstLine="0" w:firstLineChars="0"/>
              <w:jc w:val="center"/>
              <w:rPr>
                <w:rFonts w:cs="宋体"/>
                <w:sz w:val="18"/>
                <w:szCs w:val="18"/>
              </w:rPr>
            </w:pPr>
            <w:r>
              <w:rPr>
                <w:rFonts w:hint="eastAsia" w:cs="宋体"/>
                <w:sz w:val="18"/>
                <w:szCs w:val="18"/>
              </w:rPr>
              <w:t>Na</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N</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Fe</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Mg</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Mo</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Ni</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Si</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Sn</w:t>
            </w:r>
          </w:p>
        </w:tc>
        <w:tc>
          <w:tcPr>
            <w:tcW w:w="851"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Cu</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Ca</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C</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636" w:type="dxa"/>
            <w:vMerge w:val="restart"/>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W1</w:t>
            </w:r>
          </w:p>
        </w:tc>
        <w:tc>
          <w:tcPr>
            <w:tcW w:w="74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单位1</w:t>
            </w:r>
          </w:p>
        </w:tc>
        <w:tc>
          <w:tcPr>
            <w:tcW w:w="67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余量</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0.003</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0.003</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851"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0.004</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单位2</w:t>
            </w:r>
          </w:p>
        </w:tc>
        <w:tc>
          <w:tcPr>
            <w:tcW w:w="67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余量</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851"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0.003</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01" w:type="dxa"/>
            <w:gridSpan w:val="16"/>
            <w:tcBorders>
              <w:top w:val="single" w:color="auto" w:sz="4" w:space="0"/>
              <w:left w:val="single" w:color="auto" w:sz="4" w:space="0"/>
              <w:bottom w:val="single" w:color="auto" w:sz="4" w:space="0"/>
              <w:right w:val="single" w:color="auto" w:sz="4" w:space="0"/>
            </w:tcBorders>
          </w:tcPr>
          <w:p>
            <w:pPr>
              <w:pStyle w:val="36"/>
              <w:spacing w:before="156"/>
              <w:ind w:firstLine="0" w:firstLineChars="0"/>
              <w:jc w:val="left"/>
              <w:rPr>
                <w:rFonts w:cs="宋体"/>
                <w:sz w:val="18"/>
                <w:szCs w:val="18"/>
              </w:rPr>
            </w:pPr>
            <w:r>
              <w:rPr>
                <w:rFonts w:hint="eastAsia" w:cs="宋体"/>
                <w:sz w:val="18"/>
                <w:szCs w:val="18"/>
              </w:rPr>
              <w:t>注：单位1-广东省材料与加工研究所，单位2-星尘科技（广东）有限公司</w:t>
            </w:r>
          </w:p>
        </w:tc>
      </w:tr>
    </w:tbl>
    <w:p>
      <w:pPr>
        <w:pStyle w:val="41"/>
        <w:numPr>
          <w:ilvl w:val="0"/>
          <w:numId w:val="0"/>
        </w:numPr>
        <w:spacing w:beforeLines="0" w:afterLines="0" w:line="360" w:lineRule="auto"/>
        <w:rPr>
          <w:rFonts w:hAnsi="黑体" w:cs="黑体"/>
          <w:sz w:val="24"/>
          <w:szCs w:val="24"/>
        </w:rPr>
      </w:pPr>
    </w:p>
    <w:p>
      <w:pPr>
        <w:pStyle w:val="41"/>
        <w:numPr>
          <w:ilvl w:val="0"/>
          <w:numId w:val="0"/>
        </w:numPr>
        <w:spacing w:beforeLines="0" w:afterLines="0" w:line="360" w:lineRule="auto"/>
        <w:rPr>
          <w:rFonts w:cs="宋体"/>
          <w:b/>
          <w:bCs/>
          <w:sz w:val="24"/>
        </w:rPr>
      </w:pPr>
      <w:r>
        <w:rPr>
          <w:rFonts w:hint="eastAsia" w:hAnsi="黑体" w:cs="黑体"/>
          <w:sz w:val="24"/>
          <w:szCs w:val="24"/>
        </w:rPr>
        <w:t>表10 相关厂家产品化学成分（（W90NiFe、W93NiFe、W95NiFe、W97NiFe））</w:t>
      </w:r>
    </w:p>
    <w:tbl>
      <w:tblPr>
        <w:tblStyle w:val="12"/>
        <w:tblW w:w="10418" w:type="dxa"/>
        <w:tblInd w:w="-6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33"/>
        <w:gridCol w:w="560"/>
        <w:gridCol w:w="567"/>
        <w:gridCol w:w="708"/>
        <w:gridCol w:w="567"/>
        <w:gridCol w:w="567"/>
        <w:gridCol w:w="709"/>
        <w:gridCol w:w="709"/>
        <w:gridCol w:w="709"/>
        <w:gridCol w:w="567"/>
        <w:gridCol w:w="567"/>
        <w:gridCol w:w="708"/>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20" w:type="dxa"/>
            <w:vMerge w:val="restart"/>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牌号</w:t>
            </w:r>
          </w:p>
        </w:tc>
        <w:tc>
          <w:tcPr>
            <w:tcW w:w="433" w:type="dxa"/>
            <w:vMerge w:val="restart"/>
            <w:tcBorders>
              <w:top w:val="single" w:color="auto" w:sz="4" w:space="0"/>
              <w:left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cs="宋体"/>
                <w:sz w:val="18"/>
                <w:szCs w:val="18"/>
              </w:rPr>
              <w:t>单位</w:t>
            </w:r>
          </w:p>
        </w:tc>
        <w:tc>
          <w:tcPr>
            <w:tcW w:w="1835" w:type="dxa"/>
            <w:gridSpan w:val="3"/>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8"/>
                <w:szCs w:val="18"/>
              </w:rPr>
              <w:t>主成分</w:t>
            </w:r>
          </w:p>
        </w:tc>
        <w:tc>
          <w:tcPr>
            <w:tcW w:w="7230" w:type="dxa"/>
            <w:gridSpan w:val="11"/>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8"/>
                <w:szCs w:val="18"/>
              </w:rPr>
              <w:t>化学成分 (质量分数) /%，不大于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33" w:type="dxa"/>
            <w:vMerge w:val="continue"/>
            <w:tcBorders>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p>
        </w:tc>
        <w:tc>
          <w:tcPr>
            <w:tcW w:w="56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W</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Ni</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Fe</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Al</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Si</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Cr</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Sn</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Cu</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Mg</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Ca</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K</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Mo</w:t>
            </w:r>
          </w:p>
        </w:tc>
        <w:tc>
          <w:tcPr>
            <w:tcW w:w="709" w:type="dxa"/>
            <w:tcBorders>
              <w:top w:val="single" w:color="auto" w:sz="4" w:space="0"/>
              <w:left w:val="single" w:color="auto" w:sz="4" w:space="0"/>
              <w:bottom w:val="single" w:color="auto" w:sz="4" w:space="0"/>
              <w:right w:val="single" w:color="auto" w:sz="4" w:space="0"/>
            </w:tcBorders>
          </w:tcPr>
          <w:p>
            <w:pPr>
              <w:pStyle w:val="36"/>
              <w:spacing w:before="156"/>
              <w:ind w:firstLine="0" w:firstLineChars="0"/>
              <w:jc w:val="center"/>
              <w:rPr>
                <w:rFonts w:cs="宋体"/>
                <w:sz w:val="18"/>
                <w:szCs w:val="18"/>
              </w:rPr>
            </w:pPr>
            <w:r>
              <w:rPr>
                <w:rFonts w:hint="eastAsia" w:cs="宋体"/>
                <w:sz w:val="18"/>
                <w:szCs w:val="18"/>
              </w:rPr>
              <w:t>C</w:t>
            </w:r>
          </w:p>
        </w:tc>
        <w:tc>
          <w:tcPr>
            <w:tcW w:w="709" w:type="dxa"/>
            <w:tcBorders>
              <w:top w:val="single" w:color="auto" w:sz="4" w:space="0"/>
              <w:left w:val="single" w:color="auto" w:sz="4" w:space="0"/>
              <w:bottom w:val="single" w:color="auto" w:sz="4" w:space="0"/>
              <w:right w:val="single" w:color="auto" w:sz="4" w:space="0"/>
            </w:tcBorders>
          </w:tcPr>
          <w:p>
            <w:pPr>
              <w:pStyle w:val="36"/>
              <w:spacing w:before="156"/>
              <w:ind w:firstLine="0" w:firstLineChars="0"/>
              <w:jc w:val="center"/>
              <w:rPr>
                <w:rFonts w:cs="宋体"/>
                <w:sz w:val="18"/>
                <w:szCs w:val="18"/>
              </w:rPr>
            </w:pPr>
            <w:r>
              <w:rPr>
                <w:rFonts w:hint="eastAsia" w:cs="宋体"/>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20" w:type="dxa"/>
            <w:vMerge w:val="restart"/>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W90NiFe</w:t>
            </w:r>
          </w:p>
        </w:tc>
        <w:tc>
          <w:tcPr>
            <w:tcW w:w="433"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单位1</w:t>
            </w:r>
          </w:p>
        </w:tc>
        <w:tc>
          <w:tcPr>
            <w:tcW w:w="56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余量</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6.9~7.1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2.9~3.1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0.005</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33"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单位2</w:t>
            </w:r>
          </w:p>
        </w:tc>
        <w:tc>
          <w:tcPr>
            <w:tcW w:w="56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余量</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6.5-7.5</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2.5-3.5</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0.005</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2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b/>
                <w:sz w:val="18"/>
                <w:szCs w:val="18"/>
                <w:highlight w:val="yellow"/>
              </w:rPr>
            </w:pPr>
            <w:r>
              <w:rPr>
                <w:rFonts w:hint="eastAsia"/>
              </w:rPr>
              <w:t>W93NiFe</w:t>
            </w:r>
          </w:p>
        </w:tc>
        <w:tc>
          <w:tcPr>
            <w:tcW w:w="433"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cs="宋体"/>
                <w:sz w:val="18"/>
                <w:szCs w:val="18"/>
              </w:rPr>
              <w:t>单位</w:t>
            </w:r>
            <w:r>
              <w:rPr>
                <w:rFonts w:hint="eastAsia" w:cs="宋体"/>
                <w:sz w:val="18"/>
                <w:szCs w:val="18"/>
              </w:rPr>
              <w:t>1</w:t>
            </w:r>
          </w:p>
        </w:tc>
        <w:tc>
          <w:tcPr>
            <w:tcW w:w="56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余量</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4.8~5.0</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2.0~2.2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0.005</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2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b/>
                <w:sz w:val="18"/>
                <w:szCs w:val="18"/>
                <w:highlight w:val="yellow"/>
              </w:rPr>
            </w:pPr>
            <w:r>
              <w:rPr>
                <w:rFonts w:hint="eastAsia"/>
              </w:rPr>
              <w:t>W95NiFe</w:t>
            </w:r>
          </w:p>
        </w:tc>
        <w:tc>
          <w:tcPr>
            <w:tcW w:w="433"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cs="宋体"/>
                <w:sz w:val="18"/>
                <w:szCs w:val="18"/>
              </w:rPr>
              <w:t>单位</w:t>
            </w:r>
            <w:r>
              <w:rPr>
                <w:rFonts w:hint="eastAsia" w:cs="宋体"/>
                <w:sz w:val="18"/>
                <w:szCs w:val="18"/>
              </w:rPr>
              <w:t>1</w:t>
            </w:r>
          </w:p>
        </w:tc>
        <w:tc>
          <w:tcPr>
            <w:tcW w:w="56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余量</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tabs>
                <w:tab w:val="center" w:pos="4201"/>
                <w:tab w:val="right" w:leader="dot" w:pos="9298"/>
              </w:tabs>
              <w:spacing w:before="156" w:after="156"/>
              <w:ind w:firstLine="0" w:firstLineChars="0"/>
              <w:jc w:val="center"/>
            </w:pPr>
            <w:r>
              <w:rPr>
                <w:rFonts w:hint="eastAsia"/>
              </w:rPr>
              <w:t>3.4</w:t>
            </w:r>
            <w:r>
              <w:rPr>
                <w:rFonts w:ascii="Times New Roman"/>
              </w:rPr>
              <w:t>~</w:t>
            </w:r>
            <w:r>
              <w:rPr>
                <w:rFonts w:hint="eastAsia" w:ascii="Times New Roman"/>
              </w:rPr>
              <w:t>3.6</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tabs>
                <w:tab w:val="center" w:pos="4201"/>
                <w:tab w:val="right" w:leader="dot" w:pos="9298"/>
              </w:tabs>
              <w:spacing w:before="156" w:after="156"/>
              <w:ind w:firstLine="0" w:firstLineChars="0"/>
              <w:jc w:val="center"/>
            </w:pPr>
            <w:r>
              <w:rPr>
                <w:rFonts w:hint="eastAsia"/>
              </w:rPr>
              <w:t>1.4</w:t>
            </w:r>
            <w:r>
              <w:rPr>
                <w:rFonts w:ascii="Times New Roman"/>
              </w:rPr>
              <w:t>~</w:t>
            </w:r>
            <w:r>
              <w:rPr>
                <w:rFonts w:hint="eastAsia" w:ascii="Times New Roman"/>
              </w:rPr>
              <w:t>1.6</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0.005</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2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b/>
                <w:sz w:val="18"/>
                <w:szCs w:val="18"/>
                <w:highlight w:val="yellow"/>
              </w:rPr>
            </w:pPr>
            <w:r>
              <w:rPr>
                <w:rFonts w:hint="eastAsia"/>
              </w:rPr>
              <w:t>W97NiFe</w:t>
            </w:r>
          </w:p>
        </w:tc>
        <w:tc>
          <w:tcPr>
            <w:tcW w:w="433"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cs="宋体"/>
                <w:sz w:val="18"/>
                <w:szCs w:val="18"/>
              </w:rPr>
              <w:t>单位</w:t>
            </w:r>
            <w:r>
              <w:rPr>
                <w:rFonts w:hint="eastAsia" w:cs="宋体"/>
                <w:sz w:val="18"/>
                <w:szCs w:val="18"/>
              </w:rPr>
              <w:t>1</w:t>
            </w:r>
          </w:p>
        </w:tc>
        <w:tc>
          <w:tcPr>
            <w:tcW w:w="560"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8"/>
                <w:szCs w:val="18"/>
              </w:rPr>
            </w:pPr>
            <w:r>
              <w:rPr>
                <w:rFonts w:hint="eastAsia" w:cs="宋体"/>
                <w:sz w:val="18"/>
                <w:szCs w:val="18"/>
              </w:rPr>
              <w:t>余量</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tabs>
                <w:tab w:val="center" w:pos="4201"/>
                <w:tab w:val="right" w:leader="dot" w:pos="9298"/>
              </w:tabs>
              <w:spacing w:before="156" w:after="156"/>
              <w:ind w:firstLine="0" w:firstLineChars="0"/>
              <w:jc w:val="center"/>
            </w:pPr>
            <w:r>
              <w:rPr>
                <w:rFonts w:hint="eastAsia"/>
              </w:rPr>
              <w:t>2.0</w:t>
            </w:r>
            <w:r>
              <w:rPr>
                <w:rFonts w:ascii="Times New Roman"/>
              </w:rPr>
              <w:t>~</w:t>
            </w:r>
            <w:r>
              <w:rPr>
                <w:rFonts w:hint="eastAsia" w:ascii="Times New Roman"/>
              </w:rPr>
              <w:t>2.2</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tabs>
                <w:tab w:val="center" w:pos="4201"/>
                <w:tab w:val="right" w:leader="dot" w:pos="9298"/>
              </w:tabs>
              <w:spacing w:before="156" w:after="156"/>
              <w:ind w:firstLine="0" w:firstLineChars="0"/>
              <w:jc w:val="center"/>
            </w:pPr>
            <w:r>
              <w:rPr>
                <w:rFonts w:hint="eastAsia"/>
              </w:rPr>
              <w:t>0.8</w:t>
            </w:r>
            <w:r>
              <w:rPr>
                <w:rFonts w:ascii="Times New Roman"/>
              </w:rPr>
              <w:t>~</w:t>
            </w:r>
            <w:r>
              <w:rPr>
                <w:rFonts w:hint="eastAsia" w:ascii="Times New Roman"/>
              </w:rPr>
              <w:t>1.0</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0.002</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567"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8"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0.001</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0.005</w:t>
            </w:r>
          </w:p>
        </w:tc>
        <w:tc>
          <w:tcPr>
            <w:tcW w:w="709" w:type="dxa"/>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center"/>
              <w:rPr>
                <w:rFonts w:cs="宋体"/>
                <w:sz w:val="16"/>
                <w:szCs w:val="18"/>
              </w:rPr>
            </w:pPr>
            <w:r>
              <w:rPr>
                <w:rFonts w:hint="eastAsia" w:cs="宋体"/>
                <w:sz w:val="16"/>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418" w:type="dxa"/>
            <w:gridSpan w:val="16"/>
            <w:tcBorders>
              <w:top w:val="single" w:color="auto" w:sz="4" w:space="0"/>
              <w:left w:val="single" w:color="auto" w:sz="4" w:space="0"/>
              <w:bottom w:val="single" w:color="auto" w:sz="4" w:space="0"/>
              <w:right w:val="single" w:color="auto" w:sz="4" w:space="0"/>
            </w:tcBorders>
            <w:vAlign w:val="center"/>
          </w:tcPr>
          <w:p>
            <w:pPr>
              <w:pStyle w:val="36"/>
              <w:spacing w:before="156"/>
              <w:ind w:firstLine="0" w:firstLineChars="0"/>
              <w:jc w:val="left"/>
              <w:rPr>
                <w:rFonts w:cs="宋体"/>
                <w:sz w:val="16"/>
                <w:szCs w:val="18"/>
              </w:rPr>
            </w:pPr>
            <w:r>
              <w:rPr>
                <w:rFonts w:hint="eastAsia" w:cs="宋体"/>
                <w:sz w:val="18"/>
                <w:szCs w:val="18"/>
              </w:rPr>
              <w:t>注：单位1-广东省材料与加工研究所，单位2-广东银纳科技有限公司</w:t>
            </w:r>
          </w:p>
        </w:tc>
      </w:tr>
    </w:tbl>
    <w:p>
      <w:pPr>
        <w:adjustRightInd w:val="0"/>
        <w:spacing w:line="400" w:lineRule="exact"/>
        <w:ind w:firstLine="480" w:firstLineChars="200"/>
        <w:rPr>
          <w:rFonts w:ascii="宋体" w:hAnsi="宋体" w:cs="宋体"/>
          <w:sz w:val="24"/>
        </w:rPr>
      </w:pPr>
    </w:p>
    <w:p>
      <w:pPr>
        <w:adjustRightInd w:val="0"/>
        <w:spacing w:line="400" w:lineRule="exact"/>
        <w:ind w:firstLine="480" w:firstLineChars="200"/>
        <w:rPr>
          <w:rFonts w:cs="宋体"/>
        </w:rPr>
      </w:pPr>
      <w:r>
        <w:rPr>
          <w:rFonts w:hint="eastAsia" w:ascii="宋体" w:hAnsi="宋体" w:cs="宋体"/>
          <w:sz w:val="24"/>
        </w:rPr>
        <w:t>从上表中可以看出，广东省材料与加工研究所及其他生产厂家所生产的粉末的化学成分均可满足标准设定值，</w:t>
      </w:r>
      <w:r>
        <w:rPr>
          <w:rFonts w:ascii="宋体" w:hAnsi="宋体"/>
          <w:sz w:val="24"/>
        </w:rPr>
        <w:t>标准中规定的化学成分是</w:t>
      </w:r>
      <w:r>
        <w:rPr>
          <w:rFonts w:hint="eastAsia" w:ascii="宋体" w:hAnsi="宋体"/>
          <w:sz w:val="24"/>
        </w:rPr>
        <w:t>科学合理的。</w:t>
      </w:r>
    </w:p>
    <w:p>
      <w:pPr>
        <w:tabs>
          <w:tab w:val="center" w:pos="4385"/>
          <w:tab w:val="left" w:pos="7065"/>
        </w:tabs>
        <w:spacing w:line="360" w:lineRule="auto"/>
        <w:rPr>
          <w:sz w:val="24"/>
        </w:rPr>
      </w:pPr>
      <w:r>
        <w:rPr>
          <w:rFonts w:hint="eastAsia" w:eastAsia="黑体"/>
          <w:sz w:val="24"/>
        </w:rPr>
        <w:t>3.2.物理性能</w:t>
      </w:r>
    </w:p>
    <w:p>
      <w:pPr>
        <w:spacing w:line="360" w:lineRule="auto"/>
        <w:rPr>
          <w:rFonts w:eastAsia="黑体" w:cs="黑体"/>
          <w:sz w:val="24"/>
        </w:rPr>
      </w:pPr>
      <w:r>
        <w:rPr>
          <w:rFonts w:hint="eastAsia" w:eastAsia="黑体" w:cs="黑体"/>
          <w:sz w:val="24"/>
        </w:rPr>
        <w:t>3.2.1.  松装密度</w:t>
      </w:r>
    </w:p>
    <w:p>
      <w:pPr>
        <w:pStyle w:val="2"/>
        <w:spacing w:line="360" w:lineRule="auto"/>
        <w:ind w:firstLine="480" w:firstLineChars="200"/>
        <w:rPr>
          <w:rFonts w:cs="宋体"/>
          <w:b w:val="0"/>
          <w:bCs w:val="0"/>
          <w:sz w:val="24"/>
        </w:rPr>
      </w:pPr>
      <w:r>
        <w:rPr>
          <w:rFonts w:hint="eastAsia" w:cs="宋体"/>
          <w:b w:val="0"/>
          <w:bCs w:val="0"/>
          <w:sz w:val="24"/>
        </w:rPr>
        <w:t>广东省材料与加工研究所及有关厂家、研究机构生产的W1、W90NiFe、</w:t>
      </w:r>
      <w:r>
        <w:rPr>
          <w:rFonts w:cs="宋体"/>
          <w:b w:val="0"/>
          <w:bCs w:val="0"/>
          <w:sz w:val="24"/>
        </w:rPr>
        <w:t>W93NiFe</w:t>
      </w:r>
      <w:r>
        <w:rPr>
          <w:rFonts w:hint="eastAsia" w:cs="宋体"/>
          <w:b w:val="0"/>
          <w:bCs w:val="0"/>
          <w:sz w:val="24"/>
        </w:rPr>
        <w:t>、</w:t>
      </w:r>
      <w:r>
        <w:rPr>
          <w:rFonts w:cs="宋体"/>
          <w:b w:val="0"/>
          <w:bCs w:val="0"/>
          <w:sz w:val="24"/>
        </w:rPr>
        <w:t>FW95NiFe</w:t>
      </w:r>
      <w:r>
        <w:rPr>
          <w:rFonts w:hint="eastAsia" w:cs="宋体"/>
          <w:b w:val="0"/>
          <w:bCs w:val="0"/>
          <w:sz w:val="24"/>
        </w:rPr>
        <w:t>、</w:t>
      </w:r>
      <w:r>
        <w:rPr>
          <w:rFonts w:cs="宋体"/>
          <w:b w:val="0"/>
          <w:bCs w:val="0"/>
          <w:sz w:val="24"/>
        </w:rPr>
        <w:t>W97NiFe</w:t>
      </w:r>
      <w:r>
        <w:rPr>
          <w:rFonts w:hint="eastAsia" w:cs="宋体"/>
          <w:b w:val="0"/>
          <w:bCs w:val="0"/>
          <w:sz w:val="24"/>
        </w:rPr>
        <w:t>粉末松装密度的统计如表11所示，均可满足标准设定值。</w:t>
      </w:r>
    </w:p>
    <w:p>
      <w:pPr>
        <w:pStyle w:val="2"/>
        <w:spacing w:line="360" w:lineRule="auto"/>
        <w:jc w:val="center"/>
        <w:rPr>
          <w:rFonts w:ascii="黑体" w:hAnsi="黑体" w:eastAsia="黑体" w:cs="黑体"/>
          <w:b w:val="0"/>
          <w:bCs w:val="0"/>
          <w:sz w:val="24"/>
        </w:rPr>
      </w:pPr>
      <w:r>
        <w:rPr>
          <w:rFonts w:hint="eastAsia" w:ascii="黑体" w:hAnsi="黑体" w:eastAsia="黑体" w:cs="黑体"/>
          <w:b w:val="0"/>
          <w:bCs w:val="0"/>
          <w:sz w:val="24"/>
        </w:rPr>
        <w:t>表11  粉末松装密度统计结果</w:t>
      </w:r>
    </w:p>
    <w:tbl>
      <w:tblPr>
        <w:tblStyle w:val="12"/>
        <w:tblW w:w="7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455"/>
        <w:gridCol w:w="1418"/>
        <w:gridCol w:w="1984"/>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分类</w:t>
            </w:r>
          </w:p>
        </w:tc>
        <w:tc>
          <w:tcPr>
            <w:tcW w:w="1455" w:type="dxa"/>
            <w:vMerge w:val="restart"/>
            <w:vAlign w:val="center"/>
          </w:tcPr>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粒度</w:t>
            </w:r>
          </w:p>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范围/μm</w:t>
            </w:r>
          </w:p>
        </w:tc>
        <w:tc>
          <w:tcPr>
            <w:tcW w:w="1418"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牌号</w:t>
            </w:r>
          </w:p>
        </w:tc>
        <w:tc>
          <w:tcPr>
            <w:tcW w:w="3969" w:type="dxa"/>
            <w:gridSpan w:val="2"/>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松装密度（</w:t>
            </w:r>
            <w:r>
              <w:rPr>
                <w:rFonts w:ascii="宋体" w:hAnsi="宋体" w:cs="宋体"/>
                <w:color w:val="000000"/>
                <w:sz w:val="20"/>
                <w:szCs w:val="18"/>
              </w:rPr>
              <w:t>g/cm</w:t>
            </w:r>
            <w:r>
              <w:rPr>
                <w:rFonts w:ascii="宋体" w:hAnsi="宋体" w:cs="宋体"/>
                <w:color w:val="000000"/>
                <w:sz w:val="20"/>
                <w:szCs w:val="18"/>
                <w:vertAlign w:val="superscript"/>
              </w:rPr>
              <w:t>3</w:t>
            </w:r>
            <w:r>
              <w:rPr>
                <w:rFonts w:hint="eastAsia" w:ascii="宋体" w:hAnsi="宋体" w:cs="宋体"/>
                <w:color w:val="000000"/>
                <w:sz w:val="20"/>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napToGrid w:val="0"/>
              <w:spacing w:line="360" w:lineRule="auto"/>
              <w:jc w:val="center"/>
              <w:rPr>
                <w:rFonts w:ascii="宋体" w:hAnsi="宋体" w:cs="宋体"/>
                <w:color w:val="000000"/>
                <w:sz w:val="20"/>
                <w:szCs w:val="18"/>
              </w:rPr>
            </w:pPr>
          </w:p>
        </w:tc>
        <w:tc>
          <w:tcPr>
            <w:tcW w:w="1418" w:type="dxa"/>
            <w:vMerge w:val="continue"/>
            <w:vAlign w:val="center"/>
          </w:tcPr>
          <w:p>
            <w:pPr>
              <w:spacing w:line="360" w:lineRule="auto"/>
              <w:jc w:val="center"/>
              <w:rPr>
                <w:rFonts w:ascii="宋体" w:hAnsi="宋体" w:cs="宋体"/>
                <w:color w:val="000000"/>
                <w:sz w:val="20"/>
                <w:szCs w:val="18"/>
              </w:rPr>
            </w:pP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单位1</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单位2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Ⅰ类</w:t>
            </w:r>
          </w:p>
        </w:tc>
        <w:tc>
          <w:tcPr>
            <w:tcW w:w="1455"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0～63</w:t>
            </w:r>
          </w:p>
        </w:tc>
        <w:tc>
          <w:tcPr>
            <w:tcW w:w="1418"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10.12</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9.65</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9.87</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9.97</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10.03</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Ⅱ类</w:t>
            </w:r>
          </w:p>
        </w:tc>
        <w:tc>
          <w:tcPr>
            <w:tcW w:w="1455"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45～150</w:t>
            </w:r>
          </w:p>
        </w:tc>
        <w:tc>
          <w:tcPr>
            <w:tcW w:w="1418"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10.33</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9.85</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9.98</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10.12</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10.22</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Ⅲ类</w:t>
            </w:r>
          </w:p>
        </w:tc>
        <w:tc>
          <w:tcPr>
            <w:tcW w:w="1455"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30-250</w:t>
            </w:r>
          </w:p>
        </w:tc>
        <w:tc>
          <w:tcPr>
            <w:tcW w:w="1418"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10.51</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9.98</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10.01</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10.22</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455" w:type="dxa"/>
            <w:vMerge w:val="continue"/>
            <w:vAlign w:val="center"/>
          </w:tcPr>
          <w:p>
            <w:pPr>
              <w:spacing w:line="360" w:lineRule="auto"/>
              <w:jc w:val="center"/>
              <w:rPr>
                <w:rFonts w:ascii="宋体" w:hAnsi="宋体" w:cs="宋体"/>
                <w:color w:val="000000"/>
                <w:sz w:val="20"/>
                <w:szCs w:val="18"/>
              </w:rPr>
            </w:pPr>
          </w:p>
        </w:tc>
        <w:tc>
          <w:tcPr>
            <w:tcW w:w="1418"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198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10.32</w:t>
            </w:r>
          </w:p>
        </w:tc>
        <w:tc>
          <w:tcPr>
            <w:tcW w:w="198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702" w:type="dxa"/>
            <w:gridSpan w:val="5"/>
            <w:vAlign w:val="center"/>
          </w:tcPr>
          <w:p>
            <w:pPr>
              <w:spacing w:line="360" w:lineRule="auto"/>
              <w:jc w:val="left"/>
              <w:rPr>
                <w:rFonts w:ascii="宋体" w:hAnsi="宋体" w:cs="宋体"/>
                <w:color w:val="000000"/>
                <w:sz w:val="20"/>
                <w:szCs w:val="18"/>
              </w:rPr>
            </w:pPr>
            <w:r>
              <w:rPr>
                <w:rFonts w:hint="eastAsia" w:cs="宋体"/>
                <w:sz w:val="18"/>
                <w:szCs w:val="18"/>
              </w:rPr>
              <w:t>注：单位1-广东省材料与加工研究所，单位2-星尘科技（广东）有限公司</w:t>
            </w:r>
          </w:p>
        </w:tc>
      </w:tr>
    </w:tbl>
    <w:p>
      <w:pPr>
        <w:adjustRightInd w:val="0"/>
        <w:spacing w:line="400" w:lineRule="exact"/>
        <w:ind w:firstLine="480" w:firstLineChars="200"/>
        <w:rPr>
          <w:rFonts w:ascii="宋体" w:hAnsi="宋体"/>
          <w:sz w:val="24"/>
        </w:rPr>
      </w:pPr>
      <w:r>
        <w:rPr>
          <w:rFonts w:hint="eastAsia" w:ascii="宋体" w:hAnsi="宋体" w:cs="宋体"/>
          <w:sz w:val="24"/>
        </w:rPr>
        <w:t>从上表中可以看出，广东省材料与加工研究所及其他生产厂家所生产的粉末松装密度均可满足标准设定值，</w:t>
      </w:r>
      <w:r>
        <w:rPr>
          <w:rFonts w:ascii="宋体" w:hAnsi="宋体"/>
          <w:sz w:val="24"/>
        </w:rPr>
        <w:t>标准中规定的</w:t>
      </w:r>
      <w:r>
        <w:rPr>
          <w:rFonts w:hint="eastAsia" w:ascii="宋体" w:hAnsi="宋体"/>
          <w:sz w:val="24"/>
        </w:rPr>
        <w:t>松装</w:t>
      </w:r>
      <w:r>
        <w:rPr>
          <w:rFonts w:ascii="宋体" w:hAnsi="宋体"/>
          <w:sz w:val="24"/>
        </w:rPr>
        <w:t>密度是</w:t>
      </w:r>
      <w:r>
        <w:rPr>
          <w:rFonts w:hint="eastAsia" w:ascii="宋体" w:hAnsi="宋体"/>
          <w:sz w:val="24"/>
        </w:rPr>
        <w:t>科学合理的。</w:t>
      </w:r>
    </w:p>
    <w:p>
      <w:pPr>
        <w:pStyle w:val="41"/>
        <w:numPr>
          <w:ilvl w:val="0"/>
          <w:numId w:val="0"/>
        </w:numPr>
        <w:spacing w:beforeLines="0" w:afterLines="0" w:line="360" w:lineRule="auto"/>
        <w:jc w:val="both"/>
        <w:rPr>
          <w:rFonts w:cs="黑体"/>
          <w:sz w:val="24"/>
        </w:rPr>
      </w:pPr>
      <w:r>
        <w:rPr>
          <w:rFonts w:hint="eastAsia" w:cs="黑体"/>
          <w:sz w:val="24"/>
        </w:rPr>
        <w:t>3.2.3.  振实密度</w:t>
      </w:r>
    </w:p>
    <w:p>
      <w:pPr>
        <w:pStyle w:val="2"/>
        <w:spacing w:line="360" w:lineRule="auto"/>
        <w:ind w:firstLine="480" w:firstLineChars="200"/>
        <w:rPr>
          <w:rFonts w:cs="宋体"/>
          <w:b w:val="0"/>
          <w:bCs w:val="0"/>
          <w:sz w:val="24"/>
        </w:rPr>
      </w:pPr>
      <w:r>
        <w:rPr>
          <w:rFonts w:hint="eastAsia" w:cs="宋体"/>
          <w:b w:val="0"/>
          <w:bCs w:val="0"/>
          <w:sz w:val="24"/>
        </w:rPr>
        <w:t>广东省材料与加工研究所及有关厂家、研究机构W1、W90NiFe、</w:t>
      </w:r>
      <w:r>
        <w:rPr>
          <w:rFonts w:cs="宋体"/>
          <w:b w:val="0"/>
          <w:bCs w:val="0"/>
          <w:sz w:val="24"/>
        </w:rPr>
        <w:t>W93NiFe</w:t>
      </w:r>
      <w:r>
        <w:rPr>
          <w:rFonts w:hint="eastAsia" w:cs="宋体"/>
          <w:b w:val="0"/>
          <w:bCs w:val="0"/>
          <w:sz w:val="24"/>
        </w:rPr>
        <w:t>、</w:t>
      </w:r>
      <w:r>
        <w:rPr>
          <w:rFonts w:cs="宋体"/>
          <w:b w:val="0"/>
          <w:bCs w:val="0"/>
          <w:sz w:val="24"/>
        </w:rPr>
        <w:t>FW95NiFe</w:t>
      </w:r>
      <w:r>
        <w:rPr>
          <w:rFonts w:hint="eastAsia" w:cs="宋体"/>
          <w:b w:val="0"/>
          <w:bCs w:val="0"/>
          <w:sz w:val="24"/>
        </w:rPr>
        <w:t>、</w:t>
      </w:r>
      <w:r>
        <w:rPr>
          <w:rFonts w:cs="宋体"/>
          <w:b w:val="0"/>
          <w:bCs w:val="0"/>
          <w:sz w:val="24"/>
        </w:rPr>
        <w:t>W97NiFe</w:t>
      </w:r>
      <w:r>
        <w:rPr>
          <w:rFonts w:hint="eastAsia" w:cs="宋体"/>
          <w:b w:val="0"/>
          <w:bCs w:val="0"/>
          <w:sz w:val="24"/>
        </w:rPr>
        <w:t>合金粉末振实密度的统计如表12所示，均可满足标准要求。</w:t>
      </w:r>
    </w:p>
    <w:p>
      <w:pPr>
        <w:pStyle w:val="2"/>
        <w:spacing w:line="360" w:lineRule="auto"/>
        <w:ind w:firstLine="3120" w:firstLineChars="1300"/>
        <w:rPr>
          <w:rFonts w:ascii="黑体" w:hAnsi="黑体" w:eastAsia="黑体" w:cs="黑体"/>
          <w:b w:val="0"/>
          <w:bCs w:val="0"/>
          <w:sz w:val="24"/>
        </w:rPr>
      </w:pPr>
    </w:p>
    <w:p>
      <w:pPr>
        <w:pStyle w:val="2"/>
        <w:spacing w:line="360" w:lineRule="auto"/>
        <w:ind w:firstLine="3120" w:firstLineChars="1300"/>
        <w:rPr>
          <w:rFonts w:eastAsia="黑体" w:cs="黑体"/>
          <w:b w:val="0"/>
          <w:bCs w:val="0"/>
          <w:sz w:val="21"/>
          <w:szCs w:val="21"/>
        </w:rPr>
      </w:pPr>
      <w:r>
        <w:rPr>
          <w:rFonts w:hint="eastAsia" w:ascii="黑体" w:hAnsi="黑体" w:eastAsia="黑体" w:cs="黑体"/>
          <w:b w:val="0"/>
          <w:bCs w:val="0"/>
          <w:sz w:val="24"/>
        </w:rPr>
        <w:t xml:space="preserve">表12  粉末振实密度统计结果     </w:t>
      </w:r>
      <w:r>
        <w:rPr>
          <w:rFonts w:hint="eastAsia" w:eastAsia="黑体" w:cs="黑体"/>
          <w:b w:val="0"/>
          <w:bCs w:val="0"/>
          <w:sz w:val="21"/>
          <w:szCs w:val="21"/>
        </w:rPr>
        <w:t xml:space="preserve"> </w:t>
      </w:r>
    </w:p>
    <w:tbl>
      <w:tblPr>
        <w:tblStyle w:val="12"/>
        <w:tblW w:w="7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170"/>
        <w:gridCol w:w="1213"/>
        <w:gridCol w:w="1765"/>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分类</w:t>
            </w:r>
          </w:p>
        </w:tc>
        <w:tc>
          <w:tcPr>
            <w:tcW w:w="1170" w:type="dxa"/>
            <w:vMerge w:val="restart"/>
            <w:vAlign w:val="center"/>
          </w:tcPr>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粒度</w:t>
            </w:r>
          </w:p>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范围/μm</w:t>
            </w:r>
          </w:p>
        </w:tc>
        <w:tc>
          <w:tcPr>
            <w:tcW w:w="1213"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牌号</w:t>
            </w:r>
          </w:p>
        </w:tc>
        <w:tc>
          <w:tcPr>
            <w:tcW w:w="4459" w:type="dxa"/>
            <w:gridSpan w:val="2"/>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振实密度（</w:t>
            </w:r>
            <w:r>
              <w:rPr>
                <w:rFonts w:ascii="宋体" w:hAnsi="宋体" w:cs="宋体"/>
                <w:color w:val="000000"/>
                <w:sz w:val="20"/>
                <w:szCs w:val="18"/>
              </w:rPr>
              <w:t>g/cm</w:t>
            </w:r>
            <w:r>
              <w:rPr>
                <w:rFonts w:ascii="宋体" w:hAnsi="宋体" w:cs="宋体"/>
                <w:color w:val="000000"/>
                <w:sz w:val="20"/>
                <w:szCs w:val="18"/>
                <w:vertAlign w:val="superscript"/>
              </w:rPr>
              <w:t>3</w:t>
            </w:r>
            <w:r>
              <w:rPr>
                <w:rFonts w:hint="eastAsia" w:ascii="宋体" w:hAnsi="宋体" w:cs="宋体"/>
                <w:color w:val="000000"/>
                <w:sz w:val="20"/>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napToGrid w:val="0"/>
              <w:spacing w:line="360" w:lineRule="auto"/>
              <w:jc w:val="center"/>
              <w:rPr>
                <w:rFonts w:ascii="宋体" w:hAnsi="宋体" w:cs="宋体"/>
                <w:color w:val="000000"/>
                <w:sz w:val="20"/>
                <w:szCs w:val="18"/>
              </w:rPr>
            </w:pPr>
          </w:p>
        </w:tc>
        <w:tc>
          <w:tcPr>
            <w:tcW w:w="1213" w:type="dxa"/>
            <w:vMerge w:val="continue"/>
            <w:vAlign w:val="center"/>
          </w:tcPr>
          <w:p>
            <w:pPr>
              <w:spacing w:line="360" w:lineRule="auto"/>
              <w:jc w:val="center"/>
              <w:rPr>
                <w:rFonts w:ascii="宋体" w:hAnsi="宋体" w:cs="宋体"/>
                <w:color w:val="000000"/>
                <w:sz w:val="20"/>
                <w:szCs w:val="18"/>
              </w:rPr>
            </w:pP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单位1</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单位2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Ⅰ类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0～63</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11.91</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11.54</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11.78</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11.85</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12.03</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Ⅱ类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45～150</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12.23</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11.83</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11.98</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12.15</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12.21</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Ⅲ类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30-250</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12.53</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12.12</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12.23</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12.35</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1765"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12.44</w:t>
            </w:r>
          </w:p>
        </w:tc>
        <w:tc>
          <w:tcPr>
            <w:tcW w:w="2694"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12.41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702" w:type="dxa"/>
            <w:gridSpan w:val="5"/>
            <w:vAlign w:val="center"/>
          </w:tcPr>
          <w:p>
            <w:pPr>
              <w:spacing w:line="360" w:lineRule="auto"/>
              <w:jc w:val="left"/>
              <w:rPr>
                <w:rFonts w:ascii="宋体" w:hAnsi="宋体" w:cs="宋体"/>
                <w:color w:val="000000"/>
                <w:sz w:val="20"/>
                <w:szCs w:val="18"/>
              </w:rPr>
            </w:pPr>
            <w:r>
              <w:rPr>
                <w:rFonts w:hint="eastAsia" w:cs="宋体"/>
                <w:sz w:val="18"/>
                <w:szCs w:val="18"/>
              </w:rPr>
              <w:t>注：单位1-广东省材料与加工研究所，单位2-星尘科技（广东）有限公司</w:t>
            </w:r>
          </w:p>
        </w:tc>
      </w:tr>
    </w:tbl>
    <w:p>
      <w:pPr>
        <w:adjustRightInd w:val="0"/>
        <w:spacing w:line="400" w:lineRule="exact"/>
        <w:ind w:firstLine="480" w:firstLineChars="200"/>
        <w:rPr>
          <w:rFonts w:ascii="宋体" w:hAnsi="宋体"/>
          <w:sz w:val="24"/>
        </w:rPr>
      </w:pPr>
      <w:r>
        <w:rPr>
          <w:rFonts w:hint="eastAsia" w:ascii="宋体" w:hAnsi="宋体" w:cs="宋体"/>
          <w:sz w:val="24"/>
        </w:rPr>
        <w:t>从上表中可以看出，广东省材料与加工研究所及其他生产厂家所生产的粉末振实密度均可满足标准设定值，</w:t>
      </w:r>
      <w:r>
        <w:rPr>
          <w:rFonts w:ascii="宋体" w:hAnsi="宋体"/>
          <w:sz w:val="24"/>
        </w:rPr>
        <w:t>标准中规定的</w:t>
      </w:r>
      <w:r>
        <w:rPr>
          <w:rFonts w:hint="eastAsia" w:ascii="宋体" w:hAnsi="宋体"/>
          <w:sz w:val="24"/>
        </w:rPr>
        <w:t>振实</w:t>
      </w:r>
      <w:r>
        <w:rPr>
          <w:rFonts w:ascii="宋体" w:hAnsi="宋体"/>
          <w:sz w:val="24"/>
        </w:rPr>
        <w:t>密度是</w:t>
      </w:r>
      <w:r>
        <w:rPr>
          <w:rFonts w:hint="eastAsia" w:ascii="宋体" w:hAnsi="宋体"/>
          <w:sz w:val="24"/>
        </w:rPr>
        <w:t>科学合理的。</w:t>
      </w:r>
    </w:p>
    <w:p>
      <w:pPr>
        <w:pStyle w:val="2"/>
        <w:spacing w:line="360" w:lineRule="auto"/>
        <w:rPr>
          <w:rFonts w:eastAsia="黑体" w:cs="黑体"/>
          <w:color w:val="333333"/>
          <w:sz w:val="24"/>
        </w:rPr>
      </w:pPr>
      <w:r>
        <w:rPr>
          <w:rFonts w:hint="eastAsia" w:eastAsia="黑体" w:cs="黑体"/>
          <w:b w:val="0"/>
          <w:bCs w:val="0"/>
          <w:sz w:val="24"/>
        </w:rPr>
        <w:t>3.2.4.流动性</w:t>
      </w:r>
    </w:p>
    <w:p>
      <w:pPr>
        <w:pStyle w:val="2"/>
        <w:spacing w:line="360" w:lineRule="auto"/>
        <w:ind w:firstLine="480" w:firstLineChars="200"/>
        <w:rPr>
          <w:rFonts w:cs="宋体"/>
          <w:b w:val="0"/>
          <w:bCs w:val="0"/>
          <w:sz w:val="21"/>
          <w:szCs w:val="21"/>
        </w:rPr>
      </w:pPr>
      <w:r>
        <w:rPr>
          <w:rFonts w:hint="eastAsia" w:cs="宋体"/>
          <w:b w:val="0"/>
          <w:bCs w:val="0"/>
          <w:sz w:val="24"/>
        </w:rPr>
        <w:t>广东省材料与加工研究所及有关厂家、研究机构W1、W90NiFe、</w:t>
      </w:r>
      <w:r>
        <w:rPr>
          <w:rFonts w:cs="宋体"/>
          <w:b w:val="0"/>
          <w:bCs w:val="0"/>
          <w:sz w:val="24"/>
        </w:rPr>
        <w:t>W93NiFe</w:t>
      </w:r>
      <w:r>
        <w:rPr>
          <w:rFonts w:hint="eastAsia" w:cs="宋体"/>
          <w:b w:val="0"/>
          <w:bCs w:val="0"/>
          <w:sz w:val="24"/>
        </w:rPr>
        <w:t>、</w:t>
      </w:r>
      <w:r>
        <w:rPr>
          <w:rFonts w:cs="宋体"/>
          <w:b w:val="0"/>
          <w:bCs w:val="0"/>
          <w:sz w:val="24"/>
        </w:rPr>
        <w:t>FW95NiFe</w:t>
      </w:r>
      <w:r>
        <w:rPr>
          <w:rFonts w:hint="eastAsia" w:cs="宋体"/>
          <w:b w:val="0"/>
          <w:bCs w:val="0"/>
          <w:sz w:val="24"/>
        </w:rPr>
        <w:t>、</w:t>
      </w:r>
      <w:r>
        <w:rPr>
          <w:rFonts w:cs="宋体"/>
          <w:b w:val="0"/>
          <w:bCs w:val="0"/>
          <w:sz w:val="24"/>
        </w:rPr>
        <w:t>W97NiFe</w:t>
      </w:r>
      <w:r>
        <w:rPr>
          <w:rFonts w:hint="eastAsia" w:cs="宋体"/>
          <w:b w:val="0"/>
          <w:bCs w:val="0"/>
          <w:sz w:val="24"/>
        </w:rPr>
        <w:t>合金粉末流动性的统计如表13所示，均可满足标准设定值。</w:t>
      </w:r>
    </w:p>
    <w:p>
      <w:pPr>
        <w:pStyle w:val="2"/>
        <w:spacing w:line="360" w:lineRule="auto"/>
        <w:jc w:val="center"/>
        <w:rPr>
          <w:rFonts w:eastAsia="黑体" w:cs="黑体"/>
          <w:b w:val="0"/>
          <w:bCs w:val="0"/>
          <w:sz w:val="21"/>
          <w:szCs w:val="21"/>
        </w:rPr>
      </w:pPr>
      <w:r>
        <w:rPr>
          <w:rFonts w:hint="eastAsia" w:ascii="黑体" w:hAnsi="黑体" w:eastAsia="黑体" w:cs="黑体"/>
          <w:b w:val="0"/>
          <w:bCs w:val="0"/>
          <w:sz w:val="24"/>
        </w:rPr>
        <w:t>表13  粉末流动性能统计结果</w:t>
      </w:r>
    </w:p>
    <w:tbl>
      <w:tblPr>
        <w:tblStyle w:val="12"/>
        <w:tblW w:w="7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1170"/>
        <w:gridCol w:w="1213"/>
        <w:gridCol w:w="2191"/>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分类</w:t>
            </w:r>
          </w:p>
        </w:tc>
        <w:tc>
          <w:tcPr>
            <w:tcW w:w="1170" w:type="dxa"/>
            <w:vMerge w:val="restart"/>
            <w:vAlign w:val="center"/>
          </w:tcPr>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粒度</w:t>
            </w:r>
          </w:p>
          <w:p>
            <w:pPr>
              <w:snapToGrid w:val="0"/>
              <w:spacing w:line="360" w:lineRule="auto"/>
              <w:jc w:val="center"/>
              <w:rPr>
                <w:rFonts w:ascii="宋体" w:hAnsi="宋体" w:cs="宋体"/>
                <w:color w:val="000000"/>
                <w:sz w:val="20"/>
                <w:szCs w:val="18"/>
              </w:rPr>
            </w:pPr>
            <w:r>
              <w:rPr>
                <w:rFonts w:hint="eastAsia" w:ascii="宋体" w:hAnsi="宋体" w:cs="宋体"/>
                <w:color w:val="000000"/>
                <w:sz w:val="20"/>
                <w:szCs w:val="18"/>
              </w:rPr>
              <w:t>范围/μm</w:t>
            </w:r>
          </w:p>
        </w:tc>
        <w:tc>
          <w:tcPr>
            <w:tcW w:w="1213"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牌号</w:t>
            </w:r>
          </w:p>
        </w:tc>
        <w:tc>
          <w:tcPr>
            <w:tcW w:w="4459" w:type="dxa"/>
            <w:gridSpan w:val="2"/>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流动性（</w:t>
            </w:r>
            <w:r>
              <w:rPr>
                <w:rFonts w:ascii="宋体" w:hAnsi="宋体" w:cs="宋体"/>
                <w:color w:val="000000"/>
                <w:sz w:val="20"/>
                <w:szCs w:val="18"/>
              </w:rPr>
              <w:t>s/</w:t>
            </w:r>
            <w:r>
              <w:rPr>
                <w:rFonts w:hint="eastAsia" w:ascii="宋体" w:hAnsi="宋体" w:cs="宋体"/>
                <w:color w:val="000000"/>
                <w:sz w:val="20"/>
                <w:szCs w:val="18"/>
              </w:rPr>
              <w:t>50g）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napToGrid w:val="0"/>
              <w:spacing w:line="360" w:lineRule="auto"/>
              <w:jc w:val="center"/>
              <w:rPr>
                <w:rFonts w:ascii="宋体" w:hAnsi="宋体" w:cs="宋体"/>
                <w:color w:val="000000"/>
                <w:sz w:val="20"/>
                <w:szCs w:val="18"/>
              </w:rPr>
            </w:pPr>
          </w:p>
        </w:tc>
        <w:tc>
          <w:tcPr>
            <w:tcW w:w="1213" w:type="dxa"/>
            <w:vMerge w:val="continue"/>
            <w:vAlign w:val="center"/>
          </w:tcPr>
          <w:p>
            <w:pPr>
              <w:spacing w:line="360" w:lineRule="auto"/>
              <w:jc w:val="center"/>
              <w:rPr>
                <w:rFonts w:ascii="宋体" w:hAnsi="宋体" w:cs="宋体"/>
                <w:color w:val="000000"/>
                <w:sz w:val="20"/>
                <w:szCs w:val="18"/>
              </w:rPr>
            </w:pP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单位1</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单位2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Ⅰ类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0～63</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5.54</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5.45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Ⅱ类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45～150</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5.01</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5.47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Ⅲ类</w:t>
            </w:r>
          </w:p>
        </w:tc>
        <w:tc>
          <w:tcPr>
            <w:tcW w:w="1170" w:type="dxa"/>
            <w:vMerge w:val="restart"/>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30-250</w:t>
            </w:r>
          </w:p>
        </w:tc>
        <w:tc>
          <w:tcPr>
            <w:tcW w:w="1213" w:type="dxa"/>
            <w:vAlign w:val="center"/>
          </w:tcPr>
          <w:p>
            <w:pPr>
              <w:jc w:val="center"/>
              <w:rPr>
                <w:rFonts w:ascii="宋体" w:hAnsi="宋体" w:cs="宋体"/>
                <w:color w:val="000000"/>
                <w:sz w:val="20"/>
                <w:szCs w:val="18"/>
              </w:rPr>
            </w:pPr>
            <w:r>
              <w:rPr>
                <w:rFonts w:hint="eastAsia" w:ascii="宋体" w:hAnsi="宋体" w:cs="宋体"/>
                <w:sz w:val="20"/>
                <w:szCs w:val="18"/>
              </w:rPr>
              <w:t>W1</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4.85</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W90NiFe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W93NiFe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W95NiFe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860" w:type="dxa"/>
            <w:vMerge w:val="continue"/>
            <w:vAlign w:val="center"/>
          </w:tcPr>
          <w:p>
            <w:pPr>
              <w:spacing w:line="360" w:lineRule="auto"/>
              <w:jc w:val="center"/>
              <w:rPr>
                <w:rFonts w:ascii="宋体" w:hAnsi="宋体" w:cs="宋体"/>
                <w:color w:val="000000"/>
                <w:sz w:val="20"/>
                <w:szCs w:val="18"/>
              </w:rPr>
            </w:pPr>
          </w:p>
        </w:tc>
        <w:tc>
          <w:tcPr>
            <w:tcW w:w="1170" w:type="dxa"/>
            <w:vMerge w:val="continue"/>
            <w:vAlign w:val="center"/>
          </w:tcPr>
          <w:p>
            <w:pPr>
              <w:spacing w:line="360" w:lineRule="auto"/>
              <w:jc w:val="center"/>
              <w:rPr>
                <w:rFonts w:ascii="宋体" w:hAnsi="宋体" w:cs="宋体"/>
                <w:color w:val="000000"/>
                <w:sz w:val="20"/>
                <w:szCs w:val="18"/>
              </w:rPr>
            </w:pPr>
          </w:p>
        </w:tc>
        <w:tc>
          <w:tcPr>
            <w:tcW w:w="1213" w:type="dxa"/>
            <w:vAlign w:val="center"/>
          </w:tcPr>
          <w:p>
            <w:pPr>
              <w:pStyle w:val="36"/>
              <w:tabs>
                <w:tab w:val="center" w:pos="4201"/>
                <w:tab w:val="right" w:leader="dot" w:pos="9298"/>
              </w:tabs>
              <w:spacing w:before="156" w:after="156"/>
              <w:ind w:firstLine="0" w:firstLineChars="0"/>
              <w:jc w:val="center"/>
            </w:pPr>
            <w:r>
              <w:rPr>
                <w:rFonts w:hint="eastAsia"/>
              </w:rPr>
              <w:t>W97NiFe</w:t>
            </w:r>
          </w:p>
        </w:tc>
        <w:tc>
          <w:tcPr>
            <w:tcW w:w="2191"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w:t>
            </w:r>
          </w:p>
        </w:tc>
        <w:tc>
          <w:tcPr>
            <w:tcW w:w="2268" w:type="dxa"/>
            <w:vAlign w:val="center"/>
          </w:tcPr>
          <w:p>
            <w:pPr>
              <w:spacing w:line="360" w:lineRule="auto"/>
              <w:jc w:val="center"/>
              <w:rPr>
                <w:rFonts w:ascii="宋体" w:hAnsi="宋体" w:cs="宋体"/>
                <w:color w:val="000000"/>
                <w:sz w:val="20"/>
                <w:szCs w:val="18"/>
              </w:rPr>
            </w:pPr>
            <w:r>
              <w:rPr>
                <w:rFonts w:hint="eastAsia" w:ascii="宋体" w:hAnsi="宋体" w:cs="宋体"/>
                <w:color w:val="000000"/>
                <w:sz w:val="20"/>
                <w:szCs w:val="18"/>
              </w:rPr>
              <w:t>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7702" w:type="dxa"/>
            <w:gridSpan w:val="5"/>
            <w:vAlign w:val="center"/>
          </w:tcPr>
          <w:p>
            <w:pPr>
              <w:spacing w:line="360" w:lineRule="auto"/>
              <w:jc w:val="left"/>
              <w:rPr>
                <w:rFonts w:ascii="宋体" w:hAnsi="宋体" w:cs="宋体"/>
                <w:color w:val="000000"/>
                <w:sz w:val="20"/>
                <w:szCs w:val="18"/>
              </w:rPr>
            </w:pPr>
            <w:r>
              <w:rPr>
                <w:rFonts w:hint="eastAsia" w:cs="宋体"/>
                <w:sz w:val="18"/>
                <w:szCs w:val="18"/>
              </w:rPr>
              <w:t>注：单位1-广东省材料与加工研究所，单位2-星尘科技（广东）有限公司</w:t>
            </w:r>
          </w:p>
        </w:tc>
      </w:tr>
    </w:tbl>
    <w:p>
      <w:pPr>
        <w:pStyle w:val="2"/>
        <w:spacing w:line="360" w:lineRule="auto"/>
        <w:rPr>
          <w:rFonts w:eastAsia="黑体" w:cs="黑体"/>
          <w:b w:val="0"/>
          <w:bCs w:val="0"/>
          <w:sz w:val="24"/>
        </w:rPr>
      </w:pPr>
    </w:p>
    <w:p>
      <w:pPr>
        <w:adjustRightInd w:val="0"/>
        <w:spacing w:line="400" w:lineRule="exact"/>
        <w:ind w:firstLine="480" w:firstLineChars="200"/>
        <w:rPr>
          <w:rFonts w:ascii="宋体" w:hAnsi="宋体"/>
          <w:sz w:val="24"/>
        </w:rPr>
      </w:pPr>
      <w:r>
        <w:rPr>
          <w:rFonts w:hint="eastAsia" w:ascii="宋体" w:hAnsi="宋体" w:cs="宋体"/>
          <w:sz w:val="24"/>
        </w:rPr>
        <w:t>从上表中可以看出，广东省材料与加工研究所及其他生产厂家所生产的粉末流动性均可满足标准设定值，</w:t>
      </w:r>
      <w:r>
        <w:rPr>
          <w:rFonts w:ascii="宋体" w:hAnsi="宋体"/>
          <w:sz w:val="24"/>
        </w:rPr>
        <w:t>标准中规定的</w:t>
      </w:r>
      <w:r>
        <w:rPr>
          <w:rFonts w:hint="eastAsia" w:ascii="宋体" w:hAnsi="宋体"/>
          <w:sz w:val="24"/>
        </w:rPr>
        <w:t>流动性</w:t>
      </w:r>
      <w:r>
        <w:rPr>
          <w:rFonts w:ascii="宋体" w:hAnsi="宋体"/>
          <w:sz w:val="24"/>
        </w:rPr>
        <w:t>是</w:t>
      </w:r>
      <w:r>
        <w:rPr>
          <w:rFonts w:hint="eastAsia" w:ascii="宋体" w:hAnsi="宋体"/>
          <w:sz w:val="24"/>
        </w:rPr>
        <w:t>科学合理的。</w:t>
      </w:r>
    </w:p>
    <w:p>
      <w:pPr>
        <w:spacing w:line="360" w:lineRule="auto"/>
        <w:rPr>
          <w:rFonts w:eastAsia="黑体"/>
          <w:sz w:val="24"/>
        </w:rPr>
      </w:pPr>
      <w:r>
        <w:rPr>
          <w:rFonts w:hint="eastAsia" w:eastAsia="黑体"/>
          <w:sz w:val="24"/>
        </w:rPr>
        <w:t>四、 标准水平分析</w:t>
      </w:r>
    </w:p>
    <w:p>
      <w:pPr>
        <w:spacing w:line="360" w:lineRule="auto"/>
        <w:rPr>
          <w:rFonts w:eastAsia="黑体"/>
          <w:sz w:val="24"/>
        </w:rPr>
      </w:pPr>
      <w:r>
        <w:rPr>
          <w:rFonts w:hint="eastAsia" w:eastAsia="黑体"/>
          <w:sz w:val="24"/>
        </w:rPr>
        <w:t>4.1.采用国际标准和国外先进标准的程度</w:t>
      </w:r>
    </w:p>
    <w:p>
      <w:pPr>
        <w:pStyle w:val="9"/>
        <w:spacing w:after="0" w:line="360" w:lineRule="auto"/>
        <w:ind w:left="0" w:leftChars="0" w:firstLine="480" w:firstLineChars="200"/>
        <w:rPr>
          <w:sz w:val="24"/>
          <w:szCs w:val="24"/>
        </w:rPr>
      </w:pPr>
      <w:r>
        <w:rPr>
          <w:rFonts w:hint="eastAsia"/>
          <w:sz w:val="24"/>
          <w:szCs w:val="24"/>
        </w:rPr>
        <w:t>经查，国外无类似产品标准，因此本标准不采用其它国际或国外标准。</w:t>
      </w:r>
    </w:p>
    <w:p>
      <w:pPr>
        <w:pStyle w:val="9"/>
        <w:spacing w:after="0" w:line="360" w:lineRule="auto"/>
        <w:ind w:left="0" w:leftChars="0"/>
        <w:rPr>
          <w:rFonts w:eastAsia="黑体"/>
          <w:sz w:val="24"/>
        </w:rPr>
      </w:pPr>
      <w:r>
        <w:rPr>
          <w:rFonts w:hint="eastAsia" w:eastAsia="黑体"/>
          <w:sz w:val="24"/>
        </w:rPr>
        <w:t>4.2.国际、国外同类标准水平的对比分析</w:t>
      </w:r>
    </w:p>
    <w:p>
      <w:pPr>
        <w:pStyle w:val="9"/>
        <w:spacing w:line="360" w:lineRule="auto"/>
        <w:ind w:left="0" w:leftChars="0" w:firstLine="480" w:firstLineChars="200"/>
        <w:rPr>
          <w:sz w:val="24"/>
        </w:rPr>
      </w:pPr>
      <w:r>
        <w:rPr>
          <w:rFonts w:hint="eastAsia"/>
          <w:sz w:val="24"/>
        </w:rPr>
        <w:t>本标准是国内首次起草的增材制造用钨及钨合金粉专用国家标准，本标准结合当前实际生产水平、应用需求以及成熟企业的企业标准和技术要求，对增材制造钨及钨合金粉末的化学成分、粒度分布、流动性、松装密度、振实密度、球形率等相关指标进行了规定，可以完全满足我国增材制造用钨及钨合金粉的产品需求。</w:t>
      </w:r>
    </w:p>
    <w:p>
      <w:pPr>
        <w:pStyle w:val="9"/>
        <w:spacing w:after="0" w:line="360" w:lineRule="auto"/>
        <w:ind w:left="0" w:leftChars="0" w:firstLine="480" w:firstLineChars="200"/>
        <w:rPr>
          <w:sz w:val="24"/>
        </w:rPr>
      </w:pPr>
      <w:r>
        <w:rPr>
          <w:rFonts w:hint="eastAsia"/>
          <w:sz w:val="24"/>
        </w:rPr>
        <w:t>综上所述，本标准的主要技术指标均达到国际先进水平。</w:t>
      </w:r>
    </w:p>
    <w:p>
      <w:pPr>
        <w:pStyle w:val="9"/>
        <w:spacing w:after="0" w:line="360" w:lineRule="auto"/>
        <w:ind w:left="0" w:leftChars="0"/>
        <w:rPr>
          <w:rFonts w:eastAsia="黑体"/>
          <w:sz w:val="24"/>
        </w:rPr>
      </w:pPr>
      <w:r>
        <w:rPr>
          <w:rFonts w:hint="eastAsia" w:eastAsia="黑体"/>
          <w:sz w:val="24"/>
        </w:rPr>
        <w:t>4.3.与现有标准及制定中标准协调配套的情况</w:t>
      </w:r>
    </w:p>
    <w:p>
      <w:pPr>
        <w:pStyle w:val="9"/>
        <w:spacing w:after="0" w:line="360" w:lineRule="auto"/>
        <w:ind w:left="0" w:leftChars="0" w:firstLine="480" w:firstLineChars="200"/>
        <w:rPr>
          <w:sz w:val="24"/>
        </w:rPr>
      </w:pPr>
      <w:r>
        <w:rPr>
          <w:rFonts w:hint="eastAsia"/>
          <w:sz w:val="24"/>
        </w:rPr>
        <w:t>经查，本标准的制订与现有的标准及制订中的标准协调配套，无重复交叉现象。</w:t>
      </w:r>
    </w:p>
    <w:p>
      <w:pPr>
        <w:spacing w:line="360" w:lineRule="auto"/>
        <w:rPr>
          <w:rFonts w:eastAsia="黑体"/>
          <w:sz w:val="24"/>
        </w:rPr>
      </w:pPr>
      <w:r>
        <w:rPr>
          <w:rFonts w:hint="eastAsia" w:eastAsia="黑体"/>
          <w:sz w:val="24"/>
        </w:rPr>
        <w:t>4.4.涉及国内外专利及处置情况</w:t>
      </w:r>
    </w:p>
    <w:p>
      <w:pPr>
        <w:spacing w:line="360" w:lineRule="auto"/>
        <w:ind w:firstLine="480" w:firstLineChars="200"/>
        <w:rPr>
          <w:sz w:val="24"/>
        </w:rPr>
      </w:pPr>
      <w:r>
        <w:rPr>
          <w:rFonts w:hint="eastAsia"/>
          <w:sz w:val="24"/>
        </w:rPr>
        <w:t>经查，本标准不涉及国内外专利。</w:t>
      </w:r>
    </w:p>
    <w:p>
      <w:pPr>
        <w:spacing w:line="360" w:lineRule="auto"/>
        <w:rPr>
          <w:rFonts w:eastAsia="黑体"/>
          <w:sz w:val="24"/>
        </w:rPr>
      </w:pPr>
      <w:r>
        <w:rPr>
          <w:rFonts w:hint="eastAsia" w:eastAsia="黑体"/>
          <w:sz w:val="24"/>
        </w:rPr>
        <w:t>五、与有关的现行法律、法规和强制性国家标准的关系</w:t>
      </w:r>
    </w:p>
    <w:p>
      <w:pPr>
        <w:spacing w:line="360" w:lineRule="auto"/>
        <w:ind w:firstLine="480" w:firstLineChars="200"/>
        <w:rPr>
          <w:sz w:val="24"/>
        </w:rPr>
      </w:pPr>
      <w:r>
        <w:rPr>
          <w:rFonts w:hint="eastAsia"/>
          <w:sz w:val="24"/>
        </w:rPr>
        <w:t>本标准与有关的现行法律、法规和强制性国家标准没有冲突。</w:t>
      </w:r>
    </w:p>
    <w:p>
      <w:pPr>
        <w:spacing w:line="360" w:lineRule="auto"/>
        <w:rPr>
          <w:rFonts w:eastAsia="黑体"/>
          <w:sz w:val="24"/>
        </w:rPr>
      </w:pPr>
      <w:r>
        <w:rPr>
          <w:rFonts w:hint="eastAsia" w:eastAsia="黑体"/>
          <w:sz w:val="24"/>
        </w:rPr>
        <w:t>六、重大分歧意见的处理经过和依据</w:t>
      </w:r>
    </w:p>
    <w:p>
      <w:pPr>
        <w:spacing w:line="360" w:lineRule="auto"/>
        <w:ind w:firstLine="570"/>
        <w:rPr>
          <w:sz w:val="24"/>
        </w:rPr>
      </w:pPr>
      <w:r>
        <w:rPr>
          <w:rFonts w:hint="eastAsia"/>
          <w:sz w:val="24"/>
        </w:rPr>
        <w:t>无重大分歧意见。</w:t>
      </w:r>
    </w:p>
    <w:p>
      <w:pPr>
        <w:spacing w:line="360" w:lineRule="auto"/>
        <w:rPr>
          <w:rFonts w:eastAsia="黑体"/>
          <w:sz w:val="24"/>
        </w:rPr>
      </w:pPr>
      <w:r>
        <w:rPr>
          <w:rFonts w:hint="eastAsia" w:eastAsia="黑体"/>
          <w:sz w:val="24"/>
        </w:rPr>
        <w:t>七、标准作为强制性标准或推荐性标准的建议</w:t>
      </w:r>
    </w:p>
    <w:p>
      <w:pPr>
        <w:spacing w:line="360" w:lineRule="auto"/>
        <w:ind w:firstLine="480" w:firstLineChars="200"/>
        <w:rPr>
          <w:sz w:val="24"/>
        </w:rPr>
      </w:pPr>
      <w:r>
        <w:rPr>
          <w:rFonts w:hint="eastAsia"/>
          <w:sz w:val="24"/>
        </w:rPr>
        <w:t>鉴于国内目前没有关于增材制造用钨及钨合金粉的专用国家标准，因此建议该标准作为推荐性国家标准。</w:t>
      </w:r>
    </w:p>
    <w:p>
      <w:pPr>
        <w:spacing w:line="360" w:lineRule="auto"/>
        <w:rPr>
          <w:rFonts w:eastAsia="黑体"/>
          <w:sz w:val="24"/>
        </w:rPr>
      </w:pPr>
      <w:r>
        <w:rPr>
          <w:rFonts w:hint="eastAsia" w:eastAsia="黑体"/>
          <w:sz w:val="24"/>
        </w:rPr>
        <w:t>八、贯彻标准的要求和措施建议</w:t>
      </w:r>
    </w:p>
    <w:p>
      <w:pPr>
        <w:spacing w:line="360" w:lineRule="auto"/>
        <w:ind w:firstLine="480" w:firstLineChars="200"/>
        <w:rPr>
          <w:sz w:val="24"/>
        </w:rPr>
      </w:pPr>
      <w:r>
        <w:rPr>
          <w:rFonts w:hint="eastAsia"/>
          <w:sz w:val="24"/>
        </w:rPr>
        <w:t>无。</w:t>
      </w:r>
    </w:p>
    <w:p>
      <w:pPr>
        <w:spacing w:line="360" w:lineRule="auto"/>
        <w:rPr>
          <w:rFonts w:eastAsia="黑体"/>
          <w:sz w:val="24"/>
        </w:rPr>
      </w:pPr>
      <w:r>
        <w:rPr>
          <w:rFonts w:hint="eastAsia" w:eastAsia="黑体"/>
          <w:sz w:val="24"/>
        </w:rPr>
        <w:t>九、废止现行有关标准的建议</w:t>
      </w:r>
    </w:p>
    <w:p>
      <w:pPr>
        <w:spacing w:line="360" w:lineRule="auto"/>
        <w:ind w:firstLine="480" w:firstLineChars="200"/>
        <w:rPr>
          <w:sz w:val="24"/>
        </w:rPr>
      </w:pPr>
      <w:r>
        <w:rPr>
          <w:rFonts w:hint="eastAsia"/>
          <w:sz w:val="24"/>
        </w:rPr>
        <w:t>无。</w:t>
      </w:r>
    </w:p>
    <w:p>
      <w:pPr>
        <w:spacing w:line="360" w:lineRule="auto"/>
        <w:rPr>
          <w:rFonts w:eastAsia="黑体"/>
          <w:sz w:val="24"/>
        </w:rPr>
      </w:pPr>
      <w:r>
        <w:rPr>
          <w:rFonts w:hint="eastAsia" w:eastAsia="黑体"/>
          <w:sz w:val="24"/>
        </w:rPr>
        <w:t>十、其他应予说明的事项</w:t>
      </w:r>
    </w:p>
    <w:p>
      <w:pPr>
        <w:spacing w:line="360" w:lineRule="auto"/>
        <w:ind w:firstLine="480" w:firstLineChars="200"/>
        <w:rPr>
          <w:sz w:val="24"/>
        </w:rPr>
      </w:pPr>
      <w:r>
        <w:rPr>
          <w:rFonts w:hint="eastAsia"/>
          <w:sz w:val="24"/>
        </w:rPr>
        <w:t>无。</w:t>
      </w:r>
    </w:p>
    <w:p>
      <w:pPr>
        <w:spacing w:line="360" w:lineRule="auto"/>
        <w:rPr>
          <w:rFonts w:eastAsia="黑体"/>
          <w:sz w:val="24"/>
        </w:rPr>
      </w:pPr>
      <w:r>
        <w:rPr>
          <w:rFonts w:hint="eastAsia" w:eastAsia="黑体"/>
          <w:sz w:val="24"/>
        </w:rPr>
        <w:t>十一、预期效果</w:t>
      </w:r>
    </w:p>
    <w:p>
      <w:pPr>
        <w:spacing w:line="360" w:lineRule="auto"/>
        <w:ind w:firstLine="480" w:firstLineChars="200"/>
        <w:rPr>
          <w:sz w:val="24"/>
        </w:rPr>
      </w:pPr>
      <w:r>
        <w:rPr>
          <w:rFonts w:hint="eastAsia"/>
          <w:sz w:val="24"/>
        </w:rPr>
        <w:t>本标准实施后，对我国增材制造工业领域所需钨及钨合金粉的要求更加合理规范，这有利于提升增材制造钨及钨合金材料的各项性能指标，使我国钨及钨合金材料的增材制备技术和整体性能达到国际先进水平，满足国防军工、航空航天、核工业等关键领域的应用需求，并推进高性能钨及钨合金材料的发展和应用起到积极的促进作用。</w:t>
      </w:r>
    </w:p>
    <w:p>
      <w:pPr>
        <w:spacing w:line="360" w:lineRule="auto"/>
        <w:ind w:firstLine="480" w:firstLineChars="200"/>
        <w:rPr>
          <w:sz w:val="24"/>
        </w:rPr>
      </w:pPr>
      <w:r>
        <w:rPr>
          <w:rFonts w:hint="eastAsia"/>
          <w:sz w:val="24"/>
        </w:rPr>
        <w:t>可积极向生产厂家及国内外用户推荐本标准。</w:t>
      </w:r>
    </w:p>
    <w:p>
      <w:pPr>
        <w:spacing w:line="360" w:lineRule="auto"/>
        <w:ind w:firstLine="480" w:firstLineChars="200"/>
        <w:rPr>
          <w:sz w:val="24"/>
        </w:rPr>
      </w:pPr>
      <w:r>
        <w:rPr>
          <w:sz w:val="24"/>
        </w:rPr>
        <w:t xml:space="preserve">                                                         </w:t>
      </w:r>
    </w:p>
    <w:p>
      <w:pPr>
        <w:pStyle w:val="2"/>
        <w:jc w:val="right"/>
        <w:rPr>
          <w:rFonts w:ascii="黑体" w:hAnsi="黑体" w:eastAsia="黑体"/>
          <w:b w:val="0"/>
          <w:sz w:val="24"/>
        </w:rPr>
      </w:pPr>
      <w:r>
        <w:rPr>
          <w:rFonts w:hint="eastAsia" w:ascii="黑体" w:hAnsi="黑体" w:eastAsia="黑体"/>
          <w:b w:val="0"/>
          <w:sz w:val="24"/>
        </w:rPr>
        <w:t xml:space="preserve">广东省材料与加工研究所 </w:t>
      </w:r>
    </w:p>
    <w:p>
      <w:pPr>
        <w:pStyle w:val="2"/>
        <w:jc w:val="right"/>
        <w:rPr>
          <w:rFonts w:ascii="黑体" w:hAnsi="黑体" w:eastAsia="黑体"/>
          <w:b w:val="0"/>
          <w:sz w:val="24"/>
        </w:rPr>
      </w:pPr>
      <w:r>
        <w:rPr>
          <w:rFonts w:hint="eastAsia" w:ascii="黑体" w:hAnsi="黑体" w:eastAsia="黑体"/>
          <w:b w:val="0"/>
          <w:sz w:val="24"/>
        </w:rPr>
        <w:t>洛阳金鹭硬质合金工具有限公司</w:t>
      </w:r>
    </w:p>
    <w:p>
      <w:pPr>
        <w:pStyle w:val="46"/>
        <w:spacing w:line="360" w:lineRule="auto"/>
        <w:ind w:firstLine="480"/>
        <w:jc w:val="right"/>
        <w:rPr>
          <w:rFonts w:ascii="黑体" w:hAnsi="黑体" w:eastAsia="黑体" w:cs="黑体"/>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rFonts w:hint="eastAsia" w:ascii="黑体" w:hAnsi="黑体" w:eastAsia="黑体" w:cs="黑体"/>
          <w:sz w:val="24"/>
          <w:szCs w:val="24"/>
        </w:rPr>
        <w:t>《增材制造用钨及钨合粉》标准编制小组</w:t>
      </w:r>
    </w:p>
    <w:p>
      <w:pPr>
        <w:pStyle w:val="46"/>
        <w:spacing w:line="360" w:lineRule="auto"/>
        <w:ind w:firstLine="480"/>
        <w:rPr>
          <w:rFonts w:ascii="黑体" w:hAnsi="黑体" w:eastAsia="黑体" w:cs="黑体"/>
          <w:sz w:val="24"/>
          <w:szCs w:val="24"/>
        </w:rPr>
      </w:pPr>
      <w:r>
        <w:rPr>
          <w:rFonts w:hint="eastAsia" w:ascii="黑体" w:hAnsi="黑体" w:eastAsia="黑体" w:cs="黑体"/>
          <w:sz w:val="24"/>
          <w:szCs w:val="24"/>
        </w:rPr>
        <w:t xml:space="preserve">                                                       2020年8月31日</w:t>
      </w:r>
    </w:p>
    <w:p>
      <w:pPr>
        <w:pStyle w:val="46"/>
        <w:spacing w:line="360" w:lineRule="auto"/>
        <w:ind w:firstLine="480"/>
        <w:rPr>
          <w:rFonts w:ascii="Times New Roman" w:hAnsi="Times New Roman"/>
          <w:sz w:val="24"/>
          <w:szCs w:val="24"/>
        </w:rPr>
      </w:pPr>
    </w:p>
    <w:p>
      <w:pPr>
        <w:pStyle w:val="46"/>
        <w:spacing w:line="360" w:lineRule="auto"/>
        <w:ind w:firstLine="480"/>
        <w:rPr>
          <w:rFonts w:ascii="Times New Roman" w:hAnsi="Times New Roman"/>
          <w:sz w:val="24"/>
          <w:szCs w:val="24"/>
        </w:rPr>
      </w:pPr>
    </w:p>
    <w:p>
      <w:pPr>
        <w:spacing w:line="360" w:lineRule="auto"/>
        <w:rPr>
          <w:sz w:val="24"/>
        </w:rPr>
      </w:pPr>
    </w:p>
    <w:sectPr>
      <w:pgSz w:w="11906" w:h="16838"/>
      <w:pgMar w:top="1440" w:right="1440" w:bottom="144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erif">
    <w:altName w:val="Segoe Print"/>
    <w:panose1 w:val="00000000000000000000"/>
    <w:charset w:val="00"/>
    <w:family w:val="auto"/>
    <w:pitch w:val="default"/>
    <w:sig w:usb0="00000000" w:usb1="00000000" w:usb2="00000000" w:usb3="00000000" w:csb0="00040001" w:csb1="00000000"/>
  </w:font>
  <w:font w:name="F-BZ9-PK7483cb-Identity-H">
    <w:altName w:val="宋体"/>
    <w:panose1 w:val="00000000000000000000"/>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21</w:t>
    </w:r>
    <w:r>
      <w:fldChar w:fldCharType="end"/>
    </w:r>
  </w:p>
  <w:p>
    <w:pPr>
      <w:pStyle w:val="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C2288"/>
    <w:multiLevelType w:val="singleLevel"/>
    <w:tmpl w:val="2D6C2288"/>
    <w:lvl w:ilvl="0" w:tentative="0">
      <w:start w:val="1"/>
      <w:numFmt w:val="lowerLetter"/>
      <w:suff w:val="space"/>
      <w:lvlText w:val="%1)"/>
      <w:lvlJc w:val="left"/>
    </w:lvl>
  </w:abstractNum>
  <w:abstractNum w:abstractNumId="1">
    <w:nsid w:val="44C50F90"/>
    <w:multiLevelType w:val="multilevel"/>
    <w:tmpl w:val="44C50F90"/>
    <w:lvl w:ilvl="0" w:tentative="0">
      <w:start w:val="1"/>
      <w:numFmt w:val="lowerLetter"/>
      <w:pStyle w:val="44"/>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646260FA"/>
    <w:multiLevelType w:val="multilevel"/>
    <w:tmpl w:val="646260FA"/>
    <w:lvl w:ilvl="0" w:tentative="0">
      <w:start w:val="1"/>
      <w:numFmt w:val="decimal"/>
      <w:pStyle w:val="41"/>
      <w:suff w:val="nothing"/>
      <w:lvlText w:val="表%1　"/>
      <w:lvlJc w:val="left"/>
      <w:pPr>
        <w:ind w:left="4962"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62"/>
    <w:rsid w:val="00000EC2"/>
    <w:rsid w:val="0000181D"/>
    <w:rsid w:val="000057A1"/>
    <w:rsid w:val="00011531"/>
    <w:rsid w:val="00015FE8"/>
    <w:rsid w:val="0002046E"/>
    <w:rsid w:val="00021B1C"/>
    <w:rsid w:val="00024606"/>
    <w:rsid w:val="0002580F"/>
    <w:rsid w:val="000268F3"/>
    <w:rsid w:val="00030090"/>
    <w:rsid w:val="000311DA"/>
    <w:rsid w:val="00034701"/>
    <w:rsid w:val="0003580C"/>
    <w:rsid w:val="000361D8"/>
    <w:rsid w:val="00040904"/>
    <w:rsid w:val="00040EF3"/>
    <w:rsid w:val="00042491"/>
    <w:rsid w:val="000439F4"/>
    <w:rsid w:val="000501A3"/>
    <w:rsid w:val="00050CDF"/>
    <w:rsid w:val="000512DB"/>
    <w:rsid w:val="000567DF"/>
    <w:rsid w:val="00056991"/>
    <w:rsid w:val="00063173"/>
    <w:rsid w:val="0006539F"/>
    <w:rsid w:val="000725C5"/>
    <w:rsid w:val="000725DD"/>
    <w:rsid w:val="00072DDF"/>
    <w:rsid w:val="00074480"/>
    <w:rsid w:val="00074616"/>
    <w:rsid w:val="00077F08"/>
    <w:rsid w:val="00084AED"/>
    <w:rsid w:val="00086B12"/>
    <w:rsid w:val="00086D9D"/>
    <w:rsid w:val="00091409"/>
    <w:rsid w:val="00094EFB"/>
    <w:rsid w:val="000A2750"/>
    <w:rsid w:val="000A5D0E"/>
    <w:rsid w:val="000A6F8F"/>
    <w:rsid w:val="000A7FDF"/>
    <w:rsid w:val="000B1FE4"/>
    <w:rsid w:val="000B2D05"/>
    <w:rsid w:val="000B4694"/>
    <w:rsid w:val="000B631A"/>
    <w:rsid w:val="000C1875"/>
    <w:rsid w:val="000C32B4"/>
    <w:rsid w:val="000D0C54"/>
    <w:rsid w:val="000D320C"/>
    <w:rsid w:val="000D3A60"/>
    <w:rsid w:val="000D3C7F"/>
    <w:rsid w:val="000D594F"/>
    <w:rsid w:val="000E19EA"/>
    <w:rsid w:val="000E201B"/>
    <w:rsid w:val="000E3501"/>
    <w:rsid w:val="001032F3"/>
    <w:rsid w:val="00107219"/>
    <w:rsid w:val="00111D0D"/>
    <w:rsid w:val="0011213D"/>
    <w:rsid w:val="00115995"/>
    <w:rsid w:val="00133D9C"/>
    <w:rsid w:val="00143E1C"/>
    <w:rsid w:val="00144D8E"/>
    <w:rsid w:val="00144F07"/>
    <w:rsid w:val="001450BA"/>
    <w:rsid w:val="001567F5"/>
    <w:rsid w:val="00156E38"/>
    <w:rsid w:val="00162737"/>
    <w:rsid w:val="00163B77"/>
    <w:rsid w:val="001669EC"/>
    <w:rsid w:val="00172A27"/>
    <w:rsid w:val="001748E6"/>
    <w:rsid w:val="00190620"/>
    <w:rsid w:val="00197C98"/>
    <w:rsid w:val="001A1436"/>
    <w:rsid w:val="001A2C6D"/>
    <w:rsid w:val="001B364B"/>
    <w:rsid w:val="001C01DD"/>
    <w:rsid w:val="001C122A"/>
    <w:rsid w:val="001C587B"/>
    <w:rsid w:val="001C61CA"/>
    <w:rsid w:val="001D0CE2"/>
    <w:rsid w:val="001D3688"/>
    <w:rsid w:val="001D3D53"/>
    <w:rsid w:val="001E6C9C"/>
    <w:rsid w:val="00200D5F"/>
    <w:rsid w:val="00201E75"/>
    <w:rsid w:val="002024BA"/>
    <w:rsid w:val="00207458"/>
    <w:rsid w:val="0021063E"/>
    <w:rsid w:val="00210BFF"/>
    <w:rsid w:val="002116DA"/>
    <w:rsid w:val="002128AC"/>
    <w:rsid w:val="00215FD1"/>
    <w:rsid w:val="00221ACE"/>
    <w:rsid w:val="00234798"/>
    <w:rsid w:val="00243205"/>
    <w:rsid w:val="00243679"/>
    <w:rsid w:val="00252A8E"/>
    <w:rsid w:val="002565E3"/>
    <w:rsid w:val="002574C7"/>
    <w:rsid w:val="00261A88"/>
    <w:rsid w:val="002630CF"/>
    <w:rsid w:val="00263694"/>
    <w:rsid w:val="002673B8"/>
    <w:rsid w:val="00267498"/>
    <w:rsid w:val="002704D6"/>
    <w:rsid w:val="00272592"/>
    <w:rsid w:val="00274074"/>
    <w:rsid w:val="00275D3A"/>
    <w:rsid w:val="00281205"/>
    <w:rsid w:val="00281647"/>
    <w:rsid w:val="0028203F"/>
    <w:rsid w:val="002824B0"/>
    <w:rsid w:val="00296771"/>
    <w:rsid w:val="00296E1A"/>
    <w:rsid w:val="002A5052"/>
    <w:rsid w:val="002B0059"/>
    <w:rsid w:val="002B0C9B"/>
    <w:rsid w:val="002B19B1"/>
    <w:rsid w:val="002B3BCC"/>
    <w:rsid w:val="002B4361"/>
    <w:rsid w:val="002B479C"/>
    <w:rsid w:val="002C121A"/>
    <w:rsid w:val="002D04E3"/>
    <w:rsid w:val="002D5D1B"/>
    <w:rsid w:val="002F193E"/>
    <w:rsid w:val="002F5F42"/>
    <w:rsid w:val="00302B37"/>
    <w:rsid w:val="00304FFE"/>
    <w:rsid w:val="00307565"/>
    <w:rsid w:val="00312E8C"/>
    <w:rsid w:val="0031427C"/>
    <w:rsid w:val="003143EA"/>
    <w:rsid w:val="00316A78"/>
    <w:rsid w:val="00317DEC"/>
    <w:rsid w:val="0032306E"/>
    <w:rsid w:val="00325534"/>
    <w:rsid w:val="003279F4"/>
    <w:rsid w:val="00337D40"/>
    <w:rsid w:val="00340235"/>
    <w:rsid w:val="00341E3F"/>
    <w:rsid w:val="0034377D"/>
    <w:rsid w:val="003476FE"/>
    <w:rsid w:val="00357759"/>
    <w:rsid w:val="00362B04"/>
    <w:rsid w:val="003633C0"/>
    <w:rsid w:val="00366940"/>
    <w:rsid w:val="0037187A"/>
    <w:rsid w:val="00374036"/>
    <w:rsid w:val="00380611"/>
    <w:rsid w:val="00381B8D"/>
    <w:rsid w:val="00387596"/>
    <w:rsid w:val="003A0F94"/>
    <w:rsid w:val="003A1688"/>
    <w:rsid w:val="003A3EB2"/>
    <w:rsid w:val="003A4E82"/>
    <w:rsid w:val="003A71BB"/>
    <w:rsid w:val="003B052A"/>
    <w:rsid w:val="003B36FB"/>
    <w:rsid w:val="003B38F1"/>
    <w:rsid w:val="003B7F64"/>
    <w:rsid w:val="003C34CB"/>
    <w:rsid w:val="003C3FDE"/>
    <w:rsid w:val="003C4C3A"/>
    <w:rsid w:val="003D0436"/>
    <w:rsid w:val="003D1F8F"/>
    <w:rsid w:val="003D35C5"/>
    <w:rsid w:val="003D4EB8"/>
    <w:rsid w:val="003E0618"/>
    <w:rsid w:val="003E0B54"/>
    <w:rsid w:val="003E2DF5"/>
    <w:rsid w:val="003E3543"/>
    <w:rsid w:val="003E3A4A"/>
    <w:rsid w:val="003E4B44"/>
    <w:rsid w:val="003F66F4"/>
    <w:rsid w:val="003F6ADC"/>
    <w:rsid w:val="003F7C82"/>
    <w:rsid w:val="00400433"/>
    <w:rsid w:val="00401488"/>
    <w:rsid w:val="0041316E"/>
    <w:rsid w:val="00416BCD"/>
    <w:rsid w:val="004357CE"/>
    <w:rsid w:val="00436F4C"/>
    <w:rsid w:val="00442AE3"/>
    <w:rsid w:val="00446DFD"/>
    <w:rsid w:val="00450151"/>
    <w:rsid w:val="00460C8A"/>
    <w:rsid w:val="00461E71"/>
    <w:rsid w:val="00462612"/>
    <w:rsid w:val="00466140"/>
    <w:rsid w:val="00466939"/>
    <w:rsid w:val="0046728C"/>
    <w:rsid w:val="00470A67"/>
    <w:rsid w:val="0047760F"/>
    <w:rsid w:val="00491DDD"/>
    <w:rsid w:val="0049285B"/>
    <w:rsid w:val="00497DE5"/>
    <w:rsid w:val="004A0251"/>
    <w:rsid w:val="004A49D7"/>
    <w:rsid w:val="004B0D1F"/>
    <w:rsid w:val="004B1F37"/>
    <w:rsid w:val="004B2F6B"/>
    <w:rsid w:val="004B70D2"/>
    <w:rsid w:val="004B78FC"/>
    <w:rsid w:val="004C1611"/>
    <w:rsid w:val="004C6EE8"/>
    <w:rsid w:val="004C72B8"/>
    <w:rsid w:val="004D04C3"/>
    <w:rsid w:val="004D2CF4"/>
    <w:rsid w:val="004D2E37"/>
    <w:rsid w:val="004D4642"/>
    <w:rsid w:val="004D4711"/>
    <w:rsid w:val="004D54F8"/>
    <w:rsid w:val="004D666A"/>
    <w:rsid w:val="004E00D6"/>
    <w:rsid w:val="004E0228"/>
    <w:rsid w:val="004E1E6C"/>
    <w:rsid w:val="004E32E0"/>
    <w:rsid w:val="004E4E3E"/>
    <w:rsid w:val="004E5D66"/>
    <w:rsid w:val="004E6273"/>
    <w:rsid w:val="004F13A7"/>
    <w:rsid w:val="004F6633"/>
    <w:rsid w:val="004F7893"/>
    <w:rsid w:val="005012EA"/>
    <w:rsid w:val="00504015"/>
    <w:rsid w:val="0050461C"/>
    <w:rsid w:val="00510C4D"/>
    <w:rsid w:val="005127D0"/>
    <w:rsid w:val="00514F0A"/>
    <w:rsid w:val="0051636C"/>
    <w:rsid w:val="0051671E"/>
    <w:rsid w:val="00521A27"/>
    <w:rsid w:val="00523AC5"/>
    <w:rsid w:val="0052427E"/>
    <w:rsid w:val="00527230"/>
    <w:rsid w:val="00527394"/>
    <w:rsid w:val="00527423"/>
    <w:rsid w:val="0053074B"/>
    <w:rsid w:val="00535C30"/>
    <w:rsid w:val="00536BEF"/>
    <w:rsid w:val="00542C20"/>
    <w:rsid w:val="0054388E"/>
    <w:rsid w:val="00543D0F"/>
    <w:rsid w:val="005447F1"/>
    <w:rsid w:val="0054625A"/>
    <w:rsid w:val="0054795E"/>
    <w:rsid w:val="00550A68"/>
    <w:rsid w:val="00562C6C"/>
    <w:rsid w:val="00562E8F"/>
    <w:rsid w:val="00563979"/>
    <w:rsid w:val="0056757A"/>
    <w:rsid w:val="00570F43"/>
    <w:rsid w:val="005730AE"/>
    <w:rsid w:val="0057461E"/>
    <w:rsid w:val="0058581D"/>
    <w:rsid w:val="0058727B"/>
    <w:rsid w:val="005900A3"/>
    <w:rsid w:val="005947E2"/>
    <w:rsid w:val="00594C50"/>
    <w:rsid w:val="005B3E75"/>
    <w:rsid w:val="005B51B2"/>
    <w:rsid w:val="005B7D7A"/>
    <w:rsid w:val="005C0377"/>
    <w:rsid w:val="005C35BA"/>
    <w:rsid w:val="005C591B"/>
    <w:rsid w:val="005C5E0A"/>
    <w:rsid w:val="005C7348"/>
    <w:rsid w:val="005D07B2"/>
    <w:rsid w:val="005D1728"/>
    <w:rsid w:val="005D1B1A"/>
    <w:rsid w:val="005D515A"/>
    <w:rsid w:val="005E0B6D"/>
    <w:rsid w:val="005E0C2E"/>
    <w:rsid w:val="005E3430"/>
    <w:rsid w:val="005E4924"/>
    <w:rsid w:val="005E624B"/>
    <w:rsid w:val="005F4F3D"/>
    <w:rsid w:val="005F5498"/>
    <w:rsid w:val="0060686C"/>
    <w:rsid w:val="00606C2A"/>
    <w:rsid w:val="00606C47"/>
    <w:rsid w:val="0060746D"/>
    <w:rsid w:val="00607A6F"/>
    <w:rsid w:val="006108B4"/>
    <w:rsid w:val="006123AA"/>
    <w:rsid w:val="00614B12"/>
    <w:rsid w:val="006178AF"/>
    <w:rsid w:val="0062217E"/>
    <w:rsid w:val="00623425"/>
    <w:rsid w:val="00627CBE"/>
    <w:rsid w:val="006311BE"/>
    <w:rsid w:val="00631B18"/>
    <w:rsid w:val="006332C8"/>
    <w:rsid w:val="006349A6"/>
    <w:rsid w:val="00634E64"/>
    <w:rsid w:val="006429FE"/>
    <w:rsid w:val="00643576"/>
    <w:rsid w:val="00644855"/>
    <w:rsid w:val="00646F0D"/>
    <w:rsid w:val="006522BF"/>
    <w:rsid w:val="00654B67"/>
    <w:rsid w:val="00656A71"/>
    <w:rsid w:val="0067026B"/>
    <w:rsid w:val="00672EE6"/>
    <w:rsid w:val="00675981"/>
    <w:rsid w:val="006772ED"/>
    <w:rsid w:val="006775A5"/>
    <w:rsid w:val="00681CDC"/>
    <w:rsid w:val="00683EA2"/>
    <w:rsid w:val="00685A04"/>
    <w:rsid w:val="00685A73"/>
    <w:rsid w:val="00686727"/>
    <w:rsid w:val="006931A2"/>
    <w:rsid w:val="006955BC"/>
    <w:rsid w:val="006A2713"/>
    <w:rsid w:val="006A48A8"/>
    <w:rsid w:val="006A5772"/>
    <w:rsid w:val="006A60E4"/>
    <w:rsid w:val="006A7E7D"/>
    <w:rsid w:val="006B0B07"/>
    <w:rsid w:val="006B3358"/>
    <w:rsid w:val="006C1C79"/>
    <w:rsid w:val="006C2D14"/>
    <w:rsid w:val="006C3D84"/>
    <w:rsid w:val="006C5EF3"/>
    <w:rsid w:val="006D3298"/>
    <w:rsid w:val="006D367F"/>
    <w:rsid w:val="006D379F"/>
    <w:rsid w:val="006D3920"/>
    <w:rsid w:val="006D4454"/>
    <w:rsid w:val="006E1B7F"/>
    <w:rsid w:val="006F136E"/>
    <w:rsid w:val="006F7339"/>
    <w:rsid w:val="006F7377"/>
    <w:rsid w:val="006F7EAC"/>
    <w:rsid w:val="00700135"/>
    <w:rsid w:val="0070175F"/>
    <w:rsid w:val="00701CC1"/>
    <w:rsid w:val="007105D5"/>
    <w:rsid w:val="00710F74"/>
    <w:rsid w:val="00710F7E"/>
    <w:rsid w:val="00713892"/>
    <w:rsid w:val="007141C7"/>
    <w:rsid w:val="00716634"/>
    <w:rsid w:val="00722425"/>
    <w:rsid w:val="00723BC2"/>
    <w:rsid w:val="00724B25"/>
    <w:rsid w:val="007273F0"/>
    <w:rsid w:val="00727B8B"/>
    <w:rsid w:val="0073175B"/>
    <w:rsid w:val="00736449"/>
    <w:rsid w:val="0074346F"/>
    <w:rsid w:val="00744FBF"/>
    <w:rsid w:val="007465D5"/>
    <w:rsid w:val="0075334B"/>
    <w:rsid w:val="007535C0"/>
    <w:rsid w:val="00755588"/>
    <w:rsid w:val="0076051E"/>
    <w:rsid w:val="0076264A"/>
    <w:rsid w:val="007644C2"/>
    <w:rsid w:val="00765790"/>
    <w:rsid w:val="00780813"/>
    <w:rsid w:val="00783C21"/>
    <w:rsid w:val="00791895"/>
    <w:rsid w:val="00791D74"/>
    <w:rsid w:val="00793CB9"/>
    <w:rsid w:val="00793FBC"/>
    <w:rsid w:val="00794319"/>
    <w:rsid w:val="007B0A13"/>
    <w:rsid w:val="007B5E29"/>
    <w:rsid w:val="007B6D2B"/>
    <w:rsid w:val="007D0D0A"/>
    <w:rsid w:val="007D0FE0"/>
    <w:rsid w:val="007D3960"/>
    <w:rsid w:val="007D3AE5"/>
    <w:rsid w:val="007E1CB5"/>
    <w:rsid w:val="007F1047"/>
    <w:rsid w:val="008058EE"/>
    <w:rsid w:val="00806101"/>
    <w:rsid w:val="008110BD"/>
    <w:rsid w:val="00821D91"/>
    <w:rsid w:val="008249F5"/>
    <w:rsid w:val="00824CA3"/>
    <w:rsid w:val="0083317F"/>
    <w:rsid w:val="0083348B"/>
    <w:rsid w:val="008342B1"/>
    <w:rsid w:val="00835A32"/>
    <w:rsid w:val="008369CF"/>
    <w:rsid w:val="00837AED"/>
    <w:rsid w:val="00841034"/>
    <w:rsid w:val="008440C9"/>
    <w:rsid w:val="00852352"/>
    <w:rsid w:val="0085304A"/>
    <w:rsid w:val="00854ABA"/>
    <w:rsid w:val="008563E8"/>
    <w:rsid w:val="00857941"/>
    <w:rsid w:val="00862683"/>
    <w:rsid w:val="00862F5A"/>
    <w:rsid w:val="0086600B"/>
    <w:rsid w:val="00872A93"/>
    <w:rsid w:val="00875F63"/>
    <w:rsid w:val="0088086B"/>
    <w:rsid w:val="0088475F"/>
    <w:rsid w:val="0089168E"/>
    <w:rsid w:val="0089305C"/>
    <w:rsid w:val="0089745A"/>
    <w:rsid w:val="008A2A0A"/>
    <w:rsid w:val="008A31DB"/>
    <w:rsid w:val="008A3A9E"/>
    <w:rsid w:val="008B379D"/>
    <w:rsid w:val="008D24D9"/>
    <w:rsid w:val="008D2CF6"/>
    <w:rsid w:val="008D5279"/>
    <w:rsid w:val="008D6E25"/>
    <w:rsid w:val="008E2EA8"/>
    <w:rsid w:val="008E424B"/>
    <w:rsid w:val="008E63D3"/>
    <w:rsid w:val="008E774A"/>
    <w:rsid w:val="009033E4"/>
    <w:rsid w:val="00903927"/>
    <w:rsid w:val="00903FEF"/>
    <w:rsid w:val="0090481F"/>
    <w:rsid w:val="00904FEA"/>
    <w:rsid w:val="00910D7F"/>
    <w:rsid w:val="00914B6D"/>
    <w:rsid w:val="00920521"/>
    <w:rsid w:val="00920A51"/>
    <w:rsid w:val="009255CA"/>
    <w:rsid w:val="00925FB2"/>
    <w:rsid w:val="009338E1"/>
    <w:rsid w:val="00942022"/>
    <w:rsid w:val="0095311A"/>
    <w:rsid w:val="00957573"/>
    <w:rsid w:val="0096237C"/>
    <w:rsid w:val="0096350E"/>
    <w:rsid w:val="00964316"/>
    <w:rsid w:val="00967212"/>
    <w:rsid w:val="00967780"/>
    <w:rsid w:val="00983E4D"/>
    <w:rsid w:val="0098606F"/>
    <w:rsid w:val="00996D30"/>
    <w:rsid w:val="009A433B"/>
    <w:rsid w:val="009A546B"/>
    <w:rsid w:val="009A77A0"/>
    <w:rsid w:val="009B1C43"/>
    <w:rsid w:val="009B2D16"/>
    <w:rsid w:val="009B5D20"/>
    <w:rsid w:val="009C11E0"/>
    <w:rsid w:val="009C17CF"/>
    <w:rsid w:val="009C7B42"/>
    <w:rsid w:val="009D017F"/>
    <w:rsid w:val="009D2476"/>
    <w:rsid w:val="009D3198"/>
    <w:rsid w:val="009D51BA"/>
    <w:rsid w:val="009D51E3"/>
    <w:rsid w:val="009D724F"/>
    <w:rsid w:val="009E0D55"/>
    <w:rsid w:val="009E69CC"/>
    <w:rsid w:val="009F3D07"/>
    <w:rsid w:val="00A02BE7"/>
    <w:rsid w:val="00A1092D"/>
    <w:rsid w:val="00A12692"/>
    <w:rsid w:val="00A1559F"/>
    <w:rsid w:val="00A24BE9"/>
    <w:rsid w:val="00A26C0A"/>
    <w:rsid w:val="00A31576"/>
    <w:rsid w:val="00A325D8"/>
    <w:rsid w:val="00A34FC1"/>
    <w:rsid w:val="00A44B24"/>
    <w:rsid w:val="00A46EBA"/>
    <w:rsid w:val="00A51470"/>
    <w:rsid w:val="00A52EC9"/>
    <w:rsid w:val="00A5782C"/>
    <w:rsid w:val="00A6119A"/>
    <w:rsid w:val="00A61399"/>
    <w:rsid w:val="00A64670"/>
    <w:rsid w:val="00A66906"/>
    <w:rsid w:val="00A66BDB"/>
    <w:rsid w:val="00A80C35"/>
    <w:rsid w:val="00A83CC2"/>
    <w:rsid w:val="00A91532"/>
    <w:rsid w:val="00A9218B"/>
    <w:rsid w:val="00A9631B"/>
    <w:rsid w:val="00AA2EA9"/>
    <w:rsid w:val="00AB3196"/>
    <w:rsid w:val="00AB4DBF"/>
    <w:rsid w:val="00AB5D1B"/>
    <w:rsid w:val="00AC7AA8"/>
    <w:rsid w:val="00AD1EBF"/>
    <w:rsid w:val="00AD55F5"/>
    <w:rsid w:val="00AD5FD9"/>
    <w:rsid w:val="00AF073F"/>
    <w:rsid w:val="00AF6B4D"/>
    <w:rsid w:val="00AF6E6A"/>
    <w:rsid w:val="00B018F4"/>
    <w:rsid w:val="00B05A5A"/>
    <w:rsid w:val="00B1120A"/>
    <w:rsid w:val="00B24706"/>
    <w:rsid w:val="00B2502F"/>
    <w:rsid w:val="00B25594"/>
    <w:rsid w:val="00B32829"/>
    <w:rsid w:val="00B37B86"/>
    <w:rsid w:val="00B40676"/>
    <w:rsid w:val="00B40C98"/>
    <w:rsid w:val="00B4517D"/>
    <w:rsid w:val="00B47A65"/>
    <w:rsid w:val="00B63E92"/>
    <w:rsid w:val="00B660C6"/>
    <w:rsid w:val="00B66C9E"/>
    <w:rsid w:val="00B66D86"/>
    <w:rsid w:val="00B74871"/>
    <w:rsid w:val="00B75435"/>
    <w:rsid w:val="00B84157"/>
    <w:rsid w:val="00B86F68"/>
    <w:rsid w:val="00B8794E"/>
    <w:rsid w:val="00B91C0B"/>
    <w:rsid w:val="00B92870"/>
    <w:rsid w:val="00B95109"/>
    <w:rsid w:val="00B96219"/>
    <w:rsid w:val="00BA73BF"/>
    <w:rsid w:val="00BB17D6"/>
    <w:rsid w:val="00BB3A11"/>
    <w:rsid w:val="00BB549A"/>
    <w:rsid w:val="00BB6838"/>
    <w:rsid w:val="00BC3DB6"/>
    <w:rsid w:val="00BC5B75"/>
    <w:rsid w:val="00BC6077"/>
    <w:rsid w:val="00BD219A"/>
    <w:rsid w:val="00BD3A39"/>
    <w:rsid w:val="00BE1D0C"/>
    <w:rsid w:val="00BE52B1"/>
    <w:rsid w:val="00BF05E1"/>
    <w:rsid w:val="00BF1E5E"/>
    <w:rsid w:val="00BF2F71"/>
    <w:rsid w:val="00BF525C"/>
    <w:rsid w:val="00C002D6"/>
    <w:rsid w:val="00C30C1B"/>
    <w:rsid w:val="00C33F5A"/>
    <w:rsid w:val="00C403A8"/>
    <w:rsid w:val="00C456FC"/>
    <w:rsid w:val="00C45C52"/>
    <w:rsid w:val="00C50217"/>
    <w:rsid w:val="00C5538D"/>
    <w:rsid w:val="00C61238"/>
    <w:rsid w:val="00C613CC"/>
    <w:rsid w:val="00C61F6F"/>
    <w:rsid w:val="00C65C6B"/>
    <w:rsid w:val="00C72D54"/>
    <w:rsid w:val="00C81461"/>
    <w:rsid w:val="00C82930"/>
    <w:rsid w:val="00C82B0D"/>
    <w:rsid w:val="00C929E9"/>
    <w:rsid w:val="00C92E2A"/>
    <w:rsid w:val="00C9581D"/>
    <w:rsid w:val="00CA3F67"/>
    <w:rsid w:val="00CA620A"/>
    <w:rsid w:val="00CB0DB5"/>
    <w:rsid w:val="00CB3DAE"/>
    <w:rsid w:val="00CB565E"/>
    <w:rsid w:val="00CB6D35"/>
    <w:rsid w:val="00CC095D"/>
    <w:rsid w:val="00CD0D13"/>
    <w:rsid w:val="00CD2655"/>
    <w:rsid w:val="00CD3581"/>
    <w:rsid w:val="00CD3B6C"/>
    <w:rsid w:val="00CD6EEC"/>
    <w:rsid w:val="00CE4016"/>
    <w:rsid w:val="00CE4B84"/>
    <w:rsid w:val="00CF1600"/>
    <w:rsid w:val="00CF2263"/>
    <w:rsid w:val="00CF5FB4"/>
    <w:rsid w:val="00CF7764"/>
    <w:rsid w:val="00D001B1"/>
    <w:rsid w:val="00D1163C"/>
    <w:rsid w:val="00D22495"/>
    <w:rsid w:val="00D27165"/>
    <w:rsid w:val="00D30B41"/>
    <w:rsid w:val="00D3159E"/>
    <w:rsid w:val="00D62B3B"/>
    <w:rsid w:val="00D65E30"/>
    <w:rsid w:val="00D671F0"/>
    <w:rsid w:val="00D71A6B"/>
    <w:rsid w:val="00D83501"/>
    <w:rsid w:val="00D86113"/>
    <w:rsid w:val="00D86BB9"/>
    <w:rsid w:val="00D92F33"/>
    <w:rsid w:val="00DA041E"/>
    <w:rsid w:val="00DA07A6"/>
    <w:rsid w:val="00DB1329"/>
    <w:rsid w:val="00DB6C47"/>
    <w:rsid w:val="00DC40BA"/>
    <w:rsid w:val="00DC4D3E"/>
    <w:rsid w:val="00DC72F4"/>
    <w:rsid w:val="00DC762F"/>
    <w:rsid w:val="00DD0E63"/>
    <w:rsid w:val="00DD2575"/>
    <w:rsid w:val="00DD5415"/>
    <w:rsid w:val="00DD7AE6"/>
    <w:rsid w:val="00DD7C3A"/>
    <w:rsid w:val="00DE323C"/>
    <w:rsid w:val="00DE6744"/>
    <w:rsid w:val="00DE6A4C"/>
    <w:rsid w:val="00DF4E67"/>
    <w:rsid w:val="00DF7676"/>
    <w:rsid w:val="00E00E70"/>
    <w:rsid w:val="00E0306F"/>
    <w:rsid w:val="00E04FB0"/>
    <w:rsid w:val="00E07600"/>
    <w:rsid w:val="00E16CB9"/>
    <w:rsid w:val="00E44C6A"/>
    <w:rsid w:val="00E473B2"/>
    <w:rsid w:val="00E50C9A"/>
    <w:rsid w:val="00E50D2C"/>
    <w:rsid w:val="00E541FF"/>
    <w:rsid w:val="00E5669E"/>
    <w:rsid w:val="00E65C63"/>
    <w:rsid w:val="00E66086"/>
    <w:rsid w:val="00E74580"/>
    <w:rsid w:val="00E75E15"/>
    <w:rsid w:val="00E77411"/>
    <w:rsid w:val="00E77C90"/>
    <w:rsid w:val="00E85547"/>
    <w:rsid w:val="00E86F24"/>
    <w:rsid w:val="00E877D2"/>
    <w:rsid w:val="00E91FFD"/>
    <w:rsid w:val="00E935FF"/>
    <w:rsid w:val="00E9398C"/>
    <w:rsid w:val="00E9658C"/>
    <w:rsid w:val="00E96685"/>
    <w:rsid w:val="00EA30E3"/>
    <w:rsid w:val="00EA3543"/>
    <w:rsid w:val="00EA6B8A"/>
    <w:rsid w:val="00EB35FF"/>
    <w:rsid w:val="00EB413E"/>
    <w:rsid w:val="00EB61BC"/>
    <w:rsid w:val="00EB6CF9"/>
    <w:rsid w:val="00EC1F78"/>
    <w:rsid w:val="00EC363C"/>
    <w:rsid w:val="00ED435E"/>
    <w:rsid w:val="00ED73AA"/>
    <w:rsid w:val="00EF1863"/>
    <w:rsid w:val="00EF3021"/>
    <w:rsid w:val="00EF352C"/>
    <w:rsid w:val="00F03CEC"/>
    <w:rsid w:val="00F04F8F"/>
    <w:rsid w:val="00F07BE4"/>
    <w:rsid w:val="00F1150D"/>
    <w:rsid w:val="00F118B1"/>
    <w:rsid w:val="00F11F84"/>
    <w:rsid w:val="00F2050B"/>
    <w:rsid w:val="00F230B4"/>
    <w:rsid w:val="00F2319A"/>
    <w:rsid w:val="00F25AC7"/>
    <w:rsid w:val="00F267C4"/>
    <w:rsid w:val="00F30B36"/>
    <w:rsid w:val="00F45517"/>
    <w:rsid w:val="00F46E6B"/>
    <w:rsid w:val="00F4700B"/>
    <w:rsid w:val="00F51730"/>
    <w:rsid w:val="00F53C65"/>
    <w:rsid w:val="00F53E78"/>
    <w:rsid w:val="00F53F66"/>
    <w:rsid w:val="00F63758"/>
    <w:rsid w:val="00F671FC"/>
    <w:rsid w:val="00F67B37"/>
    <w:rsid w:val="00F7019D"/>
    <w:rsid w:val="00F72D37"/>
    <w:rsid w:val="00F838E9"/>
    <w:rsid w:val="00F84AC5"/>
    <w:rsid w:val="00F90926"/>
    <w:rsid w:val="00F935EF"/>
    <w:rsid w:val="00F938DD"/>
    <w:rsid w:val="00FA3199"/>
    <w:rsid w:val="00FA3F80"/>
    <w:rsid w:val="00FA52D1"/>
    <w:rsid w:val="00FB2849"/>
    <w:rsid w:val="00FB2FC7"/>
    <w:rsid w:val="00FB32F3"/>
    <w:rsid w:val="00FB5F7A"/>
    <w:rsid w:val="00FB740D"/>
    <w:rsid w:val="00FB7561"/>
    <w:rsid w:val="00FB7F2D"/>
    <w:rsid w:val="00FC229E"/>
    <w:rsid w:val="00FC2992"/>
    <w:rsid w:val="00FC6353"/>
    <w:rsid w:val="00FD04AC"/>
    <w:rsid w:val="00FF0A73"/>
    <w:rsid w:val="00FF1912"/>
    <w:rsid w:val="00FF2104"/>
    <w:rsid w:val="00FF3A3D"/>
    <w:rsid w:val="00FF452A"/>
    <w:rsid w:val="00FF53DB"/>
    <w:rsid w:val="076C5C59"/>
    <w:rsid w:val="08700852"/>
    <w:rsid w:val="08F25018"/>
    <w:rsid w:val="0C20041C"/>
    <w:rsid w:val="0C21418E"/>
    <w:rsid w:val="0E2969C0"/>
    <w:rsid w:val="0E6D410E"/>
    <w:rsid w:val="0ECE2929"/>
    <w:rsid w:val="0F022DE3"/>
    <w:rsid w:val="1609298F"/>
    <w:rsid w:val="1966250F"/>
    <w:rsid w:val="19DC0136"/>
    <w:rsid w:val="19F6740E"/>
    <w:rsid w:val="1E446206"/>
    <w:rsid w:val="28566868"/>
    <w:rsid w:val="29A36165"/>
    <w:rsid w:val="2B716D6E"/>
    <w:rsid w:val="2C41567F"/>
    <w:rsid w:val="2FC40E93"/>
    <w:rsid w:val="30AA6DBB"/>
    <w:rsid w:val="3B833050"/>
    <w:rsid w:val="3D4B0225"/>
    <w:rsid w:val="3F9623F0"/>
    <w:rsid w:val="413920AE"/>
    <w:rsid w:val="427F1DFE"/>
    <w:rsid w:val="44DA35C7"/>
    <w:rsid w:val="46D565F1"/>
    <w:rsid w:val="4A977C40"/>
    <w:rsid w:val="4BB85856"/>
    <w:rsid w:val="4BC90DAE"/>
    <w:rsid w:val="4CBE7FE3"/>
    <w:rsid w:val="4EBD2A36"/>
    <w:rsid w:val="4FC62B88"/>
    <w:rsid w:val="509D2DB8"/>
    <w:rsid w:val="553E7389"/>
    <w:rsid w:val="56F966C3"/>
    <w:rsid w:val="57F60B79"/>
    <w:rsid w:val="583E33C3"/>
    <w:rsid w:val="584B26A1"/>
    <w:rsid w:val="588218A3"/>
    <w:rsid w:val="5A404A6A"/>
    <w:rsid w:val="5AD70163"/>
    <w:rsid w:val="5E961F6E"/>
    <w:rsid w:val="5F253166"/>
    <w:rsid w:val="635F6541"/>
    <w:rsid w:val="64750134"/>
    <w:rsid w:val="658E5EE8"/>
    <w:rsid w:val="659A722F"/>
    <w:rsid w:val="676E15B5"/>
    <w:rsid w:val="68367074"/>
    <w:rsid w:val="68395FD3"/>
    <w:rsid w:val="68F304BA"/>
    <w:rsid w:val="6B960DC0"/>
    <w:rsid w:val="6E974E08"/>
    <w:rsid w:val="6EA278A8"/>
    <w:rsid w:val="700616FC"/>
    <w:rsid w:val="7903019D"/>
    <w:rsid w:val="7A533729"/>
    <w:rsid w:val="7A631B9A"/>
    <w:rsid w:val="7BAC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semiHidden="0" w:name="HTML Code"/>
    <w:lsdException w:qFormat="1" w:uiPriority="99" w:semiHidden="0" w:name="HTML Definition"/>
    <w:lsdException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link w:val="28"/>
    <w:qFormat/>
    <w:uiPriority w:val="0"/>
    <w:rPr>
      <w:b/>
      <w:bCs/>
      <w:sz w:val="28"/>
    </w:rPr>
  </w:style>
  <w:style w:type="paragraph" w:styleId="5">
    <w:name w:val="Date"/>
    <w:basedOn w:val="1"/>
    <w:next w:val="1"/>
    <w:link w:val="31"/>
    <w:unhideWhenUsed/>
    <w:qFormat/>
    <w:uiPriority w:val="99"/>
    <w:pPr>
      <w:ind w:left="100" w:leftChars="2500"/>
    </w:pPr>
  </w:style>
  <w:style w:type="paragraph" w:styleId="6">
    <w:name w:val="Balloon Text"/>
    <w:basedOn w:val="1"/>
    <w:link w:val="34"/>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30"/>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Body Text Indent 3"/>
    <w:basedOn w:val="1"/>
    <w:link w:val="27"/>
    <w:unhideWhenUsed/>
    <w:qFormat/>
    <w:uiPriority w:val="99"/>
    <w:pPr>
      <w:spacing w:after="120"/>
      <w:ind w:left="420" w:leftChars="200"/>
    </w:pPr>
    <w:rPr>
      <w:sz w:val="16"/>
      <w:szCs w:val="16"/>
    </w:rPr>
  </w:style>
  <w:style w:type="paragraph" w:styleId="10">
    <w:name w:val="Body Text 2"/>
    <w:basedOn w:val="1"/>
    <w:link w:val="29"/>
    <w:qFormat/>
    <w:uiPriority w:val="0"/>
    <w:rPr>
      <w:rFonts w:eastAsia="黑体"/>
      <w:sz w:val="28"/>
    </w:rPr>
  </w:style>
  <w:style w:type="paragraph" w:styleId="11">
    <w:name w:val="Normal (Web)"/>
    <w:basedOn w:val="1"/>
    <w:unhideWhenUsed/>
    <w:qFormat/>
    <w:uiPriority w:val="99"/>
    <w:pPr>
      <w:spacing w:before="100" w:beforeAutospacing="1" w:after="100" w:afterAutospacing="1"/>
      <w:jc w:val="left"/>
    </w:pPr>
    <w:rPr>
      <w:kern w:val="0"/>
      <w:sz w:val="24"/>
    </w:rPr>
  </w:style>
  <w:style w:type="table" w:styleId="13">
    <w:name w:val="Table Grid"/>
    <w:basedOn w:val="1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qFormat/>
    <w:uiPriority w:val="22"/>
    <w:rPr>
      <w:b/>
    </w:rPr>
  </w:style>
  <w:style w:type="character" w:styleId="16">
    <w:name w:val="FollowedHyperlink"/>
    <w:unhideWhenUsed/>
    <w:uiPriority w:val="99"/>
    <w:rPr>
      <w:color w:val="800080"/>
      <w:u w:val="none"/>
    </w:rPr>
  </w:style>
  <w:style w:type="character" w:styleId="17">
    <w:name w:val="Emphasis"/>
    <w:qFormat/>
    <w:uiPriority w:val="20"/>
    <w:rPr>
      <w:color w:val="CC0000"/>
    </w:rPr>
  </w:style>
  <w:style w:type="character" w:styleId="18">
    <w:name w:val="HTML Definition"/>
    <w:unhideWhenUsed/>
    <w:qFormat/>
    <w:uiPriority w:val="99"/>
  </w:style>
  <w:style w:type="character" w:styleId="19">
    <w:name w:val="HTML Variable"/>
    <w:unhideWhenUsed/>
    <w:qFormat/>
    <w:uiPriority w:val="99"/>
  </w:style>
  <w:style w:type="character" w:styleId="20">
    <w:name w:val="Hyperlink"/>
    <w:unhideWhenUsed/>
    <w:uiPriority w:val="99"/>
    <w:rPr>
      <w:color w:val="0000FF"/>
      <w:u w:val="none"/>
    </w:rPr>
  </w:style>
  <w:style w:type="character" w:styleId="21">
    <w:name w:val="HTML Code"/>
    <w:unhideWhenUsed/>
    <w:uiPriority w:val="99"/>
    <w:rPr>
      <w:rFonts w:ascii="serif" w:hAnsi="serif" w:eastAsia="serif" w:cs="serif"/>
      <w:sz w:val="21"/>
      <w:szCs w:val="21"/>
    </w:rPr>
  </w:style>
  <w:style w:type="character" w:styleId="22">
    <w:name w:val="HTML Cite"/>
    <w:unhideWhenUsed/>
    <w:qFormat/>
    <w:uiPriority w:val="99"/>
  </w:style>
  <w:style w:type="character" w:styleId="23">
    <w:name w:val="HTML Keyboard"/>
    <w:unhideWhenUsed/>
    <w:uiPriority w:val="99"/>
    <w:rPr>
      <w:rFonts w:hint="default" w:ascii="serif" w:hAnsi="serif" w:eastAsia="serif" w:cs="serif"/>
      <w:sz w:val="21"/>
      <w:szCs w:val="21"/>
    </w:rPr>
  </w:style>
  <w:style w:type="character" w:styleId="24">
    <w:name w:val="HTML Sample"/>
    <w:unhideWhenUsed/>
    <w:qFormat/>
    <w:uiPriority w:val="99"/>
    <w:rPr>
      <w:rFonts w:hint="default" w:ascii="serif" w:hAnsi="serif" w:eastAsia="serif" w:cs="serif"/>
      <w:sz w:val="21"/>
      <w:szCs w:val="21"/>
    </w:rPr>
  </w:style>
  <w:style w:type="character" w:customStyle="1" w:styleId="25">
    <w:name w:val="页脚 Char"/>
    <w:link w:val="7"/>
    <w:qFormat/>
    <w:uiPriority w:val="99"/>
    <w:rPr>
      <w:sz w:val="18"/>
      <w:szCs w:val="18"/>
    </w:rPr>
  </w:style>
  <w:style w:type="character" w:customStyle="1" w:styleId="26">
    <w:name w:val="标题 2 Char"/>
    <w:link w:val="4"/>
    <w:qFormat/>
    <w:uiPriority w:val="0"/>
    <w:rPr>
      <w:rFonts w:ascii="Arial" w:hAnsi="Arial" w:eastAsia="黑体" w:cs="Times New Roman"/>
      <w:b/>
      <w:bCs/>
      <w:sz w:val="32"/>
      <w:szCs w:val="32"/>
    </w:rPr>
  </w:style>
  <w:style w:type="character" w:customStyle="1" w:styleId="27">
    <w:name w:val="正文文本缩进 3 Char"/>
    <w:link w:val="9"/>
    <w:semiHidden/>
    <w:qFormat/>
    <w:uiPriority w:val="99"/>
    <w:rPr>
      <w:rFonts w:ascii="Times New Roman" w:hAnsi="Times New Roman"/>
      <w:kern w:val="2"/>
      <w:sz w:val="16"/>
      <w:szCs w:val="16"/>
    </w:rPr>
  </w:style>
  <w:style w:type="character" w:customStyle="1" w:styleId="28">
    <w:name w:val="正文文本 Char"/>
    <w:link w:val="2"/>
    <w:qFormat/>
    <w:uiPriority w:val="0"/>
    <w:rPr>
      <w:rFonts w:ascii="Times New Roman" w:hAnsi="Times New Roman" w:eastAsia="宋体" w:cs="Times New Roman"/>
      <w:b/>
      <w:bCs/>
      <w:sz w:val="28"/>
      <w:szCs w:val="24"/>
    </w:rPr>
  </w:style>
  <w:style w:type="character" w:customStyle="1" w:styleId="29">
    <w:name w:val="正文文本 2 Char"/>
    <w:link w:val="10"/>
    <w:qFormat/>
    <w:uiPriority w:val="0"/>
    <w:rPr>
      <w:rFonts w:ascii="Times New Roman" w:hAnsi="Times New Roman" w:eastAsia="黑体" w:cs="Times New Roman"/>
      <w:sz w:val="28"/>
      <w:szCs w:val="24"/>
    </w:rPr>
  </w:style>
  <w:style w:type="character" w:customStyle="1" w:styleId="30">
    <w:name w:val="页眉 Char"/>
    <w:link w:val="8"/>
    <w:semiHidden/>
    <w:qFormat/>
    <w:uiPriority w:val="99"/>
    <w:rPr>
      <w:sz w:val="18"/>
      <w:szCs w:val="18"/>
    </w:rPr>
  </w:style>
  <w:style w:type="character" w:customStyle="1" w:styleId="31">
    <w:name w:val="日期 Char"/>
    <w:link w:val="5"/>
    <w:semiHidden/>
    <w:qFormat/>
    <w:uiPriority w:val="99"/>
    <w:rPr>
      <w:rFonts w:ascii="Times New Roman" w:hAnsi="Times New Roman"/>
      <w:kern w:val="2"/>
      <w:sz w:val="21"/>
      <w:szCs w:val="24"/>
    </w:rPr>
  </w:style>
  <w:style w:type="character" w:customStyle="1" w:styleId="32">
    <w:name w:val="fontstrikethrough"/>
    <w:qFormat/>
    <w:uiPriority w:val="0"/>
    <w:rPr>
      <w:strike/>
    </w:rPr>
  </w:style>
  <w:style w:type="character" w:customStyle="1" w:styleId="33">
    <w:name w:val="fontborder"/>
    <w:qFormat/>
    <w:uiPriority w:val="0"/>
    <w:rPr>
      <w:bdr w:val="single" w:color="000000" w:sz="6" w:space="0"/>
    </w:rPr>
  </w:style>
  <w:style w:type="character" w:customStyle="1" w:styleId="34">
    <w:name w:val="批注框文本 Char"/>
    <w:link w:val="6"/>
    <w:semiHidden/>
    <w:qFormat/>
    <w:uiPriority w:val="99"/>
    <w:rPr>
      <w:rFonts w:ascii="Times New Roman" w:hAnsi="Times New Roman"/>
      <w:kern w:val="2"/>
      <w:sz w:val="18"/>
      <w:szCs w:val="18"/>
    </w:rPr>
  </w:style>
  <w:style w:type="character" w:customStyle="1" w:styleId="35">
    <w:name w:val="段 Char"/>
    <w:link w:val="36"/>
    <w:qFormat/>
    <w:uiPriority w:val="0"/>
    <w:rPr>
      <w:rFonts w:ascii="宋体"/>
      <w:sz w:val="21"/>
      <w:lang w:val="en-US" w:eastAsia="zh-CN" w:bidi="ar-SA"/>
    </w:rPr>
  </w:style>
  <w:style w:type="paragraph" w:customStyle="1" w:styleId="36">
    <w:name w:val="段"/>
    <w:link w:val="3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
    <w:name w:val="图表脚注"/>
    <w:next w:val="3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8">
    <w:name w:val="二级条标题"/>
    <w:basedOn w:val="39"/>
    <w:next w:val="36"/>
    <w:qFormat/>
    <w:uiPriority w:val="0"/>
    <w:pPr>
      <w:ind w:left="105"/>
      <w:outlineLvl w:val="3"/>
    </w:pPr>
  </w:style>
  <w:style w:type="paragraph" w:customStyle="1" w:styleId="39">
    <w:name w:val="一级条标题"/>
    <w:basedOn w:val="40"/>
    <w:next w:val="36"/>
    <w:uiPriority w:val="0"/>
    <w:pPr>
      <w:outlineLvl w:val="2"/>
    </w:pPr>
  </w:style>
  <w:style w:type="paragraph" w:customStyle="1" w:styleId="40">
    <w:name w:val="章标题"/>
    <w:next w:val="36"/>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1">
    <w:name w:val="正文表标题"/>
    <w:next w:val="36"/>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2">
    <w:name w:val="实施日期"/>
    <w:basedOn w:val="1"/>
    <w:uiPriority w:val="0"/>
    <w:pPr>
      <w:framePr w:w="4000" w:h="473" w:hRule="exact" w:vSpace="180" w:wrap="around" w:vAnchor="margin" w:hAnchor="margin" w:xAlign="right" w:y="13511" w:anchorLock="1"/>
      <w:widowControl/>
      <w:jc w:val="right"/>
    </w:pPr>
    <w:rPr>
      <w:rFonts w:eastAsia="黑体"/>
      <w:kern w:val="0"/>
      <w:sz w:val="28"/>
      <w:szCs w:val="20"/>
    </w:rPr>
  </w:style>
  <w:style w:type="paragraph" w:customStyle="1" w:styleId="43">
    <w:name w:val="Default"/>
    <w:unhideWhenUsed/>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44">
    <w:name w:val="字母编号列项（一级）"/>
    <w:uiPriority w:val="0"/>
    <w:pPr>
      <w:numPr>
        <w:ilvl w:val="0"/>
        <w:numId w:val="2"/>
      </w:numPr>
      <w:jc w:val="both"/>
    </w:pPr>
    <w:rPr>
      <w:rFonts w:ascii="宋体" w:hAnsi="Times New Roman" w:eastAsia="宋体" w:cs="Times New Roman"/>
      <w:sz w:val="21"/>
      <w:lang w:val="en-US" w:eastAsia="zh-CN" w:bidi="ar-SA"/>
    </w:rPr>
  </w:style>
  <w:style w:type="paragraph" w:customStyle="1" w:styleId="45">
    <w:name w:val="封面标准英文名称"/>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styleId="46">
    <w:name w:val="List Paragraph"/>
    <w:basedOn w:val="1"/>
    <w:qFormat/>
    <w:uiPriority w:val="34"/>
    <w:pPr>
      <w:ind w:firstLine="420" w:firstLineChars="200"/>
    </w:pPr>
    <w:rPr>
      <w:rFonts w:ascii="Calibri" w:hAnsi="Calibri"/>
      <w:szCs w:val="22"/>
    </w:rPr>
  </w:style>
  <w:style w:type="paragraph" w:customStyle="1" w:styleId="47">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2618</Words>
  <Characters>14924</Characters>
  <Lines>124</Lines>
  <Paragraphs>35</Paragraphs>
  <TotalTime>4</TotalTime>
  <ScaleCrop>false</ScaleCrop>
  <LinksUpToDate>false</LinksUpToDate>
  <CharactersWithSpaces>17507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2020-09-02T03:44:00Z</dcterms:created>
  <dc:creator>DADI</dc:creator>
  <cp:lastModifiedBy>wuyanhua</cp:lastModifiedBy>
  <cp:lastPrinted>2020-09-01T07:01:00Z</cp:lastPrinted>
  <dcterms:modified xsi:type="dcterms:W3CDTF">2020-09-02T10:49:36Z</dcterms:modified>
  <dc:title>Ni-Cr-B-Si系自熔合金粉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