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附件3：</w:t>
      </w:r>
    </w:p>
    <w:p>
      <w:pPr>
        <w:widowControl/>
        <w:spacing w:after="156" w:afterLines="50"/>
        <w:jc w:val="center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2020年第二批半导体材料协会标准项目计划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092"/>
        <w:gridCol w:w="2836"/>
        <w:gridCol w:w="707"/>
        <w:gridCol w:w="711"/>
        <w:gridCol w:w="993"/>
        <w:gridCol w:w="850"/>
        <w:gridCol w:w="850"/>
        <w:gridCol w:w="3258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tblHeader/>
        </w:trPr>
        <w:tc>
          <w:tcPr>
            <w:tcW w:w="140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计划编号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3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标准性质</w:t>
            </w:r>
          </w:p>
        </w:tc>
        <w:tc>
          <w:tcPr>
            <w:tcW w:w="234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制修订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代替标准号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采标</w:t>
            </w:r>
          </w:p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技术归口单位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任务来源：</w:t>
            </w:r>
            <w:r>
              <w:rPr>
                <w:rFonts w:eastAsia="黑体"/>
                <w:kern w:val="0"/>
                <w:sz w:val="24"/>
                <w:szCs w:val="24"/>
              </w:rPr>
              <w:t>中国有色金属工业协会《关于下达2020年第二批协会标准制修订计划的通知》（中色协科字[2020]93号），2020年8月3日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2020-050-T/CNIA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kern w:val="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绿色设计产品评价技术规范  高纯氧化铝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制定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全国半导体设备和材料标准化技术委员会材料分技术委员会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青海圣诺光电科技有限公司、中国科学院青海盐湖研究所</w:t>
            </w:r>
          </w:p>
        </w:tc>
      </w:tr>
    </w:tbl>
    <w:p>
      <w:pPr>
        <w:widowControl/>
        <w:spacing w:line="454" w:lineRule="atLeast"/>
        <w:rPr>
          <w:kern w:val="0"/>
          <w:sz w:val="18"/>
          <w:szCs w:val="18"/>
        </w:rPr>
        <w:sectPr>
          <w:pgSz w:w="16838" w:h="11906" w:orient="landscape"/>
          <w:pgMar w:top="1021" w:right="851" w:bottom="851" w:left="1021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659EE"/>
    <w:rsid w:val="41DB11A3"/>
    <w:rsid w:val="59A659EE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2020-09-02T02:42:00Z</dcterms:created>
  <dc:creator>CathayMok</dc:creator>
  <cp:lastModifiedBy>CathayMok</cp:lastModifiedBy>
  <dcterms:modified xsi:type="dcterms:W3CDTF">2020-09-02T02:43:03Z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