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bookmarkStart w:id="2" w:name="_GoBack"/>
      <w:bookmarkEnd w:id="2"/>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lang w:eastAsia="zh-CN"/>
        </w:rPr>
        <w:t>镍钴钛三元素复合氢氧化物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default" w:ascii="Times New Roman" w:hAnsi="Times New Roman" w:cs="Times New Roman"/>
          <w:b/>
          <w:sz w:val="32"/>
          <w:lang w:val="en-US" w:eastAsia="zh-CN"/>
        </w:rPr>
        <w:t>预审稿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华友新能源科技（衢州）有限公司</w:t>
      </w: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浙江华友钴业股份有限公司</w:t>
      </w:r>
    </w:p>
    <w:p>
      <w:pPr>
        <w:spacing w:line="360" w:lineRule="auto"/>
        <w:jc w:val="center"/>
        <w:rPr>
          <w:rFonts w:hint="default" w:ascii="Times New Roman" w:hAnsi="Times New Roman" w:cs="Times New Roman"/>
          <w:b/>
          <w:sz w:val="32"/>
          <w:highlight w:val="yellow"/>
        </w:rPr>
      </w:pPr>
      <w:r>
        <w:rPr>
          <w:rFonts w:hint="default" w:ascii="Times New Roman" w:hAnsi="Times New Roman" w:cs="Times New Roman"/>
          <w:b/>
          <w:sz w:val="44"/>
          <w:szCs w:val="44"/>
          <w:highlight w:val="none"/>
        </w:rPr>
        <w:t>20</w:t>
      </w:r>
      <w:r>
        <w:rPr>
          <w:rFonts w:hint="default" w:ascii="Times New Roman" w:hAnsi="Times New Roman" w:cs="Times New Roman"/>
          <w:b/>
          <w:sz w:val="44"/>
          <w:szCs w:val="44"/>
          <w:highlight w:val="none"/>
          <w:lang w:val="en-US" w:eastAsia="zh-CN"/>
        </w:rPr>
        <w:t>20</w:t>
      </w:r>
      <w:r>
        <w:rPr>
          <w:rFonts w:hint="default" w:ascii="Times New Roman" w:hAnsi="Times New Roman" w:cs="Times New Roman"/>
          <w:b/>
          <w:sz w:val="44"/>
          <w:szCs w:val="44"/>
          <w:highlight w:val="none"/>
        </w:rPr>
        <w:t>年</w:t>
      </w:r>
      <w:r>
        <w:rPr>
          <w:rFonts w:hint="default" w:ascii="Times New Roman" w:hAnsi="Times New Roman" w:cs="Times New Roman"/>
          <w:b/>
          <w:sz w:val="44"/>
          <w:szCs w:val="44"/>
          <w:highlight w:val="none"/>
          <w:lang w:val="en-US" w:eastAsia="zh-CN"/>
        </w:rPr>
        <w:t>7</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根据《工业和信息化部办公厅关于印发2018年第二批行业标准制修订和外文版项目计划的通知》（工信厅科[2018]31号）及全国有色金属标准化技术委员会《关于转发2018年第一批有色金属行业标准、协会标准制（修）订项目计划的通知》有色标委[2018]33号的文件精神，由浙江华友钴业股份有限公司负责起草《镍钴</w:t>
      </w:r>
      <w:r>
        <w:rPr>
          <w:rFonts w:ascii="Times New Roman" w:hAnsi="Times New Roman" w:cs="Times New Roman"/>
          <w:color w:val="auto"/>
          <w:szCs w:val="21"/>
          <w:highlight w:val="none"/>
        </w:rPr>
        <w:t>钛三</w:t>
      </w:r>
      <w:r>
        <w:rPr>
          <w:rFonts w:ascii="Times New Roman" w:hAnsi="Times New Roman" w:cs="Times New Roman"/>
          <w:color w:val="auto"/>
          <w:kern w:val="0"/>
          <w:szCs w:val="21"/>
          <w:highlight w:val="none"/>
        </w:rPr>
        <w:t>元素复合氢氧化物》行业标准，项目计划编号2018-0516T-YS，计划于2020年完成。</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1.2</w:t>
      </w:r>
      <w:r>
        <w:rPr>
          <w:rFonts w:hint="default" w:ascii="Times New Roman" w:hAnsi="Times New Roman" w:cs="Times New Roman"/>
          <w:b/>
          <w:bCs/>
          <w:szCs w:val="28"/>
        </w:rPr>
        <w:t xml:space="preserve"> 标准制定的必要性</w:t>
      </w:r>
    </w:p>
    <w:p>
      <w:pPr>
        <w:spacing w:line="360" w:lineRule="auto"/>
        <w:ind w:firstLine="420" w:firstLineChars="200"/>
        <w:rPr>
          <w:rFonts w:ascii="Times New Roman" w:hAnsi="Times New Roman" w:cs="Times New Roman"/>
          <w:color w:val="auto"/>
        </w:rPr>
      </w:pPr>
      <w:r>
        <w:rPr>
          <w:rFonts w:hint="default" w:ascii="Times New Roman" w:hAnsi="Times New Roman" w:cs="Times New Roman"/>
          <w:color w:val="auto"/>
          <w:szCs w:val="21"/>
        </w:rPr>
        <w:t>作为国家重点扶持的战略新兴产业，新能源汽车产业近年来呈现快速发展态势，产销规模持续保持大幅增长。受此带动，车用动力锂电正极材料的需求量大幅增加，而随着能量密度、使用寿命、充电效率等综合性能要求的不断提高，凭借优异的性能，高镍多元材料正逐步成为市场主流。同时，国家通过实施新的补贴政策和</w:t>
      </w:r>
      <w:r>
        <w:rPr>
          <w:rFonts w:ascii="Times New Roman" w:hAnsi="Times New Roman" w:eastAsia="Helvetica" w:cs="Times New Roman"/>
          <w:color w:val="auto"/>
          <w:szCs w:val="21"/>
        </w:rPr>
        <w:t>“</w:t>
      </w:r>
      <w:r>
        <w:rPr>
          <w:rFonts w:hint="default" w:ascii="Times New Roman" w:hAnsi="Times New Roman" w:cs="Times New Roman"/>
          <w:color w:val="auto"/>
          <w:szCs w:val="21"/>
        </w:rPr>
        <w:t>双积分</w:t>
      </w:r>
      <w:r>
        <w:rPr>
          <w:rFonts w:ascii="Times New Roman" w:hAnsi="Times New Roman" w:eastAsia="Helvetica" w:cs="Times New Roman"/>
          <w:color w:val="auto"/>
          <w:szCs w:val="21"/>
        </w:rPr>
        <w:t>”</w:t>
      </w:r>
      <w:r>
        <w:rPr>
          <w:rFonts w:hint="default" w:ascii="Times New Roman" w:hAnsi="Times New Roman" w:cs="Times New Roman"/>
          <w:color w:val="auto"/>
          <w:szCs w:val="21"/>
        </w:rPr>
        <w:t>政策，引导和鼓励新能源汽车企业使用能量密度更高、续航里程更远的动力电池，未来市场对于高镍多元材料的需求量将进一步增加</w:t>
      </w:r>
      <w:r>
        <w:rPr>
          <w:rFonts w:ascii="Times New Roman" w:hAnsi="Times New Roman" w:cs="Times New Roman"/>
          <w:color w:val="auto"/>
        </w:rPr>
        <w:t>，但高镍三元材料存在</w:t>
      </w:r>
      <w:r>
        <w:rPr>
          <w:rFonts w:hint="default" w:ascii="Times New Roman" w:hAnsi="Times New Roman" w:cs="Times New Roman"/>
          <w:color w:val="auto"/>
        </w:rPr>
        <w:t>氧原子的损失问题，而富含钴和钛的镍钴钛三元素复合氧化物前驱体材料</w:t>
      </w:r>
      <w:r>
        <w:rPr>
          <w:rFonts w:ascii="Times New Roman" w:hAnsi="Times New Roman" w:cs="Times New Roman"/>
          <w:color w:val="auto"/>
          <w:szCs w:val="21"/>
        </w:rPr>
        <w:t>（Ni</w:t>
      </w:r>
      <w:r>
        <w:rPr>
          <w:rFonts w:ascii="Times New Roman" w:hAnsi="Times New Roman" w:cs="Times New Roman"/>
          <w:color w:val="auto"/>
          <w:szCs w:val="21"/>
          <w:vertAlign w:val="subscript"/>
        </w:rPr>
        <w:t>x</w:t>
      </w:r>
      <w:r>
        <w:rPr>
          <w:rFonts w:ascii="Times New Roman" w:hAnsi="Times New Roman" w:cs="Times New Roman"/>
          <w:color w:val="auto"/>
          <w:szCs w:val="21"/>
        </w:rPr>
        <w:t>Co</w:t>
      </w:r>
      <w:r>
        <w:rPr>
          <w:rFonts w:ascii="Times New Roman" w:hAnsi="Times New Roman" w:cs="Times New Roman"/>
          <w:color w:val="auto"/>
          <w:szCs w:val="21"/>
          <w:vertAlign w:val="subscript"/>
        </w:rPr>
        <w:t>y</w:t>
      </w:r>
      <w:r>
        <w:rPr>
          <w:rFonts w:ascii="Times New Roman" w:hAnsi="Times New Roman" w:cs="Times New Roman"/>
          <w:color w:val="auto"/>
          <w:szCs w:val="21"/>
        </w:rPr>
        <w:t>Ti</w:t>
      </w:r>
      <w:r>
        <w:rPr>
          <w:rFonts w:ascii="Times New Roman" w:hAnsi="Times New Roman" w:cs="Times New Roman"/>
          <w:color w:val="auto"/>
          <w:szCs w:val="21"/>
          <w:vertAlign w:val="subscript"/>
        </w:rPr>
        <w:t>1-x-y</w:t>
      </w:r>
      <w:r>
        <w:rPr>
          <w:rFonts w:ascii="Times New Roman" w:hAnsi="Times New Roman" w:cs="Times New Roman"/>
          <w:color w:val="auto"/>
          <w:szCs w:val="21"/>
        </w:rPr>
        <w:t>(OH)</w:t>
      </w:r>
      <w:r>
        <w:rPr>
          <w:rFonts w:ascii="Times New Roman" w:hAnsi="Times New Roman" w:cs="Times New Roman"/>
          <w:color w:val="auto"/>
          <w:szCs w:val="21"/>
          <w:vertAlign w:val="subscript"/>
        </w:rPr>
        <w:t>2</w:t>
      </w:r>
      <w:r>
        <w:rPr>
          <w:rFonts w:ascii="Times New Roman" w:hAnsi="Times New Roman" w:cs="Times New Roman"/>
          <w:color w:val="auto"/>
          <w:szCs w:val="21"/>
        </w:rPr>
        <w:t>）</w:t>
      </w:r>
      <w:r>
        <w:rPr>
          <w:rFonts w:hint="default" w:ascii="Times New Roman" w:hAnsi="Times New Roman" w:cs="Times New Roman"/>
          <w:color w:val="auto"/>
        </w:rPr>
        <w:t>，由于钛具有很强的亲氧性，可以解决高镍正极材料氧原子的损失问题，改善材料的结构稳定性，同时具备放电容量高、循环寿命长特点，未来市场增加对</w:t>
      </w:r>
      <w:r>
        <w:rPr>
          <w:rFonts w:ascii="Times New Roman" w:hAnsi="Times New Roman" w:cs="Times New Roman"/>
          <w:color w:val="auto"/>
        </w:rPr>
        <w:t>镍钴钛三元素复合氢氧化物的需求量</w:t>
      </w:r>
      <w:r>
        <w:rPr>
          <w:rFonts w:hint="default" w:ascii="Times New Roman" w:hAnsi="Times New Roman" w:cs="Times New Roman"/>
          <w:color w:val="auto"/>
        </w:rPr>
        <w:t>是</w:t>
      </w:r>
      <w:r>
        <w:rPr>
          <w:rFonts w:ascii="Times New Roman" w:hAnsi="Times New Roman" w:cs="Times New Roman"/>
          <w:color w:val="auto"/>
        </w:rPr>
        <w:t>大势所趋。</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2018年标准化工作要点中也明确提出，要</w:t>
      </w:r>
      <w:r>
        <w:rPr>
          <w:rFonts w:hint="default" w:ascii="Times New Roman" w:hAnsi="Times New Roman" w:cs="Times New Roman"/>
          <w:kern w:val="0"/>
          <w:szCs w:val="21"/>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制定镍钴</w:t>
      </w:r>
      <w:r>
        <w:rPr>
          <w:rFonts w:hint="default" w:ascii="Times New Roman" w:hAnsi="Times New Roman" w:cs="Times New Roman"/>
          <w:kern w:val="0"/>
          <w:szCs w:val="21"/>
          <w:lang w:val="en-US" w:eastAsia="zh-CN"/>
        </w:rPr>
        <w:t>钛三元素</w:t>
      </w:r>
      <w:r>
        <w:rPr>
          <w:rFonts w:hint="default" w:ascii="Times New Roman" w:hAnsi="Times New Roman" w:cs="Times New Roman"/>
          <w:kern w:val="0"/>
          <w:szCs w:val="21"/>
        </w:rPr>
        <w:t>复合氢氧化物的行业标准十分必要，且迫在眉睫。</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1.3适用范围</w:t>
      </w:r>
    </w:p>
    <w:p>
      <w:pPr>
        <w:pStyle w:val="29"/>
        <w:spacing w:line="360" w:lineRule="auto"/>
        <w:ind w:firstLine="420"/>
        <w:rPr>
          <w:rFonts w:ascii="Times New Roman" w:hAnsi="Times New Roman" w:cs="Times New Roman"/>
          <w:szCs w:val="21"/>
          <w:lang w:eastAsia="zh-CN"/>
        </w:rPr>
      </w:pPr>
      <w:r>
        <w:rPr>
          <w:rFonts w:ascii="Times New Roman" w:hAnsi="Times New Roman" w:cs="Times New Roman"/>
          <w:szCs w:val="21"/>
        </w:rPr>
        <w:t>本</w:t>
      </w:r>
      <w:r>
        <w:rPr>
          <w:rFonts w:hint="default" w:ascii="Times New Roman" w:hAnsi="Times New Roman" w:cs="Times New Roman"/>
          <w:szCs w:val="21"/>
          <w:lang w:val="en-US" w:eastAsia="zh-CN"/>
        </w:rPr>
        <w:t>文件</w:t>
      </w:r>
      <w:r>
        <w:rPr>
          <w:rFonts w:ascii="Times New Roman" w:hAnsi="Times New Roman" w:cs="Times New Roman"/>
          <w:szCs w:val="21"/>
        </w:rPr>
        <w:t>规定了镍钴</w:t>
      </w:r>
      <w:r>
        <w:rPr>
          <w:rFonts w:hint="default" w:ascii="Times New Roman" w:hAnsi="Times New Roman" w:cs="Times New Roman"/>
          <w:szCs w:val="21"/>
        </w:rPr>
        <w:t>钛三</w:t>
      </w:r>
      <w:r>
        <w:rPr>
          <w:rFonts w:ascii="Times New Roman" w:hAnsi="Times New Roman" w:cs="Times New Roman"/>
          <w:szCs w:val="21"/>
        </w:rPr>
        <w:t>元素复合氢氧化物的技术要求、试验方法、检验规则和包装、标志、运输、贮存</w:t>
      </w:r>
      <w:r>
        <w:rPr>
          <w:rFonts w:ascii="Times New Roman" w:hAnsi="Times New Roman" w:cs="Times New Roman"/>
          <w:szCs w:val="21"/>
          <w:lang w:eastAsia="zh-CN"/>
        </w:rPr>
        <w:t>、</w:t>
      </w:r>
      <w:r>
        <w:rPr>
          <w:rFonts w:ascii="Times New Roman" w:hAnsi="Times New Roman" w:cs="Times New Roman"/>
          <w:szCs w:val="21"/>
        </w:rPr>
        <w:t>质量证明书</w:t>
      </w:r>
      <w:r>
        <w:rPr>
          <w:rFonts w:hint="default" w:ascii="Times New Roman" w:hAnsi="Times New Roman" w:cs="Times New Roman"/>
          <w:szCs w:val="21"/>
          <w:lang w:eastAsia="zh-CN"/>
        </w:rPr>
        <w:t>及</w:t>
      </w:r>
      <w:r>
        <w:rPr>
          <w:rFonts w:ascii="Times New Roman" w:hAnsi="Times New Roman" w:cs="Times New Roman"/>
          <w:szCs w:val="21"/>
        </w:rPr>
        <w:t>合同</w:t>
      </w:r>
      <w:r>
        <w:rPr>
          <w:rFonts w:ascii="Times New Roman" w:hAnsi="Times New Roman" w:cs="Times New Roman"/>
          <w:szCs w:val="21"/>
          <w:lang w:eastAsia="zh-CN"/>
        </w:rPr>
        <w:t>（或订货单）</w:t>
      </w:r>
      <w:r>
        <w:rPr>
          <w:rFonts w:hint="default" w:ascii="Times New Roman" w:hAnsi="Times New Roman" w:cs="Times New Roman"/>
          <w:szCs w:val="21"/>
          <w:lang w:val="en-US" w:eastAsia="zh-CN"/>
        </w:rPr>
        <w:t>等内容</w:t>
      </w:r>
      <w:r>
        <w:rPr>
          <w:rFonts w:ascii="Times New Roman" w:hAnsi="Times New Roman" w:cs="Times New Roman"/>
          <w:szCs w:val="21"/>
        </w:rPr>
        <w:t>。</w:t>
      </w:r>
    </w:p>
    <w:p>
      <w:pPr>
        <w:pStyle w:val="29"/>
        <w:spacing w:line="360" w:lineRule="auto"/>
        <w:ind w:firstLine="420"/>
        <w:rPr>
          <w:rFonts w:ascii="Times New Roman" w:hAnsi="Times New Roman" w:cs="Times New Roman"/>
          <w:color w:val="000000"/>
          <w:kern w:val="2"/>
          <w:szCs w:val="21"/>
          <w:lang w:val="en-US" w:eastAsia="zh-CN"/>
        </w:rPr>
      </w:pPr>
      <w:r>
        <w:rPr>
          <w:rFonts w:ascii="Times New Roman" w:hAnsi="Times New Roman" w:cs="Times New Roman"/>
          <w:szCs w:val="21"/>
        </w:rPr>
        <w:t>本标准适用于</w:t>
      </w:r>
      <w:r>
        <w:rPr>
          <w:rFonts w:ascii="Times New Roman" w:hAnsi="Times New Roman" w:cs="Times New Roman"/>
          <w:szCs w:val="21"/>
          <w:highlight w:val="none"/>
          <w:lang w:eastAsia="zh-CN"/>
        </w:rPr>
        <w:t>湿法共沉</w:t>
      </w:r>
      <w:r>
        <w:rPr>
          <w:rFonts w:hint="default" w:ascii="Times New Roman" w:hAnsi="Times New Roman" w:cs="Times New Roman"/>
          <w:szCs w:val="21"/>
          <w:highlight w:val="none"/>
          <w:lang w:val="en-US" w:eastAsia="zh-CN"/>
        </w:rPr>
        <w:t>淀</w:t>
      </w:r>
      <w:r>
        <w:rPr>
          <w:rFonts w:ascii="Times New Roman" w:hAnsi="Times New Roman" w:cs="Times New Roman"/>
          <w:szCs w:val="21"/>
          <w:highlight w:val="none"/>
          <w:lang w:eastAsia="zh-CN"/>
        </w:rPr>
        <w:t>生产的</w:t>
      </w:r>
      <w:r>
        <w:rPr>
          <w:rFonts w:ascii="Times New Roman" w:hAnsi="Times New Roman" w:cs="Times New Roman"/>
          <w:szCs w:val="21"/>
        </w:rPr>
        <w:t>镍钴</w:t>
      </w:r>
      <w:r>
        <w:rPr>
          <w:rFonts w:hint="default" w:ascii="Times New Roman" w:hAnsi="Times New Roman" w:cs="Times New Roman"/>
          <w:szCs w:val="21"/>
        </w:rPr>
        <w:t>钛三</w:t>
      </w:r>
      <w:r>
        <w:rPr>
          <w:rFonts w:ascii="Times New Roman" w:hAnsi="Times New Roman" w:cs="Times New Roman"/>
          <w:szCs w:val="21"/>
        </w:rPr>
        <w:t>元素复合氢氧化物</w:t>
      </w:r>
      <w:r>
        <w:rPr>
          <w:rFonts w:hint="default" w:ascii="Times New Roman" w:hAnsi="Times New Roman" w:cs="Times New Roman"/>
          <w:szCs w:val="21"/>
          <w:lang w:eastAsia="zh-CN"/>
        </w:rPr>
        <w:t>，</w:t>
      </w:r>
      <w:r>
        <w:rPr>
          <w:rFonts w:ascii="Times New Roman" w:hAnsi="Times New Roman" w:cs="Times New Roman"/>
          <w:szCs w:val="21"/>
        </w:rPr>
        <w:t>是</w:t>
      </w:r>
      <w:r>
        <w:rPr>
          <w:rFonts w:ascii="Times New Roman" w:hAnsi="Times New Roman" w:cs="Times New Roman"/>
        </w:rPr>
        <w:t>用于制备镍钴</w:t>
      </w:r>
      <w:r>
        <w:rPr>
          <w:rFonts w:hint="default" w:ascii="Times New Roman" w:hAnsi="Times New Roman" w:cs="Times New Roman"/>
          <w:lang w:eastAsia="zh-CN"/>
        </w:rPr>
        <w:t>钛</w:t>
      </w:r>
      <w:r>
        <w:rPr>
          <w:rFonts w:ascii="Times New Roman" w:hAnsi="Times New Roman" w:cs="Times New Roman"/>
        </w:rPr>
        <w:t>酸锂等正极材料的重要原材料</w:t>
      </w:r>
      <w:r>
        <w:rPr>
          <w:rFonts w:ascii="Times New Roman" w:hAnsi="Times New Roman" w:cs="Times New Roman"/>
          <w:color w:val="000000"/>
          <w:kern w:val="2"/>
          <w:szCs w:val="21"/>
          <w:lang w:val="en-US" w:eastAsia="zh-CN"/>
        </w:rPr>
        <w:t>。</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lang w:val="en-US" w:eastAsia="zh-CN"/>
        </w:rPr>
        <w:t>浙江</w:t>
      </w:r>
      <w:r>
        <w:rPr>
          <w:rFonts w:hint="default" w:ascii="Times New Roman" w:hAnsi="Times New Roman" w:cs="Times New Roman"/>
          <w:color w:val="auto"/>
          <w:szCs w:val="28"/>
        </w:rPr>
        <w:t>华友钴业</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华友新能源科技（衢州）有限公司、</w:t>
      </w:r>
      <w:r>
        <w:rPr>
          <w:rFonts w:hint="default" w:ascii="Times New Roman" w:hAnsi="Times New Roman" w:cs="Times New Roman"/>
          <w:color w:val="auto"/>
          <w:szCs w:val="28"/>
        </w:rPr>
        <w:t>格林美</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、湖南邦普</w:t>
      </w:r>
      <w:r>
        <w:rPr>
          <w:rFonts w:hint="default" w:ascii="Times New Roman" w:hAnsi="Times New Roman" w:cs="Times New Roman"/>
          <w:color w:val="auto"/>
          <w:szCs w:val="28"/>
          <w:lang w:val="en-US" w:eastAsia="zh-CN"/>
        </w:rPr>
        <w:t>循环科技有限公司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default" w:ascii="Times New Roman" w:hAnsi="Times New Roman" w:cs="Times New Roman"/>
          <w:color w:val="auto"/>
          <w:szCs w:val="28"/>
          <w:lang w:val="en-US" w:eastAsia="zh-CN"/>
        </w:rPr>
        <w:t>新材料有限公司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广东</w:t>
      </w:r>
      <w:r>
        <w:rPr>
          <w:rFonts w:hint="default" w:ascii="Times New Roman" w:hAnsi="Times New Roman" w:cs="Times New Roman"/>
          <w:color w:val="auto"/>
          <w:szCs w:val="28"/>
        </w:rPr>
        <w:t>佳纳</w:t>
      </w:r>
      <w:r>
        <w:rPr>
          <w:rFonts w:hint="default" w:ascii="Times New Roman" w:hAnsi="Times New Roman" w:cs="Times New Roman"/>
          <w:color w:val="auto"/>
          <w:szCs w:val="28"/>
          <w:lang w:val="en-US" w:eastAsia="zh-CN"/>
        </w:rPr>
        <w:t>能源科技有限公司</w:t>
      </w:r>
      <w:r>
        <w:rPr>
          <w:rFonts w:hint="default" w:ascii="Times New Roman" w:hAnsi="Times New Roman" w:cs="Times New Roman"/>
          <w:color w:val="auto"/>
          <w:szCs w:val="28"/>
        </w:rPr>
        <w:t>、金驰</w:t>
      </w:r>
      <w:r>
        <w:rPr>
          <w:rFonts w:hint="default" w:ascii="Times New Roman" w:hAnsi="Times New Roman" w:cs="Times New Roman"/>
          <w:color w:val="auto"/>
          <w:szCs w:val="28"/>
          <w:lang w:val="en-US" w:eastAsia="zh-CN"/>
        </w:rPr>
        <w:t>能源材料有限公司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浙江帕瓦新能源股份有限公司</w:t>
      </w:r>
      <w:r>
        <w:rPr>
          <w:rFonts w:hint="default" w:ascii="Times New Roman" w:hAnsi="Times New Roman" w:cs="Times New Roman"/>
          <w:color w:val="auto"/>
          <w:szCs w:val="28"/>
        </w:rPr>
        <w:t>等，预计未来随着新能源汽车产量的</w:t>
      </w:r>
      <w:r>
        <w:rPr>
          <w:rFonts w:hint="default" w:ascii="Times New Roman" w:hAnsi="Times New Roman" w:cs="Times New Roman"/>
          <w:color w:val="auto"/>
          <w:szCs w:val="28"/>
          <w:lang w:val="en-US" w:eastAsia="zh-CN"/>
        </w:rPr>
        <w:t>迅</w:t>
      </w:r>
      <w:r>
        <w:rPr>
          <w:rFonts w:hint="default" w:ascii="Times New Roman" w:hAnsi="Times New Roman" w:cs="Times New Roman"/>
          <w:color w:val="auto"/>
          <w:szCs w:val="28"/>
        </w:rPr>
        <w:t>速增加，会进一</w:t>
      </w:r>
      <w:r>
        <w:rPr>
          <w:rFonts w:hint="default" w:ascii="Times New Roman" w:hAnsi="Times New Roman" w:cs="Times New Roman"/>
          <w:szCs w:val="28"/>
        </w:rPr>
        <w:t>步拉动锂电池正极材料及其前驱体的需求增长。</w:t>
      </w:r>
    </w:p>
    <w:p>
      <w:pPr>
        <w:spacing w:line="360" w:lineRule="auto"/>
        <w:ind w:firstLine="420" w:firstLineChars="200"/>
        <w:jc w:val="left"/>
        <w:rPr>
          <w:rFonts w:hint="default" w:ascii="Times New Roman" w:hAnsi="Times New Roman" w:cs="Times New Roman"/>
          <w:szCs w:val="28"/>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szCs w:val="28"/>
          <w:lang w:eastAsia="zh-CN"/>
        </w:rPr>
        <w:t>，</w:t>
      </w:r>
      <w:r>
        <w:rPr>
          <w:rFonts w:hint="default" w:ascii="Times New Roman" w:hAnsi="Times New Roman" w:cs="Times New Roman"/>
          <w:szCs w:val="21"/>
        </w:rPr>
        <w:t>镍钴</w:t>
      </w:r>
      <w:r>
        <w:rPr>
          <w:rFonts w:hint="default" w:ascii="Times New Roman" w:hAnsi="Times New Roman" w:cs="Times New Roman"/>
          <w:szCs w:val="21"/>
          <w:lang w:val="en-US" w:eastAsia="zh-CN"/>
        </w:rPr>
        <w:t>钛三</w:t>
      </w:r>
      <w:r>
        <w:rPr>
          <w:rFonts w:hint="default" w:ascii="Times New Roman" w:hAnsi="Times New Roman" w:cs="Times New Roman"/>
          <w:szCs w:val="21"/>
        </w:rPr>
        <w:t>元材料与锰酸锂、</w:t>
      </w:r>
      <w:r>
        <w:rPr>
          <w:rFonts w:hint="default" w:ascii="Times New Roman" w:hAnsi="Times New Roman" w:cs="Times New Roman"/>
          <w:szCs w:val="21"/>
          <w:lang w:val="en-US" w:eastAsia="zh-CN"/>
        </w:rPr>
        <w:t>镍钴锰酸锂</w:t>
      </w:r>
      <w:r>
        <w:rPr>
          <w:rFonts w:hint="default" w:ascii="Times New Roman" w:hAnsi="Times New Roman" w:cs="Times New Roman"/>
          <w:szCs w:val="21"/>
        </w:rPr>
        <w:t>、磷酸铁锂等传统正极材料相比，</w:t>
      </w:r>
      <w:r>
        <w:rPr>
          <w:rFonts w:hint="default" w:ascii="Times New Roman" w:hAnsi="Times New Roman" w:cs="Times New Roman"/>
          <w:szCs w:val="28"/>
        </w:rPr>
        <w:t>具备放电容量高、循环寿命长特点等优势，未来市场对于高镍多元材料的需求量将进一步增加</w:t>
      </w:r>
      <w:r>
        <w:rPr>
          <w:rFonts w:hint="default" w:ascii="Times New Roman" w:hAnsi="Times New Roman" w:cs="Times New Roman"/>
          <w:szCs w:val="28"/>
          <w:lang w:eastAsia="zh-CN"/>
        </w:rPr>
        <w:t>。</w:t>
      </w:r>
      <w:r>
        <w:rPr>
          <w:rFonts w:hint="default" w:ascii="Times New Roman" w:hAnsi="Times New Roman" w:cs="Times New Roman"/>
          <w:szCs w:val="28"/>
        </w:rPr>
        <w:t>我司开发的镍钴钛三元前驱体材料属于高镍型811，其中镍元素的摩尔比达到80</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%以上。</w:t>
      </w:r>
    </w:p>
    <w:p>
      <w:pPr>
        <w:spacing w:line="360" w:lineRule="auto"/>
        <w:ind w:firstLine="420" w:firstLineChars="200"/>
        <w:jc w:val="left"/>
        <w:rPr>
          <w:rFonts w:hint="default" w:ascii="Times New Roman" w:hAnsi="Times New Roman" w:cs="Times New Roman"/>
          <w:szCs w:val="28"/>
          <w:lang w:eastAsia="zh-TW"/>
        </w:rPr>
      </w:pPr>
      <w:r>
        <w:rPr>
          <w:rFonts w:hint="default" w:ascii="Times New Roman" w:hAnsi="Times New Roman" w:cs="Times New Roman"/>
          <w:szCs w:val="28"/>
          <w:lang w:eastAsia="zh-TW"/>
        </w:rPr>
        <w:t>国内目前尚未见镍钴钛三元素复合氢氧化物前驱体材料的开发研究报道，没有相关的市场应用。我司对该产品进行工艺研发</w:t>
      </w:r>
      <w:r>
        <w:rPr>
          <w:rFonts w:hint="default" w:ascii="Times New Roman" w:hAnsi="Times New Roman" w:cs="Times New Roman"/>
          <w:szCs w:val="28"/>
        </w:rPr>
        <w:t>，</w:t>
      </w:r>
      <w:r>
        <w:rPr>
          <w:rFonts w:hint="default" w:ascii="Times New Roman" w:hAnsi="Times New Roman" w:cs="Times New Roman"/>
          <w:szCs w:val="28"/>
          <w:lang w:eastAsia="zh-TW"/>
        </w:rPr>
        <w:t>填补国内外空白</w:t>
      </w:r>
      <w:r>
        <w:rPr>
          <w:rFonts w:hint="default" w:ascii="Times New Roman" w:hAnsi="Times New Roman" w:cs="Times New Roman"/>
          <w:szCs w:val="28"/>
        </w:rPr>
        <w:t>。</w:t>
      </w:r>
      <w:r>
        <w:rPr>
          <w:rFonts w:hint="default" w:ascii="Times New Roman" w:hAnsi="Times New Roman" w:cs="Times New Roman"/>
          <w:szCs w:val="28"/>
          <w:lang w:eastAsia="zh-TW"/>
        </w:rPr>
        <w:t>国外很多国家也停留在镍钴钛三元复合氢氧化物的研发阶段，如韩国、日本等，目的在于早日将镍钴钛三元复合氢氧化物应作前驱体材料用于正极材料中，进一步提升电池性能。</w:t>
      </w:r>
    </w:p>
    <w:p>
      <w:pPr>
        <w:spacing w:line="360" w:lineRule="auto"/>
        <w:ind w:firstLine="420" w:firstLineChars="200"/>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前驱体</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国家标准或行业标准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对镍钴钛三元素氢氧化物的性能指标、检测方法等关键技术内容进行规定，能够促进国内企业生产工艺装备、技术水平、试验检测的升级发展，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szCs w:val="28"/>
        </w:rPr>
        <w:t>1.</w:t>
      </w:r>
      <w:r>
        <w:rPr>
          <w:rFonts w:hint="default" w:ascii="Times New Roman" w:hAnsi="Times New Roman" w:cs="Times New Roman"/>
          <w:b/>
          <w:szCs w:val="28"/>
          <w:lang w:val="en-US" w:eastAsia="zh-CN"/>
        </w:rPr>
        <w:t>5</w:t>
      </w:r>
      <w:r>
        <w:rPr>
          <w:rFonts w:hint="default" w:ascii="Times New Roman" w:hAnsi="Times New Roman" w:cs="Times New Roman"/>
          <w:b/>
          <w:color w:val="FF0000"/>
          <w:szCs w:val="28"/>
        </w:rPr>
        <w:t xml:space="preserve"> </w:t>
      </w:r>
      <w:r>
        <w:rPr>
          <w:rFonts w:hint="default" w:ascii="Times New Roman" w:hAnsi="Times New Roman" w:cs="Times New Roman"/>
          <w:b/>
          <w:color w:val="auto"/>
          <w:szCs w:val="28"/>
          <w:lang w:val="en-US" w:eastAsia="zh-CN"/>
        </w:rPr>
        <w:t>承担单位情况及</w:t>
      </w:r>
      <w:r>
        <w:rPr>
          <w:rFonts w:hint="default" w:ascii="Times New Roman" w:hAnsi="Times New Roman" w:cs="Times New Roman"/>
          <w:b/>
          <w:szCs w:val="28"/>
        </w:rPr>
        <w:t>主要工作过程</w:t>
      </w:r>
    </w:p>
    <w:p>
      <w:pPr>
        <w:spacing w:line="360" w:lineRule="auto"/>
        <w:rPr>
          <w:rFonts w:hint="default" w:ascii="Times New Roman" w:hAnsi="Times New Roman" w:cs="Times New Roman"/>
          <w:b/>
          <w:szCs w:val="28"/>
          <w:lang w:val="en-US" w:eastAsia="zh-CN"/>
        </w:rPr>
      </w:pPr>
      <w:r>
        <w:rPr>
          <w:rFonts w:hint="default" w:ascii="Times New Roman" w:hAnsi="Times New Roman" w:cs="Times New Roman"/>
          <w:b/>
          <w:szCs w:val="28"/>
          <w:lang w:val="en-US" w:eastAsia="zh-CN"/>
        </w:rPr>
        <w:t>1.5.1承担单位情况</w:t>
      </w:r>
    </w:p>
    <w:p>
      <w:pPr>
        <w:pStyle w:val="9"/>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浙江华友钴业股份有限公司</w:t>
      </w:r>
      <w:r>
        <w:rPr>
          <w:rFonts w:hint="default" w:ascii="Times New Roman" w:hAnsi="Times New Roman" w:cs="Times New Roman" w:eastAsiaTheme="minorEastAsia"/>
          <w:color w:val="000000" w:themeColor="text1"/>
          <w:sz w:val="21"/>
          <w:szCs w:val="21"/>
          <w14:textFill>
            <w14:solidFill>
              <w14:schemeClr w14:val="tx1"/>
            </w14:solidFill>
          </w14:textFill>
        </w:rPr>
        <w:t>成立于2002年，是一家专注于锂电新能源材料制造、钴新材料深加工以及钴、铜有色金属采、选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中国25%，全球15%。</w:t>
      </w:r>
    </w:p>
    <w:p>
      <w:pPr>
        <w:spacing w:line="360" w:lineRule="auto"/>
        <w:ind w:firstLine="420" w:firstLineChars="200"/>
        <w:rPr>
          <w:rFonts w:hint="default" w:ascii="Times New Roman" w:hAnsi="Times New Roman" w:cs="Times New Roman" w:eastAsiaTheme="minorEastAsia"/>
          <w:color w:val="000000" w:themeColor="text1"/>
          <w:szCs w:val="21"/>
          <w:highlight w:val="none"/>
          <w14:textFill>
            <w14:solidFill>
              <w14:schemeClr w14:val="tx1"/>
            </w14:solidFill>
          </w14:textFill>
        </w:rPr>
      </w:pPr>
      <w:r>
        <w:rPr>
          <w:rFonts w:hint="default" w:ascii="Times New Roman" w:hAnsi="Times New Roman" w:cs="Times New Roman" w:eastAsiaTheme="minorEastAsia"/>
          <w:color w:val="000000" w:themeColor="text1"/>
          <w:szCs w:val="21"/>
          <w:highlight w:val="none"/>
          <w14:textFill>
            <w14:solidFill>
              <w14:schemeClr w14:val="tx1"/>
            </w14:solidFill>
          </w14:textFill>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66项，其中发明专利44项，实用新型专利22项，通过知识产权贯标，为浙江省专利示范企业；公司牵头和参与起草的国家标准、行业标准共计27项，是行业标准的重要制定者。</w:t>
      </w:r>
    </w:p>
    <w:p>
      <w:pPr>
        <w:spacing w:line="360" w:lineRule="auto"/>
        <w:ind w:firstLine="420" w:firstLineChars="2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000000" w:themeColor="text1"/>
          <w:szCs w:val="21"/>
          <w14:textFill>
            <w14:solidFill>
              <w14:schemeClr w14:val="tx1"/>
            </w14:solidFill>
          </w14:textFill>
        </w:rPr>
        <w:t>华友钴业始终坚持科技创新和科学管理，在锂电正极材料前驱体、钴铜湿法工艺、钴新材料、环境保护领域拥有了国内一流的自主核心技术，公司通过了ISO9001、ISO14001、OHSAS18001、GB/T19022、GB/T15496和AQ/T9006六合一管理体系的认证，</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公司</w:t>
      </w:r>
      <w:r>
        <w:rPr>
          <w:rFonts w:hint="default" w:ascii="Times New Roman" w:hAnsi="Times New Roman" w:cs="Times New Roman" w:eastAsiaTheme="minorEastAsia"/>
          <w:color w:val="000000" w:themeColor="text1"/>
          <w:szCs w:val="21"/>
          <w14:textFill>
            <w14:solidFill>
              <w14:schemeClr w14:val="tx1"/>
            </w14:solidFill>
          </w14:textFill>
        </w:rPr>
        <w:t>的精细化管理水平处于行业领先地位；公司是浙江省绿色企业、浙江省工业经济循环示范企业、浙江省清洁生产企业、国家安全生产标准化二级企业，为公司做强做大钴产</w:t>
      </w:r>
      <w:r>
        <w:rPr>
          <w:rFonts w:hint="default" w:ascii="Times New Roman" w:hAnsi="Times New Roman" w:cs="Times New Roman" w:eastAsiaTheme="minorEastAsia"/>
          <w:color w:val="auto"/>
          <w:szCs w:val="21"/>
        </w:rPr>
        <w:t>业提供了坚实保障。</w:t>
      </w:r>
    </w:p>
    <w:p>
      <w:pPr>
        <w:spacing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华友新能源科技（衢州）有限公司</w:t>
      </w:r>
      <w:r>
        <w:rPr>
          <w:rFonts w:ascii="Times New Roman" w:hAnsi="Times New Roman" w:cs="Times New Roman" w:eastAsiaTheme="minorEastAsia"/>
          <w:color w:val="000000" w:themeColor="text1"/>
          <w:sz w:val="21"/>
          <w:szCs w:val="21"/>
          <w14:textFill>
            <w14:solidFill>
              <w14:schemeClr w14:val="tx1"/>
            </w14:solidFill>
          </w14:textFill>
        </w:rPr>
        <w:t>成立于2016年5月，国家高新技术企业，注册地位于浙江省**市高新产业园区，注册资本8.7亿。公司主要从事各种型号三元正极前驱体的研发、制造、销售，产品广泛应用于新能源汽车及储能领域。</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建有完整的科技创新体系，设立了“新能源锂电材料研究所”，拥有国内同业一流的三元前驱体及正极材料技术研究创新团队，其中海外引进人才2人、博士4人、硕士38人。拥有三元正极材料合成专有技术，掌握了 NCM523、NCM622、NCM811 和 NCA 等多款产品的核心制造技术，工程转化能力强，公司在前驱体合成技术和工艺装备上的优势保证了产品的优良品质和优越性能。此外，公司与浙江大学、北京理工大学、中科院过程研究所等高校和科研院所建立了良好的产学研合作关系，“新能源锂电材料研究所”先后被认定为**市工程技术研究开发中心、**市企业技术中心、**市重点企业研究院、浙江省高新技术企业研究开发中心及浙江省企业研究院等荣誉资质。</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公司具有一流的技术优势，近年来，公司承担科技项目30余项，其中9项获得市级以上科技部门立项，“高性能动力电池正极材料专用前驱体”、“动力电池用单晶 NCM6 系正极材料前驱体关键技术开发及产业化”等项目入选浙江省重点研发计划；申请国家专利40余项，已获得的授权专利共25项，完成浙江省科技成果登记15项，软件成果登记5项；公司牵头或参与起草《镍、钴、钛复合三元素氢氧化物》、《镍、钴复合二元素氢氧化物》、《镍、钴复合二元素氧化物》等11项产品行业标准，成为行业技术标准的重要制订者。</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的新能源材料产品研发与高端客户开发上保持了国内先进水平，围绕国内外动力电池材料的主流工艺路线，加大基于间歇法工艺技术研究及关键装备的开发，独创开发出更适合制备高端动力Bimodal高密度窄分布前驱体的新技术。公司产品已进入三星SDI、LG化学、CATL、比亚迪、POSCO等新能源锂电行业全球知名客户供应链。</w:t>
      </w:r>
    </w:p>
    <w:p>
      <w:pPr>
        <w:pStyle w:val="9"/>
        <w:shd w:val="clear" w:color="auto" w:fill="FFFFFF"/>
        <w:spacing w:before="0" w:beforeAutospacing="0" w:after="0" w:afterAutospacing="0" w:line="360" w:lineRule="auto"/>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1.5.2主要工作过程</w:t>
      </w:r>
    </w:p>
    <w:p>
      <w:pPr>
        <w:spacing w:line="360" w:lineRule="auto"/>
        <w:ind w:firstLine="420" w:firstLineChars="200"/>
        <w:rPr>
          <w:rFonts w:hint="default" w:ascii="Times New Roman" w:hAnsi="Times New Roman" w:cs="Times New Roman"/>
          <w:sz w:val="21"/>
          <w:szCs w:val="21"/>
          <w:highlight w:val="none"/>
        </w:rPr>
      </w:pPr>
      <w:r>
        <w:rPr>
          <w:rFonts w:hint="default" w:ascii="Times New Roman" w:hAnsi="Times New Roman" w:cs="Times New Roman"/>
          <w:sz w:val="21"/>
          <w:szCs w:val="21"/>
        </w:rPr>
        <w:t>2018年7月</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华友新能源科技（衢州）有限公司、浙江华友钴业股份有限公司</w:t>
      </w:r>
      <w:r>
        <w:rPr>
          <w:rFonts w:hint="default" w:ascii="Times New Roman" w:hAnsi="Times New Roman" w:cs="Times New Roman"/>
          <w:sz w:val="21"/>
          <w:szCs w:val="21"/>
        </w:rPr>
        <w:t>接</w:t>
      </w:r>
      <w:r>
        <w:rPr>
          <w:rFonts w:hint="default" w:ascii="Times New Roman" w:hAnsi="Times New Roman" w:cs="Times New Roman"/>
          <w:sz w:val="21"/>
          <w:szCs w:val="21"/>
          <w:lang w:val="en-US" w:eastAsia="zh-CN"/>
        </w:rPr>
        <w:t>受</w:t>
      </w:r>
      <w:r>
        <w:rPr>
          <w:rFonts w:hint="default" w:ascii="Times New Roman" w:hAnsi="Times New Roman" w:cs="Times New Roman"/>
          <w:sz w:val="21"/>
          <w:szCs w:val="21"/>
        </w:rPr>
        <w:t>《</w:t>
      </w:r>
      <w:r>
        <w:rPr>
          <w:rFonts w:hint="default" w:ascii="Times New Roman" w:hAnsi="Times New Roman" w:cs="Times New Roman"/>
          <w:sz w:val="21"/>
          <w:szCs w:val="21"/>
          <w:lang w:eastAsia="zh-CN"/>
        </w:rPr>
        <w:t>镍钴钛三元素复合氢氧化物</w:t>
      </w:r>
      <w:r>
        <w:rPr>
          <w:rFonts w:hint="default" w:ascii="Times New Roman" w:hAnsi="Times New Roman" w:cs="Times New Roman"/>
          <w:sz w:val="21"/>
          <w:szCs w:val="21"/>
        </w:rPr>
        <w:t>》行业标准编制任务后，成立了《镍钴</w:t>
      </w:r>
      <w:r>
        <w:rPr>
          <w:rFonts w:hint="default" w:ascii="Times New Roman" w:hAnsi="Times New Roman" w:cs="Times New Roman"/>
          <w:sz w:val="21"/>
          <w:szCs w:val="21"/>
          <w:lang w:val="en-US" w:eastAsia="zh-CN"/>
        </w:rPr>
        <w:t>钛三</w:t>
      </w:r>
      <w:r>
        <w:rPr>
          <w:rFonts w:hint="default" w:ascii="Times New Roman" w:hAnsi="Times New Roman" w:cs="Times New Roman"/>
          <w:sz w:val="21"/>
          <w:szCs w:val="21"/>
        </w:rPr>
        <w:t>元素复合氢氧化物》行业标准编制组，</w:t>
      </w:r>
      <w:r>
        <w:rPr>
          <w:rFonts w:hint="default" w:ascii="Times New Roman" w:hAnsi="Times New Roman" w:cs="Times New Roman"/>
          <w:sz w:val="21"/>
          <w:szCs w:val="21"/>
          <w:lang w:val="en-US" w:eastAsia="zh-CN"/>
        </w:rPr>
        <w:t>标准编制工作组成员查阅了大量的资料，收集、整理、对比分析了</w:t>
      </w:r>
      <w:r>
        <w:rPr>
          <w:rFonts w:hint="default" w:ascii="Times New Roman" w:hAnsi="Times New Roman" w:cs="Times New Roman"/>
          <w:sz w:val="21"/>
          <w:szCs w:val="21"/>
        </w:rPr>
        <w:t>了国内</w:t>
      </w:r>
      <w:r>
        <w:rPr>
          <w:rFonts w:hint="default" w:ascii="Times New Roman" w:hAnsi="Times New Roman" w:cs="Times New Roman"/>
          <w:sz w:val="21"/>
          <w:szCs w:val="21"/>
          <w:lang w:eastAsia="zh-CN"/>
        </w:rPr>
        <w:t>镍钴钛三元素复合氢氧化物</w:t>
      </w:r>
      <w:r>
        <w:rPr>
          <w:rFonts w:hint="default" w:ascii="Times New Roman" w:hAnsi="Times New Roman" w:cs="Times New Roman"/>
          <w:sz w:val="21"/>
          <w:szCs w:val="21"/>
        </w:rPr>
        <w:t>的技术资料</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结合</w:t>
      </w:r>
      <w:r>
        <w:rPr>
          <w:rFonts w:hint="default" w:ascii="Times New Roman" w:hAnsi="Times New Roman" w:cs="Times New Roman"/>
          <w:sz w:val="21"/>
          <w:szCs w:val="21"/>
        </w:rPr>
        <w:t>浙江华友钴业股份有限公司多年对镍钴</w:t>
      </w:r>
      <w:r>
        <w:rPr>
          <w:rFonts w:hint="default" w:ascii="Times New Roman" w:hAnsi="Times New Roman" w:cs="Times New Roman"/>
          <w:sz w:val="21"/>
          <w:szCs w:val="21"/>
          <w:lang w:val="en-US" w:eastAsia="zh-CN"/>
        </w:rPr>
        <w:t>钛三</w:t>
      </w:r>
      <w:r>
        <w:rPr>
          <w:rFonts w:hint="default" w:ascii="Times New Roman" w:hAnsi="Times New Roman" w:cs="Times New Roman"/>
          <w:sz w:val="21"/>
          <w:szCs w:val="21"/>
        </w:rPr>
        <w:t>元素复合氢氧化物的</w:t>
      </w:r>
      <w:r>
        <w:rPr>
          <w:rFonts w:hint="default" w:ascii="Times New Roman" w:hAnsi="Times New Roman" w:cs="Times New Roman"/>
          <w:sz w:val="21"/>
          <w:szCs w:val="21"/>
          <w:lang w:val="en-US" w:eastAsia="zh-CN"/>
        </w:rPr>
        <w:t>研究</w:t>
      </w:r>
      <w:r>
        <w:rPr>
          <w:rFonts w:hint="default" w:ascii="Times New Roman" w:hAnsi="Times New Roman" w:cs="Times New Roman"/>
          <w:sz w:val="21"/>
          <w:szCs w:val="21"/>
        </w:rPr>
        <w:t>情况</w:t>
      </w:r>
      <w:r>
        <w:rPr>
          <w:rFonts w:hint="default" w:ascii="Times New Roman" w:hAnsi="Times New Roman" w:cs="Times New Roman"/>
          <w:sz w:val="21"/>
          <w:szCs w:val="21"/>
          <w:lang w:eastAsia="zh-CN"/>
        </w:rPr>
        <w:t>，</w:t>
      </w:r>
      <w:r>
        <w:rPr>
          <w:rFonts w:hint="default" w:ascii="Times New Roman" w:hAnsi="Times New Roman" w:cs="Times New Roman"/>
          <w:sz w:val="21"/>
          <w:szCs w:val="21"/>
        </w:rPr>
        <w:t>编制组组织相关技术和管理人员进行多次讨论后，</w:t>
      </w:r>
      <w:r>
        <w:rPr>
          <w:rFonts w:hint="default" w:ascii="Times New Roman" w:hAnsi="Times New Roman" w:cs="Times New Roman"/>
          <w:sz w:val="21"/>
          <w:szCs w:val="21"/>
          <w:highlight w:val="none"/>
        </w:rPr>
        <w:t>2018年10月初步确定了《镍钴</w:t>
      </w:r>
      <w:r>
        <w:rPr>
          <w:rFonts w:hint="default" w:ascii="Times New Roman" w:hAnsi="Times New Roman" w:cs="Times New Roman"/>
          <w:sz w:val="21"/>
          <w:szCs w:val="21"/>
          <w:highlight w:val="none"/>
          <w:lang w:val="en-US" w:eastAsia="zh-CN"/>
        </w:rPr>
        <w:t>钛三</w:t>
      </w:r>
      <w:r>
        <w:rPr>
          <w:rFonts w:hint="default" w:ascii="Times New Roman" w:hAnsi="Times New Roman" w:cs="Times New Roman"/>
          <w:sz w:val="21"/>
          <w:szCs w:val="21"/>
          <w:highlight w:val="none"/>
        </w:rPr>
        <w:t>元素复合氢氧化物》的主要技术指标</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提出了该</w:t>
      </w:r>
      <w:r>
        <w:rPr>
          <w:rFonts w:hint="default" w:ascii="Times New Roman" w:hAnsi="Times New Roman" w:cs="Times New Roman"/>
          <w:sz w:val="21"/>
          <w:szCs w:val="21"/>
          <w:highlight w:val="none"/>
          <w:lang w:val="en-US" w:eastAsia="zh-CN"/>
        </w:rPr>
        <w:t>版的</w:t>
      </w:r>
      <w:r>
        <w:rPr>
          <w:rFonts w:hint="default" w:ascii="Times New Roman" w:hAnsi="Times New Roman" w:cs="Times New Roman"/>
          <w:sz w:val="21"/>
          <w:szCs w:val="21"/>
          <w:highlight w:val="none"/>
        </w:rPr>
        <w:t>标准</w:t>
      </w:r>
      <w:r>
        <w:rPr>
          <w:rFonts w:hint="default" w:ascii="Times New Roman" w:hAnsi="Times New Roman" w:cs="Times New Roman"/>
          <w:sz w:val="21"/>
          <w:szCs w:val="21"/>
          <w:highlight w:val="none"/>
          <w:lang w:val="en-US" w:eastAsia="zh-CN"/>
        </w:rPr>
        <w:t>草案</w:t>
      </w:r>
      <w:r>
        <w:rPr>
          <w:rFonts w:hint="default" w:ascii="Times New Roman" w:hAnsi="Times New Roman" w:cs="Times New Roman"/>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华友新能源科技（衢州）有限公司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ascii="Times New Roman" w:hAnsi="Times New Roman" w:eastAsia="宋体" w:cs="Times New Roman"/>
          <w:sz w:val="21"/>
          <w:szCs w:val="21"/>
        </w:rPr>
        <w:t>等</w:t>
      </w:r>
      <w:r>
        <w:rPr>
          <w:rFonts w:hint="eastAsia" w:ascii="Times New Roman" w:hAnsi="Times New Roman" w:cs="Times New Roman"/>
          <w:sz w:val="21"/>
          <w:szCs w:val="21"/>
          <w:lang w:val="en-US" w:eastAsia="zh-CN"/>
        </w:rPr>
        <w:t>22</w:t>
      </w:r>
      <w:r>
        <w:rPr>
          <w:rFonts w:hint="default" w:ascii="Times New Roman" w:hAnsi="Times New Roman" w:eastAsia="宋体" w:cs="Times New Roman"/>
          <w:sz w:val="21"/>
          <w:szCs w:val="21"/>
        </w:rPr>
        <w:t xml:space="preserve"> 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default" w:ascii="Times New Roman" w:hAnsi="Times New Roman" w:cs="Times New Roman"/>
          <w:sz w:val="21"/>
          <w:szCs w:val="21"/>
          <w:lang w:val="en-US" w:eastAsia="zh-CN"/>
        </w:rPr>
        <w:t>会议由起草单位华友新能源科技（衢州）有限公司、浙江华友钴业股份有限公司汇报了《镍钴</w:t>
      </w:r>
      <w:r>
        <w:rPr>
          <w:rFonts w:hint="eastAsia" w:ascii="Times New Roman" w:hAnsi="Times New Roman" w:cs="Times New Roman"/>
          <w:sz w:val="21"/>
          <w:szCs w:val="21"/>
          <w:lang w:val="en-US" w:eastAsia="zh-CN"/>
        </w:rPr>
        <w:t>钛三</w:t>
      </w:r>
      <w:r>
        <w:rPr>
          <w:rFonts w:hint="default" w:ascii="Times New Roman" w:hAnsi="Times New Roman" w:cs="Times New Roman"/>
          <w:sz w:val="21"/>
          <w:szCs w:val="21"/>
          <w:lang w:val="en-US" w:eastAsia="zh-CN"/>
        </w:rPr>
        <w:t>元素复合</w:t>
      </w:r>
      <w:r>
        <w:rPr>
          <w:rFonts w:hint="eastAsia" w:ascii="Times New Roman" w:hAnsi="Times New Roman" w:cs="Times New Roman"/>
          <w:sz w:val="21"/>
          <w:szCs w:val="21"/>
          <w:lang w:val="en-US" w:eastAsia="zh-CN"/>
        </w:rPr>
        <w:t>氢</w:t>
      </w:r>
      <w:r>
        <w:rPr>
          <w:rFonts w:hint="default" w:ascii="Times New Roman" w:hAnsi="Times New Roman" w:cs="Times New Roman"/>
          <w:sz w:val="21"/>
          <w:szCs w:val="21"/>
          <w:lang w:val="en-US" w:eastAsia="zh-CN"/>
        </w:rPr>
        <w:t>氧化物》讨论稿及编制说明，与会专家经过详细讨论，提出以下意见及建议：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标准范围中增加化学分子式，其表述方式为本标准适用于镍钴钛三元素复合氢氧化物，其化学分子式为Ni</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y</w:t>
      </w:r>
      <w:r>
        <w:rPr>
          <w:rFonts w:hint="default" w:ascii="Times New Roman" w:hAnsi="Times New Roman" w:eastAsia="宋体" w:cs="Times New Roman"/>
          <w:sz w:val="21"/>
          <w:szCs w:val="21"/>
          <w:vertAlign w:val="baseline"/>
          <w:lang w:val="en-US" w:eastAsia="zh-CN"/>
        </w:rPr>
        <w:t>Ti</w:t>
      </w:r>
      <w:r>
        <w:rPr>
          <w:rFonts w:hint="default" w:ascii="Times New Roman" w:hAnsi="Times New Roman" w:eastAsia="宋体" w:cs="Times New Roman"/>
          <w:sz w:val="21"/>
          <w:szCs w:val="21"/>
          <w:vertAlign w:val="subscript"/>
          <w:lang w:val="en-US" w:eastAsia="zh-CN"/>
        </w:rPr>
        <w:t>1-x-y</w:t>
      </w:r>
      <w:r>
        <w:rPr>
          <w:rFonts w:hint="default" w:ascii="Times New Roman" w:hAnsi="Times New Roman" w:eastAsia="宋体" w:cs="Times New Roman"/>
          <w:sz w:val="21"/>
          <w:szCs w:val="21"/>
          <w:vertAlign w:val="baseline"/>
          <w:lang w:val="en-US" w:eastAsia="zh-CN"/>
        </w:rPr>
        <w:t>(OH)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vertAlign w:val="baseline"/>
          <w:lang w:val="en-US" w:eastAsia="zh-CN"/>
        </w:rPr>
        <w:t>（其中x＞0,y＞0，x+y＜1）</w:t>
      </w:r>
      <w:r>
        <w:rPr>
          <w:rFonts w:hint="default" w:ascii="Times New Roman" w:hAnsi="Times New Roman" w:eastAsia="宋体" w:cs="Times New Roman"/>
          <w:sz w:val="21"/>
          <w:szCs w:val="21"/>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20" w:firstLineChars="20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2）</w:t>
      </w:r>
      <w:r>
        <w:rPr>
          <w:rFonts w:hint="default" w:ascii="Times New Roman" w:hAnsi="Times New Roman" w:eastAsia="宋体" w:cs="Times New Roman"/>
          <w:sz w:val="21"/>
          <w:szCs w:val="21"/>
          <w:lang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20" w:firstLineChars="20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将水分检测方法</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GB/T 6283 化工产品中水分含量的测定 卡尔</w:t>
      </w:r>
      <w:r>
        <w:rPr>
          <w:rFonts w:hint="default" w:ascii="Times New Roman" w:hAnsi="Times New Roman" w:eastAsia="微软雅黑" w:cs="Times New Roman"/>
          <w:sz w:val="21"/>
          <w:szCs w:val="21"/>
          <w:lang w:val="en-US" w:eastAsia="zh-CN"/>
        </w:rPr>
        <w:t>▪</w:t>
      </w:r>
      <w:r>
        <w:rPr>
          <w:rFonts w:hint="default" w:ascii="Times New Roman" w:hAnsi="Times New Roman" w:eastAsia="宋体" w:cs="Times New Roman"/>
          <w:sz w:val="21"/>
          <w:szCs w:val="21"/>
          <w:lang w:val="en-US" w:eastAsia="zh-CN"/>
        </w:rPr>
        <w:t>费休法（通用方法）</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更换为</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GB/T 6284 化工产品中水分测定的通用方法 干燥减量法</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；更新</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GB/T 24533-2009锂离子电池石墨类负极材料</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标准号至“GB/T 24533-2019”</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3）</w:t>
      </w:r>
      <w:r>
        <w:rPr>
          <w:rFonts w:hint="default" w:ascii="Times New Roman" w:hAnsi="Times New Roman" w:eastAsia="宋体" w:cs="Times New Roman"/>
          <w:sz w:val="21"/>
          <w:szCs w:val="21"/>
          <w:lang w:val="en-US" w:eastAsia="zh-CN"/>
        </w:rPr>
        <w:t>依据金川新修订国标GB/T 26300-xxxx，产品牌号定为NCTH+6位数字（其中NCT代表镍钴钛三种元素，后面H表示氢氧化物，数字两位一组依次代表产品中镍钴钛物质的量百分比含量，例如NCTH920602代表Ni含量为92%，Co含量为6%，Ti含量为2%的镍钴钛三元素复合氢氧化物，其化学方程式为Ni</w:t>
      </w:r>
      <w:r>
        <w:rPr>
          <w:rFonts w:hint="default" w:ascii="Times New Roman" w:hAnsi="Times New Roman" w:eastAsia="宋体" w:cs="Times New Roman"/>
          <w:sz w:val="21"/>
          <w:szCs w:val="21"/>
          <w:vertAlign w:val="subscript"/>
          <w:lang w:val="en-US" w:eastAsia="zh-CN"/>
        </w:rPr>
        <w:t>0.92</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0.06</w:t>
      </w:r>
      <w:r>
        <w:rPr>
          <w:rFonts w:hint="default" w:ascii="Times New Roman" w:hAnsi="Times New Roman" w:eastAsia="宋体" w:cs="Times New Roman"/>
          <w:sz w:val="21"/>
          <w:szCs w:val="21"/>
          <w:vertAlign w:val="baseline"/>
          <w:lang w:val="en-US" w:eastAsia="zh-CN"/>
        </w:rPr>
        <w:t>Ti</w:t>
      </w:r>
      <w:r>
        <w:rPr>
          <w:rFonts w:hint="default" w:ascii="Times New Roman" w:hAnsi="Times New Roman" w:eastAsia="宋体" w:cs="Times New Roman"/>
          <w:sz w:val="21"/>
          <w:szCs w:val="21"/>
          <w:vertAlign w:val="subscript"/>
          <w:lang w:val="en-US" w:eastAsia="zh-CN"/>
        </w:rPr>
        <w:t>0.02</w:t>
      </w:r>
      <w:r>
        <w:rPr>
          <w:rFonts w:hint="default" w:ascii="Times New Roman" w:hAnsi="Times New Roman" w:eastAsia="宋体" w:cs="Times New Roman"/>
          <w:sz w:val="21"/>
          <w:szCs w:val="21"/>
          <w:vertAlign w:val="baseline"/>
          <w:lang w:val="en-US" w:eastAsia="zh-CN"/>
        </w:rPr>
        <w:t>(OH)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 xml:space="preserve">化学成分中主含量的规定新增物质的量的百分比 </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5）</w:t>
      </w:r>
      <w:r>
        <w:rPr>
          <w:rFonts w:hint="default" w:ascii="Times New Roman" w:hAnsi="Times New Roman" w:eastAsia="宋体" w:cs="Times New Roman"/>
          <w:sz w:val="21"/>
          <w:szCs w:val="21"/>
          <w:lang w:val="en-US" w:eastAsia="zh-CN"/>
        </w:rPr>
        <w:t>化学成分中杂质含量：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）增加SO</w:t>
      </w:r>
      <w:r>
        <w:rPr>
          <w:rFonts w:hint="default" w:ascii="Times New Roman" w:hAnsi="Times New Roman" w:eastAsia="宋体" w:cs="Times New Roman"/>
          <w:sz w:val="21"/>
          <w:szCs w:val="21"/>
          <w:vertAlign w:val="subscript"/>
          <w:lang w:val="en-US" w:eastAsia="zh-CN"/>
        </w:rPr>
        <w:t>4</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指标≤0.36%，删除S元素指标；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）将杂质检测项Cl修改为Cl</w:t>
      </w:r>
      <w:r>
        <w:rPr>
          <w:rFonts w:hint="default" w:ascii="Times New Roman" w:hAnsi="Times New Roman" w:eastAsia="宋体" w:cs="Times New Roman"/>
          <w:sz w:val="21"/>
          <w:szCs w:val="21"/>
          <w:vertAlign w:val="superscript"/>
          <w:lang w:val="en-US" w:eastAsia="zh-CN"/>
        </w:rPr>
        <w:t>-</w:t>
      </w:r>
      <w:r>
        <w:rPr>
          <w:rFonts w:hint="default" w:ascii="Times New Roman" w:hAnsi="Times New Roman" w:eastAsia="宋体" w:cs="Times New Roman"/>
          <w:sz w:val="21"/>
          <w:szCs w:val="21"/>
          <w:vertAlign w:val="baseline"/>
          <w:lang w:val="en-US" w:eastAsia="zh-CN"/>
        </w:rPr>
        <w:t>，数值维持</w:t>
      </w:r>
      <w:r>
        <w:rPr>
          <w:rFonts w:hint="default" w:ascii="Times New Roman" w:hAnsi="Times New Roman" w:eastAsia="宋体" w:cs="Times New Roman"/>
          <w:sz w:val="21"/>
          <w:szCs w:val="21"/>
          <w:lang w:val="en-US" w:eastAsia="zh-CN"/>
        </w:rPr>
        <w:t>≤0.02%不变；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）杂质Ca含量由≤0.005%修改为≤0.01%，Zn杂质含量由≤0.005%修改为≤0.002%；</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d</w:t>
      </w:r>
      <w:r>
        <w:rPr>
          <w:rFonts w:hint="default" w:ascii="Times New Roman" w:hAnsi="Times New Roman" w:eastAsia="宋体" w:cs="Times New Roman"/>
          <w:sz w:val="21"/>
          <w:szCs w:val="21"/>
          <w:lang w:val="en-US" w:eastAsia="zh-CN"/>
        </w:rPr>
        <w:t>）将杂质元素按照先金属后非金属，先小序号后大序号的规则重新排序；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e</w:t>
      </w:r>
      <w:r>
        <w:rPr>
          <w:rFonts w:hint="default" w:ascii="Times New Roman" w:hAnsi="Times New Roman" w:eastAsia="宋体" w:cs="Times New Roman"/>
          <w:sz w:val="21"/>
          <w:szCs w:val="21"/>
          <w:lang w:val="en-US" w:eastAsia="zh-CN"/>
        </w:rPr>
        <w:t>）水分含量由不大于0.5%改为不大于1.0%；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f</w:t>
      </w:r>
      <w:r>
        <w:rPr>
          <w:rFonts w:hint="default" w:ascii="Times New Roman" w:hAnsi="Times New Roman" w:eastAsia="宋体" w:cs="Times New Roman"/>
          <w:sz w:val="21"/>
          <w:szCs w:val="21"/>
          <w:lang w:val="en-US" w:eastAsia="zh-CN"/>
        </w:rPr>
        <w:t>）磁性异物含量由不大于0.00002%改为不大于0.00001%。</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default" w:ascii="Times New Roman" w:hAnsi="Times New Roman" w:eastAsia="宋体" w:cs="Times New Roman"/>
          <w:sz w:val="21"/>
          <w:szCs w:val="21"/>
          <w:lang w:val="en-US" w:eastAsia="zh-CN"/>
        </w:rPr>
        <w:t>物理性能：</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vertAlign w:val="baseline"/>
          <w:lang w:val="en-US" w:eastAsia="zh-CN"/>
        </w:rPr>
        <w:t>a</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lang w:val="en-US" w:eastAsia="zh-CN"/>
        </w:rPr>
        <w:t>粒度分布特征值范围D50“3.0μm-20.0μm”需根据后续各单位提供数据上下限分别与比表面积对应。</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）产品的比表面积3.0m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/g-30.0m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/g</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需根据后续各单位提供样本重新商榷。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）外观质量：重新确定产品颜色，与镍钴二元素复合氢氧化物、镍钴二元素复合氧化物进行区别。</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检验方法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）产品水分的测定方法修改为“GB/T 6284 化工产品中水分测定的通用方法 干燥减量法”，相应的规范性引用文件也进行修改；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）更新磁性异物检验标准标准号至GB/T 24533-2019（原GB/T 24533-2009）。</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w:t>
      </w:r>
      <w:r>
        <w:rPr>
          <w:rFonts w:hint="default" w:ascii="Times New Roman" w:hAnsi="Times New Roman" w:eastAsia="宋体" w:cs="Times New Roman"/>
          <w:sz w:val="21"/>
          <w:szCs w:val="21"/>
          <w:lang w:val="en-US" w:eastAsia="zh-CN"/>
        </w:rPr>
        <w:t>5.2组批中更改描述“每批应由同一混合料组成”为“每批应由同一牌号产品组成”。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w:t>
      </w:r>
      <w:r>
        <w:rPr>
          <w:rFonts w:hint="default" w:ascii="Times New Roman" w:hAnsi="Times New Roman" w:eastAsia="宋体" w:cs="Times New Roman"/>
          <w:sz w:val="21"/>
          <w:szCs w:val="21"/>
          <w:lang w:val="en-US" w:eastAsia="zh-CN"/>
        </w:rPr>
        <w:t>5.4 取样与制样更改为取样（前驱体产品检测不涉及制样）；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w:t>
      </w:r>
      <w:r>
        <w:rPr>
          <w:rFonts w:hint="default" w:ascii="Times New Roman" w:hAnsi="Times New Roman" w:eastAsia="宋体" w:cs="Times New Roman"/>
          <w:sz w:val="21"/>
          <w:szCs w:val="21"/>
          <w:lang w:val="en-US" w:eastAsia="zh-CN"/>
        </w:rPr>
        <w:t>6 包装、标志、运输、存储和质量预报单、7 合同或（订货单）的描述与金川新修订国标“GB/T 26300-xxxx 镍钴锰三元素复合氢氧化物”保持一致，具体描述修改如下：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 包装、标志、运输、</w:t>
      </w:r>
      <w:r>
        <w:rPr>
          <w:rFonts w:hint="default" w:ascii="Times New Roman" w:hAnsi="Times New Roman" w:eastAsia="黑体" w:cs="Times New Roman"/>
          <w:b w:val="0"/>
          <w:bCs/>
          <w:szCs w:val="21"/>
          <w:lang w:val="en-US" w:eastAsia="zh-CN"/>
        </w:rPr>
        <w:t>贮存</w:t>
      </w:r>
      <w:r>
        <w:rPr>
          <w:rFonts w:hint="default" w:ascii="Times New Roman" w:hAnsi="Times New Roman" w:eastAsia="黑体" w:cs="Times New Roman"/>
          <w:b w:val="0"/>
          <w:bCs/>
          <w:szCs w:val="21"/>
        </w:rPr>
        <w:t>和质量证明书</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宋体" w:cs="Times New Roman"/>
          <w:b/>
          <w:szCs w:val="21"/>
        </w:rPr>
      </w:pPr>
      <w:r>
        <w:rPr>
          <w:rFonts w:hint="default" w:ascii="Times New Roman" w:hAnsi="Times New Roman" w:eastAsia="黑体" w:cs="Times New Roman"/>
          <w:b w:val="0"/>
          <w:bCs/>
          <w:szCs w:val="21"/>
        </w:rPr>
        <w:t>6.1 包装</w:t>
      </w:r>
    </w:p>
    <w:p>
      <w:pPr>
        <w:snapToGrid w:val="0"/>
        <w:spacing w:line="360" w:lineRule="auto"/>
        <w:ind w:firstLine="0" w:firstLineChars="0"/>
        <w:rPr>
          <w:rFonts w:ascii="Times New Roman" w:hAnsi="Times New Roman" w:eastAsia="宋体" w:cs="Times New Roman"/>
          <w:color w:val="auto"/>
          <w:szCs w:val="21"/>
        </w:rPr>
      </w:pPr>
      <w:r>
        <w:rPr>
          <w:rFonts w:hint="default" w:ascii="Times New Roman" w:hAnsi="Times New Roman" w:eastAsia="黑体" w:cs="Times New Roman"/>
          <w:bCs/>
          <w:szCs w:val="21"/>
        </w:rPr>
        <w:t>6.1.1</w:t>
      </w:r>
      <w:r>
        <w:rPr>
          <w:rFonts w:hint="default" w:ascii="Times New Roman" w:hAnsi="Times New Roman" w:eastAsia="宋体" w:cs="Times New Roman"/>
          <w:color w:val="auto"/>
          <w:szCs w:val="21"/>
        </w:rPr>
        <w:t xml:space="preserve"> 桶</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采用</w:t>
      </w:r>
      <w:r>
        <w:rPr>
          <w:rFonts w:hint="default" w:ascii="Times New Roman" w:hAnsi="Times New Roman" w:eastAsia="宋体" w:cs="Times New Roman"/>
          <w:color w:val="auto"/>
          <w:szCs w:val="21"/>
        </w:rPr>
        <w:t>内衬</w:t>
      </w:r>
      <w:r>
        <w:rPr>
          <w:rFonts w:ascii="Times New Roman" w:hAnsi="Times New Roman" w:eastAsia="宋体" w:cs="Times New Roman"/>
          <w:color w:val="auto"/>
          <w:szCs w:val="21"/>
        </w:rPr>
        <w:t>铝塑袋或</w:t>
      </w:r>
      <w:r>
        <w:rPr>
          <w:rFonts w:hint="default" w:ascii="Times New Roman" w:hAnsi="Times New Roman" w:eastAsia="宋体" w:cs="Times New Roman"/>
          <w:color w:val="auto"/>
          <w:szCs w:val="21"/>
        </w:rPr>
        <w:t>PE袋的</w:t>
      </w:r>
      <w:r>
        <w:rPr>
          <w:rFonts w:ascii="Times New Roman" w:hAnsi="Times New Roman" w:eastAsia="宋体" w:cs="Times New Roman"/>
          <w:color w:val="auto"/>
          <w:szCs w:val="21"/>
        </w:rPr>
        <w:t>纸桶或塑料桶包装，</w:t>
      </w:r>
      <w:r>
        <w:rPr>
          <w:rFonts w:hint="default" w:ascii="Times New Roman" w:hAnsi="Times New Roman" w:eastAsia="宋体" w:cs="Times New Roman"/>
          <w:color w:val="auto"/>
          <w:szCs w:val="21"/>
        </w:rPr>
        <w:t>热塑密封</w:t>
      </w:r>
      <w:r>
        <w:rPr>
          <w:rFonts w:ascii="Times New Roman" w:hAnsi="Times New Roman" w:eastAsia="宋体" w:cs="Times New Roman"/>
          <w:color w:val="auto"/>
          <w:szCs w:val="21"/>
        </w:rPr>
        <w:t>，每桶</w:t>
      </w:r>
      <w:r>
        <w:rPr>
          <w:rFonts w:hint="default" w:ascii="Times New Roman" w:hAnsi="Times New Roman" w:eastAsia="宋体" w:cs="Times New Roman"/>
          <w:color w:val="auto"/>
          <w:szCs w:val="21"/>
        </w:rPr>
        <w:t>净重25</w:t>
      </w:r>
      <w:r>
        <w:rPr>
          <w:rFonts w:ascii="Times New Roman" w:hAnsi="Times New Roman" w:eastAsia="宋体" w:cs="Times New Roman"/>
          <w:color w:val="auto"/>
          <w:szCs w:val="21"/>
        </w:rPr>
        <w:t>kg。</w:t>
      </w:r>
    </w:p>
    <w:p>
      <w:pPr>
        <w:snapToGrid w:val="0"/>
        <w:spacing w:line="360" w:lineRule="auto"/>
        <w:ind w:firstLine="0" w:firstLineChars="0"/>
        <w:rPr>
          <w:rFonts w:ascii="Times New Roman" w:hAnsi="Times New Roman" w:eastAsia="宋体" w:cs="Times New Roman"/>
          <w:color w:val="auto"/>
          <w:szCs w:val="21"/>
        </w:rPr>
      </w:pPr>
      <w:r>
        <w:rPr>
          <w:rFonts w:hint="default" w:ascii="Times New Roman" w:hAnsi="Times New Roman" w:eastAsia="黑体" w:cs="Times New Roman"/>
          <w:bCs/>
          <w:szCs w:val="21"/>
        </w:rPr>
        <w:t>6.1.2</w:t>
      </w:r>
      <w:r>
        <w:rPr>
          <w:rFonts w:ascii="Times New Roman" w:hAnsi="Times New Roman" w:eastAsia="宋体" w:cs="Times New Roman"/>
          <w:color w:val="auto"/>
          <w:szCs w:val="21"/>
        </w:rPr>
        <w:t xml:space="preserve"> </w:t>
      </w:r>
      <w:r>
        <w:rPr>
          <w:rFonts w:hint="default" w:ascii="Times New Roman" w:hAnsi="Times New Roman" w:eastAsia="宋体" w:cs="Times New Roman"/>
          <w:color w:val="auto"/>
          <w:szCs w:val="21"/>
        </w:rPr>
        <w:t>吨袋：产品</w:t>
      </w:r>
      <w:r>
        <w:rPr>
          <w:rFonts w:ascii="Times New Roman" w:hAnsi="Times New Roman" w:eastAsia="宋体" w:cs="Times New Roman"/>
          <w:color w:val="auto"/>
          <w:szCs w:val="21"/>
        </w:rPr>
        <w:t>采用</w:t>
      </w:r>
      <w:r>
        <w:rPr>
          <w:rFonts w:hint="default" w:ascii="Times New Roman" w:hAnsi="Times New Roman" w:eastAsia="宋体" w:cs="Times New Roman"/>
          <w:color w:val="auto"/>
          <w:szCs w:val="21"/>
        </w:rPr>
        <w:t>内衬</w:t>
      </w:r>
      <w:r>
        <w:rPr>
          <w:rFonts w:ascii="Times New Roman" w:hAnsi="Times New Roman" w:eastAsia="宋体" w:cs="Times New Roman"/>
          <w:color w:val="auto"/>
          <w:szCs w:val="21"/>
        </w:rPr>
        <w:t>铝塑袋或</w:t>
      </w:r>
      <w:r>
        <w:rPr>
          <w:rFonts w:hint="default" w:ascii="Times New Roman" w:hAnsi="Times New Roman" w:eastAsia="宋体" w:cs="Times New Roman"/>
          <w:color w:val="auto"/>
          <w:szCs w:val="21"/>
        </w:rPr>
        <w:t>PE袋</w:t>
      </w:r>
      <w:r>
        <w:rPr>
          <w:rFonts w:ascii="Times New Roman" w:hAnsi="Times New Roman" w:eastAsia="宋体" w:cs="Times New Roman"/>
          <w:color w:val="auto"/>
          <w:szCs w:val="21"/>
        </w:rPr>
        <w:t>的</w:t>
      </w:r>
      <w:r>
        <w:rPr>
          <w:rFonts w:hint="default" w:ascii="Times New Roman" w:hAnsi="Times New Roman" w:eastAsia="宋体" w:cs="Times New Roman"/>
          <w:color w:val="auto"/>
          <w:szCs w:val="21"/>
        </w:rPr>
        <w:t>编织</w:t>
      </w:r>
      <w:r>
        <w:rPr>
          <w:rFonts w:ascii="Times New Roman" w:hAnsi="Times New Roman" w:eastAsia="宋体" w:cs="Times New Roman"/>
          <w:color w:val="auto"/>
          <w:szCs w:val="21"/>
        </w:rPr>
        <w:t>袋包装</w:t>
      </w:r>
      <w:r>
        <w:rPr>
          <w:rFonts w:hint="default" w:ascii="Times New Roman" w:hAnsi="Times New Roman" w:eastAsia="宋体" w:cs="Times New Roman"/>
          <w:color w:val="auto"/>
          <w:szCs w:val="21"/>
        </w:rPr>
        <w:t>，热塑</w:t>
      </w:r>
      <w:r>
        <w:rPr>
          <w:rFonts w:ascii="Times New Roman" w:hAnsi="Times New Roman" w:eastAsia="宋体" w:cs="Times New Roman"/>
          <w:color w:val="auto"/>
          <w:szCs w:val="21"/>
        </w:rPr>
        <w:t>密封，每袋净重5</w:t>
      </w:r>
      <w:r>
        <w:rPr>
          <w:rFonts w:hint="default" w:ascii="Times New Roman" w:hAnsi="Times New Roman" w:eastAsia="宋体" w:cs="Times New Roman"/>
          <w:color w:val="auto"/>
          <w:szCs w:val="21"/>
        </w:rPr>
        <w:t>00</w:t>
      </w:r>
      <w:r>
        <w:rPr>
          <w:rFonts w:ascii="Times New Roman" w:hAnsi="Times New Roman" w:eastAsia="宋体" w:cs="Times New Roman"/>
          <w:color w:val="auto"/>
          <w:szCs w:val="21"/>
        </w:rPr>
        <w:t>-1000kg。</w:t>
      </w:r>
    </w:p>
    <w:p>
      <w:pPr>
        <w:snapToGrid w:val="0"/>
        <w:spacing w:line="360" w:lineRule="auto"/>
        <w:ind w:firstLine="0" w:firstLineChars="0"/>
        <w:rPr>
          <w:rFonts w:ascii="Times New Roman" w:hAnsi="Times New Roman" w:eastAsia="宋体" w:cs="Times New Roman"/>
          <w:color w:val="auto"/>
          <w:szCs w:val="21"/>
        </w:rPr>
      </w:pPr>
      <w:r>
        <w:rPr>
          <w:rFonts w:hint="default" w:ascii="Times New Roman" w:hAnsi="Times New Roman" w:eastAsia="黑体" w:cs="Times New Roman"/>
          <w:bCs/>
          <w:szCs w:val="21"/>
        </w:rPr>
        <w:t>6.1.3</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highlight w:val="none"/>
          <w:lang w:val="en-US" w:eastAsia="zh-CN"/>
        </w:rPr>
        <w:t>需方</w:t>
      </w:r>
      <w:r>
        <w:rPr>
          <w:rFonts w:ascii="Times New Roman" w:hAnsi="Times New Roman" w:eastAsia="宋体" w:cs="Times New Roman"/>
          <w:color w:val="auto"/>
          <w:szCs w:val="21"/>
        </w:rPr>
        <w:t>有特殊要求时</w:t>
      </w:r>
      <w:r>
        <w:rPr>
          <w:rFonts w:hint="default" w:ascii="Times New Roman" w:hAnsi="Times New Roman" w:eastAsia="宋体" w:cs="Times New Roman"/>
          <w:color w:val="auto"/>
          <w:szCs w:val="21"/>
        </w:rPr>
        <w:t>，</w:t>
      </w:r>
      <w:r>
        <w:rPr>
          <w:rFonts w:ascii="Times New Roman" w:hAnsi="Times New Roman" w:eastAsia="宋体" w:cs="Times New Roman"/>
          <w:color w:val="auto"/>
          <w:szCs w:val="21"/>
        </w:rPr>
        <w:t>供需双方可</w:t>
      </w:r>
      <w:r>
        <w:rPr>
          <w:rFonts w:hint="default" w:ascii="Times New Roman" w:hAnsi="Times New Roman" w:eastAsia="宋体" w:cs="Times New Roman"/>
          <w:color w:val="auto"/>
          <w:szCs w:val="21"/>
        </w:rPr>
        <w:t>按</w:t>
      </w:r>
      <w:r>
        <w:rPr>
          <w:rFonts w:ascii="Times New Roman" w:hAnsi="Times New Roman" w:eastAsia="宋体" w:cs="Times New Roman"/>
          <w:color w:val="auto"/>
          <w:szCs w:val="21"/>
        </w:rPr>
        <w:t>双方约定包装单位和包装方式另行协商解决。</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6.2 标志</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外包装应印有商标以及</w:t>
      </w:r>
      <w:r>
        <w:rPr>
          <w:rFonts w:hint="default" w:ascii="Times New Roman" w:hAnsi="Times New Roman" w:eastAsia="宋体" w:cs="Times New Roman"/>
          <w:color w:val="auto"/>
          <w:szCs w:val="21"/>
        </w:rPr>
        <w:t>标签</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其上</w:t>
      </w:r>
      <w:r>
        <w:rPr>
          <w:rFonts w:ascii="Times New Roman" w:hAnsi="Times New Roman" w:eastAsia="宋体" w:cs="Times New Roman"/>
          <w:color w:val="auto"/>
          <w:szCs w:val="21"/>
        </w:rPr>
        <w:t>注明</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）供方</w:t>
      </w:r>
      <w:r>
        <w:rPr>
          <w:rFonts w:ascii="Times New Roman" w:hAnsi="Times New Roman" w:eastAsia="宋体" w:cs="Times New Roman"/>
          <w:color w:val="auto"/>
          <w:szCs w:val="21"/>
        </w:rPr>
        <w:t>名称和地址</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批号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净重；</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lang w:val="en-US" w:eastAsia="zh-CN"/>
        </w:rPr>
        <w:t>生产</w:t>
      </w:r>
      <w:r>
        <w:rPr>
          <w:rFonts w:ascii="Times New Roman" w:hAnsi="Times New Roman" w:eastAsia="宋体" w:cs="Times New Roman"/>
          <w:color w:val="auto"/>
          <w:szCs w:val="21"/>
        </w:rPr>
        <w:t>日期；</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本标准</w:t>
      </w:r>
      <w:r>
        <w:rPr>
          <w:rFonts w:ascii="Times New Roman" w:hAnsi="Times New Roman" w:eastAsia="宋体" w:cs="Times New Roman"/>
          <w:color w:val="auto"/>
          <w:szCs w:val="21"/>
        </w:rPr>
        <w:t>编号；</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g</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防潮字样</w:t>
      </w:r>
      <w:r>
        <w:rPr>
          <w:rFonts w:ascii="Times New Roman" w:hAnsi="Times New Roman" w:eastAsia="宋体" w:cs="Times New Roman"/>
          <w:color w:val="auto"/>
          <w:szCs w:val="21"/>
        </w:rPr>
        <w:t>或标志</w:t>
      </w:r>
      <w:r>
        <w:rPr>
          <w:rFonts w:hint="default" w:ascii="Times New Roman" w:hAnsi="Times New Roman" w:eastAsia="宋体" w:cs="Times New Roman"/>
          <w:color w:val="auto"/>
          <w:szCs w:val="21"/>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黑体" w:cs="Times New Roman"/>
          <w:b w:val="0"/>
          <w:bCs/>
          <w:szCs w:val="21"/>
          <w:lang w:eastAsia="zh-CN"/>
        </w:rPr>
      </w:pPr>
      <w:r>
        <w:rPr>
          <w:rFonts w:hint="default" w:ascii="Times New Roman" w:hAnsi="Times New Roman" w:eastAsia="黑体" w:cs="Times New Roman"/>
          <w:b w:val="0"/>
          <w:bCs/>
          <w:szCs w:val="21"/>
        </w:rPr>
        <w:t>6.3 运输和</w:t>
      </w:r>
      <w:r>
        <w:rPr>
          <w:rFonts w:hint="default" w:ascii="Times New Roman" w:hAnsi="Times New Roman" w:eastAsia="黑体" w:cs="Times New Roman"/>
          <w:b w:val="0"/>
          <w:bCs/>
          <w:szCs w:val="21"/>
          <w:lang w:val="en-US" w:eastAsia="zh-CN"/>
        </w:rPr>
        <w:t>贮存</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镍钴钛三元素复合氢氧化物</w:t>
      </w:r>
      <w:r>
        <w:rPr>
          <w:rFonts w:hint="default" w:ascii="Times New Roman" w:hAnsi="Times New Roman" w:eastAsia="宋体" w:cs="Times New Roman"/>
          <w:color w:val="auto"/>
          <w:szCs w:val="21"/>
        </w:rPr>
        <w:t>应</w:t>
      </w:r>
      <w:r>
        <w:rPr>
          <w:rFonts w:ascii="Times New Roman" w:hAnsi="Times New Roman" w:eastAsia="宋体" w:cs="Times New Roman"/>
          <w:color w:val="auto"/>
          <w:szCs w:val="21"/>
        </w:rPr>
        <w:t>堆放于通风干燥处，运输及贮存时</w:t>
      </w:r>
      <w:r>
        <w:rPr>
          <w:rFonts w:hint="default" w:ascii="Times New Roman" w:hAnsi="Times New Roman" w:eastAsia="宋体" w:cs="Times New Roman"/>
          <w:color w:val="auto"/>
          <w:szCs w:val="21"/>
        </w:rPr>
        <w:t>应</w:t>
      </w:r>
      <w:r>
        <w:rPr>
          <w:rFonts w:ascii="Times New Roman" w:hAnsi="Times New Roman" w:eastAsia="宋体" w:cs="Times New Roman"/>
          <w:color w:val="auto"/>
          <w:szCs w:val="21"/>
        </w:rPr>
        <w:t>防止包装破裂及受潮</w:t>
      </w:r>
      <w:r>
        <w:rPr>
          <w:rFonts w:hint="default" w:ascii="Times New Roman" w:hAnsi="Times New Roman" w:eastAsia="宋体" w:cs="Times New Roman"/>
          <w:color w:val="auto"/>
          <w:szCs w:val="21"/>
        </w:rPr>
        <w:t>结块</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自生产之日起，保质期为</w:t>
      </w:r>
      <w:r>
        <w:rPr>
          <w:rFonts w:hint="default" w:ascii="Times New Roman" w:hAnsi="Times New Roman" w:eastAsia="宋体" w:cs="Times New Roman"/>
          <w:color w:val="auto"/>
          <w:szCs w:val="21"/>
        </w:rPr>
        <w:t>1年</w:t>
      </w:r>
      <w:r>
        <w:rPr>
          <w:rFonts w:ascii="Times New Roman" w:hAnsi="Times New Roman" w:eastAsia="宋体" w:cs="Times New Roman"/>
          <w:color w:val="auto"/>
          <w:szCs w:val="21"/>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6.4 质量证明书</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每批</w:t>
      </w:r>
      <w:r>
        <w:rPr>
          <w:rFonts w:ascii="Times New Roman" w:hAnsi="Times New Roman" w:eastAsia="宋体" w:cs="Times New Roman"/>
          <w:color w:val="auto"/>
          <w:szCs w:val="21"/>
        </w:rPr>
        <w:t>产品应附有质量证明书，</w:t>
      </w:r>
      <w:r>
        <w:rPr>
          <w:rFonts w:hint="default" w:ascii="Times New Roman" w:hAnsi="Times New Roman" w:eastAsia="宋体" w:cs="Times New Roman"/>
          <w:color w:val="auto"/>
          <w:szCs w:val="21"/>
          <w:lang w:val="en-US" w:eastAsia="zh-CN"/>
        </w:rPr>
        <w:t>其上</w:t>
      </w:r>
      <w:r>
        <w:rPr>
          <w:rFonts w:ascii="Times New Roman" w:hAnsi="Times New Roman" w:eastAsia="宋体" w:cs="Times New Roman"/>
          <w:color w:val="auto"/>
          <w:szCs w:val="21"/>
        </w:rPr>
        <w:t>注明：</w:t>
      </w:r>
    </w:p>
    <w:p>
      <w:pPr>
        <w:snapToGrid w:val="0"/>
        <w:spacing w:line="360" w:lineRule="auto"/>
        <w:ind w:firstLine="420" w:firstLineChars="200"/>
        <w:rPr>
          <w:rFonts w:hint="default" w:ascii="Times New Roman" w:hAnsi="Times New Roman" w:eastAsia="宋体" w:cs="Times New Roman"/>
          <w:color w:val="auto"/>
          <w:szCs w:val="21"/>
          <w:lang w:eastAsia="zh-CN"/>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）供方</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r>
        <w:rPr>
          <w:rFonts w:ascii="Times New Roman" w:hAnsi="Times New Roman" w:eastAsia="宋体" w:cs="Times New Roman"/>
          <w:color w:val="auto"/>
          <w:szCs w:val="21"/>
        </w:rPr>
        <w:t>地址</w:t>
      </w:r>
      <w:r>
        <w:rPr>
          <w:rFonts w:hint="default" w:ascii="Times New Roman" w:hAnsi="Times New Roman" w:eastAsia="宋体" w:cs="Times New Roman"/>
          <w:color w:val="auto"/>
          <w:szCs w:val="21"/>
        </w:rPr>
        <w:t>、联系电话</w:t>
      </w:r>
      <w:r>
        <w:rPr>
          <w:rFonts w:hint="default" w:ascii="Times New Roman" w:hAnsi="Times New Roman" w:eastAsia="宋体" w:cs="Times New Roman"/>
          <w:color w:val="auto"/>
          <w:szCs w:val="21"/>
          <w:lang w:eastAsia="zh-CN"/>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牌号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批号、批重</w:t>
      </w:r>
      <w:r>
        <w:rPr>
          <w:rFonts w:ascii="Times New Roman" w:hAnsi="Times New Roman" w:eastAsia="宋体" w:cs="Times New Roman"/>
          <w:color w:val="auto"/>
          <w:szCs w:val="21"/>
        </w:rPr>
        <w:t>、件数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rPr>
        <w:t>分析</w:t>
      </w:r>
      <w:r>
        <w:rPr>
          <w:rFonts w:ascii="Times New Roman" w:hAnsi="Times New Roman" w:eastAsia="宋体" w:cs="Times New Roman"/>
          <w:color w:val="auto"/>
          <w:szCs w:val="21"/>
        </w:rPr>
        <w:t>检测结果及检验部门印记；</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本标准</w:t>
      </w:r>
      <w:r>
        <w:rPr>
          <w:rFonts w:ascii="Times New Roman" w:hAnsi="Times New Roman" w:eastAsia="宋体" w:cs="Times New Roman"/>
          <w:color w:val="auto"/>
          <w:szCs w:val="21"/>
        </w:rPr>
        <w:t>编号；</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g</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生产</w:t>
      </w:r>
      <w:r>
        <w:rPr>
          <w:rFonts w:ascii="Times New Roman" w:hAnsi="Times New Roman" w:eastAsia="宋体" w:cs="Times New Roman"/>
          <w:color w:val="auto"/>
          <w:szCs w:val="21"/>
        </w:rPr>
        <w:t>日期</w:t>
      </w:r>
      <w:r>
        <w:rPr>
          <w:rFonts w:hint="default" w:ascii="Times New Roman" w:hAnsi="Times New Roman" w:eastAsia="宋体" w:cs="Times New Roman"/>
          <w:color w:val="auto"/>
          <w:szCs w:val="21"/>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firstLineChars="0"/>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7 订货单（或合同）</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订货单（</w:t>
      </w:r>
      <w:r>
        <w:rPr>
          <w:rFonts w:hint="default" w:ascii="Times New Roman" w:hAnsi="Times New Roman" w:eastAsia="宋体" w:cs="Times New Roman"/>
          <w:color w:val="auto"/>
          <w:szCs w:val="21"/>
        </w:rPr>
        <w:t>或合同</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应</w:t>
      </w:r>
      <w:r>
        <w:rPr>
          <w:rFonts w:ascii="Times New Roman" w:hAnsi="Times New Roman" w:eastAsia="宋体" w:cs="Times New Roman"/>
          <w:color w:val="auto"/>
          <w:szCs w:val="21"/>
        </w:rPr>
        <w:t>包含以下内容：</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牌号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化学成分</w:t>
      </w:r>
      <w:r>
        <w:rPr>
          <w:rFonts w:ascii="Times New Roman" w:hAnsi="Times New Roman" w:eastAsia="宋体" w:cs="Times New Roman"/>
          <w:color w:val="auto"/>
          <w:szCs w:val="21"/>
        </w:rPr>
        <w:t>及物理性能的特殊要求</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数量；</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rPr>
        <w:t>本标准</w:t>
      </w:r>
      <w:r>
        <w:rPr>
          <w:rFonts w:ascii="Times New Roman" w:hAnsi="Times New Roman" w:eastAsia="宋体" w:cs="Times New Roman"/>
          <w:color w:val="auto"/>
          <w:szCs w:val="21"/>
        </w:rPr>
        <w:t>编号；</w:t>
      </w:r>
    </w:p>
    <w:p>
      <w:pPr>
        <w:snapToGrid w:val="0"/>
        <w:spacing w:line="360" w:lineRule="auto"/>
        <w:ind w:firstLine="420" w:firstLineChars="200"/>
        <w:rPr>
          <w:rFonts w:hint="default" w:ascii="Times New Roman" w:hAnsi="Times New Roman" w:eastAsia="宋体" w:cs="Times New Roman"/>
          <w:sz w:val="24"/>
          <w:szCs w:val="24"/>
          <w:lang w:val="en-US" w:eastAsia="zh-CN"/>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其他</w:t>
      </w:r>
      <w:r>
        <w:rPr>
          <w:rFonts w:hint="default" w:ascii="Times New Roman" w:hAnsi="Times New Roman" w:eastAsia="宋体" w:cs="Times New Roman"/>
          <w:color w:val="auto"/>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szCs w:val="28"/>
          <w:highlight w:val="none"/>
        </w:rPr>
      </w:pPr>
      <w:r>
        <w:rPr>
          <w:rFonts w:hint="default" w:ascii="Times New Roman" w:hAnsi="Times New Roman" w:cs="Times New Roman"/>
          <w:b/>
          <w:bCs/>
          <w:szCs w:val="28"/>
          <w:highlight w:val="none"/>
          <w:lang w:val="en-US" w:eastAsia="zh-CN"/>
        </w:rPr>
        <w:t>标准</w:t>
      </w:r>
      <w:r>
        <w:rPr>
          <w:rFonts w:hint="default" w:ascii="Times New Roman" w:hAnsi="Times New Roman" w:cs="Times New Roman"/>
          <w:b/>
          <w:bCs/>
          <w:szCs w:val="28"/>
          <w:highlight w:val="none"/>
        </w:rPr>
        <w:t>编制原则</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以满足国内镍钴二元素氢氧化物的实际生产和使用的需要为原则，提高标准的适用性。</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按照GB/T1.1-2020《标准化工作导则 第1部分：</w:t>
      </w:r>
      <w:r>
        <w:rPr>
          <w:rFonts w:hint="default" w:ascii="Times New Roman" w:hAnsi="Times New Roman" w:cs="Times New Roman"/>
          <w:szCs w:val="21"/>
        </w:rPr>
        <w:t>标准化文件的结构和起草规则</w:t>
      </w:r>
      <w:r>
        <w:rPr>
          <w:rFonts w:hint="default" w:ascii="Times New Roman" w:hAnsi="Times New Roman" w:cs="Times New Roman"/>
          <w:b w:val="0"/>
          <w:bCs w:val="0"/>
          <w:szCs w:val="28"/>
          <w:highlight w:val="none"/>
          <w:lang w:val="en-US" w:eastAsia="zh-CN"/>
        </w:rPr>
        <w:t>》要求编写。</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三、标准主要内容的依据</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3.1企业生产和使用情况</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3.1.1国内外主要使用的企业</w:t>
      </w:r>
    </w:p>
    <w:p>
      <w:pPr>
        <w:spacing w:line="360" w:lineRule="auto"/>
        <w:ind w:firstLine="420" w:firstLineChars="200"/>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镍钴钛三元素复合氢氧化物的主要使用客户为国内外一些电池正极材料供应商，如：</w:t>
      </w:r>
      <w:r>
        <w:rPr>
          <w:rFonts w:hint="default" w:ascii="Times New Roman" w:hAnsi="Times New Roman" w:cs="Times New Roman"/>
          <w:szCs w:val="28"/>
        </w:rPr>
        <w:t>日本化学</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、户田</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和住友金属</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国内</w:t>
      </w:r>
      <w:r>
        <w:rPr>
          <w:rFonts w:hint="default" w:ascii="Times New Roman" w:hAnsi="Times New Roman" w:cs="Times New Roman"/>
          <w:szCs w:val="28"/>
          <w:lang w:val="en-US" w:eastAsia="zh-CN"/>
        </w:rPr>
        <w:t>广东</w:t>
      </w:r>
      <w:r>
        <w:rPr>
          <w:rFonts w:hint="default" w:ascii="Times New Roman" w:hAnsi="Times New Roman" w:cs="Times New Roman"/>
          <w:szCs w:val="28"/>
        </w:rPr>
        <w:t>芳源环保</w:t>
      </w:r>
      <w:r>
        <w:rPr>
          <w:rFonts w:hint="default" w:ascii="Times New Roman" w:hAnsi="Times New Roman" w:cs="Times New Roman"/>
          <w:szCs w:val="28"/>
          <w:lang w:val="en-US" w:eastAsia="zh-CN"/>
        </w:rPr>
        <w:t>股份有限公司、</w:t>
      </w:r>
      <w:r>
        <w:rPr>
          <w:rFonts w:hint="default" w:ascii="Times New Roman" w:hAnsi="Times New Roman" w:cs="Times New Roman"/>
          <w:szCs w:val="28"/>
        </w:rPr>
        <w:t>荆门格林美</w:t>
      </w:r>
      <w:r>
        <w:rPr>
          <w:rFonts w:hint="default" w:ascii="Times New Roman" w:hAnsi="Times New Roman" w:cs="Times New Roman"/>
          <w:szCs w:val="28"/>
          <w:lang w:val="en-US" w:eastAsia="zh-CN"/>
        </w:rPr>
        <w:t>新材料有限公司</w:t>
      </w:r>
      <w:r>
        <w:rPr>
          <w:rFonts w:hint="default" w:ascii="Times New Roman" w:hAnsi="Times New Roman" w:cs="Times New Roman"/>
          <w:szCs w:val="28"/>
          <w:lang w:eastAsia="zh-CN"/>
        </w:rPr>
        <w:t>、</w:t>
      </w:r>
      <w:r>
        <w:rPr>
          <w:rFonts w:hint="default" w:ascii="Times New Roman" w:hAnsi="Times New Roman" w:cs="Times New Roman"/>
          <w:szCs w:val="28"/>
        </w:rPr>
        <w:t>深圳</w:t>
      </w:r>
      <w:r>
        <w:rPr>
          <w:rFonts w:hint="default" w:ascii="Times New Roman" w:hAnsi="Times New Roman" w:cs="Times New Roman"/>
          <w:szCs w:val="28"/>
          <w:lang w:val="en-US" w:eastAsia="zh-CN"/>
        </w:rPr>
        <w:t>市</w:t>
      </w:r>
      <w:r>
        <w:rPr>
          <w:rFonts w:hint="default" w:ascii="Times New Roman" w:hAnsi="Times New Roman" w:cs="Times New Roman"/>
          <w:szCs w:val="28"/>
        </w:rPr>
        <w:t>贝特瑞</w:t>
      </w:r>
      <w:r>
        <w:rPr>
          <w:rFonts w:hint="default" w:ascii="Times New Roman" w:hAnsi="Times New Roman" w:cs="Times New Roman"/>
          <w:szCs w:val="28"/>
          <w:lang w:val="en-US" w:eastAsia="zh-CN"/>
        </w:rPr>
        <w:t>新能源材料有限公司</w:t>
      </w:r>
      <w:r>
        <w:rPr>
          <w:rFonts w:hint="default" w:ascii="Times New Roman" w:hAnsi="Times New Roman" w:cs="Times New Roman"/>
          <w:szCs w:val="28"/>
        </w:rPr>
        <w:t>、桑顿新能源</w:t>
      </w:r>
      <w:r>
        <w:rPr>
          <w:rFonts w:hint="default" w:ascii="Times New Roman" w:hAnsi="Times New Roman" w:cs="Times New Roman"/>
          <w:szCs w:val="28"/>
          <w:lang w:val="en-US" w:eastAsia="zh-CN"/>
        </w:rPr>
        <w:t>科技有限公司</w:t>
      </w:r>
      <w:r>
        <w:rPr>
          <w:rFonts w:hint="default" w:ascii="Times New Roman" w:hAnsi="Times New Roman" w:cs="Times New Roman"/>
          <w:szCs w:val="28"/>
        </w:rPr>
        <w:t>、北京当升</w:t>
      </w:r>
      <w:r>
        <w:rPr>
          <w:rFonts w:hint="default" w:ascii="Times New Roman" w:hAnsi="Times New Roman" w:cs="Times New Roman"/>
          <w:szCs w:val="28"/>
          <w:lang w:val="en-US" w:eastAsia="zh-CN"/>
        </w:rPr>
        <w:t>材料</w:t>
      </w:r>
      <w:r>
        <w:rPr>
          <w:rFonts w:hint="default" w:ascii="Times New Roman" w:hAnsi="Times New Roman" w:cs="Times New Roman"/>
          <w:szCs w:val="28"/>
        </w:rPr>
        <w:t>科技</w:t>
      </w:r>
      <w:r>
        <w:rPr>
          <w:rFonts w:hint="default" w:ascii="Times New Roman" w:hAnsi="Times New Roman" w:cs="Times New Roman"/>
          <w:szCs w:val="28"/>
          <w:lang w:val="en-US" w:eastAsia="zh-CN"/>
        </w:rPr>
        <w:t>有限公司</w:t>
      </w:r>
      <w:r>
        <w:rPr>
          <w:rFonts w:hint="default" w:ascii="Times New Roman" w:hAnsi="Times New Roman" w:cs="Times New Roman"/>
          <w:szCs w:val="28"/>
        </w:rPr>
        <w:t>、</w:t>
      </w:r>
      <w:r>
        <w:rPr>
          <w:rFonts w:hint="default" w:ascii="Times New Roman" w:hAnsi="Times New Roman" w:cs="Times New Roman"/>
          <w:szCs w:val="28"/>
          <w:lang w:val="en-US" w:eastAsia="zh-CN"/>
        </w:rPr>
        <w:t>深圳市</w:t>
      </w:r>
      <w:r>
        <w:rPr>
          <w:rFonts w:hint="default" w:ascii="Times New Roman" w:hAnsi="Times New Roman" w:cs="Times New Roman"/>
          <w:szCs w:val="28"/>
        </w:rPr>
        <w:t>比克电池</w:t>
      </w:r>
      <w:r>
        <w:rPr>
          <w:rFonts w:hint="default" w:ascii="Times New Roman" w:hAnsi="Times New Roman" w:cs="Times New Roman"/>
          <w:szCs w:val="28"/>
          <w:lang w:val="en-US" w:eastAsia="zh-CN"/>
        </w:rPr>
        <w:t>有限公司</w:t>
      </w:r>
      <w:r>
        <w:rPr>
          <w:rFonts w:hint="default" w:ascii="Times New Roman" w:hAnsi="Times New Roman" w:cs="Times New Roman"/>
          <w:szCs w:val="28"/>
        </w:rPr>
        <w:t>等</w:t>
      </w:r>
      <w:r>
        <w:rPr>
          <w:rFonts w:hint="default" w:ascii="Times New Roman" w:hAnsi="Times New Roman" w:cs="Times New Roman"/>
          <w:szCs w:val="28"/>
          <w:lang w:eastAsia="zh-CN"/>
        </w:rPr>
        <w:t>，</w:t>
      </w:r>
      <w:r>
        <w:rPr>
          <w:rFonts w:hint="default" w:ascii="Times New Roman" w:hAnsi="Times New Roman" w:cs="Times New Roman"/>
          <w:szCs w:val="28"/>
          <w:lang w:val="en-US" w:eastAsia="zh-CN"/>
        </w:rPr>
        <w:t>使用企业根据使用需求对生产企业的主要产品指标提出要求。</w:t>
      </w:r>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3.2 批次验证情况</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本标准所规定的检验项目符合</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生产制作工艺要求，各项指标满足锂离子电池</w:t>
      </w:r>
      <w:r>
        <w:rPr>
          <w:rFonts w:hint="default" w:ascii="Times New Roman" w:hAnsi="Times New Roman" w:cs="Times New Roman"/>
          <w:szCs w:val="21"/>
          <w:lang w:val="en-US" w:eastAsia="zh-CN"/>
        </w:rPr>
        <w:t>生产</w:t>
      </w:r>
      <w:r>
        <w:rPr>
          <w:rFonts w:hint="default" w:ascii="Times New Roman" w:hAnsi="Times New Roman" w:cs="Times New Roman"/>
          <w:szCs w:val="21"/>
        </w:rPr>
        <w:t>设备的设计要求，同时适用于工业化生产</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材料的实际水平。产品经过3个批次的验证，具体数据如</w:t>
      </w:r>
      <w:r>
        <w:rPr>
          <w:rFonts w:hint="default" w:ascii="Times New Roman" w:hAnsi="Times New Roman" w:cs="Times New Roman"/>
          <w:szCs w:val="21"/>
          <w:lang w:eastAsia="zh-CN"/>
        </w:rPr>
        <w:t>表</w:t>
      </w:r>
      <w:r>
        <w:rPr>
          <w:rFonts w:hint="default" w:ascii="Times New Roman" w:hAnsi="Times New Roman" w:cs="Times New Roman"/>
          <w:szCs w:val="21"/>
          <w:lang w:val="en-US" w:eastAsia="zh-CN"/>
        </w:rPr>
        <w:t>1、表2</w:t>
      </w:r>
      <w:r>
        <w:rPr>
          <w:rFonts w:hint="default" w:ascii="Times New Roman" w:hAnsi="Times New Roman" w:cs="Times New Roman"/>
          <w:szCs w:val="21"/>
        </w:rPr>
        <w:t>：</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 xml:space="preserve">1 </w:t>
      </w:r>
      <w:r>
        <w:rPr>
          <w:rFonts w:hint="default" w:ascii="Times New Roman" w:hAnsi="Times New Roman" w:cs="Times New Roman"/>
          <w:szCs w:val="21"/>
        </w:rPr>
        <w:t xml:space="preserve"> 化学成分测试结果</w:t>
      </w:r>
    </w:p>
    <w:tbl>
      <w:tblPr>
        <w:tblStyle w:val="11"/>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28"/>
        <w:gridCol w:w="607"/>
        <w:gridCol w:w="667"/>
        <w:gridCol w:w="669"/>
        <w:gridCol w:w="667"/>
        <w:gridCol w:w="668"/>
        <w:gridCol w:w="667"/>
        <w:gridCol w:w="667"/>
        <w:gridCol w:w="668"/>
        <w:gridCol w:w="758"/>
        <w:gridCol w:w="720"/>
        <w:gridCol w:w="675"/>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649" w:type="dxa"/>
            <w:vMerge w:val="restart"/>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生产批号</w:t>
            </w:r>
          </w:p>
        </w:tc>
        <w:tc>
          <w:tcPr>
            <w:tcW w:w="8824" w:type="dxa"/>
            <w:gridSpan w:val="13"/>
            <w:vAlign w:val="center"/>
          </w:tcPr>
          <w:p>
            <w:pPr>
              <w:pStyle w:val="5"/>
              <w:spacing w:line="360" w:lineRule="auto"/>
              <w:ind w:firstLine="0" w:firstLineChars="0"/>
              <w:jc w:val="center"/>
              <w:rPr>
                <w:rFonts w:hint="default" w:ascii="Times New Roman" w:hAnsi="Times New Roman" w:cs="Times New Roman"/>
                <w:color w:val="FF0000"/>
                <w:sz w:val="18"/>
                <w:szCs w:val="18"/>
              </w:rPr>
            </w:pPr>
            <w:r>
              <w:rPr>
                <w:rFonts w:hint="default" w:ascii="Times New Roman" w:hAnsi="Times New Roman" w:cs="Times New Roman"/>
                <w:color w:val="auto"/>
                <w:sz w:val="18"/>
                <w:szCs w:val="18"/>
              </w:rPr>
              <w:t xml:space="preserve">杂质含量/%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49" w:type="dxa"/>
            <w:vMerge w:val="continue"/>
            <w:vAlign w:val="center"/>
          </w:tcPr>
          <w:p>
            <w:pPr>
              <w:pStyle w:val="5"/>
              <w:spacing w:line="360" w:lineRule="auto"/>
              <w:ind w:firstLine="0" w:firstLineChars="0"/>
              <w:jc w:val="center"/>
              <w:rPr>
                <w:rFonts w:hint="default" w:ascii="Times New Roman" w:hAnsi="Times New Roman" w:cs="Times New Roman"/>
                <w:sz w:val="18"/>
                <w:szCs w:val="18"/>
              </w:rPr>
            </w:pPr>
          </w:p>
        </w:tc>
        <w:tc>
          <w:tcPr>
            <w:tcW w:w="728" w:type="dxa"/>
            <w:vAlign w:val="center"/>
          </w:tcPr>
          <w:p>
            <w:pPr>
              <w:pStyle w:val="5"/>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Ni</w:t>
            </w:r>
          </w:p>
        </w:tc>
        <w:tc>
          <w:tcPr>
            <w:tcW w:w="607" w:type="dxa"/>
            <w:vAlign w:val="center"/>
          </w:tcPr>
          <w:p>
            <w:pPr>
              <w:pStyle w:val="5"/>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Co</w:t>
            </w:r>
          </w:p>
        </w:tc>
        <w:tc>
          <w:tcPr>
            <w:tcW w:w="667"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Ti</w:t>
            </w:r>
          </w:p>
        </w:tc>
        <w:tc>
          <w:tcPr>
            <w:tcW w:w="669"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Cu</w:t>
            </w:r>
          </w:p>
        </w:tc>
        <w:tc>
          <w:tcPr>
            <w:tcW w:w="667"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Fe</w:t>
            </w:r>
          </w:p>
        </w:tc>
        <w:tc>
          <w:tcPr>
            <w:tcW w:w="668"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Zn</w:t>
            </w:r>
          </w:p>
        </w:tc>
        <w:tc>
          <w:tcPr>
            <w:tcW w:w="667"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Ca</w:t>
            </w:r>
          </w:p>
        </w:tc>
        <w:tc>
          <w:tcPr>
            <w:tcW w:w="667"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Mg</w:t>
            </w:r>
          </w:p>
        </w:tc>
        <w:tc>
          <w:tcPr>
            <w:tcW w:w="668" w:type="dxa"/>
            <w:vAlign w:val="center"/>
          </w:tcPr>
          <w:p>
            <w:pPr>
              <w:pStyle w:val="5"/>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Al</w:t>
            </w:r>
          </w:p>
        </w:tc>
        <w:tc>
          <w:tcPr>
            <w:tcW w:w="758" w:type="dxa"/>
            <w:vAlign w:val="center"/>
          </w:tcPr>
          <w:p>
            <w:pPr>
              <w:pStyle w:val="5"/>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Mn</w:t>
            </w:r>
          </w:p>
        </w:tc>
        <w:tc>
          <w:tcPr>
            <w:tcW w:w="720"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S</w:t>
            </w:r>
          </w:p>
        </w:tc>
        <w:tc>
          <w:tcPr>
            <w:tcW w:w="675"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Cl</w:t>
            </w:r>
          </w:p>
        </w:tc>
        <w:tc>
          <w:tcPr>
            <w:tcW w:w="663" w:type="dxa"/>
            <w:vAlign w:val="center"/>
          </w:tcPr>
          <w:p>
            <w:pPr>
              <w:pStyle w:val="29"/>
              <w:spacing w:line="240" w:lineRule="auto"/>
              <w:ind w:firstLine="0" w:firstLineChars="0"/>
              <w:jc w:val="center"/>
              <w:rPr>
                <w:rFonts w:hint="default" w:ascii="Times New Roman" w:hAnsi="Times New Roman" w:eastAsia="黑体" w:cs="Times New Roman"/>
                <w:color w:val="auto"/>
                <w:kern w:val="2"/>
                <w:sz w:val="21"/>
                <w:szCs w:val="21"/>
                <w:lang w:val="en-US" w:eastAsia="zh-CN" w:bidi="ar-SA"/>
              </w:rPr>
            </w:pPr>
            <w:r>
              <w:rPr>
                <w:rFonts w:hint="default" w:ascii="Times New Roman" w:hAnsi="Times New Roman" w:eastAsia="黑体" w:cs="Times New Roman"/>
                <w:color w:val="auto"/>
                <w:kern w:val="2"/>
                <w:sz w:val="21"/>
                <w:szCs w:val="21"/>
                <w:lang w:val="en-US" w:eastAsia="zh-CN" w:bidi="ar-SA"/>
              </w:rPr>
              <w:t>H</w:t>
            </w:r>
            <w:r>
              <w:rPr>
                <w:rFonts w:hint="default" w:ascii="Times New Roman" w:hAnsi="Times New Roman" w:eastAsia="黑体" w:cs="Times New Roman"/>
                <w:color w:val="auto"/>
                <w:kern w:val="2"/>
                <w:sz w:val="21"/>
                <w:szCs w:val="21"/>
                <w:vertAlign w:val="subscript"/>
                <w:lang w:val="en-US" w:eastAsia="zh-CN" w:bidi="ar-SA"/>
              </w:rPr>
              <w:t>2</w:t>
            </w:r>
            <w:r>
              <w:rPr>
                <w:rFonts w:hint="default" w:ascii="Times New Roman" w:hAnsi="Times New Roman" w:eastAsia="黑体" w:cs="Times New Roman"/>
                <w:color w:val="auto"/>
                <w:kern w:val="2"/>
                <w:sz w:val="21"/>
                <w:szCs w:val="21"/>
                <w:lang w:val="en-US" w:eastAsia="zh-CN" w:bidi="ar-SA"/>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49" w:type="dxa"/>
            <w:vAlign w:val="center"/>
          </w:tcPr>
          <w:p>
            <w:pPr>
              <w:pStyle w:val="5"/>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w:t>
            </w:r>
          </w:p>
        </w:tc>
        <w:tc>
          <w:tcPr>
            <w:tcW w:w="72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55.65</w:t>
            </w:r>
          </w:p>
        </w:tc>
        <w:tc>
          <w:tcPr>
            <w:tcW w:w="60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4.35</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1.60</w:t>
            </w:r>
          </w:p>
        </w:tc>
        <w:tc>
          <w:tcPr>
            <w:tcW w:w="669"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42.4</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0.5</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8.4</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2.9</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1.7</w:t>
            </w:r>
          </w:p>
        </w:tc>
        <w:tc>
          <w:tcPr>
            <w:tcW w:w="75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32.3 </w:t>
            </w:r>
          </w:p>
        </w:tc>
        <w:tc>
          <w:tcPr>
            <w:tcW w:w="72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1619</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p>
        </w:tc>
        <w:tc>
          <w:tcPr>
            <w:tcW w:w="66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49" w:type="dxa"/>
            <w:vAlign w:val="center"/>
          </w:tcPr>
          <w:p>
            <w:pPr>
              <w:pStyle w:val="5"/>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w:t>
            </w:r>
          </w:p>
        </w:tc>
        <w:tc>
          <w:tcPr>
            <w:tcW w:w="72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54.04</w:t>
            </w:r>
          </w:p>
        </w:tc>
        <w:tc>
          <w:tcPr>
            <w:tcW w:w="60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3.80 </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2.86</w:t>
            </w:r>
          </w:p>
        </w:tc>
        <w:tc>
          <w:tcPr>
            <w:tcW w:w="669"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57.3</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1.0 </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19.0 </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4.9</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4.3</w:t>
            </w:r>
          </w:p>
        </w:tc>
        <w:tc>
          <w:tcPr>
            <w:tcW w:w="75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139.2 </w:t>
            </w:r>
          </w:p>
        </w:tc>
        <w:tc>
          <w:tcPr>
            <w:tcW w:w="72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1382</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p>
        </w:tc>
        <w:tc>
          <w:tcPr>
            <w:tcW w:w="66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9" w:type="dxa"/>
            <w:vAlign w:val="center"/>
          </w:tcPr>
          <w:p>
            <w:pPr>
              <w:pStyle w:val="5"/>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w:t>
            </w:r>
          </w:p>
        </w:tc>
        <w:tc>
          <w:tcPr>
            <w:tcW w:w="72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55.78</w:t>
            </w:r>
          </w:p>
        </w:tc>
        <w:tc>
          <w:tcPr>
            <w:tcW w:w="60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3.84</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1.98</w:t>
            </w:r>
          </w:p>
        </w:tc>
        <w:tc>
          <w:tcPr>
            <w:tcW w:w="669"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32.3</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0.4</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9.1</w:t>
            </w:r>
          </w:p>
        </w:tc>
        <w:tc>
          <w:tcPr>
            <w:tcW w:w="667"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42.2</w:t>
            </w:r>
          </w:p>
        </w:tc>
        <w:tc>
          <w:tcPr>
            <w:tcW w:w="66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1.9</w:t>
            </w:r>
          </w:p>
        </w:tc>
        <w:tc>
          <w:tcPr>
            <w:tcW w:w="75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42.2 </w:t>
            </w:r>
          </w:p>
        </w:tc>
        <w:tc>
          <w:tcPr>
            <w:tcW w:w="72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1534</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p>
        </w:tc>
        <w:tc>
          <w:tcPr>
            <w:tcW w:w="66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1.80 </w:t>
            </w:r>
          </w:p>
        </w:tc>
      </w:tr>
    </w:tbl>
    <w:p>
      <w:pPr>
        <w:spacing w:before="157" w:beforeLines="50" w:after="157" w:afterLines="50" w:line="36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2</w:t>
      </w:r>
      <w:r>
        <w:rPr>
          <w:rFonts w:hint="default" w:ascii="Times New Roman" w:hAnsi="Times New Roman" w:cs="Times New Roman"/>
          <w:szCs w:val="21"/>
        </w:rPr>
        <w:t>物理性能测试结果</w:t>
      </w: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2069"/>
        <w:gridCol w:w="2069"/>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3285"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物理性能</w:t>
            </w:r>
          </w:p>
        </w:tc>
        <w:tc>
          <w:tcPr>
            <w:tcW w:w="6208" w:type="dxa"/>
            <w:gridSpan w:val="3"/>
            <w:vAlign w:val="center"/>
          </w:tcPr>
          <w:p>
            <w:pPr>
              <w:pStyle w:val="29"/>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3285"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批号</w:t>
            </w:r>
          </w:p>
        </w:tc>
        <w:tc>
          <w:tcPr>
            <w:tcW w:w="2069" w:type="dxa"/>
            <w:vAlign w:val="center"/>
          </w:tcPr>
          <w:p>
            <w:pPr>
              <w:pStyle w:val="29"/>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1</w:t>
            </w:r>
          </w:p>
        </w:tc>
        <w:tc>
          <w:tcPr>
            <w:tcW w:w="2069" w:type="dxa"/>
            <w:vAlign w:val="center"/>
          </w:tcPr>
          <w:p>
            <w:pPr>
              <w:pStyle w:val="29"/>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2</w:t>
            </w:r>
          </w:p>
        </w:tc>
        <w:tc>
          <w:tcPr>
            <w:tcW w:w="2070" w:type="dxa"/>
            <w:vAlign w:val="center"/>
          </w:tcPr>
          <w:p>
            <w:pPr>
              <w:pStyle w:val="29"/>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松装密度（g/cm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1.67</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1.37</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振实密度（g/cm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10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7.21</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5.23</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50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11.00</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10.10</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90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15.76</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16.08</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比表面积（m</w:t>
            </w:r>
            <w:r>
              <w:rPr>
                <w:rFonts w:hint="default" w:ascii="Times New Roman" w:hAnsi="Times New Roman" w:cs="Times New Roman"/>
                <w:sz w:val="18"/>
                <w:szCs w:val="18"/>
                <w:highlight w:val="none"/>
                <w:vertAlign w:val="superscript"/>
              </w:rPr>
              <w:t>2</w:t>
            </w:r>
            <w:r>
              <w:rPr>
                <w:rFonts w:hint="default" w:ascii="Times New Roman" w:hAnsi="Times New Roman" w:cs="Times New Roman"/>
                <w:sz w:val="18"/>
                <w:szCs w:val="18"/>
                <w:highlight w:val="none"/>
              </w:rPr>
              <w:t>/g）</w:t>
            </w:r>
          </w:p>
        </w:tc>
        <w:tc>
          <w:tcPr>
            <w:tcW w:w="2069"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14.43</w:t>
            </w:r>
          </w:p>
        </w:tc>
        <w:tc>
          <w:tcPr>
            <w:tcW w:w="2069" w:type="dxa"/>
            <w:vAlign w:val="center"/>
          </w:tcPr>
          <w:p>
            <w:pPr>
              <w:pStyle w:val="29"/>
              <w:spacing w:line="360" w:lineRule="auto"/>
              <w:ind w:right="-36" w:rightChars="-17"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27.67</w:t>
            </w:r>
          </w:p>
        </w:tc>
        <w:tc>
          <w:tcPr>
            <w:tcW w:w="2070"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14.86</w:t>
            </w:r>
          </w:p>
        </w:tc>
      </w:tr>
    </w:tbl>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w:t>
      </w: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 xml:space="preserve"> </w:t>
      </w:r>
      <w:r>
        <w:rPr>
          <w:rFonts w:hint="default" w:ascii="Times New Roman" w:hAnsi="Times New Roman" w:cs="Times New Roman"/>
          <w:b/>
          <w:szCs w:val="28"/>
          <w:highlight w:val="none"/>
          <w:lang w:val="en-US" w:eastAsia="zh-CN"/>
        </w:rPr>
        <w:t>产品的主要指标及确定依据</w:t>
      </w:r>
    </w:p>
    <w:p>
      <w:pPr>
        <w:spacing w:line="360" w:lineRule="auto"/>
        <w:rPr>
          <w:rFonts w:hint="default" w:ascii="Times New Roman" w:hAnsi="Times New Roman" w:cs="Times New Roman"/>
          <w:b/>
          <w:szCs w:val="28"/>
          <w:highlight w:val="yellow"/>
          <w:lang w:val="en-US" w:eastAsia="zh-CN"/>
        </w:rPr>
      </w:pPr>
      <w:r>
        <w:rPr>
          <w:rFonts w:hint="default" w:ascii="Times New Roman" w:hAnsi="Times New Roman" w:cs="Times New Roman"/>
          <w:b/>
          <w:szCs w:val="28"/>
          <w:highlight w:val="none"/>
          <w:lang w:val="en-US" w:eastAsia="zh-CN"/>
        </w:rPr>
        <w:t>3.3.1化学成分</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3.3.1.1主成分镍、钴含量的确定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所含元素中Ni、Co</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Ti三</w:t>
      </w:r>
      <w:r>
        <w:rPr>
          <w:rFonts w:hint="default" w:ascii="Times New Roman" w:hAnsi="Times New Roman" w:cs="Times New Roman"/>
          <w:color w:val="auto"/>
          <w:szCs w:val="21"/>
          <w:highlight w:val="none"/>
        </w:rPr>
        <w:t>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w:t>
      </w:r>
      <w:r>
        <w:rPr>
          <w:rFonts w:hint="default" w:ascii="Times New Roman" w:hAnsi="Times New Roman" w:cs="Times New Roman"/>
          <w:color w:val="auto"/>
          <w:szCs w:val="21"/>
          <w:highlight w:val="none"/>
          <w:lang w:val="en-US" w:eastAsia="zh-CN"/>
        </w:rPr>
        <w:t>钛三</w:t>
      </w:r>
      <w:r>
        <w:rPr>
          <w:rFonts w:hint="default" w:ascii="Times New Roman" w:hAnsi="Times New Roman" w:cs="Times New Roman"/>
          <w:color w:val="auto"/>
          <w:szCs w:val="21"/>
          <w:highlight w:val="none"/>
          <w:lang w:eastAsia="zh-CN"/>
        </w:rPr>
        <w:t>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w:t>
      </w:r>
      <w:r>
        <w:rPr>
          <w:rFonts w:hint="default" w:ascii="Times New Roman" w:hAnsi="Times New Roman" w:cs="Times New Roman"/>
          <w:color w:val="auto"/>
          <w:szCs w:val="21"/>
          <w:highlight w:val="none"/>
          <w:lang w:val="en-US" w:eastAsia="zh-CN"/>
        </w:rPr>
        <w:t>原料、</w:t>
      </w:r>
      <w:r>
        <w:rPr>
          <w:rFonts w:hint="default" w:ascii="Times New Roman" w:hAnsi="Times New Roman" w:cs="Times New Roman"/>
          <w:color w:val="auto"/>
          <w:szCs w:val="21"/>
          <w:highlight w:val="none"/>
        </w:rPr>
        <w:t>生产工艺</w:t>
      </w:r>
      <w:r>
        <w:rPr>
          <w:rFonts w:hint="default" w:ascii="Times New Roman" w:hAnsi="Times New Roman" w:cs="Times New Roman"/>
          <w:color w:val="auto"/>
          <w:szCs w:val="21"/>
          <w:highlight w:val="none"/>
          <w:lang w:val="en-US" w:eastAsia="zh-CN"/>
        </w:rPr>
        <w:t>等方面的因素</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3.3.1.2 化学成分含量的确定</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杂质元素</w:t>
      </w:r>
      <w:r>
        <w:rPr>
          <w:rFonts w:hint="default" w:ascii="Times New Roman" w:hAnsi="Times New Roman" w:cs="Times New Roman"/>
          <w:color w:val="auto"/>
          <w:szCs w:val="21"/>
          <w:highlight w:val="none"/>
          <w:lang w:val="en-US" w:eastAsia="zh-CN"/>
        </w:rPr>
        <w:t>钙、硫、钠等会留存于最终产品中，影响材料的电化学性能，因此需加以控制。</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本文件</w:t>
      </w:r>
      <w:r>
        <w:rPr>
          <w:rFonts w:hint="default" w:ascii="Times New Roman" w:hAnsi="Times New Roman" w:cs="Times New Roman"/>
          <w:szCs w:val="21"/>
        </w:rPr>
        <w:t>范围主要是依据客户的技术规格书、原材料品位及生产工艺的实际水平来制定的，同时参考了YS/T 1125-2016《镍钴铝酸锂》、YS/T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825-2013《钛酸锂》几个同类材料国标行标中杂质元素的种类及标准范围的相关内容。见表</w:t>
      </w:r>
      <w:r>
        <w:rPr>
          <w:rFonts w:hint="default" w:ascii="Times New Roman" w:hAnsi="Times New Roman" w:cs="Times New Roman"/>
          <w:szCs w:val="21"/>
          <w:lang w:val="en-US" w:eastAsia="zh-CN"/>
        </w:rPr>
        <w:t>3</w:t>
      </w:r>
      <w:r>
        <w:rPr>
          <w:rFonts w:hint="default" w:ascii="Times New Roman" w:hAnsi="Times New Roman" w:cs="Times New Roman"/>
          <w:szCs w:val="21"/>
        </w:rPr>
        <w:t>。</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3</w:t>
      </w:r>
      <w:r>
        <w:rPr>
          <w:rFonts w:hint="default" w:ascii="Times New Roman" w:hAnsi="Times New Roman" w:cs="Times New Roman"/>
          <w:szCs w:val="21"/>
        </w:rPr>
        <w:t xml:space="preserve"> </w:t>
      </w:r>
      <w:r>
        <w:rPr>
          <w:rFonts w:hint="default" w:ascii="Times New Roman" w:hAnsi="Times New Roman" w:cs="Times New Roman"/>
          <w:szCs w:val="21"/>
          <w:lang w:eastAsia="zh-CN"/>
        </w:rPr>
        <w:t>产品</w:t>
      </w:r>
      <w:r>
        <w:rPr>
          <w:rFonts w:hint="default" w:ascii="Times New Roman" w:hAnsi="Times New Roman" w:cs="Times New Roman"/>
          <w:szCs w:val="21"/>
        </w:rPr>
        <w:t>化学成分</w:t>
      </w:r>
    </w:p>
    <w:tbl>
      <w:tblPr>
        <w:tblStyle w:val="11"/>
        <w:tblpPr w:leftFromText="180" w:rightFromText="180" w:vertAnchor="text" w:tblpXSpec="center" w:tblpY="82"/>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274"/>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4547" w:type="dxa"/>
            <w:gridSpan w:val="2"/>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化学成分</w:t>
            </w:r>
          </w:p>
        </w:tc>
        <w:tc>
          <w:tcPr>
            <w:tcW w:w="3975" w:type="dxa"/>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含量（质量分数）</w:t>
            </w:r>
            <w:r>
              <w:rPr>
                <w:rFonts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主含量</w:t>
            </w: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Ni</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50.</w:t>
            </w:r>
            <w:r>
              <w:rPr>
                <w:rFonts w:hint="default" w:ascii="Times New Roman" w:hAnsi="Times New Roman" w:cs="Times New Roman"/>
                <w:sz w:val="18"/>
                <w:szCs w:val="18"/>
                <w:lang w:val="en-US" w:eastAsia="zh-CN"/>
              </w:rPr>
              <w:t>93</w:t>
            </w:r>
            <w:r>
              <w:rPr>
                <w:rFonts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Co</w:t>
            </w:r>
          </w:p>
        </w:tc>
        <w:tc>
          <w:tcPr>
            <w:tcW w:w="3975"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4.44</w:t>
            </w:r>
            <w:r>
              <w:rPr>
                <w:rFonts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Ti</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0.25~2.60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杂质含量</w:t>
            </w: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Na</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K</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Ca</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Mg</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Mn</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Fe</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Cu</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w:t>
            </w:r>
            <w:r>
              <w:rPr>
                <w:rFonts w:hint="default" w:ascii="Times New Roman" w:hAnsi="Times New Roman" w:cs="Times New Roman"/>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Zn</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≤0.00</w:t>
            </w:r>
            <w:r>
              <w:rPr>
                <w:rFonts w:hint="default" w:ascii="Times New Roman" w:hAnsi="Times New Roman" w:cs="Times New Roman"/>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Al</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Si</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w:t>
            </w:r>
            <w:r>
              <w:rPr>
                <w:rFonts w:ascii="Times New Roman" w:hAnsi="Times New Roman" w:cs="Times New Roman"/>
                <w:sz w:val="18"/>
                <w:szCs w:val="18"/>
                <w:lang w:val="en-US" w:eastAsia="zh-CN"/>
              </w:rPr>
              <w:t>O</w:t>
            </w:r>
            <w:r>
              <w:rPr>
                <w:rFonts w:ascii="Times New Roman" w:hAnsi="Times New Roman" w:cs="Times New Roman"/>
                <w:sz w:val="18"/>
                <w:szCs w:val="18"/>
                <w:vertAlign w:val="subscript"/>
                <w:lang w:val="en-US" w:eastAsia="zh-CN"/>
              </w:rPr>
              <w:t>4</w:t>
            </w:r>
            <w:r>
              <w:rPr>
                <w:rFonts w:ascii="Times New Roman" w:hAnsi="Times New Roman" w:cs="Times New Roman"/>
                <w:sz w:val="18"/>
                <w:szCs w:val="18"/>
                <w:vertAlign w:val="superscript"/>
                <w:lang w:val="en-US" w:eastAsia="zh-CN"/>
              </w:rPr>
              <w:t>2-</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w:t>
            </w:r>
            <w:r>
              <w:rPr>
                <w:rFonts w:ascii="Times New Roman" w:hAnsi="Times New Roman" w:cs="Times New Roman"/>
                <w:sz w:val="18"/>
                <w:szCs w:val="18"/>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27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27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Cl</w:t>
            </w:r>
            <w:r>
              <w:rPr>
                <w:rFonts w:ascii="Times New Roman" w:hAnsi="Times New Roman" w:cs="Times New Roman"/>
                <w:sz w:val="18"/>
                <w:szCs w:val="18"/>
                <w:vertAlign w:val="superscript"/>
                <w:lang w:val="en-US" w:eastAsia="zh-CN"/>
              </w:rPr>
              <w:t>-</w:t>
            </w:r>
          </w:p>
        </w:tc>
        <w:tc>
          <w:tcPr>
            <w:tcW w:w="3975"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0.0200</w:t>
            </w:r>
          </w:p>
        </w:tc>
      </w:tr>
    </w:tbl>
    <w:p>
      <w:pPr>
        <w:spacing w:line="360" w:lineRule="auto"/>
        <w:ind w:firstLine="420" w:firstLineChars="200"/>
        <w:jc w:val="center"/>
        <w:rPr>
          <w:rFonts w:hint="default" w:ascii="Times New Roman" w:hAnsi="Times New Roman" w:cs="Times New Roman"/>
          <w:szCs w:val="21"/>
        </w:rPr>
      </w:pP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3.3.2水分含量的确定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水分虽然对电池极片的制备、性能影响较大，但因为镍钴钛三元素复合氢氧化物还需要经过煅烧成其氧化物、再与锂盐合成成电池材料，故对其指标要求不太严格，本文件规定不大于1.0 %。</w:t>
      </w:r>
    </w:p>
    <w:p>
      <w:pPr>
        <w:spacing w:line="360" w:lineRule="auto"/>
        <w:ind w:firstLine="0"/>
        <w:rPr>
          <w:rFonts w:hint="default" w:ascii="Times New Roman" w:hAnsi="Times New Roman" w:cs="Times New Roman"/>
          <w:b/>
          <w:bCs/>
          <w:szCs w:val="21"/>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氧化物的过程中，铁、铜、锌等单质也会生成氧化物，但使得其元素含量升高，不利于后续电池材料的性能，因此对铁、铜、锌等磁性单质也必须进行规定并控制。标准规定了镍钴二元素复合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3.3.4</w:t>
      </w:r>
      <w:r>
        <w:rPr>
          <w:rFonts w:hint="default" w:ascii="Times New Roman" w:hAnsi="Times New Roman" w:cs="Times New Roman"/>
          <w:b/>
          <w:bCs/>
          <w:szCs w:val="21"/>
        </w:rPr>
        <w:t>松装密度和振实密度</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的松装密度定应不小于</w:t>
      </w:r>
      <w:r>
        <w:rPr>
          <w:rFonts w:hint="default" w:ascii="Times New Roman" w:hAnsi="Times New Roman" w:cs="Times New Roman"/>
          <w:szCs w:val="21"/>
          <w:lang w:val="en-US" w:eastAsia="zh-CN"/>
        </w:rPr>
        <w:t xml:space="preserve">0.5 </w:t>
      </w:r>
      <w:r>
        <w:rPr>
          <w:rFonts w:hint="default" w:ascii="Times New Roman" w:hAnsi="Times New Roman" w:cs="Times New Roman"/>
          <w:szCs w:val="21"/>
        </w:rPr>
        <w:t>g/cm</w:t>
      </w:r>
      <w:r>
        <w:rPr>
          <w:rFonts w:hint="default" w:ascii="Times New Roman" w:hAnsi="Times New Roman" w:cs="Times New Roman"/>
          <w:sz w:val="21"/>
          <w:szCs w:val="21"/>
          <w:vertAlign w:val="superscript"/>
        </w:rPr>
        <w:t>3</w:t>
      </w:r>
      <w:r>
        <w:rPr>
          <w:rFonts w:hint="default" w:ascii="Times New Roman" w:hAnsi="Times New Roman" w:cs="Times New Roman"/>
          <w:szCs w:val="21"/>
        </w:rPr>
        <w:t>，振实密度应不小于</w:t>
      </w:r>
      <w:r>
        <w:rPr>
          <w:rFonts w:hint="default" w:ascii="Times New Roman" w:hAnsi="Times New Roman" w:cs="Times New Roman"/>
          <w:szCs w:val="21"/>
          <w:lang w:val="en-US" w:eastAsia="zh-CN"/>
        </w:rPr>
        <w:t xml:space="preserve">0.8 </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3.3.5</w:t>
      </w:r>
      <w:r>
        <w:rPr>
          <w:rFonts w:hint="default" w:ascii="Times New Roman" w:hAnsi="Times New Roman" w:cs="Times New Roman"/>
          <w:b/>
          <w:bCs/>
          <w:szCs w:val="21"/>
        </w:rPr>
        <w:t xml:space="preserve"> 粒度分布</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自身特点，标准规定了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应在3.0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r>
        <w:rPr>
          <w:rFonts w:hint="default" w:ascii="Times New Roman" w:hAnsi="Times New Roman" w:cs="Times New Roman"/>
          <w:szCs w:val="21"/>
          <w:lang w:val="en-US" w:eastAsia="zh-CN"/>
        </w:rPr>
        <w:t>~20</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3.3.6</w:t>
      </w:r>
      <w:r>
        <w:rPr>
          <w:rFonts w:hint="default" w:ascii="Times New Roman" w:hAnsi="Times New Roman" w:cs="Times New Roman"/>
          <w:b/>
          <w:bCs/>
          <w:szCs w:val="21"/>
        </w:rPr>
        <w:t xml:space="preserve"> 比表面积</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的比表面积应</w:t>
      </w:r>
      <w:r>
        <w:rPr>
          <w:rFonts w:hint="default" w:ascii="Times New Roman" w:hAnsi="Times New Roman" w:cs="Times New Roman"/>
          <w:szCs w:val="21"/>
          <w:lang w:val="en-US" w:eastAsia="zh-CN"/>
        </w:rPr>
        <w:t>在3 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default" w:ascii="Times New Roman" w:hAnsi="Times New Roman" w:cs="Times New Roman"/>
          <w:szCs w:val="21"/>
          <w:lang w:val="en-US" w:eastAsia="zh-CN"/>
        </w:rPr>
        <w:t>~30 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default" w:ascii="Times New Roman" w:hAnsi="Times New Roman" w:cs="Times New Roman"/>
          <w:szCs w:val="21"/>
          <w:lang w:eastAsia="zh-CN"/>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3.3.7</w:t>
      </w:r>
      <w:r>
        <w:rPr>
          <w:rFonts w:hint="default" w:ascii="Times New Roman" w:hAnsi="Times New Roman" w:cs="Times New Roman"/>
          <w:b/>
          <w:bCs/>
          <w:szCs w:val="21"/>
        </w:rPr>
        <w:t xml:space="preserve"> 微观形貌</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的微观形貌中，球形和类球形颗粒的压实密度是最高的，也是层状结构和均一性最好的，标准规定了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3.3.8</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3.4.1 化学成分</w:t>
      </w:r>
    </w:p>
    <w:p>
      <w:pPr>
        <w:pStyle w:val="26"/>
        <w:numPr>
          <w:ilvl w:val="3"/>
          <w:numId w:val="0"/>
        </w:num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 xml:space="preserve">    </w:t>
      </w:r>
      <w:r>
        <w:rPr>
          <w:rFonts w:ascii="Times New Roman" w:hAnsi="Times New Roman" w:eastAsia="宋体" w:cs="Times New Roman"/>
          <w:color w:val="000000"/>
        </w:rPr>
        <w:t>产品</w:t>
      </w:r>
      <w:r>
        <w:rPr>
          <w:rFonts w:hint="default" w:ascii="Times New Roman" w:hAnsi="Times New Roman" w:eastAsia="宋体" w:cs="Times New Roman"/>
          <w:color w:val="000000"/>
          <w:lang w:val="en-US" w:eastAsia="zh-CN"/>
        </w:rPr>
        <w:t>中的镍、钴、铜、铁、钙、镁、锌、钠、铝、硅、硫酸根、氯根的测定按照YS/T 928的规定进行。</w:t>
      </w:r>
    </w:p>
    <w:p>
      <w:pPr>
        <w:pStyle w:val="26"/>
        <w:numPr>
          <w:ilvl w:val="3"/>
          <w:numId w:val="0"/>
        </w:numPr>
        <w:spacing w:line="240"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 xml:space="preserve">    产品中的钛的测定按照YS/T 1339的规定进行。</w:t>
      </w:r>
    </w:p>
    <w:p>
      <w:pPr>
        <w:pStyle w:val="26"/>
        <w:numPr>
          <w:ilvl w:val="3"/>
          <w:numId w:val="0"/>
        </w:numPr>
        <w:spacing w:line="240" w:lineRule="auto"/>
        <w:rPr>
          <w:rFonts w:hint="default" w:ascii="Times New Roman" w:hAnsi="Times New Roman" w:cs="Times New Roman"/>
        </w:rPr>
      </w:pPr>
      <w:r>
        <w:rPr>
          <w:rFonts w:hint="default" w:ascii="Times New Roman" w:hAnsi="Times New Roman" w:eastAsia="宋体" w:cs="Times New Roman"/>
          <w:color w:val="000000"/>
          <w:lang w:val="en-US" w:eastAsia="zh-CN"/>
        </w:rPr>
        <w:t xml:space="preserve">    产品中</w:t>
      </w:r>
      <w:r>
        <w:rPr>
          <w:rFonts w:hint="eastAsia" w:ascii="Times New Roman" w:eastAsia="宋体" w:cs="Times New Roman"/>
          <w:color w:val="000000"/>
          <w:lang w:val="en-US" w:eastAsia="zh-CN"/>
        </w:rPr>
        <w:t>锰、</w:t>
      </w:r>
      <w:r>
        <w:rPr>
          <w:rFonts w:hint="default" w:ascii="Times New Roman" w:hAnsi="Times New Roman" w:eastAsia="宋体" w:cs="Times New Roman"/>
          <w:color w:val="000000"/>
          <w:lang w:val="en-US" w:eastAsia="zh-CN"/>
        </w:rPr>
        <w:t>钾的测定按照</w:t>
      </w:r>
      <w:r>
        <w:rPr>
          <w:rFonts w:ascii="Times New Roman" w:hAnsi="Times New Roman" w:eastAsia="宋体" w:cs="Times New Roman"/>
          <w:color w:val="000000"/>
        </w:rPr>
        <w:t>供需双方协商认可的方法进行。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w:t>
      </w:r>
      <w:r>
        <w:rPr>
          <w:rFonts w:hint="default" w:ascii="Times New Roman" w:hAnsi="Times New Roman" w:cs="Times New Roman"/>
          <w:szCs w:val="21"/>
          <w:lang w:val="en-US" w:eastAsia="zh-CN"/>
        </w:rPr>
        <w:t>4</w:t>
      </w:r>
      <w:r>
        <w:rPr>
          <w:rFonts w:hint="default" w:ascii="Times New Roman" w:hAnsi="Times New Roman" w:cs="Times New Roman"/>
          <w:szCs w:val="21"/>
        </w:rPr>
        <w:t>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color w:val="000000"/>
          <w:lang w:val="en-US" w:eastAsia="zh-CN"/>
        </w:rPr>
        <w:t>-2019</w:t>
      </w:r>
      <w:r>
        <w:rPr>
          <w:rFonts w:hint="default" w:ascii="Times New Roman" w:hAnsi="Times New Roman" w:cs="Times New Roman"/>
          <w:color w:val="000000"/>
        </w:rPr>
        <w:t>中附录K的规定进行。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3.4.4 物理性能</w:t>
      </w:r>
    </w:p>
    <w:p>
      <w:pPr>
        <w:spacing w:line="360" w:lineRule="auto"/>
        <w:ind w:firstLine="42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松装密度</w:t>
      </w:r>
      <w:r>
        <w:rPr>
          <w:rFonts w:hint="default" w:ascii="Times New Roman" w:hAnsi="Times New Roman" w:cs="Times New Roman"/>
          <w:szCs w:val="21"/>
          <w:lang w:val="en-US" w:eastAsia="zh-CN"/>
        </w:rPr>
        <w:t>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粒度分布</w:t>
      </w:r>
      <w:r>
        <w:rPr>
          <w:rFonts w:hint="default" w:ascii="Times New Roman" w:hAnsi="Times New Roman" w:cs="Times New Roman"/>
          <w:szCs w:val="21"/>
          <w:lang w:val="en-US" w:eastAsia="zh-CN"/>
        </w:rPr>
        <w:t>测定按照</w:t>
      </w:r>
      <w:r>
        <w:rPr>
          <w:rFonts w:hint="default" w:ascii="Times New Roman" w:hAnsi="Times New Roman" w:cs="Times New Roman"/>
        </w:rPr>
        <w:t>GB/T 19077的规定进行。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比表面积</w:t>
      </w:r>
      <w:r>
        <w:rPr>
          <w:rFonts w:hint="default" w:ascii="Times New Roman" w:hAnsi="Times New Roman" w:cs="Times New Roman"/>
          <w:szCs w:val="21"/>
          <w:lang w:val="en-US" w:eastAsia="zh-CN"/>
        </w:rPr>
        <w:t>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微观形貌</w:t>
      </w:r>
      <w:r>
        <w:rPr>
          <w:rFonts w:hint="default" w:ascii="Times New Roman" w:hAnsi="Times New Roman" w:cs="Times New Roman"/>
          <w:szCs w:val="21"/>
          <w:lang w:val="en-US" w:eastAsia="zh-CN"/>
        </w:rPr>
        <w:t>测定按照</w:t>
      </w:r>
      <w:r>
        <w:rPr>
          <w:rFonts w:hint="eastAsia" w:ascii="Times New Roman" w:hAnsi="Times New Roman" w:cs="Times New Roman"/>
          <w:lang w:eastAsia="zh-CN"/>
        </w:rPr>
        <w:t>J</w:t>
      </w:r>
      <w:r>
        <w:rPr>
          <w:rFonts w:hint="eastAsia" w:ascii="Times New Roman" w:hAnsi="Times New Roman" w:cs="Times New Roman"/>
          <w:lang w:val="en-US" w:eastAsia="zh-CN"/>
        </w:rPr>
        <w:t>Y/T 010</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lang w:val="en-US" w:eastAsia="zh-CN"/>
        </w:rPr>
        <w:t>外观质量</w:t>
      </w:r>
      <w:r>
        <w:rPr>
          <w:rFonts w:hint="default"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default"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3.5</w:t>
      </w:r>
      <w:r>
        <w:rPr>
          <w:rFonts w:hint="default" w:ascii="Times New Roman" w:hAnsi="Times New Roman" w:cs="Times New Roman"/>
          <w:b/>
          <w:bCs/>
          <w:szCs w:val="21"/>
        </w:rPr>
        <w:t xml:space="preserve"> </w:t>
      </w:r>
      <w:r>
        <w:rPr>
          <w:rFonts w:hint="default" w:ascii="Times New Roman" w:hAnsi="Times New Roman" w:cs="Times New Roman"/>
          <w:b/>
          <w:bCs/>
          <w:szCs w:val="21"/>
          <w:lang w:val="en-US" w:eastAsia="zh-CN"/>
        </w:rPr>
        <w:t>产品</w:t>
      </w:r>
      <w:r>
        <w:rPr>
          <w:rFonts w:hint="default" w:ascii="Times New Roman" w:hAnsi="Times New Roman" w:cs="Times New Roman"/>
          <w:b/>
          <w:bCs/>
          <w:szCs w:val="21"/>
        </w:rPr>
        <w:t>检验</w:t>
      </w:r>
      <w:r>
        <w:rPr>
          <w:rFonts w:hint="default" w:ascii="Times New Roman" w:hAnsi="Times New Roman"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3.5.1每批产品的检验项目及取样数量见表4。</w:t>
      </w:r>
    </w:p>
    <w:p>
      <w:pPr>
        <w:spacing w:line="360" w:lineRule="auto"/>
        <w:jc w:val="center"/>
        <w:rPr>
          <w:rFonts w:hint="default" w:ascii="Times New Roman" w:hAnsi="Times New Roman" w:eastAsia="黑体" w:cs="Times New Roman"/>
          <w:color w:val="auto"/>
          <w:szCs w:val="21"/>
          <w:lang w:eastAsia="zh-CN"/>
        </w:rPr>
      </w:pPr>
      <w:r>
        <w:rPr>
          <w:rFonts w:hint="default" w:ascii="Times New Roman" w:hAnsi="Times New Roman" w:eastAsia="黑体" w:cs="Times New Roman"/>
          <w:color w:val="auto"/>
          <w:szCs w:val="21"/>
          <w:highlight w:val="none"/>
        </w:rPr>
        <w:t>表</w:t>
      </w:r>
      <w:r>
        <w:rPr>
          <w:rFonts w:hint="default" w:ascii="Times New Roman" w:hAnsi="Times New Roman" w:eastAsia="黑体" w:cs="Times New Roman"/>
          <w:color w:val="auto"/>
          <w:szCs w:val="21"/>
          <w:highlight w:val="none"/>
          <w:lang w:val="en-US" w:eastAsia="zh-CN"/>
        </w:rPr>
        <w:t>4</w:t>
      </w:r>
      <w:r>
        <w:rPr>
          <w:rFonts w:hint="default" w:ascii="Times New Roman" w:hAnsi="Times New Roman" w:eastAsia="黑体" w:cs="Times New Roman"/>
          <w:color w:val="auto"/>
          <w:szCs w:val="21"/>
        </w:rPr>
        <w:t xml:space="preserve"> </w:t>
      </w:r>
      <w:r>
        <w:rPr>
          <w:rFonts w:hint="default" w:ascii="Times New Roman" w:hAnsi="Times New Roman" w:eastAsia="黑体" w:cs="Times New Roman"/>
          <w:color w:val="auto"/>
          <w:szCs w:val="21"/>
          <w:lang w:eastAsia="zh-CN"/>
        </w:rPr>
        <w:t>检验项目及取样数量</w:t>
      </w:r>
    </w:p>
    <w:tbl>
      <w:tblPr>
        <w:tblStyle w:val="11"/>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97" w:type="dxa"/>
            <w:noWrap w:val="0"/>
            <w:vAlign w:val="center"/>
          </w:tcPr>
          <w:p>
            <w:pPr>
              <w:spacing w:line="360" w:lineRule="auto"/>
              <w:jc w:val="center"/>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97" w:type="dxa"/>
            <w:noWrap w:val="0"/>
            <w:vAlign w:val="center"/>
          </w:tcPr>
          <w:p>
            <w:pPr>
              <w:spacing w:line="360" w:lineRule="auto"/>
              <w:jc w:val="center"/>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pStyle w:val="27"/>
        <w:numPr>
          <w:ilvl w:val="2"/>
          <w:numId w:val="0"/>
        </w:numPr>
        <w:spacing w:line="360" w:lineRule="auto"/>
        <w:rPr>
          <w:rFonts w:hint="default" w:ascii="Times New Roman" w:hAnsi="Times New Roman" w:cs="Times New Roman"/>
          <w:b/>
          <w:bCs/>
          <w:sz w:val="22"/>
          <w:szCs w:val="24"/>
          <w:lang w:val="en-US" w:eastAsia="zh-CN"/>
        </w:rPr>
      </w:pPr>
      <w:r>
        <w:rPr>
          <w:rFonts w:hint="default" w:ascii="Times New Roman" w:hAnsi="Times New Roman" w:cs="Times New Roman"/>
          <w:b/>
          <w:bCs/>
          <w:sz w:val="21"/>
          <w:szCs w:val="22"/>
          <w:lang w:val="en-US" w:eastAsia="zh-CN"/>
        </w:rPr>
        <w:t>3.5.2</w:t>
      </w:r>
      <w:r>
        <w:rPr>
          <w:rFonts w:hint="default" w:ascii="Times New Roman" w:hAnsi="Times New Roman" w:cs="Times New Roman"/>
          <w:b/>
          <w:bCs/>
          <w:sz w:val="22"/>
          <w:szCs w:val="24"/>
          <w:lang w:val="en-US" w:eastAsia="zh-CN"/>
        </w:rPr>
        <w:t xml:space="preserve"> </w:t>
      </w:r>
      <w:r>
        <w:rPr>
          <w:rFonts w:hint="default" w:ascii="Times New Roman" w:hAnsi="Times New Roman" w:eastAsia="宋体" w:cs="Times New Roman"/>
          <w:b/>
          <w:bCs/>
          <w:sz w:val="21"/>
          <w:szCs w:val="22"/>
          <w:lang w:val="en-US" w:eastAsia="zh-CN"/>
        </w:rPr>
        <w:t>取样</w:t>
      </w:r>
    </w:p>
    <w:p>
      <w:pPr>
        <w:pStyle w:val="10"/>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w:t>
      </w:r>
      <w:r>
        <w:rPr>
          <w:rFonts w:hint="default" w:ascii="Times New Roman" w:hAnsi="Times New Roman" w:cs="Times New Roman"/>
          <w:lang w:val="en-US" w:eastAsia="zh-CN"/>
        </w:rPr>
        <w:t xml:space="preserve"> </w:t>
      </w:r>
      <w:r>
        <w:rPr>
          <w:rFonts w:hint="default" w:ascii="Times New Roman" w:hAnsi="Times New Roman" w:cs="Times New Roman"/>
        </w:rPr>
        <w:t>kg。</w:t>
      </w:r>
    </w:p>
    <w:p>
      <w:pPr>
        <w:pStyle w:val="27"/>
        <w:numPr>
          <w:ilvl w:val="2"/>
          <w:numId w:val="0"/>
        </w:numPr>
        <w:spacing w:line="360" w:lineRule="auto"/>
        <w:rPr>
          <w:rFonts w:hint="default" w:ascii="Times New Roman" w:hAnsi="Times New Roman" w:cs="Times New Roman"/>
          <w:b/>
          <w:bCs/>
        </w:rPr>
      </w:pPr>
      <w:r>
        <w:rPr>
          <w:rFonts w:hint="default" w:ascii="Times New Roman" w:hAns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产品检验结果的判定按6.4的规定进行。</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 xml:space="preserve">3.6 </w:t>
      </w:r>
      <w:r>
        <w:rPr>
          <w:rFonts w:hint="default" w:ascii="Times New Roman" w:hAnsi="Times New Roman" w:cs="Times New Roman"/>
          <w:b/>
          <w:szCs w:val="21"/>
        </w:rPr>
        <w:t>包装、标志、运输、贮存和质量证明书</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包装、标志、运输、贮存和质量证明书</w:t>
      </w:r>
      <w:r>
        <w:rPr>
          <w:rFonts w:hint="default"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四、标准水平分析</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4.1采用国际标准和国外先进标准的程度</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w:t>
      </w:r>
      <w:r>
        <w:rPr>
          <w:rFonts w:hint="default" w:ascii="Times New Roman" w:hAnsi="Times New Roman" w:cs="Times New Roman"/>
          <w:kern w:val="0"/>
          <w:szCs w:val="28"/>
          <w:lang w:val="en-US" w:eastAsia="zh-CN"/>
        </w:rPr>
        <w:t>文件</w:t>
      </w:r>
      <w:r>
        <w:rPr>
          <w:rFonts w:hint="default" w:ascii="Times New Roman" w:hAnsi="Times New Roman" w:cs="Times New Roman"/>
          <w:kern w:val="0"/>
          <w:szCs w:val="28"/>
        </w:rPr>
        <w:t>不存在与相关法律法规相抵触之处，也不与其他标准相冲突。</w:t>
      </w:r>
    </w:p>
    <w:p>
      <w:pPr>
        <w:numPr>
          <w:ilvl w:val="0"/>
          <w:numId w:val="3"/>
        </w:numPr>
        <w:spacing w:line="360" w:lineRule="auto"/>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szCs w:val="21"/>
          <w:lang w:val="en-US" w:eastAsia="zh-CN"/>
        </w:rPr>
      </w:pPr>
      <w:r>
        <w:rPr>
          <w:rFonts w:hint="default" w:ascii="Times New Roman" w:hAnsi="Times New Roman" w:cs="Times New Roman"/>
          <w:b/>
          <w:szCs w:val="21"/>
          <w:lang w:val="en-US" w:eastAsia="zh-CN"/>
        </w:rPr>
        <w:t xml:space="preserve">    </w:t>
      </w:r>
      <w:r>
        <w:rPr>
          <w:rFonts w:hint="default" w:ascii="Times New Roman" w:hAnsi="Times New Roman" w:cs="Times New Roman"/>
          <w:b w:val="0"/>
          <w:bCs/>
          <w:szCs w:val="21"/>
          <w:lang w:val="en-US" w:eastAsia="zh-CN"/>
        </w:rPr>
        <w:t>无重大分歧</w:t>
      </w:r>
    </w:p>
    <w:p>
      <w:pPr>
        <w:numPr>
          <w:ilvl w:val="0"/>
          <w:numId w:val="3"/>
        </w:numPr>
        <w:spacing w:line="360" w:lineRule="auto"/>
        <w:ind w:left="0" w:leftChars="0" w:firstLine="0" w:firstLineChars="0"/>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建议作为中国有色金属标准化技术委员会推荐性文件。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本文件反映了镍钴钛三元素氢氧化物行业的需求，因此可积极向厂家及国内外用户采用本文件。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2020.7</w:t>
      </w: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77D3DCB"/>
    <w:rsid w:val="0ABD75E6"/>
    <w:rsid w:val="0ADD6749"/>
    <w:rsid w:val="0B37071D"/>
    <w:rsid w:val="0C45238E"/>
    <w:rsid w:val="0C474AC4"/>
    <w:rsid w:val="0D26429B"/>
    <w:rsid w:val="0D9C2E11"/>
    <w:rsid w:val="0F655C9C"/>
    <w:rsid w:val="125B5895"/>
    <w:rsid w:val="13A526DB"/>
    <w:rsid w:val="165E3346"/>
    <w:rsid w:val="167D5421"/>
    <w:rsid w:val="199B0082"/>
    <w:rsid w:val="1C457401"/>
    <w:rsid w:val="1C92432A"/>
    <w:rsid w:val="1E2C6139"/>
    <w:rsid w:val="1EBD7CE5"/>
    <w:rsid w:val="23571C60"/>
    <w:rsid w:val="25A41EC1"/>
    <w:rsid w:val="2C377800"/>
    <w:rsid w:val="2CCC3188"/>
    <w:rsid w:val="2ED54DF3"/>
    <w:rsid w:val="319010C0"/>
    <w:rsid w:val="32FD02C4"/>
    <w:rsid w:val="35F76A08"/>
    <w:rsid w:val="36B24B95"/>
    <w:rsid w:val="36EB5F05"/>
    <w:rsid w:val="3712231C"/>
    <w:rsid w:val="3B745B50"/>
    <w:rsid w:val="3BEA1391"/>
    <w:rsid w:val="42B52317"/>
    <w:rsid w:val="42F95C85"/>
    <w:rsid w:val="461A0C3A"/>
    <w:rsid w:val="467A0EF8"/>
    <w:rsid w:val="48805321"/>
    <w:rsid w:val="4A5B6CE4"/>
    <w:rsid w:val="4E122215"/>
    <w:rsid w:val="4ED046E7"/>
    <w:rsid w:val="546D6C04"/>
    <w:rsid w:val="550175A0"/>
    <w:rsid w:val="585C5DB9"/>
    <w:rsid w:val="5C3561A5"/>
    <w:rsid w:val="5F7B0E74"/>
    <w:rsid w:val="5FBF4E40"/>
    <w:rsid w:val="61321D34"/>
    <w:rsid w:val="62120492"/>
    <w:rsid w:val="621B3CBA"/>
    <w:rsid w:val="630054C2"/>
    <w:rsid w:val="64534627"/>
    <w:rsid w:val="64C913FB"/>
    <w:rsid w:val="6BD07B29"/>
    <w:rsid w:val="6E9D231E"/>
    <w:rsid w:val="6F9157D5"/>
    <w:rsid w:val="70FD41BD"/>
    <w:rsid w:val="72313D11"/>
    <w:rsid w:val="72C43122"/>
    <w:rsid w:val="73BC4C8C"/>
    <w:rsid w:val="77563214"/>
    <w:rsid w:val="790E5998"/>
    <w:rsid w:val="7BA81C4B"/>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1</TotalTime>
  <ScaleCrop>false</ScaleCrop>
  <LinksUpToDate>false</LinksUpToDate>
  <CharactersWithSpaces>7076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雷延桂</cp:lastModifiedBy>
  <cp:lastPrinted>2018-12-03T02:50:00Z</cp:lastPrinted>
  <dcterms:modified xsi:type="dcterms:W3CDTF">2020-08-27T08:05:21Z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