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44"/>
          <w:szCs w:val="44"/>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44"/>
          <w:szCs w:val="44"/>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44"/>
          <w:szCs w:val="44"/>
        </w:rPr>
      </w:pPr>
    </w:p>
    <w:p>
      <w:pPr>
        <w:pageBreakBefore w:val="0"/>
        <w:kinsoku/>
        <w:wordWrap/>
        <w:overflowPunct/>
        <w:topLinePunct w:val="0"/>
        <w:bidi w:val="0"/>
        <w:adjustRightInd/>
        <w:snapToGrid/>
        <w:spacing w:line="400" w:lineRule="exact"/>
        <w:jc w:val="center"/>
        <w:rPr>
          <w:rFonts w:ascii="Times New Roman" w:hAnsi="Times New Roman" w:eastAsia="仿宋_GB2312" w:cs="Times New Roman"/>
          <w:color w:val="auto"/>
          <w:sz w:val="44"/>
          <w:szCs w:val="44"/>
        </w:rPr>
      </w:pPr>
      <w:r>
        <w:rPr>
          <w:rFonts w:hint="eastAsia" w:ascii="Times New Roman" w:hAnsi="Times New Roman" w:eastAsia="仿宋_GB2312" w:cs="Times New Roman"/>
          <w:color w:val="auto"/>
          <w:sz w:val="44"/>
          <w:szCs w:val="44"/>
        </w:rPr>
        <w:t>《铅锌采选业绿色工厂评价要求》</w:t>
      </w:r>
    </w:p>
    <w:p>
      <w:pPr>
        <w:pageBreakBefore w:val="0"/>
        <w:kinsoku/>
        <w:wordWrap/>
        <w:overflowPunct/>
        <w:topLinePunct w:val="0"/>
        <w:bidi w:val="0"/>
        <w:adjustRightInd/>
        <w:snapToGrid/>
        <w:spacing w:line="400" w:lineRule="exact"/>
        <w:jc w:val="center"/>
        <w:rPr>
          <w:rFonts w:ascii="Times New Roman" w:hAnsi="Times New Roman" w:eastAsia="仿宋_GB2312" w:cs="Times New Roman"/>
          <w:color w:val="auto"/>
          <w:sz w:val="40"/>
          <w:szCs w:val="40"/>
        </w:rPr>
      </w:pPr>
      <w:r>
        <w:rPr>
          <w:rFonts w:hint="eastAsia" w:ascii="Times New Roman" w:hAnsi="Times New Roman" w:eastAsia="仿宋_GB2312" w:cs="Times New Roman"/>
          <w:color w:val="auto"/>
          <w:sz w:val="40"/>
          <w:szCs w:val="40"/>
        </w:rPr>
        <w:t>（</w:t>
      </w:r>
      <w:r>
        <w:rPr>
          <w:rFonts w:hint="eastAsia" w:ascii="Times New Roman" w:hAnsi="Times New Roman" w:eastAsia="仿宋_GB2312" w:cs="Times New Roman"/>
          <w:color w:val="auto"/>
          <w:sz w:val="40"/>
          <w:szCs w:val="40"/>
          <w:lang w:val="en-US" w:eastAsia="zh-CN"/>
        </w:rPr>
        <w:t>送审</w:t>
      </w:r>
      <w:r>
        <w:rPr>
          <w:rFonts w:hint="eastAsia" w:ascii="Times New Roman" w:hAnsi="Times New Roman" w:eastAsia="仿宋_GB2312" w:cs="Times New Roman"/>
          <w:color w:val="auto"/>
          <w:sz w:val="40"/>
          <w:szCs w:val="40"/>
          <w:lang w:eastAsia="zh-CN"/>
        </w:rPr>
        <w:t>稿</w:t>
      </w:r>
      <w:r>
        <w:rPr>
          <w:rFonts w:hint="eastAsia" w:ascii="Times New Roman" w:hAnsi="Times New Roman" w:eastAsia="仿宋_GB2312" w:cs="Times New Roman"/>
          <w:color w:val="auto"/>
          <w:sz w:val="40"/>
          <w:szCs w:val="40"/>
        </w:rPr>
        <w:t>）</w:t>
      </w:r>
    </w:p>
    <w:p>
      <w:pPr>
        <w:pageBreakBefore w:val="0"/>
        <w:kinsoku/>
        <w:wordWrap/>
        <w:overflowPunct/>
        <w:topLinePunct w:val="0"/>
        <w:bidi w:val="0"/>
        <w:adjustRightInd/>
        <w:snapToGrid/>
        <w:spacing w:line="400" w:lineRule="exact"/>
        <w:jc w:val="center"/>
        <w:rPr>
          <w:rFonts w:ascii="Times New Roman" w:hAnsi="Times New Roman" w:eastAsia="仿宋_GB2312" w:cs="Times New Roman"/>
          <w:color w:val="auto"/>
          <w:sz w:val="40"/>
          <w:szCs w:val="40"/>
        </w:rPr>
      </w:pPr>
    </w:p>
    <w:p>
      <w:pPr>
        <w:pageBreakBefore w:val="0"/>
        <w:kinsoku/>
        <w:wordWrap/>
        <w:overflowPunct/>
        <w:topLinePunct w:val="0"/>
        <w:bidi w:val="0"/>
        <w:adjustRightInd/>
        <w:snapToGrid/>
        <w:spacing w:line="400" w:lineRule="exact"/>
        <w:jc w:val="center"/>
        <w:rPr>
          <w:rFonts w:ascii="Times New Roman" w:hAnsi="Times New Roman" w:eastAsia="仿宋_GB2312" w:cs="Times New Roman"/>
          <w:color w:val="auto"/>
          <w:sz w:val="44"/>
          <w:szCs w:val="44"/>
        </w:rPr>
      </w:pPr>
      <w:r>
        <w:rPr>
          <w:rFonts w:hint="eastAsia" w:ascii="Times New Roman" w:hAnsi="Times New Roman" w:eastAsia="仿宋_GB2312" w:cs="Times New Roman"/>
          <w:color w:val="auto"/>
          <w:sz w:val="44"/>
          <w:szCs w:val="44"/>
        </w:rPr>
        <w:t>编  制  说  明</w:t>
      </w: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rPr>
          <w:rFonts w:ascii="Times New Roman" w:hAnsi="Times New Roman" w:eastAsia="仿宋_GB2312" w:cs="Times New Roman"/>
          <w:color w:val="auto"/>
          <w:sz w:val="28"/>
          <w:szCs w:val="28"/>
        </w:rPr>
      </w:pPr>
    </w:p>
    <w:p>
      <w:pPr>
        <w:pageBreakBefore w:val="0"/>
        <w:kinsoku/>
        <w:wordWrap/>
        <w:overflowPunct/>
        <w:topLinePunct w:val="0"/>
        <w:bidi w:val="0"/>
        <w:adjustRightInd/>
        <w:snapToGrid/>
        <w:spacing w:line="400" w:lineRule="exact"/>
        <w:jc w:val="center"/>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《铅锌采选业绿色工厂评价要求》编制组</w:t>
      </w:r>
    </w:p>
    <w:p>
      <w:pPr>
        <w:pageBreakBefore w:val="0"/>
        <w:kinsoku/>
        <w:wordWrap/>
        <w:overflowPunct/>
        <w:topLinePunct w:val="0"/>
        <w:bidi w:val="0"/>
        <w:adjustRightInd/>
        <w:snapToGrid/>
        <w:spacing w:line="400" w:lineRule="exact"/>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主编单位：云南驰宏锌锗股份有限公司</w:t>
      </w:r>
    </w:p>
    <w:p>
      <w:pPr>
        <w:pageBreakBefore w:val="0"/>
        <w:kinsoku/>
        <w:wordWrap/>
        <w:overflowPunct/>
        <w:topLinePunct w:val="0"/>
        <w:bidi w:val="0"/>
        <w:adjustRightInd/>
        <w:snapToGrid/>
        <w:spacing w:line="400" w:lineRule="exact"/>
        <w:jc w:val="center"/>
        <w:rPr>
          <w:rFonts w:ascii="Times New Roman" w:hAnsi="Times New Roman" w:eastAsia="仿宋_GB2312" w:cs="Times New Roman"/>
          <w:color w:val="auto"/>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lang w:val="en-US" w:eastAsia="zh-CN"/>
        </w:rPr>
        <w:t>20</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hint="eastAsia" w:ascii="Times New Roman" w:hAnsi="Times New Roman" w:eastAsia="仿宋_GB2312" w:cs="Times New Roman"/>
          <w:color w:val="auto"/>
          <w:sz w:val="28"/>
          <w:szCs w:val="28"/>
        </w:rPr>
        <w:t>月</w:t>
      </w:r>
    </w:p>
    <w:p>
      <w:pPr>
        <w:pStyle w:val="3"/>
        <w:pageBreakBefore w:val="0"/>
        <w:numPr>
          <w:ilvl w:val="0"/>
          <w:numId w:val="4"/>
        </w:numPr>
        <w:kinsoku/>
        <w:wordWrap/>
        <w:overflowPunct/>
        <w:topLinePunct w:val="0"/>
        <w:bidi w:val="0"/>
        <w:adjustRightInd/>
        <w:snapToGrid/>
        <w:spacing w:before="0" w:after="0" w:line="400" w:lineRule="exact"/>
        <w:ind w:left="0" w:leftChars="0" w:firstLine="0" w:firstLineChars="0"/>
        <w:jc w:val="both"/>
        <w:rPr>
          <w:rFonts w:ascii="黑体" w:hAnsi="黑体" w:eastAsia="黑体" w:cs="Times New Roman"/>
          <w:color w:val="auto"/>
          <w:sz w:val="28"/>
          <w:szCs w:val="28"/>
        </w:rPr>
      </w:pPr>
      <w:bookmarkStart w:id="0" w:name="_Toc510785177"/>
      <w:r>
        <w:rPr>
          <w:rFonts w:hint="eastAsia" w:ascii="黑体" w:hAnsi="黑体" w:eastAsia="黑体" w:cs="Times New Roman"/>
          <w:color w:val="auto"/>
          <w:sz w:val="28"/>
          <w:szCs w:val="28"/>
        </w:rPr>
        <w:t>工作概况</w:t>
      </w:r>
      <w:bookmarkEnd w:id="0"/>
    </w:p>
    <w:p>
      <w:pPr>
        <w:pStyle w:val="3"/>
        <w:pageBreakBefore w:val="0"/>
        <w:numPr>
          <w:ilvl w:val="0"/>
          <w:numId w:val="5"/>
        </w:numPr>
        <w:kinsoku/>
        <w:wordWrap/>
        <w:overflowPunct/>
        <w:topLinePunct w:val="0"/>
        <w:bidi w:val="0"/>
        <w:adjustRightInd/>
        <w:snapToGrid/>
        <w:spacing w:before="0" w:after="0" w:line="400" w:lineRule="exact"/>
        <w:ind w:left="0" w:leftChars="0" w:firstLine="0" w:firstLineChars="0"/>
        <w:rPr>
          <w:color w:val="auto"/>
          <w:sz w:val="28"/>
          <w:szCs w:val="28"/>
          <w:highlight w:val="none"/>
        </w:rPr>
      </w:pPr>
      <w:r>
        <w:rPr>
          <w:rFonts w:hint="eastAsia"/>
          <w:color w:val="auto"/>
          <w:sz w:val="28"/>
          <w:szCs w:val="28"/>
          <w:highlight w:val="none"/>
        </w:rPr>
        <w:t>项目的必要性简述</w:t>
      </w:r>
    </w:p>
    <w:p>
      <w:pPr>
        <w:pStyle w:val="4"/>
        <w:pageBreakBefore w:val="0"/>
        <w:numPr>
          <w:ilvl w:val="0"/>
          <w:numId w:val="6"/>
        </w:numPr>
        <w:kinsoku/>
        <w:wordWrap/>
        <w:overflowPunct/>
        <w:topLinePunct w:val="0"/>
        <w:bidi w:val="0"/>
        <w:adjustRightInd/>
        <w:snapToGrid/>
        <w:spacing w:before="0" w:after="0" w:line="400" w:lineRule="exact"/>
        <w:ind w:left="425" w:leftChars="0" w:hanging="425" w:firstLineChars="0"/>
        <w:outlineLvl w:val="1"/>
        <w:rPr>
          <w:rFonts w:hint="eastAsia"/>
          <w:color w:val="auto"/>
          <w:sz w:val="28"/>
          <w:szCs w:val="28"/>
          <w:highlight w:val="none"/>
        </w:rPr>
      </w:pPr>
      <w:r>
        <w:rPr>
          <w:rFonts w:hint="eastAsia"/>
          <w:color w:val="auto"/>
          <w:sz w:val="28"/>
          <w:szCs w:val="28"/>
          <w:highlight w:val="none"/>
        </w:rPr>
        <w:t>贯彻执行相关法律法规及产业政策的需要</w:t>
      </w:r>
    </w:p>
    <w:p>
      <w:pPr>
        <w:pageBreakBefore w:val="0"/>
        <w:kinsoku/>
        <w:wordWrap/>
        <w:overflowPunct/>
        <w:topLinePunct w:val="0"/>
        <w:bidi w:val="0"/>
        <w:adjustRightInd/>
        <w:snapToGrid/>
        <w:spacing w:line="4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现目前，国家及行业对绿色发展呼声日高，有色金属行业对铅锌采选业绿色工厂发展也给予了极大的支持。工信部【2016】316号《关于印发有色金属工业发展规划（2016-2020）的通知》文中“促进绿色可持续发展”中提出了，发展绿色制造、加快循环经济利用，推动资源节约发展。</w:t>
      </w:r>
    </w:p>
    <w:p>
      <w:pPr>
        <w:pageBreakBefore w:val="0"/>
        <w:kinsoku/>
        <w:wordWrap/>
        <w:overflowPunct/>
        <w:topLinePunct w:val="0"/>
        <w:bidi w:val="0"/>
        <w:adjustRightInd/>
        <w:snapToGrid/>
        <w:spacing w:line="400"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国务院办公厅关于印发国家标准化体系建设发展规划（2016-2020年）的通知国办发〔2015〕89号文中指出，“加强生态文明标准化，服务绿色发展”，明确了要提升绿色矿产资源开发的标准化进程。</w:t>
      </w:r>
      <w:r>
        <w:rPr>
          <w:rFonts w:hint="eastAsia" w:ascii="仿宋_GB2312" w:hAnsi="仿宋_GB2312" w:eastAsia="仿宋_GB2312" w:cs="仿宋_GB2312"/>
          <w:bCs/>
          <w:color w:val="auto"/>
          <w:sz w:val="28"/>
          <w:szCs w:val="28"/>
          <w:lang w:val="en-US" w:eastAsia="zh-CN"/>
        </w:rPr>
        <w:t>2018年5月份，国家标准GB/T 36132《绿色工厂评价通则》已正式发布，为进一步提升国家标准的可操作性及执行性，需要根据铅锌采选业实际情况，建立可直接应用的评价要求。</w:t>
      </w:r>
    </w:p>
    <w:p>
      <w:pPr>
        <w:pStyle w:val="4"/>
        <w:pageBreakBefore w:val="0"/>
        <w:numPr>
          <w:ilvl w:val="0"/>
          <w:numId w:val="6"/>
        </w:numPr>
        <w:kinsoku/>
        <w:wordWrap/>
        <w:overflowPunct/>
        <w:topLinePunct w:val="0"/>
        <w:bidi w:val="0"/>
        <w:adjustRightInd/>
        <w:snapToGrid/>
        <w:spacing w:before="0" w:after="0" w:line="400" w:lineRule="exact"/>
        <w:ind w:left="425" w:leftChars="0" w:hanging="425" w:firstLineChars="0"/>
        <w:outlineLvl w:val="1"/>
        <w:rPr>
          <w:rFonts w:hint="eastAsia"/>
          <w:color w:val="auto"/>
          <w:sz w:val="28"/>
          <w:szCs w:val="28"/>
          <w:highlight w:val="none"/>
        </w:rPr>
      </w:pPr>
      <w:r>
        <w:rPr>
          <w:rFonts w:hint="eastAsia"/>
          <w:color w:val="auto"/>
          <w:sz w:val="28"/>
          <w:szCs w:val="28"/>
          <w:highlight w:val="none"/>
        </w:rPr>
        <w:t>铅锌行业可持续发展的需要</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根据《中国制造2025》的相关要求，在各行业内全面推进绿色工厂的建设工作，铅锌行业作为有色金属行业的重要组成部分，应积极响应国家号召，推动行业内绿色工厂的建设，评价工作。铅锌采选业作为铅锌产业链的源头，有必要建立完备的绿色工厂的建设及评价标准体系，以服务于广大铅锌采选业企业。</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2018年国家发布了GB/T 36132-2018《绿色工厂评价通则》绿色制造标准体系的建设工作依然拉开序幕，为更好地服务于铅锌行业，更具体到铅锌采选业，有必要建立更细化、更有适用性的评价要求标准，以推动相关企业开展绿色工厂的建设工作，促进产业可持续健康发展。</w:t>
      </w:r>
    </w:p>
    <w:p>
      <w:pPr>
        <w:pStyle w:val="4"/>
        <w:pageBreakBefore w:val="0"/>
        <w:numPr>
          <w:ilvl w:val="0"/>
          <w:numId w:val="6"/>
        </w:numPr>
        <w:kinsoku/>
        <w:wordWrap/>
        <w:overflowPunct/>
        <w:topLinePunct w:val="0"/>
        <w:bidi w:val="0"/>
        <w:adjustRightInd/>
        <w:snapToGrid/>
        <w:spacing w:before="0" w:after="0" w:line="400" w:lineRule="exact"/>
        <w:ind w:left="425" w:leftChars="0" w:hanging="425" w:firstLineChars="0"/>
        <w:outlineLvl w:val="1"/>
        <w:rPr>
          <w:rFonts w:hint="eastAsia"/>
          <w:color w:val="auto"/>
          <w:lang w:val="en-US" w:eastAsia="zh-CN"/>
        </w:rPr>
      </w:pPr>
      <w:r>
        <w:rPr>
          <w:rFonts w:hint="eastAsia"/>
          <w:color w:val="auto"/>
          <w:sz w:val="28"/>
          <w:szCs w:val="28"/>
          <w:highlight w:val="none"/>
        </w:rPr>
        <w:t>铅锌</w:t>
      </w:r>
      <w:r>
        <w:rPr>
          <w:rFonts w:hint="eastAsia"/>
          <w:color w:val="auto"/>
          <w:sz w:val="28"/>
          <w:szCs w:val="28"/>
          <w:highlight w:val="none"/>
          <w:lang w:val="en-US" w:eastAsia="zh-CN"/>
        </w:rPr>
        <w:t>采选矿山企业绿色发展现状</w:t>
      </w:r>
    </w:p>
    <w:p>
      <w:pPr>
        <w:pStyle w:val="20"/>
        <w:pageBreakBefore w:val="0"/>
        <w:numPr>
          <w:ilvl w:val="1"/>
          <w:numId w:val="0"/>
        </w:numPr>
        <w:kinsoku/>
        <w:wordWrap/>
        <w:overflowPunct/>
        <w:topLinePunct w:val="0"/>
        <w:bidi w:val="0"/>
        <w:adjustRightInd/>
        <w:snapToGrid/>
        <w:spacing w:line="400" w:lineRule="exact"/>
        <w:rPr>
          <w:rFonts w:hint="eastAsia" w:asciiTheme="minorHAnsi" w:hAnsiTheme="minorHAnsi" w:eastAsiaTheme="minorEastAsia" w:cstheme="minorBidi"/>
          <w:color w:val="auto"/>
          <w:kern w:val="2"/>
          <w:sz w:val="28"/>
          <w:szCs w:val="28"/>
          <w:highlight w:val="none"/>
          <w:lang w:val="en-US" w:eastAsia="zh-CN" w:bidi="ar-SA"/>
        </w:rPr>
      </w:pPr>
      <w:r>
        <w:rPr>
          <w:rFonts w:hint="eastAsia" w:asciiTheme="minorHAnsi" w:hAnsiTheme="minorHAnsi" w:eastAsiaTheme="minorEastAsia" w:cstheme="minorBidi"/>
          <w:color w:val="auto"/>
          <w:kern w:val="2"/>
          <w:sz w:val="28"/>
          <w:szCs w:val="28"/>
          <w:highlight w:val="none"/>
          <w:lang w:val="en-US" w:eastAsia="zh-CN" w:bidi="ar-SA"/>
        </w:rPr>
        <w:t xml:space="preserve">3.1 </w:t>
      </w:r>
      <w:r>
        <w:rPr>
          <w:rFonts w:hint="eastAsia" w:ascii="仿宋" w:hAnsi="仿宋" w:eastAsia="仿宋" w:cs="仿宋"/>
          <w:color w:val="auto"/>
          <w:kern w:val="2"/>
          <w:sz w:val="28"/>
          <w:szCs w:val="28"/>
          <w:highlight w:val="none"/>
          <w:lang w:val="en-US" w:eastAsia="zh-CN" w:bidi="ar-SA"/>
        </w:rPr>
        <w:t>铅锌采选行业绿色发展中面临的突出情况</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铅锌行业作为重有色行业，在绿色发展大环境下，一直存在突出矛盾，多地均因环境敏感而被划入排放限值管控范围，对铅锌矿山企业带来巨大的压力。同时受企业实际条件、地域环境影响，对生产过程中产生的废水、废渣的综合利用存在极不平衡情况。铅锌采选行业对环境的主要污染为废水、废渣中存在的Pb、Zn、Cu等重金属离子以及选矿药剂带来的高COD含量，但同时Pb、Zn、Cu等重金属又属于铅锌矿山企业的主要产品，自身具有的危害性使其与绿色产品要求存在一定的矛盾。</w:t>
      </w:r>
    </w:p>
    <w:p>
      <w:pPr>
        <w:pStyle w:val="20"/>
        <w:pageBreakBefore w:val="0"/>
        <w:numPr>
          <w:ilvl w:val="1"/>
          <w:numId w:val="0"/>
        </w:numPr>
        <w:kinsoku/>
        <w:wordWrap/>
        <w:overflowPunct/>
        <w:topLinePunct w:val="0"/>
        <w:bidi w:val="0"/>
        <w:adjustRightInd/>
        <w:snapToGrid/>
        <w:spacing w:line="400" w:lineRule="exact"/>
        <w:rPr>
          <w:rFonts w:hint="eastAsia" w:asciiTheme="minorHAnsi" w:hAnsiTheme="minorHAnsi" w:eastAsiaTheme="minorEastAsia" w:cstheme="minorBidi"/>
          <w:color w:val="auto"/>
          <w:kern w:val="2"/>
          <w:sz w:val="28"/>
          <w:szCs w:val="28"/>
          <w:highlight w:val="none"/>
          <w:lang w:val="en-US" w:eastAsia="zh-CN" w:bidi="ar-SA"/>
        </w:rPr>
      </w:pPr>
      <w:r>
        <w:rPr>
          <w:rFonts w:hint="eastAsia" w:asciiTheme="minorHAnsi" w:hAnsiTheme="minorHAnsi" w:eastAsiaTheme="minorEastAsia" w:cstheme="minorBidi"/>
          <w:color w:val="auto"/>
          <w:kern w:val="2"/>
          <w:sz w:val="28"/>
          <w:szCs w:val="28"/>
          <w:highlight w:val="none"/>
          <w:lang w:val="en-US" w:eastAsia="zh-CN" w:bidi="ar-SA"/>
        </w:rPr>
        <w:t xml:space="preserve">3.2 </w:t>
      </w:r>
      <w:r>
        <w:rPr>
          <w:rFonts w:hint="eastAsia" w:ascii="仿宋" w:hAnsi="仿宋" w:eastAsia="仿宋" w:cs="仿宋"/>
          <w:color w:val="auto"/>
          <w:kern w:val="2"/>
          <w:sz w:val="28"/>
          <w:szCs w:val="28"/>
          <w:highlight w:val="none"/>
          <w:lang w:val="en-US" w:eastAsia="zh-CN" w:bidi="ar-SA"/>
        </w:rPr>
        <w:t>铅锌矿山企业生产工艺采用情况</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铅锌矿山企业主体仍为硫化矿，为铅锌混生矿体，除部分氧化矿矿山仍在露天采矿作业以外，基本均已进入地下开采阶段。</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矿山企业采矿工艺主要分为空场崩落法和充填采矿法两类，其中，空场崩落法有：大直径深孔采矿法，盘区机械化中深孔采矿法等；充填法有：</w:t>
      </w:r>
      <w:r>
        <w:rPr>
          <w:rFonts w:hint="default" w:ascii="仿宋_GB2312" w:hAnsi="仿宋_GB2312" w:eastAsia="仿宋_GB2312" w:cs="仿宋_GB2312"/>
          <w:bCs/>
          <w:color w:val="auto"/>
          <w:sz w:val="28"/>
          <w:szCs w:val="28"/>
          <w:highlight w:val="none"/>
          <w:lang w:val="en-US" w:eastAsia="zh-CN"/>
        </w:rPr>
        <w:t>水平分层胶结充填法</w:t>
      </w:r>
      <w:r>
        <w:rPr>
          <w:rFonts w:hint="eastAsia" w:ascii="仿宋_GB2312" w:hAnsi="仿宋_GB2312" w:eastAsia="仿宋_GB2312" w:cs="仿宋_GB2312"/>
          <w:bCs/>
          <w:color w:val="auto"/>
          <w:sz w:val="28"/>
          <w:szCs w:val="28"/>
          <w:highlight w:val="none"/>
          <w:lang w:val="en-US" w:eastAsia="zh-CN"/>
        </w:rPr>
        <w:t>，</w:t>
      </w:r>
      <w:r>
        <w:rPr>
          <w:rFonts w:hint="default" w:ascii="仿宋_GB2312" w:hAnsi="仿宋_GB2312" w:eastAsia="仿宋_GB2312" w:cs="仿宋_GB2312"/>
          <w:bCs/>
          <w:color w:val="auto"/>
          <w:sz w:val="28"/>
          <w:szCs w:val="28"/>
          <w:highlight w:val="none"/>
          <w:lang w:val="en-US" w:eastAsia="zh-CN"/>
        </w:rPr>
        <w:t>分段空场法（嗣后充填）</w:t>
      </w:r>
      <w:r>
        <w:rPr>
          <w:rFonts w:hint="eastAsia" w:ascii="仿宋_GB2312" w:hAnsi="仿宋_GB2312" w:eastAsia="仿宋_GB2312" w:cs="仿宋_GB2312"/>
          <w:bCs/>
          <w:color w:val="auto"/>
          <w:sz w:val="28"/>
          <w:szCs w:val="28"/>
          <w:highlight w:val="none"/>
          <w:lang w:val="en-US" w:eastAsia="zh-CN"/>
        </w:rPr>
        <w:t>，</w:t>
      </w:r>
      <w:r>
        <w:rPr>
          <w:rFonts w:hint="default" w:ascii="仿宋_GB2312" w:hAnsi="仿宋_GB2312" w:eastAsia="仿宋_GB2312" w:cs="仿宋_GB2312"/>
          <w:bCs/>
          <w:color w:val="auto"/>
          <w:sz w:val="28"/>
          <w:szCs w:val="28"/>
          <w:highlight w:val="none"/>
          <w:lang w:val="en-US" w:eastAsia="zh-CN"/>
        </w:rPr>
        <w:t>留矿嗣后充填采矿法</w:t>
      </w:r>
      <w:r>
        <w:rPr>
          <w:rFonts w:hint="eastAsia" w:ascii="仿宋_GB2312" w:hAnsi="仿宋_GB2312" w:eastAsia="仿宋_GB2312" w:cs="仿宋_GB2312"/>
          <w:bCs/>
          <w:color w:val="auto"/>
          <w:sz w:val="28"/>
          <w:szCs w:val="28"/>
          <w:highlight w:val="none"/>
          <w:lang w:val="en-US" w:eastAsia="zh-CN"/>
        </w:rPr>
        <w:t>等。同时随着机械化的不断推广，各大矿山均在逐步开展</w:t>
      </w:r>
      <w:r>
        <w:rPr>
          <w:rFonts w:hint="default" w:ascii="仿宋_GB2312" w:hAnsi="仿宋_GB2312" w:eastAsia="仿宋_GB2312" w:cs="仿宋_GB2312"/>
          <w:bCs/>
          <w:color w:val="auto"/>
          <w:sz w:val="28"/>
          <w:szCs w:val="28"/>
          <w:highlight w:val="none"/>
          <w:lang w:val="en-US" w:eastAsia="zh-CN"/>
        </w:rPr>
        <w:t>凿岩台车</w:t>
      </w:r>
      <w:r>
        <w:rPr>
          <w:rFonts w:hint="eastAsia" w:ascii="仿宋_GB2312" w:hAnsi="仿宋_GB2312" w:eastAsia="仿宋_GB2312" w:cs="仿宋_GB2312"/>
          <w:bCs/>
          <w:color w:val="auto"/>
          <w:sz w:val="28"/>
          <w:szCs w:val="28"/>
          <w:highlight w:val="none"/>
          <w:lang w:val="en-US" w:eastAsia="zh-CN"/>
        </w:rPr>
        <w:t>、</w:t>
      </w:r>
      <w:r>
        <w:rPr>
          <w:rFonts w:hint="default" w:ascii="仿宋_GB2312" w:hAnsi="仿宋_GB2312" w:eastAsia="仿宋_GB2312" w:cs="仿宋_GB2312"/>
          <w:bCs/>
          <w:color w:val="auto"/>
          <w:sz w:val="28"/>
          <w:szCs w:val="28"/>
          <w:highlight w:val="none"/>
          <w:lang w:val="en-US" w:eastAsia="zh-CN"/>
        </w:rPr>
        <w:t>天井钻机</w:t>
      </w:r>
      <w:r>
        <w:rPr>
          <w:rFonts w:hint="eastAsia" w:ascii="仿宋_GB2312" w:hAnsi="仿宋_GB2312" w:eastAsia="仿宋_GB2312" w:cs="仿宋_GB2312"/>
          <w:bCs/>
          <w:color w:val="auto"/>
          <w:sz w:val="28"/>
          <w:szCs w:val="28"/>
          <w:highlight w:val="none"/>
          <w:lang w:val="en-US" w:eastAsia="zh-CN"/>
        </w:rPr>
        <w:t>、</w:t>
      </w:r>
      <w:r>
        <w:rPr>
          <w:rFonts w:hint="default" w:ascii="仿宋_GB2312" w:hAnsi="仿宋_GB2312" w:eastAsia="仿宋_GB2312" w:cs="仿宋_GB2312"/>
          <w:bCs/>
          <w:color w:val="auto"/>
          <w:sz w:val="28"/>
          <w:szCs w:val="28"/>
          <w:highlight w:val="none"/>
          <w:lang w:val="en-US" w:eastAsia="zh-CN"/>
        </w:rPr>
        <w:t>装岩机</w:t>
      </w:r>
      <w:r>
        <w:rPr>
          <w:rFonts w:hint="eastAsia" w:ascii="仿宋_GB2312" w:hAnsi="仿宋_GB2312" w:eastAsia="仿宋_GB2312" w:cs="仿宋_GB2312"/>
          <w:bCs/>
          <w:color w:val="auto"/>
          <w:sz w:val="28"/>
          <w:szCs w:val="28"/>
          <w:highlight w:val="none"/>
          <w:lang w:val="en-US" w:eastAsia="zh-CN"/>
        </w:rPr>
        <w:t>、</w:t>
      </w:r>
      <w:r>
        <w:rPr>
          <w:rFonts w:hint="default" w:ascii="仿宋_GB2312" w:hAnsi="仿宋_GB2312" w:eastAsia="仿宋_GB2312" w:cs="仿宋_GB2312"/>
          <w:bCs/>
          <w:color w:val="auto"/>
          <w:sz w:val="28"/>
          <w:szCs w:val="28"/>
          <w:highlight w:val="none"/>
          <w:lang w:val="en-US" w:eastAsia="zh-CN"/>
        </w:rPr>
        <w:t>铲运机</w:t>
      </w:r>
      <w:r>
        <w:rPr>
          <w:rFonts w:hint="eastAsia" w:ascii="仿宋_GB2312" w:hAnsi="仿宋_GB2312" w:eastAsia="仿宋_GB2312" w:cs="仿宋_GB2312"/>
          <w:bCs/>
          <w:color w:val="auto"/>
          <w:sz w:val="28"/>
          <w:szCs w:val="28"/>
          <w:highlight w:val="none"/>
          <w:lang w:val="en-US" w:eastAsia="zh-CN"/>
        </w:rPr>
        <w:t>、</w:t>
      </w:r>
      <w:r>
        <w:rPr>
          <w:rFonts w:hint="default" w:ascii="仿宋_GB2312" w:hAnsi="仿宋_GB2312" w:eastAsia="仿宋_GB2312" w:cs="仿宋_GB2312"/>
          <w:bCs/>
          <w:color w:val="auto"/>
          <w:sz w:val="28"/>
          <w:szCs w:val="28"/>
          <w:highlight w:val="none"/>
          <w:lang w:val="en-US" w:eastAsia="zh-CN"/>
        </w:rPr>
        <w:t>乳化炸药混装车</w:t>
      </w:r>
      <w:r>
        <w:rPr>
          <w:rFonts w:hint="eastAsia" w:ascii="仿宋_GB2312" w:hAnsi="仿宋_GB2312" w:eastAsia="仿宋_GB2312" w:cs="仿宋_GB2312"/>
          <w:bCs/>
          <w:color w:val="auto"/>
          <w:sz w:val="28"/>
          <w:szCs w:val="28"/>
          <w:highlight w:val="none"/>
          <w:lang w:val="en-US" w:eastAsia="zh-CN"/>
        </w:rPr>
        <w:t>、反井钻机等大型机械设备的应用工作，但现目前铅锌采矿作业的机械化应用程度仍处于较低水平，还未实现全作业过程大型机械的应用。</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选矿工艺国内铅锌矿山主体仍采用高碱优先浮选工艺，绝大的部分仍使用石灰作为水体pH的调节剂，同时过程中使用黄药（乙基、丁基黄药）、黑药及其衍生药剂作为捕收剂，六偏磷酸钠、硫酸锌、亚硫酸钠、硫酸铜、硫酸等药剂作为各阶段的活化或抑制剂，2#油作为起泡剂。</w:t>
      </w:r>
    </w:p>
    <w:p>
      <w:pPr>
        <w:pStyle w:val="20"/>
        <w:pageBreakBefore w:val="0"/>
        <w:numPr>
          <w:ilvl w:val="1"/>
          <w:numId w:val="0"/>
        </w:numPr>
        <w:kinsoku/>
        <w:wordWrap/>
        <w:overflowPunct/>
        <w:topLinePunct w:val="0"/>
        <w:bidi w:val="0"/>
        <w:adjustRightInd/>
        <w:snapToGrid/>
        <w:spacing w:line="400" w:lineRule="exact"/>
        <w:rPr>
          <w:rFonts w:hint="eastAsia" w:asciiTheme="minorHAnsi" w:hAnsiTheme="minorHAnsi" w:eastAsiaTheme="minorEastAsia" w:cstheme="minorBidi"/>
          <w:color w:val="auto"/>
          <w:kern w:val="2"/>
          <w:sz w:val="28"/>
          <w:szCs w:val="28"/>
          <w:highlight w:val="none"/>
          <w:lang w:val="en-US" w:eastAsia="zh-CN" w:bidi="ar-SA"/>
        </w:rPr>
      </w:pPr>
      <w:r>
        <w:rPr>
          <w:rFonts w:hint="eastAsia" w:asciiTheme="minorHAnsi" w:hAnsiTheme="minorHAnsi" w:eastAsiaTheme="minorEastAsia" w:cstheme="minorBidi"/>
          <w:color w:val="auto"/>
          <w:kern w:val="2"/>
          <w:sz w:val="28"/>
          <w:szCs w:val="28"/>
          <w:highlight w:val="none"/>
          <w:lang w:val="en-US" w:eastAsia="zh-CN" w:bidi="ar-SA"/>
        </w:rPr>
        <w:t xml:space="preserve">3.3 </w:t>
      </w:r>
      <w:r>
        <w:rPr>
          <w:rFonts w:hint="eastAsia" w:ascii="仿宋" w:hAnsi="仿宋" w:eastAsia="仿宋" w:cs="仿宋"/>
          <w:color w:val="auto"/>
          <w:kern w:val="2"/>
          <w:sz w:val="28"/>
          <w:szCs w:val="28"/>
          <w:highlight w:val="none"/>
          <w:lang w:val="en-US" w:eastAsia="zh-CN" w:bidi="ar-SA"/>
        </w:rPr>
        <w:t>铅锌矿山企业设备设施采用情况</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现目前国内新建铅锌矿山较少，大部分建矿时间较早，各个矿山企业均在原设备设施基础上开展过改建工作，但受地域环境限值等因素影响，改建程度不一，但整体分化较大。企业本身地域受限的企业，选矿厂房屋建筑大多延用九十年代之前的建筑，在此基础上对内部使用设备进行了逐步改进，但由于条件受限，企业整体自动化程度不高，企业员工实物劳动生产率不高，同时仍存在大量高能耗、低效率设备的存在，企业虽然有更换计划，但仍会有较长的持续时间。对于自身条件较为优越的企业，基本都是在2000年之后开展的改建工作，企业大多新建了生产厂房，厂区照明充足，部分企业甚至实现了全流程的自动化生产，而且大多采用大型的、高效率、低能耗的生产设备，企业员工实物劳动生产率较高。整体矿山企业，建筑容积率平均可达0.5以上，建筑密度可达50%以上，新建、改建矿山企业实际指标更高。</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bCs/>
          <w:color w:val="auto"/>
          <w:sz w:val="28"/>
          <w:szCs w:val="28"/>
          <w:highlight w:val="none"/>
          <w:lang w:val="en-US" w:eastAsia="zh-CN"/>
        </w:rPr>
        <w:t>企业厂区范围内，4m及以下采用的照明灯具基本均以改为节能灯具，4m及上采用的照明灯具大多采用防爆灯或吊链灯，在节能灯具的使用方面，各矿山企业均在大力的推广应用，且实际应用率较高，均可大90%以上，如下表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表1 各矿山企业节能灯具使用率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bCs/>
                <w:color w:val="auto"/>
                <w:sz w:val="24"/>
                <w:szCs w:val="24"/>
                <w:highlight w:val="none"/>
                <w:vertAlign w:val="baseline"/>
                <w:lang w:eastAsia="zh-CN"/>
              </w:rPr>
            </w:pPr>
            <w:r>
              <w:rPr>
                <w:rFonts w:hint="eastAsia" w:ascii="Times New Roman" w:hAnsi="Times New Roman" w:eastAsia="仿宋_GB2312" w:cs="Times New Roman"/>
                <w:b/>
                <w:bCs/>
                <w:color w:val="auto"/>
                <w:sz w:val="24"/>
                <w:szCs w:val="24"/>
                <w:highlight w:val="none"/>
                <w:vertAlign w:val="baseline"/>
                <w:lang w:eastAsia="zh-CN"/>
              </w:rPr>
              <w:t>矿山企业</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bCs/>
                <w:color w:val="auto"/>
                <w:sz w:val="24"/>
                <w:szCs w:val="24"/>
                <w:highlight w:val="none"/>
                <w:vertAlign w:val="baseline"/>
                <w:lang w:eastAsia="zh-CN"/>
              </w:rPr>
            </w:pPr>
            <w:r>
              <w:rPr>
                <w:rFonts w:hint="eastAsia" w:ascii="Times New Roman" w:hAnsi="Times New Roman" w:eastAsia="仿宋_GB2312" w:cs="Times New Roman"/>
                <w:b/>
                <w:bCs/>
                <w:color w:val="auto"/>
                <w:sz w:val="24"/>
                <w:szCs w:val="24"/>
                <w:highlight w:val="none"/>
                <w:vertAlign w:val="baseline"/>
                <w:lang w:eastAsia="zh-CN"/>
              </w:rPr>
              <w:t>节能灯具使用率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驰宏会泽矿业</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厂坝铅锌矿</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凡口铅锌矿</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银山矿业</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栖霞山铅锌矿</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锡铁山</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90%</w:t>
            </w:r>
          </w:p>
        </w:tc>
      </w:tr>
    </w:tbl>
    <w:p>
      <w:pPr>
        <w:pageBreakBefore w:val="0"/>
        <w:kinsoku/>
        <w:wordWrap/>
        <w:overflowPunct/>
        <w:topLinePunct w:val="0"/>
        <w:bidi w:val="0"/>
        <w:adjustRightInd/>
        <w:snapToGrid/>
        <w:spacing w:line="400" w:lineRule="exact"/>
        <w:ind w:firstLine="560" w:firstLineChars="200"/>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在用能计量设备的管理方面，对电耗的管理相对较为全面，各主体设备均有能耗计量器具，且大多能开展实施监控，在生产管理过程中也能确保各在用设备满负荷运行。但对于生产过程中的水耗管理存在不足，部分企业甚至缺乏对过程中各关键环节水耗情况的监视，只针对厂区整体耗水情况进行了计量监控。</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铅锌矿山企业资源综合利用情况</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矿山企业主体产生的废物有废水和废渣两类，为有效推进资源节约综合利用，各铅锌矿山企业均开展废水的处理与回用，废渣（含尾矿）的再利用工作。</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表2 各铅锌矿山企业资源综合利用指标情况</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2400"/>
        <w:gridCol w:w="1323"/>
        <w:gridCol w:w="1131"/>
        <w:gridCol w:w="1255"/>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矿山企业</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废水处理方式</w:t>
            </w:r>
          </w:p>
        </w:tc>
        <w:tc>
          <w:tcPr>
            <w:tcW w:w="13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eastAsia="zh-CN"/>
              </w:rPr>
              <w:t>选矿废水回用率</w:t>
            </w:r>
            <w:r>
              <w:rPr>
                <w:rFonts w:hint="eastAsia" w:ascii="Times New Roman" w:hAnsi="Times New Roman" w:eastAsia="仿宋_GB2312" w:cs="Times New Roman"/>
                <w:b w:val="0"/>
                <w:bCs w:val="0"/>
                <w:color w:val="auto"/>
                <w:sz w:val="24"/>
                <w:szCs w:val="24"/>
                <w:highlight w:val="none"/>
                <w:vertAlign w:val="baseline"/>
                <w:lang w:val="en-US" w:eastAsia="zh-CN"/>
              </w:rPr>
              <w:t>/%</w:t>
            </w:r>
          </w:p>
        </w:tc>
        <w:tc>
          <w:tcPr>
            <w:tcW w:w="1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尾矿处置方式</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废渣处置方式</w:t>
            </w:r>
          </w:p>
        </w:tc>
        <w:tc>
          <w:tcPr>
            <w:tcW w:w="1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eastAsia="zh-CN"/>
              </w:rPr>
              <w:t>渣石排放量</w:t>
            </w:r>
            <w:r>
              <w:rPr>
                <w:rFonts w:hint="eastAsia" w:ascii="Times New Roman" w:hAnsi="Times New Roman" w:eastAsia="仿宋_GB2312" w:cs="Times New Roman"/>
                <w:b w:val="0"/>
                <w:bCs w:val="0"/>
                <w:color w:val="auto"/>
                <w:sz w:val="24"/>
                <w:szCs w:val="24"/>
                <w:highlight w:val="none"/>
                <w:vertAlign w:val="baseline"/>
                <w:lang w:val="en-US" w:eastAsia="zh-CN"/>
              </w:rPr>
              <w:t>/万吨每年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驰宏会泽矿业</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选矿废水：分质回用+综合处理回用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矿井涌水：部分回用+处理达标外排</w:t>
            </w:r>
          </w:p>
        </w:tc>
        <w:tc>
          <w:tcPr>
            <w:tcW w:w="13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100%</w:t>
            </w:r>
          </w:p>
        </w:tc>
        <w:tc>
          <w:tcPr>
            <w:tcW w:w="1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尾矿全部充填回用</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废渣部分回填，部分再利用</w:t>
            </w:r>
          </w:p>
        </w:tc>
        <w:tc>
          <w:tcPr>
            <w:tcW w:w="1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厂坝铅锌矿</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选矿废水：分质回用+综合处理回用+部分达标外排</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矿井涌水：部分回用+处理达标外排</w:t>
            </w:r>
          </w:p>
        </w:tc>
        <w:tc>
          <w:tcPr>
            <w:tcW w:w="13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85%</w:t>
            </w:r>
          </w:p>
        </w:tc>
        <w:tc>
          <w:tcPr>
            <w:tcW w:w="1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尾矿排入尾矿库</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废渣部分回填，其余排入渣石场</w:t>
            </w:r>
          </w:p>
        </w:tc>
        <w:tc>
          <w:tcPr>
            <w:tcW w:w="1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eastAsia="仿宋_GB2312"/>
                <w:b w:val="0"/>
                <w:bCs w:val="0"/>
                <w:color w:val="auto"/>
                <w:sz w:val="28"/>
                <w:szCs w:val="28"/>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凡口铅锌矿</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选矿废水：分质回用+部分达标外排</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矿井涌水：处理回用</w:t>
            </w:r>
          </w:p>
        </w:tc>
        <w:tc>
          <w:tcPr>
            <w:tcW w:w="13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55%</w:t>
            </w:r>
          </w:p>
        </w:tc>
        <w:tc>
          <w:tcPr>
            <w:tcW w:w="1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尾矿排入尾矿库</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废渣部分回填，部分再利用</w:t>
            </w:r>
          </w:p>
        </w:tc>
        <w:tc>
          <w:tcPr>
            <w:tcW w:w="1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银山矿业</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选矿废水：综合处理回用+部分达标外排</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矿井涌水：部分回用+处理达标外排</w:t>
            </w:r>
          </w:p>
        </w:tc>
        <w:tc>
          <w:tcPr>
            <w:tcW w:w="13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eastAsia="zh-CN"/>
              </w:rPr>
              <w:t>86.74</w:t>
            </w:r>
            <w:r>
              <w:rPr>
                <w:rFonts w:hint="eastAsia" w:ascii="Times New Roman" w:hAnsi="Times New Roman" w:eastAsia="仿宋_GB2312" w:cs="Times New Roman"/>
                <w:b w:val="0"/>
                <w:bCs w:val="0"/>
                <w:color w:val="auto"/>
                <w:sz w:val="24"/>
                <w:szCs w:val="24"/>
                <w:highlight w:val="none"/>
                <w:vertAlign w:val="baseline"/>
                <w:lang w:val="en-US" w:eastAsia="zh-CN"/>
              </w:rPr>
              <w:t>%</w:t>
            </w:r>
          </w:p>
        </w:tc>
        <w:tc>
          <w:tcPr>
            <w:tcW w:w="1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尾矿排入尾矿库</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废渣部分回填，其余排入渣石场</w:t>
            </w:r>
          </w:p>
        </w:tc>
        <w:tc>
          <w:tcPr>
            <w:tcW w:w="1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栖霞山铅锌矿</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选矿废水分质回用+综合处理回用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矿井涌水：处理回用</w:t>
            </w:r>
          </w:p>
        </w:tc>
        <w:tc>
          <w:tcPr>
            <w:tcW w:w="13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100%</w:t>
            </w:r>
          </w:p>
        </w:tc>
        <w:tc>
          <w:tcPr>
            <w:tcW w:w="1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尾矿全部充填回用</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废渣全部回填</w:t>
            </w:r>
          </w:p>
        </w:tc>
        <w:tc>
          <w:tcPr>
            <w:tcW w:w="1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锡铁山</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选矿废水：分质回用+综合处理回用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矿井涌水：处理回用</w:t>
            </w:r>
          </w:p>
        </w:tc>
        <w:tc>
          <w:tcPr>
            <w:tcW w:w="13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100%</w:t>
            </w:r>
          </w:p>
        </w:tc>
        <w:tc>
          <w:tcPr>
            <w:tcW w:w="1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尾矿排入尾矿库</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废渣部分回填，其余排入渣石场</w:t>
            </w:r>
          </w:p>
        </w:tc>
        <w:tc>
          <w:tcPr>
            <w:tcW w:w="12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26.48</w:t>
            </w: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各矿山企业选矿废水的处理基本均采用了分质回用+综合处理的工艺设计，行业选矿废水的综合回用率在80%以上。矿井涌水在矿山企业均优先考虑回用，根据实际涌水量的大小，过多的水处理达标后外排。</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受铅锌原矿整体品位较低，尾砂产率大影响，尾矿的处置，大部分仍然采用排入尾矿库的方式，部分充填井下空区，少部分企业能实现尾矿全回用。采矿废渣处置上，主体仍为部分采场回填，部分排入渣石场的方式，部分企业已实现100%综合利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铅锌矿山企业在生产作业过程中产生的大气污染物主要为颗粒物，在实际生产作业过程中，各企业为确保员工作业健康安全均开展了颗粒物的收集与回收工作，如下表3；</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表3 各矿山企业颗粒物处理与回收方式</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23"/>
        <w:gridCol w:w="252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矿山企业</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颗粒物产生环节</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颗粒物处理方式</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回收处理方式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驰宏会泽矿业</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湿式除尘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厂坝铅锌矿</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湿式除尘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凡口铅锌矿</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布袋除尘</w:t>
            </w:r>
            <w:r>
              <w:rPr>
                <w:rFonts w:hint="eastAsia" w:ascii="Times New Roman" w:hAnsi="Times New Roman" w:eastAsia="仿宋_GB2312" w:cs="Times New Roman"/>
                <w:b w:val="0"/>
                <w:bCs w:val="0"/>
                <w:color w:val="auto"/>
                <w:sz w:val="24"/>
                <w:szCs w:val="24"/>
                <w:highlight w:val="none"/>
                <w:vertAlign w:val="baseline"/>
                <w:lang w:val="en-US" w:eastAsia="zh-CN"/>
              </w:rPr>
              <w:t>+</w:t>
            </w:r>
            <w:r>
              <w:rPr>
                <w:rFonts w:hint="eastAsia" w:ascii="Times New Roman" w:hAnsi="Times New Roman" w:eastAsia="仿宋_GB2312" w:cs="Times New Roman"/>
                <w:b w:val="0"/>
                <w:bCs w:val="0"/>
                <w:color w:val="auto"/>
                <w:sz w:val="24"/>
                <w:szCs w:val="24"/>
                <w:highlight w:val="none"/>
                <w:vertAlign w:val="baseline"/>
                <w:lang w:eastAsia="zh-CN"/>
              </w:rPr>
              <w:t>洒水抑尘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银山矿业</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布袋除尘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栖霞山铅锌矿</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布袋除尘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锡铁山</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洒水抑尘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bl>
    <w:p>
      <w:pPr>
        <w:pStyle w:val="2"/>
        <w:rPr>
          <w:color w:val="auto"/>
        </w:rPr>
      </w:pPr>
    </w:p>
    <w:p>
      <w:pPr>
        <w:pStyle w:val="3"/>
        <w:pageBreakBefore w:val="0"/>
        <w:numPr>
          <w:ilvl w:val="0"/>
          <w:numId w:val="5"/>
        </w:numPr>
        <w:kinsoku/>
        <w:wordWrap/>
        <w:overflowPunct/>
        <w:topLinePunct w:val="0"/>
        <w:bidi w:val="0"/>
        <w:adjustRightInd/>
        <w:snapToGrid/>
        <w:spacing w:before="0" w:after="0" w:line="400" w:lineRule="exact"/>
        <w:ind w:left="0" w:leftChars="0" w:firstLine="0" w:firstLineChars="0"/>
        <w:rPr>
          <w:rFonts w:hint="eastAsia"/>
          <w:color w:val="auto"/>
          <w:sz w:val="28"/>
          <w:szCs w:val="28"/>
          <w:highlight w:val="none"/>
        </w:rPr>
      </w:pPr>
      <w:r>
        <w:rPr>
          <w:rFonts w:hint="eastAsia"/>
          <w:color w:val="auto"/>
          <w:sz w:val="28"/>
          <w:szCs w:val="28"/>
          <w:highlight w:val="none"/>
        </w:rPr>
        <w:t>拟要解决的主要问题</w:t>
      </w:r>
    </w:p>
    <w:p>
      <w:pPr>
        <w:pageBreakBefore w:val="0"/>
        <w:kinsoku/>
        <w:wordWrap/>
        <w:overflowPunct/>
        <w:topLinePunct w:val="0"/>
        <w:bidi w:val="0"/>
        <w:adjustRightInd/>
        <w:snapToGrid/>
        <w:spacing w:line="400" w:lineRule="exact"/>
        <w:ind w:firstLine="560" w:firstLineChars="200"/>
        <w:rPr>
          <w:rFonts w:ascii="Times New Roman" w:hAnsi="Times New Roman" w:eastAsia="仿宋_GB2312" w:cs="Times New Roman"/>
          <w:color w:val="auto"/>
          <w:sz w:val="28"/>
          <w:szCs w:val="28"/>
        </w:rPr>
      </w:pPr>
      <w:r>
        <w:rPr>
          <w:rFonts w:hint="eastAsia" w:ascii="仿宋_GB2312" w:hAnsi="仿宋_GB2312" w:eastAsia="仿宋_GB2312" w:cs="仿宋_GB2312"/>
          <w:bCs/>
          <w:color w:val="auto"/>
          <w:sz w:val="28"/>
          <w:szCs w:val="28"/>
          <w:lang w:val="en-US" w:eastAsia="zh-CN"/>
        </w:rPr>
        <w:t>细化落实国家标准GB/T  36132《绿色工厂评价通则》的要求，为铅锌采选业企业提供绿色工厂评价的可操作的具体方法与要求，服务于并引导铅锌采选业企业加快绿色工厂建设与评价的步伐，加快铅锌行业全产业链绿色健康发展。</w:t>
      </w:r>
    </w:p>
    <w:p>
      <w:pPr>
        <w:pStyle w:val="3"/>
        <w:pageBreakBefore w:val="0"/>
        <w:numPr>
          <w:ilvl w:val="0"/>
          <w:numId w:val="5"/>
        </w:numPr>
        <w:kinsoku/>
        <w:wordWrap/>
        <w:overflowPunct/>
        <w:topLinePunct w:val="0"/>
        <w:bidi w:val="0"/>
        <w:adjustRightInd/>
        <w:snapToGrid/>
        <w:spacing w:before="0" w:after="0" w:line="400" w:lineRule="exact"/>
        <w:ind w:left="0" w:leftChars="0" w:firstLine="0" w:firstLineChars="0"/>
        <w:rPr>
          <w:rFonts w:hint="eastAsia"/>
          <w:color w:val="auto"/>
          <w:sz w:val="28"/>
          <w:szCs w:val="28"/>
          <w:highlight w:val="none"/>
        </w:rPr>
      </w:pPr>
      <w:bookmarkStart w:id="1" w:name="_Toc510785178"/>
      <w:r>
        <w:rPr>
          <w:rFonts w:hint="eastAsia"/>
          <w:color w:val="auto"/>
          <w:sz w:val="28"/>
          <w:szCs w:val="28"/>
          <w:highlight w:val="none"/>
        </w:rPr>
        <w:t>任务来源</w:t>
      </w:r>
      <w:bookmarkEnd w:id="1"/>
    </w:p>
    <w:p>
      <w:pPr>
        <w:pageBreakBefore w:val="0"/>
        <w:kinsoku/>
        <w:wordWrap/>
        <w:overflowPunct/>
        <w:topLinePunct w:val="0"/>
        <w:bidi w:val="0"/>
        <w:adjustRightInd/>
        <w:snapToGrid/>
        <w:spacing w:line="400" w:lineRule="exact"/>
        <w:ind w:firstLine="560" w:firstLineChars="200"/>
        <w:rPr>
          <w:rFonts w:ascii="Times New Roman" w:hAnsi="Times New Roman" w:eastAsia="仿宋_GB2312" w:cs="Times New Roman"/>
          <w:color w:val="auto"/>
          <w:sz w:val="28"/>
          <w:szCs w:val="28"/>
        </w:rPr>
      </w:pPr>
      <w:r>
        <w:rPr>
          <w:rFonts w:hint="eastAsia" w:ascii="仿宋_GB2312" w:hAnsi="仿宋_GB2312" w:eastAsia="仿宋_GB2312" w:cs="仿宋_GB2312"/>
          <w:bCs/>
          <w:color w:val="auto"/>
          <w:sz w:val="28"/>
          <w:szCs w:val="28"/>
        </w:rPr>
        <w:t>2018年11月2日，工业和信息化部办公厅印发2018年第四批行业标准制修订计划（工信厅科 [2018] 73号），会泽矿业主导的《铅锌采选业绿色工厂评价要求》行业标准正式立项，计划号：2018-2010T-YS，并被列为节能与综合利用重点实施项目，完成期限：2020年。</w:t>
      </w:r>
      <w:r>
        <w:rPr>
          <w:rFonts w:hint="eastAsia" w:ascii="仿宋_GB2312" w:hAnsi="仿宋_GB2312" w:eastAsia="仿宋_GB2312" w:cs="仿宋_GB2312"/>
          <w:bCs/>
          <w:color w:val="auto"/>
          <w:sz w:val="28"/>
          <w:szCs w:val="28"/>
          <w:lang w:eastAsia="zh-CN"/>
        </w:rPr>
        <w:t>项目由</w:t>
      </w:r>
      <w:r>
        <w:rPr>
          <w:rFonts w:hint="eastAsia" w:ascii="仿宋_GB2312" w:hAnsi="仿宋_GB2312" w:eastAsia="仿宋_GB2312" w:cs="仿宋_GB2312"/>
          <w:bCs/>
          <w:color w:val="auto"/>
          <w:sz w:val="28"/>
          <w:szCs w:val="28"/>
        </w:rPr>
        <w:t>云南驰宏锌锗股份有限公司</w:t>
      </w:r>
      <w:r>
        <w:rPr>
          <w:rFonts w:hint="eastAsia" w:ascii="仿宋_GB2312" w:hAnsi="仿宋_GB2312" w:eastAsia="仿宋_GB2312" w:cs="仿宋_GB2312"/>
          <w:bCs/>
          <w:color w:val="auto"/>
          <w:sz w:val="28"/>
          <w:szCs w:val="28"/>
          <w:lang w:eastAsia="zh-CN"/>
        </w:rPr>
        <w:t>主导负责</w:t>
      </w:r>
      <w:r>
        <w:rPr>
          <w:rFonts w:hint="eastAsia" w:ascii="Times New Roman" w:hAnsi="Times New Roman" w:eastAsia="仿宋_GB2312" w:cs="Times New Roman"/>
          <w:color w:val="auto"/>
          <w:sz w:val="28"/>
          <w:szCs w:val="28"/>
        </w:rPr>
        <w:t>编制工作。</w:t>
      </w:r>
    </w:p>
    <w:p>
      <w:pPr>
        <w:pStyle w:val="3"/>
        <w:pageBreakBefore w:val="0"/>
        <w:numPr>
          <w:ilvl w:val="0"/>
          <w:numId w:val="5"/>
        </w:numPr>
        <w:kinsoku/>
        <w:wordWrap/>
        <w:overflowPunct/>
        <w:topLinePunct w:val="0"/>
        <w:bidi w:val="0"/>
        <w:adjustRightInd/>
        <w:snapToGrid/>
        <w:spacing w:before="0" w:after="0" w:line="400" w:lineRule="exact"/>
        <w:ind w:left="0" w:leftChars="0" w:firstLine="0" w:firstLineChars="0"/>
        <w:rPr>
          <w:rFonts w:hint="eastAsia"/>
          <w:color w:val="auto"/>
          <w:sz w:val="28"/>
          <w:szCs w:val="28"/>
          <w:highlight w:val="none"/>
        </w:rPr>
      </w:pPr>
      <w:r>
        <w:rPr>
          <w:rFonts w:hint="eastAsia"/>
          <w:color w:val="auto"/>
          <w:sz w:val="28"/>
          <w:szCs w:val="28"/>
          <w:highlight w:val="none"/>
        </w:rPr>
        <w:t>标准项目编制</w:t>
      </w:r>
      <w:r>
        <w:rPr>
          <w:rFonts w:hint="eastAsia"/>
          <w:color w:val="auto"/>
          <w:sz w:val="28"/>
          <w:szCs w:val="28"/>
          <w:highlight w:val="none"/>
          <w:lang w:eastAsia="zh-CN"/>
        </w:rPr>
        <w:t>主导</w:t>
      </w:r>
      <w:r>
        <w:rPr>
          <w:rFonts w:hint="eastAsia"/>
          <w:color w:val="auto"/>
          <w:sz w:val="28"/>
          <w:szCs w:val="28"/>
          <w:highlight w:val="none"/>
        </w:rPr>
        <w:t>单位、起草人及其所作工作</w:t>
      </w:r>
    </w:p>
    <w:p>
      <w:pPr>
        <w:pageBreakBefore w:val="0"/>
        <w:kinsoku/>
        <w:wordWrap/>
        <w:overflowPunct/>
        <w:topLinePunct w:val="0"/>
        <w:bidi w:val="0"/>
        <w:adjustRightInd/>
        <w:snapToGrid/>
        <w:spacing w:line="400" w:lineRule="exact"/>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云南驰宏锌锗股份有限公司由云南冶金集团股份有限公司控股38.49%，成立于2000年7月，现有员工10014人，是一户以铅锌产业为主，集地质勘探、采矿、选矿、冶金、化工、深加工、贸易和科研为一体的国有控股A股上市公司。云南驰宏锌锗股份有限公司先后荣获国家绿色矿山试点单位、全国绿化模范单位、国家“资源节约型、环境友好型”试点企业、全国首批循环经济试点单位、全国循环经济工作先进单位、全国首批资源综合利用先进企业、全国创新型试点企业、国家科技攻关授奖成果单位、第四批全国知识产权试点企业、全国设备管理优秀单位、国家优质工程奖、全国企业文化优秀成果奖等数百项荣誉。云南驰宏锌锗股份有限公司会泽矿业分公司作为国家第二批绿色矿山试点企业，于2012年正式获批建设，2015年完成验收，正式通过认证。在绿色矿山建设过程中着成熟的经验及先进的应用技术，发展出选矿废水的全流程回用及膏体充填应用技术，实现地表选矿废水及固体废渣的零排放，在云南省内申报了《铅锌矿选矿废水处理与回用规范》、《有色金属矿山膏体充填规范》等地方标准，在铅锌金属矿山行业内树立了标杆。同时膏体充填采矿技术的应用使得井下矿产资源的综合利用率得到极大的提升，矿山数字化信息化监控系统初见成效，这些都对铅锌矿山行业内开展绿色矿山建设起到了极佳的示范作用。</w:t>
      </w:r>
    </w:p>
    <w:p>
      <w:pPr>
        <w:pStyle w:val="3"/>
        <w:pageBreakBefore w:val="0"/>
        <w:numPr>
          <w:ilvl w:val="0"/>
          <w:numId w:val="5"/>
        </w:numPr>
        <w:kinsoku/>
        <w:wordWrap/>
        <w:overflowPunct/>
        <w:topLinePunct w:val="0"/>
        <w:bidi w:val="0"/>
        <w:adjustRightInd/>
        <w:snapToGrid/>
        <w:spacing w:before="0" w:after="0" w:line="400" w:lineRule="exact"/>
        <w:ind w:left="0" w:leftChars="0" w:firstLine="0" w:firstLineChars="0"/>
        <w:rPr>
          <w:rFonts w:hint="eastAsia"/>
          <w:color w:val="auto"/>
          <w:sz w:val="28"/>
          <w:szCs w:val="28"/>
          <w:highlight w:val="none"/>
        </w:rPr>
      </w:pPr>
      <w:r>
        <w:rPr>
          <w:rFonts w:hint="eastAsia"/>
          <w:color w:val="auto"/>
          <w:sz w:val="28"/>
          <w:szCs w:val="28"/>
          <w:highlight w:val="none"/>
        </w:rPr>
        <w:t>主要工作过程</w:t>
      </w:r>
    </w:p>
    <w:p>
      <w:pPr>
        <w:pStyle w:val="4"/>
        <w:pageBreakBefore w:val="0"/>
        <w:numPr>
          <w:ilvl w:val="0"/>
          <w:numId w:val="8"/>
        </w:numPr>
        <w:kinsoku/>
        <w:wordWrap/>
        <w:overflowPunct/>
        <w:topLinePunct w:val="0"/>
        <w:bidi w:val="0"/>
        <w:adjustRightInd/>
        <w:snapToGrid/>
        <w:spacing w:before="0" w:after="0" w:line="400" w:lineRule="exact"/>
        <w:ind w:left="425" w:leftChars="0" w:hanging="425" w:firstLineChars="0"/>
        <w:outlineLvl w:val="1"/>
        <w:rPr>
          <w:rFonts w:hint="eastAsia"/>
          <w:color w:val="auto"/>
          <w:sz w:val="28"/>
          <w:szCs w:val="28"/>
          <w:highlight w:val="none"/>
        </w:rPr>
      </w:pPr>
      <w:r>
        <w:rPr>
          <w:rFonts w:hint="eastAsia"/>
          <w:color w:val="auto"/>
          <w:sz w:val="28"/>
          <w:szCs w:val="28"/>
          <w:highlight w:val="none"/>
          <w:lang w:eastAsia="zh-CN"/>
        </w:rPr>
        <w:t>标准项目立项</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2018年4月</w:t>
      </w:r>
      <w:r>
        <w:rPr>
          <w:rFonts w:hint="eastAsia" w:ascii="Times New Roman" w:hAnsi="Times New Roman" w:eastAsia="仿宋_GB2312" w:cs="Times New Roman"/>
          <w:color w:val="auto"/>
          <w:sz w:val="28"/>
          <w:szCs w:val="28"/>
        </w:rPr>
        <w:t>云南驰宏锌锗股份有限公司</w:t>
      </w:r>
      <w:r>
        <w:rPr>
          <w:rFonts w:hint="eastAsia" w:ascii="Times New Roman" w:hAnsi="Times New Roman" w:eastAsia="仿宋_GB2312" w:cs="Times New Roman"/>
          <w:color w:val="auto"/>
          <w:sz w:val="28"/>
          <w:szCs w:val="28"/>
          <w:lang w:eastAsia="zh-CN"/>
        </w:rPr>
        <w:t>组织开展</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绿色矿山评价规范</w:t>
      </w:r>
      <w:r>
        <w:rPr>
          <w:rFonts w:hint="eastAsia" w:ascii="Times New Roman" w:hAnsi="Times New Roman" w:eastAsia="仿宋_GB2312" w:cs="Times New Roman"/>
          <w:color w:val="auto"/>
          <w:sz w:val="28"/>
          <w:szCs w:val="28"/>
          <w:lang w:val="en-US" w:eastAsia="zh-CN"/>
        </w:rPr>
        <w:t xml:space="preserve"> 铅锌矿山》</w:t>
      </w:r>
      <w:r>
        <w:rPr>
          <w:rFonts w:hint="eastAsia" w:ascii="Times New Roman" w:hAnsi="Times New Roman" w:eastAsia="仿宋_GB2312" w:cs="Times New Roman"/>
          <w:color w:val="auto"/>
          <w:sz w:val="28"/>
          <w:szCs w:val="28"/>
          <w:lang w:eastAsia="zh-CN"/>
        </w:rPr>
        <w:t>立项申报工作。</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lang w:eastAsia="zh-CN"/>
        </w:rPr>
      </w:pPr>
      <w:r>
        <w:rPr>
          <w:rFonts w:hint="eastAsia" w:ascii="Times New Roman" w:hAnsi="Times New Roman" w:eastAsia="仿宋_GB2312" w:cs="Times New Roman"/>
          <w:color w:val="auto"/>
          <w:sz w:val="28"/>
          <w:szCs w:val="28"/>
          <w:lang w:val="en-US" w:eastAsia="zh-CN"/>
        </w:rPr>
        <w:t>2018年11月</w:t>
      </w:r>
      <w:r>
        <w:rPr>
          <w:rFonts w:hint="eastAsia" w:ascii="Times New Roman" w:hAnsi="Times New Roman" w:eastAsia="仿宋_GB2312" w:cs="Times New Roman"/>
          <w:color w:val="auto"/>
          <w:sz w:val="28"/>
          <w:szCs w:val="28"/>
        </w:rPr>
        <w:t>《工业和信息化部办公厅关于印发2018年第四批行业标准制修订计划的通知》（工信厅科〔2018〕 73号）</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绿色矿山评价规范</w:t>
      </w:r>
      <w:r>
        <w:rPr>
          <w:rFonts w:hint="eastAsia" w:ascii="Times New Roman" w:hAnsi="Times New Roman" w:eastAsia="仿宋_GB2312" w:cs="Times New Roman"/>
          <w:color w:val="auto"/>
          <w:sz w:val="28"/>
          <w:szCs w:val="28"/>
          <w:lang w:val="en-US" w:eastAsia="zh-CN"/>
        </w:rPr>
        <w:t xml:space="preserve"> 铅锌矿山》正式立项，由</w:t>
      </w:r>
      <w:r>
        <w:rPr>
          <w:rFonts w:hint="eastAsia" w:ascii="仿宋_GB2312" w:hAnsi="仿宋_GB2312" w:eastAsia="仿宋_GB2312" w:cs="仿宋_GB2312"/>
          <w:bCs/>
          <w:color w:val="auto"/>
          <w:sz w:val="28"/>
          <w:szCs w:val="28"/>
        </w:rPr>
        <w:t>云南驰宏锌锗股份有限公司</w:t>
      </w:r>
      <w:r>
        <w:rPr>
          <w:rFonts w:hint="eastAsia" w:ascii="仿宋_GB2312" w:hAnsi="仿宋_GB2312" w:eastAsia="仿宋_GB2312" w:cs="仿宋_GB2312"/>
          <w:bCs/>
          <w:color w:val="auto"/>
          <w:sz w:val="28"/>
          <w:szCs w:val="28"/>
          <w:lang w:eastAsia="zh-CN"/>
        </w:rPr>
        <w:t>主导编制。</w:t>
      </w:r>
    </w:p>
    <w:p>
      <w:pPr>
        <w:pStyle w:val="4"/>
        <w:pageBreakBefore w:val="0"/>
        <w:numPr>
          <w:ilvl w:val="0"/>
          <w:numId w:val="8"/>
        </w:numPr>
        <w:kinsoku/>
        <w:wordWrap/>
        <w:overflowPunct/>
        <w:topLinePunct w:val="0"/>
        <w:bidi w:val="0"/>
        <w:adjustRightInd/>
        <w:snapToGrid/>
        <w:spacing w:before="0" w:after="0" w:line="400" w:lineRule="exact"/>
        <w:ind w:left="425" w:leftChars="0" w:hanging="425" w:firstLineChars="0"/>
        <w:outlineLvl w:val="1"/>
        <w:rPr>
          <w:rFonts w:hint="eastAsia"/>
          <w:color w:val="auto"/>
          <w:sz w:val="28"/>
          <w:szCs w:val="28"/>
          <w:highlight w:val="none"/>
          <w:lang w:eastAsia="zh-CN"/>
        </w:rPr>
      </w:pPr>
      <w:r>
        <w:rPr>
          <w:rFonts w:hint="eastAsia"/>
          <w:color w:val="auto"/>
          <w:sz w:val="28"/>
          <w:szCs w:val="28"/>
          <w:highlight w:val="none"/>
          <w:lang w:eastAsia="zh-CN"/>
        </w:rPr>
        <w:t>初稿编制</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仿宋_GB2312" w:hAnsi="仿宋_GB2312" w:eastAsia="仿宋_GB2312" w:cs="仿宋_GB2312"/>
          <w:bCs/>
          <w:color w:val="auto"/>
          <w:sz w:val="28"/>
          <w:szCs w:val="28"/>
          <w:lang w:val="en-US" w:eastAsia="zh-CN"/>
        </w:rPr>
        <w:t>根据有色标委会要求，2019年3月，完成</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绿色矿山评价规范</w:t>
      </w:r>
      <w:r>
        <w:rPr>
          <w:rFonts w:hint="eastAsia" w:ascii="Times New Roman" w:hAnsi="Times New Roman" w:eastAsia="仿宋_GB2312" w:cs="Times New Roman"/>
          <w:color w:val="auto"/>
          <w:sz w:val="28"/>
          <w:szCs w:val="28"/>
          <w:lang w:val="en-US" w:eastAsia="zh-CN"/>
        </w:rPr>
        <w:t xml:space="preserve"> 铅锌矿山》初稿编制工作。</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2019年</w:t>
      </w:r>
      <w:r>
        <w:rPr>
          <w:rFonts w:hint="eastAsia" w:ascii="Times New Roman" w:hAnsi="Times New Roman" w:eastAsia="仿宋_GB2312" w:cs="Times New Roman"/>
          <w:color w:val="auto"/>
          <w:sz w:val="28"/>
          <w:szCs w:val="28"/>
          <w:lang w:val="en-US" w:eastAsia="zh-CN"/>
        </w:rPr>
        <w:t>3月份株洲会议上，对此标准项目进行了任务落实，同时根据</w:t>
      </w:r>
      <w:r>
        <w:rPr>
          <w:rFonts w:hint="eastAsia" w:ascii="仿宋_GB2312" w:hAnsi="仿宋_GB2312" w:eastAsia="仿宋_GB2312" w:cs="仿宋_GB2312"/>
          <w:bCs/>
          <w:color w:val="auto"/>
          <w:sz w:val="28"/>
          <w:szCs w:val="28"/>
          <w:lang w:val="en-US" w:eastAsia="zh-CN"/>
        </w:rPr>
        <w:t>有色标委会安排，标准项目更名为</w:t>
      </w:r>
      <w:r>
        <w:rPr>
          <w:rFonts w:hint="eastAsia" w:ascii="仿宋_GB2312" w:hAnsi="仿宋_GB2312" w:eastAsia="仿宋_GB2312" w:cs="仿宋_GB2312"/>
          <w:bCs/>
          <w:color w:val="auto"/>
          <w:sz w:val="28"/>
          <w:szCs w:val="28"/>
        </w:rPr>
        <w:t>《铅锌采选业绿色工厂评价要求》</w:t>
      </w:r>
      <w:r>
        <w:rPr>
          <w:rFonts w:hint="eastAsia" w:ascii="仿宋_GB2312" w:hAnsi="仿宋_GB2312" w:eastAsia="仿宋_GB2312" w:cs="仿宋_GB2312"/>
          <w:bCs/>
          <w:color w:val="auto"/>
          <w:sz w:val="28"/>
          <w:szCs w:val="28"/>
          <w:lang w:eastAsia="zh-CN"/>
        </w:rPr>
        <w:t>，并确定</w:t>
      </w:r>
      <w:r>
        <w:rPr>
          <w:rFonts w:hint="eastAsia" w:ascii="仿宋_GB2312" w:hAnsi="仿宋_GB2312" w:eastAsia="仿宋_GB2312" w:cs="仿宋_GB2312"/>
          <w:b w:val="0"/>
          <w:bCs w:val="0"/>
          <w:color w:val="auto"/>
          <w:sz w:val="28"/>
          <w:szCs w:val="28"/>
          <w:highlight w:val="none"/>
          <w:lang w:val="en-US" w:eastAsia="zh-CN"/>
        </w:rPr>
        <w:t>北京矿业科技集团公司、深圳市中金岭南有色金属股份有限公司、西部矿业股份有限公司、白银有色集团公司、中国恩菲工程技术有限公司</w:t>
      </w:r>
      <w:r>
        <w:rPr>
          <w:rFonts w:hint="eastAsia" w:ascii="Times New Roman" w:hAnsi="Times New Roman" w:eastAsia="仿宋_GB2312" w:cs="Times New Roman"/>
          <w:b w:val="0"/>
          <w:bCs w:val="0"/>
          <w:color w:val="auto"/>
          <w:sz w:val="28"/>
          <w:szCs w:val="28"/>
          <w:highlight w:val="none"/>
        </w:rPr>
        <w:t>共同</w:t>
      </w:r>
      <w:r>
        <w:rPr>
          <w:rFonts w:hint="eastAsia" w:ascii="Times New Roman" w:hAnsi="Times New Roman" w:eastAsia="仿宋_GB2312" w:cs="Times New Roman"/>
          <w:b w:val="0"/>
          <w:bCs w:val="0"/>
          <w:color w:val="auto"/>
          <w:sz w:val="28"/>
          <w:szCs w:val="28"/>
          <w:highlight w:val="none"/>
          <w:lang w:eastAsia="zh-CN"/>
        </w:rPr>
        <w:t>参与</w:t>
      </w:r>
      <w:r>
        <w:rPr>
          <w:rFonts w:hint="eastAsia" w:ascii="仿宋_GB2312" w:hAnsi="仿宋_GB2312" w:eastAsia="仿宋_GB2312" w:cs="仿宋_GB2312"/>
          <w:bCs/>
          <w:color w:val="auto"/>
          <w:sz w:val="28"/>
          <w:szCs w:val="28"/>
          <w:lang w:eastAsia="zh-CN"/>
        </w:rPr>
        <w:t>。</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rPr>
        <w:t>云南驰宏锌锗股份有限公司</w:t>
      </w:r>
      <w:r>
        <w:rPr>
          <w:rFonts w:hint="eastAsia" w:ascii="仿宋_GB2312" w:hAnsi="仿宋_GB2312" w:eastAsia="仿宋_GB2312" w:cs="仿宋_GB2312"/>
          <w:bCs/>
          <w:color w:val="auto"/>
          <w:sz w:val="28"/>
          <w:szCs w:val="28"/>
          <w:lang w:eastAsia="zh-CN"/>
        </w:rPr>
        <w:t>根据</w:t>
      </w:r>
      <w:r>
        <w:rPr>
          <w:rFonts w:hint="eastAsia" w:ascii="仿宋_GB2312" w:hAnsi="仿宋_GB2312" w:eastAsia="仿宋_GB2312" w:cs="仿宋_GB2312"/>
          <w:bCs/>
          <w:color w:val="auto"/>
          <w:sz w:val="28"/>
          <w:szCs w:val="28"/>
          <w:lang w:val="en-US" w:eastAsia="zh-CN"/>
        </w:rPr>
        <w:t>有色标委会计划，与5月份完成</w:t>
      </w:r>
      <w:r>
        <w:rPr>
          <w:rFonts w:hint="eastAsia" w:ascii="仿宋_GB2312" w:hAnsi="仿宋_GB2312" w:eastAsia="仿宋_GB2312" w:cs="仿宋_GB2312"/>
          <w:bCs/>
          <w:color w:val="auto"/>
          <w:sz w:val="28"/>
          <w:szCs w:val="28"/>
        </w:rPr>
        <w:t>《铅锌采选业绿色工厂评价要求》</w:t>
      </w:r>
      <w:r>
        <w:rPr>
          <w:rFonts w:hint="eastAsia" w:ascii="仿宋_GB2312" w:hAnsi="仿宋_GB2312" w:eastAsia="仿宋_GB2312" w:cs="仿宋_GB2312"/>
          <w:bCs/>
          <w:color w:val="auto"/>
          <w:sz w:val="28"/>
          <w:szCs w:val="28"/>
          <w:lang w:eastAsia="zh-CN"/>
        </w:rPr>
        <w:t>初稿的重新编制工作。</w:t>
      </w:r>
    </w:p>
    <w:p>
      <w:pPr>
        <w:pStyle w:val="4"/>
        <w:pageBreakBefore w:val="0"/>
        <w:numPr>
          <w:ilvl w:val="0"/>
          <w:numId w:val="8"/>
        </w:numPr>
        <w:kinsoku/>
        <w:wordWrap/>
        <w:overflowPunct/>
        <w:topLinePunct w:val="0"/>
        <w:bidi w:val="0"/>
        <w:adjustRightInd/>
        <w:snapToGrid/>
        <w:spacing w:before="0" w:after="0" w:line="400" w:lineRule="exact"/>
        <w:ind w:left="425" w:leftChars="0" w:hanging="425" w:firstLineChars="0"/>
        <w:outlineLvl w:val="1"/>
        <w:rPr>
          <w:rFonts w:hint="eastAsia"/>
          <w:color w:val="auto"/>
          <w:sz w:val="28"/>
          <w:szCs w:val="28"/>
          <w:highlight w:val="none"/>
          <w:lang w:eastAsia="zh-CN"/>
        </w:rPr>
      </w:pPr>
      <w:r>
        <w:rPr>
          <w:rFonts w:hint="eastAsia"/>
          <w:color w:val="auto"/>
          <w:sz w:val="28"/>
          <w:szCs w:val="28"/>
          <w:highlight w:val="none"/>
          <w:lang w:eastAsia="zh-CN"/>
        </w:rPr>
        <w:t>标准项目调研</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Cs/>
          <w:color w:val="auto"/>
          <w:sz w:val="28"/>
          <w:szCs w:val="28"/>
          <w:lang w:val="en-US" w:eastAsia="zh-CN"/>
        </w:rPr>
        <w:t>2019年6月份，根据有色标秘[2019]54号文件安排，由</w:t>
      </w:r>
      <w:r>
        <w:rPr>
          <w:rFonts w:hint="eastAsia" w:ascii="仿宋_GB2312" w:hAnsi="仿宋_GB2312" w:eastAsia="仿宋_GB2312" w:cs="仿宋_GB2312"/>
          <w:bCs/>
          <w:color w:val="auto"/>
          <w:sz w:val="28"/>
          <w:szCs w:val="28"/>
        </w:rPr>
        <w:t>云南驰宏锌锗股份有限公司</w:t>
      </w:r>
      <w:r>
        <w:rPr>
          <w:rFonts w:hint="eastAsia" w:ascii="仿宋_GB2312" w:hAnsi="仿宋_GB2312" w:eastAsia="仿宋_GB2312" w:cs="仿宋_GB2312"/>
          <w:bCs/>
          <w:color w:val="auto"/>
          <w:sz w:val="28"/>
          <w:szCs w:val="28"/>
          <w:lang w:eastAsia="zh-CN"/>
        </w:rPr>
        <w:t>牵头，</w:t>
      </w:r>
      <w:r>
        <w:rPr>
          <w:rFonts w:hint="eastAsia" w:ascii="仿宋_GB2312" w:hAnsi="仿宋_GB2312" w:eastAsia="仿宋_GB2312" w:cs="仿宋_GB2312"/>
          <w:b w:val="0"/>
          <w:bCs w:val="0"/>
          <w:color w:val="auto"/>
          <w:sz w:val="28"/>
          <w:szCs w:val="28"/>
          <w:highlight w:val="none"/>
          <w:lang w:val="en-US" w:eastAsia="zh-CN"/>
        </w:rPr>
        <w:t>北京矿业科技集团公司、深圳市中金岭南有色金属股份有限公司、西部矿业股份有限公司、白银有色集团公司参与开展调研工作，收集各企业对于标准项目的相关资料及对标准初稿的意见。</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2019年7月初，完成《初稿》的修改完善，形成《预审稿》。</w:t>
      </w:r>
    </w:p>
    <w:p>
      <w:pPr>
        <w:pStyle w:val="3"/>
        <w:pageBreakBefore w:val="0"/>
        <w:numPr>
          <w:ilvl w:val="0"/>
          <w:numId w:val="4"/>
        </w:numPr>
        <w:kinsoku/>
        <w:wordWrap/>
        <w:overflowPunct/>
        <w:topLinePunct w:val="0"/>
        <w:bidi w:val="0"/>
        <w:adjustRightInd/>
        <w:snapToGrid/>
        <w:spacing w:before="0" w:after="0" w:line="400" w:lineRule="exact"/>
        <w:ind w:left="0" w:leftChars="0" w:firstLine="0" w:firstLineChars="0"/>
        <w:jc w:val="both"/>
        <w:rPr>
          <w:rFonts w:ascii="Times New Roman" w:hAnsi="Times New Roman" w:eastAsia="仿宋_GB2312" w:cs="Times New Roman"/>
          <w:color w:val="auto"/>
          <w:sz w:val="28"/>
          <w:szCs w:val="28"/>
        </w:rPr>
      </w:pPr>
      <w:r>
        <w:rPr>
          <w:rFonts w:hint="eastAsia" w:ascii="黑体" w:hAnsi="黑体" w:eastAsia="黑体" w:cs="Times New Roman"/>
          <w:color w:val="auto"/>
          <w:sz w:val="28"/>
          <w:szCs w:val="28"/>
          <w:lang w:eastAsia="zh-CN"/>
        </w:rPr>
        <w:t>标准编制原则及标准主要内容的确定</w:t>
      </w:r>
    </w:p>
    <w:p>
      <w:pPr>
        <w:pStyle w:val="3"/>
        <w:pageBreakBefore w:val="0"/>
        <w:numPr>
          <w:ilvl w:val="0"/>
          <w:numId w:val="9"/>
        </w:numPr>
        <w:kinsoku/>
        <w:wordWrap/>
        <w:overflowPunct/>
        <w:topLinePunct w:val="0"/>
        <w:bidi w:val="0"/>
        <w:adjustRightInd/>
        <w:snapToGrid/>
        <w:spacing w:before="0" w:after="0" w:line="400" w:lineRule="exact"/>
        <w:ind w:left="0" w:leftChars="0" w:firstLine="0" w:firstLineChars="0"/>
        <w:rPr>
          <w:rFonts w:hint="eastAsia"/>
          <w:color w:val="auto"/>
          <w:sz w:val="28"/>
          <w:szCs w:val="28"/>
          <w:highlight w:val="none"/>
        </w:rPr>
      </w:pPr>
      <w:r>
        <w:rPr>
          <w:rFonts w:hint="eastAsia"/>
          <w:color w:val="auto"/>
          <w:sz w:val="28"/>
          <w:szCs w:val="28"/>
          <w:highlight w:val="none"/>
        </w:rPr>
        <w:t>标准编制原则</w:t>
      </w:r>
    </w:p>
    <w:p>
      <w:pPr>
        <w:pageBreakBefore w:val="0"/>
        <w:kinsoku/>
        <w:wordWrap/>
        <w:overflowPunct/>
        <w:topLinePunct w:val="0"/>
        <w:bidi w:val="0"/>
        <w:adjustRightInd/>
        <w:snapToGrid/>
        <w:spacing w:line="400" w:lineRule="exact"/>
        <w:ind w:firstLine="560" w:firstLineChars="200"/>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本标准严格遵照国家标准</w:t>
      </w:r>
      <w:r>
        <w:rPr>
          <w:rFonts w:hint="eastAsia" w:ascii="仿宋_GB2312" w:hAnsi="仿宋_GB2312" w:eastAsia="仿宋_GB2312" w:cs="仿宋_GB2312"/>
          <w:bCs/>
          <w:color w:val="auto"/>
          <w:sz w:val="28"/>
          <w:szCs w:val="28"/>
          <w:lang w:val="en-US" w:eastAsia="zh-CN"/>
        </w:rPr>
        <w:t>GB/T 36132《绿色工厂评价通则》的条款要求，充分考虑铅锌采选业特点及各生产企业及相关方的意见和建议，进行部分条款的取舍及部分条款的细化，确保标准可操作，可执行。</w:t>
      </w:r>
    </w:p>
    <w:p>
      <w:pPr>
        <w:pStyle w:val="3"/>
        <w:pageBreakBefore w:val="0"/>
        <w:numPr>
          <w:ilvl w:val="0"/>
          <w:numId w:val="9"/>
        </w:numPr>
        <w:kinsoku/>
        <w:wordWrap/>
        <w:overflowPunct/>
        <w:topLinePunct w:val="0"/>
        <w:bidi w:val="0"/>
        <w:adjustRightInd/>
        <w:snapToGrid/>
        <w:spacing w:before="0" w:after="0" w:line="400" w:lineRule="exact"/>
        <w:ind w:left="0" w:leftChars="0" w:firstLine="0" w:firstLineChars="0"/>
        <w:rPr>
          <w:rFonts w:hint="eastAsia"/>
          <w:color w:val="auto"/>
          <w:sz w:val="28"/>
          <w:szCs w:val="28"/>
          <w:highlight w:val="none"/>
        </w:rPr>
      </w:pPr>
      <w:r>
        <w:rPr>
          <w:rFonts w:hint="eastAsia"/>
          <w:color w:val="auto"/>
          <w:sz w:val="28"/>
          <w:szCs w:val="28"/>
          <w:highlight w:val="none"/>
        </w:rPr>
        <w:t>标准主要内容的确定依据</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范围</w:t>
      </w:r>
    </w:p>
    <w:p>
      <w:pPr>
        <w:pageBreakBefore w:val="0"/>
        <w:kinsoku/>
        <w:wordWrap/>
        <w:overflowPunct/>
        <w:topLinePunct w:val="0"/>
        <w:bidi w:val="0"/>
        <w:adjustRightInd/>
        <w:snapToGrid/>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本标准规定了铅锌采选业绿色工厂建设完成后的评价要求。</w:t>
      </w:r>
    </w:p>
    <w:p>
      <w:pPr>
        <w:pageBreakBefore w:val="0"/>
        <w:kinsoku/>
        <w:wordWrap/>
        <w:overflowPunct/>
        <w:topLinePunct w:val="0"/>
        <w:bidi w:val="0"/>
        <w:adjustRightInd/>
        <w:snapToGrid/>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本标准适用于铅锌采选业绿色工厂建设验收评价过程。</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规范性引用文件</w:t>
      </w:r>
    </w:p>
    <w:p>
      <w:pPr>
        <w:pageBreakBefore w:val="0"/>
        <w:kinsoku/>
        <w:wordWrap/>
        <w:overflowPunct/>
        <w:topLinePunct w:val="0"/>
        <w:bidi w:val="0"/>
        <w:adjustRightInd/>
        <w:snapToGrid/>
        <w:spacing w:line="4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根据标准文本中对各条款评价要求及具体指标参数来源，作为标准的引用文件，主要引用文件明细如下：</w:t>
      </w:r>
    </w:p>
    <w:p>
      <w:pPr>
        <w:pageBreakBefore w:val="0"/>
        <w:kinsoku/>
        <w:wordWrap/>
        <w:overflowPunct/>
        <w:topLinePunct w:val="0"/>
        <w:bidi w:val="0"/>
        <w:adjustRightInd/>
        <w:snapToGrid/>
        <w:spacing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GBZ 2.1 工作场所有害因素职业接触限值 第1部分：化学有害因素</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GBZ</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2.2</w:t>
      </w:r>
      <w:r>
        <w:rPr>
          <w:rFonts w:hint="eastAsia" w:ascii="Times New Roman" w:hAnsi="Times New Roman" w:eastAsia="仿宋_GB2312" w:cs="Times New Roman"/>
          <w:color w:val="auto"/>
          <w:sz w:val="28"/>
          <w:szCs w:val="28"/>
          <w:lang w:val="en-US" w:eastAsia="zh-CN"/>
        </w:rPr>
        <w:t xml:space="preserve"> 工业企</w:t>
      </w:r>
      <w:r>
        <w:rPr>
          <w:rFonts w:hint="eastAsia" w:ascii="Times New Roman" w:hAnsi="Times New Roman" w:eastAsia="仿宋_GB2312" w:cs="Times New Roman"/>
          <w:color w:val="auto"/>
          <w:sz w:val="28"/>
          <w:szCs w:val="28"/>
          <w:lang w:eastAsia="zh-CN"/>
        </w:rPr>
        <w:t>业厂界环境噪声排放标准</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DZ/T 0320 有色金属行业绿色矿山建设规范</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AQ 2005 </w:t>
      </w:r>
      <w:r>
        <w:rPr>
          <w:rFonts w:hint="default" w:ascii="Times New Roman" w:hAnsi="Times New Roman" w:eastAsia="仿宋_GB2312" w:cs="Times New Roman"/>
          <w:color w:val="auto"/>
          <w:sz w:val="28"/>
          <w:szCs w:val="28"/>
          <w:lang w:val="en-US" w:eastAsia="zh-CN"/>
        </w:rPr>
        <w:t>金属非金属矿山排土场安全生产规则</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GB/T 7119 节水型企业评价导</w:t>
      </w:r>
      <w:r>
        <w:rPr>
          <w:rFonts w:hint="eastAsia" w:ascii="Times New Roman" w:hAnsi="Times New Roman" w:eastAsia="仿宋_GB2312" w:cs="Times New Roman"/>
          <w:color w:val="auto"/>
          <w:sz w:val="28"/>
          <w:szCs w:val="28"/>
          <w:lang w:eastAsia="zh-CN"/>
        </w:rPr>
        <w:t>则</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GB 12348 工业企</w:t>
      </w:r>
      <w:r>
        <w:rPr>
          <w:rFonts w:hint="eastAsia" w:ascii="Times New Roman" w:hAnsi="Times New Roman" w:eastAsia="仿宋_GB2312" w:cs="Times New Roman"/>
          <w:color w:val="auto"/>
          <w:sz w:val="28"/>
          <w:szCs w:val="28"/>
          <w:lang w:eastAsia="zh-CN"/>
        </w:rPr>
        <w:t>业厂界环境噪声排放标准</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GB/T 12497 </w:t>
      </w:r>
      <w:r>
        <w:rPr>
          <w:rFonts w:hint="eastAsia" w:ascii="Times New Roman" w:hAnsi="Times New Roman" w:eastAsia="仿宋_GB2312" w:cs="Times New Roman"/>
          <w:color w:val="auto"/>
          <w:sz w:val="28"/>
          <w:szCs w:val="28"/>
          <w:lang w:val="en-US" w:eastAsia="zh-CN"/>
        </w:rPr>
        <w:fldChar w:fldCharType="begin"/>
      </w:r>
      <w:r>
        <w:rPr>
          <w:rFonts w:hint="eastAsia" w:ascii="Times New Roman" w:hAnsi="Times New Roman" w:eastAsia="仿宋_GB2312" w:cs="Times New Roman"/>
          <w:color w:val="auto"/>
          <w:sz w:val="28"/>
          <w:szCs w:val="28"/>
          <w:lang w:val="en-US" w:eastAsia="zh-CN"/>
        </w:rPr>
        <w:instrText xml:space="preserve"> HYPERLINK "http://doc.mbalib.com/view/afd0f31c302f175c02eb4f0c007ecd39.html" \t "https://cn.bing.com/_blank" </w:instrText>
      </w:r>
      <w:r>
        <w:rPr>
          <w:rFonts w:hint="eastAsia" w:ascii="Times New Roman" w:hAnsi="Times New Roman" w:eastAsia="仿宋_GB2312" w:cs="Times New Roman"/>
          <w:color w:val="auto"/>
          <w:sz w:val="28"/>
          <w:szCs w:val="28"/>
          <w:lang w:val="en-US" w:eastAsia="zh-CN"/>
        </w:rPr>
        <w:fldChar w:fldCharType="separate"/>
      </w:r>
      <w:r>
        <w:rPr>
          <w:rFonts w:hint="eastAsia" w:ascii="Times New Roman" w:hAnsi="Times New Roman" w:eastAsia="仿宋_GB2312" w:cs="Times New Roman"/>
          <w:color w:val="auto"/>
          <w:sz w:val="28"/>
          <w:szCs w:val="28"/>
          <w:lang w:val="en-US" w:eastAsia="zh-CN"/>
        </w:rPr>
        <w:t>三相异步电动机经济运行</w:t>
      </w:r>
      <w:r>
        <w:rPr>
          <w:rFonts w:hint="eastAsia" w:ascii="Times New Roman" w:hAnsi="Times New Roman" w:eastAsia="仿宋_GB2312" w:cs="Times New Roman"/>
          <w:color w:val="auto"/>
          <w:sz w:val="28"/>
          <w:szCs w:val="28"/>
          <w:lang w:val="en-US" w:eastAsia="zh-CN"/>
        </w:rPr>
        <w:fldChar w:fldCharType="end"/>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GB/T 13462 电力变压器经济运行</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GB/T 13469 离心泵、混流泵、轴流泵与旋涡泵系统经济运行</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GB/T 13470 通风机系统经济运行</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17167 用能单位能源计量器具配备和管理通则</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18597 危险废物贮存污染控制标准</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GB 18598 危险废物填埋污染控制标准 </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18599 一般工业固体废物贮存、处置场污染控制指标</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18613 中小型三相异步电动机能效限定值及能效等级</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GB/T 19001 质量管理体系</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要求</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19153 容积式空气压缩机能效限定值及能效等级</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19761 通风机能效限定值及能效等级</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19762 清水离心泵能效限定值及节能评价值</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GB 20052 三相配电变压器能效限定值及能效等级 </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20424 重金属精矿产品中有害元素的限量规范</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20664 有色金属矿产品的天然放射性限值</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GB/T 23331 能源管理体系</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 xml:space="preserve">要求 </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GB/T 23178 旋流微泡浮选柱</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 xml:space="preserve">GB/T 24001 环境管理体系要求及使用指南 </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GB</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eastAsia="zh-CN"/>
        </w:rPr>
        <w:t>T</w:t>
      </w:r>
      <w:r>
        <w:rPr>
          <w:rFonts w:hint="eastAsia" w:ascii="Times New Roman" w:hAnsi="Times New Roman" w:eastAsia="仿宋_GB2312" w:cs="Times New Roman"/>
          <w:color w:val="auto"/>
          <w:sz w:val="28"/>
          <w:szCs w:val="28"/>
          <w:lang w:val="en-US" w:eastAsia="zh-CN"/>
        </w:rPr>
        <w:t xml:space="preserve"> 24256 产品</w:t>
      </w:r>
      <w:r>
        <w:rPr>
          <w:rFonts w:hint="eastAsia" w:ascii="Times New Roman" w:hAnsi="Times New Roman" w:eastAsia="仿宋_GB2312" w:cs="Times New Roman"/>
          <w:color w:val="auto"/>
          <w:sz w:val="28"/>
          <w:szCs w:val="28"/>
          <w:lang w:eastAsia="zh-CN"/>
        </w:rPr>
        <w:t>生态设计通则</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24789 用水单位水计量器具配备和管理通则</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GB 24790 电力变压器能效限定值及能效</w:t>
      </w:r>
      <w:r>
        <w:rPr>
          <w:rFonts w:hint="eastAsia" w:ascii="Times New Roman" w:hAnsi="Times New Roman" w:eastAsia="仿宋_GB2312" w:cs="Times New Roman"/>
          <w:color w:val="auto"/>
          <w:sz w:val="28"/>
          <w:szCs w:val="28"/>
          <w:lang w:eastAsia="zh-CN"/>
        </w:rPr>
        <w:t xml:space="preserve"> </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GB</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T 25703 溢流型球磨机 能耗指标</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 xml:space="preserve">GB/T 28001 职业健康安全管理体系要求 </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GB</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eastAsia="zh-CN"/>
        </w:rPr>
        <w:t>T</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32161</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生态设计产品评价通则</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GB/T 36132 绿色工厂评价通则</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50034 建筑照明设计标准</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GB/T 50087 工业企业噪声控制设计规范</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50187 工业企业总平面设计规范</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50421 有色金属矿山排土设计标准</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50595 有色金属矿山节能设计规范，</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GB</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eastAsia="zh-CN"/>
        </w:rPr>
        <w:t>T</w:t>
      </w:r>
      <w:r>
        <w:rPr>
          <w:rFonts w:hint="eastAsia" w:ascii="Times New Roman" w:hAnsi="Times New Roman" w:eastAsia="仿宋_GB2312" w:cs="Times New Roman"/>
          <w:color w:val="auto"/>
          <w:sz w:val="28"/>
          <w:szCs w:val="28"/>
          <w:lang w:val="en-US" w:eastAsia="zh-CN"/>
        </w:rPr>
        <w:t xml:space="preserve"> 50771 有色金属采矿设计规范</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 xml:space="preserve">GB 50782 有色金属选矿厂工艺设计规范 </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50863 尾矿库设施设计规范</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GB 50988 有色金属工业环境保护工程设计规范</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GB</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51108</w:t>
      </w:r>
      <w:r>
        <w:rPr>
          <w:rFonts w:hint="eastAsia" w:ascii="Times New Roman" w:hAnsi="Times New Roman" w:eastAsia="仿宋_GB2312" w:cs="Times New Roman"/>
          <w:color w:val="auto"/>
          <w:sz w:val="28"/>
          <w:szCs w:val="28"/>
          <w:lang w:val="en-US" w:eastAsia="zh-CN"/>
        </w:rPr>
        <w:t xml:space="preserve"> 尾矿库在线安全监测系统工程技术规范</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YS/T</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418</w:t>
      </w:r>
      <w:r>
        <w:rPr>
          <w:rFonts w:hint="eastAsia" w:ascii="Times New Roman" w:hAnsi="Times New Roman" w:eastAsia="仿宋_GB2312" w:cs="Times New Roman"/>
          <w:color w:val="auto"/>
          <w:sz w:val="28"/>
          <w:szCs w:val="28"/>
          <w:lang w:val="en-US" w:eastAsia="zh-CN"/>
        </w:rPr>
        <w:t xml:space="preserve"> 有色金属精矿产品包装、标志、运输和贮存</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YS/T 748 铅锌矿采、选能源消耗限额</w:t>
      </w:r>
    </w:p>
    <w:p>
      <w:pPr>
        <w:pageBreakBefore w:val="0"/>
        <w:kinsoku/>
        <w:wordWrap/>
        <w:overflowPunct/>
        <w:topLinePunct w:val="0"/>
        <w:bidi w:val="0"/>
        <w:adjustRightInd/>
        <w:snapToGrid/>
        <w:spacing w:line="4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JB/T 1655 矿用叶轮式浮选机</w:t>
      </w:r>
    </w:p>
    <w:p>
      <w:pPr>
        <w:pageBreakBefore w:val="0"/>
        <w:kinsoku/>
        <w:wordWrap/>
        <w:overflowPunct/>
        <w:topLinePunct w:val="0"/>
        <w:bidi w:val="0"/>
        <w:adjustRightInd/>
        <w:snapToGrid/>
        <w:spacing w:line="400" w:lineRule="exact"/>
        <w:ind w:firstLine="560"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JB/T 9038 充气搅拌式浮选机</w:t>
      </w:r>
      <w:r>
        <w:rPr>
          <w:rFonts w:hint="eastAsia" w:ascii="Times New Roman" w:hAnsi="Times New Roman" w:eastAsia="仿宋_GB2312" w:cs="Times New Roman"/>
          <w:color w:val="auto"/>
          <w:sz w:val="28"/>
          <w:szCs w:val="28"/>
          <w:lang w:eastAsia="zh-CN"/>
        </w:rPr>
        <w:t xml:space="preserve"> </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术语和定义</w:t>
      </w:r>
    </w:p>
    <w:p>
      <w:pPr>
        <w:pageBreakBefore w:val="0"/>
        <w:kinsoku/>
        <w:wordWrap/>
        <w:overflowPunct/>
        <w:topLinePunct w:val="0"/>
        <w:bidi w:val="0"/>
        <w:adjustRightInd/>
        <w:snapToGrid/>
        <w:spacing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本标准规定了铅锌采选业绿色工厂评价要求涉及到的有关术语及定义，给出了绿色工厂、</w:t>
      </w:r>
      <w:r>
        <w:rPr>
          <w:rFonts w:hint="eastAsia" w:ascii="仿宋" w:hAnsi="仿宋" w:eastAsia="仿宋" w:cs="仿宋"/>
          <w:color w:val="auto"/>
          <w:sz w:val="28"/>
          <w:szCs w:val="28"/>
          <w:lang w:eastAsia="zh-CN"/>
        </w:rPr>
        <w:t>铅锌采选业</w:t>
      </w:r>
      <w:r>
        <w:rPr>
          <w:rFonts w:hint="eastAsia" w:ascii="仿宋" w:hAnsi="仿宋" w:eastAsia="仿宋" w:cs="仿宋"/>
          <w:color w:val="auto"/>
          <w:sz w:val="28"/>
          <w:szCs w:val="28"/>
        </w:rPr>
        <w:t>，共</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个术语，并分别进</w:t>
      </w:r>
      <w:r>
        <w:rPr>
          <w:rFonts w:hint="eastAsia" w:ascii="仿宋" w:hAnsi="仿宋" w:eastAsia="仿宋" w:cs="仿宋"/>
          <w:color w:val="auto"/>
          <w:sz w:val="28"/>
          <w:szCs w:val="28"/>
          <w:lang w:eastAsia="zh-CN"/>
        </w:rPr>
        <w:t>行了定义及解释。绿色工厂：实现了用地集约化、原料无害化、生产清洁化、废物资源化、能源低碳化的工厂；</w:t>
      </w:r>
      <w:bookmarkStart w:id="2" w:name="_Toc264"/>
      <w:r>
        <w:rPr>
          <w:rFonts w:hint="eastAsia" w:ascii="仿宋" w:hAnsi="仿宋" w:eastAsia="仿宋" w:cs="仿宋"/>
          <w:color w:val="auto"/>
          <w:sz w:val="28"/>
          <w:szCs w:val="28"/>
          <w:lang w:eastAsia="zh-CN"/>
        </w:rPr>
        <w:t>铅锌采选业</w:t>
      </w:r>
      <w:bookmarkEnd w:id="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主体为铅锌矿山，涵盖铅锌矿采矿、铅锌矿选矿等相关产业。</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评价原则</w:t>
      </w:r>
    </w:p>
    <w:p>
      <w:pPr>
        <w:pageBreakBefore w:val="0"/>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4.1总则</w:t>
      </w:r>
    </w:p>
    <w:p>
      <w:pPr>
        <w:pageBreakBefore w:val="0"/>
        <w:kinsoku/>
        <w:wordWrap/>
        <w:overflowPunct/>
        <w:topLinePunct w:val="0"/>
        <w:bidi w:val="0"/>
        <w:adjustRightInd/>
        <w:snapToGrid/>
        <w:spacing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对铅锌采选业企业开展绿色工厂评价，首先应遵循</w:t>
      </w:r>
      <w:r>
        <w:rPr>
          <w:rFonts w:hint="eastAsia" w:ascii="仿宋" w:hAnsi="仿宋" w:eastAsia="仿宋" w:cs="仿宋"/>
          <w:color w:val="auto"/>
          <w:sz w:val="28"/>
          <w:szCs w:val="28"/>
          <w:lang w:val="en-US" w:eastAsia="zh-CN"/>
        </w:rPr>
        <w:t>GB/T 36132《绿色工厂评价通则》的要求，并依照《通则》的框架内容开展评价工作，但结合</w:t>
      </w:r>
      <w:r>
        <w:rPr>
          <w:rFonts w:hint="eastAsia" w:ascii="仿宋" w:hAnsi="仿宋" w:eastAsia="仿宋" w:cs="仿宋"/>
          <w:color w:val="auto"/>
          <w:sz w:val="28"/>
          <w:szCs w:val="28"/>
          <w:lang w:eastAsia="zh-CN"/>
        </w:rPr>
        <w:t>铅锌采选业企业的实际特点需要进行一定的侧重，对不适用的部分不开展相关评价工作。因此铅锌采选业企业首要必须明确</w:t>
      </w:r>
      <w:r>
        <w:rPr>
          <w:rFonts w:hint="eastAsia" w:ascii="仿宋" w:hAnsi="仿宋" w:eastAsia="仿宋" w:cs="仿宋"/>
          <w:color w:val="auto"/>
          <w:sz w:val="28"/>
          <w:szCs w:val="28"/>
          <w:lang w:val="en-US" w:eastAsia="zh-CN"/>
        </w:rPr>
        <w:t>企业生产经营等活动要保证矿石产品质量及生产过程中人的职业健康安全的前提，基础设施设备完善，技术工艺先进可靠，严禁淘汰设备、工艺的使用。同时企业要实现环境友好，低碳生产，且能通过内部管控实现持续改进。</w:t>
      </w:r>
    </w:p>
    <w:p>
      <w:pPr>
        <w:pageBreakBefore w:val="0"/>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bookmarkStart w:id="3" w:name="_Toc23951"/>
      <w:r>
        <w:rPr>
          <w:rFonts w:hint="eastAsia" w:ascii="仿宋" w:hAnsi="仿宋" w:eastAsia="仿宋" w:cs="仿宋"/>
          <w:color w:val="auto"/>
          <w:sz w:val="28"/>
          <w:szCs w:val="28"/>
          <w:highlight w:val="none"/>
          <w:lang w:val="en-US" w:eastAsia="zh-CN"/>
        </w:rPr>
        <w:t>4.2评价指标</w:t>
      </w:r>
      <w:bookmarkEnd w:id="3"/>
    </w:p>
    <w:p>
      <w:pPr>
        <w:pageBreakBefore w:val="0"/>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4.2.1评价指标体系</w:t>
      </w:r>
    </w:p>
    <w:p>
      <w:pPr>
        <w:pStyle w:val="21"/>
        <w:pageBreakBefore w:val="0"/>
        <w:kinsoku/>
        <w:wordWrap/>
        <w:overflowPunct/>
        <w:topLinePunct w:val="0"/>
        <w:bidi w:val="0"/>
        <w:adjustRightInd/>
        <w:snapToGrid/>
        <w:spacing w:line="400" w:lineRule="exact"/>
        <w:rPr>
          <w:rFonts w:hint="eastAsia" w:ascii="Times New Roman" w:eastAsia="仿宋_GB2312" w:cs="Times New Roman"/>
          <w:color w:val="auto"/>
          <w:sz w:val="28"/>
          <w:szCs w:val="28"/>
          <w:lang w:eastAsia="zh-CN"/>
        </w:rPr>
      </w:pPr>
      <w:r>
        <w:rPr>
          <w:rFonts w:hint="eastAsia" w:ascii="Times New Roman" w:eastAsia="仿宋_GB2312" w:cs="Times New Roman"/>
          <w:color w:val="auto"/>
          <w:sz w:val="28"/>
          <w:szCs w:val="28"/>
          <w:lang w:eastAsia="zh-CN"/>
        </w:rPr>
        <w:t>遵循</w:t>
      </w:r>
      <w:r>
        <w:rPr>
          <w:rFonts w:hint="eastAsia" w:ascii="Times New Roman" w:hAnsi="Times New Roman" w:eastAsia="仿宋_GB2312" w:cs="Times New Roman"/>
          <w:color w:val="auto"/>
          <w:sz w:val="28"/>
          <w:szCs w:val="28"/>
          <w:lang w:val="en-US" w:eastAsia="zh-CN"/>
        </w:rPr>
        <w:t>GB/T 361</w:t>
      </w:r>
      <w:r>
        <w:rPr>
          <w:rFonts w:hint="eastAsia" w:ascii="Times New Roman" w:eastAsia="仿宋_GB2312" w:cs="Times New Roman"/>
          <w:color w:val="auto"/>
          <w:sz w:val="28"/>
          <w:szCs w:val="28"/>
          <w:lang w:val="en-US" w:eastAsia="zh-CN"/>
        </w:rPr>
        <w:t>32《绿色工厂评价通则》的原则，建立一级指标、二级指标等评价体系。一级指标设</w:t>
      </w:r>
      <w:r>
        <w:rPr>
          <w:rFonts w:hint="eastAsia" w:ascii="Times New Roman" w:hAnsi="Times New Roman" w:eastAsia="仿宋_GB2312" w:cs="Times New Roman"/>
          <w:color w:val="auto"/>
          <w:sz w:val="28"/>
          <w:szCs w:val="28"/>
          <w:lang w:val="en-US" w:eastAsia="zh-CN"/>
        </w:rPr>
        <w:t>置为基本要求、基础设施、管理体系、能源与资源投入、产品、环境排放、绩效7个方面。二级指标为一级指标的具体划分，并根据</w:t>
      </w:r>
      <w:r>
        <w:rPr>
          <w:rFonts w:hint="eastAsia" w:ascii="Times New Roman" w:eastAsia="仿宋_GB2312" w:cs="Times New Roman"/>
          <w:color w:val="auto"/>
          <w:sz w:val="28"/>
          <w:szCs w:val="28"/>
          <w:lang w:eastAsia="zh-CN"/>
        </w:rPr>
        <w:t>铅锌</w:t>
      </w:r>
      <w:r>
        <w:rPr>
          <w:rFonts w:hint="eastAsia" w:ascii="Times New Roman" w:hAnsi="Times New Roman" w:eastAsia="仿宋_GB2312" w:cs="Times New Roman"/>
          <w:color w:val="auto"/>
          <w:sz w:val="28"/>
          <w:szCs w:val="28"/>
          <w:lang w:eastAsia="zh-CN"/>
        </w:rPr>
        <w:t>采选业</w:t>
      </w:r>
      <w:r>
        <w:rPr>
          <w:rFonts w:hint="eastAsia" w:ascii="Times New Roman" w:eastAsia="仿宋_GB2312" w:cs="Times New Roman"/>
          <w:color w:val="auto"/>
          <w:sz w:val="28"/>
          <w:szCs w:val="28"/>
          <w:lang w:eastAsia="zh-CN"/>
        </w:rPr>
        <w:t>企业的特点进行了完善。</w:t>
      </w:r>
    </w:p>
    <w:p>
      <w:pPr>
        <w:pStyle w:val="21"/>
        <w:pageBreakBefore w:val="0"/>
        <w:kinsoku/>
        <w:wordWrap/>
        <w:overflowPunct/>
        <w:topLinePunct w:val="0"/>
        <w:bidi w:val="0"/>
        <w:adjustRightInd/>
        <w:snapToGrid/>
        <w:spacing w:line="400" w:lineRule="exact"/>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 xml:space="preserve">表1 </w:t>
      </w:r>
      <w:r>
        <w:rPr>
          <w:rFonts w:hint="eastAsia" w:asciiTheme="minorEastAsia" w:hAnsiTheme="minorEastAsia" w:eastAsiaTheme="minorEastAsia" w:cstheme="minorEastAsia"/>
          <w:color w:val="auto"/>
          <w:sz w:val="20"/>
          <w:szCs w:val="20"/>
        </w:rPr>
        <w:t>评价指标体系</w:t>
      </w:r>
      <w:r>
        <w:rPr>
          <w:rFonts w:hint="eastAsia" w:asciiTheme="minorEastAsia" w:hAnsiTheme="minorEastAsia" w:eastAsiaTheme="minorEastAsia" w:cstheme="minorEastAsia"/>
          <w:color w:val="auto"/>
          <w:sz w:val="20"/>
          <w:szCs w:val="20"/>
          <w:lang w:eastAsia="zh-CN"/>
        </w:rPr>
        <w:t>一级指标、二级指标的划分</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2768"/>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序号</w:t>
            </w:r>
          </w:p>
        </w:tc>
        <w:tc>
          <w:tcPr>
            <w:tcW w:w="2768"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lang w:val="en-US" w:eastAsia="zh-CN"/>
              </w:rPr>
              <w:t>一级指标</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lang w:val="en-US" w:eastAsia="zh-CN"/>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0</w:t>
            </w:r>
          </w:p>
        </w:tc>
        <w:tc>
          <w:tcPr>
            <w:tcW w:w="2768"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基本要求</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合规性及相关方要求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最高管理者要求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工厂要求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1</w:t>
            </w:r>
          </w:p>
        </w:tc>
        <w:tc>
          <w:tcPr>
            <w:tcW w:w="2768"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基础设施要求</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设备设施</w:t>
            </w:r>
            <w:r>
              <w:rPr>
                <w:rFonts w:hint="eastAsia" w:ascii="Times New Roman" w:eastAsia="仿宋_GB2312" w:cs="Times New Roman"/>
                <w:color w:val="auto"/>
                <w:sz w:val="20"/>
                <w:szCs w:val="20"/>
                <w:vertAlign w:val="baseline"/>
                <w:lang w:val="en-US" w:eastAsia="zh-CN"/>
              </w:rPr>
              <w:t>及工艺（专用设备及工艺、通用设备、计量设备、污染物处理设备设施及工艺）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2</w:t>
            </w:r>
          </w:p>
        </w:tc>
        <w:tc>
          <w:tcPr>
            <w:tcW w:w="2768"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管理体系要求</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职业健康安全管理体系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3</w:t>
            </w:r>
          </w:p>
        </w:tc>
        <w:tc>
          <w:tcPr>
            <w:tcW w:w="2768"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能源与资源的投入</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能源投入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资源投入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4</w:t>
            </w:r>
          </w:p>
        </w:tc>
        <w:tc>
          <w:tcPr>
            <w:tcW w:w="2768"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产品要求</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bookmarkStart w:id="4" w:name="_Toc7430"/>
            <w:r>
              <w:rPr>
                <w:rFonts w:hint="eastAsia" w:ascii="Times New Roman" w:hAnsi="Times New Roman" w:eastAsia="仿宋_GB2312" w:cs="Times New Roman"/>
                <w:color w:val="auto"/>
                <w:sz w:val="20"/>
                <w:szCs w:val="20"/>
                <w:vertAlign w:val="baseline"/>
                <w:lang w:val="en-US" w:eastAsia="zh-CN"/>
              </w:rPr>
              <w:t>生态设计</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有害物质使用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5</w:t>
            </w:r>
          </w:p>
        </w:tc>
        <w:tc>
          <w:tcPr>
            <w:tcW w:w="2768"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color w:val="auto"/>
                <w:sz w:val="20"/>
                <w:szCs w:val="18"/>
                <w:highlight w:val="none"/>
                <w:lang w:val="en-US" w:eastAsia="zh-CN"/>
              </w:rPr>
              <w:t>环境排放要求</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水体污染物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default"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6</w:t>
            </w:r>
          </w:p>
        </w:tc>
        <w:tc>
          <w:tcPr>
            <w:tcW w:w="2768" w:type="dxa"/>
            <w:vMerge w:val="restart"/>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color w:val="auto"/>
                <w:sz w:val="20"/>
                <w:szCs w:val="18"/>
                <w:highlight w:val="none"/>
                <w:lang w:val="en-US" w:eastAsia="zh-CN"/>
              </w:rPr>
              <w:t>绩效</w:t>
            </w: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一般要求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用地集约化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原料无害化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生产洁净化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废物资源化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2768" w:type="dxa"/>
            <w:vMerge w:val="continue"/>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p>
        </w:tc>
        <w:tc>
          <w:tcPr>
            <w:tcW w:w="4023" w:type="dxa"/>
            <w:vAlign w:val="center"/>
          </w:tcPr>
          <w:p>
            <w:pPr>
              <w:pStyle w:val="21"/>
              <w:pageBreakBefore w:val="0"/>
              <w:widowControl w:val="0"/>
              <w:kinsoku/>
              <w:wordWrap/>
              <w:overflowPunct/>
              <w:topLinePunct w:val="0"/>
              <w:bidi w:val="0"/>
              <w:adjustRightInd/>
              <w:snapToGrid/>
              <w:spacing w:line="400" w:lineRule="exact"/>
              <w:ind w:left="0" w:leftChars="0" w:firstLine="0" w:firstLineChars="0"/>
              <w:jc w:val="center"/>
              <w:rPr>
                <w:rFonts w:hint="eastAsia" w:ascii="Times New Roman" w:hAnsi="Times New Roman" w:eastAsia="仿宋_GB2312" w:cs="Times New Roman"/>
                <w:color w:val="auto"/>
                <w:sz w:val="20"/>
                <w:szCs w:val="20"/>
                <w:vertAlign w:val="baseline"/>
                <w:lang w:val="en-US" w:eastAsia="zh-CN"/>
              </w:rPr>
            </w:pPr>
            <w:r>
              <w:rPr>
                <w:rFonts w:hint="eastAsia" w:ascii="Times New Roman" w:hAnsi="Times New Roman" w:eastAsia="仿宋_GB2312" w:cs="Times New Roman"/>
                <w:color w:val="auto"/>
                <w:sz w:val="20"/>
                <w:szCs w:val="20"/>
                <w:vertAlign w:val="baseline"/>
                <w:lang w:val="en-US" w:eastAsia="zh-CN"/>
              </w:rPr>
              <w:t>能源低碳化</w:t>
            </w:r>
          </w:p>
        </w:tc>
      </w:tr>
    </w:tbl>
    <w:p>
      <w:pPr>
        <w:pStyle w:val="21"/>
        <w:pageBreakBefore w:val="0"/>
        <w:kinsoku/>
        <w:wordWrap/>
        <w:overflowPunct/>
        <w:topLinePunct w:val="0"/>
        <w:bidi w:val="0"/>
        <w:adjustRightInd/>
        <w:snapToGrid/>
        <w:spacing w:line="400" w:lineRule="exact"/>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具体评价要求的建立对应标准文本中二级指标分类的要求内容及相关引用文件内的指标要求进行细节描述。</w:t>
      </w:r>
    </w:p>
    <w:p>
      <w:pPr>
        <w:pStyle w:val="21"/>
        <w:pageBreakBefore w:val="0"/>
        <w:kinsoku/>
        <w:wordWrap/>
        <w:overflowPunct/>
        <w:topLinePunct w:val="0"/>
        <w:bidi w:val="0"/>
        <w:adjustRightInd/>
        <w:snapToGrid/>
        <w:spacing w:line="400" w:lineRule="exact"/>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基本要求设置为铅锌采选业绿色工厂评价的基本条件，为一票否决项。其余6项一级指标根据具体评价要求得出测评分，衡量受评企业对此项指标的满足程度。</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Times New Roman" w:hAnsi="Times New Roman" w:eastAsia="仿宋_GB2312" w:cs="Times New Roman"/>
          <w:color w:val="auto"/>
          <w:sz w:val="28"/>
          <w:szCs w:val="28"/>
          <w:lang w:val="en-US" w:eastAsia="zh-CN"/>
        </w:rPr>
        <w:t>评价要求划分必选要求和可选要求，基础要求为铅锌采选企业绿色工厂应达到的基础性要求，必须满足其最低指标要求，不满足的否决绿</w:t>
      </w:r>
      <w:r>
        <w:rPr>
          <w:rFonts w:hint="eastAsia" w:ascii="仿宋" w:hAnsi="仿宋" w:eastAsia="仿宋" w:cs="仿宋"/>
          <w:color w:val="auto"/>
          <w:sz w:val="28"/>
          <w:szCs w:val="28"/>
          <w:lang w:val="en-US" w:eastAsia="zh-CN"/>
        </w:rPr>
        <w:t>色工厂评价；可选要求为企业提高性指标要求，代表先进性指标，根据受评企业实际情况进行选择性评价。</w:t>
      </w:r>
    </w:p>
    <w:p>
      <w:pPr>
        <w:pageBreakBefore w:val="0"/>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4.2.2评价分值系数和权重</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对参与分值测评的6项一级指、25项二级指标及其细化的评价要素得分记Q，各一级指标侧重为W（侧重占比系数之和等于1）。根据地表矿山和井下矿山的区别，对各侧重进行了区分，如表2所示：</w:t>
      </w:r>
    </w:p>
    <w:p>
      <w:pPr>
        <w:pStyle w:val="21"/>
        <w:pageBreakBefore w:val="0"/>
        <w:kinsoku/>
        <w:wordWrap/>
        <w:overflowPunct/>
        <w:topLinePunct w:val="0"/>
        <w:bidi w:val="0"/>
        <w:adjustRightInd/>
        <w:snapToGrid/>
        <w:spacing w:line="400" w:lineRule="exact"/>
        <w:jc w:val="center"/>
        <w:rPr>
          <w:rFonts w:hint="eastAsia"/>
          <w:color w:val="auto"/>
          <w:sz w:val="20"/>
          <w:szCs w:val="18"/>
          <w:lang w:val="en-US" w:eastAsia="zh-CN"/>
        </w:rPr>
      </w:pPr>
      <w:r>
        <w:rPr>
          <w:rFonts w:hint="eastAsia"/>
          <w:color w:val="auto"/>
          <w:sz w:val="20"/>
          <w:szCs w:val="18"/>
          <w:lang w:val="en-US" w:eastAsia="zh-CN"/>
        </w:rPr>
        <w:t xml:space="preserve">表2 </w:t>
      </w:r>
      <w:r>
        <w:rPr>
          <w:rFonts w:hint="eastAsia"/>
          <w:color w:val="auto"/>
          <w:sz w:val="20"/>
          <w:szCs w:val="18"/>
          <w:lang w:eastAsia="zh-CN"/>
        </w:rPr>
        <w:t>铅锌</w:t>
      </w:r>
      <w:r>
        <w:rPr>
          <w:rFonts w:hint="eastAsia"/>
          <w:color w:val="auto"/>
          <w:sz w:val="20"/>
          <w:szCs w:val="18"/>
          <w:lang w:val="en-US" w:eastAsia="zh-CN"/>
        </w:rPr>
        <w:t>采选企业绿色工厂评价权重表</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1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noWrap w:val="0"/>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基础设施/</w:t>
            </w:r>
            <w:r>
              <w:rPr>
                <w:rFonts w:hint="eastAsia"/>
                <w:color w:val="auto"/>
                <w:szCs w:val="22"/>
                <w:highlight w:val="none"/>
                <w:lang w:val="en-US" w:eastAsia="zh-CN"/>
              </w:rPr>
              <w:t>W</w:t>
            </w:r>
            <w:r>
              <w:rPr>
                <w:rFonts w:hint="eastAsia"/>
                <w:color w:val="auto"/>
                <w:szCs w:val="22"/>
                <w:highlight w:val="none"/>
                <w:vertAlign w:val="subscript"/>
                <w:lang w:eastAsia="zh-CN"/>
              </w:rPr>
              <w:t>1</w:t>
            </w:r>
          </w:p>
        </w:tc>
        <w:tc>
          <w:tcPr>
            <w:tcW w:w="833" w:type="pct"/>
            <w:noWrap w:val="0"/>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管理体系/</w:t>
            </w:r>
            <w:r>
              <w:rPr>
                <w:rFonts w:hint="eastAsia"/>
                <w:color w:val="auto"/>
                <w:szCs w:val="22"/>
                <w:highlight w:val="none"/>
                <w:lang w:val="en-US" w:eastAsia="zh-CN"/>
              </w:rPr>
              <w:t>W</w:t>
            </w:r>
            <w:r>
              <w:rPr>
                <w:rFonts w:hint="eastAsia"/>
                <w:color w:val="auto"/>
                <w:szCs w:val="22"/>
                <w:highlight w:val="none"/>
                <w:vertAlign w:val="subscript"/>
                <w:lang w:val="en-US" w:eastAsia="zh-CN"/>
              </w:rPr>
              <w:t>2</w:t>
            </w:r>
          </w:p>
        </w:tc>
        <w:tc>
          <w:tcPr>
            <w:tcW w:w="833" w:type="pct"/>
            <w:noWrap w:val="0"/>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能源与资源投入/</w:t>
            </w:r>
            <w:r>
              <w:rPr>
                <w:rFonts w:hint="eastAsia"/>
                <w:color w:val="auto"/>
                <w:szCs w:val="22"/>
                <w:highlight w:val="none"/>
                <w:lang w:val="en-US" w:eastAsia="zh-CN"/>
              </w:rPr>
              <w:t>W</w:t>
            </w:r>
            <w:r>
              <w:rPr>
                <w:rFonts w:hint="eastAsia"/>
                <w:color w:val="auto"/>
                <w:szCs w:val="22"/>
                <w:highlight w:val="none"/>
                <w:vertAlign w:val="subscript"/>
                <w:lang w:val="en-US" w:eastAsia="zh-CN"/>
              </w:rPr>
              <w:t>3</w:t>
            </w:r>
          </w:p>
        </w:tc>
        <w:tc>
          <w:tcPr>
            <w:tcW w:w="833" w:type="pct"/>
            <w:noWrap w:val="0"/>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产品/</w:t>
            </w:r>
            <w:r>
              <w:rPr>
                <w:rFonts w:hint="eastAsia"/>
                <w:color w:val="auto"/>
                <w:szCs w:val="22"/>
                <w:highlight w:val="none"/>
                <w:lang w:val="en-US" w:eastAsia="zh-CN"/>
              </w:rPr>
              <w:t>W</w:t>
            </w:r>
            <w:r>
              <w:rPr>
                <w:rFonts w:hint="eastAsia"/>
                <w:color w:val="auto"/>
                <w:szCs w:val="22"/>
                <w:highlight w:val="none"/>
                <w:vertAlign w:val="subscript"/>
                <w:lang w:val="en-US" w:eastAsia="zh-CN"/>
              </w:rPr>
              <w:t>4</w:t>
            </w:r>
          </w:p>
        </w:tc>
        <w:tc>
          <w:tcPr>
            <w:tcW w:w="833" w:type="pct"/>
            <w:noWrap w:val="0"/>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环境排放/</w:t>
            </w:r>
            <w:r>
              <w:rPr>
                <w:rFonts w:hint="eastAsia"/>
                <w:color w:val="auto"/>
                <w:szCs w:val="22"/>
                <w:highlight w:val="none"/>
                <w:lang w:val="en-US" w:eastAsia="zh-CN"/>
              </w:rPr>
              <w:t>W</w:t>
            </w:r>
            <w:r>
              <w:rPr>
                <w:rFonts w:hint="eastAsia"/>
                <w:color w:val="auto"/>
                <w:szCs w:val="22"/>
                <w:highlight w:val="none"/>
                <w:vertAlign w:val="subscript"/>
                <w:lang w:val="en-US" w:eastAsia="zh-CN"/>
              </w:rPr>
              <w:t>5</w:t>
            </w:r>
          </w:p>
        </w:tc>
        <w:tc>
          <w:tcPr>
            <w:tcW w:w="833" w:type="pct"/>
            <w:noWrap w:val="0"/>
            <w:vAlign w:val="center"/>
          </w:tcPr>
          <w:p>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绩效/</w:t>
            </w:r>
            <w:r>
              <w:rPr>
                <w:rFonts w:hint="eastAsia"/>
                <w:color w:val="auto"/>
                <w:szCs w:val="22"/>
                <w:highlight w:val="none"/>
                <w:lang w:val="en-US" w:eastAsia="zh-CN"/>
              </w:rPr>
              <w:t>W</w:t>
            </w:r>
            <w:r>
              <w:rPr>
                <w:rFonts w:hint="eastAsia"/>
                <w:color w:val="auto"/>
                <w:szCs w:val="22"/>
                <w:highlight w:val="none"/>
                <w:vertAlign w:val="sub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noWrap w:val="0"/>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w:t>
            </w:r>
          </w:p>
        </w:tc>
        <w:tc>
          <w:tcPr>
            <w:tcW w:w="833" w:type="pct"/>
            <w:noWrap w:val="0"/>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10%</w:t>
            </w:r>
          </w:p>
        </w:tc>
        <w:tc>
          <w:tcPr>
            <w:tcW w:w="833" w:type="pct"/>
            <w:noWrap w:val="0"/>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15%</w:t>
            </w:r>
          </w:p>
        </w:tc>
        <w:tc>
          <w:tcPr>
            <w:tcW w:w="833" w:type="pct"/>
            <w:noWrap w:val="0"/>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833" w:type="pct"/>
            <w:noWrap w:val="0"/>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20%</w:t>
            </w:r>
          </w:p>
        </w:tc>
        <w:tc>
          <w:tcPr>
            <w:tcW w:w="833" w:type="pct"/>
            <w:noWrap w:val="0"/>
            <w:vAlign w:val="center"/>
          </w:tcPr>
          <w:p>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30%</w:t>
            </w:r>
          </w:p>
        </w:tc>
      </w:tr>
    </w:tbl>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表矿山相比井下矿山建设的基础设施更多，因此基础设施的占比相对更多。井下矿山受地下通风、排水需求更多，相对单位能耗更大，因此能源与资源投入评分侧重比相应增加。地表矿山相对井下矿山采切比更大，其多外排固体废物比例更大，因此评分侧占比相应增加。</w:t>
      </w:r>
    </w:p>
    <w:p>
      <w:pPr>
        <w:pageBreakBefore w:val="0"/>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bookmarkStart w:id="5" w:name="_Toc5657"/>
      <w:r>
        <w:rPr>
          <w:rFonts w:hint="eastAsia" w:ascii="仿宋" w:hAnsi="仿宋" w:eastAsia="仿宋" w:cs="仿宋"/>
          <w:color w:val="auto"/>
          <w:sz w:val="28"/>
          <w:szCs w:val="28"/>
          <w:highlight w:val="none"/>
          <w:lang w:val="en-US" w:eastAsia="zh-CN"/>
        </w:rPr>
        <w:t>4.3评价方法</w:t>
      </w:r>
      <w:bookmarkEnd w:id="5"/>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4.3.1明确要求绿色工厂评价活动，必须由第三方组织开展客观评价工作。在第三方开展评价前，企业应依照标准开展自评。</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4.3.2要求第三方组织开展评价是应当查询的相关原始资料，要确保各项指标的数据来源准确可靠，结合客观的数据开展公平公正的评价工作。同时评价过程中，评价人员要积极与企业的管理层、执行层人员进行交流，从交流过程中验证相关资料的准确性，掌握企业各层级对绿色工厂的认识度。根据各类材料的综合分析，确保受评企业的评价结果对应指标均由充分、可靠的证据支撑。</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4.3.3各指标要素达到条件要求的即得对于分值Q，对应分值Q乘以其所在一级指标的侧重占比W，即为此项指标要素的实际得分，各指标要素实际得分之和，为评价最终得分。在各一级指标中设置必选项目和可选项目两项，必选项目为参评单位必须开展的项目，可选项目为更高的指标要求参评单位可根据自身情况进行选择评价，得分计入总分。</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4.3.4必选各指标要素总分100分，可选各指标要素总分20分，评价体系满分为120分，要求评价总分达到100分以上才可认定为绿色工厂，低于不予认定，不设置等级要求。</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bookmarkStart w:id="6" w:name="_Toc16988"/>
      <w:r>
        <w:rPr>
          <w:rFonts w:hint="eastAsia" w:ascii="仿宋" w:hAnsi="仿宋" w:eastAsia="仿宋" w:cs="仿宋"/>
          <w:color w:val="auto"/>
          <w:sz w:val="28"/>
          <w:szCs w:val="28"/>
          <w:highlight w:val="none"/>
          <w:lang w:val="en-US" w:eastAsia="zh-CN"/>
        </w:rPr>
        <w:t>基本要求</w:t>
      </w:r>
      <w:bookmarkEnd w:id="6"/>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7" w:name="_Toc15646"/>
      <w:r>
        <w:rPr>
          <w:rFonts w:hint="eastAsia" w:ascii="仿宋" w:hAnsi="仿宋" w:eastAsia="仿宋" w:cs="仿宋"/>
          <w:color w:val="auto"/>
          <w:kern w:val="2"/>
          <w:sz w:val="28"/>
          <w:szCs w:val="28"/>
          <w:highlight w:val="none"/>
          <w:lang w:val="en-US" w:eastAsia="zh-CN" w:bidi="ar-SA"/>
        </w:rPr>
        <w:t>5.1合规性及相关方要求</w:t>
      </w:r>
      <w:bookmarkEnd w:id="7"/>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合规性及相关方的要求为强制性的基本要求，参评企业必须满足此类要求，以确保参评企业实现合法合规的要求。</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合法合规上，受评价铅锌采选企业应依法办厂，生产经营活动应符合国家法律、法规、政策及标准要求；受评价铅锌采选企业近三年（含成立不足三年）无政府督查督办或限期整改事项；无较大及以上安全、环保、质量等事故；达到《铅锌行业规范条件》的要求，并完成规范公告的申报。</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0"/>
          <w:szCs w:val="18"/>
          <w:lang w:val="en-US" w:eastAsia="zh-CN"/>
        </w:rPr>
      </w:pPr>
      <w:r>
        <w:rPr>
          <w:rFonts w:hint="eastAsia" w:ascii="仿宋" w:hAnsi="仿宋" w:eastAsia="仿宋" w:cs="仿宋"/>
          <w:color w:val="auto"/>
          <w:sz w:val="28"/>
          <w:szCs w:val="28"/>
          <w:lang w:val="en-US" w:eastAsia="zh-CN"/>
        </w:rPr>
        <w:t>同时铅锌采选企业必须对利益相关方的环境要求做出承诺，并满足承诺的要求；受评价铅锌采选企业不存在有周边居民、社区的纠纷问题；受评价铅锌采选企业尾矿库和排土场厂满足国家二级安全标准化要求，并取得相关资质；新建铅锌采选企业危险废物贮存必须符合国家强制标准要求，并建立完备的控制体系；受评价铅锌采选企业生产、经营活动建立了有效、受控的监控体系，并遵照实施。</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8" w:name="_Toc27621"/>
      <w:r>
        <w:rPr>
          <w:rFonts w:hint="eastAsia" w:ascii="仿宋" w:hAnsi="仿宋" w:eastAsia="仿宋" w:cs="仿宋"/>
          <w:color w:val="auto"/>
          <w:kern w:val="2"/>
          <w:sz w:val="28"/>
          <w:szCs w:val="28"/>
          <w:highlight w:val="none"/>
          <w:lang w:val="en-US" w:eastAsia="zh-CN" w:bidi="ar-SA"/>
        </w:rPr>
        <w:t>5.2最高管理者要求</w:t>
      </w:r>
      <w:bookmarkEnd w:id="8"/>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5.2.1最高管理者在绿色工厂方面的领导及承诺应满足GB/T 36132的要求。</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a）对绿色工厂的领导作用和承诺方面：</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对绿色工厂的有效性负责；</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确保建立绿色工厂建设、运维的方针和目标，并确保其与组织的战略方向所处的环境相一致；</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确保将绿色工厂要求融入组织的业务过程；</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确保可获得绿色工厂建设、运维所需的资源；</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就有效开展绿色制造的重要性和符合绿色工厂要求的重要性进行沟通；</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确保工厂实现其开展绿色制造的预期结果；</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指导并支持员工对绿色工厂的有效性做出贡献；</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促进持续改进；</w:t>
      </w:r>
    </w:p>
    <w:p>
      <w:pPr>
        <w:pStyle w:val="21"/>
        <w:pageBreakBefore w:val="0"/>
        <w:numPr>
          <w:ilvl w:val="0"/>
          <w:numId w:val="11"/>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支持其他相关管理人员在其职责范围内证实其领导作用。</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b）对绿色工厂相关职责和权限要求方面：</w:t>
      </w:r>
    </w:p>
    <w:p>
      <w:pPr>
        <w:pStyle w:val="21"/>
        <w:pageBreakBefore w:val="0"/>
        <w:numPr>
          <w:ilvl w:val="0"/>
          <w:numId w:val="12"/>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确保工厂建设、运维符合本标准的要求；</w:t>
      </w:r>
    </w:p>
    <w:p>
      <w:pPr>
        <w:pStyle w:val="21"/>
        <w:pageBreakBefore w:val="0"/>
        <w:numPr>
          <w:ilvl w:val="0"/>
          <w:numId w:val="12"/>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收集并保持工厂满足绿色工厂要求的依据；</w:t>
      </w:r>
    </w:p>
    <w:p>
      <w:pPr>
        <w:pStyle w:val="21"/>
        <w:pageBreakBefore w:val="0"/>
        <w:numPr>
          <w:ilvl w:val="0"/>
          <w:numId w:val="12"/>
        </w:numPr>
        <w:kinsoku/>
        <w:wordWrap/>
        <w:overflowPunct/>
        <w:topLinePunct w:val="0"/>
        <w:bidi w:val="0"/>
        <w:adjustRightInd/>
        <w:snapToGrid/>
        <w:spacing w:line="400" w:lineRule="exact"/>
        <w:ind w:left="0" w:leftChars="0" w:firstLine="840" w:firstLine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向最高管理者报告绿色工厂的绩效。</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5.3工厂要求</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5.3.1工厂应设立绿色工厂管理机构，开展计划目标实施方案，传播绿色制造理念和知识，并符合满足GB/T 36132中4.3.2的要求。</w:t>
      </w:r>
    </w:p>
    <w:p>
      <w:pPr>
        <w:pStyle w:val="21"/>
        <w:pageBreakBefore w:val="0"/>
        <w:numPr>
          <w:ilvl w:val="0"/>
          <w:numId w:val="13"/>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应设有绿色工厂管理机构，负责有关绿色工厂的制度建设、实施、考核及奖励工作，建立目标责任制；</w:t>
      </w:r>
    </w:p>
    <w:p>
      <w:pPr>
        <w:pStyle w:val="21"/>
        <w:pageBreakBefore w:val="0"/>
        <w:numPr>
          <w:ilvl w:val="0"/>
          <w:numId w:val="13"/>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应有开展绿色工厂的中长期规划及年度目标、指标和实施方案。可行时，指标应明确且可量化；</w:t>
      </w:r>
    </w:p>
    <w:p>
      <w:pPr>
        <w:pStyle w:val="21"/>
        <w:pageBreakBefore w:val="0"/>
        <w:numPr>
          <w:ilvl w:val="0"/>
          <w:numId w:val="13"/>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应传播绿色制造的概念和知识，定期为员工提供绿色制造相关知识的教育、培训，并对教育和培训的结果进行考评。</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5.3.2针对铅锌采选矿山绿色工厂建设，企业应满足GB 50595的要求。</w:t>
      </w:r>
    </w:p>
    <w:p>
      <w:pPr>
        <w:pStyle w:val="21"/>
        <w:pageBreakBefore w:val="0"/>
        <w:numPr>
          <w:ilvl w:val="0"/>
          <w:numId w:val="14"/>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表3 露天开采基准（可比）综合能耗指标P</w:t>
      </w:r>
      <w:r>
        <w:rPr>
          <w:rFonts w:hint="eastAsia" w:ascii="仿宋" w:hAnsi="仿宋" w:eastAsia="仿宋" w:cs="仿宋"/>
          <w:color w:val="auto"/>
          <w:sz w:val="28"/>
          <w:szCs w:val="28"/>
          <w:vertAlign w:val="subscript"/>
          <w:lang w:val="en-US" w:eastAsia="zh-CN"/>
        </w:rPr>
        <w:t>0</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25"/>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restart"/>
            <w:tcBorders>
              <w:tl2br w:val="single" w:color="auto" w:sz="2" w:space="0"/>
            </w:tcBorders>
            <w:noWrap w:val="0"/>
            <w:vAlign w:val="center"/>
          </w:tcPr>
          <w:p>
            <w:pPr>
              <w:spacing w:line="280" w:lineRule="exact"/>
              <w:ind w:left="420" w:hanging="420"/>
              <w:rPr>
                <w:rFonts w:hint="eastAsia" w:ascii="仿宋" w:hAnsi="仿宋" w:eastAsia="仿宋" w:cs="仿宋"/>
                <w:b w:val="0"/>
                <w:bCs/>
                <w:color w:val="auto"/>
                <w:sz w:val="16"/>
                <w:szCs w:val="16"/>
              </w:rPr>
            </w:pPr>
            <w:r>
              <w:rPr>
                <w:rFonts w:hint="eastAsia" w:ascii="仿宋" w:hAnsi="仿宋" w:eastAsia="仿宋" w:cs="仿宋"/>
                <w:b w:val="0"/>
                <w:bCs/>
                <w:color w:val="auto"/>
                <w:sz w:val="20"/>
                <w:szCs w:val="20"/>
              </w:rPr>
              <w:t xml:space="preserve">              </w:t>
            </w:r>
            <w:r>
              <w:rPr>
                <w:rFonts w:hint="eastAsia" w:ascii="仿宋" w:hAnsi="仿宋" w:eastAsia="仿宋" w:cs="仿宋"/>
                <w:b w:val="0"/>
                <w:bCs/>
                <w:color w:val="auto"/>
                <w:sz w:val="16"/>
                <w:szCs w:val="16"/>
              </w:rPr>
              <w:t>指标</w:t>
            </w:r>
          </w:p>
          <w:p>
            <w:pPr>
              <w:spacing w:line="280" w:lineRule="exact"/>
              <w:ind w:left="420" w:hanging="420"/>
              <w:rPr>
                <w:rFonts w:hint="eastAsia" w:ascii="仿宋" w:hAnsi="仿宋" w:eastAsia="仿宋" w:cs="仿宋"/>
                <w:b w:val="0"/>
                <w:bCs/>
                <w:color w:val="auto"/>
                <w:sz w:val="20"/>
                <w:szCs w:val="20"/>
              </w:rPr>
            </w:pPr>
            <w:r>
              <w:rPr>
                <w:rFonts w:hint="eastAsia" w:ascii="仿宋" w:hAnsi="仿宋" w:eastAsia="仿宋" w:cs="仿宋"/>
                <w:b w:val="0"/>
                <w:bCs/>
                <w:color w:val="auto"/>
                <w:sz w:val="16"/>
                <w:szCs w:val="16"/>
              </w:rPr>
              <w:t>设计规模</w:t>
            </w:r>
          </w:p>
        </w:tc>
        <w:tc>
          <w:tcPr>
            <w:tcW w:w="6375" w:type="dxa"/>
            <w:gridSpan w:val="3"/>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P</w:t>
            </w:r>
            <w:r>
              <w:rPr>
                <w:rFonts w:hint="eastAsia" w:ascii="仿宋" w:hAnsi="仿宋" w:eastAsia="仿宋" w:cs="仿宋"/>
                <w:b w:val="0"/>
                <w:bCs/>
                <w:color w:val="auto"/>
                <w:sz w:val="20"/>
                <w:szCs w:val="20"/>
                <w:vertAlign w:val="subscript"/>
              </w:rPr>
              <w:t xml:space="preserve">0 </w:t>
            </w:r>
            <w:r>
              <w:rPr>
                <w:rFonts w:hint="eastAsia" w:ascii="仿宋" w:hAnsi="仿宋" w:eastAsia="仿宋" w:cs="仿宋"/>
                <w:b w:val="0"/>
                <w:bCs/>
                <w:color w:val="auto"/>
                <w:sz w:val="20"/>
                <w:szCs w:val="20"/>
              </w:rPr>
              <w:t>kg标准煤/t</w:t>
            </w:r>
            <w:r>
              <w:rPr>
                <w:rFonts w:hint="eastAsia" w:ascii="仿宋" w:hAnsi="仿宋" w:eastAsia="仿宋" w:cs="仿宋"/>
                <w:b w:val="0"/>
                <w:bCs/>
                <w:color w:val="auto"/>
                <w:sz w:val="20"/>
                <w:szCs w:val="20"/>
                <w:vertAlign w:val="subscript"/>
              </w:rPr>
              <w:t>矿</w:t>
            </w:r>
            <w:r>
              <w:rPr>
                <w:rFonts w:hint="eastAsia" w:ascii="仿宋" w:hAnsi="仿宋" w:eastAsia="仿宋" w:cs="仿宋"/>
                <w:b w:val="0"/>
                <w:bCs/>
                <w:color w:val="auto"/>
                <w:sz w:val="20"/>
                <w:szCs w:val="20"/>
              </w:rPr>
              <w:t>（kW·h/t</w:t>
            </w:r>
            <w:r>
              <w:rPr>
                <w:rFonts w:hint="eastAsia" w:ascii="仿宋" w:hAnsi="仿宋" w:eastAsia="仿宋" w:cs="仿宋"/>
                <w:b w:val="0"/>
                <w:bCs/>
                <w:color w:val="auto"/>
                <w:sz w:val="20"/>
                <w:szCs w:val="20"/>
                <w:vertAlign w:val="subscript"/>
              </w:rPr>
              <w:t>矿</w:t>
            </w:r>
            <w:r>
              <w:rPr>
                <w:rFonts w:hint="eastAsia" w:ascii="仿宋" w:hAnsi="仿宋" w:eastAsia="仿宋" w:cs="仿宋"/>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tcBorders>
              <w:tl2br w:val="single" w:color="auto" w:sz="2" w:space="0"/>
            </w:tcBorders>
            <w:noWrap w:val="0"/>
            <w:vAlign w:val="center"/>
          </w:tcPr>
          <w:p>
            <w:pPr>
              <w:spacing w:line="240" w:lineRule="exact"/>
              <w:ind w:left="420" w:hanging="420"/>
              <w:jc w:val="center"/>
              <w:rPr>
                <w:rFonts w:hint="eastAsia" w:ascii="仿宋" w:hAnsi="仿宋" w:eastAsia="仿宋" w:cs="仿宋"/>
                <w:b w:val="0"/>
                <w:bCs/>
                <w:color w:val="auto"/>
                <w:sz w:val="20"/>
                <w:szCs w:val="20"/>
              </w:rPr>
            </w:pP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一级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二级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大型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0.95 (7.73)</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1.05 (8.54)</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1.15 (9.36)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中型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1.25 (10.17)</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1.35 (10.98)</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1.50 (12.21)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小型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1.63 (13.26)</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1.75 (14.24)</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1.95 (15.87)</w:t>
            </w:r>
          </w:p>
        </w:tc>
      </w:tr>
    </w:tbl>
    <w:p>
      <w:pPr>
        <w:spacing w:before="156" w:beforeLines="50"/>
        <w:ind w:firstLine="420" w:firstLineChars="200"/>
        <w:jc w:val="left"/>
        <w:rPr>
          <w:rFonts w:hint="eastAsia" w:ascii="仿宋" w:hAnsi="仿宋" w:eastAsia="仿宋" w:cs="仿宋"/>
          <w:b w:val="0"/>
          <w:bCs w:val="0"/>
          <w:color w:val="auto"/>
          <w:szCs w:val="21"/>
        </w:rPr>
      </w:pPr>
      <w:r>
        <w:rPr>
          <w:rFonts w:hint="eastAsia" w:ascii="仿宋" w:hAnsi="仿宋" w:eastAsia="仿宋" w:cs="仿宋"/>
          <w:b w:val="0"/>
          <w:bCs w:val="0"/>
          <w:color w:val="auto"/>
          <w:szCs w:val="21"/>
        </w:rPr>
        <w:t>注：（1）表中基准能耗值是剥采比为1时的指标值。</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lang w:val="en-US" w:eastAsia="zh-CN"/>
        </w:rPr>
        <w:t>2</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rPr>
        <w:t>电折算成标准煤：1kW·h=0.1229kgbm。（1kgbm=8.1367 kW·h）。</w:t>
      </w:r>
    </w:p>
    <w:p>
      <w:pPr>
        <w:pStyle w:val="21"/>
        <w:pageBreakBefore w:val="0"/>
        <w:numPr>
          <w:ilvl w:val="0"/>
          <w:numId w:val="14"/>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bookmarkStart w:id="9" w:name="_Toc235506830"/>
      <w:r>
        <w:rPr>
          <w:rFonts w:hint="eastAsia" w:ascii="仿宋" w:hAnsi="仿宋" w:eastAsia="仿宋" w:cs="仿宋"/>
          <w:color w:val="auto"/>
          <w:sz w:val="28"/>
          <w:szCs w:val="28"/>
          <w:lang w:val="en-US" w:eastAsia="zh-CN"/>
        </w:rPr>
        <w:t>表4 地下开采基准（可比）综合能耗指标P</w:t>
      </w:r>
      <w:r>
        <w:rPr>
          <w:rFonts w:hint="eastAsia" w:ascii="仿宋" w:hAnsi="仿宋" w:eastAsia="仿宋" w:cs="仿宋"/>
          <w:color w:val="auto"/>
          <w:sz w:val="28"/>
          <w:szCs w:val="28"/>
          <w:vertAlign w:val="subscript"/>
          <w:lang w:val="en-US" w:eastAsia="zh-CN"/>
        </w:rPr>
        <w:t>0</w:t>
      </w:r>
      <w:bookmarkEnd w:id="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25"/>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restart"/>
            <w:tcBorders>
              <w:tl2br w:val="single" w:color="auto" w:sz="2" w:space="0"/>
            </w:tcBorders>
            <w:noWrap w:val="0"/>
            <w:vAlign w:val="center"/>
          </w:tcPr>
          <w:p>
            <w:pPr>
              <w:spacing w:line="240" w:lineRule="exact"/>
              <w:ind w:left="420" w:hanging="420"/>
              <w:jc w:val="righ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指标</w:t>
            </w:r>
          </w:p>
          <w:p>
            <w:pPr>
              <w:spacing w:line="240" w:lineRule="exact"/>
              <w:ind w:left="420" w:hanging="420"/>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设计规模</w:t>
            </w:r>
          </w:p>
        </w:tc>
        <w:tc>
          <w:tcPr>
            <w:tcW w:w="6375" w:type="dxa"/>
            <w:gridSpan w:val="3"/>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P</w:t>
            </w:r>
            <w:r>
              <w:rPr>
                <w:rFonts w:hint="eastAsia" w:ascii="仿宋" w:hAnsi="仿宋" w:eastAsia="仿宋" w:cs="仿宋"/>
                <w:b w:val="0"/>
                <w:bCs/>
                <w:color w:val="auto"/>
                <w:sz w:val="21"/>
                <w:szCs w:val="21"/>
                <w:vertAlign w:val="subscript"/>
              </w:rPr>
              <w:t xml:space="preserve">0 </w:t>
            </w:r>
            <w:r>
              <w:rPr>
                <w:rFonts w:hint="eastAsia" w:ascii="仿宋" w:hAnsi="仿宋" w:eastAsia="仿宋" w:cs="仿宋"/>
                <w:b w:val="0"/>
                <w:bCs/>
                <w:color w:val="auto"/>
                <w:sz w:val="21"/>
                <w:szCs w:val="21"/>
              </w:rPr>
              <w:t>kg标准煤/t矿（kW·h/t</w:t>
            </w:r>
            <w:r>
              <w:rPr>
                <w:rFonts w:hint="eastAsia" w:ascii="仿宋" w:hAnsi="仿宋" w:eastAsia="仿宋" w:cs="仿宋"/>
                <w:b w:val="0"/>
                <w:bCs/>
                <w:color w:val="auto"/>
                <w:sz w:val="21"/>
                <w:szCs w:val="21"/>
                <w:vertAlign w:val="subscript"/>
              </w:rPr>
              <w:t>矿</w:t>
            </w:r>
            <w:r>
              <w:rPr>
                <w:rFonts w:hint="eastAsia" w:ascii="仿宋" w:hAnsi="仿宋" w:eastAsia="仿宋" w:cs="仿宋"/>
                <w:b w:val="0"/>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tcBorders>
              <w:tl2br w:val="single" w:color="auto" w:sz="2" w:space="0"/>
            </w:tcBorders>
            <w:noWrap w:val="0"/>
            <w:vAlign w:val="center"/>
          </w:tcPr>
          <w:p>
            <w:pPr>
              <w:spacing w:line="240" w:lineRule="exact"/>
              <w:ind w:left="420" w:hanging="420"/>
              <w:jc w:val="center"/>
              <w:rPr>
                <w:rFonts w:hint="eastAsia" w:ascii="仿宋" w:hAnsi="仿宋" w:eastAsia="仿宋" w:cs="仿宋"/>
                <w:b w:val="0"/>
                <w:bCs/>
                <w:color w:val="auto"/>
                <w:sz w:val="21"/>
                <w:szCs w:val="21"/>
              </w:rPr>
            </w:pP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一级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二级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大型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1.84（15）</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2.21（18）</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中型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2.21（18）</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2.70（22）</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小型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2.70（22）</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3.20（26）</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3.81（31）</w:t>
            </w:r>
          </w:p>
        </w:tc>
      </w:tr>
    </w:tbl>
    <w:p>
      <w:pPr>
        <w:pStyle w:val="21"/>
        <w:pageBreakBefore w:val="0"/>
        <w:numPr>
          <w:ilvl w:val="0"/>
          <w:numId w:val="14"/>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bookmarkStart w:id="10" w:name="_Toc235506853"/>
      <w:r>
        <w:rPr>
          <w:rFonts w:hint="eastAsia" w:ascii="仿宋" w:hAnsi="仿宋" w:eastAsia="仿宋" w:cs="仿宋"/>
          <w:color w:val="auto"/>
          <w:sz w:val="28"/>
          <w:szCs w:val="28"/>
          <w:lang w:val="en-US" w:eastAsia="zh-CN"/>
        </w:rPr>
        <w:t>表5 选矿厂工艺综合能耗指标</w:t>
      </w:r>
      <w:bookmarkEnd w:id="1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金属种类</w:t>
            </w:r>
          </w:p>
        </w:tc>
        <w:tc>
          <w:tcPr>
            <w:tcW w:w="1704" w:type="dxa"/>
            <w:vMerge w:val="restart"/>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矿石类型</w:t>
            </w:r>
          </w:p>
        </w:tc>
        <w:tc>
          <w:tcPr>
            <w:tcW w:w="5114" w:type="dxa"/>
            <w:gridSpan w:val="3"/>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选矿工艺综合能耗（kW·h/t</w:t>
            </w:r>
            <w:r>
              <w:rPr>
                <w:rFonts w:hint="eastAsia" w:ascii="宋体" w:hAnsi="宋体"/>
                <w:b w:val="0"/>
                <w:bCs/>
                <w:color w:val="auto"/>
                <w:szCs w:val="21"/>
                <w:vertAlign w:val="subscript"/>
              </w:rPr>
              <w:t>原矿</w:t>
            </w:r>
            <w:r>
              <w:rPr>
                <w:rFonts w:hint="eastAsia" w:ascii="宋体" w:hAnsi="宋体"/>
                <w:b w:val="0"/>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704" w:type="dxa"/>
            <w:vMerge w:val="continue"/>
            <w:noWrap w:val="0"/>
            <w:vAlign w:val="center"/>
          </w:tcPr>
          <w:p>
            <w:pPr>
              <w:ind w:left="420" w:hanging="420"/>
              <w:jc w:val="center"/>
              <w:rPr>
                <w:rFonts w:hint="eastAsia" w:ascii="宋体" w:hAnsi="宋体"/>
                <w:b w:val="0"/>
                <w:bCs/>
                <w:color w:val="auto"/>
                <w:szCs w:val="21"/>
              </w:rPr>
            </w:pPr>
          </w:p>
        </w:tc>
        <w:tc>
          <w:tcPr>
            <w:tcW w:w="1704" w:type="dxa"/>
            <w:vMerge w:val="continue"/>
            <w:noWrap w:val="0"/>
            <w:vAlign w:val="top"/>
          </w:tcPr>
          <w:p>
            <w:pPr>
              <w:ind w:left="420" w:hanging="420"/>
              <w:rPr>
                <w:rFonts w:hint="eastAsia" w:ascii="宋体" w:hAnsi="宋体"/>
                <w:b w:val="0"/>
                <w:bCs/>
                <w:color w:val="auto"/>
                <w:szCs w:val="21"/>
              </w:rPr>
            </w:pP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一级</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二级</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04" w:type="dxa"/>
            <w:vMerge w:val="restart"/>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铅锌</w:t>
            </w: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硫化矿</w:t>
            </w: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≤29</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29＜～≤37</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37＜～≤46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noWrap w:val="0"/>
            <w:vAlign w:val="center"/>
          </w:tcPr>
          <w:p>
            <w:pPr>
              <w:ind w:left="420" w:hanging="420"/>
              <w:jc w:val="center"/>
              <w:rPr>
                <w:rFonts w:hint="eastAsia" w:ascii="宋体" w:hAnsi="宋体"/>
                <w:b w:val="0"/>
                <w:bCs/>
                <w:color w:val="auto"/>
                <w:szCs w:val="21"/>
              </w:rPr>
            </w:pPr>
          </w:p>
        </w:tc>
        <w:tc>
          <w:tcPr>
            <w:tcW w:w="1704" w:type="dxa"/>
            <w:noWrap w:val="0"/>
            <w:vAlign w:val="top"/>
          </w:tcPr>
          <w:p>
            <w:pPr>
              <w:ind w:left="420" w:hanging="420"/>
              <w:jc w:val="center"/>
              <w:rPr>
                <w:rFonts w:hint="eastAsia" w:ascii="宋体" w:hAnsi="宋体"/>
                <w:b w:val="0"/>
                <w:bCs/>
                <w:color w:val="auto"/>
                <w:szCs w:val="21"/>
              </w:rPr>
            </w:pPr>
            <w:r>
              <w:rPr>
                <w:rFonts w:hint="eastAsia" w:ascii="宋体" w:hAnsi="宋体"/>
                <w:b w:val="0"/>
                <w:bCs/>
                <w:color w:val="auto"/>
                <w:szCs w:val="21"/>
              </w:rPr>
              <w:t>混合矿</w:t>
            </w:r>
          </w:p>
          <w:p>
            <w:pPr>
              <w:ind w:left="420" w:hanging="420"/>
              <w:jc w:val="center"/>
              <w:rPr>
                <w:rFonts w:hint="eastAsia" w:ascii="宋体" w:hAnsi="宋体"/>
                <w:b w:val="0"/>
                <w:bCs/>
                <w:color w:val="auto"/>
                <w:szCs w:val="21"/>
              </w:rPr>
            </w:pPr>
            <w:r>
              <w:rPr>
                <w:rFonts w:hint="eastAsia" w:ascii="宋体" w:hAnsi="宋体"/>
                <w:b w:val="0"/>
                <w:bCs/>
                <w:color w:val="auto"/>
                <w:szCs w:val="21"/>
              </w:rPr>
              <w:t>氧化矿</w:t>
            </w: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≤35</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35＜～≤44</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44＜～≤55</w:t>
            </w:r>
          </w:p>
        </w:tc>
      </w:tr>
    </w:tbl>
    <w:p>
      <w:pPr>
        <w:spacing w:before="156" w:beforeLines="50"/>
        <w:ind w:firstLine="420" w:firstLineChars="200"/>
        <w:jc w:val="left"/>
        <w:rPr>
          <w:rFonts w:hint="eastAsia" w:ascii="仿宋" w:hAnsi="仿宋" w:eastAsia="仿宋" w:cs="仿宋"/>
          <w:b w:val="0"/>
          <w:bCs w:val="0"/>
          <w:color w:val="auto"/>
          <w:szCs w:val="21"/>
        </w:rPr>
      </w:pPr>
      <w:r>
        <w:rPr>
          <w:rFonts w:hint="eastAsia" w:ascii="仿宋" w:hAnsi="仿宋" w:eastAsia="仿宋" w:cs="仿宋"/>
          <w:b w:val="0"/>
          <w:bCs w:val="0"/>
          <w:color w:val="auto"/>
          <w:szCs w:val="21"/>
        </w:rPr>
        <w:t>注：选矿工艺综合能耗包括破碎筛分、磨矿、选别、精矿脱水等生产工序，不包括尾矿、供水、供热等辅助工序能耗。</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铅锌矿山工采矿艺设计应符合GB/T 50771的要求。选矿厂工艺设计应符合GB 50782的要求，但不得采用有毒性及国家明令淘汰的落后工艺。</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bookmarkStart w:id="11" w:name="_Toc24273"/>
      <w:r>
        <w:rPr>
          <w:rFonts w:hint="eastAsia" w:ascii="仿宋" w:hAnsi="仿宋" w:eastAsia="仿宋" w:cs="仿宋"/>
          <w:color w:val="auto"/>
          <w:sz w:val="28"/>
          <w:szCs w:val="28"/>
          <w:highlight w:val="none"/>
          <w:lang w:val="en-US" w:eastAsia="zh-CN"/>
        </w:rPr>
        <w:t>基础设施要求</w:t>
      </w:r>
      <w:bookmarkEnd w:id="11"/>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12" w:name="_Toc21339"/>
      <w:r>
        <w:rPr>
          <w:rFonts w:hint="eastAsia" w:ascii="仿宋" w:hAnsi="仿宋" w:eastAsia="仿宋" w:cs="仿宋"/>
          <w:color w:val="auto"/>
          <w:kern w:val="2"/>
          <w:sz w:val="28"/>
          <w:szCs w:val="28"/>
          <w:highlight w:val="none"/>
          <w:lang w:val="en-US" w:eastAsia="zh-CN" w:bidi="ar-SA"/>
        </w:rPr>
        <w:t>6.1建筑</w:t>
      </w:r>
      <w:bookmarkEnd w:id="12"/>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6.1.1工厂的建筑应满足国家或地方相关法律法规及GB 50187《工业企业总平面设计规范》的要求。新建、改建、扩建的铅锌矿山必须符合国家产业政策、本地区土地利用总体规划、矿产资源规划、主体功能区规划、重金属污染防治规划和行业发展规划等要求。</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6.1.2根据危险品、危化品、危险废弃物的管理要求，危险品仓库、有毒有害操作间、废弃物处理间等产生污染物的房间必须独立设置，且不得混用。</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6.1.3鼓励企业采用联合厂房、多层建筑、高层建筑等，可有效减少企业厂区对土地资源的占用，减少企业对周边环境的影响，同时可提升单位面积产值。</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6.2照明</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6.2.1工厂厂区及各房间或场所的照明应尽量利用自然光，人工照明应符合GB 50034规定。照明设计节能应保证不降低作业的视觉要求，最有效地利用照明用电（采用一般照明的照明功率密度值LPD作为评价指标）</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6.2.2照明光源不同场所的照明应进行分级设计；根据不同场所应采用荧光灯、白炽灯、高强气体放电灯（高压钠灯、金属卤化物灯、荧光高压汞灯）等；当悬挂高度在4m及以下时，宜采用荧光灯，4m以上时，宜采用高强气体放电灯；当不宜采用高强气体放电灯时，可采用白炽灯。</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宋体" w:cs="仿宋"/>
          <w:color w:val="auto"/>
          <w:sz w:val="28"/>
          <w:szCs w:val="28"/>
          <w:lang w:val="en-US" w:eastAsia="zh-CN"/>
        </w:rPr>
      </w:pPr>
      <w:r>
        <w:rPr>
          <w:rFonts w:hint="eastAsia" w:ascii="仿宋" w:hAnsi="仿宋" w:eastAsia="仿宋" w:cs="仿宋"/>
          <w:color w:val="auto"/>
          <w:sz w:val="28"/>
          <w:szCs w:val="28"/>
          <w:lang w:val="en-US" w:eastAsia="zh-CN"/>
        </w:rPr>
        <w:t>6.2.3公共场所的照明应采取分区、分组与定时自动调光等措施。一般照明在满足照度均匀度条件下，宜选择单灯功率较大、光效较高的光源；在工业建筑公共场所选用单灯功率小于等于25W的气体放电灯时，其镇流器应选用谐波含量低的产品，并且配备感应式自动控制的发光二极管灯。</w:t>
      </w:r>
    </w:p>
    <w:p>
      <w:pPr>
        <w:pStyle w:val="21"/>
        <w:pageBreakBefore w:val="0"/>
        <w:kinsoku/>
        <w:wordWrap/>
        <w:overflowPunct/>
        <w:topLinePunct w:val="0"/>
        <w:bidi w:val="0"/>
        <w:adjustRightInd/>
        <w:snapToGrid/>
        <w:spacing w:line="400" w:lineRule="exact"/>
        <w:ind w:left="0" w:leftChars="0" w:firstLine="0" w:firstLineChars="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6.2.4工艺适用时，尽量选择自然光照明、节能灯等，节能型照明设备的使用占比不低于90%。</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行业内调查，矿山企业均大量采用了节能照明器具，企业厂区范围内，4m及以下采用的照明灯具基本均以改为节能灯具，4m及上采用的照明灯具大多采用防爆灯或吊链灯，在节能灯具的使用方面，各矿山企业均在大力的推广应用，且实际应用率较高，均可大90%以上，如下表6。</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表6 各矿山企业节能灯具使用率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5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矿山企业</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节能灯具使用率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驰宏会泽矿业</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厂坝铅锌矿</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凡口铅锌矿</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银山矿业</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栖霞山铅锌矿</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锡铁山</w:t>
            </w:r>
          </w:p>
        </w:tc>
        <w:tc>
          <w:tcPr>
            <w:tcW w:w="55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90%</w:t>
            </w:r>
          </w:p>
        </w:tc>
      </w:tr>
    </w:tbl>
    <w:p>
      <w:pPr>
        <w:pStyle w:val="20"/>
        <w:pageBreakBefore w:val="0"/>
        <w:numPr>
          <w:ilvl w:val="1"/>
          <w:numId w:val="0"/>
        </w:numPr>
        <w:kinsoku/>
        <w:wordWrap/>
        <w:overflowPunct/>
        <w:topLinePunct w:val="0"/>
        <w:bidi w:val="0"/>
        <w:adjustRightInd/>
        <w:snapToGrid/>
        <w:spacing w:line="400" w:lineRule="exact"/>
        <w:rPr>
          <w:rFonts w:hint="default" w:ascii="仿宋" w:hAnsi="仿宋" w:eastAsia="仿宋" w:cs="仿宋"/>
          <w:color w:val="auto"/>
          <w:kern w:val="2"/>
          <w:sz w:val="28"/>
          <w:szCs w:val="28"/>
          <w:highlight w:val="none"/>
          <w:lang w:val="en-US" w:eastAsia="zh-CN" w:bidi="ar-SA"/>
        </w:rPr>
      </w:pPr>
      <w:bookmarkStart w:id="13" w:name="_Toc9020"/>
      <w:r>
        <w:rPr>
          <w:rFonts w:hint="eastAsia" w:ascii="仿宋" w:hAnsi="仿宋" w:eastAsia="仿宋" w:cs="仿宋"/>
          <w:color w:val="auto"/>
          <w:kern w:val="2"/>
          <w:sz w:val="28"/>
          <w:szCs w:val="28"/>
          <w:highlight w:val="none"/>
          <w:lang w:val="en-US" w:eastAsia="zh-CN" w:bidi="ar-SA"/>
        </w:rPr>
        <w:t>6.3设备设施</w:t>
      </w:r>
      <w:bookmarkEnd w:id="13"/>
      <w:r>
        <w:rPr>
          <w:rFonts w:hint="eastAsia" w:ascii="仿宋" w:hAnsi="仿宋" w:eastAsia="仿宋" w:cs="仿宋"/>
          <w:color w:val="auto"/>
          <w:kern w:val="2"/>
          <w:sz w:val="28"/>
          <w:szCs w:val="28"/>
          <w:highlight w:val="none"/>
          <w:lang w:val="en-US" w:eastAsia="zh-CN" w:bidi="ar-SA"/>
        </w:rPr>
        <w:t>及工艺</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6.3.1专用设备及工艺</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采矿专用设备</w:t>
      </w:r>
      <w:r>
        <w:rPr>
          <w:rFonts w:hint="eastAsia" w:ascii="仿宋" w:hAnsi="仿宋" w:eastAsia="仿宋" w:cs="仿宋"/>
          <w:color w:val="auto"/>
          <w:sz w:val="28"/>
          <w:szCs w:val="28"/>
          <w:lang w:val="en-US" w:eastAsia="zh-CN"/>
        </w:rPr>
        <w:t>：</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采矿企业露天采矿机械化采用程度整体高于地下矿山。如华联锌铟、金鼎锌业等露天矿山，均实施有大型的采剥设备与运输设备，作业现场均可实施全机械化作业。如凡口铅锌矿、锡铁山、驰宏会泽矿业、厂坝铅锌矿等地下矿山，受矿体散、小、薄的影响，作业过程</w:t>
      </w:r>
      <w:r>
        <w:rPr>
          <w:rFonts w:hint="eastAsia" w:ascii="仿宋" w:hAnsi="仿宋" w:eastAsia="仿宋" w:cs="仿宋"/>
          <w:color w:val="auto"/>
          <w:sz w:val="28"/>
          <w:szCs w:val="32"/>
          <w:highlight w:val="none"/>
          <w:lang w:val="en-US" w:eastAsia="zh-CN"/>
        </w:rPr>
        <w:t>虽在</w:t>
      </w:r>
      <w:r>
        <w:rPr>
          <w:rFonts w:hint="default" w:ascii="仿宋" w:hAnsi="仿宋" w:eastAsia="仿宋" w:cs="仿宋"/>
          <w:color w:val="auto"/>
          <w:sz w:val="28"/>
          <w:szCs w:val="32"/>
          <w:highlight w:val="none"/>
          <w:lang w:val="en-US" w:eastAsia="zh-CN"/>
        </w:rPr>
        <w:t>逐步开展凿岩台车、天井钻机、装岩机、铲运机、乳化炸药混装车、反井钻机等大型机械设备的应用工作，但现目前铅锌采矿作业的机械化应用程度仍处于较低水平，还未实现全作业过程大型机械的应用</w:t>
      </w:r>
      <w:r>
        <w:rPr>
          <w:rFonts w:hint="eastAsia" w:ascii="仿宋" w:hAnsi="仿宋" w:eastAsia="仿宋" w:cs="仿宋"/>
          <w:color w:val="auto"/>
          <w:sz w:val="28"/>
          <w:szCs w:val="32"/>
          <w:highlight w:val="none"/>
          <w:lang w:val="en-US" w:eastAsia="zh-CN"/>
        </w:rPr>
        <w:t>，部分</w:t>
      </w:r>
      <w:r>
        <w:rPr>
          <w:rFonts w:hint="eastAsia" w:ascii="仿宋" w:hAnsi="仿宋" w:eastAsia="仿宋" w:cs="仿宋"/>
          <w:color w:val="auto"/>
          <w:sz w:val="28"/>
          <w:szCs w:val="28"/>
          <w:lang w:val="en-US" w:eastAsia="zh-CN"/>
        </w:rPr>
        <w:t>作业现场仍在使用人工凿岩器材，整体实物劳动生产率不高。同时铅锌矿山多为老矿山，仍存在大量高能耗、低效率设备的存在，企业虽然有更换计划，但仍会有较长的持续时间。</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28"/>
          <w:lang w:val="en-US" w:eastAsia="zh-CN"/>
        </w:rPr>
        <w:t>结合铅锌采矿企业现状，鼓励企业加快自身设备改进，鼓励采</w:t>
      </w:r>
      <w:r>
        <w:rPr>
          <w:rFonts w:hint="eastAsia" w:ascii="仿宋" w:hAnsi="仿宋" w:eastAsia="仿宋" w:cs="仿宋"/>
          <w:color w:val="auto"/>
          <w:sz w:val="28"/>
          <w:szCs w:val="32"/>
          <w:highlight w:val="none"/>
          <w:lang w:val="en-US" w:eastAsia="zh-CN"/>
        </w:rPr>
        <w:t>使用产业政策、产业结构调整指导目录、装备目录等政策中鼓励类设备，严禁使用明令淘汰的落后装备。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同时为规范矿山用设备安全管理要求，铅锌矿山开采作业应使用取得矿用安全标志证书的采掘及运输设备。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鼓励露天开采宜采用自动化程度及作业效率高的采、剥、运、排的机械化装备。鼓励地下开采宜实现电动铲运机、凿岩台车、牵引矿车等作业效率高的机械化装备。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sz w:val="28"/>
          <w:szCs w:val="32"/>
          <w:highlight w:val="none"/>
          <w:lang w:val="en-US" w:eastAsia="zh-CN"/>
        </w:rPr>
        <w:t>为提升企业加大对矿山自然灾害的监测与预防，鼓励地下矿山建立</w:t>
      </w:r>
      <w:r>
        <w:rPr>
          <w:rFonts w:hint="eastAsia" w:ascii="仿宋" w:hAnsi="仿宋" w:eastAsia="仿宋" w:cs="仿宋"/>
          <w:color w:val="auto"/>
          <w:kern w:val="0"/>
          <w:sz w:val="28"/>
          <w:szCs w:val="28"/>
          <w:highlight w:val="none"/>
          <w:lang w:val="en-US" w:eastAsia="zh-CN" w:bidi="ar"/>
        </w:rPr>
        <w:t>矿山地压，鼓励露天矿山建立采区及复垦区边坡实时监测系统。</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kern w:val="0"/>
          <w:sz w:val="28"/>
          <w:szCs w:val="28"/>
          <w:highlight w:val="none"/>
          <w:lang w:val="en-US" w:eastAsia="zh-CN" w:bidi="ar"/>
        </w:rPr>
        <w:t>矿山企业要积极接触并应用前言科技，推动智慧化矿山建设，鼓励企业积极应用</w:t>
      </w:r>
      <w:r>
        <w:rPr>
          <w:rFonts w:hint="eastAsia" w:ascii="仿宋" w:hAnsi="仿宋" w:eastAsia="仿宋" w:cs="仿宋"/>
          <w:color w:val="auto"/>
          <w:sz w:val="28"/>
          <w:szCs w:val="32"/>
          <w:highlight w:val="none"/>
          <w:lang w:val="en-US" w:eastAsia="zh-CN"/>
        </w:rPr>
        <w:t>设备物联、大数据平台、人工智能分析等前沿技术。</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采矿技术：</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default" w:ascii="仿宋" w:hAnsi="仿宋" w:eastAsia="仿宋" w:cs="仿宋"/>
          <w:color w:val="auto"/>
          <w:sz w:val="28"/>
          <w:szCs w:val="32"/>
          <w:highlight w:val="none"/>
          <w:lang w:val="en-US" w:eastAsia="zh-CN"/>
        </w:rPr>
      </w:pPr>
      <w:r>
        <w:rPr>
          <w:rFonts w:hint="default" w:ascii="仿宋" w:hAnsi="仿宋" w:eastAsia="仿宋" w:cs="仿宋"/>
          <w:color w:val="auto"/>
          <w:sz w:val="28"/>
          <w:szCs w:val="32"/>
          <w:highlight w:val="none"/>
          <w:lang w:val="en-US" w:eastAsia="zh-CN"/>
        </w:rPr>
        <w:t>铅锌矿山企业主体仍为硫化矿，为铅锌混生矿体，除部分氧化矿矿山仍在露天采矿作业以外，基本均已进入地下开采阶段。</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default"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地下</w:t>
      </w:r>
      <w:r>
        <w:rPr>
          <w:rFonts w:hint="default" w:ascii="仿宋" w:hAnsi="仿宋" w:eastAsia="仿宋" w:cs="仿宋"/>
          <w:color w:val="auto"/>
          <w:sz w:val="28"/>
          <w:szCs w:val="32"/>
          <w:highlight w:val="none"/>
          <w:lang w:val="en-US" w:eastAsia="zh-CN"/>
        </w:rPr>
        <w:t>矿山企业采矿工艺主要分为空场崩落法</w:t>
      </w:r>
      <w:r>
        <w:rPr>
          <w:rFonts w:hint="eastAsia" w:ascii="仿宋" w:hAnsi="仿宋" w:eastAsia="仿宋" w:cs="仿宋"/>
          <w:color w:val="auto"/>
          <w:sz w:val="28"/>
          <w:szCs w:val="32"/>
          <w:highlight w:val="none"/>
          <w:lang w:val="en-US" w:eastAsia="zh-CN"/>
        </w:rPr>
        <w:t>（锡铁山）</w:t>
      </w:r>
      <w:r>
        <w:rPr>
          <w:rFonts w:hint="default" w:ascii="仿宋" w:hAnsi="仿宋" w:eastAsia="仿宋" w:cs="仿宋"/>
          <w:color w:val="auto"/>
          <w:sz w:val="28"/>
          <w:szCs w:val="32"/>
          <w:highlight w:val="none"/>
          <w:lang w:val="en-US" w:eastAsia="zh-CN"/>
        </w:rPr>
        <w:t>和充填采矿法</w:t>
      </w:r>
      <w:r>
        <w:rPr>
          <w:rFonts w:hint="eastAsia" w:ascii="仿宋" w:hAnsi="仿宋" w:eastAsia="仿宋" w:cs="仿宋"/>
          <w:color w:val="auto"/>
          <w:sz w:val="28"/>
          <w:szCs w:val="32"/>
          <w:highlight w:val="none"/>
          <w:lang w:val="en-US" w:eastAsia="zh-CN"/>
        </w:rPr>
        <w:t>（驰宏会泽矿业、厂坝铅锌矿、凡口铅锌矿、银山矿业、栖霞山铅锌矿等）</w:t>
      </w:r>
      <w:r>
        <w:rPr>
          <w:rFonts w:hint="default" w:ascii="仿宋" w:hAnsi="仿宋" w:eastAsia="仿宋" w:cs="仿宋"/>
          <w:color w:val="auto"/>
          <w:sz w:val="28"/>
          <w:szCs w:val="32"/>
          <w:highlight w:val="none"/>
          <w:lang w:val="en-US" w:eastAsia="zh-CN"/>
        </w:rPr>
        <w:t>两类，其中，空场崩落法有：大直径深孔采矿法，盘区机械化中深孔采矿法等；充填法有：水平分层胶结充填法，分段空场法（嗣后充填），留矿嗣后充填采矿法等。</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露天矿山</w:t>
      </w:r>
      <w:r>
        <w:rPr>
          <w:rFonts w:hint="default" w:ascii="仿宋" w:hAnsi="仿宋" w:eastAsia="仿宋" w:cs="仿宋"/>
          <w:color w:val="auto"/>
          <w:sz w:val="28"/>
          <w:szCs w:val="32"/>
          <w:highlight w:val="none"/>
          <w:lang w:val="en-US" w:eastAsia="zh-CN"/>
        </w:rPr>
        <w:t>采矿工艺</w:t>
      </w:r>
      <w:r>
        <w:rPr>
          <w:rFonts w:hint="eastAsia" w:ascii="仿宋" w:hAnsi="仿宋" w:eastAsia="仿宋" w:cs="仿宋"/>
          <w:color w:val="auto"/>
          <w:sz w:val="28"/>
          <w:szCs w:val="32"/>
          <w:highlight w:val="none"/>
          <w:lang w:val="en-US" w:eastAsia="zh-CN"/>
        </w:rPr>
        <w:t>均采用剥离-排土-深浅孔结合爆破的开采方式（</w:t>
      </w:r>
      <w:r>
        <w:rPr>
          <w:rFonts w:hint="eastAsia" w:ascii="仿宋" w:hAnsi="仿宋" w:eastAsia="仿宋" w:cs="仿宋"/>
          <w:color w:val="auto"/>
          <w:sz w:val="28"/>
          <w:szCs w:val="28"/>
          <w:lang w:val="en-US" w:eastAsia="zh-CN"/>
        </w:rPr>
        <w:t>华联锌铟、金鼎锌业、青海鸿鑫</w:t>
      </w:r>
      <w:r>
        <w:rPr>
          <w:rFonts w:hint="eastAsia" w:ascii="仿宋" w:hAnsi="仿宋" w:eastAsia="仿宋" w:cs="仿宋"/>
          <w:color w:val="auto"/>
          <w:sz w:val="28"/>
          <w:szCs w:val="32"/>
          <w:highlight w:val="none"/>
          <w:lang w:val="en-US" w:eastAsia="zh-CN"/>
        </w:rPr>
        <w:t>），同时在积极落实绿色发展的路上，相关企业均在推进排土场</w:t>
      </w:r>
      <w:r>
        <w:rPr>
          <w:rFonts w:hint="default" w:ascii="仿宋" w:hAnsi="仿宋" w:eastAsia="仿宋" w:cs="仿宋"/>
          <w:color w:val="auto"/>
          <w:sz w:val="28"/>
          <w:szCs w:val="32"/>
          <w:highlight w:val="none"/>
          <w:lang w:val="en-US" w:eastAsia="zh-CN"/>
        </w:rPr>
        <w:t>复垦</w:t>
      </w:r>
      <w:r>
        <w:rPr>
          <w:rFonts w:hint="eastAsia" w:ascii="仿宋" w:hAnsi="仿宋" w:eastAsia="仿宋" w:cs="仿宋"/>
          <w:color w:val="auto"/>
          <w:sz w:val="28"/>
          <w:szCs w:val="32"/>
          <w:highlight w:val="none"/>
          <w:lang w:val="en-US" w:eastAsia="zh-CN"/>
        </w:rPr>
        <w:t>工作。</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结合铅锌矿山企业采矿技术发展现状，落实绿色发展，应持续落实采剥复垦联合露天开采方式及采用采充联合开发井下开采技术，鼓励露天开采采用剥离-排土-造地-复垦的一体化开采技术，鼓励井下开采采用全尾砂膏体充填的开采技术。</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同时为避免二次污染的发生，使用复垦、充填开采技术时，应对复垦填埋物及充填骨料进行毒害检测，并预先进行无害化处理。</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铅锌矿山开采回采率应满足DZ/T 0320《</w:t>
      </w:r>
      <w:r>
        <w:rPr>
          <w:rFonts w:hint="eastAsia" w:ascii="Times New Roman" w:hAnsi="Times New Roman" w:eastAsia="仿宋_GB2312" w:cs="Times New Roman"/>
          <w:color w:val="auto"/>
          <w:sz w:val="28"/>
          <w:szCs w:val="28"/>
          <w:lang w:val="en-US" w:eastAsia="zh-CN"/>
        </w:rPr>
        <w:t>有色金属行业绿色矿山建设规范</w:t>
      </w:r>
      <w:r>
        <w:rPr>
          <w:rFonts w:hint="eastAsia" w:ascii="仿宋" w:hAnsi="仿宋" w:eastAsia="仿宋" w:cs="仿宋"/>
          <w:color w:val="auto"/>
          <w:sz w:val="28"/>
          <w:szCs w:val="32"/>
          <w:highlight w:val="none"/>
          <w:lang w:val="en-US" w:eastAsia="zh-CN"/>
        </w:rPr>
        <w:t>》附表A3的要求，见下表7。</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表7 铅锌矿采矿回采率指标要求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779"/>
        <w:gridCol w:w="936"/>
        <w:gridCol w:w="782"/>
        <w:gridCol w:w="799"/>
        <w:gridCol w:w="1010"/>
        <w:gridCol w:w="782"/>
        <w:gridCol w:w="801"/>
        <w:gridCol w:w="101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露天采矿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大型矿山</w:t>
            </w:r>
          </w:p>
        </w:tc>
        <w:tc>
          <w:tcPr>
            <w:tcW w:w="439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中小型矿山或矿体形态变化大</w:t>
            </w:r>
          </w:p>
        </w:tc>
        <w:tc>
          <w:tcPr>
            <w:tcW w:w="439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地下采矿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矿体厚度</w:t>
            </w:r>
          </w:p>
        </w:tc>
        <w:tc>
          <w:tcPr>
            <w:tcW w:w="249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铅锌（当量）品位（硫化矿）</w:t>
            </w:r>
          </w:p>
        </w:tc>
        <w:tc>
          <w:tcPr>
            <w:tcW w:w="259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铅锌（当量）品位（混合矿）</w:t>
            </w:r>
          </w:p>
        </w:tc>
        <w:tc>
          <w:tcPr>
            <w:tcW w:w="260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铅锌（当量）品位（混合矿）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15"/>
                <w:szCs w:val="15"/>
                <w:highlight w:val="none"/>
                <w:vertAlign w:val="baseline"/>
                <w:lang w:val="en-US" w:eastAsia="zh-CN"/>
              </w:rPr>
            </w:pPr>
          </w:p>
        </w:tc>
        <w:tc>
          <w:tcPr>
            <w:tcW w:w="7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≥9.0%</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4.5%-9.0%</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≤4.5%</w:t>
            </w:r>
          </w:p>
        </w:tc>
        <w:tc>
          <w:tcPr>
            <w:tcW w:w="7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≥11.5%</w:t>
            </w:r>
          </w:p>
        </w:tc>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6.0%-11.5%</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≤6.0%</w:t>
            </w:r>
          </w:p>
        </w:tc>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≥14.0%</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7.5%-14.0%</w:t>
            </w:r>
          </w:p>
        </w:tc>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≤5m</w:t>
            </w:r>
          </w:p>
        </w:tc>
        <w:tc>
          <w:tcPr>
            <w:tcW w:w="7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88</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80</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75</w:t>
            </w:r>
          </w:p>
        </w:tc>
        <w:tc>
          <w:tcPr>
            <w:tcW w:w="7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88</w:t>
            </w:r>
          </w:p>
        </w:tc>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80</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75</w:t>
            </w:r>
          </w:p>
        </w:tc>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88</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80</w:t>
            </w:r>
          </w:p>
        </w:tc>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5-15m</w:t>
            </w:r>
          </w:p>
        </w:tc>
        <w:tc>
          <w:tcPr>
            <w:tcW w:w="7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92</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83</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80</w:t>
            </w:r>
          </w:p>
        </w:tc>
        <w:tc>
          <w:tcPr>
            <w:tcW w:w="7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92</w:t>
            </w:r>
          </w:p>
        </w:tc>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83</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80</w:t>
            </w:r>
          </w:p>
        </w:tc>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92</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83</w:t>
            </w:r>
          </w:p>
        </w:tc>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≥15m</w:t>
            </w:r>
          </w:p>
        </w:tc>
        <w:tc>
          <w:tcPr>
            <w:tcW w:w="7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92</w:t>
            </w:r>
          </w:p>
        </w:tc>
        <w:tc>
          <w:tcPr>
            <w:tcW w:w="9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85</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85</w:t>
            </w:r>
          </w:p>
        </w:tc>
        <w:tc>
          <w:tcPr>
            <w:tcW w:w="7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15"/>
                <w:szCs w:val="15"/>
                <w:highlight w:val="none"/>
                <w:vertAlign w:val="baseline"/>
                <w:lang w:val="en-US" w:eastAsia="zh-CN"/>
              </w:rPr>
            </w:pPr>
            <w:r>
              <w:rPr>
                <w:rFonts w:hint="eastAsia" w:ascii="Times New Roman" w:hAnsi="Times New Roman" w:eastAsia="仿宋_GB2312" w:cs="Times New Roman"/>
                <w:b w:val="0"/>
                <w:bCs w:val="0"/>
                <w:color w:val="auto"/>
                <w:sz w:val="15"/>
                <w:szCs w:val="15"/>
                <w:highlight w:val="none"/>
                <w:vertAlign w:val="baseline"/>
                <w:lang w:val="en-US" w:eastAsia="zh-CN"/>
              </w:rPr>
              <w:t>92</w:t>
            </w:r>
          </w:p>
        </w:tc>
        <w:tc>
          <w:tcPr>
            <w:tcW w:w="10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85</w:t>
            </w:r>
          </w:p>
        </w:tc>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85</w:t>
            </w:r>
          </w:p>
        </w:tc>
        <w:tc>
          <w:tcPr>
            <w:tcW w:w="8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92</w:t>
            </w:r>
          </w:p>
        </w:tc>
        <w:tc>
          <w:tcPr>
            <w:tcW w:w="101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85</w:t>
            </w:r>
          </w:p>
        </w:tc>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eastAsia="仿宋_GB2312" w:cs="Times New Roman"/>
                <w:b w:val="0"/>
                <w:bCs w:val="0"/>
                <w:color w:val="auto"/>
                <w:kern w:val="2"/>
                <w:sz w:val="15"/>
                <w:szCs w:val="15"/>
                <w:highlight w:val="none"/>
                <w:vertAlign w:val="baseline"/>
                <w:lang w:val="en-US" w:eastAsia="zh-CN" w:bidi="ar-SA"/>
              </w:rPr>
            </w:pPr>
            <w:r>
              <w:rPr>
                <w:rFonts w:hint="eastAsia" w:ascii="Times New Roman" w:hAnsi="Times New Roman" w:eastAsia="仿宋_GB2312" w:cs="Times New Roman"/>
                <w:b w:val="0"/>
                <w:bCs w:val="0"/>
                <w:color w:val="auto"/>
                <w:sz w:val="15"/>
                <w:szCs w:val="15"/>
                <w:highlight w:val="none"/>
                <w:vertAlign w:val="baseline"/>
                <w:lang w:val="en-US" w:eastAsia="zh-CN"/>
              </w:rPr>
              <w:t>85</w:t>
            </w:r>
          </w:p>
        </w:tc>
      </w:tr>
    </w:tbl>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选矿专用设备</w:t>
      </w:r>
      <w:r>
        <w:rPr>
          <w:rFonts w:hint="eastAsia" w:ascii="仿宋" w:hAnsi="仿宋" w:eastAsia="仿宋" w:cs="仿宋"/>
          <w:color w:val="auto"/>
          <w:sz w:val="28"/>
          <w:szCs w:val="28"/>
          <w:lang w:val="en-US" w:eastAsia="zh-CN"/>
        </w:rPr>
        <w:t>：</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选矿专用设备主要有磨矿机、浮选机/浮选柱等。各类设备的组合受选矿技术技术的不同，存在较大的差异及不同的组合方式。选矿厂在设备选择时，选矿用磨矿机应满足GB/T 25708《</w:t>
      </w:r>
      <w:r>
        <w:rPr>
          <w:rFonts w:hint="default" w:ascii="仿宋" w:hAnsi="仿宋" w:eastAsia="仿宋" w:cs="仿宋"/>
          <w:color w:val="auto"/>
          <w:sz w:val="28"/>
          <w:szCs w:val="32"/>
          <w:highlight w:val="none"/>
          <w:lang w:val="en-US" w:eastAsia="zh-CN"/>
        </w:rPr>
        <w:t>球磨机和棒磨机</w:t>
      </w:r>
      <w:r>
        <w:rPr>
          <w:rFonts w:hint="eastAsia" w:ascii="仿宋" w:hAnsi="仿宋" w:eastAsia="仿宋" w:cs="仿宋"/>
          <w:color w:val="auto"/>
          <w:sz w:val="28"/>
          <w:szCs w:val="32"/>
          <w:highlight w:val="none"/>
          <w:lang w:val="en-US" w:eastAsia="zh-CN"/>
        </w:rPr>
        <w:t>》、GB/T 25709《自磨机和半自磨机》的要求。鼓励铅锌选矿作业使用产业政策、产业结构调整指导目录、装备目录等政策中鼓励类设备，严禁使用明令淘汰的落后装备。同时选矿专用设备应符合业准入要求，降低能源与资源消耗，减少污染物排放。</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浮选机的选择，</w:t>
      </w:r>
      <w:r>
        <w:rPr>
          <w:rFonts w:hint="eastAsia" w:ascii="Times New Roman" w:hAnsi="Times New Roman" w:eastAsia="仿宋_GB2312" w:cs="Times New Roman"/>
          <w:color w:val="auto"/>
          <w:sz w:val="28"/>
          <w:szCs w:val="28"/>
          <w:lang w:val="en-US" w:eastAsia="zh-CN"/>
        </w:rPr>
        <w:t>叶轮式</w:t>
      </w:r>
      <w:r>
        <w:rPr>
          <w:rFonts w:hint="eastAsia" w:ascii="仿宋" w:hAnsi="仿宋" w:eastAsia="仿宋" w:cs="仿宋"/>
          <w:color w:val="auto"/>
          <w:sz w:val="28"/>
          <w:szCs w:val="32"/>
          <w:highlight w:val="none"/>
          <w:lang w:val="en-US" w:eastAsia="zh-CN"/>
        </w:rPr>
        <w:t>浮选机应满足JB/T 1655《</w:t>
      </w:r>
      <w:r>
        <w:rPr>
          <w:rFonts w:hint="eastAsia" w:ascii="Times New Roman" w:hAnsi="Times New Roman" w:eastAsia="仿宋_GB2312" w:cs="Times New Roman"/>
          <w:color w:val="auto"/>
          <w:sz w:val="28"/>
          <w:szCs w:val="28"/>
          <w:lang w:val="en-US" w:eastAsia="zh-CN"/>
        </w:rPr>
        <w:t>矿用叶轮式浮选机</w:t>
      </w:r>
      <w:r>
        <w:rPr>
          <w:rFonts w:hint="eastAsia" w:ascii="仿宋" w:hAnsi="仿宋" w:eastAsia="仿宋" w:cs="仿宋"/>
          <w:color w:val="auto"/>
          <w:sz w:val="28"/>
          <w:szCs w:val="32"/>
          <w:highlight w:val="none"/>
          <w:lang w:val="en-US" w:eastAsia="zh-CN"/>
        </w:rPr>
        <w:t>》的要求，充气式旋转浮选机应满足JB/T 9038《充</w:t>
      </w:r>
      <w:bookmarkStart w:id="25" w:name="_GoBack"/>
      <w:bookmarkEnd w:id="25"/>
      <w:r>
        <w:rPr>
          <w:rFonts w:hint="eastAsia" w:ascii="Times New Roman" w:hAnsi="Times New Roman" w:eastAsia="仿宋_GB2312" w:cs="Times New Roman"/>
          <w:color w:val="auto"/>
          <w:sz w:val="28"/>
          <w:szCs w:val="28"/>
          <w:lang w:val="en-US" w:eastAsia="zh-CN"/>
        </w:rPr>
        <w:t>气搅拌式浮选机</w:t>
      </w:r>
      <w:r>
        <w:rPr>
          <w:rFonts w:hint="eastAsia" w:ascii="仿宋" w:hAnsi="仿宋" w:eastAsia="仿宋" w:cs="仿宋"/>
          <w:color w:val="auto"/>
          <w:sz w:val="28"/>
          <w:szCs w:val="32"/>
          <w:highlight w:val="none"/>
          <w:lang w:val="en-US" w:eastAsia="zh-CN"/>
        </w:rPr>
        <w:t>》的要求。</w:t>
      </w:r>
      <w:r>
        <w:rPr>
          <w:rFonts w:hint="eastAsia" w:ascii="Times New Roman" w:hAnsi="Times New Roman" w:eastAsia="仿宋_GB2312" w:cs="Times New Roman"/>
          <w:color w:val="auto"/>
          <w:sz w:val="28"/>
          <w:szCs w:val="28"/>
          <w:lang w:val="en-US" w:eastAsia="zh-CN"/>
        </w:rPr>
        <w:t>旋流微泡浮选柱</w:t>
      </w:r>
      <w:r>
        <w:rPr>
          <w:rFonts w:hint="eastAsia" w:ascii="仿宋" w:hAnsi="仿宋" w:eastAsia="仿宋" w:cs="仿宋"/>
          <w:color w:val="auto"/>
          <w:sz w:val="28"/>
          <w:szCs w:val="32"/>
          <w:highlight w:val="none"/>
          <w:lang w:val="en-US" w:eastAsia="zh-CN"/>
        </w:rPr>
        <w:t>应满足GB/T 23178《</w:t>
      </w:r>
      <w:r>
        <w:rPr>
          <w:rFonts w:hint="eastAsia" w:ascii="Times New Roman" w:hAnsi="Times New Roman" w:eastAsia="仿宋_GB2312" w:cs="Times New Roman"/>
          <w:color w:val="auto"/>
          <w:sz w:val="28"/>
          <w:szCs w:val="28"/>
          <w:lang w:val="en-US" w:eastAsia="zh-CN"/>
        </w:rPr>
        <w:t>旋流微泡浮选柱</w:t>
      </w:r>
      <w:r>
        <w:rPr>
          <w:rFonts w:hint="eastAsia" w:ascii="仿宋" w:hAnsi="仿宋" w:eastAsia="仿宋" w:cs="仿宋"/>
          <w:color w:val="auto"/>
          <w:sz w:val="28"/>
          <w:szCs w:val="32"/>
          <w:highlight w:val="none"/>
          <w:lang w:val="en-US" w:eastAsia="zh-CN"/>
        </w:rPr>
        <w:t>》的要求。组成专用设备的配套通用设备应执行6.3.2的要求。</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尾矿库作为选矿厂的必要设施，为落实尾矿库安全监管，鼓励建立尾矿库坝体安全实时监测系统，预防尾矿库事故灾害的发生。</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default"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鼓励企业积极规划智能化建设，逐步推进设备物联、大数据平台、人工智能分析等前沿技术在选矿作业中的应用。</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b/>
          <w:bCs/>
          <w:color w:val="auto"/>
          <w:sz w:val="28"/>
          <w:szCs w:val="28"/>
          <w:lang w:val="en-US" w:eastAsia="zh-CN"/>
        </w:rPr>
        <w:t>选矿技术：</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选矿工艺国内铅锌矿山主体仍采用高碱优先浮选工艺，绝大的部分仍使用石灰作为水体pH的调节剂，同时过程中使用黄药（乙基、丁基黄药）、黑药及其衍生药剂作为捕收剂，六偏磷酸钠、硫酸锌、亚硫酸钠、硫酸铜、硫酸等药剂作为各阶段的活化或抑制剂，2#油作为起泡剂。</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鼓励铅锌选矿采用能耗低、技术经济指标先进的技术路线，同时注重伴生有价资源的回收利用。适用时鼓励宜采用选冶联合工艺，全产业链提升有价金属的回收率。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32"/>
          <w:highlight w:val="none"/>
          <w:lang w:val="en-US" w:eastAsia="zh-CN"/>
        </w:rPr>
      </w:pPr>
      <w:r>
        <w:rPr>
          <w:rFonts w:hint="eastAsia" w:ascii="仿宋" w:hAnsi="仿宋" w:eastAsia="仿宋" w:cs="仿宋"/>
          <w:color w:val="auto"/>
          <w:sz w:val="28"/>
          <w:szCs w:val="32"/>
          <w:highlight w:val="none"/>
          <w:lang w:val="en-US" w:eastAsia="zh-CN"/>
        </w:rPr>
        <w:t>铅锌选矿回收率应满足DZ/T 0320《</w:t>
      </w:r>
      <w:r>
        <w:rPr>
          <w:rFonts w:hint="eastAsia" w:ascii="Times New Roman" w:hAnsi="Times New Roman" w:eastAsia="仿宋_GB2312" w:cs="Times New Roman"/>
          <w:color w:val="auto"/>
          <w:sz w:val="28"/>
          <w:szCs w:val="28"/>
          <w:lang w:val="en-US" w:eastAsia="zh-CN"/>
        </w:rPr>
        <w:t>有色金属行业绿色矿山建设规范</w:t>
      </w:r>
      <w:r>
        <w:rPr>
          <w:rFonts w:hint="eastAsia" w:ascii="仿宋" w:hAnsi="仿宋" w:eastAsia="仿宋" w:cs="仿宋"/>
          <w:color w:val="auto"/>
          <w:sz w:val="28"/>
          <w:szCs w:val="32"/>
          <w:highlight w:val="none"/>
          <w:lang w:val="en-US" w:eastAsia="zh-CN"/>
        </w:rPr>
        <w:t>》附表A4、A5的要求。</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6.3.2通用设备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鼓励企业采用节能型产品。铅锌采选作业通用设备，包括电动机、空压机、通风机、泵、变压器等耗能设备，此类耗能设备能效应达到GB 18613《中小型三相异步电动机能效限定值及能效等级》、GB 19153《容积式空气压缩机能效限定值及能效等级》、GB 19761《通风机能效限定值及能效等级》、GB 19762《清水离心泵能效限定值及节能评价值》、GB 20052《三相配电变压器能效限定值及能效等级》、GB 24790《电力变压器能效限定值及能效》中能效限定值的强制性要求，禁止采购国家明令禁止使用的和能耗高的此类耗能设备。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同时通用的电动机、变压器、泵及通风机等设备实际运行效率或主要运行参数应符合GB/T 12497《三相异步电动机经济运行》、GB/T 13462《电力变压器经济运行》、GB/T 13469《离心泵、混流泵、轴流泵与旋涡泵系统经济运行》、GB/T 13470《通风机系统经济运行》的要求，禁止采购国家明令禁止使用效率低的设备。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对原企业存有的已明令禁止生产、使用的和能耗高、效率低的设备，企业应制定限期淘汰计划，并按计划组织实施。</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6.3.3计量设备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铅锌采选业绿色工厂应当根据GB 17167《用能单位能源计量器具配备和管理通则》、GB 24789《用水单位水计量器具配备和管理通则》的要求配备、使用和管理能源、水以及其他资源的计量器具和装置，对生产过程的重点用能、用水工序及重点设备进行独立的计量，确保关键环节得到有效监控。</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val="en-US" w:eastAsia="zh-CN"/>
        </w:rPr>
        <w:t>6.3.4</w:t>
      </w:r>
      <w:r>
        <w:rPr>
          <w:rFonts w:hint="eastAsia" w:ascii="仿宋" w:hAnsi="仿宋" w:eastAsia="仿宋" w:cs="仿宋"/>
          <w:color w:val="auto"/>
          <w:kern w:val="0"/>
          <w:sz w:val="28"/>
          <w:szCs w:val="28"/>
          <w:lang w:val="en-US" w:eastAsia="zh-CN" w:bidi="ar-SA"/>
        </w:rPr>
        <w:t>污染物处理设备设施及工艺</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污染物种类：</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铅锌采选作业产生的污染物主要有粉尘、矿井涌水、选矿废水、废石（渣土）、尾矿、噪声。</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各类污染物的处理工艺：</w:t>
      </w:r>
    </w:p>
    <w:p>
      <w:pPr>
        <w:pStyle w:val="29"/>
        <w:bidi w:val="0"/>
        <w:ind w:left="839" w:leftChars="0" w:hanging="419" w:firstLineChars="0"/>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粉尘处理工艺</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仿宋" w:hAnsi="仿宋" w:eastAsia="仿宋" w:cs="仿宋"/>
          <w:color w:val="auto"/>
          <w:kern w:val="0"/>
          <w:sz w:val="28"/>
          <w:szCs w:val="28"/>
          <w:lang w:val="en-US" w:eastAsia="zh-CN" w:bidi="ar-SA"/>
        </w:rPr>
        <w:t>根据行业内调研情况，各铅锌企业粉尘产生量最大均为选矿破碎工序，各企业多采用布袋除尘或湿式除尘等方式开展除尘工作。如下表8。</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24"/>
          <w:szCs w:val="24"/>
          <w:highlight w:val="none"/>
          <w:lang w:val="en-US" w:eastAsia="zh-CN"/>
        </w:rPr>
        <w:t>表8 各矿山企业颗粒物处理与回收方式</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23"/>
        <w:gridCol w:w="252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矿山企业</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颗粒物产生环节</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颗粒物处理方式</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回收处理方式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驰宏会泽矿业</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val="0"/>
                <w:bCs w:val="0"/>
                <w:color w:val="auto"/>
                <w:sz w:val="24"/>
                <w:szCs w:val="24"/>
                <w:highlight w:val="none"/>
                <w:vertAlign w:val="baseline"/>
                <w:lang w:val="en-US"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湿式除尘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厂坝铅锌矿</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湿式除尘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凡口铅锌矿</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布袋除尘</w:t>
            </w:r>
            <w:r>
              <w:rPr>
                <w:rFonts w:hint="eastAsia" w:ascii="Times New Roman" w:hAnsi="Times New Roman" w:eastAsia="仿宋_GB2312" w:cs="Times New Roman"/>
                <w:b w:val="0"/>
                <w:bCs w:val="0"/>
                <w:color w:val="auto"/>
                <w:sz w:val="24"/>
                <w:szCs w:val="24"/>
                <w:highlight w:val="none"/>
                <w:vertAlign w:val="baseline"/>
                <w:lang w:val="en-US" w:eastAsia="zh-CN"/>
              </w:rPr>
              <w:t>+</w:t>
            </w:r>
            <w:r>
              <w:rPr>
                <w:rFonts w:hint="eastAsia" w:ascii="Times New Roman" w:hAnsi="Times New Roman" w:eastAsia="仿宋_GB2312" w:cs="Times New Roman"/>
                <w:b w:val="0"/>
                <w:bCs w:val="0"/>
                <w:color w:val="auto"/>
                <w:sz w:val="24"/>
                <w:szCs w:val="24"/>
                <w:highlight w:val="none"/>
                <w:vertAlign w:val="baseline"/>
                <w:lang w:eastAsia="zh-CN"/>
              </w:rPr>
              <w:t>洒水抑尘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银山矿业</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布袋除尘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栖霞山铅锌矿</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布袋除尘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锡铁山</w:t>
            </w:r>
          </w:p>
        </w:tc>
        <w:tc>
          <w:tcPr>
            <w:tcW w:w="19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val="en-US" w:eastAsia="zh-CN"/>
              </w:rPr>
              <w:t>矿石破碎</w:t>
            </w:r>
          </w:p>
        </w:tc>
        <w:tc>
          <w:tcPr>
            <w:tcW w:w="25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洒水抑尘</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仿宋_GB2312" w:cs="Times New Roman"/>
                <w:b w:val="0"/>
                <w:bCs w:val="0"/>
                <w:color w:val="auto"/>
                <w:sz w:val="24"/>
                <w:szCs w:val="24"/>
                <w:highlight w:val="none"/>
                <w:vertAlign w:val="baseline"/>
                <w:lang w:eastAsia="zh-CN"/>
              </w:rPr>
            </w:pPr>
            <w:r>
              <w:rPr>
                <w:rFonts w:hint="eastAsia" w:ascii="Times New Roman" w:hAnsi="Times New Roman" w:eastAsia="仿宋_GB2312" w:cs="Times New Roman"/>
                <w:b w:val="0"/>
                <w:bCs w:val="0"/>
                <w:color w:val="auto"/>
                <w:sz w:val="24"/>
                <w:szCs w:val="24"/>
                <w:highlight w:val="none"/>
                <w:vertAlign w:val="baseline"/>
                <w:lang w:eastAsia="zh-CN"/>
              </w:rPr>
              <w:t>收集、回用流程</w:t>
            </w:r>
          </w:p>
        </w:tc>
      </w:tr>
    </w:tbl>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铅锌采选作业粉尘产生环境还应包括采矿现场钻孔作业、矿石运输环节、矿石堆场、尾矿库及排土场等，各环节均应采取降尘措施，能实现封闭的可实施全封闭，运输道路、尾矿库及排土场可采取洒水喷雾降尘措施、防风抑尘措施，矿石破碎工序适宜投入粉尘收集设备设施。相关工程设计应符合GB 50988《</w:t>
      </w:r>
      <w:r>
        <w:rPr>
          <w:rFonts w:hint="eastAsia" w:ascii="Times New Roman" w:hAnsi="Times New Roman" w:eastAsia="仿宋_GB2312" w:cs="Times New Roman"/>
          <w:color w:val="auto"/>
          <w:sz w:val="28"/>
          <w:szCs w:val="28"/>
          <w:lang w:val="en-US" w:eastAsia="zh-CN"/>
        </w:rPr>
        <w:t>有色金属工业环境保护工程设计规范</w:t>
      </w:r>
      <w:r>
        <w:rPr>
          <w:rFonts w:hint="eastAsia" w:ascii="仿宋" w:hAnsi="仿宋" w:eastAsia="仿宋" w:cs="仿宋"/>
          <w:color w:val="auto"/>
          <w:kern w:val="0"/>
          <w:sz w:val="28"/>
          <w:szCs w:val="28"/>
          <w:lang w:val="en-US" w:eastAsia="zh-CN" w:bidi="ar-SA"/>
        </w:rPr>
        <w:t>》的要求。作业场所内环境粉尘应符合GBZ 2.1《</w:t>
      </w:r>
      <w:r>
        <w:rPr>
          <w:rFonts w:hint="eastAsia" w:ascii="仿宋" w:hAnsi="仿宋" w:eastAsia="仿宋" w:cs="仿宋"/>
          <w:color w:val="auto"/>
          <w:sz w:val="28"/>
          <w:szCs w:val="28"/>
          <w:lang w:val="en-US" w:eastAsia="zh-CN"/>
        </w:rPr>
        <w:t>工作场所有害因素职业接触限值 第1部分：化学有害因素</w:t>
      </w:r>
      <w:r>
        <w:rPr>
          <w:rFonts w:hint="eastAsia" w:ascii="仿宋" w:hAnsi="仿宋" w:eastAsia="仿宋" w:cs="仿宋"/>
          <w:color w:val="auto"/>
          <w:kern w:val="0"/>
          <w:sz w:val="28"/>
          <w:szCs w:val="28"/>
          <w:lang w:val="en-US" w:eastAsia="zh-CN" w:bidi="ar-SA"/>
        </w:rPr>
        <w:t>》的要求，外排粉尘应符合国家、地方排放限值及相关标准要求。</w:t>
      </w:r>
    </w:p>
    <w:p>
      <w:pPr>
        <w:pStyle w:val="29"/>
        <w:bidi w:val="0"/>
        <w:ind w:left="839" w:leftChars="0" w:hanging="419" w:firstLineChars="0"/>
        <w:rPr>
          <w:rFonts w:hint="default" w:ascii="仿宋" w:hAnsi="仿宋" w:eastAsia="仿宋" w:cs="仿宋"/>
          <w:color w:val="auto"/>
          <w:kern w:val="0"/>
          <w:sz w:val="28"/>
          <w:szCs w:val="28"/>
          <w:lang w:val="en-US" w:eastAsia="zh-CN" w:bidi="ar-SA"/>
        </w:rPr>
      </w:pPr>
      <w:r>
        <w:rPr>
          <w:rFonts w:hint="eastAsia" w:ascii="仿宋" w:hAnsi="仿宋" w:eastAsia="仿宋" w:cs="仿宋"/>
          <w:sz w:val="28"/>
          <w:szCs w:val="32"/>
          <w:lang w:val="en-US" w:eastAsia="zh-CN"/>
        </w:rPr>
        <w:t>废水处理工艺</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Times New Roman" w:eastAsia="仿宋_GB2312" w:cs="Times New Roman"/>
          <w:color w:val="auto"/>
          <w:sz w:val="28"/>
          <w:szCs w:val="28"/>
          <w:lang w:val="en-US" w:eastAsia="zh-CN"/>
        </w:rPr>
      </w:pPr>
      <w:r>
        <w:rPr>
          <w:rFonts w:hint="eastAsia" w:ascii="仿宋" w:hAnsi="仿宋" w:eastAsia="仿宋" w:cs="仿宋"/>
          <w:color w:val="auto"/>
          <w:sz w:val="28"/>
          <w:szCs w:val="28"/>
          <w:lang w:val="en-US" w:eastAsia="zh-CN"/>
        </w:rPr>
        <w:t>现目前各铅锌企业均开展了对工厂内废水的处理系统，针对选矿废水、井下涌水一般建立有独立的处理设备设施，实现对废水的回收再利用或达标外排。</w:t>
      </w:r>
    </w:p>
    <w:p>
      <w:pPr>
        <w:pStyle w:val="21"/>
        <w:pageBreakBefore w:val="0"/>
        <w:kinsoku/>
        <w:wordWrap/>
        <w:overflowPunct/>
        <w:topLinePunct w:val="0"/>
        <w:bidi w:val="0"/>
        <w:adjustRightInd/>
        <w:snapToGrid/>
        <w:spacing w:line="400" w:lineRule="exact"/>
        <w:jc w:val="center"/>
        <w:rPr>
          <w:rFonts w:hint="eastAsia"/>
          <w:color w:val="auto"/>
          <w:sz w:val="20"/>
          <w:szCs w:val="18"/>
          <w:lang w:val="en-US" w:eastAsia="zh-CN"/>
        </w:rPr>
      </w:pPr>
      <w:r>
        <w:rPr>
          <w:rFonts w:hint="eastAsia"/>
          <w:color w:val="auto"/>
          <w:sz w:val="20"/>
          <w:szCs w:val="18"/>
          <w:lang w:val="en-US" w:eastAsia="zh-CN"/>
        </w:rPr>
        <w:t>表9 行业内部分企业</w:t>
      </w:r>
      <w:r>
        <w:rPr>
          <w:rFonts w:hint="eastAsia"/>
          <w:color w:val="auto"/>
          <w:sz w:val="20"/>
          <w:szCs w:val="21"/>
          <w:lang w:val="en-US" w:eastAsia="zh-CN"/>
        </w:rPr>
        <w:t>废水处理系统建设情况</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385"/>
        <w:gridCol w:w="2043"/>
        <w:gridCol w:w="2043"/>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eastAsia="zh-CN"/>
              </w:rPr>
              <w:t>矿山企业</w:t>
            </w: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eastAsia="zh-CN"/>
              </w:rPr>
              <w:t>废水种类</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处理设施</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回用外排方式</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处理率</w:t>
            </w:r>
            <w:r>
              <w:rPr>
                <w:rFonts w:hint="eastAsia" w:ascii="Times New Roman" w:hAnsi="Times New Roman" w:eastAsia="仿宋_GB2312" w:cs="Times New Roman"/>
                <w:b w:val="0"/>
                <w:bCs w:val="0"/>
                <w:color w:val="auto"/>
                <w:sz w:val="22"/>
                <w:szCs w:val="22"/>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驰宏会泽矿业</w:t>
            </w: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沉淀池</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处理达标外排、部分回用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厂坝铅锌矿</w:t>
            </w: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处理部分回用、部分外排</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沉淀池</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处理达标外排、部分回用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凡口铅锌矿</w:t>
            </w: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处理部分回用、部分外排</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处理达标外排、部分回用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银山矿业</w:t>
            </w: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沉淀池</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处理达标外排</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栖霞山铅锌矿</w:t>
            </w: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处理后用着绿化用水</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7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锡铁山</w:t>
            </w: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选矿废水处理系统</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处理回用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p>
        </w:tc>
        <w:tc>
          <w:tcPr>
            <w:tcW w:w="13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井下涌水</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沉淀池</w:t>
            </w:r>
          </w:p>
        </w:tc>
        <w:tc>
          <w:tcPr>
            <w:tcW w:w="20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源头直接回用</w:t>
            </w:r>
          </w:p>
        </w:tc>
        <w:tc>
          <w:tcPr>
            <w:tcW w:w="12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各个企业在废水处理系统的建设中，根据废水处理程度的不同采用的废水设备大致如下：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2"/>
          <w:szCs w:val="22"/>
          <w:highlight w:val="none"/>
          <w:lang w:val="en-US" w:eastAsia="zh-CN"/>
        </w:rPr>
        <w:t>表10 不同沉淀方式选用的设备设施类型</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307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eastAsia="zh-CN"/>
              </w:rPr>
            </w:pPr>
            <w:r>
              <w:rPr>
                <w:rFonts w:hint="eastAsia" w:ascii="Times New Roman" w:hAnsi="Times New Roman" w:eastAsia="仿宋_GB2312" w:cs="Times New Roman"/>
                <w:b w:val="0"/>
                <w:bCs w:val="0"/>
                <w:color w:val="auto"/>
                <w:sz w:val="22"/>
                <w:szCs w:val="22"/>
                <w:highlight w:val="none"/>
                <w:vertAlign w:val="baseline"/>
                <w:lang w:eastAsia="zh-CN"/>
              </w:rPr>
              <w:t>沉淀方式</w:t>
            </w:r>
          </w:p>
        </w:tc>
        <w:tc>
          <w:tcPr>
            <w:tcW w:w="3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设施要求</w:t>
            </w:r>
          </w:p>
        </w:tc>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使用到的设备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尾矿库自然沉淀</w:t>
            </w:r>
          </w:p>
        </w:tc>
        <w:tc>
          <w:tcPr>
            <w:tcW w:w="3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尾矿库（有防渗要求）</w:t>
            </w:r>
          </w:p>
        </w:tc>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沉淀池药剂沉淀</w:t>
            </w:r>
          </w:p>
        </w:tc>
        <w:tc>
          <w:tcPr>
            <w:tcW w:w="3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沉淀池（一般需满足一个班的生产用水量）</w:t>
            </w:r>
          </w:p>
        </w:tc>
        <w:tc>
          <w:tcPr>
            <w:tcW w:w="26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立式搅拌、推流器</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深度处理虽然各个企业有一定的差异，但基础构建基本一致。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2"/>
          <w:szCs w:val="22"/>
          <w:highlight w:val="none"/>
          <w:lang w:val="en-US" w:eastAsia="zh-CN"/>
        </w:rPr>
        <w:t>表11 深度处理的设备设施类型</w:t>
      </w:r>
    </w:p>
    <w:tbl>
      <w:tblPr>
        <w:tblStyle w:val="1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811"/>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eastAsia="zh-CN"/>
              </w:rPr>
            </w:pPr>
            <w:r>
              <w:rPr>
                <w:rFonts w:hint="eastAsia" w:ascii="Times New Roman" w:hAnsi="Times New Roman" w:eastAsia="仿宋_GB2312" w:cs="Times New Roman"/>
                <w:b w:val="0"/>
                <w:bCs w:val="0"/>
                <w:color w:val="auto"/>
                <w:sz w:val="22"/>
                <w:szCs w:val="22"/>
                <w:highlight w:val="none"/>
                <w:vertAlign w:val="baseline"/>
                <w:lang w:eastAsia="zh-CN"/>
              </w:rPr>
              <w:t>处理环节</w:t>
            </w:r>
          </w:p>
        </w:tc>
        <w:tc>
          <w:tcPr>
            <w:tcW w:w="3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eastAsia="zh-CN"/>
              </w:rPr>
            </w:pPr>
            <w:r>
              <w:rPr>
                <w:rFonts w:hint="eastAsia" w:ascii="Times New Roman" w:hAnsi="Times New Roman" w:eastAsia="仿宋_GB2312" w:cs="Times New Roman"/>
                <w:b w:val="0"/>
                <w:bCs w:val="0"/>
                <w:color w:val="auto"/>
                <w:sz w:val="22"/>
                <w:szCs w:val="22"/>
                <w:highlight w:val="none"/>
                <w:vertAlign w:val="baseline"/>
                <w:lang w:eastAsia="zh-CN"/>
              </w:rPr>
              <w:t>设施</w:t>
            </w:r>
          </w:p>
        </w:tc>
        <w:tc>
          <w:tcPr>
            <w:tcW w:w="2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eastAsia="zh-CN"/>
              </w:rPr>
              <w:t>絮凝沉淀环节</w:t>
            </w:r>
          </w:p>
        </w:tc>
        <w:tc>
          <w:tcPr>
            <w:tcW w:w="3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混凝池、平流沉淀池（斜板沉淀池）、高效澄清池</w:t>
            </w:r>
          </w:p>
        </w:tc>
        <w:tc>
          <w:tcPr>
            <w:tcW w:w="2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立式搅拌、行车刮泥机、排泥泵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氧化分解环节</w:t>
            </w:r>
          </w:p>
        </w:tc>
        <w:tc>
          <w:tcPr>
            <w:tcW w:w="3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氧化池</w:t>
            </w:r>
          </w:p>
        </w:tc>
        <w:tc>
          <w:tcPr>
            <w:tcW w:w="2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臭氧发生器、氯气发生器、搅拌机、加药器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底泥处理</w:t>
            </w:r>
          </w:p>
        </w:tc>
        <w:tc>
          <w:tcPr>
            <w:tcW w:w="3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集泥池</w:t>
            </w:r>
          </w:p>
        </w:tc>
        <w:tc>
          <w:tcPr>
            <w:tcW w:w="2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浓密机、过滤机</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企业在推进矿井涌水、选矿废水处理回用过程中，应实施清污分流、雨污分流，落实水分类、分质收集和处理，确保外排废水符合国家、地方排放限值及相关标准要求。</w:t>
      </w:r>
    </w:p>
    <w:p>
      <w:pPr>
        <w:pStyle w:val="29"/>
        <w:bidi w:val="0"/>
        <w:ind w:left="839" w:leftChars="0" w:hanging="419" w:firstLineChars="0"/>
        <w:rPr>
          <w:rFonts w:hint="default"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val="en-US" w:eastAsia="zh-CN"/>
        </w:rPr>
        <w:t>废石（渣土）、尾矿</w:t>
      </w:r>
      <w:r>
        <w:rPr>
          <w:rFonts w:hint="eastAsia" w:ascii="仿宋" w:hAnsi="仿宋" w:eastAsia="仿宋" w:cs="仿宋"/>
          <w:sz w:val="28"/>
          <w:szCs w:val="32"/>
          <w:lang w:val="en-US" w:eastAsia="zh-CN"/>
        </w:rPr>
        <w:t>处理工艺</w:t>
      </w:r>
    </w:p>
    <w:p>
      <w:pPr>
        <w:pStyle w:val="21"/>
        <w:pageBreakBefore w:val="0"/>
        <w:kinsoku/>
        <w:wordWrap/>
        <w:overflowPunct/>
        <w:topLinePunct w:val="0"/>
        <w:bidi w:val="0"/>
        <w:adjustRightInd/>
        <w:snapToGrid/>
        <w:spacing w:line="400" w:lineRule="exact"/>
        <w:rPr>
          <w:rFonts w:hint="eastAsia"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铅锌采选业企业大多采用尾矿库、排土场对尾矿、渣石进行处置，部分回填采场，也有部分企业实现无尾，甚至无渣开采。绿色工厂企业应明确企业要对尾矿、渣石进行综合利用或规范贮存，避免出现尾矿、渣石污染周边环境的情况。</w:t>
      </w:r>
    </w:p>
    <w:p>
      <w:pPr>
        <w:pStyle w:val="21"/>
        <w:pageBreakBefore w:val="0"/>
        <w:kinsoku/>
        <w:wordWrap/>
        <w:overflowPunct/>
        <w:topLinePunct w:val="0"/>
        <w:bidi w:val="0"/>
        <w:adjustRightInd/>
        <w:snapToGrid/>
        <w:spacing w:line="400" w:lineRule="exact"/>
        <w:rPr>
          <w:rFonts w:hint="eastAsia"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污染物处理设施，主要设备仍为各类的通用型设备，因此设备的能耗及运行管理必须满足6.3.2中对通用设备的要求。</w:t>
      </w:r>
    </w:p>
    <w:p>
      <w:pPr>
        <w:pStyle w:val="21"/>
        <w:pageBreakBefore w:val="0"/>
        <w:kinsoku/>
        <w:wordWrap/>
        <w:overflowPunct/>
        <w:topLinePunct w:val="0"/>
        <w:bidi w:val="0"/>
        <w:adjustRightInd/>
        <w:snapToGrid/>
        <w:spacing w:line="400" w:lineRule="exact"/>
        <w:rPr>
          <w:rFonts w:hint="eastAsia" w:ascii="Times New Roman" w:eastAsia="仿宋_GB2312" w:cs="Times New Roman"/>
          <w:color w:val="auto"/>
          <w:sz w:val="28"/>
          <w:szCs w:val="28"/>
          <w:lang w:val="en-US" w:eastAsia="zh-CN"/>
        </w:rPr>
      </w:pPr>
      <w:r>
        <w:rPr>
          <w:rFonts w:hint="eastAsia" w:ascii="Times New Roman" w:eastAsia="仿宋_GB2312" w:cs="Times New Roman"/>
          <w:color w:val="auto"/>
          <w:sz w:val="28"/>
          <w:szCs w:val="28"/>
          <w:lang w:val="en-US" w:eastAsia="zh-CN"/>
        </w:rPr>
        <w:t>排土场的设计与建设应符合GB 50421《有色金属矿山排土设计标准》要求；环境保护设计应满足GB 18599《一般工业固体废物贮存、处置场污染控制指标》的有关规定；运行时，应满足AQ 2005《</w:t>
      </w:r>
      <w:r>
        <w:rPr>
          <w:rFonts w:hint="default" w:ascii="Times New Roman" w:eastAsia="仿宋_GB2312" w:cs="Times New Roman"/>
          <w:color w:val="auto"/>
          <w:sz w:val="28"/>
          <w:szCs w:val="28"/>
          <w:lang w:val="en-US" w:eastAsia="zh-CN"/>
        </w:rPr>
        <w:t>金属非金属矿山排土场安全生产规则</w:t>
      </w:r>
      <w:r>
        <w:rPr>
          <w:rFonts w:hint="eastAsia" w:ascii="Times New Roman" w:eastAsia="仿宋_GB2312" w:cs="Times New Roman"/>
          <w:color w:val="auto"/>
          <w:sz w:val="28"/>
          <w:szCs w:val="28"/>
          <w:lang w:val="en-US" w:eastAsia="zh-CN"/>
        </w:rPr>
        <w:t>》有关规定；</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Times New Roman" w:eastAsia="仿宋_GB2312" w:cs="Times New Roman"/>
          <w:color w:val="auto"/>
          <w:sz w:val="28"/>
          <w:szCs w:val="28"/>
          <w:lang w:val="en-US" w:eastAsia="zh-CN"/>
        </w:rPr>
        <w:t>为保障尾矿库设计及运行安全，尾矿库的设计和建设应满足</w:t>
      </w:r>
      <w:r>
        <w:rPr>
          <w:rFonts w:hint="default" w:ascii="Times New Roman" w:eastAsia="仿宋_GB2312" w:cs="Times New Roman"/>
          <w:color w:val="auto"/>
          <w:sz w:val="28"/>
          <w:szCs w:val="28"/>
          <w:lang w:val="en-US" w:eastAsia="zh-CN"/>
        </w:rPr>
        <w:t>GB</w:t>
      </w:r>
      <w:r>
        <w:rPr>
          <w:rFonts w:hint="eastAsia" w:ascii="Times New Roman" w:eastAsia="仿宋_GB2312" w:cs="Times New Roman"/>
          <w:color w:val="auto"/>
          <w:sz w:val="28"/>
          <w:szCs w:val="28"/>
          <w:lang w:val="en-US" w:eastAsia="zh-CN"/>
        </w:rPr>
        <w:t xml:space="preserve"> </w:t>
      </w:r>
      <w:r>
        <w:rPr>
          <w:rFonts w:hint="default" w:ascii="Times New Roman" w:eastAsia="仿宋_GB2312" w:cs="Times New Roman"/>
          <w:color w:val="auto"/>
          <w:sz w:val="28"/>
          <w:szCs w:val="28"/>
          <w:lang w:val="en-US" w:eastAsia="zh-CN"/>
        </w:rPr>
        <w:t>50863</w:t>
      </w:r>
      <w:r>
        <w:rPr>
          <w:rFonts w:hint="eastAsia" w:asci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尾矿</w:t>
      </w:r>
      <w:r>
        <w:rPr>
          <w:rFonts w:hint="eastAsia" w:ascii="仿宋" w:hAnsi="仿宋" w:eastAsia="仿宋" w:cs="仿宋"/>
          <w:color w:val="auto"/>
          <w:sz w:val="28"/>
          <w:szCs w:val="28"/>
          <w:lang w:val="en-US" w:eastAsia="zh-CN"/>
        </w:rPr>
        <w:t>库设施设计规范》、GB 51108《尾矿库在线安全监测系统工程技术规范》的要求，尾矿的贮存应满足GB 18599《一般工业固体废物贮存、处置场污染控制指》有关规定；</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危险废弃物的贮存与填埋应分别满足GB 18597《危险废物贮存污染控制标准》、GB 18598《危险废物填埋污染控制标准》有关规定；</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鼓励工厂建立尾矿、废石（渣土）回收处置系统，实现尾矿、渣石综合利用。</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工厂应针对各类污染物处理设施建立必要的事故应急处系统，确保应急安全管理的需要。</w:t>
      </w:r>
    </w:p>
    <w:p>
      <w:pPr>
        <w:pStyle w:val="29"/>
        <w:bidi w:val="0"/>
        <w:ind w:left="839" w:leftChars="0" w:hanging="419" w:firstLine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val="en-US" w:eastAsia="zh-CN"/>
        </w:rPr>
        <w:t>噪声</w:t>
      </w:r>
      <w:r>
        <w:rPr>
          <w:rFonts w:hint="eastAsia" w:ascii="仿宋" w:hAnsi="仿宋" w:eastAsia="仿宋" w:cs="仿宋"/>
          <w:sz w:val="28"/>
          <w:szCs w:val="32"/>
          <w:lang w:val="en-US" w:eastAsia="zh-CN"/>
        </w:rPr>
        <w:t>处理工艺</w:t>
      </w:r>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企业应采用合理有效的技术措施对高噪声设备进行降噪或隔音处理。要落实工作场所有害因素职业接触限值符合GBZ 2.2《工业企</w:t>
      </w:r>
      <w:r>
        <w:rPr>
          <w:rFonts w:hint="eastAsia" w:ascii="仿宋" w:hAnsi="仿宋" w:eastAsia="仿宋" w:cs="仿宋"/>
          <w:color w:val="auto"/>
          <w:sz w:val="28"/>
          <w:szCs w:val="28"/>
          <w:lang w:eastAsia="zh-CN"/>
        </w:rPr>
        <w:t>业厂界环境噪声排放标准</w:t>
      </w:r>
      <w:r>
        <w:rPr>
          <w:rFonts w:hint="eastAsia" w:ascii="仿宋" w:hAnsi="仿宋" w:eastAsia="仿宋" w:cs="仿宋"/>
          <w:color w:val="auto"/>
          <w:sz w:val="28"/>
          <w:szCs w:val="28"/>
          <w:lang w:val="en-US" w:eastAsia="zh-CN"/>
        </w:rPr>
        <w:t>》的规定，厂界噪声排放限值符合GB 12348《工业企</w:t>
      </w:r>
      <w:r>
        <w:rPr>
          <w:rFonts w:hint="eastAsia" w:ascii="仿宋" w:hAnsi="仿宋" w:eastAsia="仿宋" w:cs="仿宋"/>
          <w:color w:val="auto"/>
          <w:sz w:val="28"/>
          <w:szCs w:val="28"/>
          <w:lang w:eastAsia="zh-CN"/>
        </w:rPr>
        <w:t>业厂界环境噪声排放标准</w:t>
      </w:r>
      <w:r>
        <w:rPr>
          <w:rFonts w:hint="eastAsia" w:ascii="仿宋" w:hAnsi="仿宋" w:eastAsia="仿宋" w:cs="仿宋"/>
          <w:color w:val="auto"/>
          <w:sz w:val="28"/>
          <w:szCs w:val="28"/>
          <w:lang w:val="en-US" w:eastAsia="zh-CN"/>
        </w:rPr>
        <w:t>》的规定。</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bookmarkStart w:id="14" w:name="_Toc13677"/>
      <w:r>
        <w:rPr>
          <w:rFonts w:hint="eastAsia" w:ascii="仿宋" w:hAnsi="仿宋" w:eastAsia="仿宋" w:cs="仿宋"/>
          <w:color w:val="auto"/>
          <w:sz w:val="28"/>
          <w:szCs w:val="28"/>
          <w:highlight w:val="none"/>
          <w:lang w:val="en-US" w:eastAsia="zh-CN"/>
        </w:rPr>
        <w:t>管理体系要求</w:t>
      </w:r>
      <w:bookmarkEnd w:id="14"/>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绿色工厂应建立质量管理体系、职业健康安全管理体系、环境管理体系及能源管理体系，并根据GB/T 19001、GB/T 28001、GB/T 24001及GB/T 23331的要求建立完善的内部管理制度、体系文件，并开展运行管理工作。同时内容应开展广泛的培训工作，并对实际培训率的达成情况分级开展评价。鼓励企业对建立的质量管理体系开展第三方认证，甚至开展二方审核，也鼓励企业建立相比GB/T 19001、GB/T 28001、GB/T 24001、GB/T 23331更高要求的质量管理体系要求，或建立有自身特色的管理体系。</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bookmarkStart w:id="15" w:name="_Toc64"/>
      <w:r>
        <w:rPr>
          <w:rFonts w:hint="eastAsia" w:ascii="仿宋" w:hAnsi="仿宋" w:eastAsia="仿宋" w:cs="仿宋"/>
          <w:color w:val="auto"/>
          <w:sz w:val="28"/>
          <w:szCs w:val="28"/>
          <w:highlight w:val="none"/>
          <w:lang w:val="en-US" w:eastAsia="zh-CN"/>
        </w:rPr>
        <w:t>能源与资源的投入</w:t>
      </w:r>
      <w:bookmarkEnd w:id="15"/>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sz w:val="20"/>
          <w:szCs w:val="20"/>
          <w:lang w:val="en-US" w:eastAsia="zh-CN"/>
        </w:rPr>
      </w:pPr>
      <w:bookmarkStart w:id="16" w:name="_Toc16815"/>
      <w:r>
        <w:rPr>
          <w:rFonts w:hint="eastAsia" w:ascii="仿宋" w:hAnsi="仿宋" w:eastAsia="仿宋" w:cs="仿宋"/>
          <w:color w:val="auto"/>
          <w:kern w:val="2"/>
          <w:sz w:val="28"/>
          <w:szCs w:val="28"/>
          <w:highlight w:val="none"/>
          <w:lang w:val="en-US" w:eastAsia="zh-CN" w:bidi="ar-SA"/>
        </w:rPr>
        <w:t>8.1能源投入</w:t>
      </w:r>
      <w:bookmarkEnd w:id="16"/>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8.1.1工厂要确保用能结构优化，保障生产安全、质量达标，逐步降低对不可再生能源的使用，加大对清洁能源的应用。</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8.1.2-8.1.5工厂采选能耗设计应符合GB 50595《有色金属矿山节能设计规范》的要求。同时铅锌采选作业过程能耗应符合YS/T 748《铅锌采选能源消耗限额》，且采矿、选矿综合能源消耗达到先进值要求。同时为提升企业对能源综合管理能力，鼓励建设能源管理中心。积极提倡企业提升可再生能源或低碳的新能源在用能结构中的占比。</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17" w:name="_Toc26412"/>
      <w:r>
        <w:rPr>
          <w:rFonts w:hint="eastAsia" w:ascii="仿宋" w:hAnsi="仿宋" w:eastAsia="仿宋" w:cs="仿宋"/>
          <w:color w:val="auto"/>
          <w:kern w:val="2"/>
          <w:sz w:val="28"/>
          <w:szCs w:val="28"/>
          <w:highlight w:val="none"/>
          <w:lang w:val="en-US" w:eastAsia="zh-CN" w:bidi="ar-SA"/>
        </w:rPr>
        <w:t>8.2资源投入</w:t>
      </w:r>
      <w:bookmarkEnd w:id="17"/>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8.2.1绿色工厂应积极开展节水评价工作，并按GB/T 7119《节水型企业评价导则》的要求完善内部用水管理。并满足行业或地方取水定额标准。未明确具体水平指标的，应采用行业企业指标对标等方式，证明其达到国内先进水平。</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sz w:val="28"/>
          <w:szCs w:val="28"/>
          <w:lang w:val="en-US" w:eastAsia="zh-CN"/>
        </w:rPr>
        <w:t>8.2.2铅锌采选业绿色工厂应开展废水、废渣的资源综合回收利用工作。</w:t>
      </w:r>
    </w:p>
    <w:p>
      <w:pPr>
        <w:pStyle w:val="21"/>
        <w:pageBreakBefore w:val="0"/>
        <w:kinsoku/>
        <w:wordWrap/>
        <w:overflowPunct/>
        <w:topLinePunct w:val="0"/>
        <w:bidi w:val="0"/>
        <w:adjustRightInd/>
        <w:snapToGrid/>
        <w:spacing w:line="400" w:lineRule="exact"/>
        <w:ind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8.3采购</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8.3.1-8.3.2工厂在采选过程中涉及到的全部材料的采购有明确的环保管控要求，以及明确定期对供方供货环保履行情况评价要求的，应按照相关要求组织实施；并对所采购的物资、产品实施检验，确保采购的产品满足规定的采购要求。</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产品要求</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9.1生态</w:t>
      </w:r>
      <w:r>
        <w:rPr>
          <w:rFonts w:hint="eastAsia" w:ascii="仿宋" w:hAnsi="仿宋" w:eastAsia="仿宋" w:cs="仿宋"/>
          <w:color w:val="auto"/>
          <w:kern w:val="2"/>
          <w:sz w:val="28"/>
          <w:szCs w:val="28"/>
          <w:highlight w:val="none"/>
          <w:lang w:val="en-US" w:eastAsia="zh-CN" w:bidi="ar-SA"/>
        </w:rPr>
        <w:t>设计</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本条只适用于铅锌选矿企业。</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鼓励铅锌选矿企业按照GB/T 24256《产品生态设计通则标准》开展生产的产品进行生态设计。鼓励企业按照GB/T 32161《生态设计产品评价通则》开展生态设计产品评价。</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lang w:val="en-US" w:eastAsia="zh-CN" w:bidi="ar-SA"/>
        </w:rPr>
        <w:t>有害物质使用</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铅锌采矿企业生产作业过程应使用无毒材料，减少低毒材料的使用，严禁使用国家明令禁止使用的有毒物质。</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铅锌选矿企业生产的铅精矿、锌精矿及其他矿产品中有害杂质元素、放射性元素应符合GB 20424《重金属精矿产品中有害元素的限量规范》、GB 20664《有色金属矿产品的天然放射性限值》以及相应产品质量标准的相关要求。</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铅锌矿山企业，原矿产品/原料的存储场所、运输环节应采取防风、防扬尘、防渗漏等措施，避免污染物扩散。</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铅精矿、锌精矿及其他选矿产品的的包装、标志、运输和贮存应符合YS/T 418《有色金属精矿产品包装、标志、运输和贮存》的规定。</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环境排放要求</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10.1大气污染物</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10.1.1-10.1.2工厂生产过程产生的大气污染物，排放时应符合国家、行业及地方标准的相关要求，并满足国家排污许可要求。对采矿选矿产生的废弃污染物超标时，应设置废气净化装置，净化后的气体应达到排放标准，并由相关单位检查合格记录后，排放；适用时，工厂的主要大气污染物宜执行大气污染物特别排放限值，并满足排放标准中更高等级的要求。同时应开展废气污染物排放的实时监控，并保留原始监测和监控记录。</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10.2水体污染物</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10.2.1工厂应结合矿井涌水清污分流、选矿厂区雨污分流的原则，开展污水的分类、分质处理。鼓励企业开展矿井涌水与选矿废水的回收再利用工作，减少对新鲜水的消耗。</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10.2.2工厂应开展必要的防渗处理，尤其是选矿废水、尾矿库废水、排土场废水等导流渠开展防渗处理，避免地下水污染。</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10.2.3废水排放标准应符合GB 25466《铅、锌工业污染物排放标准》等国家标准、行业标准及地方标准要求，同时排污总量应满足国家排污许可要求。适用时，应执行地方水污染物特别排放限值要求。</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10.2.4工厂应开展水污染物排放的实时监控，并保留原始监测和监控记录。</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10.3固体废弃物</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10.3.1矿山固体废石、尾矿的贮存、转移和处置应符合</w:t>
      </w:r>
      <w:commentRangeStart w:id="0"/>
      <w:r>
        <w:rPr>
          <w:rFonts w:hint="eastAsia" w:ascii="仿宋" w:hAnsi="仿宋" w:eastAsia="仿宋" w:cs="仿宋"/>
          <w:color w:val="auto"/>
          <w:sz w:val="28"/>
          <w:szCs w:val="28"/>
          <w:lang w:val="en-US" w:eastAsia="zh-CN"/>
        </w:rPr>
        <w:t>GB 50863《尾矿设施设计规范》、GB 18597《危险废物贮存污染控制标准》、GB 18598《危险废物填埋污染控制标准》</w:t>
      </w:r>
      <w:commentRangeEnd w:id="0"/>
      <w:r>
        <w:rPr>
          <w:rFonts w:hint="eastAsia" w:ascii="仿宋" w:hAnsi="仿宋" w:eastAsia="仿宋" w:cs="仿宋"/>
          <w:color w:val="auto"/>
          <w:sz w:val="20"/>
          <w:szCs w:val="18"/>
        </w:rPr>
        <w:commentReference w:id="0"/>
      </w:r>
      <w:r>
        <w:rPr>
          <w:rFonts w:hint="eastAsia" w:ascii="仿宋" w:hAnsi="仿宋" w:eastAsia="仿宋" w:cs="仿宋"/>
          <w:color w:val="auto"/>
          <w:sz w:val="28"/>
          <w:szCs w:val="28"/>
          <w:lang w:val="en-US" w:eastAsia="zh-CN"/>
        </w:rPr>
        <w:t>和GB 18599《一般工业固体废物贮存》相关规定。</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10.3.2企业应对自身产生的固体废物采用减量化、无害化、资源化的处理、处置方式。</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10.3.3企业无法自行处理的危险废物，应委托具有能力和资质的企业进行危险废物处理。</w:t>
      </w:r>
    </w:p>
    <w:p>
      <w:pPr>
        <w:pStyle w:val="21"/>
        <w:pageBreakBefore w:val="0"/>
        <w:kinsoku/>
        <w:wordWrap/>
        <w:overflowPunct/>
        <w:topLinePunct w:val="0"/>
        <w:bidi w:val="0"/>
        <w:adjustRightInd/>
        <w:snapToGrid/>
        <w:spacing w:line="400" w:lineRule="exact"/>
        <w:ind w:left="0" w:leftChars="0" w:firstLine="0" w:firstLineChars="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10.3.4对矿山废石、尾矿等固体废物资源化利用和无害化处置率要求达到100%。</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10.4噪声</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10.4.1-10.4.2企业应定期开展作业场所噪声的监测和监控，并保存原始监测和监控记录，宜建立噪声污染实时监控。厂界应根据GB 12348《工业企业厂界环境噪声排放标准》的相关要求对自身产生的环境噪声进行排放。</w:t>
      </w:r>
    </w:p>
    <w:p>
      <w:pPr>
        <w:pStyle w:val="21"/>
        <w:pageBreakBefore w:val="0"/>
        <w:kinsoku/>
        <w:wordWrap/>
        <w:overflowPunct/>
        <w:topLinePunct w:val="0"/>
        <w:bidi w:val="0"/>
        <w:adjustRightInd/>
        <w:snapToGrid/>
        <w:spacing w:line="400" w:lineRule="exact"/>
        <w:ind w:left="0" w:leftChars="0" w:firstLine="0" w:firstLineChars="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10.4.3对新建、改建和扩建的企业产生的噪声值应符合GB/T 50087《工业企业噪声控制设计规范》的要求，并采取相应防范措施；对产生的噪声值大于相关排放标准的，应进行相关处理后再排放。</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bookmarkStart w:id="18" w:name="_Toc22340"/>
      <w:r>
        <w:rPr>
          <w:rFonts w:hint="eastAsia" w:ascii="仿宋" w:hAnsi="仿宋" w:eastAsia="仿宋" w:cs="仿宋"/>
          <w:color w:val="auto"/>
          <w:sz w:val="28"/>
          <w:szCs w:val="28"/>
          <w:highlight w:val="none"/>
          <w:lang w:val="en-US" w:eastAsia="zh-CN"/>
        </w:rPr>
        <w:t>绩效</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11.1一般要求</w:t>
      </w:r>
      <w:bookmarkEnd w:id="18"/>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11.1.1适用GB/T 36132《绿色工厂评价通则》中列出的指标采用GB/T 36132的计算方式进行计算，采矿综合能耗、选矿综合能耗宜采用GB 50595《有色金属矿山节能设计规范正文》中的计算方式进行计算，并根据结果开展绩效评估。</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11.1.2为确保绩效数据核算准确可靠，具有代表性，绩效统计和计算周期最好选择能够反映工厂绩效水平的完整周期，一般以年度为周期，因此至少包括不超过评价前自然年度的连续的12个月(成立不足一年的可根据实际情况适当降低要求)。</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19" w:name="_Toc16219"/>
      <w:r>
        <w:rPr>
          <w:rFonts w:hint="eastAsia" w:ascii="仿宋" w:hAnsi="仿宋" w:eastAsia="仿宋" w:cs="仿宋"/>
          <w:color w:val="auto"/>
          <w:kern w:val="2"/>
          <w:sz w:val="28"/>
          <w:szCs w:val="28"/>
          <w:highlight w:val="none"/>
          <w:lang w:val="en-US" w:eastAsia="zh-CN" w:bidi="ar-SA"/>
        </w:rPr>
        <w:t>11.2用地集约化</w:t>
      </w:r>
      <w:bookmarkEnd w:id="19"/>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11.2.1根据前期对铅锌采选业企业的调研结果显示，各铅锌矿山企业企业建筑容积率平均在0.5左右，建筑密度平均在50%左右，因此绿色工厂已不低于行业平均水平为依据，选择容积率应不低于0.5，建筑密度应不低于50%。</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11.2.2为有效提升企业实现产值最大化，单位用地面积产值不应低于地方发布的单位用地面积产值。未发布单位用地面积产值的地区，单位用地面积产值应超过本年度所在省市的单位用地面积产。</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11.2.3工业场地单位用地面积产能应满足《有色金属工业工程项目建设用地指标》中要求。</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20" w:name="_Toc17208"/>
      <w:r>
        <w:rPr>
          <w:rFonts w:hint="eastAsia" w:ascii="仿宋" w:hAnsi="仿宋" w:eastAsia="仿宋" w:cs="仿宋"/>
          <w:color w:val="auto"/>
          <w:kern w:val="2"/>
          <w:sz w:val="28"/>
          <w:szCs w:val="28"/>
          <w:highlight w:val="none"/>
          <w:lang w:val="en-US" w:eastAsia="zh-CN" w:bidi="ar-SA"/>
        </w:rPr>
        <w:t>11.3原料无害化</w:t>
      </w:r>
      <w:bookmarkEnd w:id="20"/>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11.3.1工厂内推进绿色物料的替代使用工作，要避免高毒性、高污染性的材料使用，并积极开展毒性材料的替代研究，对企业使用的绿色物料的识别、统计和计算。</w:t>
      </w:r>
    </w:p>
    <w:p>
      <w:pPr>
        <w:pStyle w:val="21"/>
        <w:pageBreakBefore w:val="0"/>
        <w:kinsoku/>
        <w:wordWrap/>
        <w:overflowPunct/>
        <w:topLinePunct w:val="0"/>
        <w:bidi w:val="0"/>
        <w:adjustRightInd/>
        <w:snapToGrid/>
        <w:spacing w:line="400" w:lineRule="exact"/>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11.3.2绿色物料应选自省级以上政府相关部门发布的资源综合利用产品目录、有毒有害原料（产品）替代目录等。宜联合产业上下游企业再利用外排废石（渣土）、尾矿或冶炼渣（不含危险废物）等再生资源及产业废弃物等。</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11.4生产洁净化</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单位产品污染物指标：</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lang w:val="en-US" w:eastAsia="zh-CN"/>
        </w:rPr>
      </w:pPr>
      <w:r>
        <w:rPr>
          <w:rFonts w:hint="eastAsia" w:ascii="仿宋" w:hAnsi="仿宋" w:eastAsia="仿宋" w:cs="仿宋"/>
          <w:color w:val="auto"/>
          <w:sz w:val="28"/>
          <w:szCs w:val="28"/>
          <w:lang w:val="en-US" w:eastAsia="zh-CN"/>
        </w:rPr>
        <w:t>参照《铅锌采选业清洁生产评价指标体系》，铅锌采选业绿色工厂评价污染物指标确定为：</w:t>
      </w:r>
      <w:r>
        <w:rPr>
          <w:rFonts w:hint="default" w:ascii="仿宋" w:hAnsi="仿宋" w:eastAsia="仿宋" w:cs="仿宋"/>
          <w:color w:val="auto"/>
          <w:sz w:val="28"/>
          <w:szCs w:val="28"/>
          <w:lang w:val="en-US" w:eastAsia="zh-CN"/>
        </w:rPr>
        <w:t>单位产品新水用量、主要污染物排放量指标（包括废</w:t>
      </w:r>
      <w:r>
        <w:rPr>
          <w:rFonts w:hint="default" w:ascii="仿宋" w:hAnsi="仿宋" w:eastAsia="仿宋" w:cs="仿宋"/>
          <w:color w:val="auto"/>
          <w:sz w:val="28"/>
          <w:szCs w:val="28"/>
          <w:lang w:val="en-US" w:eastAsia="zh-CN" w:bidi="ar-SA"/>
        </w:rPr>
        <w:t>石</w:t>
      </w:r>
      <w:r>
        <w:rPr>
          <w:rFonts w:hint="default" w:ascii="仿宋" w:hAnsi="仿宋" w:eastAsia="仿宋" w:cs="仿宋"/>
          <w:color w:val="auto"/>
          <w:sz w:val="28"/>
          <w:szCs w:val="28"/>
          <w:lang w:val="en-US" w:eastAsia="zh-CN"/>
        </w:rPr>
        <w:t>（渣土）量、选矿废水量、作业现场粉尘浓度、选矿废水中Pb、Zn、Cu、As、Cd、COD的浓度等）</w:t>
      </w:r>
      <w:r>
        <w:rPr>
          <w:rFonts w:hint="eastAsia" w:ascii="仿宋" w:hAnsi="仿宋" w:eastAsia="仿宋" w:cs="仿宋"/>
          <w:color w:val="auto"/>
          <w:sz w:val="28"/>
          <w:szCs w:val="28"/>
          <w:lang w:val="en-US" w:eastAsia="zh-CN"/>
        </w:rPr>
        <w:t>。</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2" w:firstLineChars="20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单位产品污染物指标达标考评值：</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指标设置原则，根据清洁生产等级划分，Ⅱ级为国际清洁生产领先水平；Ⅰ级为国内清洁生产先进水平；Ⅲ级为国内清洁生产基本水平。铅锌采选业绿色工厂建设指标应达到国内先进水平，鼓励企业实现国际领先水平，见表12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2"/>
          <w:szCs w:val="22"/>
          <w:highlight w:val="none"/>
          <w:lang w:val="en-US" w:eastAsia="zh-CN"/>
        </w:rPr>
        <w:t>表12 污染物达标考评值</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1295"/>
        <w:gridCol w:w="1104"/>
        <w:gridCol w:w="1319"/>
        <w:gridCol w:w="136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指标</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适用企业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单位</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eastAsia="zh-CN"/>
              </w:rPr>
              <w:t>Ⅰ</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Ⅱ</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Ⅲ</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单位产品新水用量</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m³/t</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单位产品废石</w:t>
            </w:r>
            <w:r>
              <w:rPr>
                <w:rFonts w:hint="eastAsia" w:ascii="仿宋" w:hAnsi="仿宋" w:eastAsia="仿宋" w:cs="仿宋"/>
                <w:color w:val="auto"/>
                <w:sz w:val="18"/>
                <w:szCs w:val="18"/>
                <w:lang w:val="en-US" w:eastAsia="zh-CN"/>
              </w:rPr>
              <w:t>产生</w:t>
            </w:r>
            <w:r>
              <w:rPr>
                <w:rFonts w:hint="default" w:ascii="仿宋" w:hAnsi="仿宋" w:eastAsia="仿宋" w:cs="仿宋"/>
                <w:color w:val="auto"/>
                <w:sz w:val="18"/>
                <w:szCs w:val="18"/>
                <w:lang w:val="en-US" w:eastAsia="zh-CN"/>
              </w:rPr>
              <w:t>量</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地下矿山</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m³/t原矿</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≤0.2</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≤0.25</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单位产品选矿废水</w:t>
            </w:r>
            <w:r>
              <w:rPr>
                <w:rFonts w:hint="eastAsia" w:ascii="仿宋" w:hAnsi="仿宋" w:eastAsia="仿宋" w:cs="仿宋"/>
                <w:color w:val="auto"/>
                <w:sz w:val="18"/>
                <w:szCs w:val="18"/>
                <w:lang w:val="en-US" w:eastAsia="zh-CN"/>
              </w:rPr>
              <w:t>产生</w:t>
            </w:r>
            <w:r>
              <w:rPr>
                <w:rFonts w:hint="default" w:ascii="仿宋" w:hAnsi="仿宋" w:eastAsia="仿宋" w:cs="仿宋"/>
                <w:color w:val="auto"/>
                <w:sz w:val="18"/>
                <w:szCs w:val="18"/>
                <w:lang w:val="en-US" w:eastAsia="zh-CN"/>
              </w:rPr>
              <w:t>量</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m³/t</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单位产品作业现场粉尘浓度</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露天矿山</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g/m³</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≤8.0</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地下矿山</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g/m³</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≤9.0</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g/m³</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≤8.0</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单位产品选矿废水</w:t>
            </w:r>
            <w:r>
              <w:rPr>
                <w:rFonts w:hint="eastAsia" w:ascii="仿宋" w:hAnsi="仿宋" w:eastAsia="仿宋" w:cs="仿宋"/>
                <w:color w:val="auto"/>
                <w:sz w:val="18"/>
                <w:szCs w:val="18"/>
                <w:lang w:val="en-US" w:eastAsia="zh-CN"/>
              </w:rPr>
              <w:t>含Pb</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mg/l</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≤0.45</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单位产品选矿废水</w:t>
            </w:r>
            <w:r>
              <w:rPr>
                <w:rFonts w:hint="eastAsia" w:ascii="仿宋" w:hAnsi="仿宋" w:eastAsia="仿宋" w:cs="仿宋"/>
                <w:color w:val="auto"/>
                <w:sz w:val="18"/>
                <w:szCs w:val="18"/>
                <w:lang w:val="en-US" w:eastAsia="zh-CN"/>
              </w:rPr>
              <w:t>含Zn</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mg/l</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≤1.40</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单位产品选矿废水</w:t>
            </w:r>
            <w:r>
              <w:rPr>
                <w:rFonts w:hint="eastAsia" w:ascii="仿宋" w:hAnsi="仿宋" w:eastAsia="仿宋" w:cs="仿宋"/>
                <w:color w:val="auto"/>
                <w:sz w:val="18"/>
                <w:szCs w:val="18"/>
                <w:lang w:val="en-US" w:eastAsia="zh-CN"/>
              </w:rPr>
              <w:t>含Cu</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mg/l</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≤0.45</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单位产品选矿废水</w:t>
            </w:r>
            <w:r>
              <w:rPr>
                <w:rFonts w:hint="eastAsia" w:ascii="仿宋" w:hAnsi="仿宋" w:eastAsia="仿宋" w:cs="仿宋"/>
                <w:color w:val="auto"/>
                <w:sz w:val="18"/>
                <w:szCs w:val="18"/>
                <w:lang w:val="en-US" w:eastAsia="zh-CN"/>
              </w:rPr>
              <w:t>含As</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mg/l</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≤0.20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≤0.25</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单位产品选矿废水</w:t>
            </w:r>
            <w:r>
              <w:rPr>
                <w:rFonts w:hint="eastAsia" w:ascii="仿宋" w:hAnsi="仿宋" w:eastAsia="仿宋" w:cs="仿宋"/>
                <w:color w:val="auto"/>
                <w:sz w:val="18"/>
                <w:szCs w:val="18"/>
                <w:lang w:val="en-US" w:eastAsia="zh-CN"/>
              </w:rPr>
              <w:t>含Cd</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mg/l</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≤0.04</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≤0.05</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单位产品选矿废水</w:t>
            </w:r>
            <w:r>
              <w:rPr>
                <w:rFonts w:hint="eastAsia" w:ascii="仿宋" w:hAnsi="仿宋" w:eastAsia="仿宋" w:cs="仿宋"/>
                <w:color w:val="auto"/>
                <w:sz w:val="18"/>
                <w:szCs w:val="18"/>
                <w:lang w:val="en-US" w:eastAsia="zh-CN"/>
              </w:rPr>
              <w:t>含COD</w:t>
            </w:r>
          </w:p>
        </w:tc>
        <w:tc>
          <w:tcPr>
            <w:tcW w:w="76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mg/l</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≤55</w:t>
            </w:r>
          </w:p>
        </w:tc>
        <w:tc>
          <w:tcPr>
            <w:tcW w:w="8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w:t>
            </w:r>
          </w:p>
        </w:tc>
      </w:tr>
    </w:tbl>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当地方有更高要求的特别排放限值时，应执行特别排放限值要求。</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21" w:name="_Toc1253"/>
      <w:r>
        <w:rPr>
          <w:rFonts w:hint="eastAsia" w:ascii="仿宋" w:hAnsi="仿宋" w:eastAsia="仿宋" w:cs="仿宋"/>
          <w:color w:val="auto"/>
          <w:kern w:val="2"/>
          <w:sz w:val="28"/>
          <w:szCs w:val="28"/>
          <w:highlight w:val="none"/>
          <w:lang w:val="en-US" w:eastAsia="zh-CN" w:bidi="ar-SA"/>
        </w:rPr>
        <w:t>11.5废物资源化</w:t>
      </w:r>
      <w:bookmarkEnd w:id="21"/>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废石综合利用率、尾矿综合利用率、矿井（矿坑）涌水利用率、选矿用水重复利用率等指标应达到铅锌采选业清洁生产评价指标体系中的Ⅱ级基准值要求。适用时，工厂应积极采用先进废物资源化利用技术，产品主要污染物排放量指标宜实现Ⅰ级基准值要求，见表13。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2"/>
          <w:szCs w:val="22"/>
          <w:highlight w:val="none"/>
          <w:lang w:val="en-US" w:eastAsia="zh-CN"/>
        </w:rPr>
        <w:t>表13 资源化指标考评值</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198"/>
        <w:gridCol w:w="1104"/>
        <w:gridCol w:w="1319"/>
        <w:gridCol w:w="136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6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指标</w:t>
            </w:r>
          </w:p>
        </w:tc>
        <w:tc>
          <w:tcPr>
            <w:tcW w:w="7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适用企业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单位</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eastAsia="zh-CN"/>
              </w:rPr>
              <w:t>Ⅰ</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Ⅱ</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Ⅲ</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废石综合利用率</w:t>
            </w:r>
          </w:p>
        </w:tc>
        <w:tc>
          <w:tcPr>
            <w:tcW w:w="7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地下矿山</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≥90</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尾矿综合利用率</w:t>
            </w:r>
          </w:p>
        </w:tc>
        <w:tc>
          <w:tcPr>
            <w:tcW w:w="7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矿井（矿坑）涌水利用率</w:t>
            </w:r>
          </w:p>
        </w:tc>
        <w:tc>
          <w:tcPr>
            <w:tcW w:w="7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地下矿山</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≥80</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≥75</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p>
        </w:tc>
        <w:tc>
          <w:tcPr>
            <w:tcW w:w="7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露天矿山</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≥80</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≥75</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选矿用水重复利用率</w:t>
            </w:r>
          </w:p>
        </w:tc>
        <w:tc>
          <w:tcPr>
            <w:tcW w:w="7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13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≥85</w:t>
            </w:r>
          </w:p>
        </w:tc>
        <w:tc>
          <w:tcPr>
            <w:tcW w:w="1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≥83</w:t>
            </w:r>
          </w:p>
        </w:tc>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≥80</w:t>
            </w:r>
          </w:p>
        </w:tc>
      </w:tr>
    </w:tbl>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工厂工业固体废物规范处置率及选矿废水回用率均应实现100%。</w:t>
      </w:r>
    </w:p>
    <w:p>
      <w:pPr>
        <w:pStyle w:val="20"/>
        <w:pageBreakBefore w:val="0"/>
        <w:numPr>
          <w:ilvl w:val="1"/>
          <w:numId w:val="0"/>
        </w:numPr>
        <w:kinsoku/>
        <w:wordWrap/>
        <w:overflowPunct/>
        <w:topLinePunct w:val="0"/>
        <w:bidi w:val="0"/>
        <w:adjustRightInd/>
        <w:snapToGrid/>
        <w:spacing w:line="400" w:lineRule="exact"/>
        <w:rPr>
          <w:rFonts w:hint="eastAsia" w:ascii="仿宋" w:hAnsi="仿宋" w:eastAsia="仿宋" w:cs="仿宋"/>
          <w:color w:val="auto"/>
          <w:kern w:val="2"/>
          <w:sz w:val="28"/>
          <w:szCs w:val="28"/>
          <w:highlight w:val="none"/>
          <w:lang w:val="en-US" w:eastAsia="zh-CN" w:bidi="ar-SA"/>
        </w:rPr>
      </w:pPr>
      <w:bookmarkStart w:id="22" w:name="_Toc3948"/>
      <w:r>
        <w:rPr>
          <w:rFonts w:hint="eastAsia" w:ascii="仿宋" w:hAnsi="仿宋" w:eastAsia="仿宋" w:cs="仿宋"/>
          <w:color w:val="auto"/>
          <w:kern w:val="2"/>
          <w:sz w:val="28"/>
          <w:szCs w:val="28"/>
          <w:highlight w:val="none"/>
          <w:lang w:val="en-US" w:eastAsia="zh-CN" w:bidi="ar-SA"/>
        </w:rPr>
        <w:t>11.6能源低碳化</w:t>
      </w:r>
      <w:bookmarkEnd w:id="22"/>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lang w:val="en-US" w:eastAsia="zh-CN"/>
        </w:rPr>
        <w:t>新建、改扩建矿山企业采矿综合能耗、选矿综合能耗应达到GB 50595中二级指标要求，应达到国内平均先进水平。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lang w:val="en-US" w:eastAsia="zh-CN"/>
        </w:rPr>
      </w:pPr>
      <w:r>
        <w:rPr>
          <w:rFonts w:hint="eastAsia" w:ascii="Times New Roman" w:hAnsi="Times New Roman" w:eastAsia="仿宋_GB2312" w:cs="Times New Roman"/>
          <w:b w:val="0"/>
          <w:bCs w:val="0"/>
          <w:color w:val="auto"/>
          <w:sz w:val="22"/>
          <w:szCs w:val="22"/>
          <w:highlight w:val="none"/>
          <w:lang w:val="en-US" w:eastAsia="zh-CN"/>
        </w:rPr>
        <w:t>表14 露天开采基准（可比）综合能耗指标P</w:t>
      </w:r>
      <w:r>
        <w:rPr>
          <w:rFonts w:hint="eastAsia" w:ascii="Times New Roman" w:hAnsi="Times New Roman" w:eastAsia="仿宋_GB2312" w:cs="Times New Roman"/>
          <w:b w:val="0"/>
          <w:bCs w:val="0"/>
          <w:color w:val="auto"/>
          <w:sz w:val="22"/>
          <w:szCs w:val="22"/>
          <w:highlight w:val="none"/>
          <w:vertAlign w:val="subscript"/>
          <w:lang w:val="en-US" w:eastAsia="zh-CN"/>
        </w:rPr>
        <w:t>0</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25"/>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restart"/>
            <w:tcBorders>
              <w:tl2br w:val="single" w:color="auto" w:sz="2" w:space="0"/>
            </w:tcBorders>
            <w:noWrap w:val="0"/>
            <w:vAlign w:val="center"/>
          </w:tcPr>
          <w:p>
            <w:pPr>
              <w:spacing w:line="280" w:lineRule="exact"/>
              <w:ind w:left="420" w:hanging="420"/>
              <w:rPr>
                <w:rFonts w:hint="eastAsia" w:ascii="仿宋" w:hAnsi="仿宋" w:eastAsia="仿宋" w:cs="仿宋"/>
                <w:b w:val="0"/>
                <w:bCs/>
                <w:color w:val="auto"/>
                <w:sz w:val="16"/>
                <w:szCs w:val="16"/>
              </w:rPr>
            </w:pPr>
            <w:r>
              <w:rPr>
                <w:rFonts w:hint="eastAsia" w:ascii="仿宋" w:hAnsi="仿宋" w:eastAsia="仿宋" w:cs="仿宋"/>
                <w:b w:val="0"/>
                <w:bCs/>
                <w:color w:val="auto"/>
                <w:sz w:val="20"/>
                <w:szCs w:val="20"/>
              </w:rPr>
              <w:t xml:space="preserve">              </w:t>
            </w:r>
            <w:r>
              <w:rPr>
                <w:rFonts w:hint="eastAsia" w:ascii="仿宋" w:hAnsi="仿宋" w:eastAsia="仿宋" w:cs="仿宋"/>
                <w:b w:val="0"/>
                <w:bCs/>
                <w:color w:val="auto"/>
                <w:sz w:val="16"/>
                <w:szCs w:val="16"/>
              </w:rPr>
              <w:t>指标</w:t>
            </w:r>
          </w:p>
          <w:p>
            <w:pPr>
              <w:spacing w:line="280" w:lineRule="exact"/>
              <w:ind w:left="420" w:hanging="420"/>
              <w:rPr>
                <w:rFonts w:hint="eastAsia" w:ascii="仿宋" w:hAnsi="仿宋" w:eastAsia="仿宋" w:cs="仿宋"/>
                <w:b w:val="0"/>
                <w:bCs/>
                <w:color w:val="auto"/>
                <w:sz w:val="20"/>
                <w:szCs w:val="20"/>
              </w:rPr>
            </w:pPr>
            <w:r>
              <w:rPr>
                <w:rFonts w:hint="eastAsia" w:ascii="仿宋" w:hAnsi="仿宋" w:eastAsia="仿宋" w:cs="仿宋"/>
                <w:b w:val="0"/>
                <w:bCs/>
                <w:color w:val="auto"/>
                <w:sz w:val="16"/>
                <w:szCs w:val="16"/>
              </w:rPr>
              <w:t>设计规模</w:t>
            </w:r>
          </w:p>
        </w:tc>
        <w:tc>
          <w:tcPr>
            <w:tcW w:w="6375" w:type="dxa"/>
            <w:gridSpan w:val="3"/>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P</w:t>
            </w:r>
            <w:r>
              <w:rPr>
                <w:rFonts w:hint="eastAsia" w:ascii="仿宋" w:hAnsi="仿宋" w:eastAsia="仿宋" w:cs="仿宋"/>
                <w:b w:val="0"/>
                <w:bCs/>
                <w:color w:val="auto"/>
                <w:sz w:val="20"/>
                <w:szCs w:val="20"/>
                <w:vertAlign w:val="subscript"/>
              </w:rPr>
              <w:t xml:space="preserve">0 </w:t>
            </w:r>
            <w:r>
              <w:rPr>
                <w:rFonts w:hint="eastAsia" w:ascii="仿宋" w:hAnsi="仿宋" w:eastAsia="仿宋" w:cs="仿宋"/>
                <w:b w:val="0"/>
                <w:bCs/>
                <w:color w:val="auto"/>
                <w:sz w:val="20"/>
                <w:szCs w:val="20"/>
              </w:rPr>
              <w:t>kg标准煤/t</w:t>
            </w:r>
            <w:r>
              <w:rPr>
                <w:rFonts w:hint="eastAsia" w:ascii="仿宋" w:hAnsi="仿宋" w:eastAsia="仿宋" w:cs="仿宋"/>
                <w:b w:val="0"/>
                <w:bCs/>
                <w:color w:val="auto"/>
                <w:sz w:val="20"/>
                <w:szCs w:val="20"/>
                <w:vertAlign w:val="subscript"/>
              </w:rPr>
              <w:t>矿</w:t>
            </w:r>
            <w:r>
              <w:rPr>
                <w:rFonts w:hint="eastAsia" w:ascii="仿宋" w:hAnsi="仿宋" w:eastAsia="仿宋" w:cs="仿宋"/>
                <w:b w:val="0"/>
                <w:bCs/>
                <w:color w:val="auto"/>
                <w:sz w:val="20"/>
                <w:szCs w:val="20"/>
              </w:rPr>
              <w:t>（kW·h/t</w:t>
            </w:r>
            <w:r>
              <w:rPr>
                <w:rFonts w:hint="eastAsia" w:ascii="仿宋" w:hAnsi="仿宋" w:eastAsia="仿宋" w:cs="仿宋"/>
                <w:b w:val="0"/>
                <w:bCs/>
                <w:color w:val="auto"/>
                <w:sz w:val="20"/>
                <w:szCs w:val="20"/>
                <w:vertAlign w:val="subscript"/>
              </w:rPr>
              <w:t>矿</w:t>
            </w:r>
            <w:r>
              <w:rPr>
                <w:rFonts w:hint="eastAsia" w:ascii="仿宋" w:hAnsi="仿宋" w:eastAsia="仿宋" w:cs="仿宋"/>
                <w:b w:val="0"/>
                <w:bCs/>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tcBorders>
              <w:tl2br w:val="single" w:color="auto" w:sz="2" w:space="0"/>
            </w:tcBorders>
            <w:noWrap w:val="0"/>
            <w:vAlign w:val="center"/>
          </w:tcPr>
          <w:p>
            <w:pPr>
              <w:spacing w:line="240" w:lineRule="exact"/>
              <w:ind w:left="420" w:hanging="420"/>
              <w:jc w:val="center"/>
              <w:rPr>
                <w:rFonts w:hint="eastAsia" w:ascii="仿宋" w:hAnsi="仿宋" w:eastAsia="仿宋" w:cs="仿宋"/>
                <w:b w:val="0"/>
                <w:bCs/>
                <w:color w:val="auto"/>
                <w:sz w:val="20"/>
                <w:szCs w:val="20"/>
              </w:rPr>
            </w:pP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一级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二级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大型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0.95 (7.73)</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1.05 (8.54)</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1.15 (9.36)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中型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1.25 (10.17)</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1.35 (10.98)</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1.50 (12.21)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小型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1.63 (13.26)</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1.75 (14.24)</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0"/>
                <w:szCs w:val="20"/>
              </w:rPr>
            </w:pPr>
            <w:r>
              <w:rPr>
                <w:rFonts w:hint="eastAsia" w:ascii="仿宋" w:hAnsi="仿宋" w:eastAsia="仿宋" w:cs="仿宋"/>
                <w:b w:val="0"/>
                <w:bCs/>
                <w:color w:val="auto"/>
                <w:sz w:val="20"/>
                <w:szCs w:val="20"/>
              </w:rPr>
              <w:t>1.95 (15.87)</w:t>
            </w:r>
          </w:p>
        </w:tc>
      </w:tr>
    </w:tbl>
    <w:p>
      <w:pPr>
        <w:spacing w:before="156" w:beforeLines="50"/>
        <w:ind w:firstLine="420" w:firstLineChars="200"/>
        <w:jc w:val="left"/>
        <w:rPr>
          <w:rFonts w:hint="eastAsia" w:ascii="仿宋" w:hAnsi="仿宋" w:eastAsia="仿宋" w:cs="仿宋"/>
          <w:b w:val="0"/>
          <w:bCs w:val="0"/>
          <w:color w:val="auto"/>
          <w:szCs w:val="21"/>
        </w:rPr>
      </w:pPr>
      <w:r>
        <w:rPr>
          <w:rFonts w:hint="eastAsia" w:ascii="仿宋" w:hAnsi="仿宋" w:eastAsia="仿宋" w:cs="仿宋"/>
          <w:b w:val="0"/>
          <w:bCs w:val="0"/>
          <w:color w:val="auto"/>
          <w:szCs w:val="21"/>
        </w:rPr>
        <w:t>注：（1）表中基准能耗值是剥采比为1时的指标值。</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lang w:val="en-US" w:eastAsia="zh-CN"/>
        </w:rPr>
        <w:t>2</w:t>
      </w:r>
      <w:r>
        <w:rPr>
          <w:rFonts w:hint="eastAsia" w:ascii="仿宋" w:hAnsi="仿宋" w:eastAsia="仿宋" w:cs="仿宋"/>
          <w:b w:val="0"/>
          <w:bCs w:val="0"/>
          <w:color w:val="auto"/>
          <w:szCs w:val="21"/>
          <w:lang w:eastAsia="zh-CN"/>
        </w:rPr>
        <w:t>）</w:t>
      </w:r>
      <w:r>
        <w:rPr>
          <w:rFonts w:hint="eastAsia" w:ascii="仿宋" w:hAnsi="仿宋" w:eastAsia="仿宋" w:cs="仿宋"/>
          <w:b w:val="0"/>
          <w:bCs w:val="0"/>
          <w:color w:val="auto"/>
          <w:szCs w:val="21"/>
        </w:rPr>
        <w:t>电折算成标准煤：1kW·h=0.1229kgbm。（1kgbm=8.1367 kW·h）。</w:t>
      </w:r>
    </w:p>
    <w:p>
      <w:pPr>
        <w:pStyle w:val="21"/>
        <w:pageBreakBefore w:val="0"/>
        <w:numPr>
          <w:ilvl w:val="0"/>
          <w:numId w:val="0"/>
        </w:numPr>
        <w:kinsoku/>
        <w:wordWrap/>
        <w:overflowPunct/>
        <w:topLinePunct w:val="0"/>
        <w:bidi w:val="0"/>
        <w:adjustRightInd/>
        <w:snapToGrid/>
        <w:spacing w:line="400" w:lineRule="exact"/>
        <w:jc w:val="center"/>
        <w:rPr>
          <w:rFonts w:hint="eastAsia" w:ascii="仿宋" w:hAnsi="仿宋" w:eastAsia="仿宋" w:cs="仿宋"/>
          <w:color w:val="auto"/>
          <w:sz w:val="28"/>
          <w:szCs w:val="28"/>
          <w:lang w:val="en-US" w:eastAsia="zh-CN"/>
        </w:rPr>
      </w:pPr>
      <w:r>
        <w:rPr>
          <w:rFonts w:hint="eastAsia" w:ascii="Times New Roman" w:hAnsi="Times New Roman" w:eastAsia="仿宋_GB2312" w:cs="Times New Roman"/>
          <w:b w:val="0"/>
          <w:bCs w:val="0"/>
          <w:color w:val="auto"/>
          <w:kern w:val="2"/>
          <w:sz w:val="22"/>
          <w:szCs w:val="22"/>
          <w:highlight w:val="none"/>
          <w:lang w:val="en-US" w:eastAsia="zh-CN" w:bidi="ar-SA"/>
        </w:rPr>
        <w:t>表</w:t>
      </w:r>
      <w:r>
        <w:rPr>
          <w:rFonts w:hint="eastAsia" w:ascii="Times New Roman" w:eastAsia="仿宋_GB2312" w:cs="Times New Roman"/>
          <w:b w:val="0"/>
          <w:bCs w:val="0"/>
          <w:color w:val="auto"/>
          <w:kern w:val="2"/>
          <w:sz w:val="22"/>
          <w:szCs w:val="22"/>
          <w:highlight w:val="none"/>
          <w:lang w:val="en-US" w:eastAsia="zh-CN" w:bidi="ar-SA"/>
        </w:rPr>
        <w:t>15</w:t>
      </w:r>
      <w:r>
        <w:rPr>
          <w:rFonts w:hint="eastAsia" w:ascii="Times New Roman" w:hAnsi="Times New Roman" w:eastAsia="仿宋_GB2312" w:cs="Times New Roman"/>
          <w:b w:val="0"/>
          <w:bCs w:val="0"/>
          <w:color w:val="auto"/>
          <w:kern w:val="2"/>
          <w:sz w:val="22"/>
          <w:szCs w:val="22"/>
          <w:highlight w:val="none"/>
          <w:lang w:val="en-US" w:eastAsia="zh-CN" w:bidi="ar-SA"/>
        </w:rPr>
        <w:t xml:space="preserve"> 地下开采基准（可比）综合能耗指标P</w:t>
      </w:r>
      <w:r>
        <w:rPr>
          <w:rFonts w:hint="eastAsia" w:ascii="Times New Roman" w:hAnsi="Times New Roman" w:eastAsia="仿宋_GB2312" w:cs="Times New Roman"/>
          <w:b w:val="0"/>
          <w:bCs w:val="0"/>
          <w:color w:val="auto"/>
          <w:kern w:val="2"/>
          <w:sz w:val="22"/>
          <w:szCs w:val="22"/>
          <w:highlight w:val="none"/>
          <w:vertAlign w:val="subscript"/>
          <w:lang w:val="en-US" w:eastAsia="zh-CN" w:bidi="ar-SA"/>
        </w:rPr>
        <w:t>0</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25"/>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restart"/>
            <w:tcBorders>
              <w:tl2br w:val="single" w:color="auto" w:sz="2" w:space="0"/>
            </w:tcBorders>
            <w:noWrap w:val="0"/>
            <w:vAlign w:val="center"/>
          </w:tcPr>
          <w:p>
            <w:pPr>
              <w:spacing w:line="240" w:lineRule="exact"/>
              <w:ind w:left="420" w:hanging="420"/>
              <w:jc w:val="righ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指标</w:t>
            </w:r>
          </w:p>
          <w:p>
            <w:pPr>
              <w:spacing w:line="240" w:lineRule="exact"/>
              <w:ind w:left="420" w:hanging="420"/>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设计规模</w:t>
            </w:r>
          </w:p>
        </w:tc>
        <w:tc>
          <w:tcPr>
            <w:tcW w:w="6375" w:type="dxa"/>
            <w:gridSpan w:val="3"/>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P</w:t>
            </w:r>
            <w:r>
              <w:rPr>
                <w:rFonts w:hint="eastAsia" w:ascii="仿宋" w:hAnsi="仿宋" w:eastAsia="仿宋" w:cs="仿宋"/>
                <w:b w:val="0"/>
                <w:bCs/>
                <w:color w:val="auto"/>
                <w:sz w:val="21"/>
                <w:szCs w:val="21"/>
                <w:vertAlign w:val="subscript"/>
              </w:rPr>
              <w:t xml:space="preserve">0 </w:t>
            </w:r>
            <w:r>
              <w:rPr>
                <w:rFonts w:hint="eastAsia" w:ascii="仿宋" w:hAnsi="仿宋" w:eastAsia="仿宋" w:cs="仿宋"/>
                <w:b w:val="0"/>
                <w:bCs/>
                <w:color w:val="auto"/>
                <w:sz w:val="21"/>
                <w:szCs w:val="21"/>
              </w:rPr>
              <w:t>kg标准煤/t矿（kW·h/t</w:t>
            </w:r>
            <w:r>
              <w:rPr>
                <w:rFonts w:hint="eastAsia" w:ascii="仿宋" w:hAnsi="仿宋" w:eastAsia="仿宋" w:cs="仿宋"/>
                <w:b w:val="0"/>
                <w:bCs/>
                <w:color w:val="auto"/>
                <w:sz w:val="21"/>
                <w:szCs w:val="21"/>
                <w:vertAlign w:val="subscript"/>
              </w:rPr>
              <w:t>矿</w:t>
            </w:r>
            <w:r>
              <w:rPr>
                <w:rFonts w:hint="eastAsia" w:ascii="仿宋" w:hAnsi="仿宋" w:eastAsia="仿宋" w:cs="仿宋"/>
                <w:b w:val="0"/>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vMerge w:val="continue"/>
            <w:tcBorders>
              <w:tl2br w:val="single" w:color="auto" w:sz="2" w:space="0"/>
            </w:tcBorders>
            <w:noWrap w:val="0"/>
            <w:vAlign w:val="center"/>
          </w:tcPr>
          <w:p>
            <w:pPr>
              <w:spacing w:line="240" w:lineRule="exact"/>
              <w:ind w:left="420" w:hanging="420"/>
              <w:jc w:val="center"/>
              <w:rPr>
                <w:rFonts w:hint="eastAsia" w:ascii="仿宋" w:hAnsi="仿宋" w:eastAsia="仿宋" w:cs="仿宋"/>
                <w:b w:val="0"/>
                <w:bCs/>
                <w:color w:val="auto"/>
                <w:sz w:val="21"/>
                <w:szCs w:val="21"/>
              </w:rPr>
            </w:pP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一级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二级</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大型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1.84（15）</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2.21（18）</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中型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2.21（18）</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2.70（22）</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0"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小型</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2.70（22）</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3.20（26）</w:t>
            </w:r>
          </w:p>
        </w:tc>
        <w:tc>
          <w:tcPr>
            <w:tcW w:w="2125" w:type="dxa"/>
            <w:noWrap w:val="0"/>
            <w:vAlign w:val="center"/>
          </w:tcPr>
          <w:p>
            <w:pPr>
              <w:spacing w:line="240" w:lineRule="exact"/>
              <w:ind w:left="420" w:hanging="420"/>
              <w:jc w:val="center"/>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3.81（31）</w:t>
            </w:r>
          </w:p>
        </w:tc>
      </w:tr>
    </w:tbl>
    <w:p>
      <w:pPr>
        <w:pStyle w:val="21"/>
        <w:pageBreakBefore w:val="0"/>
        <w:numPr>
          <w:ilvl w:val="0"/>
          <w:numId w:val="0"/>
        </w:numPr>
        <w:kinsoku/>
        <w:wordWrap/>
        <w:overflowPunct/>
        <w:topLinePunct w:val="0"/>
        <w:bidi w:val="0"/>
        <w:adjustRightInd/>
        <w:snapToGrid/>
        <w:spacing w:line="400" w:lineRule="exact"/>
        <w:jc w:val="center"/>
        <w:rPr>
          <w:rFonts w:hint="eastAsia" w:ascii="Times New Roman" w:hAnsi="Times New Roman" w:eastAsia="仿宋_GB2312" w:cs="Times New Roman"/>
          <w:b w:val="0"/>
          <w:bCs w:val="0"/>
          <w:color w:val="auto"/>
          <w:kern w:val="2"/>
          <w:sz w:val="22"/>
          <w:szCs w:val="22"/>
          <w:highlight w:val="none"/>
          <w:lang w:val="en-US" w:eastAsia="zh-CN" w:bidi="ar-SA"/>
        </w:rPr>
      </w:pPr>
      <w:r>
        <w:rPr>
          <w:rFonts w:hint="eastAsia" w:ascii="Times New Roman" w:hAnsi="Times New Roman" w:eastAsia="仿宋_GB2312" w:cs="Times New Roman"/>
          <w:b w:val="0"/>
          <w:bCs w:val="0"/>
          <w:color w:val="auto"/>
          <w:kern w:val="2"/>
          <w:sz w:val="22"/>
          <w:szCs w:val="22"/>
          <w:highlight w:val="none"/>
          <w:lang w:val="en-US" w:eastAsia="zh-CN" w:bidi="ar-SA"/>
        </w:rPr>
        <w:t>表</w:t>
      </w:r>
      <w:r>
        <w:rPr>
          <w:rFonts w:hint="eastAsia" w:ascii="Times New Roman" w:eastAsia="仿宋_GB2312" w:cs="Times New Roman"/>
          <w:b w:val="0"/>
          <w:bCs w:val="0"/>
          <w:color w:val="auto"/>
          <w:kern w:val="2"/>
          <w:sz w:val="22"/>
          <w:szCs w:val="22"/>
          <w:highlight w:val="none"/>
          <w:lang w:val="en-US" w:eastAsia="zh-CN" w:bidi="ar-SA"/>
        </w:rPr>
        <w:t>16</w:t>
      </w:r>
      <w:r>
        <w:rPr>
          <w:rFonts w:hint="eastAsia" w:ascii="Times New Roman" w:hAnsi="Times New Roman" w:eastAsia="仿宋_GB2312" w:cs="Times New Roman"/>
          <w:b w:val="0"/>
          <w:bCs w:val="0"/>
          <w:color w:val="auto"/>
          <w:kern w:val="2"/>
          <w:sz w:val="22"/>
          <w:szCs w:val="22"/>
          <w:highlight w:val="none"/>
          <w:lang w:val="en-US" w:eastAsia="zh-CN" w:bidi="ar-SA"/>
        </w:rPr>
        <w:t xml:space="preserve"> 选矿厂工艺综合能耗指标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金属种类</w:t>
            </w:r>
          </w:p>
        </w:tc>
        <w:tc>
          <w:tcPr>
            <w:tcW w:w="1704" w:type="dxa"/>
            <w:vMerge w:val="restart"/>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矿石类型</w:t>
            </w:r>
          </w:p>
        </w:tc>
        <w:tc>
          <w:tcPr>
            <w:tcW w:w="5114" w:type="dxa"/>
            <w:gridSpan w:val="3"/>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选矿工艺综合能耗（kW·h/t</w:t>
            </w:r>
            <w:r>
              <w:rPr>
                <w:rFonts w:hint="eastAsia" w:ascii="宋体" w:hAnsi="宋体"/>
                <w:b w:val="0"/>
                <w:bCs/>
                <w:color w:val="auto"/>
                <w:szCs w:val="21"/>
                <w:vertAlign w:val="subscript"/>
              </w:rPr>
              <w:t>原矿</w:t>
            </w:r>
            <w:r>
              <w:rPr>
                <w:rFonts w:hint="eastAsia" w:ascii="宋体" w:hAnsi="宋体"/>
                <w:b w:val="0"/>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704" w:type="dxa"/>
            <w:vMerge w:val="continue"/>
            <w:noWrap w:val="0"/>
            <w:vAlign w:val="center"/>
          </w:tcPr>
          <w:p>
            <w:pPr>
              <w:ind w:left="420" w:hanging="420"/>
              <w:jc w:val="center"/>
              <w:rPr>
                <w:rFonts w:hint="eastAsia" w:ascii="宋体" w:hAnsi="宋体"/>
                <w:b w:val="0"/>
                <w:bCs/>
                <w:color w:val="auto"/>
                <w:szCs w:val="21"/>
              </w:rPr>
            </w:pPr>
          </w:p>
        </w:tc>
        <w:tc>
          <w:tcPr>
            <w:tcW w:w="1704" w:type="dxa"/>
            <w:vMerge w:val="continue"/>
            <w:noWrap w:val="0"/>
            <w:vAlign w:val="top"/>
          </w:tcPr>
          <w:p>
            <w:pPr>
              <w:ind w:left="420" w:hanging="420"/>
              <w:rPr>
                <w:rFonts w:hint="eastAsia" w:ascii="宋体" w:hAnsi="宋体"/>
                <w:b w:val="0"/>
                <w:bCs/>
                <w:color w:val="auto"/>
                <w:szCs w:val="21"/>
              </w:rPr>
            </w:pP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一级</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二级</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04" w:type="dxa"/>
            <w:vMerge w:val="restart"/>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铅锌</w:t>
            </w: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硫化矿</w:t>
            </w: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≤29</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29＜～≤37</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37＜～≤46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noWrap w:val="0"/>
            <w:vAlign w:val="center"/>
          </w:tcPr>
          <w:p>
            <w:pPr>
              <w:ind w:left="420" w:hanging="420"/>
              <w:jc w:val="center"/>
              <w:rPr>
                <w:rFonts w:hint="eastAsia" w:ascii="宋体" w:hAnsi="宋体"/>
                <w:b w:val="0"/>
                <w:bCs/>
                <w:color w:val="auto"/>
                <w:szCs w:val="21"/>
              </w:rPr>
            </w:pPr>
          </w:p>
        </w:tc>
        <w:tc>
          <w:tcPr>
            <w:tcW w:w="1704" w:type="dxa"/>
            <w:noWrap w:val="0"/>
            <w:vAlign w:val="top"/>
          </w:tcPr>
          <w:p>
            <w:pPr>
              <w:ind w:left="420" w:hanging="420"/>
              <w:jc w:val="center"/>
              <w:rPr>
                <w:rFonts w:hint="eastAsia" w:ascii="宋体" w:hAnsi="宋体"/>
                <w:b w:val="0"/>
                <w:bCs/>
                <w:color w:val="auto"/>
                <w:szCs w:val="21"/>
              </w:rPr>
            </w:pPr>
            <w:r>
              <w:rPr>
                <w:rFonts w:hint="eastAsia" w:ascii="宋体" w:hAnsi="宋体"/>
                <w:b w:val="0"/>
                <w:bCs/>
                <w:color w:val="auto"/>
                <w:szCs w:val="21"/>
              </w:rPr>
              <w:t>混合矿</w:t>
            </w:r>
          </w:p>
          <w:p>
            <w:pPr>
              <w:ind w:left="420" w:hanging="420"/>
              <w:jc w:val="center"/>
              <w:rPr>
                <w:rFonts w:hint="eastAsia" w:ascii="宋体" w:hAnsi="宋体"/>
                <w:b w:val="0"/>
                <w:bCs/>
                <w:color w:val="auto"/>
                <w:szCs w:val="21"/>
              </w:rPr>
            </w:pPr>
            <w:r>
              <w:rPr>
                <w:rFonts w:hint="eastAsia" w:ascii="宋体" w:hAnsi="宋体"/>
                <w:b w:val="0"/>
                <w:bCs/>
                <w:color w:val="auto"/>
                <w:szCs w:val="21"/>
              </w:rPr>
              <w:t>氧化矿</w:t>
            </w:r>
          </w:p>
        </w:tc>
        <w:tc>
          <w:tcPr>
            <w:tcW w:w="1704"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≤35</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35＜～≤44</w:t>
            </w:r>
          </w:p>
        </w:tc>
        <w:tc>
          <w:tcPr>
            <w:tcW w:w="1705" w:type="dxa"/>
            <w:noWrap w:val="0"/>
            <w:vAlign w:val="center"/>
          </w:tcPr>
          <w:p>
            <w:pPr>
              <w:ind w:left="420" w:hanging="420"/>
              <w:jc w:val="center"/>
              <w:rPr>
                <w:rFonts w:hint="eastAsia" w:ascii="宋体" w:hAnsi="宋体"/>
                <w:b w:val="0"/>
                <w:bCs/>
                <w:color w:val="auto"/>
                <w:szCs w:val="21"/>
              </w:rPr>
            </w:pPr>
            <w:r>
              <w:rPr>
                <w:rFonts w:hint="eastAsia" w:ascii="宋体" w:hAnsi="宋体"/>
                <w:b w:val="0"/>
                <w:bCs/>
                <w:color w:val="auto"/>
                <w:szCs w:val="21"/>
              </w:rPr>
              <w:t>44＜～≤55</w:t>
            </w:r>
          </w:p>
        </w:tc>
      </w:tr>
    </w:tbl>
    <w:p>
      <w:pPr>
        <w:spacing w:before="156" w:beforeLines="50"/>
        <w:ind w:firstLine="420" w:firstLineChars="200"/>
        <w:jc w:val="left"/>
        <w:rPr>
          <w:rFonts w:hint="eastAsia" w:ascii="仿宋" w:hAnsi="仿宋" w:eastAsia="仿宋" w:cs="仿宋"/>
          <w:b w:val="0"/>
          <w:bCs w:val="0"/>
          <w:color w:val="auto"/>
          <w:szCs w:val="21"/>
        </w:rPr>
      </w:pPr>
      <w:r>
        <w:rPr>
          <w:rFonts w:hint="eastAsia" w:ascii="仿宋" w:hAnsi="仿宋" w:eastAsia="仿宋" w:cs="仿宋"/>
          <w:b w:val="0"/>
          <w:bCs w:val="0"/>
          <w:color w:val="auto"/>
          <w:szCs w:val="21"/>
        </w:rPr>
        <w:t>注：选矿工艺综合能耗包括破碎筛分、磨矿、选别、精矿脱水等生产工序，不包括尾矿、供水、供热等辅助工序能耗。</w:t>
      </w:r>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已建铅锌矿山企业采矿综合能耗、选矿综合能耗应达到铅锌采选业清洁生产评价指标体系中的Ⅱ级基准值要求。适用时，企业应逐步实施节能降耗改造，采矿综合能耗、选矿综合能耗宜实现Ⅰ级基准值要求，见表17。</w:t>
      </w:r>
    </w:p>
    <w:p>
      <w:pPr>
        <w:pStyle w:val="21"/>
        <w:pageBreakBefore w:val="0"/>
        <w:numPr>
          <w:ilvl w:val="0"/>
          <w:numId w:val="0"/>
        </w:numPr>
        <w:kinsoku/>
        <w:wordWrap/>
        <w:overflowPunct/>
        <w:topLinePunct w:val="0"/>
        <w:bidi w:val="0"/>
        <w:adjustRightInd/>
        <w:snapToGrid/>
        <w:spacing w:line="400" w:lineRule="exact"/>
        <w:jc w:val="center"/>
        <w:rPr>
          <w:rFonts w:hint="eastAsia" w:ascii="Times New Roman" w:hAnsi="Times New Roman" w:eastAsia="仿宋_GB2312" w:cs="Times New Roman"/>
          <w:b w:val="0"/>
          <w:bCs w:val="0"/>
          <w:color w:val="auto"/>
          <w:kern w:val="2"/>
          <w:sz w:val="22"/>
          <w:szCs w:val="22"/>
          <w:highlight w:val="none"/>
          <w:lang w:val="en-US" w:eastAsia="zh-CN" w:bidi="ar-SA"/>
        </w:rPr>
      </w:pPr>
      <w:r>
        <w:rPr>
          <w:rFonts w:hint="eastAsia" w:ascii="Times New Roman" w:hAnsi="Times New Roman" w:eastAsia="仿宋_GB2312" w:cs="Times New Roman"/>
          <w:b w:val="0"/>
          <w:bCs w:val="0"/>
          <w:color w:val="auto"/>
          <w:kern w:val="2"/>
          <w:sz w:val="22"/>
          <w:szCs w:val="22"/>
          <w:highlight w:val="none"/>
          <w:lang w:val="en-US" w:eastAsia="zh-CN" w:bidi="ar-SA"/>
        </w:rPr>
        <w:t>表</w:t>
      </w:r>
      <w:r>
        <w:rPr>
          <w:rFonts w:hint="eastAsia" w:ascii="Times New Roman" w:eastAsia="仿宋_GB2312" w:cs="Times New Roman"/>
          <w:b w:val="0"/>
          <w:bCs w:val="0"/>
          <w:color w:val="auto"/>
          <w:kern w:val="2"/>
          <w:sz w:val="22"/>
          <w:szCs w:val="22"/>
          <w:highlight w:val="none"/>
          <w:lang w:val="en-US" w:eastAsia="zh-CN" w:bidi="ar-SA"/>
        </w:rPr>
        <w:t>17</w:t>
      </w:r>
      <w:r>
        <w:rPr>
          <w:rFonts w:hint="eastAsia" w:ascii="Times New Roman" w:hAnsi="Times New Roman" w:eastAsia="仿宋_GB2312" w:cs="Times New Roman"/>
          <w:b w:val="0"/>
          <w:bCs w:val="0"/>
          <w:color w:val="auto"/>
          <w:kern w:val="2"/>
          <w:sz w:val="22"/>
          <w:szCs w:val="22"/>
          <w:highlight w:val="none"/>
          <w:lang w:val="en-US" w:eastAsia="zh-CN" w:bidi="ar-SA"/>
        </w:rPr>
        <w:t xml:space="preserve"> 已建铅锌矿山企业综合能耗指标</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147"/>
        <w:gridCol w:w="1155"/>
        <w:gridCol w:w="1319"/>
        <w:gridCol w:w="136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6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val="0"/>
                <w:bCs w:val="0"/>
                <w:color w:val="auto"/>
                <w:sz w:val="22"/>
                <w:szCs w:val="22"/>
                <w:highlight w:val="none"/>
                <w:vertAlign w:val="baseline"/>
                <w:lang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指标</w:t>
            </w:r>
          </w:p>
        </w:tc>
        <w:tc>
          <w:tcPr>
            <w:tcW w:w="67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适用企业</w:t>
            </w:r>
          </w:p>
        </w:tc>
        <w:tc>
          <w:tcPr>
            <w:tcW w:w="6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val="en-US" w:eastAsia="zh-CN"/>
              </w:rPr>
              <w:t>单位</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2"/>
                <w:szCs w:val="22"/>
                <w:highlight w:val="none"/>
                <w:vertAlign w:val="baseline"/>
                <w:lang w:val="en-US" w:eastAsia="zh-CN"/>
              </w:rPr>
            </w:pPr>
            <w:r>
              <w:rPr>
                <w:rFonts w:hint="eastAsia" w:ascii="Times New Roman" w:hAnsi="Times New Roman" w:eastAsia="仿宋_GB2312" w:cs="Times New Roman"/>
                <w:b w:val="0"/>
                <w:bCs w:val="0"/>
                <w:color w:val="auto"/>
                <w:sz w:val="22"/>
                <w:szCs w:val="22"/>
                <w:highlight w:val="none"/>
                <w:vertAlign w:val="baseline"/>
                <w:lang w:eastAsia="zh-CN"/>
              </w:rPr>
              <w:t>Ⅰ</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仿宋_GB2312" w:cs="Times New Roman"/>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Ⅱ</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color w:val="auto"/>
                <w:sz w:val="21"/>
                <w:szCs w:val="21"/>
                <w:highlight w:val="none"/>
                <w:vertAlign w:val="baseline"/>
                <w:lang w:val="en-US" w:eastAsia="zh-CN"/>
              </w:rPr>
            </w:pPr>
            <w:r>
              <w:rPr>
                <w:rFonts w:hint="eastAsia" w:ascii="Times New Roman" w:hAnsi="Times New Roman" w:eastAsia="仿宋_GB2312" w:cs="Times New Roman"/>
                <w:b w:val="0"/>
                <w:bCs w:val="0"/>
                <w:color w:val="auto"/>
                <w:sz w:val="21"/>
                <w:szCs w:val="21"/>
                <w:highlight w:val="none"/>
                <w:vertAlign w:val="baseline"/>
                <w:lang w:val="en-US" w:eastAsia="zh-CN"/>
              </w:rPr>
              <w:t>Ⅲ</w:t>
            </w:r>
            <w:r>
              <w:rPr>
                <w:rFonts w:hint="eastAsia" w:ascii="Times New Roman" w:hAnsi="Times New Roman" w:eastAsia="仿宋_GB2312" w:cs="Times New Roman"/>
                <w:b w:val="0"/>
                <w:bCs w:val="0"/>
                <w:color w:val="auto"/>
                <w:sz w:val="22"/>
                <w:szCs w:val="22"/>
                <w:highlight w:val="none"/>
                <w:vertAlign w:val="baseline"/>
                <w:lang w:val="en-US" w:eastAsia="zh-CN"/>
              </w:rPr>
              <w:t>级基准值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采矿综合能耗</w:t>
            </w:r>
          </w:p>
        </w:tc>
        <w:tc>
          <w:tcPr>
            <w:tcW w:w="67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地下矿山</w:t>
            </w:r>
          </w:p>
        </w:tc>
        <w:tc>
          <w:tcPr>
            <w:tcW w:w="6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Kgce/t原矿</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≤0.50</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≤0.80</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p>
        </w:tc>
        <w:tc>
          <w:tcPr>
            <w:tcW w:w="67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露天矿山</w:t>
            </w:r>
          </w:p>
        </w:tc>
        <w:tc>
          <w:tcPr>
            <w:tcW w:w="6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Kgce/t原矿</w:t>
            </w:r>
          </w:p>
        </w:tc>
        <w:tc>
          <w:tcPr>
            <w:tcW w:w="13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13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13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default" w:ascii="仿宋" w:hAnsi="仿宋" w:eastAsia="仿宋" w:cs="仿宋"/>
                <w:color w:val="auto"/>
                <w:sz w:val="18"/>
                <w:szCs w:val="18"/>
                <w:lang w:val="en-US" w:eastAsia="zh-CN"/>
              </w:rPr>
              <w:t>选矿综合能耗</w:t>
            </w:r>
          </w:p>
        </w:tc>
        <w:tc>
          <w:tcPr>
            <w:tcW w:w="67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选矿企业</w:t>
            </w:r>
          </w:p>
        </w:tc>
        <w:tc>
          <w:tcPr>
            <w:tcW w:w="6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Kgce/t原矿</w:t>
            </w:r>
          </w:p>
        </w:tc>
        <w:tc>
          <w:tcPr>
            <w:tcW w:w="77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w:t>
            </w:r>
          </w:p>
        </w:tc>
        <w:tc>
          <w:tcPr>
            <w:tcW w:w="79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≤6.5</w:t>
            </w:r>
          </w:p>
        </w:tc>
        <w:tc>
          <w:tcPr>
            <w:tcW w:w="8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≤7.0</w:t>
            </w:r>
          </w:p>
        </w:tc>
      </w:tr>
    </w:tbl>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bookmarkStart w:id="23" w:name="_Toc867"/>
      <w:r>
        <w:rPr>
          <w:rFonts w:hint="eastAsia" w:ascii="仿宋" w:hAnsi="仿宋" w:eastAsia="仿宋" w:cs="仿宋"/>
          <w:color w:val="auto"/>
          <w:sz w:val="28"/>
          <w:szCs w:val="28"/>
          <w:highlight w:val="none"/>
          <w:lang w:val="en-US" w:eastAsia="zh-CN"/>
        </w:rPr>
        <w:t>评价程序</w:t>
      </w:r>
      <w:bookmarkEnd w:id="23"/>
    </w:p>
    <w:p>
      <w:pPr>
        <w:pStyle w:val="21"/>
        <w:keepNext w:val="0"/>
        <w:keepLines w:val="0"/>
        <w:pageBreakBefore w:val="0"/>
        <w:widowControl/>
        <w:kinsoku/>
        <w:wordWrap/>
        <w:overflowPunct/>
        <w:topLinePunct w:val="0"/>
        <w:autoSpaceDE w:val="0"/>
        <w:autoSpaceDN w:val="0"/>
        <w:bidi w:val="0"/>
        <w:adjustRightInd/>
        <w:snapToGrid/>
        <w:spacing w:line="400" w:lineRule="exact"/>
        <w:ind w:left="0" w:leftChars="0" w:firstLine="560" w:firstLineChars="200"/>
        <w:textAlignment w:val="auto"/>
        <w:rPr>
          <w:rFonts w:hint="eastAsia" w:ascii="仿宋" w:hAnsi="仿宋" w:eastAsia="仿宋" w:cs="仿宋"/>
          <w:color w:val="auto"/>
          <w:sz w:val="20"/>
          <w:szCs w:val="18"/>
          <w:highlight w:val="none"/>
          <w:lang w:val="en-US" w:eastAsia="zh-CN"/>
        </w:rPr>
      </w:pPr>
      <w:r>
        <w:rPr>
          <w:rFonts w:hint="eastAsia" w:ascii="仿宋" w:hAnsi="仿宋" w:eastAsia="仿宋" w:cs="仿宋"/>
          <w:color w:val="auto"/>
          <w:sz w:val="28"/>
          <w:szCs w:val="28"/>
          <w:lang w:val="en-US" w:eastAsia="zh-CN"/>
        </w:rPr>
        <w:t>实施评价的组织宜按照已建立的评价工作流程开展有色金属采选业绿色工厂评价工作。评价分为自评与第三方评价。自评时，企业参照标准要求逐条对照开展自身工作评价，并编制自评报告。第三方评价，由三方机构按评价流程要求对照企业自评报告、报表数据、证明性文件材料及现场核查，开展评价工作。</w:t>
      </w:r>
    </w:p>
    <w:p>
      <w:pPr>
        <w:pStyle w:val="4"/>
        <w:pageBreakBefore w:val="0"/>
        <w:numPr>
          <w:ilvl w:val="0"/>
          <w:numId w:val="10"/>
        </w:numPr>
        <w:kinsoku/>
        <w:wordWrap/>
        <w:overflowPunct/>
        <w:topLinePunct w:val="0"/>
        <w:bidi w:val="0"/>
        <w:adjustRightInd/>
        <w:snapToGrid/>
        <w:spacing w:before="0" w:after="0" w:line="400" w:lineRule="exact"/>
        <w:ind w:left="425" w:leftChars="0" w:hanging="425" w:firstLineChars="0"/>
        <w:outlineLvl w:val="1"/>
        <w:rPr>
          <w:rFonts w:hint="eastAsia" w:ascii="仿宋" w:hAnsi="仿宋" w:eastAsia="仿宋" w:cs="仿宋"/>
          <w:color w:val="auto"/>
          <w:sz w:val="28"/>
          <w:szCs w:val="28"/>
          <w:highlight w:val="none"/>
          <w:lang w:val="en-US" w:eastAsia="zh-CN"/>
        </w:rPr>
      </w:pPr>
      <w:bookmarkStart w:id="24" w:name="_Toc25419"/>
      <w:r>
        <w:rPr>
          <w:rFonts w:hint="eastAsia" w:ascii="仿宋" w:hAnsi="仿宋" w:eastAsia="仿宋" w:cs="仿宋"/>
          <w:color w:val="auto"/>
          <w:sz w:val="28"/>
          <w:szCs w:val="28"/>
          <w:highlight w:val="none"/>
          <w:lang w:val="en-US" w:eastAsia="zh-CN"/>
        </w:rPr>
        <w:t>评价报告</w:t>
      </w:r>
      <w:bookmarkEnd w:id="24"/>
    </w:p>
    <w:p>
      <w:pPr>
        <w:pStyle w:val="21"/>
        <w:pageBreakBefore w:val="0"/>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评价报告的内容包括但不限于：</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实施评价的组织；</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评价的目的、范围及准则；</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评价过程，主要包括评价组织安排、文件评审情况、现场评价情况、评价报告编制及内部技术评审情况；</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评价内容，包括</w:t>
      </w:r>
      <w:r>
        <w:rPr>
          <w:rFonts w:hint="eastAsia" w:ascii="仿宋" w:hAnsi="仿宋" w:eastAsia="仿宋" w:cs="仿宋"/>
          <w:color w:val="auto"/>
          <w:sz w:val="28"/>
          <w:szCs w:val="28"/>
          <w:highlight w:val="none"/>
          <w:lang w:eastAsia="zh-CN"/>
        </w:rPr>
        <w:t>基本要求、基础设施、管理体系、能源与资源投入、产品、环境排放、绩效</w:t>
      </w:r>
      <w:r>
        <w:rPr>
          <w:rFonts w:hint="eastAsia" w:ascii="仿宋" w:hAnsi="仿宋" w:eastAsia="仿宋" w:cs="仿宋"/>
          <w:color w:val="auto"/>
          <w:sz w:val="28"/>
          <w:szCs w:val="28"/>
          <w:highlight w:val="none"/>
          <w:lang w:val="en-US" w:eastAsia="zh-CN"/>
        </w:rPr>
        <w:t>7个方面；</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评价证据核实力情况，包括证明性文件材料的准备，核算数据的计算方法、计算范围、原始数据来源（含计量设备情况、数据传递过程）的真实有效性，相关标准的执行情况；</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评价指标表，根据评价要求进行指标评分，并根据最终得分明确受评有色金属采选企业是否符合评价要求；</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存在的问题；</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企业工作中存在的亮点；</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对企业持续创建绿色工厂的工作建议；</w:t>
      </w:r>
    </w:p>
    <w:p>
      <w:pPr>
        <w:pStyle w:val="21"/>
        <w:pageBreakBefore w:val="0"/>
        <w:numPr>
          <w:ilvl w:val="0"/>
          <w:numId w:val="15"/>
        </w:numPr>
        <w:kinsoku/>
        <w:wordWrap/>
        <w:overflowPunct/>
        <w:topLinePunct w:val="0"/>
        <w:bidi w:val="0"/>
        <w:adjustRightInd/>
        <w:snapToGrid/>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支撑性文件附件。</w:t>
      </w:r>
    </w:p>
    <w:p>
      <w:pPr>
        <w:pStyle w:val="3"/>
        <w:pageBreakBefore w:val="0"/>
        <w:numPr>
          <w:ilvl w:val="0"/>
          <w:numId w:val="4"/>
        </w:numPr>
        <w:kinsoku/>
        <w:wordWrap/>
        <w:overflowPunct/>
        <w:topLinePunct w:val="0"/>
        <w:bidi w:val="0"/>
        <w:adjustRightInd/>
        <w:snapToGrid/>
        <w:spacing w:before="0" w:after="0" w:line="400" w:lineRule="exact"/>
        <w:ind w:left="0" w:leftChars="0" w:firstLine="0" w:firstLineChars="0"/>
        <w:jc w:val="both"/>
        <w:rPr>
          <w:rFonts w:hint="eastAsia" w:ascii="黑体" w:hAnsi="黑体" w:eastAsia="黑体" w:cs="Times New Roman"/>
          <w:color w:val="auto"/>
          <w:sz w:val="28"/>
          <w:szCs w:val="28"/>
          <w:lang w:eastAsia="zh-CN"/>
        </w:rPr>
      </w:pPr>
      <w:r>
        <w:rPr>
          <w:rFonts w:hint="eastAsia" w:ascii="黑体" w:hAnsi="黑体" w:eastAsia="黑体" w:cs="Times New Roman"/>
          <w:color w:val="auto"/>
          <w:sz w:val="28"/>
          <w:szCs w:val="28"/>
          <w:lang w:eastAsia="zh-CN"/>
        </w:rPr>
        <w:t>标准水平分析</w:t>
      </w:r>
    </w:p>
    <w:p>
      <w:pPr>
        <w:pageBreakBefore w:val="0"/>
        <w:kinsoku/>
        <w:wordWrap/>
        <w:overflowPunct/>
        <w:topLinePunct w:val="0"/>
        <w:bidi w:val="0"/>
        <w:adjustRightInd/>
        <w:snapToGrid/>
        <w:spacing w:line="4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铅锌采选矿山企业作为全产业链的源头企业，也是全产业链绿色建设的基础，推动铅锌采选业绿色工厂评价要求的制定是</w:t>
      </w:r>
      <w:r>
        <w:rPr>
          <w:rFonts w:hint="eastAsia" w:ascii="仿宋" w:hAnsi="仿宋" w:eastAsia="仿宋" w:cs="仿宋"/>
          <w:color w:val="auto"/>
          <w:sz w:val="28"/>
          <w:szCs w:val="28"/>
        </w:rPr>
        <w:t>为贯彻落实《中国制造2025》，深入实施绿色制造工程，加快构建绿色制造体系，发挥绿色制造先进典型的示范带动作用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标准主要内容紧密围绕DZ/T 0320《有色金属行业绿色矿山建设规范》与GB/T 36132《绿色工厂评价通则》。</w:t>
      </w:r>
    </w:p>
    <w:p>
      <w:pPr>
        <w:pageBreakBefore w:val="0"/>
        <w:kinsoku/>
        <w:wordWrap/>
        <w:overflowPunct/>
        <w:topLinePunct w:val="0"/>
        <w:bidi w:val="0"/>
        <w:adjustRightInd/>
        <w:snapToGrid/>
        <w:spacing w:line="4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企业自身建设方面，为体现铅锌采选业绿色工厂作为行业先进企业的代表作用，明确铅锌采选业绿色工厂应建立健全内部绿色工厂管理组织体系，企业运营合法合规且起到必要的社会责任；铅锌采选业绿色工厂应实施机械化作业，采用采治一体的生产作业模式，鼓励对前沿科技的应用，推动节能应用，落实生产作业减排要求，体现企业生产、能源消耗、环境治理等方面装备及工艺的先进性。</w:t>
      </w:r>
    </w:p>
    <w:p>
      <w:pPr>
        <w:pageBreakBefore w:val="0"/>
        <w:kinsoku/>
        <w:wordWrap/>
        <w:overflowPunct/>
        <w:topLinePunct w:val="0"/>
        <w:bidi w:val="0"/>
        <w:adjustRightInd/>
        <w:snapToGrid/>
        <w:spacing w:line="400" w:lineRule="exact"/>
        <w:ind w:firstLine="560" w:firstLineChars="200"/>
        <w:rPr>
          <w:rFonts w:ascii="Times New Roman" w:hAnsi="Times New Roman" w:eastAsia="仿宋_GB2312" w:cs="Times New Roman"/>
          <w:color w:val="auto"/>
          <w:sz w:val="28"/>
          <w:szCs w:val="28"/>
        </w:rPr>
      </w:pPr>
      <w:r>
        <w:rPr>
          <w:rFonts w:hint="eastAsia" w:ascii="仿宋" w:hAnsi="仿宋" w:eastAsia="仿宋" w:cs="仿宋"/>
          <w:color w:val="auto"/>
          <w:sz w:val="28"/>
          <w:szCs w:val="28"/>
          <w:lang w:val="en-US" w:eastAsia="zh-CN"/>
        </w:rPr>
        <w:t>在指标评价确立方面，依据《铅锌采选业清洁生产评价指标体系》，明确国内清先进水平设立为达标必选值，将国际生产领先水平设立为可选鼓励指标，引导企业向国际领先发展。</w:t>
      </w:r>
      <w:r>
        <w:rPr>
          <w:rFonts w:hint="eastAsia" w:ascii="Times New Roman" w:hAnsi="Times New Roman" w:eastAsia="仿宋_GB2312" w:cs="Times New Roman"/>
          <w:color w:val="auto"/>
          <w:sz w:val="28"/>
          <w:szCs w:val="28"/>
          <w:lang w:val="en-US" w:eastAsia="zh-CN"/>
        </w:rPr>
        <w:t>评价指标的设立已</w:t>
      </w:r>
      <w:r>
        <w:rPr>
          <w:rFonts w:hint="eastAsia" w:ascii="Times New Roman" w:hAnsi="Times New Roman" w:eastAsia="仿宋_GB2312" w:cs="Times New Roman"/>
          <w:color w:val="auto"/>
          <w:sz w:val="28"/>
          <w:szCs w:val="28"/>
        </w:rPr>
        <w:t>达到国内</w:t>
      </w:r>
      <w:r>
        <w:rPr>
          <w:rFonts w:hint="eastAsia" w:ascii="Times New Roman" w:hAnsi="Times New Roman" w:eastAsia="仿宋_GB2312" w:cs="Times New Roman"/>
          <w:color w:val="auto"/>
          <w:sz w:val="28"/>
          <w:szCs w:val="28"/>
          <w:lang w:val="en-US" w:eastAsia="zh-CN"/>
        </w:rPr>
        <w:t>先进水平</w:t>
      </w:r>
      <w:r>
        <w:rPr>
          <w:rFonts w:hint="eastAsia" w:ascii="Times New Roman" w:hAnsi="Times New Roman" w:eastAsia="仿宋_GB2312" w:cs="Times New Roman"/>
          <w:color w:val="auto"/>
          <w:sz w:val="28"/>
          <w:szCs w:val="28"/>
        </w:rPr>
        <w:t>，接近</w:t>
      </w:r>
      <w:r>
        <w:rPr>
          <w:rFonts w:hint="eastAsia" w:ascii="仿宋" w:hAnsi="仿宋" w:eastAsia="仿宋" w:cs="仿宋"/>
          <w:color w:val="auto"/>
          <w:sz w:val="28"/>
          <w:szCs w:val="28"/>
          <w:lang w:val="en-US" w:eastAsia="zh-CN"/>
        </w:rPr>
        <w:t>国际领先</w:t>
      </w:r>
      <w:r>
        <w:rPr>
          <w:rFonts w:hint="eastAsia" w:ascii="Times New Roman" w:hAnsi="Times New Roman" w:eastAsia="仿宋_GB2312" w:cs="Times New Roman"/>
          <w:color w:val="auto"/>
          <w:sz w:val="28"/>
          <w:szCs w:val="28"/>
        </w:rPr>
        <w:t>水平。</w:t>
      </w:r>
    </w:p>
    <w:p>
      <w:pPr>
        <w:pStyle w:val="3"/>
        <w:pageBreakBefore w:val="0"/>
        <w:numPr>
          <w:ilvl w:val="0"/>
          <w:numId w:val="4"/>
        </w:numPr>
        <w:kinsoku/>
        <w:wordWrap/>
        <w:overflowPunct/>
        <w:topLinePunct w:val="0"/>
        <w:bidi w:val="0"/>
        <w:adjustRightInd/>
        <w:snapToGrid/>
        <w:spacing w:before="0" w:after="0" w:line="400" w:lineRule="exact"/>
        <w:ind w:left="0" w:leftChars="0" w:firstLine="0" w:firstLineChars="0"/>
        <w:jc w:val="both"/>
        <w:rPr>
          <w:rFonts w:hint="eastAsia" w:ascii="黑体" w:hAnsi="黑体" w:eastAsia="黑体" w:cs="Times New Roman"/>
          <w:color w:val="auto"/>
          <w:sz w:val="28"/>
          <w:szCs w:val="28"/>
          <w:lang w:eastAsia="zh-CN"/>
        </w:rPr>
      </w:pPr>
      <w:r>
        <w:rPr>
          <w:rFonts w:hint="eastAsia" w:ascii="黑体" w:hAnsi="黑体" w:eastAsia="黑体" w:cs="Times New Roman"/>
          <w:color w:val="auto"/>
          <w:sz w:val="28"/>
          <w:szCs w:val="28"/>
          <w:lang w:eastAsia="zh-CN"/>
        </w:rPr>
        <w:t>与现行法律、法规、强制性国家标准及相关标准协调配套情况</w:t>
      </w:r>
    </w:p>
    <w:p>
      <w:pPr>
        <w:pageBreakBefore w:val="0"/>
        <w:kinsoku/>
        <w:wordWrap/>
        <w:overflowPunct/>
        <w:topLinePunct w:val="0"/>
        <w:bidi w:val="0"/>
        <w:adjustRightInd/>
        <w:snapToGrid/>
        <w:spacing w:line="400" w:lineRule="exact"/>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标准制定符合相关的法律、法规等的要求。2018年修订的《中华人民共和国标准化法》，第一章第七条规定：“国家鼓励企业、社会团体和教育、科研机构等开展或者参与标准化工作”；第二章第二十二条规定：“制定标准应当有利于科学合理利用资源，推广科学技术成果，增强产品的安全性、通用性、可替换性，提高经济效益、社会效益、生态效益，做到技术上先进、经济上合理”。</w:t>
      </w:r>
    </w:p>
    <w:p>
      <w:pPr>
        <w:pStyle w:val="3"/>
        <w:pageBreakBefore w:val="0"/>
        <w:numPr>
          <w:ilvl w:val="0"/>
          <w:numId w:val="4"/>
        </w:numPr>
        <w:kinsoku/>
        <w:wordWrap/>
        <w:overflowPunct/>
        <w:topLinePunct w:val="0"/>
        <w:bidi w:val="0"/>
        <w:adjustRightInd/>
        <w:snapToGrid/>
        <w:spacing w:before="0" w:after="0" w:line="400" w:lineRule="exact"/>
        <w:ind w:left="0" w:leftChars="0" w:firstLine="0" w:firstLineChars="0"/>
        <w:jc w:val="both"/>
        <w:rPr>
          <w:rFonts w:hint="eastAsia" w:ascii="黑体" w:hAnsi="黑体" w:eastAsia="黑体" w:cs="Times New Roman"/>
          <w:color w:val="auto"/>
          <w:sz w:val="28"/>
          <w:szCs w:val="28"/>
          <w:lang w:eastAsia="zh-CN"/>
        </w:rPr>
      </w:pPr>
      <w:r>
        <w:rPr>
          <w:rFonts w:hint="eastAsia" w:ascii="黑体" w:hAnsi="黑体" w:eastAsia="黑体" w:cs="Times New Roman"/>
          <w:color w:val="auto"/>
          <w:sz w:val="28"/>
          <w:szCs w:val="28"/>
          <w:lang w:eastAsia="zh-CN"/>
        </w:rPr>
        <w:t>标准中涉及专利，应有明确的知识产权说明</w:t>
      </w:r>
    </w:p>
    <w:p>
      <w:pPr>
        <w:pageBreakBefore w:val="0"/>
        <w:kinsoku/>
        <w:wordWrap/>
        <w:overflowPunct/>
        <w:topLinePunct w:val="0"/>
        <w:bidi w:val="0"/>
        <w:adjustRightInd/>
        <w:snapToGrid/>
        <w:spacing w:line="400" w:lineRule="exact"/>
        <w:ind w:firstLine="560" w:firstLineChars="20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鉴于《铅锌采选业绿色工厂评价要求》更多的作为评价操作的具体要求，不涉及专业技术要求，不涉及专利事项。</w:t>
      </w:r>
    </w:p>
    <w:p>
      <w:pPr>
        <w:pStyle w:val="3"/>
        <w:pageBreakBefore w:val="0"/>
        <w:numPr>
          <w:ilvl w:val="0"/>
          <w:numId w:val="4"/>
        </w:numPr>
        <w:kinsoku/>
        <w:wordWrap/>
        <w:overflowPunct/>
        <w:topLinePunct w:val="0"/>
        <w:bidi w:val="0"/>
        <w:adjustRightInd/>
        <w:snapToGrid/>
        <w:spacing w:before="0" w:after="0" w:line="400" w:lineRule="exact"/>
        <w:ind w:left="0" w:leftChars="0" w:firstLine="0" w:firstLineChars="0"/>
        <w:jc w:val="both"/>
        <w:rPr>
          <w:rFonts w:hint="eastAsia" w:ascii="黑体" w:hAnsi="黑体" w:eastAsia="黑体" w:cs="Times New Roman"/>
          <w:color w:val="auto"/>
          <w:sz w:val="28"/>
          <w:szCs w:val="28"/>
          <w:lang w:eastAsia="zh-CN"/>
        </w:rPr>
      </w:pPr>
      <w:r>
        <w:rPr>
          <w:rFonts w:hint="eastAsia" w:ascii="黑体" w:hAnsi="黑体" w:eastAsia="黑体" w:cs="Times New Roman"/>
          <w:color w:val="auto"/>
          <w:sz w:val="28"/>
          <w:szCs w:val="28"/>
          <w:lang w:eastAsia="zh-CN"/>
        </w:rPr>
        <w:t>重大分歧意见的处理经过和依据</w:t>
      </w:r>
    </w:p>
    <w:p>
      <w:pPr>
        <w:pStyle w:val="2"/>
        <w:pageBreakBefore w:val="0"/>
        <w:kinsoku/>
        <w:wordWrap/>
        <w:overflowPunct/>
        <w:topLinePunct w:val="0"/>
        <w:bidi w:val="0"/>
        <w:adjustRightInd/>
        <w:snapToGrid/>
        <w:spacing w:line="400" w:lineRule="exact"/>
        <w:rPr>
          <w:rFonts w:hint="eastAsia" w:eastAsia="黑体"/>
          <w:color w:val="auto"/>
          <w:sz w:val="20"/>
          <w:szCs w:val="21"/>
          <w:lang w:val="en-US" w:eastAsia="zh-CN"/>
        </w:rPr>
      </w:pPr>
      <w:r>
        <w:rPr>
          <w:rFonts w:hint="eastAsia" w:ascii="黑体" w:hAnsi="黑体" w:eastAsia="黑体" w:cs="Times New Roman"/>
          <w:b/>
          <w:bCs/>
          <w:color w:val="auto"/>
          <w:kern w:val="44"/>
          <w:sz w:val="28"/>
          <w:szCs w:val="28"/>
          <w:lang w:val="en-US" w:eastAsia="zh-CN"/>
        </w:rPr>
        <w:t>无</w:t>
      </w:r>
    </w:p>
    <w:p>
      <w:pPr>
        <w:pageBreakBefore w:val="0"/>
        <w:kinsoku/>
        <w:wordWrap/>
        <w:overflowPunct/>
        <w:topLinePunct w:val="0"/>
        <w:bidi w:val="0"/>
        <w:adjustRightInd/>
        <w:snapToGrid/>
        <w:spacing w:line="400" w:lineRule="exact"/>
        <w:ind w:firstLine="560" w:firstLineChars="200"/>
        <w:rPr>
          <w:rFonts w:ascii="Times New Roman" w:hAnsi="Times New Roman" w:eastAsia="仿宋_GB2312" w:cs="Times New Roman"/>
          <w:color w:val="auto"/>
          <w:sz w:val="28"/>
          <w:szCs w:val="28"/>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蓉" w:date="2019-07-25T19:38:56Z" w:initials="">
    <w:p w14:paraId="7C70192E">
      <w:pPr>
        <w:pStyle w:val="7"/>
        <w:rPr>
          <w:rFonts w:hint="eastAsia" w:eastAsiaTheme="minorEastAsia"/>
          <w:lang w:val="en-US" w:eastAsia="zh-CN"/>
        </w:rPr>
      </w:pPr>
      <w:r>
        <w:rPr>
          <w:rFonts w:hint="eastAsia"/>
          <w:lang w:val="en-US" w:eastAsia="zh-CN"/>
        </w:rPr>
        <w:t>未下载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7019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57AD0"/>
    <w:multiLevelType w:val="singleLevel"/>
    <w:tmpl w:val="A8257AD0"/>
    <w:lvl w:ilvl="0" w:tentative="0">
      <w:start w:val="1"/>
      <w:numFmt w:val="chineseCounting"/>
      <w:suff w:val="nothing"/>
      <w:lvlText w:val="%1、"/>
      <w:lvlJc w:val="left"/>
      <w:pPr>
        <w:ind w:left="0" w:firstLine="420"/>
      </w:pPr>
      <w:rPr>
        <w:rFonts w:hint="eastAsia"/>
      </w:rPr>
    </w:lvl>
  </w:abstractNum>
  <w:abstractNum w:abstractNumId="1">
    <w:nsid w:val="B0CCA267"/>
    <w:multiLevelType w:val="singleLevel"/>
    <w:tmpl w:val="B0CCA267"/>
    <w:lvl w:ilvl="0" w:tentative="0">
      <w:start w:val="1"/>
      <w:numFmt w:val="decimal"/>
      <w:suff w:val="nothing"/>
      <w:lvlText w:val="%1）"/>
      <w:lvlJc w:val="left"/>
    </w:lvl>
  </w:abstractNum>
  <w:abstractNum w:abstractNumId="2">
    <w:nsid w:val="EFE6D0C6"/>
    <w:multiLevelType w:val="singleLevel"/>
    <w:tmpl w:val="EFE6D0C6"/>
    <w:lvl w:ilvl="0" w:tentative="0">
      <w:start w:val="1"/>
      <w:numFmt w:val="lowerLetter"/>
      <w:suff w:val="nothing"/>
      <w:lvlText w:val="%1）"/>
      <w:lvlJc w:val="left"/>
    </w:lvl>
  </w:abstractNum>
  <w:abstractNum w:abstractNumId="3">
    <w:nsid w:val="F91DE89D"/>
    <w:multiLevelType w:val="singleLevel"/>
    <w:tmpl w:val="F91DE89D"/>
    <w:lvl w:ilvl="0" w:tentative="0">
      <w:start w:val="1"/>
      <w:numFmt w:val="decimal"/>
      <w:suff w:val="nothing"/>
      <w:lvlText w:val="%1）"/>
      <w:lvlJc w:val="left"/>
    </w:lvl>
  </w:abstractNum>
  <w:abstractNum w:abstractNumId="4">
    <w:nsid w:val="1DBF583A"/>
    <w:multiLevelType w:val="multilevel"/>
    <w:tmpl w:val="1DBF583A"/>
    <w:lvl w:ilvl="0" w:tentative="0">
      <w:start w:val="1"/>
      <w:numFmt w:val="decimal"/>
      <w:pStyle w:val="3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pStyle w:val="24"/>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7D1553"/>
    <w:multiLevelType w:val="singleLevel"/>
    <w:tmpl w:val="227D1553"/>
    <w:lvl w:ilvl="0" w:tentative="0">
      <w:start w:val="1"/>
      <w:numFmt w:val="chineseCounting"/>
      <w:suff w:val="nothing"/>
      <w:lvlText w:val="（%1）"/>
      <w:lvlJc w:val="left"/>
      <w:pPr>
        <w:ind w:left="0" w:firstLine="420"/>
      </w:pPr>
      <w:rPr>
        <w:rFonts w:hint="eastAsia"/>
      </w:rPr>
    </w:lvl>
  </w:abstractNum>
  <w:abstractNum w:abstractNumId="7">
    <w:nsid w:val="264C72EF"/>
    <w:multiLevelType w:val="singleLevel"/>
    <w:tmpl w:val="264C72EF"/>
    <w:lvl w:ilvl="0" w:tentative="0">
      <w:start w:val="1"/>
      <w:numFmt w:val="lowerLetter"/>
      <w:suff w:val="nothing"/>
      <w:lvlText w:val="%1）"/>
      <w:lvlJc w:val="left"/>
    </w:lvl>
  </w:abstractNum>
  <w:abstractNum w:abstractNumId="8">
    <w:nsid w:val="30BE182D"/>
    <w:multiLevelType w:val="singleLevel"/>
    <w:tmpl w:val="30BE182D"/>
    <w:lvl w:ilvl="0" w:tentative="0">
      <w:start w:val="1"/>
      <w:numFmt w:val="decimal"/>
      <w:lvlText w:val="%1"/>
      <w:lvlJc w:val="left"/>
      <w:pPr>
        <w:tabs>
          <w:tab w:val="left" w:pos="420"/>
        </w:tabs>
        <w:ind w:left="425" w:leftChars="0" w:hanging="425" w:firstLineChars="0"/>
      </w:pPr>
      <w:rPr>
        <w:rFonts w:hint="default"/>
      </w:rPr>
    </w:lvl>
  </w:abstractNum>
  <w:abstractNum w:abstractNumId="9">
    <w:nsid w:val="4332BF15"/>
    <w:multiLevelType w:val="singleLevel"/>
    <w:tmpl w:val="4332BF15"/>
    <w:lvl w:ilvl="0" w:tentative="0">
      <w:start w:val="1"/>
      <w:numFmt w:val="decimal"/>
      <w:lvlText w:val="%1"/>
      <w:lvlJc w:val="left"/>
      <w:pPr>
        <w:tabs>
          <w:tab w:val="left" w:pos="420"/>
        </w:tabs>
        <w:ind w:left="425" w:leftChars="0" w:hanging="425" w:firstLineChars="0"/>
      </w:pPr>
      <w:rPr>
        <w:rFonts w:hint="default"/>
      </w:rPr>
    </w:lvl>
  </w:abstractNum>
  <w:abstractNum w:abstractNumId="10">
    <w:nsid w:val="44826AB2"/>
    <w:multiLevelType w:val="singleLevel"/>
    <w:tmpl w:val="44826AB2"/>
    <w:lvl w:ilvl="0" w:tentative="0">
      <w:start w:val="1"/>
      <w:numFmt w:val="chineseCounting"/>
      <w:suff w:val="nothing"/>
      <w:lvlText w:val="（%1）"/>
      <w:lvlJc w:val="left"/>
      <w:pPr>
        <w:ind w:left="0" w:firstLine="420"/>
      </w:pPr>
      <w:rPr>
        <w:rFonts w:hint="eastAsia"/>
      </w:rPr>
    </w:lvl>
  </w:abstractNum>
  <w:abstractNum w:abstractNumId="11">
    <w:nsid w:val="44C50F90"/>
    <w:multiLevelType w:val="multilevel"/>
    <w:tmpl w:val="44C50F90"/>
    <w:lvl w:ilvl="0" w:tentative="0">
      <w:start w:val="1"/>
      <w:numFmt w:val="lowerLetter"/>
      <w:pStyle w:val="2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8"/>
      <w:lvlText w:val="%2)"/>
      <w:lvlJc w:val="left"/>
      <w:pPr>
        <w:tabs>
          <w:tab w:val="left" w:pos="1260"/>
        </w:tabs>
        <w:ind w:left="1259" w:hanging="419"/>
      </w:pPr>
      <w:rPr>
        <w:rFonts w:hint="eastAsia"/>
      </w:rPr>
    </w:lvl>
    <w:lvl w:ilvl="2" w:tentative="0">
      <w:start w:val="1"/>
      <w:numFmt w:val="decimal"/>
      <w:pStyle w:val="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D472F37"/>
    <w:multiLevelType w:val="singleLevel"/>
    <w:tmpl w:val="4D472F37"/>
    <w:lvl w:ilvl="0" w:tentative="0">
      <w:start w:val="1"/>
      <w:numFmt w:val="decimal"/>
      <w:suff w:val="nothing"/>
      <w:lvlText w:val="%1、"/>
      <w:lvlJc w:val="left"/>
    </w:lvl>
  </w:abstractNum>
  <w:abstractNum w:abstractNumId="13">
    <w:nsid w:val="4F98E268"/>
    <w:multiLevelType w:val="singleLevel"/>
    <w:tmpl w:val="4F98E268"/>
    <w:lvl w:ilvl="0" w:tentative="0">
      <w:start w:val="1"/>
      <w:numFmt w:val="lowerLetter"/>
      <w:suff w:val="nothing"/>
      <w:lvlText w:val="%1）"/>
      <w:lvlJc w:val="left"/>
    </w:lvl>
  </w:abstractNum>
  <w:abstractNum w:abstractNumId="14">
    <w:nsid w:val="5D558CE6"/>
    <w:multiLevelType w:val="singleLevel"/>
    <w:tmpl w:val="5D558CE6"/>
    <w:lvl w:ilvl="0" w:tentative="0">
      <w:start w:val="1"/>
      <w:numFmt w:val="decimal"/>
      <w:lvlText w:val="%1"/>
      <w:lvlJc w:val="left"/>
      <w:pPr>
        <w:tabs>
          <w:tab w:val="left" w:pos="420"/>
        </w:tabs>
        <w:ind w:left="425" w:leftChars="0" w:hanging="425" w:firstLineChars="0"/>
      </w:pPr>
      <w:rPr>
        <w:rFonts w:hint="default"/>
      </w:rPr>
    </w:lvl>
  </w:abstractNum>
  <w:num w:numId="1">
    <w:abstractNumId w:val="5"/>
  </w:num>
  <w:num w:numId="2">
    <w:abstractNumId w:val="11"/>
  </w:num>
  <w:num w:numId="3">
    <w:abstractNumId w:val="4"/>
  </w:num>
  <w:num w:numId="4">
    <w:abstractNumId w:val="0"/>
  </w:num>
  <w:num w:numId="5">
    <w:abstractNumId w:val="6"/>
  </w:num>
  <w:num w:numId="6">
    <w:abstractNumId w:val="14"/>
  </w:num>
  <w:num w:numId="7">
    <w:abstractNumId w:val="12"/>
  </w:num>
  <w:num w:numId="8">
    <w:abstractNumId w:val="9"/>
  </w:num>
  <w:num w:numId="9">
    <w:abstractNumId w:val="10"/>
  </w:num>
  <w:num w:numId="10">
    <w:abstractNumId w:val="8"/>
  </w:num>
  <w:num w:numId="11">
    <w:abstractNumId w:val="1"/>
  </w:num>
  <w:num w:numId="12">
    <w:abstractNumId w:val="3"/>
  </w:num>
  <w:num w:numId="13">
    <w:abstractNumId w:val="7"/>
  </w:num>
  <w:num w:numId="14">
    <w:abstractNumId w:val="1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蓉">
    <w15:presenceInfo w15:providerId="WPS Office" w15:userId="2693329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3FA1"/>
    <w:rsid w:val="00050C3E"/>
    <w:rsid w:val="000510E4"/>
    <w:rsid w:val="00057043"/>
    <w:rsid w:val="00073F72"/>
    <w:rsid w:val="0007628D"/>
    <w:rsid w:val="0009444D"/>
    <w:rsid w:val="000D2F37"/>
    <w:rsid w:val="000E7883"/>
    <w:rsid w:val="000F6B40"/>
    <w:rsid w:val="001232FF"/>
    <w:rsid w:val="0013128A"/>
    <w:rsid w:val="0013492F"/>
    <w:rsid w:val="0014764F"/>
    <w:rsid w:val="001B19E0"/>
    <w:rsid w:val="001B761A"/>
    <w:rsid w:val="001F329F"/>
    <w:rsid w:val="001F668E"/>
    <w:rsid w:val="00226996"/>
    <w:rsid w:val="002641B8"/>
    <w:rsid w:val="0026758D"/>
    <w:rsid w:val="002A7BA4"/>
    <w:rsid w:val="002B24E5"/>
    <w:rsid w:val="002B2834"/>
    <w:rsid w:val="002B407E"/>
    <w:rsid w:val="002B5D7E"/>
    <w:rsid w:val="002F3A3A"/>
    <w:rsid w:val="00344C87"/>
    <w:rsid w:val="00373FA1"/>
    <w:rsid w:val="003841F0"/>
    <w:rsid w:val="003B3E17"/>
    <w:rsid w:val="003C630D"/>
    <w:rsid w:val="003D6C2C"/>
    <w:rsid w:val="003D6DEA"/>
    <w:rsid w:val="003F02C5"/>
    <w:rsid w:val="003F3290"/>
    <w:rsid w:val="004043DD"/>
    <w:rsid w:val="004111BE"/>
    <w:rsid w:val="0045607B"/>
    <w:rsid w:val="00464B9D"/>
    <w:rsid w:val="00467093"/>
    <w:rsid w:val="0047694A"/>
    <w:rsid w:val="00490628"/>
    <w:rsid w:val="004B40B6"/>
    <w:rsid w:val="004D4360"/>
    <w:rsid w:val="004E76F8"/>
    <w:rsid w:val="004F69D4"/>
    <w:rsid w:val="005032FB"/>
    <w:rsid w:val="00530160"/>
    <w:rsid w:val="0053601D"/>
    <w:rsid w:val="00550AC5"/>
    <w:rsid w:val="00566007"/>
    <w:rsid w:val="005840E8"/>
    <w:rsid w:val="005950BE"/>
    <w:rsid w:val="005B3A13"/>
    <w:rsid w:val="005F1DDE"/>
    <w:rsid w:val="005F25D7"/>
    <w:rsid w:val="005F4905"/>
    <w:rsid w:val="00610231"/>
    <w:rsid w:val="00640C60"/>
    <w:rsid w:val="00682F81"/>
    <w:rsid w:val="00684076"/>
    <w:rsid w:val="00691273"/>
    <w:rsid w:val="006A054D"/>
    <w:rsid w:val="006B2640"/>
    <w:rsid w:val="006C34D5"/>
    <w:rsid w:val="006D499F"/>
    <w:rsid w:val="006D4BD1"/>
    <w:rsid w:val="006E12BA"/>
    <w:rsid w:val="006F1057"/>
    <w:rsid w:val="006F19BB"/>
    <w:rsid w:val="00706F09"/>
    <w:rsid w:val="00720AB3"/>
    <w:rsid w:val="0074462D"/>
    <w:rsid w:val="007B0C9E"/>
    <w:rsid w:val="007C03E5"/>
    <w:rsid w:val="007C3E8D"/>
    <w:rsid w:val="00805689"/>
    <w:rsid w:val="00824EF7"/>
    <w:rsid w:val="0083118B"/>
    <w:rsid w:val="008363E4"/>
    <w:rsid w:val="00840C92"/>
    <w:rsid w:val="00861CBB"/>
    <w:rsid w:val="00867298"/>
    <w:rsid w:val="0087126E"/>
    <w:rsid w:val="00880B54"/>
    <w:rsid w:val="008C2FCD"/>
    <w:rsid w:val="008C431B"/>
    <w:rsid w:val="008D308C"/>
    <w:rsid w:val="008E585D"/>
    <w:rsid w:val="008F3E8B"/>
    <w:rsid w:val="009118F4"/>
    <w:rsid w:val="00914648"/>
    <w:rsid w:val="009301E7"/>
    <w:rsid w:val="00931D71"/>
    <w:rsid w:val="00951435"/>
    <w:rsid w:val="00972AC2"/>
    <w:rsid w:val="00997716"/>
    <w:rsid w:val="009B53C7"/>
    <w:rsid w:val="009B54FF"/>
    <w:rsid w:val="009C1D30"/>
    <w:rsid w:val="009F32B3"/>
    <w:rsid w:val="00A30D83"/>
    <w:rsid w:val="00A467F3"/>
    <w:rsid w:val="00A55688"/>
    <w:rsid w:val="00A6339C"/>
    <w:rsid w:val="00AA5817"/>
    <w:rsid w:val="00AB287A"/>
    <w:rsid w:val="00AC07DB"/>
    <w:rsid w:val="00AD785A"/>
    <w:rsid w:val="00AD7F18"/>
    <w:rsid w:val="00AF4B75"/>
    <w:rsid w:val="00B07451"/>
    <w:rsid w:val="00B125C6"/>
    <w:rsid w:val="00B3620A"/>
    <w:rsid w:val="00B417A0"/>
    <w:rsid w:val="00B418EB"/>
    <w:rsid w:val="00B46B44"/>
    <w:rsid w:val="00B52700"/>
    <w:rsid w:val="00B52B9A"/>
    <w:rsid w:val="00B8634C"/>
    <w:rsid w:val="00B877E5"/>
    <w:rsid w:val="00BA373E"/>
    <w:rsid w:val="00BA73FA"/>
    <w:rsid w:val="00BD2AF6"/>
    <w:rsid w:val="00BD7D2E"/>
    <w:rsid w:val="00BE51AB"/>
    <w:rsid w:val="00BE6717"/>
    <w:rsid w:val="00C442A1"/>
    <w:rsid w:val="00C44EFE"/>
    <w:rsid w:val="00CB67A9"/>
    <w:rsid w:val="00CC740A"/>
    <w:rsid w:val="00CE26F9"/>
    <w:rsid w:val="00CF230D"/>
    <w:rsid w:val="00D257F1"/>
    <w:rsid w:val="00D34294"/>
    <w:rsid w:val="00D600DD"/>
    <w:rsid w:val="00D7014D"/>
    <w:rsid w:val="00D74DB6"/>
    <w:rsid w:val="00D810ED"/>
    <w:rsid w:val="00D97E51"/>
    <w:rsid w:val="00DA0D42"/>
    <w:rsid w:val="00DA1E15"/>
    <w:rsid w:val="00DA5B75"/>
    <w:rsid w:val="00DA67A7"/>
    <w:rsid w:val="00DD0D61"/>
    <w:rsid w:val="00DD323C"/>
    <w:rsid w:val="00DD4A26"/>
    <w:rsid w:val="00DE0D9D"/>
    <w:rsid w:val="00DE158A"/>
    <w:rsid w:val="00DF61FE"/>
    <w:rsid w:val="00E03A91"/>
    <w:rsid w:val="00E12EFD"/>
    <w:rsid w:val="00E14288"/>
    <w:rsid w:val="00E16F2C"/>
    <w:rsid w:val="00E445D2"/>
    <w:rsid w:val="00E71306"/>
    <w:rsid w:val="00E73AAC"/>
    <w:rsid w:val="00E85913"/>
    <w:rsid w:val="00E876A0"/>
    <w:rsid w:val="00E933A0"/>
    <w:rsid w:val="00EB0194"/>
    <w:rsid w:val="00EB298A"/>
    <w:rsid w:val="00EB547D"/>
    <w:rsid w:val="00EC1B1D"/>
    <w:rsid w:val="00EC54F1"/>
    <w:rsid w:val="00EC66F0"/>
    <w:rsid w:val="00EF0ADF"/>
    <w:rsid w:val="00EF4AF6"/>
    <w:rsid w:val="00F10EEF"/>
    <w:rsid w:val="00F40C2B"/>
    <w:rsid w:val="00F51C97"/>
    <w:rsid w:val="00F86DDD"/>
    <w:rsid w:val="00F90817"/>
    <w:rsid w:val="00FB4274"/>
    <w:rsid w:val="00FE58DC"/>
    <w:rsid w:val="01077374"/>
    <w:rsid w:val="013479DA"/>
    <w:rsid w:val="01605E29"/>
    <w:rsid w:val="028406EC"/>
    <w:rsid w:val="04800105"/>
    <w:rsid w:val="053F7ED7"/>
    <w:rsid w:val="054C571A"/>
    <w:rsid w:val="06DF6855"/>
    <w:rsid w:val="075D3B9A"/>
    <w:rsid w:val="07C01D86"/>
    <w:rsid w:val="08023E54"/>
    <w:rsid w:val="08AA1C34"/>
    <w:rsid w:val="098B2993"/>
    <w:rsid w:val="0A8B3173"/>
    <w:rsid w:val="0A9C504A"/>
    <w:rsid w:val="0B855A49"/>
    <w:rsid w:val="0C4F2CEA"/>
    <w:rsid w:val="0D5E6944"/>
    <w:rsid w:val="0DFC16F6"/>
    <w:rsid w:val="0E7B0E58"/>
    <w:rsid w:val="0ED55E7E"/>
    <w:rsid w:val="0F5A2E37"/>
    <w:rsid w:val="0FE62524"/>
    <w:rsid w:val="104D519D"/>
    <w:rsid w:val="1066089F"/>
    <w:rsid w:val="11704D8D"/>
    <w:rsid w:val="11A90594"/>
    <w:rsid w:val="11DD32F9"/>
    <w:rsid w:val="122B76DE"/>
    <w:rsid w:val="12D967A5"/>
    <w:rsid w:val="13A71679"/>
    <w:rsid w:val="14450C74"/>
    <w:rsid w:val="144629F3"/>
    <w:rsid w:val="14ED1A32"/>
    <w:rsid w:val="14FC7924"/>
    <w:rsid w:val="1677151C"/>
    <w:rsid w:val="16A82686"/>
    <w:rsid w:val="174C5ED9"/>
    <w:rsid w:val="17A766C0"/>
    <w:rsid w:val="17B63FFC"/>
    <w:rsid w:val="17C7542E"/>
    <w:rsid w:val="18792354"/>
    <w:rsid w:val="1920369A"/>
    <w:rsid w:val="19897CA1"/>
    <w:rsid w:val="19E042C6"/>
    <w:rsid w:val="1AC95248"/>
    <w:rsid w:val="1AE228A4"/>
    <w:rsid w:val="1B671C9E"/>
    <w:rsid w:val="1B8830BA"/>
    <w:rsid w:val="1BA56777"/>
    <w:rsid w:val="1BF12690"/>
    <w:rsid w:val="1C904D09"/>
    <w:rsid w:val="1CEA4AED"/>
    <w:rsid w:val="1D2E4C82"/>
    <w:rsid w:val="1E1B6162"/>
    <w:rsid w:val="1EC00F31"/>
    <w:rsid w:val="1EDB1B8C"/>
    <w:rsid w:val="1EFF2D65"/>
    <w:rsid w:val="207E107A"/>
    <w:rsid w:val="210942BE"/>
    <w:rsid w:val="21202BA3"/>
    <w:rsid w:val="21263480"/>
    <w:rsid w:val="213479FB"/>
    <w:rsid w:val="21A17A14"/>
    <w:rsid w:val="221668FF"/>
    <w:rsid w:val="22855792"/>
    <w:rsid w:val="22B46FF0"/>
    <w:rsid w:val="23B721D0"/>
    <w:rsid w:val="245B425A"/>
    <w:rsid w:val="24A77F27"/>
    <w:rsid w:val="24DB6EE5"/>
    <w:rsid w:val="257F0F5B"/>
    <w:rsid w:val="261F5E85"/>
    <w:rsid w:val="26850268"/>
    <w:rsid w:val="26C54582"/>
    <w:rsid w:val="26CB3981"/>
    <w:rsid w:val="26E7265B"/>
    <w:rsid w:val="26FF2C0A"/>
    <w:rsid w:val="276677A2"/>
    <w:rsid w:val="27982480"/>
    <w:rsid w:val="27C57129"/>
    <w:rsid w:val="28456FE6"/>
    <w:rsid w:val="292A5C23"/>
    <w:rsid w:val="2981773F"/>
    <w:rsid w:val="2A704BBC"/>
    <w:rsid w:val="2AFD16A5"/>
    <w:rsid w:val="2B525484"/>
    <w:rsid w:val="2B6C534E"/>
    <w:rsid w:val="2B935B5D"/>
    <w:rsid w:val="2BA26CC2"/>
    <w:rsid w:val="2C1C7814"/>
    <w:rsid w:val="2C4427F1"/>
    <w:rsid w:val="2C8F5DAC"/>
    <w:rsid w:val="2C91345E"/>
    <w:rsid w:val="2D6D175E"/>
    <w:rsid w:val="2D701C42"/>
    <w:rsid w:val="2E00519C"/>
    <w:rsid w:val="2E0A5554"/>
    <w:rsid w:val="2E6C7AFC"/>
    <w:rsid w:val="2E8F14DE"/>
    <w:rsid w:val="2EE21308"/>
    <w:rsid w:val="305C1028"/>
    <w:rsid w:val="30B92DE4"/>
    <w:rsid w:val="30C743B4"/>
    <w:rsid w:val="30EA7B5A"/>
    <w:rsid w:val="312118EB"/>
    <w:rsid w:val="313722B1"/>
    <w:rsid w:val="318B2DB9"/>
    <w:rsid w:val="32655F31"/>
    <w:rsid w:val="32805B1D"/>
    <w:rsid w:val="32E21B67"/>
    <w:rsid w:val="33A6378F"/>
    <w:rsid w:val="33D27693"/>
    <w:rsid w:val="34E302CE"/>
    <w:rsid w:val="351B6471"/>
    <w:rsid w:val="379A5ED7"/>
    <w:rsid w:val="37B027D5"/>
    <w:rsid w:val="37C54516"/>
    <w:rsid w:val="37FA223E"/>
    <w:rsid w:val="391C5B3F"/>
    <w:rsid w:val="394C2C82"/>
    <w:rsid w:val="399B0C14"/>
    <w:rsid w:val="39F82AD1"/>
    <w:rsid w:val="3A590044"/>
    <w:rsid w:val="3A592DCB"/>
    <w:rsid w:val="3B5434FD"/>
    <w:rsid w:val="3B544856"/>
    <w:rsid w:val="3C432F3D"/>
    <w:rsid w:val="3D0D7995"/>
    <w:rsid w:val="3DAE0793"/>
    <w:rsid w:val="3DF434A8"/>
    <w:rsid w:val="3DF91DB8"/>
    <w:rsid w:val="3EC613E0"/>
    <w:rsid w:val="3ED5684A"/>
    <w:rsid w:val="3EE31DD3"/>
    <w:rsid w:val="3EFD32BE"/>
    <w:rsid w:val="3FB81D4E"/>
    <w:rsid w:val="40A16D0C"/>
    <w:rsid w:val="40F87DCD"/>
    <w:rsid w:val="41263D39"/>
    <w:rsid w:val="41D6060F"/>
    <w:rsid w:val="42E10CC4"/>
    <w:rsid w:val="44017FE2"/>
    <w:rsid w:val="4407259A"/>
    <w:rsid w:val="448D6654"/>
    <w:rsid w:val="44BD6A98"/>
    <w:rsid w:val="4542307B"/>
    <w:rsid w:val="45696339"/>
    <w:rsid w:val="45AF1251"/>
    <w:rsid w:val="45B64037"/>
    <w:rsid w:val="46AF1B8A"/>
    <w:rsid w:val="46C2353F"/>
    <w:rsid w:val="46E84DD4"/>
    <w:rsid w:val="47293213"/>
    <w:rsid w:val="47613B14"/>
    <w:rsid w:val="47CD20D5"/>
    <w:rsid w:val="48051872"/>
    <w:rsid w:val="48123010"/>
    <w:rsid w:val="491067C4"/>
    <w:rsid w:val="49360F45"/>
    <w:rsid w:val="49EC6368"/>
    <w:rsid w:val="4A3707EE"/>
    <w:rsid w:val="4A397971"/>
    <w:rsid w:val="4A9D4117"/>
    <w:rsid w:val="4AC2555A"/>
    <w:rsid w:val="4B1A4AF6"/>
    <w:rsid w:val="4B4643A4"/>
    <w:rsid w:val="4B8570AD"/>
    <w:rsid w:val="4B8F21CE"/>
    <w:rsid w:val="4BB5082C"/>
    <w:rsid w:val="4BDA72BF"/>
    <w:rsid w:val="4E8F0497"/>
    <w:rsid w:val="50AD5341"/>
    <w:rsid w:val="52033D5B"/>
    <w:rsid w:val="52157940"/>
    <w:rsid w:val="526A3C75"/>
    <w:rsid w:val="526D0243"/>
    <w:rsid w:val="52AB2F3D"/>
    <w:rsid w:val="52B816B9"/>
    <w:rsid w:val="52D83534"/>
    <w:rsid w:val="52E8625C"/>
    <w:rsid w:val="540A39FB"/>
    <w:rsid w:val="547D0F9D"/>
    <w:rsid w:val="549E1888"/>
    <w:rsid w:val="55446BDB"/>
    <w:rsid w:val="56187290"/>
    <w:rsid w:val="565F306F"/>
    <w:rsid w:val="56866582"/>
    <w:rsid w:val="56B719AB"/>
    <w:rsid w:val="56D36837"/>
    <w:rsid w:val="570D6C1B"/>
    <w:rsid w:val="576F4131"/>
    <w:rsid w:val="584D2BDA"/>
    <w:rsid w:val="589D7D1D"/>
    <w:rsid w:val="58BB1026"/>
    <w:rsid w:val="58FB015D"/>
    <w:rsid w:val="59120AC9"/>
    <w:rsid w:val="59CA5C74"/>
    <w:rsid w:val="5A9149AF"/>
    <w:rsid w:val="5BD5225A"/>
    <w:rsid w:val="5C320D58"/>
    <w:rsid w:val="5C4C1094"/>
    <w:rsid w:val="5CC1165B"/>
    <w:rsid w:val="5CFF5816"/>
    <w:rsid w:val="5DD63BCE"/>
    <w:rsid w:val="5E5B39B1"/>
    <w:rsid w:val="5E5C1750"/>
    <w:rsid w:val="5ED14079"/>
    <w:rsid w:val="5F216741"/>
    <w:rsid w:val="5F5076AE"/>
    <w:rsid w:val="5FBE41F5"/>
    <w:rsid w:val="60017293"/>
    <w:rsid w:val="60527B76"/>
    <w:rsid w:val="606A65A7"/>
    <w:rsid w:val="60F97744"/>
    <w:rsid w:val="61274A54"/>
    <w:rsid w:val="61E06D70"/>
    <w:rsid w:val="65266951"/>
    <w:rsid w:val="6609542E"/>
    <w:rsid w:val="66E50E21"/>
    <w:rsid w:val="66F468A0"/>
    <w:rsid w:val="671A1B83"/>
    <w:rsid w:val="68761DE8"/>
    <w:rsid w:val="694B208D"/>
    <w:rsid w:val="6A441B4F"/>
    <w:rsid w:val="6AD447FB"/>
    <w:rsid w:val="6B427369"/>
    <w:rsid w:val="6B607A89"/>
    <w:rsid w:val="6B695896"/>
    <w:rsid w:val="6B7865E4"/>
    <w:rsid w:val="6B9C4E7B"/>
    <w:rsid w:val="6C7E3A11"/>
    <w:rsid w:val="6D2772F5"/>
    <w:rsid w:val="6DF378B7"/>
    <w:rsid w:val="6E101AEF"/>
    <w:rsid w:val="6E59554D"/>
    <w:rsid w:val="6E85698F"/>
    <w:rsid w:val="6E962EF1"/>
    <w:rsid w:val="6EB16E24"/>
    <w:rsid w:val="6ED84CBA"/>
    <w:rsid w:val="6EF53173"/>
    <w:rsid w:val="6EFA7594"/>
    <w:rsid w:val="6F007F93"/>
    <w:rsid w:val="6F1809D1"/>
    <w:rsid w:val="711D147F"/>
    <w:rsid w:val="718A149E"/>
    <w:rsid w:val="719A0DA0"/>
    <w:rsid w:val="72375D31"/>
    <w:rsid w:val="72B017E9"/>
    <w:rsid w:val="72D06486"/>
    <w:rsid w:val="72E426BB"/>
    <w:rsid w:val="72F728D7"/>
    <w:rsid w:val="734B32EF"/>
    <w:rsid w:val="7350565A"/>
    <w:rsid w:val="735C208B"/>
    <w:rsid w:val="73BC20F2"/>
    <w:rsid w:val="74A12967"/>
    <w:rsid w:val="74CB0A69"/>
    <w:rsid w:val="74FC24CA"/>
    <w:rsid w:val="76013752"/>
    <w:rsid w:val="76C92DD0"/>
    <w:rsid w:val="77721545"/>
    <w:rsid w:val="77737F51"/>
    <w:rsid w:val="77DC0239"/>
    <w:rsid w:val="788D7355"/>
    <w:rsid w:val="78BB4042"/>
    <w:rsid w:val="79027947"/>
    <w:rsid w:val="7947153A"/>
    <w:rsid w:val="7956599F"/>
    <w:rsid w:val="796658AC"/>
    <w:rsid w:val="79937E94"/>
    <w:rsid w:val="79C07D03"/>
    <w:rsid w:val="79D75DF8"/>
    <w:rsid w:val="7A0943B7"/>
    <w:rsid w:val="7A2F6E12"/>
    <w:rsid w:val="7A747153"/>
    <w:rsid w:val="7B2B4E76"/>
    <w:rsid w:val="7B897F99"/>
    <w:rsid w:val="7CFE4B46"/>
    <w:rsid w:val="7D626072"/>
    <w:rsid w:val="7E621050"/>
    <w:rsid w:val="7EC460E4"/>
    <w:rsid w:val="7EE13527"/>
    <w:rsid w:val="7F086535"/>
    <w:rsid w:val="7F1464D6"/>
    <w:rsid w:val="7F3D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6">
    <w:name w:val="List"/>
    <w:basedOn w:val="1"/>
    <w:qFormat/>
    <w:uiPriority w:val="0"/>
    <w:pPr>
      <w:ind w:left="200" w:hanging="200" w:hangingChars="200"/>
    </w:pPr>
  </w:style>
  <w:style w:type="paragraph" w:styleId="7">
    <w:name w:val="annotation text"/>
    <w:basedOn w:val="1"/>
    <w:semiHidden/>
    <w:unhideWhenUsed/>
    <w:qFormat/>
    <w:uiPriority w:val="99"/>
    <w:pPr>
      <w:jc w:val="left"/>
    </w:pPr>
  </w:style>
  <w:style w:type="paragraph" w:styleId="8">
    <w:name w:val="Date"/>
    <w:basedOn w:val="1"/>
    <w:next w:val="1"/>
    <w:link w:val="19"/>
    <w:semiHidden/>
    <w:unhideWhenUsed/>
    <w:qFormat/>
    <w:uiPriority w:val="99"/>
    <w:pPr>
      <w:ind w:left="100" w:leftChars="2500"/>
    </w:p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10"/>
    <w:qFormat/>
    <w:uiPriority w:val="99"/>
    <w:rPr>
      <w:sz w:val="18"/>
      <w:szCs w:val="18"/>
    </w:rPr>
  </w:style>
  <w:style w:type="character" w:customStyle="1" w:styleId="15">
    <w:name w:val="页脚 字符"/>
    <w:basedOn w:val="13"/>
    <w:link w:val="9"/>
    <w:qFormat/>
    <w:uiPriority w:val="99"/>
    <w:rPr>
      <w:sz w:val="18"/>
      <w:szCs w:val="18"/>
    </w:rPr>
  </w:style>
  <w:style w:type="character" w:customStyle="1" w:styleId="16">
    <w:name w:val="标题 1 字符"/>
    <w:basedOn w:val="13"/>
    <w:link w:val="3"/>
    <w:qFormat/>
    <w:uiPriority w:val="9"/>
    <w:rPr>
      <w:b/>
      <w:bCs/>
      <w:kern w:val="44"/>
      <w:sz w:val="44"/>
      <w:szCs w:val="44"/>
    </w:rPr>
  </w:style>
  <w:style w:type="character" w:customStyle="1" w:styleId="17">
    <w:name w:val="标题 2 字符"/>
    <w:basedOn w:val="13"/>
    <w:link w:val="4"/>
    <w:qFormat/>
    <w:uiPriority w:val="9"/>
    <w:rPr>
      <w:rFonts w:asciiTheme="majorHAnsi" w:hAnsiTheme="majorHAnsi" w:eastAsiaTheme="majorEastAsia" w:cstheme="majorBidi"/>
      <w:b/>
      <w:bCs/>
      <w:sz w:val="32"/>
      <w:szCs w:val="32"/>
    </w:rPr>
  </w:style>
  <w:style w:type="character" w:customStyle="1" w:styleId="18">
    <w:name w:val="标题 3 字符"/>
    <w:basedOn w:val="13"/>
    <w:link w:val="5"/>
    <w:qFormat/>
    <w:uiPriority w:val="9"/>
    <w:rPr>
      <w:b/>
      <w:bCs/>
      <w:sz w:val="32"/>
      <w:szCs w:val="32"/>
    </w:rPr>
  </w:style>
  <w:style w:type="character" w:customStyle="1" w:styleId="19">
    <w:name w:val="日期 字符"/>
    <w:basedOn w:val="13"/>
    <w:link w:val="8"/>
    <w:semiHidden/>
    <w:qFormat/>
    <w:uiPriority w:val="99"/>
  </w:style>
  <w:style w:type="paragraph" w:customStyle="1" w:styleId="20">
    <w:name w:val="一级条标题"/>
    <w:next w:val="2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章标题"/>
    <w:next w:val="2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二级条标题"/>
    <w:basedOn w:val="20"/>
    <w:next w:val="21"/>
    <w:qFormat/>
    <w:uiPriority w:val="0"/>
    <w:pPr>
      <w:numPr>
        <w:ilvl w:val="2"/>
      </w:numPr>
      <w:spacing w:before="50" w:after="50"/>
      <w:outlineLvl w:val="3"/>
    </w:pPr>
  </w:style>
  <w:style w:type="paragraph" w:customStyle="1" w:styleId="24">
    <w:name w:val="三级条标题"/>
    <w:basedOn w:val="23"/>
    <w:next w:val="21"/>
    <w:qFormat/>
    <w:uiPriority w:val="0"/>
    <w:pPr>
      <w:numPr>
        <w:ilvl w:val="3"/>
      </w:numPr>
      <w:outlineLvl w:val="4"/>
    </w:pPr>
  </w:style>
  <w:style w:type="paragraph" w:customStyle="1" w:styleId="25">
    <w:name w:val="四级条标题"/>
    <w:basedOn w:val="24"/>
    <w:next w:val="1"/>
    <w:qFormat/>
    <w:uiPriority w:val="0"/>
    <w:pPr>
      <w:numPr>
        <w:ilvl w:val="4"/>
      </w:numPr>
      <w:outlineLvl w:val="5"/>
    </w:pPr>
  </w:style>
  <w:style w:type="paragraph" w:customStyle="1" w:styleId="26">
    <w:name w:val="五级条标题"/>
    <w:basedOn w:val="25"/>
    <w:next w:val="1"/>
    <w:qFormat/>
    <w:uiPriority w:val="0"/>
    <w:pPr>
      <w:numPr>
        <w:ilvl w:val="5"/>
      </w:numPr>
      <w:outlineLvl w:val="6"/>
    </w:pPr>
  </w:style>
  <w:style w:type="paragraph" w:customStyle="1" w:styleId="27">
    <w:name w:val="二级无"/>
    <w:basedOn w:val="23"/>
    <w:qFormat/>
    <w:uiPriority w:val="0"/>
    <w:pPr>
      <w:spacing w:beforeLines="0" w:afterLines="0"/>
    </w:pPr>
    <w:rPr>
      <w:rFonts w:ascii="宋体" w:eastAsia="宋体"/>
    </w:rPr>
  </w:style>
  <w:style w:type="paragraph" w:customStyle="1" w:styleId="28">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9">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30">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31">
    <w:name w:val="注×：（正文）"/>
    <w:qFormat/>
    <w:uiPriority w:val="0"/>
    <w:pPr>
      <w:numPr>
        <w:ilvl w:val="0"/>
        <w:numId w:val="3"/>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C786D-E306-4EC2-83EC-920DA8B125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1532</Words>
  <Characters>8734</Characters>
  <Lines>72</Lines>
  <Paragraphs>20</Paragraphs>
  <TotalTime>3</TotalTime>
  <ScaleCrop>false</ScaleCrop>
  <LinksUpToDate>false</LinksUpToDate>
  <CharactersWithSpaces>10246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2018-04-16T09:11:00Z</dcterms:created>
  <dc:creator>微软用户</dc:creator>
  <cp:lastModifiedBy>纪锐</cp:lastModifiedBy>
  <dcterms:modified xsi:type="dcterms:W3CDTF">2020-08-26T02:29:11Z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