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567"/>
        <w:gridCol w:w="6062"/>
        <w:gridCol w:w="2413"/>
        <w:gridCol w:w="1112"/>
        <w:gridCol w:w="2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6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序号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标准章条编号</w:t>
            </w:r>
          </w:p>
        </w:tc>
        <w:tc>
          <w:tcPr>
            <w:tcW w:w="60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意见内容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提出单位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处理意见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 规范性引用文件</w:t>
            </w:r>
          </w:p>
        </w:tc>
        <w:tc>
          <w:tcPr>
            <w:tcW w:w="6062" w:type="dxa"/>
            <w:noWrap w:val="0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引用“GBZ1-2010 工业企业设计卫生标准”、“GB 3095 大气环境质量标准”</w:t>
            </w:r>
          </w:p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、“GB/T 29115 工业企业节约原材料评价导则”在铅锌采选业涉及不多，建议不引用，相关内容在文本中简述。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长沙有色冶金设计研究院有限公司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删除相关引用文件，及在文本中引用的描述。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 评价原则</w:t>
            </w:r>
          </w:p>
        </w:tc>
        <w:tc>
          <w:tcPr>
            <w:tcW w:w="6062" w:type="dxa"/>
            <w:noWrap w:val="0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4.2.2 “铅锌采选企业绿色工厂评价权重表”中按露天采矿和地下采矿有区分，建议合并相关内容，在评价表中根据露天采矿和地下采矿指标要求的差异进行分类评价，提高体系分值整体的适应性。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云南金鼎锌业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有限公司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相关评价权重值的划分与《导则》保持一致。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 评价原则</w:t>
            </w:r>
          </w:p>
        </w:tc>
        <w:tc>
          <w:tcPr>
            <w:tcW w:w="6062" w:type="dxa"/>
            <w:noWrap w:val="0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4.3.4 “根据基础要求及增值要求的设立，满分为120分，评价总分达到100分以上的给予绿色工厂认定，低于则不予认定。”直接指定达标分值，不恰当，整体评价应根据企业在行业内所取得的先进性有所变化。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矿冶科技集团有限公司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此条款内容删除。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 基本要求</w:t>
            </w:r>
          </w:p>
        </w:tc>
        <w:tc>
          <w:tcPr>
            <w:tcW w:w="6062" w:type="dxa"/>
            <w:noWrap w:val="0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5.1.4 “铅锌采选企业必须达到《铅锌行业规范条件》的要求”，建议再增加“完成规范公告申报”的相关要求。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长沙有色冶金设计研究院有限公司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6 基础设施要求</w:t>
            </w:r>
          </w:p>
        </w:tc>
        <w:tc>
          <w:tcPr>
            <w:tcW w:w="6062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6.1.2 “厂房建筑材料宜选用蕴能低、高性能、高耐久性和本地建材，室内装饰装修材料应符合GB 18580 、GB 6566和GB 50016的要求。”在铅锌采选企业中评价意义较小，建议删除。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白银有色股份有限公司厂坝铅锌矿</w:t>
            </w:r>
          </w:p>
          <w:p>
            <w:pPr>
              <w:jc w:val="left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西部矿业集团锡铁山铅锌矿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此条款内容删除。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6 基础设施要求</w:t>
            </w:r>
          </w:p>
        </w:tc>
        <w:tc>
          <w:tcPr>
            <w:tcW w:w="606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6.1.4地表绿化及场地建设中部分要求不符合地域特殊企业的要求，建议修改。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西部矿业集团锡铁山铅锌矿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对6.1.4的内容删除。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6 基础设施要求</w:t>
            </w:r>
          </w:p>
        </w:tc>
        <w:tc>
          <w:tcPr>
            <w:tcW w:w="606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6.1.5 再生资源及能源利用，相关内容建议放入第8章。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南京银茂铅锌矿业有限公司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原6.1.5的内容删除，相关内容并入后续章节具体条款中。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6 基础设施要求</w:t>
            </w:r>
          </w:p>
        </w:tc>
        <w:tc>
          <w:tcPr>
            <w:tcW w:w="606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6.3 设备设施，建议增加对铅锌采选相关工艺的要求。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矿冶科技集团有限公司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对6.3重新修订为“设备设施及工艺”，其下划分“专用设备及工艺”、“通用设备”、“计量设备”、“污染物处理设备设施及工艺”等几小节。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6 基础设施要求</w:t>
            </w:r>
          </w:p>
        </w:tc>
        <w:tc>
          <w:tcPr>
            <w:tcW w:w="6062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6.3 在要求铅锌采选相关工艺时，对采矿共伴生资源综合利用率进行要求，应符合本行业三率最低指标要求。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矿冶科技集团有限公司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不予采纳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目前，自然资源部对行业内共伴生资源三率指标未明确可执行的指标要求，同时自然资源部也不再将共伴生资源三率指标作管控要求。和行业内企业沟通，共伴生资源受地域影响差异极大，三率指标控制差异也极大，不具有可约束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6 基础设施要求</w:t>
            </w:r>
          </w:p>
        </w:tc>
        <w:tc>
          <w:tcPr>
            <w:tcW w:w="606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6.3.1 专用设备，应根据采矿、选矿进行分别描述要求。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矿冶科技集团有限公司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在新设节6.3.1 专用设备及工艺中，分别划分了“采矿专用设备及工艺”及“选矿专用设备及工艺”。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6 基础设施要求</w:t>
            </w:r>
          </w:p>
        </w:tc>
        <w:tc>
          <w:tcPr>
            <w:tcW w:w="606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6.3.1 露天开采应采用采剥复垦联合的开发方式，是否需要界定复垦范围要求，露天矿山矿坑作业过程中，无法执行复垦措施。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青海鸿鑫矿业有限公司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不予采纳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对于相关条文理解不能过于刻板，此处复垦指对于需要闭库的排土场等应开展复垦及绿化。对于正在生产的露天采场，建议提出必要的复垦规划方案。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6 基础设施要求</w:t>
            </w:r>
          </w:p>
        </w:tc>
        <w:tc>
          <w:tcPr>
            <w:tcW w:w="6062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6.3.1 选矿用球磨机（建议用“磨矿机”有的矿山使用棒磨机、自磨机）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青海鸿鑫矿业有限公司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相关内容修改为“选矿用磨矿机应满足</w:t>
            </w:r>
            <w:r>
              <w:rPr>
                <w:rFonts w:hint="default" w:cs="Times New Roman"/>
                <w:color w:val="auto"/>
                <w:sz w:val="18"/>
                <w:szCs w:val="18"/>
                <w:lang w:val="en-US" w:eastAsia="zh-CN"/>
              </w:rPr>
              <w:t>GB</w:t>
            </w: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default" w:cs="Times New Roman"/>
                <w:color w:val="auto"/>
                <w:sz w:val="18"/>
                <w:szCs w:val="18"/>
                <w:lang w:val="en-US" w:eastAsia="zh-CN"/>
              </w:rPr>
              <w:t>T 2570</w:t>
            </w: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8、</w:t>
            </w:r>
            <w:r>
              <w:rPr>
                <w:rFonts w:hint="default" w:cs="Times New Roman"/>
                <w:color w:val="auto"/>
                <w:sz w:val="18"/>
                <w:szCs w:val="18"/>
                <w:lang w:val="en-US" w:eastAsia="zh-CN"/>
              </w:rPr>
              <w:t>GB</w:t>
            </w: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default" w:cs="Times New Roman"/>
                <w:color w:val="auto"/>
                <w:sz w:val="18"/>
                <w:szCs w:val="18"/>
                <w:lang w:val="en-US" w:eastAsia="zh-CN"/>
              </w:rPr>
              <w:t>T 2570</w:t>
            </w: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9的要求</w:t>
            </w: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6 基础设施要求</w:t>
            </w:r>
          </w:p>
        </w:tc>
        <w:tc>
          <w:tcPr>
            <w:tcW w:w="6062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6.3.3各企业作业工序差异不一致，按工序计量意义不大，建议删除。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江西铜业股份有限公司银山矿业公司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部分采纳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对此条款内容进行了删除，同时在，增加了“</w:t>
            </w:r>
            <w:r>
              <w:rPr>
                <w:rFonts w:hint="eastAsia" w:hAnsi="宋体" w:eastAsia="宋体" w:cs="宋体"/>
                <w:color w:val="auto"/>
                <w:szCs w:val="22"/>
                <w:highlight w:val="none"/>
                <w:lang w:val="en-US" w:eastAsia="zh-CN"/>
              </w:rPr>
              <w:t>对采矿设备、矿石运输装备、破碎磨矿设备等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主要用能设备</w:t>
            </w:r>
            <w:r>
              <w:rPr>
                <w:rFonts w:hint="eastAsia" w:hAnsi="宋体" w:eastAsia="宋体" w:cs="宋体"/>
                <w:color w:val="auto"/>
                <w:szCs w:val="22"/>
                <w:highlight w:val="none"/>
                <w:lang w:val="en-US" w:eastAsia="zh-CN"/>
              </w:rPr>
              <w:t>应开展独立的能耗计量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”的描述，明确要求企业应关注重点用能设备的能耗情况。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8 能源与资源的投入</w:t>
            </w:r>
          </w:p>
        </w:tc>
        <w:tc>
          <w:tcPr>
            <w:tcW w:w="6062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8.3.3在8.3.1中已明确了“对供方供货环保履行情况评价的要求”，再要求在采购需求信息中包含有害物质使用、可回收材料使用、能效等环保要求，意义不大，且在铅锌采选企业适用性不高。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西部矿业集团锡铁山铅锌矿</w:t>
            </w:r>
          </w:p>
          <w:p>
            <w:pPr>
              <w:jc w:val="left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白银有色股份有限公司厂坝铅锌矿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此条款内容删除。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9 产品要求</w:t>
            </w:r>
          </w:p>
        </w:tc>
        <w:tc>
          <w:tcPr>
            <w:tcW w:w="606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9.4 节能减排，铅锌矿石产品不适合开展碳足迹核算或核查。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江西铜业股份有限公司银山矿业公司</w:t>
            </w:r>
          </w:p>
          <w:p>
            <w:pPr>
              <w:jc w:val="left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西部矿业集团锡铁山铅锌矿</w:t>
            </w:r>
          </w:p>
          <w:p>
            <w:pPr>
              <w:jc w:val="left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白银有色股份有限公司厂坝铅锌矿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此节内容删除。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10 </w:t>
            </w:r>
            <w:bookmarkStart w:id="0" w:name="_Toc24076"/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环境排放要求</w:t>
            </w:r>
            <w:bookmarkEnd w:id="0"/>
          </w:p>
        </w:tc>
        <w:tc>
          <w:tcPr>
            <w:tcW w:w="6062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10.1.2 本条内容应扩大适应范围，不能只限定与“选矿过程”。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深圳市中金岭南有色金属股份有限公司凡口铅锌矿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本条修改为“工厂应开展废气污染物排放的实时监控，并保留原始监测和监控记录”。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11 绩效</w:t>
            </w:r>
          </w:p>
        </w:tc>
        <w:tc>
          <w:tcPr>
            <w:tcW w:w="6062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生产洁净化相关污染物指标参考行业清洁生产指标体系要求。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矿冶科技集团有限公司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污染物指标参考《铅锌采选业清洁生产指标体系》要求。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附录</w:t>
            </w:r>
          </w:p>
        </w:tc>
        <w:tc>
          <w:tcPr>
            <w:tcW w:w="6062" w:type="dxa"/>
            <w:noWrap w:val="0"/>
            <w:vAlign w:val="center"/>
          </w:tcPr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建议增加评价指标的计算方法，便于企业直接使用.</w:t>
            </w:r>
          </w:p>
        </w:tc>
        <w:tc>
          <w:tcPr>
            <w:tcW w:w="2413" w:type="dxa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南京银茂铅锌矿业有限公司</w:t>
            </w:r>
          </w:p>
          <w:p>
            <w:pP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长沙有色冶金设计研究院有限公司</w:t>
            </w:r>
          </w:p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矿冶科技集团有限公司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根据GB/T 36132的内容，增加了容积率、建筑密度、单位用地面积产能、</w:t>
            </w:r>
            <w:bookmarkStart w:id="1" w:name="_Toc6690"/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单位产品新水用量</w:t>
            </w:r>
            <w:bookmarkEnd w:id="1"/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、</w:t>
            </w:r>
            <w:bookmarkStart w:id="2" w:name="_Toc8323"/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单位产品主要污染物排放量</w:t>
            </w:r>
            <w:bookmarkEnd w:id="2"/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、</w:t>
            </w:r>
            <w:bookmarkStart w:id="3" w:name="_Toc14256"/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固体废物综合利用率</w:t>
            </w:r>
            <w:bookmarkEnd w:id="3"/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、</w:t>
            </w:r>
            <w:bookmarkStart w:id="4" w:name="_Toc423"/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矿井（（矿坑））涌水利用率</w:t>
            </w:r>
            <w:bookmarkEnd w:id="4"/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、</w:t>
            </w:r>
            <w:bookmarkStart w:id="5" w:name="_Toc2555"/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选矿用水重复利用率</w:t>
            </w:r>
            <w:bookmarkEnd w:id="5"/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、</w:t>
            </w:r>
            <w:bookmarkStart w:id="6" w:name="_Toc16454"/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单位产品综合能耗</w:t>
            </w:r>
            <w:bookmarkEnd w:id="6"/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等。</w:t>
            </w:r>
          </w:p>
        </w:tc>
      </w:tr>
    </w:tbl>
    <w:p>
      <w:pPr>
        <w:rPr>
          <w:color w:val="auto"/>
          <w:szCs w:val="21"/>
        </w:rPr>
      </w:pPr>
    </w:p>
    <w:p>
      <w:pPr>
        <w:rPr>
          <w:color w:val="auto"/>
          <w:szCs w:val="21"/>
        </w:rPr>
      </w:pPr>
      <w:r>
        <w:rPr>
          <w:rFonts w:hint="eastAsia"/>
          <w:color w:val="auto"/>
          <w:szCs w:val="21"/>
        </w:rPr>
        <w:t>说明（1）发送</w:t>
      </w:r>
      <w:r>
        <w:rPr>
          <w:rFonts w:hint="eastAsia" w:ascii="宋体" w:hAnsi="宋体"/>
          <w:color w:val="auto"/>
          <w:szCs w:val="21"/>
        </w:rPr>
        <w:t>《征求意见稿》的单位数：</w:t>
      </w:r>
      <w:r>
        <w:rPr>
          <w:rFonts w:hint="eastAsia" w:ascii="宋体" w:hAnsi="宋体"/>
          <w:color w:val="auto"/>
          <w:szCs w:val="21"/>
          <w:lang w:val="en-US" w:eastAsia="zh-CN"/>
        </w:rPr>
        <w:t>9</w:t>
      </w:r>
      <w:r>
        <w:rPr>
          <w:rFonts w:hint="eastAsia" w:ascii="宋体" w:hAnsi="宋体"/>
          <w:color w:val="auto"/>
          <w:szCs w:val="21"/>
        </w:rPr>
        <w:t>个；</w:t>
      </w:r>
    </w:p>
    <w:p>
      <w:pPr>
        <w:rPr>
          <w:color w:val="auto"/>
          <w:szCs w:val="21"/>
        </w:rPr>
      </w:pPr>
      <w:r>
        <w:rPr>
          <w:rFonts w:hint="eastAsia"/>
          <w:color w:val="auto"/>
          <w:szCs w:val="21"/>
        </w:rPr>
        <w:t xml:space="preserve">    （2）收到</w:t>
      </w:r>
      <w:r>
        <w:rPr>
          <w:rFonts w:hint="eastAsia" w:ascii="宋体" w:hAnsi="宋体"/>
          <w:color w:val="auto"/>
          <w:szCs w:val="21"/>
        </w:rPr>
        <w:t>《征求意见稿》后，回函的单位数：</w:t>
      </w:r>
      <w:r>
        <w:rPr>
          <w:rFonts w:hint="eastAsia" w:ascii="宋体" w:hAnsi="宋体"/>
          <w:color w:val="auto"/>
          <w:szCs w:val="21"/>
          <w:lang w:val="en-US" w:eastAsia="zh-CN"/>
        </w:rPr>
        <w:t>8</w:t>
      </w:r>
      <w:r>
        <w:rPr>
          <w:rFonts w:hint="eastAsia" w:ascii="宋体" w:hAnsi="宋体"/>
          <w:color w:val="auto"/>
          <w:szCs w:val="21"/>
        </w:rPr>
        <w:t>个；</w:t>
      </w:r>
    </w:p>
    <w:p>
      <w:pPr>
        <w:ind w:firstLine="435"/>
        <w:rPr>
          <w:rFonts w:ascii="宋体" w:hAnsi="宋体"/>
          <w:color w:val="auto"/>
          <w:szCs w:val="21"/>
        </w:rPr>
      </w:pPr>
      <w:r>
        <w:rPr>
          <w:rFonts w:hint="eastAsia"/>
          <w:color w:val="auto"/>
          <w:szCs w:val="21"/>
        </w:rPr>
        <w:t>（3）收到</w:t>
      </w:r>
      <w:r>
        <w:rPr>
          <w:rFonts w:hint="eastAsia" w:ascii="宋体" w:hAnsi="宋体"/>
          <w:color w:val="auto"/>
          <w:szCs w:val="21"/>
        </w:rPr>
        <w:t>《征求意见稿》后，回函并有建议或意见的单位数：</w:t>
      </w:r>
      <w:r>
        <w:rPr>
          <w:rFonts w:hint="eastAsia" w:ascii="宋体" w:hAnsi="宋体"/>
          <w:color w:val="auto"/>
          <w:szCs w:val="21"/>
          <w:lang w:val="en-US" w:eastAsia="zh-CN"/>
        </w:rPr>
        <w:t>8</w:t>
      </w:r>
      <w:r>
        <w:rPr>
          <w:rFonts w:hint="eastAsia" w:ascii="宋体" w:hAnsi="宋体"/>
          <w:color w:val="auto"/>
          <w:szCs w:val="21"/>
        </w:rPr>
        <w:t>个；</w:t>
      </w:r>
    </w:p>
    <w:p>
      <w:pPr>
        <w:tabs>
          <w:tab w:val="left" w:pos="3990"/>
        </w:tabs>
        <w:ind w:firstLine="420"/>
        <w:rPr>
          <w:rFonts w:ascii="宋体" w:hAnsi="宋体"/>
          <w:color w:val="auto"/>
          <w:szCs w:val="21"/>
        </w:rPr>
      </w:pPr>
      <w:r>
        <w:rPr>
          <w:rFonts w:hint="eastAsia"/>
          <w:color w:val="auto"/>
          <w:szCs w:val="21"/>
        </w:rPr>
        <w:t>（4）没有</w:t>
      </w:r>
      <w:r>
        <w:rPr>
          <w:rFonts w:hint="eastAsia" w:ascii="宋体" w:hAnsi="宋体"/>
          <w:color w:val="auto"/>
          <w:szCs w:val="21"/>
        </w:rPr>
        <w:t>回函的单位数：0 个。</w:t>
      </w:r>
      <w:r>
        <w:rPr>
          <w:rFonts w:ascii="宋体" w:hAnsi="宋体"/>
          <w:color w:val="auto"/>
          <w:szCs w:val="21"/>
        </w:rPr>
        <w:tab/>
      </w:r>
    </w:p>
    <w:p>
      <w:pPr>
        <w:ind w:firstLine="420"/>
        <w:rPr>
          <w:color w:val="auto"/>
          <w:szCs w:val="21"/>
        </w:rPr>
      </w:pPr>
      <w:bookmarkStart w:id="7" w:name="_GoBack"/>
      <w:bookmarkEnd w:id="7"/>
    </w:p>
    <w:p>
      <w:pPr>
        <w:ind w:firstLine="420"/>
        <w:rPr>
          <w:rFonts w:hint="eastAsia"/>
          <w:color w:val="auto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851" w:right="1134" w:bottom="851" w:left="1134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ageBreakBefore/>
      <w:spacing w:before="240" w:beforeLines="100" w:after="120" w:afterLines="50"/>
      <w:jc w:val="center"/>
      <w:rPr>
        <w:rFonts w:eastAsia="黑体"/>
        <w:sz w:val="28"/>
      </w:rPr>
    </w:pPr>
    <w:r>
      <w:rPr>
        <w:rFonts w:hint="eastAsia" w:eastAsia="黑体"/>
        <w:sz w:val="28"/>
      </w:rPr>
      <w:t>标准征求意见稿意见汇总处理表</w:t>
    </w:r>
  </w:p>
  <w:p>
    <w:pPr>
      <w:rPr>
        <w:szCs w:val="21"/>
      </w:rPr>
    </w:pPr>
    <w:r>
      <w:rPr>
        <w:rFonts w:hint="eastAsia"/>
        <w:szCs w:val="21"/>
      </w:rPr>
      <w:t>标准项目名称：铅锌采选业绿色工厂评价要求</w:t>
    </w:r>
    <w:r>
      <w:rPr>
        <w:rFonts w:hint="eastAsia" w:ascii="宋体" w:hAnsi="宋体"/>
        <w:szCs w:val="21"/>
      </w:rPr>
      <w:t xml:space="preserve">      </w:t>
    </w:r>
    <w:r>
      <w:rPr>
        <w:rFonts w:hint="eastAsia"/>
        <w:szCs w:val="21"/>
      </w:rPr>
      <w:t xml:space="preserve">     </w:t>
    </w:r>
    <w:r>
      <w:rPr>
        <w:rFonts w:hint="eastAsia" w:eastAsia="黑体"/>
        <w:szCs w:val="21"/>
      </w:rPr>
      <w:t xml:space="preserve">   </w:t>
    </w:r>
    <w:r>
      <w:rPr>
        <w:rFonts w:hint="eastAsia" w:ascii="宋体" w:hAnsi="宋体"/>
        <w:szCs w:val="21"/>
      </w:rPr>
      <w:t xml:space="preserve">承办人： </w:t>
    </w:r>
    <w:r>
      <w:rPr>
        <w:rFonts w:hint="eastAsia" w:ascii="宋体" w:hAnsi="宋体"/>
        <w:szCs w:val="21"/>
        <w:lang w:val="en-US" w:eastAsia="zh-CN"/>
      </w:rPr>
      <w:t>纪锐</w:t>
    </w:r>
    <w:r>
      <w:rPr>
        <w:rFonts w:hint="eastAsia" w:ascii="宋体" w:hAnsi="宋体"/>
        <w:szCs w:val="21"/>
      </w:rPr>
      <w:t xml:space="preserve">                 共</w:t>
    </w:r>
    <w:r>
      <w:rPr>
        <w:rFonts w:hint="eastAsia" w:ascii="宋体" w:hAnsi="宋体"/>
        <w:szCs w:val="21"/>
        <w:lang w:val="en-US" w:eastAsia="zh-CN"/>
      </w:rPr>
      <w:t>3</w:t>
    </w:r>
    <w:r>
      <w:rPr>
        <w:rFonts w:hint="eastAsia" w:ascii="宋体" w:hAnsi="宋体"/>
        <w:szCs w:val="21"/>
      </w:rPr>
      <w:t>页 第</w:t>
    </w:r>
    <w:r>
      <w:rPr>
        <w:rFonts w:ascii="宋体" w:hAnsi="宋体"/>
        <w:szCs w:val="21"/>
      </w:rPr>
      <w:fldChar w:fldCharType="begin"/>
    </w:r>
    <w:r>
      <w:rPr>
        <w:rFonts w:ascii="宋体" w:hAnsi="宋体"/>
        <w:szCs w:val="21"/>
      </w:rPr>
      <w:instrText xml:space="preserve"> PAGE   \* MERGEFORMAT </w:instrText>
    </w:r>
    <w:r>
      <w:rPr>
        <w:rFonts w:ascii="宋体" w:hAnsi="宋体"/>
        <w:szCs w:val="21"/>
      </w:rPr>
      <w:fldChar w:fldCharType="separate"/>
    </w:r>
    <w:r>
      <w:rPr>
        <w:rFonts w:ascii="宋体" w:hAnsi="宋体"/>
        <w:szCs w:val="21"/>
        <w:lang w:val="zh-CN"/>
      </w:rPr>
      <w:t>1</w:t>
    </w:r>
    <w:r>
      <w:rPr>
        <w:rFonts w:ascii="宋体" w:hAnsi="宋体"/>
        <w:szCs w:val="21"/>
      </w:rPr>
      <w:fldChar w:fldCharType="end"/>
    </w:r>
    <w:r>
      <w:rPr>
        <w:rFonts w:hint="eastAsia" w:ascii="宋体" w:hAnsi="宋体"/>
        <w:szCs w:val="21"/>
      </w:rPr>
      <w:t>页</w:t>
    </w:r>
  </w:p>
  <w:p>
    <w:pPr>
      <w:rPr>
        <w:szCs w:val="21"/>
      </w:rPr>
    </w:pPr>
    <w:r>
      <w:rPr>
        <w:rFonts w:hint="eastAsia"/>
        <w:szCs w:val="21"/>
      </w:rPr>
      <w:t>标准项目负责起草单位：</w:t>
    </w:r>
    <w:r>
      <w:rPr>
        <w:rFonts w:hint="eastAsia" w:ascii="宋体" w:hAnsi="宋体"/>
        <w:szCs w:val="21"/>
        <w:lang w:val="en-US" w:eastAsia="zh-CN"/>
      </w:rPr>
      <w:t>云南驰宏锌锗股份有限公司</w:t>
    </w:r>
    <w:r>
      <w:rPr>
        <w:rFonts w:hint="eastAsia" w:ascii="宋体" w:hAnsi="宋体"/>
        <w:szCs w:val="21"/>
      </w:rPr>
      <w:t xml:space="preserve"> </w:t>
    </w:r>
    <w:r>
      <w:rPr>
        <w:rFonts w:hint="eastAsia"/>
        <w:szCs w:val="21"/>
      </w:rPr>
      <w:t xml:space="preserve">       电  话：</w:t>
    </w:r>
    <w:r>
      <w:rPr>
        <w:rFonts w:hint="eastAsia" w:ascii="宋体" w:hAnsi="宋体"/>
        <w:szCs w:val="21"/>
      </w:rPr>
      <w:t xml:space="preserve"> </w:t>
    </w:r>
    <w:r>
      <w:rPr>
        <w:rFonts w:hint="eastAsia" w:ascii="宋体" w:hAnsi="宋体"/>
        <w:szCs w:val="21"/>
        <w:lang w:val="en-US" w:eastAsia="zh-CN"/>
      </w:rPr>
      <w:t>18288409401</w:t>
    </w:r>
    <w:r>
      <w:rPr>
        <w:rFonts w:hint="eastAsia" w:ascii="宋体" w:hAnsi="宋体"/>
        <w:szCs w:val="21"/>
      </w:rPr>
      <w:t xml:space="preserve">   20</w:t>
    </w:r>
    <w:r>
      <w:rPr>
        <w:rFonts w:hint="eastAsia" w:ascii="宋体" w:hAnsi="宋体"/>
        <w:szCs w:val="21"/>
        <w:lang w:val="en-US" w:eastAsia="zh-CN"/>
      </w:rPr>
      <w:t>20</w:t>
    </w:r>
    <w:r>
      <w:rPr>
        <w:rFonts w:hint="eastAsia" w:ascii="宋体" w:hAnsi="宋体"/>
        <w:szCs w:val="21"/>
      </w:rPr>
      <w:t>年</w:t>
    </w:r>
    <w:r>
      <w:rPr>
        <w:rFonts w:hint="eastAsia" w:ascii="宋体" w:hAnsi="宋体"/>
        <w:szCs w:val="21"/>
        <w:lang w:val="en-US" w:eastAsia="zh-CN"/>
      </w:rPr>
      <w:t>8</w:t>
    </w:r>
    <w:r>
      <w:rPr>
        <w:rFonts w:hint="eastAsia" w:ascii="宋体" w:hAnsi="宋体"/>
        <w:szCs w:val="21"/>
      </w:rPr>
      <w:t>月</w:t>
    </w:r>
    <w:r>
      <w:rPr>
        <w:rFonts w:hint="eastAsia" w:ascii="宋体" w:hAnsi="宋体"/>
        <w:szCs w:val="21"/>
        <w:lang w:val="en-US" w:eastAsia="zh-CN"/>
      </w:rPr>
      <w:t>24</w:t>
    </w:r>
    <w:r>
      <w:rPr>
        <w:rFonts w:hint="eastAsia" w:ascii="宋体" w:hAnsi="宋体"/>
        <w:szCs w:val="21"/>
      </w:rPr>
      <w:t>日</w:t>
    </w:r>
    <w:r>
      <w:rPr>
        <w:rFonts w:hint="eastAsia"/>
        <w:szCs w:val="21"/>
      </w:rPr>
      <w:t>填写</w:t>
    </w:r>
  </w:p>
  <w:p>
    <w:pPr>
      <w:pStyle w:val="5"/>
      <w:pBdr>
        <w:bottom w:val="none" w:color="auto" w:sz="0" w:space="0"/>
      </w:pBdr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2B77"/>
    <w:multiLevelType w:val="multilevel"/>
    <w:tmpl w:val="0F6B2B77"/>
    <w:lvl w:ilvl="0" w:tentative="0">
      <w:start w:val="1"/>
      <w:numFmt w:val="lowerLetter"/>
      <w:pStyle w:val="18"/>
      <w:lvlText w:val="%1)"/>
      <w:lvlJc w:val="left"/>
      <w:pPr>
        <w:tabs>
          <w:tab w:val="left" w:pos="945"/>
        </w:tabs>
        <w:ind w:left="944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20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19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17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3"/>
      <w:suff w:val="nothing"/>
      <w:lvlText w:val="%1.%2.%3　"/>
      <w:lvlJc w:val="left"/>
      <w:pPr>
        <w:ind w:left="56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2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1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0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22A41359"/>
    <w:multiLevelType w:val="multilevel"/>
    <w:tmpl w:val="22A41359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65"/>
    <w:rsid w:val="000507E4"/>
    <w:rsid w:val="000573A2"/>
    <w:rsid w:val="00083A10"/>
    <w:rsid w:val="000B415A"/>
    <w:rsid w:val="00126210"/>
    <w:rsid w:val="00172D71"/>
    <w:rsid w:val="00193045"/>
    <w:rsid w:val="001F114A"/>
    <w:rsid w:val="001F6DCD"/>
    <w:rsid w:val="0021055F"/>
    <w:rsid w:val="00255C9F"/>
    <w:rsid w:val="00391BD1"/>
    <w:rsid w:val="003A2626"/>
    <w:rsid w:val="003C7011"/>
    <w:rsid w:val="00497246"/>
    <w:rsid w:val="004C7AAE"/>
    <w:rsid w:val="004D45D4"/>
    <w:rsid w:val="00500D03"/>
    <w:rsid w:val="00532F2F"/>
    <w:rsid w:val="00536652"/>
    <w:rsid w:val="005961B8"/>
    <w:rsid w:val="005C01AA"/>
    <w:rsid w:val="005C65AD"/>
    <w:rsid w:val="005E07EE"/>
    <w:rsid w:val="005F0165"/>
    <w:rsid w:val="005F37E1"/>
    <w:rsid w:val="005F3EBD"/>
    <w:rsid w:val="006536F2"/>
    <w:rsid w:val="006570A4"/>
    <w:rsid w:val="00657331"/>
    <w:rsid w:val="00660525"/>
    <w:rsid w:val="00674C56"/>
    <w:rsid w:val="006C0DB7"/>
    <w:rsid w:val="006C621C"/>
    <w:rsid w:val="006C79ED"/>
    <w:rsid w:val="007E19E4"/>
    <w:rsid w:val="007E353B"/>
    <w:rsid w:val="00805B6A"/>
    <w:rsid w:val="00813BC9"/>
    <w:rsid w:val="00883A07"/>
    <w:rsid w:val="00900195"/>
    <w:rsid w:val="00A15F88"/>
    <w:rsid w:val="00B02D46"/>
    <w:rsid w:val="00BE4B49"/>
    <w:rsid w:val="00BF3CEB"/>
    <w:rsid w:val="00C51D64"/>
    <w:rsid w:val="00C57F00"/>
    <w:rsid w:val="00C97C15"/>
    <w:rsid w:val="00CD5942"/>
    <w:rsid w:val="00CD770C"/>
    <w:rsid w:val="00D05662"/>
    <w:rsid w:val="00D42A73"/>
    <w:rsid w:val="00D93AE1"/>
    <w:rsid w:val="00DC3CAB"/>
    <w:rsid w:val="00DC6796"/>
    <w:rsid w:val="00DD6336"/>
    <w:rsid w:val="00E06E52"/>
    <w:rsid w:val="00E81486"/>
    <w:rsid w:val="00EA091F"/>
    <w:rsid w:val="00ED706D"/>
    <w:rsid w:val="00EF0494"/>
    <w:rsid w:val="00F0157C"/>
    <w:rsid w:val="05610ABC"/>
    <w:rsid w:val="07955749"/>
    <w:rsid w:val="08075E95"/>
    <w:rsid w:val="084B50DC"/>
    <w:rsid w:val="09895357"/>
    <w:rsid w:val="09A0282F"/>
    <w:rsid w:val="09D873D0"/>
    <w:rsid w:val="0ACE3217"/>
    <w:rsid w:val="0C011938"/>
    <w:rsid w:val="0C822C0F"/>
    <w:rsid w:val="0CB775CB"/>
    <w:rsid w:val="0CED4891"/>
    <w:rsid w:val="0DE86FBE"/>
    <w:rsid w:val="0F9F1327"/>
    <w:rsid w:val="151759BC"/>
    <w:rsid w:val="17597418"/>
    <w:rsid w:val="17D1064B"/>
    <w:rsid w:val="1C250887"/>
    <w:rsid w:val="1D520AB1"/>
    <w:rsid w:val="207324CE"/>
    <w:rsid w:val="2266421F"/>
    <w:rsid w:val="236A0460"/>
    <w:rsid w:val="23DD2145"/>
    <w:rsid w:val="240D1A9F"/>
    <w:rsid w:val="25B20A55"/>
    <w:rsid w:val="26711AC4"/>
    <w:rsid w:val="26B57219"/>
    <w:rsid w:val="29183D9C"/>
    <w:rsid w:val="2932552F"/>
    <w:rsid w:val="2CAA1FD6"/>
    <w:rsid w:val="2D1F1A9B"/>
    <w:rsid w:val="2F596E69"/>
    <w:rsid w:val="31734D83"/>
    <w:rsid w:val="36797909"/>
    <w:rsid w:val="375A53A8"/>
    <w:rsid w:val="392F0270"/>
    <w:rsid w:val="3A137570"/>
    <w:rsid w:val="3A6C49FE"/>
    <w:rsid w:val="3AA02908"/>
    <w:rsid w:val="3AEE4A9E"/>
    <w:rsid w:val="3B0021CC"/>
    <w:rsid w:val="3C3962D1"/>
    <w:rsid w:val="3D5D1170"/>
    <w:rsid w:val="3E904B45"/>
    <w:rsid w:val="3F1754B9"/>
    <w:rsid w:val="3FF074A8"/>
    <w:rsid w:val="40172C17"/>
    <w:rsid w:val="40DC6E0B"/>
    <w:rsid w:val="41B56E79"/>
    <w:rsid w:val="41E2718E"/>
    <w:rsid w:val="435A1012"/>
    <w:rsid w:val="44032020"/>
    <w:rsid w:val="44D71242"/>
    <w:rsid w:val="45A27FCF"/>
    <w:rsid w:val="45B74FB2"/>
    <w:rsid w:val="48B454DC"/>
    <w:rsid w:val="4DBB3D62"/>
    <w:rsid w:val="4FD31C0C"/>
    <w:rsid w:val="4FD41F70"/>
    <w:rsid w:val="524E0303"/>
    <w:rsid w:val="53FD5FEF"/>
    <w:rsid w:val="597202E9"/>
    <w:rsid w:val="5A7F7906"/>
    <w:rsid w:val="5B842A1B"/>
    <w:rsid w:val="5BEA33F0"/>
    <w:rsid w:val="5CAE5388"/>
    <w:rsid w:val="5CE5285F"/>
    <w:rsid w:val="5CF25F17"/>
    <w:rsid w:val="5D297AAB"/>
    <w:rsid w:val="5DD3286F"/>
    <w:rsid w:val="603B38D0"/>
    <w:rsid w:val="611E2458"/>
    <w:rsid w:val="61570DE9"/>
    <w:rsid w:val="65300F39"/>
    <w:rsid w:val="6574771E"/>
    <w:rsid w:val="66B42C14"/>
    <w:rsid w:val="66C872B0"/>
    <w:rsid w:val="67C438AB"/>
    <w:rsid w:val="693045BB"/>
    <w:rsid w:val="6AD4360E"/>
    <w:rsid w:val="6AFD1B01"/>
    <w:rsid w:val="6B1302BA"/>
    <w:rsid w:val="6CF06D25"/>
    <w:rsid w:val="6D122C80"/>
    <w:rsid w:val="72814E57"/>
    <w:rsid w:val="73457ECC"/>
    <w:rsid w:val="74246C9F"/>
    <w:rsid w:val="751D0DAB"/>
    <w:rsid w:val="75FA01F2"/>
    <w:rsid w:val="7902723B"/>
    <w:rsid w:val="79BE5AC7"/>
    <w:rsid w:val="7B547F27"/>
    <w:rsid w:val="7BF97FD9"/>
    <w:rsid w:val="7EB83BD8"/>
    <w:rsid w:val="7F865D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unhideWhenUsed/>
    <w:qFormat/>
    <w:uiPriority w:val="99"/>
    <w:pPr>
      <w:jc w:val="left"/>
    </w:pPr>
  </w:style>
  <w:style w:type="paragraph" w:styleId="3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annotation subject"/>
    <w:basedOn w:val="2"/>
    <w:next w:val="2"/>
    <w:link w:val="26"/>
    <w:unhideWhenUsed/>
    <w:qFormat/>
    <w:uiPriority w:val="99"/>
    <w:rPr>
      <w:b/>
      <w:bCs/>
    </w:rPr>
  </w:style>
  <w:style w:type="character" w:styleId="9">
    <w:name w:val="annotation reference"/>
    <w:unhideWhenUsed/>
    <w:qFormat/>
    <w:uiPriority w:val="99"/>
    <w:rPr>
      <w:sz w:val="21"/>
      <w:szCs w:val="21"/>
    </w:rPr>
  </w:style>
  <w:style w:type="paragraph" w:customStyle="1" w:styleId="10">
    <w:name w:val="五级条标题"/>
    <w:basedOn w:val="11"/>
    <w:next w:val="15"/>
    <w:qFormat/>
    <w:uiPriority w:val="0"/>
    <w:pPr>
      <w:numPr>
        <w:ilvl w:val="5"/>
        <w:numId w:val="1"/>
      </w:numPr>
      <w:outlineLvl w:val="6"/>
    </w:pPr>
  </w:style>
  <w:style w:type="paragraph" w:customStyle="1" w:styleId="11">
    <w:name w:val="四级条标题"/>
    <w:basedOn w:val="12"/>
    <w:next w:val="15"/>
    <w:qFormat/>
    <w:uiPriority w:val="0"/>
    <w:pPr>
      <w:numPr>
        <w:ilvl w:val="4"/>
        <w:numId w:val="1"/>
      </w:numPr>
      <w:outlineLvl w:val="5"/>
    </w:pPr>
  </w:style>
  <w:style w:type="paragraph" w:customStyle="1" w:styleId="12">
    <w:name w:val="三级条标题"/>
    <w:basedOn w:val="13"/>
    <w:next w:val="15"/>
    <w:qFormat/>
    <w:uiPriority w:val="0"/>
    <w:pPr>
      <w:numPr>
        <w:ilvl w:val="3"/>
        <w:numId w:val="1"/>
      </w:numPr>
      <w:outlineLvl w:val="4"/>
    </w:pPr>
  </w:style>
  <w:style w:type="paragraph" w:customStyle="1" w:styleId="13">
    <w:name w:val="二级条标题"/>
    <w:basedOn w:val="14"/>
    <w:next w:val="15"/>
    <w:qFormat/>
    <w:uiPriority w:val="0"/>
    <w:pPr>
      <w:numPr>
        <w:ilvl w:val="2"/>
        <w:numId w:val="1"/>
      </w:numPr>
      <w:spacing w:before="50" w:after="50"/>
      <w:ind w:left="0"/>
      <w:outlineLvl w:val="3"/>
    </w:pPr>
  </w:style>
  <w:style w:type="paragraph" w:customStyle="1" w:styleId="14">
    <w:name w:val="一级条标题"/>
    <w:next w:val="15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5">
    <w:name w:val="段"/>
    <w:link w:val="23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">
    <w:name w:val="二级无"/>
    <w:basedOn w:val="13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7">
    <w:name w:val="章标题"/>
    <w:next w:val="15"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8">
    <w:name w:val="字母编号列项（一级）"/>
    <w:qFormat/>
    <w:uiPriority w:val="0"/>
    <w:pPr>
      <w:numPr>
        <w:ilvl w:val="0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">
    <w:name w:val="编号列项（三级）"/>
    <w:qFormat/>
    <w:uiPriority w:val="0"/>
    <w:pPr>
      <w:numPr>
        <w:ilvl w:val="2"/>
        <w:numId w:val="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">
    <w:name w:val="数字编号列项（二级）"/>
    <w:qFormat/>
    <w:uiPriority w:val="0"/>
    <w:pPr>
      <w:numPr>
        <w:ilvl w:val="1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1">
    <w:name w:val="批注文字 Char"/>
    <w:link w:val="2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2">
    <w:name w:val="页脚 Char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段 Char"/>
    <w:link w:val="15"/>
    <w:qFormat/>
    <w:uiPriority w:val="0"/>
    <w:rPr>
      <w:rFonts w:ascii="宋体" w:hAnsi="Times New Roman"/>
      <w:sz w:val="21"/>
      <w:lang w:val="en-US" w:eastAsia="zh-CN" w:bidi="ar-SA"/>
    </w:rPr>
  </w:style>
  <w:style w:type="character" w:customStyle="1" w:styleId="24">
    <w:name w:val="批注框文本 Char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5">
    <w:name w:val="页眉 Char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批注主题 Char"/>
    <w:link w:val="6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</Words>
  <Characters>338</Characters>
  <Lines>2</Lines>
  <Paragraphs>1</Paragraphs>
  <TotalTime>3</TotalTime>
  <ScaleCrop>false</ScaleCrop>
  <LinksUpToDate>false</LinksUpToDate>
  <CharactersWithSpaces>396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2018-01-14T10:23:00Z</dcterms:created>
  <dc:creator>LENOVO</dc:creator>
  <cp:lastModifiedBy>纪锐</cp:lastModifiedBy>
  <cp:lastPrinted>2018-05-28T08:40:00Z</cp:lastPrinted>
  <dcterms:modified xsi:type="dcterms:W3CDTF">2020-08-26T02:54:19Z</dcterms:modified>
  <dc:title>标准征求意见稿意见汇总处理表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