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zh-CN"/>
        </w:rPr>
        <w:t>附件3：</w:t>
      </w:r>
    </w:p>
    <w:p>
      <w:pPr>
        <w:widowControl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2020年第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批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稀土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行业标准项目计划表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58"/>
        <w:gridCol w:w="2030"/>
        <w:gridCol w:w="824"/>
        <w:gridCol w:w="823"/>
        <w:gridCol w:w="1221"/>
        <w:gridCol w:w="1221"/>
        <w:gridCol w:w="704"/>
        <w:gridCol w:w="1619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序号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lang w:val="en-US" w:eastAsia="zh-CN"/>
              </w:rPr>
              <w:t>计划编号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项目名称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性质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制修订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代替标准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采标情况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完成</w:t>
            </w:r>
            <w:r>
              <w:rPr>
                <w:rFonts w:hint="default" w:ascii="Times New Roman" w:hAnsi="Times New Roman" w:cs="Times New Roman"/>
                <w:kern w:val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年限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技术委员会或</w:t>
            </w:r>
            <w:r>
              <w:rPr>
                <w:rFonts w:hint="default" w:ascii="Times New Roman" w:hAnsi="Times New Roman" w:cs="Times New Roman"/>
                <w:kern w:val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技术归口单位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174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工信厅科函[20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</w:rPr>
              <w:t>]</w:t>
            </w:r>
            <w:r>
              <w:rPr>
                <w:rFonts w:hint="default" w:ascii="Times New Roman" w:hAnsi="Times New Roman" w:cs="Times New Roman"/>
                <w:kern w:val="0"/>
                <w:lang w:val="en-US" w:eastAsia="zh-CN"/>
              </w:rPr>
              <w:t>114</w:t>
            </w:r>
            <w:r>
              <w:rPr>
                <w:rFonts w:hint="default" w:ascii="Times New Roman" w:hAnsi="Times New Roman" w:cs="Times New Roman"/>
                <w:kern w:val="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2020-0052T-XB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超细氧化钆粉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2021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赣州湛海工贸有限公司司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2020-0053T-XB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烧结钕铁硼磁体晶界扩散用稀土氟化物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2021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2020-0224T-XB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金属氢化物-镍电池负极用稀土贮氢合金材料电化学性能的测试 三电极体系测试法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2021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国合通用测试评价认证股份公司、国标（北京）检验认证有限公司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2020-0225T-XB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硝酸铈铵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2021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淄博包钢灵芝稀土高科技股份有限公司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74" w:type="dxa"/>
            <w:gridSpan w:val="1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工信厅科函[2020]181号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2020-0461T-XB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稀土火法冶炼回收料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虔东稀土集团股份有限公司集团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2020-0462T-XB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硅酸钇镥晶体回收料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2020-0463T-XB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绿色产品设计技术规范 离子型稀土矿产品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2020-0464T-XB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绿色设计产品评价技术规范 稀土抛光粉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包头天骄清美稀土抛光粉有限公司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2020-0465T-XB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钕铁硼废料有价元素回收利用技术规范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虔东稀土集团股份有限公司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2020-0734T-XB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稀土熔盐电解回收料化学分析方法 第1部分：稀土总量的测定 重量法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江西南方稀土高技术股份有限公司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2020-0735T-XB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稀土熔盐电解回收料化学分析方法 第2部分：十五个稀土元素氧化物配分量测定 X-射线荧光光谱法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赣州有色冶金研究所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2020-0736T-XB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稀土熔盐电解回收料化学分析方法 第3部分：铬、镍、锌、铝量的测定 电感耦合等离子体质谱法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制定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2022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包头稀土研究院</w:t>
            </w:r>
          </w:p>
        </w:tc>
      </w:tr>
    </w:tbl>
    <w:p>
      <w:pPr>
        <w:widowControl/>
        <w:jc w:val="both"/>
        <w:rPr>
          <w:rFonts w:hint="default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B33EE"/>
    <w:rsid w:val="41DB11A3"/>
    <w:rsid w:val="719B33EE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2020-08-24T08:51:00Z</dcterms:created>
  <dc:creator>CathayMok</dc:creator>
  <cp:lastModifiedBy>CathayMok</cp:lastModifiedBy>
  <dcterms:modified xsi:type="dcterms:W3CDTF">2020-08-24T08:52:11Z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