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32"/>
          <w:szCs w:val="32"/>
        </w:rPr>
      </w:pPr>
      <w:r>
        <w:rPr>
          <w:rFonts w:hint="eastAsia" w:ascii="黑体" w:hAnsi="黑体" w:eastAsia="黑体"/>
          <w:sz w:val="32"/>
          <w:szCs w:val="32"/>
        </w:rPr>
        <w:t>稀土行业标准《氟化</w:t>
      </w:r>
      <w:r>
        <w:rPr>
          <w:rFonts w:hint="eastAsia" w:ascii="黑体" w:hAnsi="黑体" w:eastAsia="黑体"/>
          <w:sz w:val="32"/>
          <w:szCs w:val="32"/>
          <w:lang w:eastAsia="zh-CN"/>
        </w:rPr>
        <w:t>镨</w:t>
      </w:r>
      <w:r>
        <w:rPr>
          <w:rFonts w:hint="eastAsia" w:ascii="黑体" w:hAnsi="黑体" w:eastAsia="黑体"/>
          <w:sz w:val="32"/>
          <w:szCs w:val="32"/>
        </w:rPr>
        <w:t>》编制说明</w:t>
      </w:r>
    </w:p>
    <w:p>
      <w:pPr>
        <w:pStyle w:val="7"/>
        <w:numPr>
          <w:ilvl w:val="0"/>
          <w:numId w:val="1"/>
        </w:numPr>
        <w:adjustRightInd w:val="0"/>
        <w:snapToGrid w:val="0"/>
        <w:spacing w:line="360" w:lineRule="auto"/>
        <w:outlineLvl w:val="0"/>
        <w:rPr>
          <w:rFonts w:ascii="Times New Roman" w:hAnsi="Times New Roman" w:eastAsia="黑体" w:cs="Times New Roman"/>
          <w:sz w:val="24"/>
          <w:szCs w:val="24"/>
        </w:rPr>
      </w:pPr>
      <w:r>
        <w:rPr>
          <w:rFonts w:hint="eastAsia" w:ascii="Times New Roman" w:hAnsi="Times New Roman" w:eastAsia="黑体" w:cs="Times New Roman"/>
          <w:sz w:val="24"/>
          <w:szCs w:val="24"/>
        </w:rPr>
        <w:t>工作简况</w:t>
      </w:r>
    </w:p>
    <w:p>
      <w:pPr>
        <w:pStyle w:val="8"/>
        <w:adjustRightInd w:val="0"/>
        <w:snapToGrid w:val="0"/>
        <w:spacing w:beforeLines="50" w:afterLines="50" w:line="360" w:lineRule="auto"/>
        <w:ind w:firstLine="0"/>
        <w:jc w:val="left"/>
        <w:outlineLvl w:val="1"/>
        <w:rPr>
          <w:rFonts w:ascii="黑体" w:hAnsi="黑体" w:eastAsia="黑体" w:cs="黑体"/>
        </w:rPr>
      </w:pPr>
      <w:r>
        <w:rPr>
          <w:rFonts w:ascii="黑体" w:hAnsi="黑体" w:eastAsia="黑体" w:cs="黑体"/>
        </w:rPr>
        <w:t xml:space="preserve">1.1  </w:t>
      </w:r>
      <w:r>
        <w:rPr>
          <w:rFonts w:hint="eastAsia" w:ascii="黑体" w:hAnsi="黑体" w:eastAsia="黑体" w:cs="黑体"/>
        </w:rPr>
        <w:t>任务背景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国的稀土产业经过几十年的发展，产业链不断延伸，永磁材料是当代高科技产业的重要基础材料，也是稀土下游应用范围最广的材料。2017年7月，工信部发布了《重点新材料首批次应用示范指导目录（2017年版）》，11种稀土功能材料作为“关键战略材料”列入目录，而“钕铁硼永磁体”作为重点新材料名列第二。镨单独用作永磁材料性能并不突出，但它却是一个能改善磁性能的优秀协同元素。无论是第一代稀土永磁材料钐钴永磁合金，还是第三代稀土永磁材料钕铁硼，加入适量的镨都能有效地提高和改善永磁材料性能。如在SmCo5中加入部分Pr取代Sm可以提高永磁材料的磁能积，两者的比例一般为80%Sm-20%Pr。在第三代稀土永磁材料钕铁硼中，添加镨可以提高材料的矫顽力，德国、日本等国在生产高矫顽力</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"https://baike.so.com/doc/5675402-5888073.html" \t "_blank"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钕铁硼</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磁体时，均加入部分镨。镨的加入量为5%~8%，最高达10%，可取代1/3的钕。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属镨的制备一般采用氟化物体系，该体系相比氧化物来说，电流效率高、电耗低，同时阳极气体的污染较轻。生产1000公斤的金属镨，理论消耗氟化镨量约在60公斤～80公斤。2017年金属镨出口量在34万吨以上，金额达到306万美元。折算成氟化镨约2万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此外，氟化镨还用作电弧碳棒添加剂。随着下游产业的快速发展，氟化镨市场需求也与日俱增。查阅相关文献资料，国内外没有相关标准。为了规范氟化镨产品市场，提升氟化镨产品质量，有必要建立相应的氟化镨产品行业标准，为生产方、用户、贸易方提供有效指导。</w:t>
      </w:r>
    </w:p>
    <w:p>
      <w:pPr>
        <w:pStyle w:val="8"/>
        <w:adjustRightInd w:val="0"/>
        <w:snapToGrid w:val="0"/>
        <w:spacing w:beforeLines="50" w:afterLines="50" w:line="360" w:lineRule="auto"/>
        <w:ind w:firstLine="0"/>
        <w:jc w:val="left"/>
        <w:outlineLvl w:val="1"/>
        <w:rPr>
          <w:rFonts w:hint="eastAsia" w:ascii="黑体" w:hAnsi="黑体" w:eastAsia="黑体" w:cs="黑体"/>
          <w:lang w:val="en-US" w:eastAsia="zh-CN"/>
        </w:rPr>
      </w:pPr>
      <w:r>
        <w:rPr>
          <w:rFonts w:hint="eastAsia" w:ascii="黑体" w:hAnsi="黑体" w:eastAsia="黑体" w:cs="黑体"/>
        </w:rPr>
        <w:t>1.</w:t>
      </w:r>
      <w:r>
        <w:rPr>
          <w:rFonts w:hint="eastAsia" w:ascii="黑体" w:hAnsi="黑体" w:eastAsia="黑体" w:cs="黑体"/>
          <w:lang w:val="en-US" w:eastAsia="zh-CN"/>
        </w:rPr>
        <w:t>2</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任务</w:t>
      </w:r>
      <w:r>
        <w:rPr>
          <w:rFonts w:hint="eastAsia" w:ascii="黑体" w:hAnsi="黑体" w:eastAsia="黑体" w:cs="黑体"/>
          <w:lang w:eastAsia="zh-CN"/>
        </w:rPr>
        <w:t>来源</w:t>
      </w:r>
      <w:r>
        <w:rPr>
          <w:rFonts w:hint="eastAsia" w:ascii="黑体" w:hAnsi="黑体" w:eastAsia="黑体" w:cs="黑体"/>
          <w:lang w:val="en-US" w:eastAsia="zh-CN"/>
        </w:rPr>
        <w:t xml:space="preserve"> </w:t>
      </w:r>
    </w:p>
    <w:p>
      <w:pPr>
        <w:spacing w:line="360" w:lineRule="auto"/>
        <w:ind w:firstLine="480"/>
        <w:rPr>
          <w:rFonts w:hint="eastAsia" w:ascii="Times New Roman" w:hAnsi="Times New Roman" w:eastAsia="宋体" w:cs="Times New Roman"/>
          <w:szCs w:val="21"/>
          <w:lang w:eastAsia="zh-CN"/>
        </w:rPr>
      </w:pPr>
      <w:r>
        <w:rPr>
          <w:rFonts w:ascii="Times New Roman" w:hAnsi="Times New Roman" w:cs="Times New Roman"/>
          <w:szCs w:val="21"/>
        </w:rPr>
        <w:t>根据稀土标委[2019] 42号文件“</w:t>
      </w:r>
      <w:r>
        <w:rPr>
          <w:rFonts w:hint="eastAsia" w:ascii="Times New Roman" w:hAnsi="Times New Roman" w:cs="Times New Roman"/>
          <w:szCs w:val="21"/>
        </w:rPr>
        <w:t>关于发送《铬酸镧高温电热元件》等9项国、行标计划任务落实会议纪要的通知”</w:t>
      </w:r>
      <w:r>
        <w:rPr>
          <w:rFonts w:hint="eastAsia" w:cs="Times New Roman"/>
          <w:szCs w:val="21"/>
          <w:lang w:eastAsia="zh-CN"/>
        </w:rPr>
        <w:t>，氟化镨</w:t>
      </w:r>
      <w:r>
        <w:rPr>
          <w:rFonts w:hint="eastAsia" w:ascii="Times New Roman" w:hAnsi="Times New Roman" w:cs="Times New Roman"/>
          <w:szCs w:val="21"/>
        </w:rPr>
        <w:t>标准</w:t>
      </w:r>
      <w:r>
        <w:rPr>
          <w:rFonts w:hint="eastAsia" w:cs="Times New Roman"/>
          <w:szCs w:val="21"/>
          <w:lang w:eastAsia="zh-CN"/>
        </w:rPr>
        <w:t>制订</w:t>
      </w:r>
      <w:r>
        <w:rPr>
          <w:rFonts w:hint="eastAsia" w:ascii="Times New Roman" w:hAnsi="Times New Roman" w:cs="Times New Roman"/>
          <w:szCs w:val="21"/>
        </w:rPr>
        <w:t>正式下达</w:t>
      </w:r>
      <w:r>
        <w:rPr>
          <w:rFonts w:ascii="Times New Roman" w:hAnsi="Times New Roman" w:cs="Times New Roman"/>
          <w:szCs w:val="21"/>
        </w:rPr>
        <w:t>，</w:t>
      </w:r>
      <w:r>
        <w:rPr>
          <w:rFonts w:hint="eastAsia" w:ascii="Times New Roman" w:hAnsi="Times New Roman" w:cs="Times New Roman"/>
          <w:szCs w:val="21"/>
        </w:rPr>
        <w:t>计划号</w:t>
      </w:r>
      <w:r>
        <w:rPr>
          <w:rFonts w:hint="eastAsia" w:cs="Times New Roman"/>
          <w:szCs w:val="21"/>
          <w:lang w:eastAsia="zh-CN"/>
        </w:rPr>
        <w:t>为</w:t>
      </w:r>
      <w:r>
        <w:rPr>
          <w:rFonts w:hint="eastAsia" w:ascii="Times New Roman" w:hAnsi="Times New Roman" w:cs="Times New Roman"/>
          <w:szCs w:val="21"/>
        </w:rPr>
        <w:t>2019</w:t>
      </w:r>
      <w:r>
        <w:rPr>
          <w:rFonts w:hint="eastAsia" w:cs="Times New Roman"/>
          <w:szCs w:val="21"/>
          <w:lang w:val="en-US" w:eastAsia="zh-CN"/>
        </w:rPr>
        <w:t>-0197</w:t>
      </w:r>
      <w:r>
        <w:rPr>
          <w:rFonts w:hint="eastAsia" w:ascii="Times New Roman" w:hAnsi="Times New Roman" w:cs="Times New Roman"/>
          <w:szCs w:val="21"/>
        </w:rPr>
        <w:t>T-</w:t>
      </w:r>
      <w:r>
        <w:rPr>
          <w:rFonts w:hint="eastAsia" w:cs="Times New Roman"/>
          <w:szCs w:val="21"/>
          <w:lang w:val="en-US" w:eastAsia="zh-CN"/>
        </w:rPr>
        <w:t>XB</w:t>
      </w:r>
      <w:r>
        <w:rPr>
          <w:rFonts w:hint="eastAsia" w:ascii="Times New Roman" w:hAnsi="Times New Roman" w:cs="Times New Roman"/>
          <w:szCs w:val="21"/>
        </w:rPr>
        <w:t>,</w:t>
      </w:r>
      <w:r>
        <w:rPr>
          <w:rFonts w:ascii="Times New Roman" w:hAnsi="Times New Roman" w:cs="Times New Roman"/>
          <w:szCs w:val="21"/>
        </w:rPr>
        <w:t>完成</w:t>
      </w:r>
      <w:r>
        <w:rPr>
          <w:rFonts w:hint="eastAsia" w:cs="Times New Roman"/>
          <w:szCs w:val="21"/>
          <w:lang w:eastAsia="zh-CN"/>
        </w:rPr>
        <w:t>年限</w:t>
      </w:r>
      <w:r>
        <w:rPr>
          <w:rFonts w:hint="eastAsia" w:cs="Times New Roman"/>
          <w:szCs w:val="21"/>
          <w:lang w:val="en-US" w:eastAsia="zh-CN"/>
        </w:rPr>
        <w:t>2020年</w:t>
      </w:r>
      <w:r>
        <w:rPr>
          <w:rFonts w:ascii="Times New Roman" w:hAnsi="Times New Roman" w:cs="Times New Roman"/>
          <w:szCs w:val="21"/>
        </w:rPr>
        <w:t>。本标准牵头起草单位为</w:t>
      </w:r>
      <w:r>
        <w:rPr>
          <w:rFonts w:hint="eastAsia" w:cs="Times New Roman"/>
          <w:szCs w:val="21"/>
          <w:lang w:eastAsia="zh-CN"/>
        </w:rPr>
        <w:t>虔东稀土集团股份有限公司</w:t>
      </w:r>
      <w:r>
        <w:rPr>
          <w:rFonts w:ascii="Times New Roman" w:hAnsi="Times New Roman" w:cs="Times New Roman"/>
          <w:szCs w:val="21"/>
        </w:rPr>
        <w:t>，报名参加起草单位有：</w:t>
      </w:r>
      <w:r>
        <w:rPr>
          <w:rFonts w:hint="eastAsia" w:cs="Times New Roman"/>
          <w:szCs w:val="21"/>
          <w:lang w:eastAsia="zh-CN"/>
        </w:rPr>
        <w:t>赣州晨光稀土新材料有限公司、赣州有色冶金研究所、福建省长汀金龙稀土有限公司、有研稀土新材料有限公司、江苏金石稀土有限公司、乐山有研稀土新材料有限公司、四川江铜稀土有限责任公司、包头稀土研究院、江西南方稀土高技术股份有限公司、赣州湛海新材料科技有限公司、甘肃稀土新材料股份有限公司、中化地质矿山总局浙江地质勘察院。</w:t>
      </w:r>
    </w:p>
    <w:p>
      <w:pPr>
        <w:rPr>
          <w:rFonts w:hint="eastAsia" w:ascii="黑体" w:hAnsi="黑体" w:eastAsia="黑体" w:cs="黑体"/>
        </w:rPr>
      </w:pPr>
      <w:r>
        <w:rPr>
          <w:rFonts w:hint="eastAsia" w:ascii="黑体" w:hAnsi="黑体" w:eastAsia="黑体" w:cs="黑体"/>
        </w:rPr>
        <w:br w:type="page"/>
      </w:r>
    </w:p>
    <w:p>
      <w:pPr>
        <w:pStyle w:val="8"/>
        <w:adjustRightInd w:val="0"/>
        <w:snapToGrid w:val="0"/>
        <w:spacing w:beforeLines="50" w:afterLines="50" w:line="360" w:lineRule="auto"/>
        <w:ind w:firstLine="0"/>
        <w:jc w:val="left"/>
        <w:outlineLvl w:val="1"/>
        <w:rPr>
          <w:rFonts w:hint="eastAsia" w:ascii="黑体" w:hAnsi="宋体" w:eastAsia="黑体"/>
          <w:bCs/>
        </w:rPr>
      </w:pPr>
      <w:r>
        <w:rPr>
          <w:rFonts w:hint="eastAsia" w:ascii="黑体" w:hAnsi="黑体" w:eastAsia="黑体" w:cs="黑体"/>
        </w:rPr>
        <w:t>1.</w:t>
      </w:r>
      <w:r>
        <w:rPr>
          <w:rFonts w:hint="eastAsia" w:ascii="黑体" w:hAnsi="黑体" w:eastAsia="黑体" w:cs="黑体"/>
          <w:lang w:val="en-US" w:eastAsia="zh-CN"/>
        </w:rPr>
        <w:t>3</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宋体" w:eastAsia="黑体"/>
          <w:bCs/>
        </w:rPr>
        <w:t>标准项目编制工作组单位简况</w:t>
      </w:r>
    </w:p>
    <w:p>
      <w:pPr>
        <w:pStyle w:val="9"/>
        <w:adjustRightInd w:val="0"/>
        <w:snapToGrid w:val="0"/>
        <w:spacing w:line="360" w:lineRule="auto"/>
        <w:ind w:firstLine="420"/>
        <w:jc w:val="left"/>
        <w:rPr>
          <w:rFonts w:ascii="Times New Roman" w:hAnsi="Times New Roman" w:cs="Times New Roman"/>
        </w:rPr>
      </w:pPr>
      <w:r>
        <w:rPr>
          <w:rFonts w:hint="eastAsia" w:ascii="Times New Roman" w:hAnsi="Times New Roman" w:cs="Times New Roman"/>
        </w:rPr>
        <w:t>虔东稀土集团股份有限公司（以下简称虔东集团），是一家专业从事稀土各类产品生产经营的民营企业。经过</w:t>
      </w:r>
      <w:r>
        <w:rPr>
          <w:rFonts w:ascii="Times New Roman" w:hAnsi="Times New Roman" w:cs="Times New Roman"/>
        </w:rPr>
        <w:t>20</w:t>
      </w:r>
      <w:r>
        <w:rPr>
          <w:rFonts w:hint="eastAsia" w:ascii="Times New Roman" w:hAnsi="Times New Roman" w:cs="Times New Roman"/>
        </w:rPr>
        <w:t>多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等</w:t>
      </w:r>
      <w:r>
        <w:rPr>
          <w:rFonts w:ascii="Times New Roman" w:hAnsi="Times New Roman" w:cs="Times New Roman"/>
        </w:rPr>
        <w:t>11</w:t>
      </w:r>
      <w:r>
        <w:rPr>
          <w:rFonts w:hint="eastAsia" w:ascii="Times New Roman" w:hAnsi="Times New Roman" w:cs="Times New Roman"/>
        </w:rPr>
        <w:t>家子公司和控股公司。</w:t>
      </w:r>
      <w:r>
        <w:rPr>
          <w:rFonts w:hint="eastAsia" w:ascii="Times New Roman" w:hAnsi="Times New Roman" w:cs="Times New Roman"/>
          <w:kern w:val="0"/>
        </w:rPr>
        <w:t>公司已初步建立了完整的科研、试验、生产、检测体系和具有国内先进水平的稀土分离、稀土金属、稀土磁性材料、稀土结构陶瓷、稀土发光材料、稀土催化剂、稀土资源回收、稀土加工设备制造等生产线。主要生产稀土化合物、稀土金属、稀土合金、磁性材料、荧光粉、钇锆结构陶瓷、稀土催化剂和稀土深加工设备等</w:t>
      </w:r>
      <w:r>
        <w:rPr>
          <w:rFonts w:ascii="Times New Roman" w:hAnsi="Times New Roman" w:cs="Times New Roman"/>
          <w:kern w:val="0"/>
        </w:rPr>
        <w:t>60</w:t>
      </w:r>
      <w:r>
        <w:rPr>
          <w:rFonts w:hint="eastAsia" w:ascii="Times New Roman" w:hAnsi="Times New Roman" w:cs="Times New Roman"/>
          <w:kern w:val="0"/>
        </w:rPr>
        <w:t>余种产品。公司自</w:t>
      </w:r>
      <w:r>
        <w:rPr>
          <w:rFonts w:ascii="Times New Roman" w:hAnsi="Times New Roman" w:cs="Times New Roman"/>
          <w:kern w:val="0"/>
        </w:rPr>
        <w:t>1988</w:t>
      </w:r>
      <w:r>
        <w:rPr>
          <w:rFonts w:hint="eastAsia" w:ascii="Times New Roman" w:hAnsi="Times New Roman" w:cs="Times New Roman"/>
          <w:kern w:val="0"/>
        </w:rPr>
        <w:t>年创办以来，紧紧依靠科技进步，先后组织实施了</w:t>
      </w:r>
      <w:r>
        <w:rPr>
          <w:rFonts w:ascii="Times New Roman" w:hAnsi="Times New Roman" w:cs="Times New Roman"/>
          <w:kern w:val="0"/>
        </w:rPr>
        <w:t>1</w:t>
      </w:r>
      <w:r>
        <w:rPr>
          <w:rFonts w:hint="eastAsia" w:ascii="Times New Roman" w:hAnsi="Times New Roman" w:cs="Times New Roman"/>
          <w:kern w:val="0"/>
        </w:rPr>
        <w:t>个国家“</w:t>
      </w:r>
      <w:r>
        <w:rPr>
          <w:rFonts w:ascii="Times New Roman" w:hAnsi="Times New Roman" w:cs="Times New Roman"/>
          <w:kern w:val="0"/>
        </w:rPr>
        <w:t>863</w:t>
      </w:r>
      <w:r>
        <w:rPr>
          <w:rFonts w:hint="eastAsia" w:ascii="Times New Roman" w:hAnsi="Times New Roman" w:cs="Times New Roman"/>
          <w:kern w:val="0"/>
        </w:rPr>
        <w:t>计划”项目、</w:t>
      </w:r>
      <w:r>
        <w:rPr>
          <w:rFonts w:ascii="Times New Roman" w:hAnsi="Times New Roman" w:cs="Times New Roman"/>
          <w:kern w:val="0"/>
        </w:rPr>
        <w:t>3</w:t>
      </w:r>
      <w:r>
        <w:rPr>
          <w:rFonts w:hint="eastAsia" w:ascii="Times New Roman" w:hAnsi="Times New Roman" w:cs="Times New Roman"/>
          <w:kern w:val="0"/>
        </w:rPr>
        <w:t>个国家“星火计划”项目、</w:t>
      </w:r>
      <w:r>
        <w:rPr>
          <w:rFonts w:ascii="Times New Roman" w:hAnsi="Times New Roman" w:cs="Times New Roman"/>
          <w:kern w:val="0"/>
        </w:rPr>
        <w:t>3</w:t>
      </w:r>
      <w:r>
        <w:rPr>
          <w:rFonts w:hint="eastAsia" w:ascii="Times New Roman" w:hAnsi="Times New Roman" w:cs="Times New Roman"/>
          <w:kern w:val="0"/>
        </w:rPr>
        <w:t>个国家“火炬计划”项目、</w:t>
      </w:r>
      <w:r>
        <w:rPr>
          <w:rFonts w:ascii="Times New Roman" w:hAnsi="Times New Roman" w:cs="Times New Roman"/>
          <w:kern w:val="0"/>
        </w:rPr>
        <w:t>1</w:t>
      </w:r>
      <w:r>
        <w:rPr>
          <w:rFonts w:hint="eastAsia" w:ascii="Times New Roman" w:hAnsi="Times New Roman" w:cs="Times New Roman"/>
          <w:kern w:val="0"/>
        </w:rPr>
        <w:t>个国家“重点新产品”项目、</w:t>
      </w:r>
      <w:r>
        <w:rPr>
          <w:rFonts w:ascii="Times New Roman" w:hAnsi="Times New Roman" w:cs="Times New Roman"/>
          <w:kern w:val="0"/>
        </w:rPr>
        <w:t>1</w:t>
      </w:r>
      <w:r>
        <w:rPr>
          <w:rFonts w:hint="eastAsia" w:ascii="Times New Roman" w:hAnsi="Times New Roman" w:cs="Times New Roman"/>
          <w:kern w:val="0"/>
        </w:rPr>
        <w:t>个</w:t>
      </w:r>
      <w:r>
        <w:rPr>
          <w:rFonts w:hint="eastAsia" w:ascii="Times New Roman" w:hAnsi="Times New Roman" w:cs="Times New Roman"/>
        </w:rPr>
        <w:t>国家“创新基金计划”项目等</w:t>
      </w:r>
      <w:r>
        <w:rPr>
          <w:rFonts w:ascii="Times New Roman" w:hAnsi="Times New Roman" w:cs="Times New Roman"/>
        </w:rPr>
        <w:t>70</w:t>
      </w:r>
      <w:r>
        <w:rPr>
          <w:rFonts w:hint="eastAsia" w:ascii="Times New Roman" w:hAnsi="Times New Roman" w:cs="Times New Roman"/>
        </w:rPr>
        <w:t>多个国家、省、市级新产品的研制和开发。</w:t>
      </w:r>
    </w:p>
    <w:p>
      <w:pPr>
        <w:widowControl/>
        <w:spacing w:before="120" w:line="360" w:lineRule="auto"/>
        <w:ind w:firstLine="420" w:firstLineChars="200"/>
        <w:jc w:val="left"/>
        <w:rPr>
          <w:rFonts w:hint="eastAsia"/>
          <w:szCs w:val="21"/>
        </w:rPr>
      </w:pPr>
      <w:r>
        <w:rPr>
          <w:rFonts w:hint="eastAsia"/>
          <w:szCs w:val="21"/>
        </w:rPr>
        <w:t>近年来虔东集团主持制修订了多项标准：《</w:t>
      </w:r>
      <w:r>
        <w:rPr>
          <w:rFonts w:hint="eastAsia"/>
          <w:szCs w:val="21"/>
          <w:lang w:eastAsia="zh-CN"/>
        </w:rPr>
        <w:t>氟化钇</w:t>
      </w:r>
      <w:r>
        <w:rPr>
          <w:rFonts w:hint="eastAsia"/>
          <w:szCs w:val="21"/>
        </w:rPr>
        <w:t>》、《稀土复合钇锆粉》、《金属铈》、《</w:t>
      </w:r>
      <w:r>
        <w:rPr>
          <w:rFonts w:hint="eastAsia"/>
          <w:szCs w:val="21"/>
          <w:lang w:eastAsia="zh-CN"/>
        </w:rPr>
        <w:t>氟化钕</w:t>
      </w:r>
      <w:r>
        <w:rPr>
          <w:rFonts w:hint="eastAsia"/>
          <w:szCs w:val="21"/>
        </w:rPr>
        <w:t>》、《</w:t>
      </w:r>
      <w:r>
        <w:rPr>
          <w:rFonts w:hint="eastAsia"/>
          <w:szCs w:val="21"/>
          <w:lang w:eastAsia="zh-CN"/>
        </w:rPr>
        <w:t>氟化镧</w:t>
      </w:r>
      <w:r>
        <w:rPr>
          <w:rFonts w:hint="eastAsia"/>
          <w:szCs w:val="21"/>
        </w:rPr>
        <w:t>钐》、《</w:t>
      </w:r>
      <w:r>
        <w:rPr>
          <w:rFonts w:hint="eastAsia"/>
          <w:szCs w:val="21"/>
          <w:lang w:eastAsia="zh-CN"/>
        </w:rPr>
        <w:t>氟化镝</w:t>
      </w:r>
      <w:r>
        <w:rPr>
          <w:rFonts w:hint="eastAsia"/>
          <w:szCs w:val="21"/>
        </w:rPr>
        <w:t>》、《钕铁硼合金化学分析方法》、《稀土废渣废水化学分析方法》等等，参与了多项</w:t>
      </w:r>
      <w:r>
        <w:rPr>
          <w:rFonts w:hint="eastAsia"/>
          <w:szCs w:val="21"/>
          <w:lang w:eastAsia="zh-CN"/>
        </w:rPr>
        <w:t>氟化稀土</w:t>
      </w:r>
      <w:r>
        <w:rPr>
          <w:rFonts w:hint="eastAsia"/>
          <w:szCs w:val="21"/>
        </w:rPr>
        <w:t>标准的起草及验证工作，在稀土标准的制修订方面，累积了丰富的经验。</w:t>
      </w:r>
    </w:p>
    <w:p>
      <w:pPr>
        <w:pStyle w:val="8"/>
        <w:adjustRightInd w:val="0"/>
        <w:snapToGrid w:val="0"/>
        <w:spacing w:beforeLines="50" w:afterLines="50" w:line="360" w:lineRule="auto"/>
        <w:ind w:firstLine="0"/>
        <w:jc w:val="left"/>
        <w:outlineLvl w:val="1"/>
        <w:rPr>
          <w:rFonts w:hint="eastAsia" w:ascii="黑体" w:hAnsi="黑体" w:eastAsia="黑体" w:cs="黑体"/>
          <w:lang w:eastAsia="zh-CN"/>
        </w:rPr>
      </w:pPr>
      <w:r>
        <w:rPr>
          <w:rFonts w:ascii="黑体" w:hAnsi="黑体" w:eastAsia="黑体" w:cs="黑体"/>
        </w:rPr>
        <w:t xml:space="preserve">1.4 </w:t>
      </w:r>
      <w:r>
        <w:rPr>
          <w:rFonts w:hint="eastAsia" w:ascii="黑体" w:hAnsi="黑体" w:eastAsia="黑体" w:cs="黑体"/>
          <w:lang w:eastAsia="zh-CN"/>
        </w:rPr>
        <w:t>标准工作进度安排</w:t>
      </w:r>
    </w:p>
    <w:p>
      <w:pPr>
        <w:spacing w:line="360" w:lineRule="auto"/>
        <w:ind w:firstLine="420" w:firstLineChars="200"/>
        <w:rPr>
          <w:rFonts w:ascii="Times New Roman" w:hAnsi="Times New Roman" w:cs="Times New Roman"/>
        </w:rPr>
      </w:pPr>
      <w:r>
        <w:rPr>
          <w:szCs w:val="21"/>
        </w:rPr>
        <w:t>根据任务落实会议精神，我公司组建了</w:t>
      </w:r>
      <w:r>
        <w:rPr>
          <w:rFonts w:hint="eastAsia"/>
          <w:szCs w:val="21"/>
        </w:rPr>
        <w:t>《</w:t>
      </w:r>
      <w:r>
        <w:rPr>
          <w:rFonts w:hint="eastAsia"/>
          <w:szCs w:val="21"/>
          <w:lang w:eastAsia="zh-CN"/>
        </w:rPr>
        <w:t>氟化镨</w:t>
      </w:r>
      <w:r>
        <w:rPr>
          <w:rFonts w:hint="eastAsia"/>
          <w:szCs w:val="21"/>
        </w:rPr>
        <w:t>》</w:t>
      </w:r>
      <w:r>
        <w:rPr>
          <w:szCs w:val="21"/>
        </w:rPr>
        <w:t>行标</w:t>
      </w:r>
      <w:r>
        <w:rPr>
          <w:rFonts w:hint="eastAsia"/>
          <w:szCs w:val="21"/>
        </w:rPr>
        <w:t>起草工作</w:t>
      </w:r>
      <w:r>
        <w:rPr>
          <w:szCs w:val="21"/>
        </w:rPr>
        <w:t>小组</w:t>
      </w:r>
      <w:r>
        <w:rPr>
          <w:rFonts w:hint="eastAsia"/>
          <w:szCs w:val="21"/>
          <w:lang w:eastAsia="zh-CN"/>
        </w:rPr>
        <w:t>，</w:t>
      </w:r>
      <w:r>
        <w:rPr>
          <w:rFonts w:ascii="Times New Roman" w:hAnsi="Times New Roman" w:cs="Times New Roman"/>
          <w:szCs w:val="21"/>
        </w:rPr>
        <w:t>工作进度安排情况如下：</w:t>
      </w:r>
    </w:p>
    <w:p>
      <w:pPr>
        <w:spacing w:line="360" w:lineRule="auto"/>
        <w:ind w:firstLine="420" w:firstLineChars="200"/>
        <w:rPr>
          <w:rFonts w:hint="eastAsia" w:ascii="Times New Roman" w:hAnsi="Times New Roman" w:eastAsia="宋体" w:cs="Times New Roman"/>
          <w:szCs w:val="21"/>
          <w:lang w:eastAsia="zh-CN"/>
        </w:rPr>
      </w:pPr>
      <w:r>
        <w:rPr>
          <w:rFonts w:ascii="Times New Roman" w:hAnsi="Times New Roman" w:cs="Times New Roman"/>
          <w:szCs w:val="21"/>
        </w:rPr>
        <w:t>1）20</w:t>
      </w:r>
      <w:r>
        <w:rPr>
          <w:rFonts w:hint="eastAsia" w:cs="Times New Roman"/>
          <w:szCs w:val="21"/>
          <w:lang w:val="en-US" w:eastAsia="zh-CN"/>
        </w:rPr>
        <w:t>19</w:t>
      </w:r>
      <w:r>
        <w:rPr>
          <w:rFonts w:ascii="Times New Roman" w:hAnsi="Times New Roman" w:cs="Times New Roman"/>
          <w:szCs w:val="21"/>
        </w:rPr>
        <w:t>年</w:t>
      </w:r>
      <w:r>
        <w:rPr>
          <w:rFonts w:hint="eastAsia" w:cs="Times New Roman"/>
          <w:szCs w:val="21"/>
          <w:lang w:val="en-US" w:eastAsia="zh-CN"/>
        </w:rPr>
        <w:t>11</w:t>
      </w:r>
      <w:r>
        <w:rPr>
          <w:rFonts w:ascii="Times New Roman" w:hAnsi="Times New Roman" w:cs="Times New Roman"/>
          <w:szCs w:val="21"/>
        </w:rPr>
        <w:t>月</w:t>
      </w:r>
      <w:r>
        <w:rPr>
          <w:rFonts w:hint="eastAsia" w:ascii="Times New Roman" w:hAnsi="Times New Roman" w:cs="Times New Roman"/>
          <w:szCs w:val="21"/>
        </w:rPr>
        <w:t>-</w:t>
      </w:r>
      <w:r>
        <w:rPr>
          <w:rFonts w:ascii="Times New Roman" w:hAnsi="Times New Roman" w:cs="Times New Roman"/>
          <w:szCs w:val="21"/>
        </w:rPr>
        <w:t>20</w:t>
      </w:r>
      <w:r>
        <w:rPr>
          <w:rFonts w:hint="eastAsia" w:ascii="Times New Roman" w:hAnsi="Times New Roman" w:cs="Times New Roman"/>
          <w:szCs w:val="21"/>
        </w:rPr>
        <w:t>20</w:t>
      </w:r>
      <w:r>
        <w:rPr>
          <w:rFonts w:ascii="Times New Roman" w:hAnsi="Times New Roman" w:cs="Times New Roman"/>
          <w:szCs w:val="21"/>
        </w:rPr>
        <w:t>年0</w:t>
      </w:r>
      <w:r>
        <w:rPr>
          <w:rFonts w:hint="eastAsia" w:cs="Times New Roman"/>
          <w:szCs w:val="21"/>
          <w:lang w:val="en-US" w:eastAsia="zh-CN"/>
        </w:rPr>
        <w:t>2</w:t>
      </w:r>
      <w:r>
        <w:rPr>
          <w:rFonts w:ascii="Times New Roman" w:hAnsi="Times New Roman" w:cs="Times New Roman"/>
          <w:szCs w:val="21"/>
        </w:rPr>
        <w:t>月：</w:t>
      </w:r>
      <w:r>
        <w:rPr>
          <w:rFonts w:hint="eastAsia" w:cs="Times New Roman"/>
          <w:szCs w:val="21"/>
          <w:lang w:eastAsia="zh-CN"/>
        </w:rPr>
        <w:t>标准编制前的查询、调研及论证；</w:t>
      </w:r>
    </w:p>
    <w:p>
      <w:pPr>
        <w:spacing w:line="360" w:lineRule="auto"/>
        <w:ind w:firstLine="420" w:firstLineChars="200"/>
        <w:rPr>
          <w:rFonts w:hint="eastAsia" w:ascii="Times New Roman" w:hAnsi="Times New Roman" w:eastAsia="宋体" w:cs="Times New Roman"/>
          <w:szCs w:val="21"/>
          <w:lang w:eastAsia="zh-CN"/>
        </w:rPr>
      </w:pPr>
      <w:r>
        <w:rPr>
          <w:rFonts w:ascii="Times New Roman" w:hAnsi="Times New Roman" w:cs="Times New Roman"/>
          <w:szCs w:val="21"/>
        </w:rPr>
        <w:t>2）20</w:t>
      </w:r>
      <w:r>
        <w:rPr>
          <w:rFonts w:hint="eastAsia" w:ascii="Times New Roman" w:hAnsi="Times New Roman" w:cs="Times New Roman"/>
          <w:szCs w:val="21"/>
        </w:rPr>
        <w:t>20</w:t>
      </w:r>
      <w:r>
        <w:rPr>
          <w:rFonts w:ascii="Times New Roman" w:hAnsi="Times New Roman" w:cs="Times New Roman"/>
          <w:szCs w:val="21"/>
        </w:rPr>
        <w:t>年0</w:t>
      </w:r>
      <w:r>
        <w:rPr>
          <w:rFonts w:hint="eastAsia" w:cs="Times New Roman"/>
          <w:szCs w:val="21"/>
          <w:lang w:val="en-US" w:eastAsia="zh-CN"/>
        </w:rPr>
        <w:t>3</w:t>
      </w:r>
      <w:r>
        <w:rPr>
          <w:rFonts w:ascii="Times New Roman" w:hAnsi="Times New Roman" w:cs="Times New Roman"/>
          <w:szCs w:val="21"/>
        </w:rPr>
        <w:t>月-20</w:t>
      </w:r>
      <w:r>
        <w:rPr>
          <w:rFonts w:hint="eastAsia" w:ascii="Times New Roman" w:hAnsi="Times New Roman" w:cs="Times New Roman"/>
          <w:szCs w:val="21"/>
        </w:rPr>
        <w:t>20</w:t>
      </w:r>
      <w:r>
        <w:rPr>
          <w:rFonts w:ascii="Times New Roman" w:hAnsi="Times New Roman" w:cs="Times New Roman"/>
          <w:szCs w:val="21"/>
        </w:rPr>
        <w:t>年0</w:t>
      </w:r>
      <w:r>
        <w:rPr>
          <w:rFonts w:hint="eastAsia" w:cs="Times New Roman"/>
          <w:szCs w:val="21"/>
          <w:lang w:val="en-US" w:eastAsia="zh-CN"/>
        </w:rPr>
        <w:t>7</w:t>
      </w:r>
      <w:r>
        <w:rPr>
          <w:rFonts w:ascii="Times New Roman" w:hAnsi="Times New Roman" w:cs="Times New Roman"/>
          <w:szCs w:val="21"/>
        </w:rPr>
        <w:t>月：组织相关人员对标准初稿及编制说明进行讨论，形成征求意见稿。</w:t>
      </w:r>
      <w:r>
        <w:rPr>
          <w:rFonts w:hint="eastAsia" w:cs="Times New Roman"/>
          <w:szCs w:val="21"/>
          <w:lang w:eastAsia="zh-CN"/>
        </w:rPr>
        <w:t>并向</w:t>
      </w:r>
      <w:r>
        <w:rPr>
          <w:rFonts w:hint="eastAsia" w:cs="Times New Roman"/>
          <w:lang w:eastAsia="zh-CN"/>
        </w:rPr>
        <w:t>标准起草参与单位、</w:t>
      </w:r>
      <w:r>
        <w:rPr>
          <w:rFonts w:ascii="Times New Roman" w:hAnsi="Times New Roman" w:cs="Times New Roman"/>
        </w:rPr>
        <w:t>生产厂家、应用厂家征求意见</w:t>
      </w:r>
      <w:r>
        <w:rPr>
          <w:rFonts w:hint="eastAsia" w:cs="Times New Roman"/>
          <w:lang w:eastAsia="zh-CN"/>
        </w:rPr>
        <w:t>，</w:t>
      </w:r>
      <w:r>
        <w:rPr>
          <w:rFonts w:ascii="Times New Roman" w:hAnsi="Times New Roman" w:cs="Times New Roman"/>
        </w:rPr>
        <w:t>进行意见汇总</w:t>
      </w:r>
      <w:r>
        <w:rPr>
          <w:rFonts w:hint="eastAsia" w:cs="Times New Roman"/>
          <w:lang w:eastAsia="zh-CN"/>
        </w:rPr>
        <w:t>；</w:t>
      </w:r>
    </w:p>
    <w:p>
      <w:pPr>
        <w:spacing w:line="360" w:lineRule="auto"/>
        <w:ind w:firstLine="480"/>
        <w:rPr>
          <w:rFonts w:hint="eastAsia" w:ascii="Times New Roman" w:hAnsi="Times New Roman" w:eastAsia="宋体" w:cs="Times New Roman"/>
          <w:lang w:eastAsia="zh-CN"/>
        </w:rPr>
      </w:pPr>
      <w:r>
        <w:rPr>
          <w:rFonts w:hint="eastAsia" w:cs="Times New Roman"/>
          <w:szCs w:val="21"/>
          <w:lang w:val="en-US" w:eastAsia="zh-CN"/>
        </w:rPr>
        <w:t>3</w:t>
      </w:r>
      <w:r>
        <w:rPr>
          <w:rFonts w:ascii="Times New Roman" w:hAnsi="Times New Roman" w:cs="Times New Roman"/>
          <w:szCs w:val="21"/>
        </w:rPr>
        <w:t>）20</w:t>
      </w:r>
      <w:r>
        <w:rPr>
          <w:rFonts w:hint="eastAsia" w:ascii="Times New Roman" w:hAnsi="Times New Roman" w:cs="Times New Roman"/>
          <w:szCs w:val="21"/>
        </w:rPr>
        <w:t>20</w:t>
      </w:r>
      <w:r>
        <w:rPr>
          <w:rFonts w:ascii="Times New Roman" w:hAnsi="Times New Roman" w:cs="Times New Roman"/>
          <w:szCs w:val="21"/>
        </w:rPr>
        <w:t>年0</w:t>
      </w:r>
      <w:r>
        <w:rPr>
          <w:rFonts w:hint="eastAsia" w:ascii="Times New Roman" w:hAnsi="Times New Roman" w:cs="Times New Roman"/>
          <w:szCs w:val="21"/>
        </w:rPr>
        <w:t>8</w:t>
      </w:r>
      <w:r>
        <w:rPr>
          <w:rFonts w:ascii="Times New Roman" w:hAnsi="Times New Roman" w:cs="Times New Roman"/>
          <w:szCs w:val="21"/>
        </w:rPr>
        <w:t>月-20</w:t>
      </w:r>
      <w:r>
        <w:rPr>
          <w:rFonts w:hint="eastAsia" w:ascii="Times New Roman" w:hAnsi="Times New Roman" w:cs="Times New Roman"/>
          <w:szCs w:val="21"/>
        </w:rPr>
        <w:t>20</w:t>
      </w:r>
      <w:r>
        <w:rPr>
          <w:rFonts w:ascii="Times New Roman" w:hAnsi="Times New Roman" w:cs="Times New Roman"/>
          <w:szCs w:val="21"/>
        </w:rPr>
        <w:t>年0</w:t>
      </w:r>
      <w:r>
        <w:rPr>
          <w:rFonts w:hint="eastAsia" w:ascii="Times New Roman" w:hAnsi="Times New Roman" w:cs="Times New Roman"/>
          <w:szCs w:val="21"/>
        </w:rPr>
        <w:t>9</w:t>
      </w:r>
      <w:r>
        <w:rPr>
          <w:rFonts w:ascii="Times New Roman" w:hAnsi="Times New Roman" w:cs="Times New Roman"/>
          <w:szCs w:val="21"/>
        </w:rPr>
        <w:t>月：</w:t>
      </w:r>
      <w:r>
        <w:rPr>
          <w:rFonts w:ascii="Times New Roman" w:hAnsi="Times New Roman" w:cs="Times New Roman"/>
        </w:rPr>
        <w:t>形成预审稿</w:t>
      </w:r>
      <w:r>
        <w:rPr>
          <w:rFonts w:hint="eastAsia" w:cs="Times New Roman"/>
          <w:lang w:eastAsia="zh-CN"/>
        </w:rPr>
        <w:t>；</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5）20</w:t>
      </w:r>
      <w:r>
        <w:rPr>
          <w:rFonts w:hint="eastAsia" w:ascii="Times New Roman" w:hAnsi="Times New Roman" w:cs="Times New Roman"/>
          <w:szCs w:val="21"/>
        </w:rPr>
        <w:t>20</w:t>
      </w:r>
      <w:r>
        <w:rPr>
          <w:rFonts w:ascii="Times New Roman" w:hAnsi="Times New Roman" w:cs="Times New Roman"/>
          <w:szCs w:val="21"/>
        </w:rPr>
        <w:t>年</w:t>
      </w:r>
      <w:r>
        <w:rPr>
          <w:rFonts w:hint="eastAsia" w:ascii="Times New Roman" w:hAnsi="Times New Roman" w:cs="Times New Roman"/>
          <w:szCs w:val="21"/>
        </w:rPr>
        <w:t>10</w:t>
      </w:r>
      <w:r>
        <w:rPr>
          <w:rFonts w:ascii="Times New Roman" w:hAnsi="Times New Roman" w:cs="Times New Roman"/>
          <w:szCs w:val="21"/>
        </w:rPr>
        <w:t>月-20</w:t>
      </w:r>
      <w:r>
        <w:rPr>
          <w:rFonts w:hint="eastAsia" w:ascii="Times New Roman" w:hAnsi="Times New Roman" w:cs="Times New Roman"/>
          <w:szCs w:val="21"/>
        </w:rPr>
        <w:t>20</w:t>
      </w:r>
      <w:r>
        <w:rPr>
          <w:rFonts w:ascii="Times New Roman" w:hAnsi="Times New Roman" w:cs="Times New Roman"/>
          <w:szCs w:val="21"/>
        </w:rPr>
        <w:t>年</w:t>
      </w:r>
      <w:r>
        <w:rPr>
          <w:rFonts w:hint="eastAsia" w:ascii="Times New Roman" w:hAnsi="Times New Roman" w:cs="Times New Roman"/>
          <w:szCs w:val="21"/>
        </w:rPr>
        <w:t>11</w:t>
      </w:r>
      <w:r>
        <w:rPr>
          <w:rFonts w:ascii="Times New Roman" w:hAnsi="Times New Roman" w:cs="Times New Roman"/>
          <w:szCs w:val="21"/>
        </w:rPr>
        <w:t>月：</w:t>
      </w:r>
      <w:r>
        <w:rPr>
          <w:rFonts w:ascii="Times New Roman" w:hAnsi="Times New Roman" w:cs="Times New Roman"/>
        </w:rPr>
        <w:t>预审稿挂网广泛征求意见，召开标准预审会。</w:t>
      </w:r>
      <w:r>
        <w:rPr>
          <w:rFonts w:hint="eastAsia" w:ascii="Times New Roman" w:hAnsi="Times New Roman" w:cs="Times New Roman"/>
        </w:rPr>
        <w:t>对《氟化</w:t>
      </w:r>
      <w:r>
        <w:rPr>
          <w:rFonts w:hint="eastAsia" w:cs="Times New Roman"/>
          <w:lang w:eastAsia="zh-CN"/>
        </w:rPr>
        <w:t>镨</w:t>
      </w:r>
      <w:r>
        <w:rPr>
          <w:rFonts w:hint="eastAsia" w:ascii="Times New Roman" w:hAnsi="Times New Roman" w:cs="Times New Roman"/>
        </w:rPr>
        <w:t>》预审会中提出的意见进行整理并与参加单位做充分交流，修改并完成送审稿</w:t>
      </w:r>
      <w:r>
        <w:rPr>
          <w:rFonts w:hint="eastAsia" w:cs="Times New Roman"/>
          <w:lang w:eastAsia="zh-CN"/>
        </w:rPr>
        <w:t>；</w:t>
      </w:r>
    </w:p>
    <w:p>
      <w:pPr>
        <w:spacing w:line="360" w:lineRule="auto"/>
        <w:ind w:firstLine="420" w:firstLineChars="200"/>
        <w:rPr>
          <w:rFonts w:ascii="Times New Roman" w:hAnsi="Times New Roman" w:cs="Times New Roman"/>
        </w:rPr>
      </w:pPr>
      <w:r>
        <w:rPr>
          <w:rFonts w:hint="eastAsia" w:cs="Times New Roman"/>
          <w:szCs w:val="21"/>
          <w:lang w:val="en-US" w:eastAsia="zh-CN"/>
        </w:rPr>
        <w:t>6</w:t>
      </w:r>
      <w:r>
        <w:rPr>
          <w:rFonts w:ascii="Times New Roman" w:hAnsi="Times New Roman" w:cs="Times New Roman"/>
          <w:szCs w:val="21"/>
        </w:rPr>
        <w:t>）20</w:t>
      </w:r>
      <w:r>
        <w:rPr>
          <w:rFonts w:hint="eastAsia" w:ascii="Times New Roman" w:hAnsi="Times New Roman" w:cs="Times New Roman"/>
          <w:szCs w:val="21"/>
        </w:rPr>
        <w:t>2</w:t>
      </w:r>
      <w:r>
        <w:rPr>
          <w:rFonts w:hint="eastAsia" w:cs="Times New Roman"/>
          <w:szCs w:val="21"/>
          <w:lang w:val="en-US" w:eastAsia="zh-CN"/>
        </w:rPr>
        <w:t>0</w:t>
      </w:r>
      <w:r>
        <w:rPr>
          <w:rFonts w:ascii="Times New Roman" w:hAnsi="Times New Roman" w:cs="Times New Roman"/>
          <w:szCs w:val="21"/>
        </w:rPr>
        <w:t>年</w:t>
      </w:r>
      <w:r>
        <w:rPr>
          <w:rFonts w:hint="eastAsia" w:cs="Times New Roman"/>
          <w:szCs w:val="21"/>
          <w:lang w:val="en-US" w:eastAsia="zh-CN"/>
        </w:rPr>
        <w:t>1</w:t>
      </w:r>
      <w:r>
        <w:rPr>
          <w:rFonts w:hint="eastAsia" w:ascii="Times New Roman" w:hAnsi="Times New Roman" w:cs="Times New Roman"/>
          <w:szCs w:val="21"/>
        </w:rPr>
        <w:t>2</w:t>
      </w:r>
      <w:r>
        <w:rPr>
          <w:rFonts w:ascii="Times New Roman" w:hAnsi="Times New Roman" w:cs="Times New Roman"/>
          <w:szCs w:val="21"/>
        </w:rPr>
        <w:t>月</w:t>
      </w:r>
      <w:r>
        <w:rPr>
          <w:rFonts w:hint="eastAsia" w:cs="Times New Roman"/>
          <w:szCs w:val="21"/>
          <w:lang w:eastAsia="zh-CN"/>
        </w:rPr>
        <w:t>：</w:t>
      </w:r>
      <w:r>
        <w:rPr>
          <w:rFonts w:ascii="Times New Roman" w:hAnsi="Times New Roman" w:cs="Times New Roman"/>
        </w:rPr>
        <w:t>召开标准审定会，</w:t>
      </w:r>
      <w:r>
        <w:rPr>
          <w:rFonts w:ascii="Times New Roman" w:hAnsi="Times New Roman" w:cs="Times New Roman"/>
          <w:szCs w:val="21"/>
        </w:rPr>
        <w:t>根据审定会专家提出的意见归纳整理，完成报批稿。</w:t>
      </w:r>
    </w:p>
    <w:p>
      <w:pPr>
        <w:rPr>
          <w:rFonts w:hint="eastAsia"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br w:type="page"/>
      </w:r>
    </w:p>
    <w:p>
      <w:pPr>
        <w:pStyle w:val="7"/>
        <w:numPr>
          <w:ilvl w:val="0"/>
          <w:numId w:val="0"/>
        </w:numPr>
        <w:adjustRightInd w:val="0"/>
        <w:snapToGrid w:val="0"/>
        <w:spacing w:line="360" w:lineRule="auto"/>
        <w:outlineLvl w:val="0"/>
        <w:rPr>
          <w:rFonts w:ascii="Times New Roman" w:hAnsi="Times New Roman" w:eastAsia="黑体" w:cs="Times New Roman"/>
          <w:sz w:val="24"/>
          <w:szCs w:val="24"/>
        </w:rPr>
      </w:pPr>
      <w:r>
        <w:rPr>
          <w:rFonts w:hint="eastAsia" w:ascii="Times New Roman" w:hAnsi="Times New Roman" w:eastAsia="黑体" w:cs="Times New Roman"/>
          <w:sz w:val="24"/>
          <w:szCs w:val="24"/>
          <w:lang w:eastAsia="zh-CN"/>
        </w:rPr>
        <w:t>二、</w:t>
      </w:r>
      <w:r>
        <w:rPr>
          <w:rFonts w:hint="eastAsia" w:ascii="Times New Roman" w:hAnsi="Times New Roman" w:eastAsia="黑体" w:cs="Times New Roman"/>
          <w:sz w:val="24"/>
          <w:szCs w:val="24"/>
        </w:rPr>
        <w:t>标准编制原则</w:t>
      </w:r>
    </w:p>
    <w:p>
      <w:pPr>
        <w:spacing w:line="360" w:lineRule="auto"/>
        <w:outlineLvl w:val="1"/>
        <w:rPr>
          <w:rFonts w:hint="eastAsia" w:ascii="黑体" w:hAnsi="黑体" w:eastAsia="黑体"/>
          <w:kern w:val="0"/>
          <w:szCs w:val="21"/>
        </w:rPr>
      </w:pPr>
      <w:r>
        <w:rPr>
          <w:rFonts w:hint="eastAsia" w:ascii="黑体" w:hAnsi="黑体" w:eastAsia="黑体"/>
          <w:kern w:val="0"/>
          <w:szCs w:val="21"/>
        </w:rPr>
        <w:t>2.1编制原则和依据</w:t>
      </w:r>
    </w:p>
    <w:p>
      <w:pPr>
        <w:numPr>
          <w:ilvl w:val="0"/>
          <w:numId w:val="2"/>
        </w:numPr>
        <w:autoSpaceDE w:val="0"/>
        <w:autoSpaceDN w:val="0"/>
        <w:spacing w:line="360" w:lineRule="auto"/>
        <w:ind w:firstLine="420" w:firstLineChars="200"/>
        <w:rPr>
          <w:rFonts w:ascii="Times New Roman" w:hAnsi="Times New Roman" w:cs="Times New Roman"/>
          <w:szCs w:val="21"/>
        </w:rPr>
      </w:pPr>
      <w:r>
        <w:rPr>
          <w:rFonts w:cs="Times New Roman" w:asciiTheme="minorEastAsia" w:hAnsiTheme="minorEastAsia" w:eastAsiaTheme="minorEastAsia"/>
          <w:szCs w:val="21"/>
        </w:rPr>
        <w:t>本标准根据GB/</w:t>
      </w:r>
      <w:r>
        <w:rPr>
          <w:rFonts w:ascii="Times New Roman" w:hAnsi="Times New Roman" w:cs="Times New Roman"/>
          <w:szCs w:val="21"/>
        </w:rPr>
        <w:t>T1.1-20</w:t>
      </w:r>
      <w:r>
        <w:rPr>
          <w:rFonts w:hint="eastAsia" w:cs="Times New Roman"/>
          <w:szCs w:val="21"/>
          <w:lang w:val="en-US" w:eastAsia="zh-CN"/>
        </w:rPr>
        <w:t>20</w:t>
      </w:r>
      <w:r>
        <w:rPr>
          <w:rFonts w:ascii="Times New Roman" w:hAnsi="Times New Roman" w:cs="Times New Roman"/>
          <w:szCs w:val="21"/>
        </w:rPr>
        <w:t>《标准化工作导则》的规定编写；</w:t>
      </w:r>
    </w:p>
    <w:p>
      <w:pPr>
        <w:numPr>
          <w:ilvl w:val="0"/>
          <w:numId w:val="2"/>
        </w:numPr>
        <w:autoSpaceDE w:val="0"/>
        <w:autoSpaceDN w:val="0"/>
        <w:spacing w:line="360" w:lineRule="auto"/>
        <w:ind w:firstLine="420" w:firstLineChars="200"/>
        <w:rPr>
          <w:rFonts w:ascii="Times New Roman" w:hAnsi="Times New Roman" w:cs="Times New Roman"/>
          <w:szCs w:val="21"/>
        </w:rPr>
      </w:pPr>
      <w:r>
        <w:rPr>
          <w:rFonts w:hint="eastAsia" w:cs="Times New Roman"/>
          <w:szCs w:val="21"/>
          <w:lang w:eastAsia="zh-CN"/>
        </w:rPr>
        <w:t>充分满足行业需求的原则。</w:t>
      </w:r>
    </w:p>
    <w:p>
      <w:pPr>
        <w:spacing w:line="360" w:lineRule="auto"/>
        <w:outlineLvl w:val="1"/>
        <w:rPr>
          <w:rFonts w:hint="eastAsia" w:ascii="黑体" w:hAnsi="黑体" w:eastAsia="黑体"/>
          <w:kern w:val="0"/>
          <w:szCs w:val="21"/>
          <w:lang w:eastAsia="zh-CN"/>
        </w:rPr>
      </w:pPr>
      <w:r>
        <w:rPr>
          <w:rFonts w:hint="eastAsia" w:ascii="黑体" w:hAnsi="黑体" w:eastAsia="黑体"/>
          <w:kern w:val="0"/>
          <w:szCs w:val="21"/>
        </w:rPr>
        <w:t>2.2</w:t>
      </w:r>
      <w:r>
        <w:rPr>
          <w:rFonts w:hint="eastAsia" w:ascii="黑体" w:hAnsi="黑体" w:eastAsia="黑体"/>
          <w:kern w:val="0"/>
          <w:szCs w:val="21"/>
          <w:lang w:eastAsia="zh-CN"/>
        </w:rPr>
        <w:t>根据工艺确定技术指标</w:t>
      </w:r>
    </w:p>
    <w:p>
      <w:pPr>
        <w:pStyle w:val="9"/>
        <w:adjustRightInd w:val="0"/>
        <w:snapToGrid w:val="0"/>
        <w:spacing w:line="360" w:lineRule="auto"/>
        <w:ind w:firstLine="420" w:firstLineChars="200"/>
        <w:rPr>
          <w:rFonts w:hint="eastAsia" w:ascii="Times New Roman" w:hAnsi="宋体"/>
          <w:color w:val="000000"/>
        </w:rPr>
      </w:pPr>
      <w:r>
        <w:rPr>
          <w:rFonts w:hint="eastAsia" w:ascii="Times New Roman" w:hAnsi="宋体"/>
          <w:color w:val="000000"/>
        </w:rPr>
        <w:t>氟化</w:t>
      </w:r>
      <w:r>
        <w:rPr>
          <w:rFonts w:hint="eastAsia" w:ascii="Times New Roman" w:hAnsi="宋体"/>
          <w:color w:val="000000"/>
          <w:lang w:eastAsia="zh-CN"/>
        </w:rPr>
        <w:t>镨</w:t>
      </w:r>
      <w:r>
        <w:rPr>
          <w:rFonts w:hint="eastAsia" w:ascii="Times New Roman" w:hAnsi="宋体"/>
          <w:color w:val="000000"/>
        </w:rPr>
        <w:t>的制备通常有两种工艺，一种是</w:t>
      </w:r>
      <w:r>
        <w:rPr>
          <w:rFonts w:hint="eastAsia" w:ascii="Times New Roman" w:hAnsi="宋体"/>
          <w:color w:val="000000"/>
          <w:lang w:eastAsia="zh-CN"/>
        </w:rPr>
        <w:t>在氟气流中直接加热稀土氧化物制得</w:t>
      </w:r>
      <w:r>
        <w:rPr>
          <w:rFonts w:hint="eastAsia" w:ascii="Times New Roman" w:hAnsi="宋体"/>
          <w:color w:val="000000"/>
        </w:rPr>
        <w:t>，另一种是采用</w:t>
      </w:r>
      <w:r>
        <w:rPr>
          <w:rFonts w:hint="eastAsia" w:ascii="Times New Roman" w:hAnsi="宋体"/>
          <w:color w:val="000000"/>
          <w:lang w:eastAsia="zh-CN"/>
        </w:rPr>
        <w:t>氢氟酸沉淀</w:t>
      </w:r>
      <w:r>
        <w:rPr>
          <w:rFonts w:hint="eastAsia" w:ascii="Times New Roman" w:hAnsi="宋体"/>
          <w:color w:val="000000"/>
          <w:lang w:val="en-US" w:eastAsia="zh-CN"/>
        </w:rPr>
        <w:t>-真空脱水</w:t>
      </w:r>
      <w:r>
        <w:rPr>
          <w:rFonts w:hint="eastAsia" w:ascii="Times New Roman" w:hAnsi="宋体"/>
          <w:color w:val="000000"/>
        </w:rPr>
        <w:t>制备。综合考虑两种工艺情况，确定主要技术指标。</w:t>
      </w:r>
    </w:p>
    <w:p>
      <w:pPr>
        <w:spacing w:line="360" w:lineRule="auto"/>
        <w:outlineLvl w:val="1"/>
        <w:rPr>
          <w:rFonts w:hint="eastAsia" w:ascii="黑体" w:hAnsi="黑体" w:eastAsia="黑体"/>
          <w:kern w:val="0"/>
          <w:szCs w:val="21"/>
          <w:lang w:eastAsia="zh-CN"/>
        </w:rPr>
      </w:pPr>
      <w:r>
        <w:rPr>
          <w:rFonts w:hint="eastAsia" w:ascii="黑体" w:hAnsi="黑体" w:eastAsia="黑体"/>
          <w:kern w:val="0"/>
          <w:szCs w:val="21"/>
          <w:lang w:eastAsia="zh-CN"/>
        </w:rPr>
        <w:t>2.3确定标准适用的范围</w:t>
      </w:r>
    </w:p>
    <w:p>
      <w:pPr>
        <w:pStyle w:val="9"/>
        <w:adjustRightInd w:val="0"/>
        <w:snapToGrid w:val="0"/>
        <w:spacing w:line="360" w:lineRule="auto"/>
        <w:ind w:firstLine="420"/>
        <w:jc w:val="left"/>
        <w:rPr>
          <w:rFonts w:hint="eastAsia" w:ascii="Times New Roman" w:hAnsi="Times New Roman" w:cs="Times New Roman"/>
          <w:lang w:eastAsia="zh-CN"/>
        </w:rPr>
      </w:pPr>
      <w:r>
        <w:rPr>
          <w:rFonts w:hint="eastAsia" w:ascii="Times New Roman" w:hAnsi="Times New Roman" w:cs="Times New Roman"/>
        </w:rPr>
        <w:t>标准规定了氟化镨的</w:t>
      </w:r>
      <w:r>
        <w:rPr>
          <w:rFonts w:hint="eastAsia" w:ascii="Times New Roman" w:hAnsi="Times New Roman" w:cs="Times New Roman"/>
          <w:lang w:eastAsia="zh-CN"/>
        </w:rPr>
        <w:t>技术</w:t>
      </w:r>
      <w:r>
        <w:rPr>
          <w:rFonts w:hint="eastAsia" w:ascii="Times New Roman" w:hAnsi="Times New Roman" w:cs="Times New Roman"/>
        </w:rPr>
        <w:t>要求、试验方法、检验规则、包装、标识、运输和贮存及质量证明书。标准适用于化学法制得的氟化镨，主要用作制备金属镨的原料，也供作电弧碳棒添加剂、有机玻璃镀膜和光学镀膜材料等用。</w:t>
      </w:r>
      <w:bookmarkStart w:id="0" w:name="_GoBack"/>
      <w:bookmarkEnd w:id="0"/>
    </w:p>
    <w:p>
      <w:pPr>
        <w:widowControl/>
        <w:adjustRightInd w:val="0"/>
        <w:snapToGrid w:val="0"/>
        <w:spacing w:line="360" w:lineRule="auto"/>
        <w:jc w:val="left"/>
        <w:outlineLvl w:val="0"/>
        <w:rPr>
          <w:rFonts w:hint="eastAsia"/>
          <w:kern w:val="0"/>
          <w:szCs w:val="21"/>
        </w:rPr>
      </w:pPr>
      <w:r>
        <w:rPr>
          <w:rFonts w:hint="eastAsia" w:ascii="黑体" w:hAnsi="黑体" w:eastAsia="黑体" w:cs="黑体"/>
          <w:sz w:val="24"/>
          <w:szCs w:val="24"/>
        </w:rPr>
        <w:t>三、确定标准主要内容</w:t>
      </w:r>
    </w:p>
    <w:p>
      <w:pPr>
        <w:adjustRightInd w:val="0"/>
        <w:snapToGrid w:val="0"/>
        <w:spacing w:line="360" w:lineRule="auto"/>
        <w:outlineLvl w:val="1"/>
        <w:rPr>
          <w:rFonts w:hint="eastAsia" w:hAnsi="宋体" w:cs="宋体"/>
          <w:color w:val="000000"/>
          <w:szCs w:val="21"/>
        </w:rPr>
      </w:pPr>
      <w:r>
        <w:rPr>
          <w:rFonts w:hint="eastAsia" w:hAnsi="宋体" w:cs="宋体"/>
          <w:color w:val="000000"/>
          <w:szCs w:val="21"/>
        </w:rPr>
        <w:t>3.1 产品分类</w:t>
      </w:r>
    </w:p>
    <w:p>
      <w:pPr>
        <w:pStyle w:val="11"/>
        <w:rPr>
          <w:rFonts w:hint="eastAsia" w:ascii="Times New Roman" w:hAnsi="Times New Roman" w:cs="Times New Roman"/>
        </w:rPr>
      </w:pPr>
      <w:r>
        <w:rPr>
          <w:rFonts w:ascii="Times New Roman" w:hAnsi="Times New Roman" w:cs="Times New Roman"/>
        </w:rPr>
        <w:t>产品按化学成分分为</w:t>
      </w:r>
      <w:r>
        <w:rPr>
          <w:rFonts w:hint="eastAsia" w:ascii="Times New Roman" w:hAnsi="Times New Roman" w:cs="Times New Roman"/>
        </w:rPr>
        <w:t>PrF</w:t>
      </w:r>
      <w:r>
        <w:rPr>
          <w:rFonts w:hint="eastAsia" w:ascii="Times New Roman" w:hAnsi="Times New Roman" w:cs="Times New Roman"/>
          <w:vertAlign w:val="subscript"/>
        </w:rPr>
        <w:t>3</w:t>
      </w:r>
      <w:r>
        <w:rPr>
          <w:rFonts w:hint="eastAsia" w:cs="Times New Roman"/>
        </w:rPr>
        <w:t>-</w:t>
      </w:r>
      <w:r>
        <w:rPr>
          <w:rFonts w:hint="eastAsia" w:ascii="Times New Roman" w:hAnsi="Times New Roman" w:cs="Times New Roman"/>
          <w:lang w:val="en-US" w:eastAsia="zh-CN"/>
        </w:rPr>
        <w:t>4</w:t>
      </w:r>
      <w:r>
        <w:rPr>
          <w:rFonts w:ascii="Times New Roman" w:hAnsi="Times New Roman" w:cs="Times New Roman"/>
        </w:rPr>
        <w:t>N</w:t>
      </w:r>
      <w:r>
        <w:rPr>
          <w:rFonts w:hint="eastAsia" w:ascii="Times New Roman" w:hAnsi="Times New Roman" w:cs="Times New Roman"/>
        </w:rPr>
        <w:t>、PrF</w:t>
      </w:r>
      <w:r>
        <w:rPr>
          <w:rFonts w:hint="eastAsia" w:ascii="Times New Roman" w:hAnsi="Times New Roman" w:cs="Times New Roman"/>
          <w:vertAlign w:val="subscript"/>
        </w:rPr>
        <w:t>3</w:t>
      </w:r>
      <w:r>
        <w:rPr>
          <w:rFonts w:hint="eastAsia" w:cs="Times New Roman"/>
        </w:rPr>
        <w:t>-</w:t>
      </w:r>
      <w:r>
        <w:rPr>
          <w:rFonts w:hint="eastAsia" w:ascii="Times New Roman" w:hAnsi="Times New Roman" w:cs="Times New Roman"/>
          <w:lang w:val="en-US" w:eastAsia="zh-CN"/>
        </w:rPr>
        <w:t>3</w:t>
      </w:r>
      <w:r>
        <w:rPr>
          <w:rFonts w:ascii="Times New Roman" w:hAnsi="Times New Roman" w:cs="Times New Roman"/>
        </w:rPr>
        <w:t>N</w:t>
      </w:r>
      <w:r>
        <w:rPr>
          <w:rFonts w:hint="eastAsia" w:ascii="Times New Roman" w:hAnsi="Times New Roman" w:cs="Times New Roman"/>
          <w:lang w:val="en-US" w:eastAsia="zh-CN"/>
        </w:rPr>
        <w:t>、</w:t>
      </w:r>
      <w:r>
        <w:rPr>
          <w:rFonts w:hint="eastAsia" w:ascii="Times New Roman" w:hAnsi="Times New Roman" w:cs="Times New Roman"/>
        </w:rPr>
        <w:t>PrF</w:t>
      </w:r>
      <w:r>
        <w:rPr>
          <w:rFonts w:hint="eastAsia" w:ascii="Times New Roman" w:hAnsi="Times New Roman" w:cs="Times New Roman"/>
          <w:vertAlign w:val="subscript"/>
        </w:rPr>
        <w:t>3</w:t>
      </w:r>
      <w:r>
        <w:rPr>
          <w:rFonts w:hint="eastAsia" w:cs="Times New Roman"/>
        </w:rPr>
        <w:t>-</w:t>
      </w:r>
      <w:r>
        <w:rPr>
          <w:rFonts w:hint="eastAsia" w:ascii="Times New Roman" w:hAnsi="Times New Roman" w:cs="Times New Roman"/>
          <w:lang w:val="en-US" w:eastAsia="zh-CN"/>
        </w:rPr>
        <w:t>2</w:t>
      </w:r>
      <w:r>
        <w:rPr>
          <w:rFonts w:ascii="Times New Roman" w:hAnsi="Times New Roman" w:cs="Times New Roman"/>
        </w:rPr>
        <w:t>N</w:t>
      </w:r>
      <w:r>
        <w:rPr>
          <w:rFonts w:hint="eastAsia" w:ascii="Times New Roman" w:hAnsi="Times New Roman" w:cs="Times New Roman"/>
          <w:lang w:eastAsia="zh-CN"/>
        </w:rPr>
        <w:t>三</w:t>
      </w:r>
      <w:r>
        <w:rPr>
          <w:rFonts w:ascii="Times New Roman" w:hAnsi="Times New Roman" w:cs="Times New Roman"/>
        </w:rPr>
        <w:t>个牌号</w:t>
      </w:r>
      <w:r>
        <w:rPr>
          <w:rFonts w:hint="eastAsia" w:ascii="Times New Roman" w:hAnsi="Times New Roman" w:cs="Times New Roman"/>
        </w:rPr>
        <w:t>，产品牌号表示方法应符合GB/T 17803的规定</w:t>
      </w:r>
      <w:r>
        <w:rPr>
          <w:rFonts w:ascii="Times New Roman" w:hAnsi="Times New Roman" w:cs="Times New Roman"/>
        </w:rPr>
        <w:t>。</w:t>
      </w:r>
    </w:p>
    <w:p>
      <w:pPr>
        <w:pStyle w:val="8"/>
        <w:adjustRightInd w:val="0"/>
        <w:snapToGrid w:val="0"/>
        <w:spacing w:beforeLines="50" w:afterLines="50" w:line="360" w:lineRule="auto"/>
        <w:ind w:firstLine="0"/>
        <w:jc w:val="left"/>
        <w:outlineLvl w:val="1"/>
        <w:rPr>
          <w:rFonts w:hint="eastAsia" w:hAnsi="宋体" w:cs="宋体"/>
          <w:color w:val="000000"/>
          <w:szCs w:val="21"/>
        </w:rPr>
      </w:pPr>
      <w:r>
        <w:rPr>
          <w:rFonts w:hint="eastAsia" w:hAnsi="宋体" w:cs="宋体"/>
          <w:color w:val="000000"/>
          <w:szCs w:val="21"/>
        </w:rPr>
        <w:t>3.2 化学成分</w:t>
      </w:r>
    </w:p>
    <w:p>
      <w:pPr>
        <w:pStyle w:val="9"/>
        <w:ind w:firstLine="420" w:firstLineChars="200"/>
        <w:rPr>
          <w:rFonts w:hint="eastAsia" w:ascii="宋体" w:hAnsi="宋体"/>
        </w:rPr>
      </w:pPr>
      <w:r>
        <w:rPr>
          <w:rFonts w:hint="eastAsia" w:ascii="宋体" w:hAnsi="宋体"/>
        </w:rPr>
        <w:t>产品牌号及化学成分应符合表</w:t>
      </w:r>
      <w:r>
        <w:rPr>
          <w:rFonts w:hint="eastAsia"/>
        </w:rPr>
        <w:t>1</w:t>
      </w:r>
      <w:r>
        <w:rPr>
          <w:rFonts w:hint="eastAsia" w:ascii="宋体" w:hAnsi="宋体"/>
        </w:rPr>
        <w:t>的规定。如需方对产品有特殊要求，供需双方可另行协商确定。</w:t>
      </w:r>
    </w:p>
    <w:p>
      <w:pPr>
        <w:spacing w:line="400" w:lineRule="exact"/>
        <w:jc w:val="center"/>
        <w:textAlignment w:val="baseline"/>
        <w:rPr>
          <w:rFonts w:hint="eastAsia" w:ascii="黑体" w:hAnsi="黑体" w:eastAsia="黑体" w:cs="黑体"/>
          <w:lang w:val="en-US" w:eastAsia="zh-CN"/>
        </w:rPr>
      </w:pPr>
      <w:r>
        <w:rPr>
          <w:rFonts w:hint="eastAsia" w:ascii="黑体" w:hAnsi="黑体" w:eastAsia="黑体" w:cs="黑体"/>
        </w:rPr>
        <w:t>表1</w:t>
      </w:r>
      <w:r>
        <w:rPr>
          <w:rFonts w:hint="eastAsia" w:ascii="黑体" w:hAnsi="黑体" w:eastAsia="黑体" w:cs="黑体"/>
          <w:lang w:val="en-US" w:eastAsia="zh-CN"/>
        </w:rPr>
        <w:t xml:space="preserve"> 化学成分</w:t>
      </w:r>
    </w:p>
    <w:tbl>
      <w:tblPr>
        <w:tblStyle w:val="5"/>
        <w:tblpPr w:leftFromText="180" w:rightFromText="180" w:vertAnchor="text" w:horzAnchor="page" w:tblpX="1945" w:tblpY="218"/>
        <w:tblOverlap w:val="never"/>
        <w:tblW w:w="82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300"/>
        <w:gridCol w:w="465"/>
        <w:gridCol w:w="1430"/>
        <w:gridCol w:w="1320"/>
        <w:gridCol w:w="1305"/>
        <w:gridCol w:w="12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5" w:type="dxa"/>
            <w:gridSpan w:val="4"/>
            <w:tcBorders>
              <w:tl2br w:val="nil"/>
              <w:tr2bl w:val="nil"/>
            </w:tcBorders>
            <w:noWrap w:val="0"/>
            <w:vAlign w:val="center"/>
          </w:tcPr>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产品牌号</w:t>
            </w:r>
          </w:p>
        </w:tc>
        <w:tc>
          <w:tcPr>
            <w:tcW w:w="1320" w:type="dxa"/>
            <w:tcBorders>
              <w:tl2br w:val="nil"/>
              <w:tr2bl w:val="nil"/>
            </w:tcBorders>
            <w:noWrap w:val="0"/>
            <w:vAlign w:val="center"/>
          </w:tcPr>
          <w:p>
            <w:pPr>
              <w:pStyle w:val="9"/>
              <w:jc w:val="center"/>
              <w:rPr>
                <w:rFonts w:hint="eastAsia" w:ascii="宋体" w:hAnsi="宋体" w:eastAsia="宋体" w:cs="宋体"/>
                <w:kern w:val="0"/>
                <w:sz w:val="18"/>
                <w:szCs w:val="18"/>
                <w:vertAlign w:val="baseline"/>
                <w:lang w:val="en-US" w:eastAsia="zh-CN" w:bidi="ar-SA"/>
              </w:rPr>
            </w:pPr>
            <w:r>
              <w:rPr>
                <w:rFonts w:hint="eastAsia" w:ascii="宋体" w:hAnsi="宋体" w:eastAsia="宋体" w:cs="宋体"/>
                <w:sz w:val="18"/>
                <w:szCs w:val="18"/>
                <w:vertAlign w:val="baseline"/>
                <w:lang w:val="en-US" w:eastAsia="zh-CN"/>
              </w:rPr>
              <w:t>PrF</w:t>
            </w:r>
            <w:r>
              <w:rPr>
                <w:rFonts w:hint="eastAsia" w:ascii="宋体" w:hAnsi="宋体" w:eastAsia="宋体" w:cs="宋体"/>
                <w:sz w:val="18"/>
                <w:szCs w:val="18"/>
                <w:vertAlign w:val="subscript"/>
                <w:lang w:val="en-US" w:eastAsia="zh-CN"/>
              </w:rPr>
              <w:t>3</w:t>
            </w:r>
            <w:r>
              <w:rPr>
                <w:rFonts w:hint="eastAsia" w:ascii="宋体" w:hAnsi="宋体" w:eastAsia="宋体" w:cs="宋体"/>
                <w:sz w:val="18"/>
                <w:szCs w:val="18"/>
                <w:vertAlign w:val="baseline"/>
                <w:lang w:val="en-US" w:eastAsia="zh-CN"/>
              </w:rPr>
              <w:t>-4N</w:t>
            </w:r>
          </w:p>
        </w:tc>
        <w:tc>
          <w:tcPr>
            <w:tcW w:w="1305" w:type="dxa"/>
            <w:tcBorders>
              <w:tl2br w:val="nil"/>
              <w:tr2bl w:val="nil"/>
            </w:tcBorders>
            <w:noWrap w:val="0"/>
            <w:vAlign w:val="center"/>
          </w:tcPr>
          <w:p>
            <w:pPr>
              <w:pStyle w:val="9"/>
              <w:jc w:val="center"/>
              <w:rPr>
                <w:rFonts w:hint="default" w:ascii="宋体" w:hAnsi="宋体" w:eastAsia="宋体" w:cs="宋体"/>
                <w:kern w:val="0"/>
                <w:sz w:val="18"/>
                <w:szCs w:val="18"/>
                <w:vertAlign w:val="baseline"/>
                <w:lang w:val="en-US" w:eastAsia="zh-CN" w:bidi="ar-SA"/>
              </w:rPr>
            </w:pPr>
            <w:r>
              <w:rPr>
                <w:rFonts w:hint="eastAsia" w:ascii="宋体" w:hAnsi="宋体" w:eastAsia="宋体" w:cs="宋体"/>
                <w:sz w:val="18"/>
                <w:szCs w:val="18"/>
                <w:vertAlign w:val="baseline"/>
                <w:lang w:val="en-US" w:eastAsia="zh-CN"/>
              </w:rPr>
              <w:t>PrF</w:t>
            </w:r>
            <w:r>
              <w:rPr>
                <w:rFonts w:hint="eastAsia" w:ascii="宋体" w:hAnsi="宋体" w:eastAsia="宋体" w:cs="宋体"/>
                <w:sz w:val="18"/>
                <w:szCs w:val="18"/>
                <w:vertAlign w:val="subscript"/>
                <w:lang w:val="en-US" w:eastAsia="zh-CN"/>
              </w:rPr>
              <w:t>3</w:t>
            </w:r>
            <w:r>
              <w:rPr>
                <w:rFonts w:hint="eastAsia" w:ascii="宋体" w:hAnsi="宋体" w:eastAsia="宋体" w:cs="宋体"/>
                <w:sz w:val="18"/>
                <w:szCs w:val="18"/>
                <w:vertAlign w:val="baseline"/>
                <w:lang w:val="en-US" w:eastAsia="zh-CN"/>
              </w:rPr>
              <w:t>-3N</w:t>
            </w:r>
          </w:p>
        </w:tc>
        <w:tc>
          <w:tcPr>
            <w:tcW w:w="1290" w:type="dxa"/>
            <w:tcBorders>
              <w:tl2br w:val="nil"/>
              <w:tr2bl w:val="nil"/>
            </w:tcBorders>
            <w:noWrap w:val="0"/>
            <w:vAlign w:val="center"/>
          </w:tcPr>
          <w:p>
            <w:pPr>
              <w:pStyle w:val="9"/>
              <w:jc w:val="center"/>
              <w:rPr>
                <w:rFonts w:hint="default" w:ascii="宋体" w:hAnsi="宋体" w:eastAsia="宋体" w:cs="宋体"/>
                <w:kern w:val="0"/>
                <w:sz w:val="18"/>
                <w:szCs w:val="18"/>
                <w:vertAlign w:val="baseline"/>
                <w:lang w:val="en-US" w:eastAsia="zh-CN" w:bidi="ar-SA"/>
              </w:rPr>
            </w:pPr>
            <w:r>
              <w:rPr>
                <w:rFonts w:hint="eastAsia" w:ascii="宋体" w:hAnsi="宋体" w:eastAsia="宋体" w:cs="宋体"/>
                <w:sz w:val="18"/>
                <w:szCs w:val="18"/>
                <w:vertAlign w:val="baseline"/>
                <w:lang w:val="en-US" w:eastAsia="zh-CN"/>
              </w:rPr>
              <w:t>PrF</w:t>
            </w:r>
            <w:r>
              <w:rPr>
                <w:rFonts w:hint="eastAsia" w:ascii="宋体" w:hAnsi="宋体" w:eastAsia="宋体" w:cs="宋体"/>
                <w:sz w:val="18"/>
                <w:szCs w:val="18"/>
                <w:vertAlign w:val="subscript"/>
                <w:lang w:val="en-US" w:eastAsia="zh-CN"/>
              </w:rPr>
              <w:t>3</w:t>
            </w:r>
            <w:r>
              <w:rPr>
                <w:rFonts w:hint="eastAsia" w:ascii="宋体" w:hAnsi="宋体" w:eastAsia="宋体" w:cs="宋体"/>
                <w:sz w:val="18"/>
                <w:szCs w:val="18"/>
                <w:vertAlign w:val="baseline"/>
                <w:lang w:val="en-US" w:eastAsia="zh-CN"/>
              </w:rPr>
              <w:t>-2N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70" w:type="dxa"/>
            <w:vMerge w:val="restart"/>
            <w:tcBorders>
              <w:tl2br w:val="nil"/>
              <w:tr2bl w:val="nil"/>
            </w:tcBorders>
            <w:noWrap w:val="0"/>
            <w:vAlign w:val="center"/>
          </w:tcPr>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化学成分，（质量分数）/%</w:t>
            </w:r>
          </w:p>
        </w:tc>
        <w:tc>
          <w:tcPr>
            <w:tcW w:w="3195" w:type="dxa"/>
            <w:gridSpan w:val="3"/>
            <w:tcBorders>
              <w:tl2br w:val="nil"/>
              <w:tr2bl w:val="nil"/>
            </w:tcBorders>
            <w:noWrap w:val="0"/>
            <w:vAlign w:val="center"/>
          </w:tcPr>
          <w:p>
            <w:pPr>
              <w:pStyle w:val="9"/>
              <w:jc w:val="center"/>
              <w:rPr>
                <w:rFonts w:hint="eastAsia" w:ascii="宋体" w:hAnsi="宋体" w:eastAsia="宋体" w:cs="宋体"/>
                <w:sz w:val="18"/>
                <w:szCs w:val="18"/>
                <w:vertAlign w:val="baseline"/>
              </w:rPr>
            </w:pPr>
            <w:r>
              <w:rPr>
                <w:rFonts w:hint="eastAsia" w:ascii="宋体" w:hAnsi="宋体" w:eastAsia="宋体" w:cs="宋体"/>
                <w:color w:val="000000"/>
                <w:sz w:val="18"/>
                <w:szCs w:val="18"/>
              </w:rPr>
              <w:t>REO</w:t>
            </w:r>
          </w:p>
        </w:tc>
        <w:tc>
          <w:tcPr>
            <w:tcW w:w="1320" w:type="dxa"/>
            <w:tcBorders>
              <w:tl2br w:val="nil"/>
              <w:tr2bl w:val="nil"/>
            </w:tcBorders>
            <w:noWrap w:val="0"/>
            <w:vAlign w:val="center"/>
          </w:tcPr>
          <w:p>
            <w:pPr>
              <w:jc w:val="center"/>
              <w:rPr>
                <w:rFonts w:hint="eastAsia" w:ascii="宋体" w:hAnsi="宋体" w:eastAsia="宋体" w:cs="宋体"/>
                <w:sz w:val="18"/>
                <w:szCs w:val="18"/>
                <w:vertAlign w:val="baseline"/>
              </w:rPr>
            </w:pP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6</w:t>
            </w:r>
            <w:r>
              <w:rPr>
                <w:rFonts w:hint="eastAsia" w:ascii="宋体" w:hAnsi="宋体" w:eastAsia="宋体" w:cs="宋体"/>
                <w:color w:val="000000"/>
                <w:sz w:val="18"/>
                <w:szCs w:val="18"/>
              </w:rPr>
              <w:t>±1.5</w:t>
            </w:r>
          </w:p>
        </w:tc>
        <w:tc>
          <w:tcPr>
            <w:tcW w:w="1305" w:type="dxa"/>
            <w:tcBorders>
              <w:tl2br w:val="nil"/>
              <w:tr2bl w:val="nil"/>
            </w:tcBorders>
            <w:noWrap w:val="0"/>
            <w:vAlign w:val="center"/>
          </w:tcPr>
          <w:p>
            <w:pPr>
              <w:jc w:val="center"/>
              <w:rPr>
                <w:rFonts w:hint="eastAsia" w:ascii="宋体" w:hAnsi="宋体" w:eastAsia="宋体" w:cs="宋体"/>
                <w:sz w:val="18"/>
                <w:szCs w:val="18"/>
                <w:vertAlign w:val="baseline"/>
              </w:rPr>
            </w:pP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6</w:t>
            </w:r>
            <w:r>
              <w:rPr>
                <w:rFonts w:hint="eastAsia" w:ascii="宋体" w:hAnsi="宋体" w:eastAsia="宋体" w:cs="宋体"/>
                <w:color w:val="000000"/>
                <w:sz w:val="18"/>
                <w:szCs w:val="18"/>
              </w:rPr>
              <w:t>±1.5</w:t>
            </w:r>
          </w:p>
        </w:tc>
        <w:tc>
          <w:tcPr>
            <w:tcW w:w="1290" w:type="dxa"/>
            <w:tcBorders>
              <w:tl2br w:val="nil"/>
              <w:tr2bl w:val="nil"/>
            </w:tcBorders>
            <w:noWrap w:val="0"/>
            <w:vAlign w:val="center"/>
          </w:tcPr>
          <w:p>
            <w:pPr>
              <w:jc w:val="center"/>
              <w:rPr>
                <w:rFonts w:hint="eastAsia" w:ascii="宋体" w:hAnsi="宋体" w:eastAsia="宋体" w:cs="宋体"/>
                <w:sz w:val="18"/>
                <w:szCs w:val="18"/>
                <w:vertAlign w:val="baseline"/>
              </w:rPr>
            </w:pPr>
            <w:r>
              <w:rPr>
                <w:rFonts w:hint="eastAsia" w:ascii="宋体" w:hAnsi="宋体" w:eastAsia="宋体" w:cs="宋体"/>
                <w:color w:val="000000"/>
                <w:sz w:val="18"/>
                <w:szCs w:val="18"/>
                <w:lang w:val="en-US" w:eastAsia="zh-CN"/>
              </w:rPr>
              <w:t>86</w:t>
            </w:r>
            <w:r>
              <w:rPr>
                <w:rFonts w:hint="eastAsia" w:ascii="宋体" w:hAnsi="宋体" w:eastAsia="宋体" w:cs="宋体"/>
                <w:color w:val="00000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7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3195" w:type="dxa"/>
            <w:gridSpan w:val="3"/>
            <w:tcBorders>
              <w:tl2br w:val="nil"/>
              <w:tr2bl w:val="nil"/>
            </w:tcBorders>
            <w:noWrap w:val="0"/>
            <w:vAlign w:val="center"/>
          </w:tcPr>
          <w:p>
            <w:pPr>
              <w:pStyle w:val="9"/>
              <w:jc w:val="center"/>
              <w:rPr>
                <w:rFonts w:hint="eastAsia" w:ascii="宋体" w:hAnsi="宋体" w:eastAsia="宋体" w:cs="宋体"/>
                <w:sz w:val="18"/>
                <w:szCs w:val="18"/>
                <w:vertAlign w:val="baseline"/>
              </w:rPr>
            </w:pPr>
            <w:r>
              <w:rPr>
                <w:rFonts w:hint="eastAsia" w:ascii="宋体" w:hAnsi="宋体" w:eastAsia="宋体" w:cs="宋体"/>
                <w:color w:val="000000"/>
                <w:sz w:val="18"/>
                <w:szCs w:val="18"/>
              </w:rPr>
              <w:t>Pr</w:t>
            </w:r>
            <w:r>
              <w:rPr>
                <w:rFonts w:hint="eastAsia" w:ascii="宋体" w:hAnsi="宋体" w:eastAsia="宋体" w:cs="宋体"/>
                <w:color w:val="000000"/>
                <w:sz w:val="18"/>
                <w:szCs w:val="18"/>
                <w:vertAlign w:val="subscript"/>
              </w:rPr>
              <w:t>6</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11</w:t>
            </w:r>
            <w:r>
              <w:rPr>
                <w:rFonts w:hint="eastAsia" w:ascii="宋体" w:hAnsi="宋体" w:eastAsia="宋体" w:cs="宋体"/>
                <w:color w:val="000000"/>
                <w:sz w:val="18"/>
                <w:szCs w:val="18"/>
              </w:rPr>
              <w:t>/REO，不小于</w:t>
            </w:r>
          </w:p>
        </w:tc>
        <w:tc>
          <w:tcPr>
            <w:tcW w:w="1320" w:type="dxa"/>
            <w:tcBorders>
              <w:tl2br w:val="nil"/>
              <w:tr2bl w:val="nil"/>
            </w:tcBorders>
            <w:noWrap w:val="0"/>
            <w:vAlign w:val="center"/>
          </w:tcPr>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99.99</w:t>
            </w:r>
          </w:p>
        </w:tc>
        <w:tc>
          <w:tcPr>
            <w:tcW w:w="1305" w:type="dxa"/>
            <w:tcBorders>
              <w:tl2br w:val="nil"/>
              <w:tr2bl w:val="nil"/>
            </w:tcBorders>
            <w:noWrap w:val="0"/>
            <w:vAlign w:val="center"/>
          </w:tcPr>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99.9</w:t>
            </w:r>
          </w:p>
        </w:tc>
        <w:tc>
          <w:tcPr>
            <w:tcW w:w="1290" w:type="dxa"/>
            <w:tcBorders>
              <w:tl2br w:val="nil"/>
              <w:tr2bl w:val="nil"/>
            </w:tcBorders>
            <w:noWrap w:val="0"/>
            <w:vAlign w:val="center"/>
          </w:tcPr>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7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3195" w:type="dxa"/>
            <w:gridSpan w:val="3"/>
            <w:tcBorders>
              <w:tl2br w:val="nil"/>
              <w:tr2bl w:val="nil"/>
            </w:tcBorders>
            <w:noWrap w:val="0"/>
            <w:vAlign w:val="center"/>
          </w:tcPr>
          <w:p>
            <w:pPr>
              <w:pStyle w:val="9"/>
              <w:jc w:val="center"/>
              <w:rPr>
                <w:rFonts w:hint="eastAsia" w:ascii="宋体" w:hAnsi="宋体" w:eastAsia="宋体" w:cs="宋体"/>
                <w:sz w:val="18"/>
                <w:szCs w:val="18"/>
                <w:vertAlign w:val="baseline"/>
              </w:rPr>
            </w:pPr>
            <w:r>
              <w:rPr>
                <w:rFonts w:hint="eastAsia" w:ascii="宋体" w:hAnsi="宋体" w:eastAsia="宋体" w:cs="宋体"/>
                <w:color w:val="000000"/>
                <w:sz w:val="18"/>
                <w:szCs w:val="18"/>
              </w:rPr>
              <w:t>L.O.I.，不大于</w:t>
            </w:r>
          </w:p>
        </w:tc>
        <w:tc>
          <w:tcPr>
            <w:tcW w:w="1320" w:type="dxa"/>
            <w:tcBorders>
              <w:tl2br w:val="nil"/>
              <w:tr2bl w:val="nil"/>
            </w:tcBorders>
            <w:noWrap w:val="0"/>
            <w:vAlign w:val="center"/>
          </w:tcPr>
          <w:p>
            <w:pPr>
              <w:pStyle w:val="9"/>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305" w:type="dxa"/>
            <w:tcBorders>
              <w:tl2br w:val="nil"/>
              <w:tr2bl w:val="nil"/>
            </w:tcBorders>
            <w:noWrap w:val="0"/>
            <w:vAlign w:val="center"/>
          </w:tcPr>
          <w:p>
            <w:pPr>
              <w:pStyle w:val="9"/>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290" w:type="dxa"/>
            <w:tcBorders>
              <w:tl2br w:val="nil"/>
              <w:tr2bl w:val="nil"/>
            </w:tcBorders>
            <w:noWrap w:val="0"/>
            <w:vAlign w:val="center"/>
          </w:tcPr>
          <w:p>
            <w:pPr>
              <w:pStyle w:val="9"/>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7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3195" w:type="dxa"/>
            <w:gridSpan w:val="3"/>
            <w:tcBorders>
              <w:tl2br w:val="nil"/>
              <w:tr2bl w:val="nil"/>
            </w:tcBorders>
            <w:noWrap w:val="0"/>
            <w:vAlign w:val="center"/>
          </w:tcPr>
          <w:p>
            <w:pPr>
              <w:pStyle w:val="9"/>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F</w:t>
            </w:r>
          </w:p>
        </w:tc>
        <w:tc>
          <w:tcPr>
            <w:tcW w:w="1320" w:type="dxa"/>
            <w:tcBorders>
              <w:tl2br w:val="nil"/>
              <w:tr2bl w:val="nil"/>
            </w:tcBorders>
            <w:noWrap w:val="0"/>
            <w:vAlign w:val="center"/>
          </w:tcPr>
          <w:p>
            <w:pPr>
              <w:pStyle w:val="9"/>
              <w:jc w:val="center"/>
              <w:rPr>
                <w:rFonts w:hint="default" w:ascii="宋体" w:hAnsi="宋体" w:eastAsia="宋体" w:cs="宋体"/>
                <w:color w:val="FF0000"/>
                <w:sz w:val="18"/>
                <w:szCs w:val="18"/>
                <w:vertAlign w:val="baseline"/>
                <w:lang w:val="en-US" w:eastAsia="zh-CN"/>
              </w:rPr>
            </w:pPr>
            <w:r>
              <w:rPr>
                <w:rFonts w:hint="eastAsia" w:ascii="宋体" w:hAnsi="宋体" w:eastAsia="宋体" w:cs="宋体"/>
                <w:color w:val="000000"/>
                <w:sz w:val="18"/>
                <w:szCs w:val="18"/>
                <w:vertAlign w:val="baseline"/>
                <w:lang w:val="en-US" w:eastAsia="zh-CN"/>
              </w:rPr>
              <w:t>29±1</w:t>
            </w:r>
          </w:p>
        </w:tc>
        <w:tc>
          <w:tcPr>
            <w:tcW w:w="1305" w:type="dxa"/>
            <w:tcBorders>
              <w:tl2br w:val="nil"/>
              <w:tr2bl w:val="nil"/>
            </w:tcBorders>
            <w:noWrap w:val="0"/>
            <w:vAlign w:val="center"/>
          </w:tcPr>
          <w:p>
            <w:pPr>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29±1</w:t>
            </w:r>
          </w:p>
        </w:tc>
        <w:tc>
          <w:tcPr>
            <w:tcW w:w="1290" w:type="dxa"/>
            <w:tcBorders>
              <w:tl2br w:val="nil"/>
              <w:tr2bl w:val="nil"/>
            </w:tcBorders>
            <w:noWrap w:val="0"/>
            <w:vAlign w:val="center"/>
          </w:tcPr>
          <w:p>
            <w:pPr>
              <w:jc w:val="center"/>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18"/>
                <w:szCs w:val="18"/>
                <w:vertAlign w:val="baseline"/>
                <w:lang w:val="en-US" w:eastAsia="zh-CN"/>
              </w:rPr>
              <w:t>29±1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7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300" w:type="dxa"/>
            <w:vMerge w:val="restart"/>
            <w:tcBorders>
              <w:tl2br w:val="nil"/>
              <w:tr2bl w:val="nil"/>
            </w:tcBorders>
            <w:noWrap w:val="0"/>
            <w:vAlign w:val="center"/>
          </w:tcPr>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杂质含量，不大于</w:t>
            </w:r>
          </w:p>
        </w:tc>
        <w:tc>
          <w:tcPr>
            <w:tcW w:w="465" w:type="dxa"/>
            <w:vMerge w:val="restart"/>
            <w:tcBorders>
              <w:tl2br w:val="nil"/>
              <w:tr2bl w:val="nil"/>
            </w:tcBorders>
            <w:noWrap w:val="0"/>
            <w:vAlign w:val="center"/>
          </w:tcPr>
          <w:p>
            <w:pPr>
              <w:pStyle w:val="9"/>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稀土杂质</w:t>
            </w:r>
          </w:p>
        </w:tc>
        <w:tc>
          <w:tcPr>
            <w:tcW w:w="1430" w:type="dxa"/>
            <w:tcBorders>
              <w:tl2br w:val="nil"/>
              <w:tr2bl w:val="nil"/>
            </w:tcBorders>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La</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tc>
        <w:tc>
          <w:tcPr>
            <w:tcW w:w="1320" w:type="dxa"/>
            <w:tcBorders>
              <w:tl2br w:val="nil"/>
              <w:tr2bl w:val="nil"/>
            </w:tcBorders>
            <w:noWrap w:val="0"/>
            <w:vAlign w:val="center"/>
          </w:tcPr>
          <w:p>
            <w:pPr>
              <w:pStyle w:val="9"/>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0.001</w:t>
            </w:r>
          </w:p>
        </w:tc>
        <w:tc>
          <w:tcPr>
            <w:tcW w:w="1305" w:type="dxa"/>
            <w:tcBorders>
              <w:tl2br w:val="nil"/>
              <w:tr2bl w:val="nil"/>
            </w:tcBorders>
            <w:noWrap w:val="0"/>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0.010</w:t>
            </w:r>
          </w:p>
        </w:tc>
        <w:tc>
          <w:tcPr>
            <w:tcW w:w="1290" w:type="dxa"/>
            <w:tcBorders>
              <w:tl2br w:val="nil"/>
              <w:tr2bl w:val="nil"/>
            </w:tcBorders>
            <w:noWrap w:val="0"/>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color w:val="000000"/>
                <w:sz w:val="18"/>
                <w:szCs w:val="18"/>
              </w:rPr>
              <w:t>0.</w:t>
            </w:r>
            <w:r>
              <w:rPr>
                <w:rFonts w:hint="eastAsia" w:ascii="宋体" w:hAnsi="宋体" w:eastAsia="宋体" w:cs="宋体"/>
                <w:color w:val="000000"/>
                <w:sz w:val="18"/>
                <w:szCs w:val="1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7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30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465"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430" w:type="dxa"/>
            <w:tcBorders>
              <w:tl2br w:val="nil"/>
              <w:tr2bl w:val="nil"/>
            </w:tcBorders>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CeO</w:t>
            </w:r>
            <w:r>
              <w:rPr>
                <w:rFonts w:hint="eastAsia" w:ascii="宋体" w:hAnsi="宋体" w:eastAsia="宋体" w:cs="宋体"/>
                <w:color w:val="000000"/>
                <w:sz w:val="18"/>
                <w:szCs w:val="18"/>
                <w:vertAlign w:val="subscript"/>
              </w:rPr>
              <w:t>2</w:t>
            </w:r>
          </w:p>
        </w:tc>
        <w:tc>
          <w:tcPr>
            <w:tcW w:w="1320" w:type="dxa"/>
            <w:tcBorders>
              <w:tl2br w:val="nil"/>
              <w:tr2bl w:val="nil"/>
            </w:tcBorders>
            <w:noWrap w:val="0"/>
            <w:vAlign w:val="center"/>
          </w:tcPr>
          <w:p>
            <w:pPr>
              <w:pStyle w:val="9"/>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0.002</w:t>
            </w:r>
          </w:p>
        </w:tc>
        <w:tc>
          <w:tcPr>
            <w:tcW w:w="1305" w:type="dxa"/>
            <w:tcBorders>
              <w:tl2br w:val="nil"/>
              <w:tr2bl w:val="nil"/>
            </w:tcBorders>
            <w:noWrap w:val="0"/>
            <w:vAlign w:val="center"/>
          </w:tcPr>
          <w:p>
            <w:pPr>
              <w:pStyle w:val="9"/>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0.030</w:t>
            </w:r>
          </w:p>
        </w:tc>
        <w:tc>
          <w:tcPr>
            <w:tcW w:w="1290" w:type="dxa"/>
            <w:tcBorders>
              <w:tl2br w:val="nil"/>
              <w:tr2bl w:val="nil"/>
            </w:tcBorders>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sz w:val="18"/>
                <w:szCs w:val="18"/>
              </w:rPr>
              <w:t>0.</w:t>
            </w:r>
            <w:r>
              <w:rPr>
                <w:rFonts w:hint="eastAsia" w:ascii="宋体" w:hAnsi="宋体" w:eastAsia="宋体" w:cs="宋体"/>
                <w:color w:val="000000"/>
                <w:sz w:val="18"/>
                <w:szCs w:val="1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7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30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465"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430" w:type="dxa"/>
            <w:tcBorders>
              <w:tl2br w:val="nil"/>
              <w:tr2bl w:val="nil"/>
            </w:tcBorders>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Nd</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tc>
        <w:tc>
          <w:tcPr>
            <w:tcW w:w="1320" w:type="dxa"/>
            <w:tcBorders>
              <w:tl2br w:val="nil"/>
              <w:tr2bl w:val="nil"/>
            </w:tcBorders>
            <w:noWrap w:val="0"/>
            <w:vAlign w:val="center"/>
          </w:tcPr>
          <w:p>
            <w:pPr>
              <w:pStyle w:val="9"/>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0.004</w:t>
            </w:r>
          </w:p>
        </w:tc>
        <w:tc>
          <w:tcPr>
            <w:tcW w:w="1305" w:type="dxa"/>
            <w:tcBorders>
              <w:tl2br w:val="nil"/>
              <w:tr2bl w:val="nil"/>
            </w:tcBorders>
            <w:noWrap w:val="0"/>
            <w:vAlign w:val="center"/>
          </w:tcPr>
          <w:p>
            <w:pPr>
              <w:pStyle w:val="9"/>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0.040</w:t>
            </w:r>
          </w:p>
        </w:tc>
        <w:tc>
          <w:tcPr>
            <w:tcW w:w="1290" w:type="dxa"/>
            <w:tcBorders>
              <w:tl2br w:val="nil"/>
              <w:tr2bl w:val="nil"/>
            </w:tcBorders>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sz w:val="18"/>
                <w:szCs w:val="18"/>
              </w:rPr>
              <w:t>0.</w:t>
            </w:r>
            <w:r>
              <w:rPr>
                <w:rFonts w:hint="eastAsia" w:ascii="宋体" w:hAnsi="宋体" w:eastAsia="宋体" w:cs="宋体"/>
                <w:color w:val="000000"/>
                <w:sz w:val="18"/>
                <w:szCs w:val="18"/>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7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30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465"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430" w:type="dxa"/>
            <w:tcBorders>
              <w:tl2br w:val="nil"/>
              <w:tr2bl w:val="nil"/>
            </w:tcBorders>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Sm</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tc>
        <w:tc>
          <w:tcPr>
            <w:tcW w:w="1320" w:type="dxa"/>
            <w:tcBorders>
              <w:tl2br w:val="nil"/>
              <w:tr2bl w:val="nil"/>
            </w:tcBorders>
            <w:noWrap w:val="0"/>
            <w:vAlign w:val="center"/>
          </w:tcPr>
          <w:p>
            <w:pPr>
              <w:pStyle w:val="9"/>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0.001</w:t>
            </w:r>
          </w:p>
        </w:tc>
        <w:tc>
          <w:tcPr>
            <w:tcW w:w="1305" w:type="dxa"/>
            <w:tcBorders>
              <w:tl2br w:val="nil"/>
              <w:tr2bl w:val="nil"/>
            </w:tcBorders>
            <w:noWrap w:val="0"/>
            <w:vAlign w:val="center"/>
          </w:tcPr>
          <w:p>
            <w:pPr>
              <w:pStyle w:val="9"/>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0.010</w:t>
            </w:r>
          </w:p>
        </w:tc>
        <w:tc>
          <w:tcPr>
            <w:tcW w:w="1290" w:type="dxa"/>
            <w:vMerge w:val="restart"/>
            <w:tcBorders>
              <w:tl2br w:val="nil"/>
              <w:tr2bl w:val="nil"/>
            </w:tcBorders>
            <w:noWrap w:val="0"/>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color w:val="000000"/>
                <w:sz w:val="18"/>
                <w:szCs w:val="18"/>
                <w:lang w:val="en-US" w:eastAsia="zh-CN"/>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7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30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465"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430" w:type="dxa"/>
            <w:tcBorders>
              <w:tl2br w:val="nil"/>
              <w:tr2bl w:val="nil"/>
            </w:tcBorders>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Y</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tc>
        <w:tc>
          <w:tcPr>
            <w:tcW w:w="1320" w:type="dxa"/>
            <w:tcBorders>
              <w:tl2br w:val="nil"/>
              <w:tr2bl w:val="nil"/>
            </w:tcBorders>
            <w:noWrap w:val="0"/>
            <w:vAlign w:val="center"/>
          </w:tcPr>
          <w:p>
            <w:pPr>
              <w:pStyle w:val="9"/>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0.001</w:t>
            </w:r>
          </w:p>
        </w:tc>
        <w:tc>
          <w:tcPr>
            <w:tcW w:w="1305" w:type="dxa"/>
            <w:tcBorders>
              <w:tl2br w:val="nil"/>
              <w:tr2bl w:val="nil"/>
            </w:tcBorders>
            <w:noWrap w:val="0"/>
            <w:vAlign w:val="center"/>
          </w:tcPr>
          <w:p>
            <w:pPr>
              <w:pStyle w:val="9"/>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0.005</w:t>
            </w:r>
          </w:p>
        </w:tc>
        <w:tc>
          <w:tcPr>
            <w:tcW w:w="1290" w:type="dxa"/>
            <w:vMerge w:val="continue"/>
            <w:tcBorders>
              <w:tl2br w:val="nil"/>
              <w:tr2bl w:val="nil"/>
            </w:tcBorders>
            <w:noWrap w:val="0"/>
            <w:vAlign w:val="center"/>
          </w:tcPr>
          <w:p>
            <w:pPr>
              <w:jc w:val="center"/>
              <w:rPr>
                <w:rFonts w:hint="eastAsia" w:ascii="宋体" w:hAnsi="宋体" w:eastAsia="宋体" w:cs="宋体"/>
                <w:sz w:val="18"/>
                <w:szCs w:val="18"/>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7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30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465"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430" w:type="dxa"/>
            <w:tcBorders>
              <w:tl2br w:val="nil"/>
              <w:tr2bl w:val="nil"/>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其他稀土</w:t>
            </w:r>
          </w:p>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杂质总和</w:t>
            </w:r>
          </w:p>
        </w:tc>
        <w:tc>
          <w:tcPr>
            <w:tcW w:w="1320" w:type="dxa"/>
            <w:tcBorders>
              <w:tl2br w:val="nil"/>
              <w:tr2bl w:val="nil"/>
            </w:tcBorders>
            <w:noWrap w:val="0"/>
            <w:vAlign w:val="center"/>
          </w:tcPr>
          <w:p>
            <w:pPr>
              <w:pStyle w:val="9"/>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0.001</w:t>
            </w:r>
          </w:p>
        </w:tc>
        <w:tc>
          <w:tcPr>
            <w:tcW w:w="1305" w:type="dxa"/>
            <w:tcBorders>
              <w:tl2br w:val="nil"/>
              <w:tr2bl w:val="nil"/>
            </w:tcBorders>
            <w:noWrap w:val="0"/>
            <w:vAlign w:val="center"/>
          </w:tcPr>
          <w:p>
            <w:pPr>
              <w:pStyle w:val="9"/>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0.005</w:t>
            </w:r>
          </w:p>
        </w:tc>
        <w:tc>
          <w:tcPr>
            <w:tcW w:w="1290" w:type="dxa"/>
            <w:vMerge w:val="continue"/>
            <w:tcBorders>
              <w:tl2br w:val="nil"/>
              <w:tr2bl w:val="nil"/>
            </w:tcBorders>
            <w:noWrap w:val="0"/>
            <w:vAlign w:val="center"/>
          </w:tcPr>
          <w:p>
            <w:pPr>
              <w:jc w:val="center"/>
              <w:rPr>
                <w:rFonts w:hint="eastAsia" w:ascii="宋体" w:hAnsi="宋体" w:eastAsia="宋体" w:cs="宋体"/>
                <w:color w:val="000000"/>
                <w:sz w:val="18"/>
                <w:szCs w:val="18"/>
              </w:rPr>
            </w:pPr>
          </w:p>
        </w:tc>
      </w:tr>
    </w:tbl>
    <w:p>
      <w:pPr>
        <w:spacing w:line="400" w:lineRule="exact"/>
        <w:jc w:val="both"/>
        <w:textAlignment w:val="baseline"/>
        <w:rPr>
          <w:rFonts w:hint="eastAsia" w:ascii="黑体" w:hAnsi="黑体" w:eastAsia="黑体" w:cs="黑体"/>
          <w:lang w:val="en-US" w:eastAsia="zh-CN"/>
        </w:rPr>
      </w:pPr>
    </w:p>
    <w:p>
      <w:pPr>
        <w:spacing w:line="400" w:lineRule="exact"/>
        <w:jc w:val="both"/>
        <w:textAlignment w:val="baseline"/>
        <w:rPr>
          <w:rFonts w:hint="eastAsia" w:ascii="黑体" w:hAnsi="黑体" w:eastAsia="黑体" w:cs="黑体"/>
          <w:lang w:val="en-US" w:eastAsia="zh-CN"/>
        </w:rPr>
      </w:pPr>
    </w:p>
    <w:p>
      <w:pPr>
        <w:spacing w:line="400" w:lineRule="exact"/>
        <w:jc w:val="both"/>
        <w:textAlignment w:val="baseline"/>
        <w:rPr>
          <w:rFonts w:hint="eastAsia" w:ascii="黑体" w:hAnsi="黑体" w:eastAsia="黑体" w:cs="黑体"/>
          <w:lang w:val="en-US" w:eastAsia="zh-CN"/>
        </w:rPr>
      </w:pPr>
    </w:p>
    <w:p>
      <w:pPr>
        <w:spacing w:line="400" w:lineRule="exact"/>
        <w:jc w:val="both"/>
        <w:textAlignment w:val="baseline"/>
        <w:rPr>
          <w:rFonts w:hint="eastAsia" w:ascii="黑体" w:hAnsi="黑体" w:eastAsia="黑体" w:cs="黑体"/>
          <w:lang w:val="en-US" w:eastAsia="zh-CN"/>
        </w:rPr>
      </w:pPr>
    </w:p>
    <w:p>
      <w:pPr>
        <w:spacing w:line="400" w:lineRule="exact"/>
        <w:jc w:val="center"/>
        <w:textAlignment w:val="baseline"/>
        <w:rPr>
          <w:rFonts w:hint="eastAsia"/>
          <w:lang w:val="en-US" w:eastAsia="zh-CN"/>
        </w:rPr>
      </w:pPr>
      <w:r>
        <w:rPr>
          <w:rFonts w:hint="eastAsia" w:ascii="黑体" w:hAnsi="黑体" w:eastAsia="黑体" w:cs="黑体"/>
          <w:lang w:val="en-US" w:eastAsia="zh-CN"/>
        </w:rPr>
        <w:t>表1 化学成分（续）</w:t>
      </w:r>
    </w:p>
    <w:tbl>
      <w:tblPr>
        <w:tblStyle w:val="5"/>
        <w:tblpPr w:leftFromText="180" w:rightFromText="180" w:vertAnchor="text" w:horzAnchor="page" w:tblpX="1945" w:tblpY="121"/>
        <w:tblOverlap w:val="never"/>
        <w:tblW w:w="82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335"/>
        <w:gridCol w:w="450"/>
        <w:gridCol w:w="1410"/>
        <w:gridCol w:w="1320"/>
        <w:gridCol w:w="1305"/>
        <w:gridCol w:w="12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65" w:type="dxa"/>
            <w:gridSpan w:val="4"/>
            <w:tcBorders>
              <w:tl2br w:val="nil"/>
              <w:tr2bl w:val="nil"/>
            </w:tcBorders>
            <w:noWrap w:val="0"/>
            <w:vAlign w:val="center"/>
          </w:tcPr>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产品牌号</w:t>
            </w:r>
          </w:p>
        </w:tc>
        <w:tc>
          <w:tcPr>
            <w:tcW w:w="1320" w:type="dxa"/>
            <w:tcBorders>
              <w:tl2br w:val="nil"/>
              <w:tr2bl w:val="nil"/>
            </w:tcBorders>
            <w:noWrap w:val="0"/>
            <w:vAlign w:val="center"/>
          </w:tcPr>
          <w:p>
            <w:pPr>
              <w:pStyle w:val="9"/>
              <w:jc w:val="center"/>
              <w:rPr>
                <w:rFonts w:hint="eastAsia" w:ascii="宋体" w:hAnsi="宋体" w:eastAsia="宋体" w:cs="宋体"/>
                <w:kern w:val="0"/>
                <w:sz w:val="18"/>
                <w:szCs w:val="18"/>
                <w:vertAlign w:val="baseline"/>
                <w:lang w:val="en-US" w:eastAsia="zh-CN" w:bidi="ar-SA"/>
              </w:rPr>
            </w:pPr>
            <w:r>
              <w:rPr>
                <w:rFonts w:hint="eastAsia" w:ascii="宋体" w:hAnsi="宋体" w:eastAsia="宋体" w:cs="宋体"/>
                <w:sz w:val="18"/>
                <w:szCs w:val="18"/>
                <w:vertAlign w:val="baseline"/>
                <w:lang w:val="en-US" w:eastAsia="zh-CN"/>
              </w:rPr>
              <w:t>PrF3-4N</w:t>
            </w:r>
          </w:p>
        </w:tc>
        <w:tc>
          <w:tcPr>
            <w:tcW w:w="1305" w:type="dxa"/>
            <w:tcBorders>
              <w:tl2br w:val="nil"/>
              <w:tr2bl w:val="nil"/>
            </w:tcBorders>
            <w:noWrap w:val="0"/>
            <w:vAlign w:val="center"/>
          </w:tcPr>
          <w:p>
            <w:pPr>
              <w:pStyle w:val="9"/>
              <w:jc w:val="center"/>
              <w:rPr>
                <w:rFonts w:hint="eastAsia" w:ascii="宋体" w:hAnsi="宋体" w:eastAsia="宋体" w:cs="宋体"/>
                <w:kern w:val="0"/>
                <w:sz w:val="18"/>
                <w:szCs w:val="18"/>
                <w:vertAlign w:val="baseline"/>
                <w:lang w:val="en-US" w:eastAsia="zh-CN" w:bidi="ar-SA"/>
              </w:rPr>
            </w:pPr>
            <w:r>
              <w:rPr>
                <w:rFonts w:hint="eastAsia" w:ascii="宋体" w:hAnsi="宋体" w:eastAsia="宋体" w:cs="宋体"/>
                <w:sz w:val="18"/>
                <w:szCs w:val="18"/>
                <w:vertAlign w:val="baseline"/>
                <w:lang w:val="en-US" w:eastAsia="zh-CN"/>
              </w:rPr>
              <w:t>PrF3-3N</w:t>
            </w:r>
          </w:p>
        </w:tc>
        <w:tc>
          <w:tcPr>
            <w:tcW w:w="1290" w:type="dxa"/>
            <w:tcBorders>
              <w:tl2br w:val="nil"/>
              <w:tr2bl w:val="nil"/>
            </w:tcBorders>
            <w:noWrap w:val="0"/>
            <w:vAlign w:val="center"/>
          </w:tcPr>
          <w:p>
            <w:pPr>
              <w:pStyle w:val="9"/>
              <w:jc w:val="center"/>
              <w:rPr>
                <w:rFonts w:hint="eastAsia" w:ascii="宋体" w:hAnsi="宋体" w:eastAsia="宋体" w:cs="宋体"/>
                <w:kern w:val="0"/>
                <w:sz w:val="18"/>
                <w:szCs w:val="18"/>
                <w:vertAlign w:val="baseline"/>
                <w:lang w:val="en-US" w:eastAsia="zh-CN" w:bidi="ar-SA"/>
              </w:rPr>
            </w:pPr>
            <w:r>
              <w:rPr>
                <w:rFonts w:hint="eastAsia" w:ascii="宋体" w:hAnsi="宋体" w:eastAsia="宋体" w:cs="宋体"/>
                <w:sz w:val="18"/>
                <w:szCs w:val="18"/>
                <w:vertAlign w:val="baseline"/>
                <w:lang w:val="en-US" w:eastAsia="zh-CN"/>
              </w:rPr>
              <w:t>PrF3-2N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70" w:type="dxa"/>
            <w:vMerge w:val="restart"/>
            <w:tcBorders>
              <w:tl2br w:val="nil"/>
              <w:tr2bl w:val="nil"/>
            </w:tcBorders>
            <w:noWrap w:val="0"/>
            <w:vAlign w:val="center"/>
          </w:tcPr>
          <w:p>
            <w:pPr>
              <w:pStyle w:val="9"/>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化学成分，（质量分数）/%</w:t>
            </w:r>
          </w:p>
        </w:tc>
        <w:tc>
          <w:tcPr>
            <w:tcW w:w="1335" w:type="dxa"/>
            <w:vMerge w:val="restart"/>
            <w:tcBorders>
              <w:tl2br w:val="nil"/>
              <w:tr2bl w:val="nil"/>
            </w:tcBorders>
            <w:noWrap w:val="0"/>
            <w:vAlign w:val="center"/>
          </w:tcPr>
          <w:p>
            <w:pPr>
              <w:pStyle w:val="9"/>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杂质含量，不大于</w:t>
            </w:r>
          </w:p>
        </w:tc>
        <w:tc>
          <w:tcPr>
            <w:tcW w:w="450" w:type="dxa"/>
            <w:vMerge w:val="restart"/>
            <w:tcBorders>
              <w:tl2br w:val="nil"/>
              <w:tr2bl w:val="nil"/>
            </w:tcBorders>
            <w:noWrap w:val="0"/>
            <w:vAlign w:val="center"/>
          </w:tcPr>
          <w:p>
            <w:pPr>
              <w:pStyle w:val="9"/>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eastAsia="zh-CN"/>
              </w:rPr>
              <w:t>非稀土杂质</w:t>
            </w:r>
          </w:p>
        </w:tc>
        <w:tc>
          <w:tcPr>
            <w:tcW w:w="1410" w:type="dxa"/>
            <w:tcBorders>
              <w:tl2br w:val="nil"/>
              <w:tr2bl w:val="nil"/>
            </w:tcBorders>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Fe</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tc>
        <w:tc>
          <w:tcPr>
            <w:tcW w:w="1320" w:type="dxa"/>
            <w:tcBorders>
              <w:tl2br w:val="nil"/>
              <w:tr2bl w:val="nil"/>
            </w:tcBorders>
            <w:noWrap w:val="0"/>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0.02</w:t>
            </w:r>
          </w:p>
        </w:tc>
        <w:tc>
          <w:tcPr>
            <w:tcW w:w="1305" w:type="dxa"/>
            <w:tcBorders>
              <w:tl2br w:val="nil"/>
              <w:tr2bl w:val="nil"/>
            </w:tcBorders>
            <w:noWrap w:val="0"/>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0.02</w:t>
            </w:r>
          </w:p>
        </w:tc>
        <w:tc>
          <w:tcPr>
            <w:tcW w:w="1290" w:type="dxa"/>
            <w:tcBorders>
              <w:tl2br w:val="nil"/>
              <w:tr2bl w:val="nil"/>
            </w:tcBorders>
            <w:noWrap w:val="0"/>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7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335"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45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410" w:type="dxa"/>
            <w:tcBorders>
              <w:tl2br w:val="nil"/>
              <w:tr2bl w:val="nil"/>
            </w:tcBorders>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SiO</w:t>
            </w:r>
            <w:r>
              <w:rPr>
                <w:rFonts w:hint="eastAsia" w:ascii="宋体" w:hAnsi="宋体" w:eastAsia="宋体" w:cs="宋体"/>
                <w:color w:val="000000"/>
                <w:sz w:val="18"/>
                <w:szCs w:val="18"/>
                <w:vertAlign w:val="subscript"/>
              </w:rPr>
              <w:t>2</w:t>
            </w:r>
          </w:p>
        </w:tc>
        <w:tc>
          <w:tcPr>
            <w:tcW w:w="1320" w:type="dxa"/>
            <w:tcBorders>
              <w:tl2br w:val="nil"/>
              <w:tr2bl w:val="nil"/>
            </w:tcBorders>
            <w:noWrap w:val="0"/>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0.005</w:t>
            </w:r>
          </w:p>
        </w:tc>
        <w:tc>
          <w:tcPr>
            <w:tcW w:w="1305" w:type="dxa"/>
            <w:tcBorders>
              <w:tl2br w:val="nil"/>
              <w:tr2bl w:val="nil"/>
            </w:tcBorders>
            <w:noWrap w:val="0"/>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0.010</w:t>
            </w:r>
          </w:p>
        </w:tc>
        <w:tc>
          <w:tcPr>
            <w:tcW w:w="1290" w:type="dxa"/>
            <w:tcBorders>
              <w:tl2br w:val="nil"/>
              <w:tr2bl w:val="nil"/>
            </w:tcBorders>
            <w:noWrap w:val="0"/>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7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335"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45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410" w:type="dxa"/>
            <w:tcBorders>
              <w:tl2br w:val="nil"/>
              <w:tr2bl w:val="nil"/>
            </w:tcBorders>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C</w:t>
            </w:r>
            <w:r>
              <w:rPr>
                <w:rFonts w:hint="eastAsia" w:ascii="宋体" w:hAnsi="宋体" w:eastAsia="宋体" w:cs="宋体"/>
                <w:color w:val="000000"/>
                <w:sz w:val="18"/>
                <w:szCs w:val="18"/>
              </w:rPr>
              <w:t>aO</w:t>
            </w:r>
          </w:p>
        </w:tc>
        <w:tc>
          <w:tcPr>
            <w:tcW w:w="1320" w:type="dxa"/>
            <w:tcBorders>
              <w:tl2br w:val="nil"/>
              <w:tr2bl w:val="nil"/>
            </w:tcBorders>
            <w:noWrap w:val="0"/>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0.005</w:t>
            </w:r>
          </w:p>
        </w:tc>
        <w:tc>
          <w:tcPr>
            <w:tcW w:w="1305" w:type="dxa"/>
            <w:tcBorders>
              <w:tl2br w:val="nil"/>
              <w:tr2bl w:val="nil"/>
            </w:tcBorders>
            <w:noWrap w:val="0"/>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0.030</w:t>
            </w:r>
          </w:p>
        </w:tc>
        <w:tc>
          <w:tcPr>
            <w:tcW w:w="1290" w:type="dxa"/>
            <w:tcBorders>
              <w:tl2br w:val="nil"/>
              <w:tr2bl w:val="nil"/>
            </w:tcBorders>
            <w:noWrap w:val="0"/>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7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335"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45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410" w:type="dxa"/>
            <w:tcBorders>
              <w:tl2br w:val="nil"/>
              <w:tr2bl w:val="nil"/>
            </w:tcBorders>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Na</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p>
        </w:tc>
        <w:tc>
          <w:tcPr>
            <w:tcW w:w="1320" w:type="dxa"/>
            <w:tcBorders>
              <w:tl2br w:val="nil"/>
              <w:tr2bl w:val="nil"/>
            </w:tcBorders>
            <w:noWrap w:val="0"/>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0.010</w:t>
            </w:r>
          </w:p>
        </w:tc>
        <w:tc>
          <w:tcPr>
            <w:tcW w:w="1305" w:type="dxa"/>
            <w:tcBorders>
              <w:tl2br w:val="nil"/>
              <w:tr2bl w:val="nil"/>
            </w:tcBorders>
            <w:noWrap w:val="0"/>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0.030</w:t>
            </w:r>
          </w:p>
        </w:tc>
        <w:tc>
          <w:tcPr>
            <w:tcW w:w="1290" w:type="dxa"/>
            <w:tcBorders>
              <w:tl2br w:val="nil"/>
              <w:tr2bl w:val="nil"/>
            </w:tcBorders>
            <w:noWrap w:val="0"/>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7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335"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45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410" w:type="dxa"/>
            <w:tcBorders>
              <w:tl2br w:val="nil"/>
              <w:tr2bl w:val="nil"/>
            </w:tcBorders>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Al</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tc>
        <w:tc>
          <w:tcPr>
            <w:tcW w:w="1320" w:type="dxa"/>
            <w:tcBorders>
              <w:tl2br w:val="nil"/>
              <w:tr2bl w:val="nil"/>
            </w:tcBorders>
            <w:noWrap w:val="0"/>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0.010</w:t>
            </w:r>
          </w:p>
        </w:tc>
        <w:tc>
          <w:tcPr>
            <w:tcW w:w="1305" w:type="dxa"/>
            <w:tcBorders>
              <w:tl2br w:val="nil"/>
              <w:tr2bl w:val="nil"/>
            </w:tcBorders>
            <w:noWrap w:val="0"/>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0.010</w:t>
            </w:r>
          </w:p>
        </w:tc>
        <w:tc>
          <w:tcPr>
            <w:tcW w:w="1290" w:type="dxa"/>
            <w:tcBorders>
              <w:tl2br w:val="nil"/>
              <w:tr2bl w:val="nil"/>
            </w:tcBorders>
            <w:noWrap w:val="0"/>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7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335"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45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410" w:type="dxa"/>
            <w:tcBorders>
              <w:tl2br w:val="nil"/>
              <w:tr2bl w:val="nil"/>
            </w:tcBorders>
            <w:noWrap w:val="0"/>
            <w:vAlign w:val="center"/>
          </w:tcPr>
          <w:p>
            <w:pPr>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Cl</w:t>
            </w:r>
            <w:r>
              <w:rPr>
                <w:rFonts w:hint="eastAsia" w:ascii="宋体" w:hAnsi="宋体" w:eastAsia="宋体" w:cs="宋体"/>
                <w:color w:val="000000"/>
                <w:sz w:val="18"/>
                <w:szCs w:val="18"/>
                <w:vertAlign w:val="superscript"/>
                <w:lang w:val="en-US" w:eastAsia="zh-CN"/>
              </w:rPr>
              <w:t>-</w:t>
            </w:r>
          </w:p>
        </w:tc>
        <w:tc>
          <w:tcPr>
            <w:tcW w:w="1320" w:type="dxa"/>
            <w:tcBorders>
              <w:tl2br w:val="nil"/>
              <w:tr2bl w:val="nil"/>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0.0050</w:t>
            </w:r>
          </w:p>
        </w:tc>
        <w:tc>
          <w:tcPr>
            <w:tcW w:w="1305" w:type="dxa"/>
            <w:tcBorders>
              <w:tl2br w:val="nil"/>
              <w:tr2bl w:val="nil"/>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0.030</w:t>
            </w:r>
          </w:p>
        </w:tc>
        <w:tc>
          <w:tcPr>
            <w:tcW w:w="1290" w:type="dxa"/>
            <w:tcBorders>
              <w:tl2br w:val="nil"/>
              <w:tr2bl w:val="nil"/>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7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335"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45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410" w:type="dxa"/>
            <w:tcBorders>
              <w:tl2br w:val="nil"/>
              <w:tr2bl w:val="nil"/>
            </w:tcBorders>
            <w:noWrap w:val="0"/>
            <w:vAlign w:val="center"/>
          </w:tcPr>
          <w:p>
            <w:pPr>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SO</w:t>
            </w:r>
            <w:r>
              <w:rPr>
                <w:rFonts w:hint="eastAsia" w:ascii="宋体" w:hAnsi="宋体" w:eastAsia="宋体" w:cs="宋体"/>
                <w:color w:val="000000"/>
                <w:kern w:val="2"/>
                <w:sz w:val="18"/>
                <w:szCs w:val="18"/>
                <w:vertAlign w:val="subscript"/>
                <w:lang w:val="en-US" w:eastAsia="zh-CN" w:bidi="ar-SA"/>
              </w:rPr>
              <w:t>4</w:t>
            </w:r>
            <w:r>
              <w:rPr>
                <w:rFonts w:hint="eastAsia" w:ascii="宋体" w:hAnsi="宋体" w:eastAsia="宋体" w:cs="宋体"/>
                <w:color w:val="000000"/>
                <w:kern w:val="2"/>
                <w:sz w:val="18"/>
                <w:szCs w:val="18"/>
                <w:vertAlign w:val="superscript"/>
                <w:lang w:val="en-US" w:eastAsia="zh-CN" w:bidi="ar-SA"/>
              </w:rPr>
              <w:t>2-</w:t>
            </w:r>
          </w:p>
        </w:tc>
        <w:tc>
          <w:tcPr>
            <w:tcW w:w="1320" w:type="dxa"/>
            <w:tcBorders>
              <w:tl2br w:val="nil"/>
              <w:tr2bl w:val="nil"/>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0.020</w:t>
            </w:r>
          </w:p>
        </w:tc>
        <w:tc>
          <w:tcPr>
            <w:tcW w:w="1305" w:type="dxa"/>
            <w:tcBorders>
              <w:tl2br w:val="nil"/>
              <w:tr2bl w:val="nil"/>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0.030</w:t>
            </w:r>
          </w:p>
        </w:tc>
        <w:tc>
          <w:tcPr>
            <w:tcW w:w="1290" w:type="dxa"/>
            <w:tcBorders>
              <w:tl2br w:val="nil"/>
              <w:tr2bl w:val="nil"/>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7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335"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45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410" w:type="dxa"/>
            <w:tcBorders>
              <w:tl2br w:val="nil"/>
              <w:tr2bl w:val="nil"/>
            </w:tcBorders>
            <w:noWrap w:val="0"/>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Ni</w:t>
            </w:r>
            <w:r>
              <w:rPr>
                <w:rFonts w:hint="eastAsia" w:ascii="宋体" w:hAnsi="宋体" w:eastAsia="宋体" w:cs="宋体"/>
                <w:color w:val="000000"/>
                <w:sz w:val="18"/>
                <w:szCs w:val="18"/>
                <w:lang w:val="en-US" w:eastAsia="zh-CN"/>
              </w:rPr>
              <w:t>O</w:t>
            </w:r>
          </w:p>
        </w:tc>
        <w:tc>
          <w:tcPr>
            <w:tcW w:w="1320" w:type="dxa"/>
            <w:tcBorders>
              <w:tl2br w:val="nil"/>
              <w:tr2bl w:val="nil"/>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0.015</w:t>
            </w:r>
          </w:p>
        </w:tc>
        <w:tc>
          <w:tcPr>
            <w:tcW w:w="1305" w:type="dxa"/>
            <w:tcBorders>
              <w:tl2br w:val="nil"/>
              <w:tr2bl w:val="nil"/>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0.015</w:t>
            </w:r>
          </w:p>
        </w:tc>
        <w:tc>
          <w:tcPr>
            <w:tcW w:w="1290" w:type="dxa"/>
            <w:tcBorders>
              <w:tl2br w:val="nil"/>
              <w:tr2bl w:val="nil"/>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7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335"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450" w:type="dxa"/>
            <w:vMerge w:val="continue"/>
            <w:tcBorders>
              <w:tl2br w:val="nil"/>
              <w:tr2bl w:val="nil"/>
            </w:tcBorders>
            <w:noWrap w:val="0"/>
            <w:vAlign w:val="center"/>
          </w:tcPr>
          <w:p>
            <w:pPr>
              <w:pStyle w:val="9"/>
              <w:jc w:val="center"/>
              <w:rPr>
                <w:rFonts w:hint="eastAsia" w:ascii="宋体" w:hAnsi="宋体" w:eastAsia="宋体" w:cs="宋体"/>
                <w:sz w:val="18"/>
                <w:szCs w:val="18"/>
                <w:vertAlign w:val="baseline"/>
              </w:rPr>
            </w:pPr>
          </w:p>
        </w:tc>
        <w:tc>
          <w:tcPr>
            <w:tcW w:w="1410" w:type="dxa"/>
            <w:tcBorders>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其他非稀土</w:t>
            </w:r>
          </w:p>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杂质总和</w:t>
            </w:r>
          </w:p>
        </w:tc>
        <w:tc>
          <w:tcPr>
            <w:tcW w:w="1320" w:type="dxa"/>
            <w:tcBorders>
              <w:tl2br w:val="nil"/>
              <w:tr2bl w:val="nil"/>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0.010</w:t>
            </w:r>
          </w:p>
        </w:tc>
        <w:tc>
          <w:tcPr>
            <w:tcW w:w="1305" w:type="dxa"/>
            <w:tcBorders>
              <w:tl2br w:val="nil"/>
              <w:tr2bl w:val="nil"/>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0.010</w:t>
            </w:r>
          </w:p>
        </w:tc>
        <w:tc>
          <w:tcPr>
            <w:tcW w:w="1290" w:type="dxa"/>
            <w:tcBorders>
              <w:tl2br w:val="nil"/>
              <w:tr2bl w:val="nil"/>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0" w:type="dxa"/>
            <w:gridSpan w:val="7"/>
            <w:tcBorders>
              <w:tl2br w:val="nil"/>
              <w:tr2bl w:val="nil"/>
            </w:tcBorders>
            <w:noWrap w:val="0"/>
            <w:vAlign w:val="center"/>
          </w:tcPr>
          <w:p>
            <w:pPr>
              <w:tabs>
                <w:tab w:val="left" w:pos="837"/>
              </w:tabs>
              <w:ind w:firstLine="360" w:firstLineChars="20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注1：表中REO为灼烧后稀土总量。</w:t>
            </w:r>
          </w:p>
          <w:p>
            <w:pPr>
              <w:tabs>
                <w:tab w:val="left" w:pos="837"/>
              </w:tabs>
              <w:ind w:firstLine="360" w:firstLineChars="200"/>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注2：其他稀土杂质是指表中没有列出除Pm，Sc以外其他所有稀土元素。</w:t>
            </w:r>
          </w:p>
        </w:tc>
      </w:tr>
    </w:tbl>
    <w:p>
      <w:pPr>
        <w:spacing w:line="400" w:lineRule="exact"/>
        <w:jc w:val="both"/>
        <w:textAlignment w:val="baseline"/>
        <w:rPr>
          <w:rFonts w:hint="eastAsia" w:ascii="黑体" w:hAnsi="黑体" w:eastAsia="黑体" w:cs="黑体"/>
          <w:lang w:val="en-US" w:eastAsia="zh-CN"/>
        </w:rPr>
      </w:pPr>
    </w:p>
    <w:p>
      <w:pPr>
        <w:widowControl/>
        <w:numPr>
          <w:ilvl w:val="0"/>
          <w:numId w:val="3"/>
        </w:numPr>
        <w:adjustRightInd w:val="0"/>
        <w:snapToGrid w:val="0"/>
        <w:spacing w:beforeLines="50" w:afterLines="50" w:line="360" w:lineRule="auto"/>
        <w:outlineLvl w:val="0"/>
        <w:rPr>
          <w:rFonts w:hint="eastAsia" w:eastAsia="黑体"/>
          <w:sz w:val="24"/>
          <w:szCs w:val="24"/>
        </w:rPr>
      </w:pPr>
      <w:r>
        <w:rPr>
          <w:rFonts w:hint="eastAsia" w:eastAsia="黑体"/>
          <w:sz w:val="24"/>
          <w:szCs w:val="24"/>
        </w:rPr>
        <w:t>标准水平分析</w:t>
      </w:r>
    </w:p>
    <w:p>
      <w:pPr>
        <w:pStyle w:val="9"/>
        <w:adjustRightInd w:val="0"/>
        <w:snapToGrid w:val="0"/>
        <w:spacing w:line="360" w:lineRule="auto"/>
        <w:ind w:firstLine="420"/>
        <w:jc w:val="left"/>
        <w:rPr>
          <w:rFonts w:hint="eastAsia" w:ascii="Times New Roman" w:hAnsi="Times New Roman" w:cs="Times New Roman"/>
        </w:rPr>
      </w:pPr>
      <w:r>
        <w:rPr>
          <w:rFonts w:hint="eastAsia" w:ascii="Times New Roman" w:hAnsi="Times New Roman" w:cs="Times New Roman"/>
        </w:rPr>
        <w:t>随着下游产业的快速发展，氟化镨市场需求也与日俱增</w:t>
      </w:r>
      <w:r>
        <w:rPr>
          <w:rFonts w:hint="eastAsia" w:ascii="Times New Roman" w:hAnsi="Times New Roman" w:cs="Times New Roman"/>
          <w:lang w:eastAsia="zh-CN"/>
        </w:rPr>
        <w:t>，</w:t>
      </w:r>
      <w:r>
        <w:rPr>
          <w:rFonts w:hint="eastAsia" w:ascii="Times New Roman" w:hAnsi="Times New Roman" w:cs="Times New Roman"/>
        </w:rPr>
        <w:t>有必要建立相应的氟化镨产品行业标准，为生产方、用户、贸易方提供有效指导。</w:t>
      </w:r>
      <w:r>
        <w:rPr>
          <w:rFonts w:hint="eastAsia" w:ascii="Times New Roman" w:hAnsi="Times New Roman" w:cs="Times New Roman"/>
          <w:lang w:eastAsia="zh-CN"/>
        </w:rPr>
        <w:t>标准的制定有利于</w:t>
      </w:r>
      <w:r>
        <w:rPr>
          <w:rFonts w:hint="eastAsia" w:ascii="Times New Roman" w:hAnsi="Times New Roman" w:cs="Times New Roman"/>
        </w:rPr>
        <w:t>规范氟化镨产品市场，提升氟化镨产品质量，对国内生产企业及相关行业的技术进步将产生积极的推动作用。标准文本内容表述合理，格式规范，与现行法律、法规完全相符。目前，国际及国内无此产品标准。</w:t>
      </w:r>
    </w:p>
    <w:p>
      <w:pPr>
        <w:widowControl/>
        <w:spacing w:beforeLines="50" w:afterLines="50" w:line="360" w:lineRule="auto"/>
        <w:outlineLvl w:val="0"/>
        <w:rPr>
          <w:rFonts w:eastAsia="黑体"/>
          <w:kern w:val="0"/>
          <w:sz w:val="24"/>
          <w:szCs w:val="24"/>
        </w:rPr>
      </w:pPr>
      <w:r>
        <w:rPr>
          <w:rFonts w:hint="eastAsia" w:ascii="黑体" w:hAnsi="黑体" w:eastAsia="黑体" w:cs="黑体"/>
          <w:kern w:val="0"/>
          <w:sz w:val="24"/>
          <w:szCs w:val="24"/>
        </w:rPr>
        <w:t>五、与现行相关法律、法规、规章及相关标准，特别是强制性标准的协调性</w:t>
      </w:r>
    </w:p>
    <w:p>
      <w:pPr>
        <w:pStyle w:val="8"/>
        <w:keepNext w:val="0"/>
        <w:keepLines w:val="0"/>
        <w:pageBreakBefore w:val="0"/>
        <w:widowControl/>
        <w:kinsoku/>
        <w:wordWrap/>
        <w:overflowPunct/>
        <w:topLinePunct w:val="0"/>
        <w:autoSpaceDE/>
        <w:autoSpaceDN/>
        <w:bidi w:val="0"/>
        <w:adjustRightInd w:val="0"/>
        <w:snapToGrid w:val="0"/>
        <w:spacing w:beforeLines="50" w:afterLines="50" w:line="360" w:lineRule="auto"/>
        <w:ind w:firstLine="420" w:firstLineChars="200"/>
        <w:jc w:val="left"/>
        <w:textAlignment w:val="auto"/>
        <w:rPr>
          <w:rFonts w:hint="eastAsia" w:hAnsi="宋体" w:cs="宋体"/>
          <w:color w:val="000000"/>
          <w:szCs w:val="21"/>
        </w:rPr>
      </w:pPr>
      <w:r>
        <w:rPr>
          <w:rFonts w:hint="eastAsia" w:hAnsi="宋体"/>
          <w:szCs w:val="21"/>
        </w:rPr>
        <w:t>本标准与环保法及其他相关法律、法规无冲突，符合相关规定，确定能涵盖其特性及共性的技术内容。</w:t>
      </w:r>
    </w:p>
    <w:p>
      <w:pPr>
        <w:widowControl/>
        <w:spacing w:line="360" w:lineRule="auto"/>
        <w:outlineLvl w:val="0"/>
        <w:rPr>
          <w:rFonts w:hint="eastAsia" w:eastAsia="黑体"/>
          <w:kern w:val="0"/>
          <w:szCs w:val="21"/>
        </w:rPr>
      </w:pPr>
      <w:r>
        <w:rPr>
          <w:rFonts w:hint="eastAsia" w:ascii="黑体" w:hAnsi="黑体" w:eastAsia="黑体" w:cs="黑体"/>
          <w:kern w:val="0"/>
          <w:sz w:val="24"/>
          <w:szCs w:val="24"/>
        </w:rPr>
        <w:t>六、标准中如涉及专利，应有明确的知识产权说明</w:t>
      </w:r>
      <w:r>
        <w:rPr>
          <w:rFonts w:ascii="黑体" w:hAnsi="黑体" w:eastAsia="黑体" w:cs="黑体"/>
          <w:kern w:val="0"/>
          <w:sz w:val="24"/>
          <w:szCs w:val="24"/>
        </w:rPr>
        <w:t xml:space="preserve"> </w:t>
      </w:r>
    </w:p>
    <w:p>
      <w:pPr>
        <w:widowControl/>
        <w:spacing w:before="120" w:line="360" w:lineRule="auto"/>
        <w:ind w:firstLine="420" w:firstLineChars="200"/>
        <w:jc w:val="left"/>
        <w:rPr>
          <w:rFonts w:hint="eastAsia"/>
          <w:szCs w:val="21"/>
        </w:rPr>
      </w:pPr>
      <w:r>
        <w:rPr>
          <w:rFonts w:hint="eastAsia" w:hAnsi="宋体"/>
          <w:szCs w:val="21"/>
        </w:rPr>
        <w:t>本标准制定过程中，没有检索到专利和知识产权问题。</w:t>
      </w:r>
    </w:p>
    <w:p>
      <w:pPr>
        <w:widowControl/>
        <w:spacing w:beforeLines="50" w:afterLines="50" w:line="360" w:lineRule="auto"/>
        <w:outlineLvl w:val="0"/>
        <w:rPr>
          <w:rFonts w:ascii="黑体" w:hAnsi="黑体" w:eastAsia="黑体" w:cs="黑体"/>
          <w:kern w:val="0"/>
          <w:sz w:val="24"/>
          <w:szCs w:val="24"/>
        </w:rPr>
      </w:pPr>
      <w:r>
        <w:rPr>
          <w:rFonts w:hint="eastAsia" w:ascii="黑体" w:hAnsi="黑体" w:eastAsia="黑体" w:cs="黑体"/>
          <w:kern w:val="0"/>
          <w:sz w:val="24"/>
          <w:szCs w:val="24"/>
        </w:rPr>
        <w:t>七、重大分歧意见的处理经过和依据</w:t>
      </w:r>
      <w:r>
        <w:rPr>
          <w:rFonts w:ascii="黑体" w:hAnsi="黑体" w:eastAsia="黑体" w:cs="黑体"/>
          <w:kern w:val="0"/>
          <w:sz w:val="24"/>
          <w:szCs w:val="24"/>
        </w:rPr>
        <w:t xml:space="preserve"> </w:t>
      </w:r>
    </w:p>
    <w:p>
      <w:pPr>
        <w:widowControl/>
        <w:spacing w:line="360" w:lineRule="auto"/>
        <w:ind w:firstLine="420" w:firstLineChars="200"/>
        <w:rPr>
          <w:kern w:val="0"/>
          <w:szCs w:val="21"/>
        </w:rPr>
      </w:pPr>
      <w:r>
        <w:rPr>
          <w:rFonts w:hint="eastAsia"/>
          <w:kern w:val="0"/>
          <w:szCs w:val="21"/>
        </w:rPr>
        <w:t>暂无重大分歧意见。</w:t>
      </w:r>
    </w:p>
    <w:p>
      <w:pPr>
        <w:widowControl/>
        <w:spacing w:beforeLines="50" w:afterLines="50" w:line="360" w:lineRule="auto"/>
        <w:outlineLvl w:val="0"/>
        <w:rPr>
          <w:rFonts w:ascii="黑体" w:hAnsi="黑体" w:eastAsia="黑体" w:cs="黑体"/>
          <w:kern w:val="0"/>
          <w:sz w:val="24"/>
          <w:szCs w:val="24"/>
        </w:rPr>
      </w:pPr>
      <w:r>
        <w:rPr>
          <w:rFonts w:hint="eastAsia" w:ascii="黑体" w:hAnsi="黑体" w:eastAsia="黑体" w:cs="黑体"/>
          <w:kern w:val="0"/>
          <w:sz w:val="24"/>
          <w:szCs w:val="24"/>
        </w:rPr>
        <w:t>八、标准作为强制性或推荐性国家（或行业）标准的建议</w:t>
      </w:r>
      <w:r>
        <w:rPr>
          <w:rFonts w:ascii="黑体" w:hAnsi="黑体" w:eastAsia="黑体" w:cs="黑体"/>
          <w:kern w:val="0"/>
          <w:sz w:val="24"/>
          <w:szCs w:val="24"/>
        </w:rPr>
        <w:t xml:space="preserve"> </w:t>
      </w:r>
    </w:p>
    <w:p>
      <w:pPr>
        <w:widowControl/>
        <w:spacing w:line="360" w:lineRule="auto"/>
        <w:ind w:firstLine="420" w:firstLineChars="200"/>
        <w:rPr>
          <w:rFonts w:eastAsia="黑体"/>
          <w:kern w:val="0"/>
          <w:szCs w:val="21"/>
        </w:rPr>
      </w:pPr>
      <w:r>
        <w:rPr>
          <w:rFonts w:hint="eastAsia"/>
          <w:kern w:val="0"/>
          <w:szCs w:val="21"/>
        </w:rPr>
        <w:t>本标准是根据我国实际生产使用情况制定的，其整体内容达到国际先进水平，建议作为推荐性行业标准来制定。</w:t>
      </w:r>
    </w:p>
    <w:p>
      <w:pPr>
        <w:widowControl/>
        <w:spacing w:beforeLines="50" w:afterLines="50" w:line="360" w:lineRule="auto"/>
        <w:outlineLvl w:val="0"/>
        <w:rPr>
          <w:rFonts w:ascii="黑体" w:hAnsi="黑体" w:eastAsia="黑体" w:cs="黑体"/>
          <w:kern w:val="0"/>
          <w:sz w:val="24"/>
          <w:szCs w:val="24"/>
        </w:rPr>
      </w:pPr>
      <w:r>
        <w:rPr>
          <w:rFonts w:hint="eastAsia" w:ascii="黑体" w:hAnsi="黑体" w:eastAsia="黑体" w:cs="黑体"/>
          <w:kern w:val="0"/>
          <w:sz w:val="24"/>
          <w:szCs w:val="24"/>
        </w:rPr>
        <w:t>九、贯彻标准的要求和措施建议，包括：</w:t>
      </w:r>
    </w:p>
    <w:p>
      <w:pPr>
        <w:widowControl/>
        <w:spacing w:line="360" w:lineRule="auto"/>
        <w:rPr>
          <w:kern w:val="0"/>
          <w:szCs w:val="21"/>
        </w:rPr>
      </w:pPr>
      <w:r>
        <w:rPr>
          <w:rFonts w:hint="eastAsia"/>
          <w:kern w:val="0"/>
          <w:szCs w:val="21"/>
        </w:rPr>
        <w:t>——组织措施</w:t>
      </w:r>
    </w:p>
    <w:p>
      <w:pPr>
        <w:widowControl/>
        <w:spacing w:line="360" w:lineRule="auto"/>
        <w:rPr>
          <w:kern w:val="0"/>
          <w:szCs w:val="21"/>
        </w:rPr>
      </w:pPr>
      <w:r>
        <w:rPr>
          <w:rFonts w:hint="eastAsia"/>
          <w:kern w:val="0"/>
          <w:szCs w:val="21"/>
        </w:rPr>
        <w:t>标准颁布实施后，需要国家有关部门组织大力宣传和贯彻，使相关企业及相关贸易单位能够主动地解读标准内容，充分认识和理解制订的标准条款，进而加以应用。</w:t>
      </w:r>
    </w:p>
    <w:p>
      <w:pPr>
        <w:widowControl/>
        <w:spacing w:line="360" w:lineRule="auto"/>
        <w:rPr>
          <w:kern w:val="0"/>
          <w:szCs w:val="21"/>
        </w:rPr>
      </w:pPr>
      <w:r>
        <w:rPr>
          <w:rFonts w:hint="eastAsia"/>
          <w:kern w:val="0"/>
          <w:szCs w:val="21"/>
        </w:rPr>
        <w:t>——技术措施</w:t>
      </w:r>
    </w:p>
    <w:p>
      <w:pPr>
        <w:pStyle w:val="8"/>
        <w:adjustRightInd w:val="0"/>
        <w:snapToGrid w:val="0"/>
        <w:spacing w:beforeLines="50" w:afterLines="50" w:line="360" w:lineRule="auto"/>
        <w:ind w:firstLine="0"/>
        <w:jc w:val="left"/>
        <w:rPr>
          <w:rFonts w:hint="eastAsia" w:ascii="黑体" w:hAnsi="宋体" w:eastAsia="黑体"/>
          <w:bCs/>
          <w:lang w:val="en-US" w:eastAsia="zh-CN"/>
        </w:rPr>
      </w:pPr>
      <w:r>
        <w:rPr>
          <w:rFonts w:hint="eastAsia"/>
          <w:kern w:val="0"/>
          <w:szCs w:val="21"/>
        </w:rPr>
        <w:t>该标准综合产品用途及工艺方式，确定了各技术指标。相关企业参照使用本标准时，应对氟化钇的特性有充分的了解，应认真解读该产品标准。</w:t>
      </w:r>
    </w:p>
    <w:p>
      <w:pPr>
        <w:widowControl/>
        <w:spacing w:beforeLines="50" w:afterLines="50" w:line="360" w:lineRule="auto"/>
        <w:outlineLvl w:val="0"/>
        <w:rPr>
          <w:rFonts w:ascii="黑体" w:hAnsi="黑体" w:eastAsia="黑体" w:cs="黑体"/>
          <w:kern w:val="0"/>
          <w:sz w:val="24"/>
          <w:szCs w:val="24"/>
        </w:rPr>
      </w:pPr>
      <w:r>
        <w:rPr>
          <w:rFonts w:hint="eastAsia" w:ascii="黑体" w:hAnsi="黑体" w:eastAsia="黑体" w:cs="黑体"/>
          <w:kern w:val="0"/>
          <w:sz w:val="24"/>
          <w:szCs w:val="24"/>
        </w:rPr>
        <w:t>十、废止现行有关标准的建议</w:t>
      </w:r>
    </w:p>
    <w:p>
      <w:pPr>
        <w:widowControl/>
        <w:spacing w:beforeLines="50" w:afterLines="50" w:line="360" w:lineRule="auto"/>
        <w:ind w:firstLine="420" w:firstLineChars="200"/>
        <w:rPr>
          <w:rFonts w:ascii="黑体" w:hAnsi="黑体" w:eastAsia="黑体" w:cs="黑体"/>
          <w:kern w:val="0"/>
          <w:sz w:val="24"/>
          <w:szCs w:val="24"/>
        </w:rPr>
      </w:pPr>
      <w:r>
        <w:rPr>
          <w:rFonts w:hint="eastAsia" w:hAnsi="宋体"/>
          <w:szCs w:val="21"/>
        </w:rPr>
        <w:t>本标准为国内首次制定。</w:t>
      </w:r>
    </w:p>
    <w:p>
      <w:pPr>
        <w:widowControl/>
        <w:spacing w:beforeLines="50" w:afterLines="50" w:line="360" w:lineRule="auto"/>
        <w:outlineLvl w:val="0"/>
        <w:rPr>
          <w:rFonts w:ascii="黑体" w:hAnsi="黑体" w:eastAsia="黑体" w:cs="黑体"/>
          <w:kern w:val="0"/>
          <w:sz w:val="24"/>
          <w:szCs w:val="24"/>
        </w:rPr>
      </w:pPr>
      <w:r>
        <w:rPr>
          <w:rFonts w:hint="eastAsia" w:ascii="黑体" w:hAnsi="黑体" w:eastAsia="黑体" w:cs="黑体"/>
          <w:kern w:val="0"/>
          <w:sz w:val="24"/>
          <w:szCs w:val="24"/>
        </w:rPr>
        <w:t>十一、其他应予说明的事项</w:t>
      </w:r>
    </w:p>
    <w:p>
      <w:pPr>
        <w:widowControl/>
        <w:spacing w:beforeLines="50" w:afterLines="50" w:line="360" w:lineRule="auto"/>
        <w:rPr>
          <w:rFonts w:ascii="黑体" w:hAnsi="黑体" w:eastAsia="黑体" w:cs="黑体"/>
          <w:kern w:val="0"/>
          <w:sz w:val="24"/>
          <w:szCs w:val="24"/>
        </w:rPr>
      </w:pPr>
      <w:r>
        <w:rPr>
          <w:rFonts w:hint="eastAsia" w:ascii="黑体" w:hAnsi="黑体" w:eastAsia="黑体" w:cs="黑体"/>
          <w:kern w:val="0"/>
          <w:sz w:val="24"/>
          <w:szCs w:val="24"/>
        </w:rPr>
        <w:t xml:space="preserve">    无。</w:t>
      </w:r>
    </w:p>
    <w:p>
      <w:pPr>
        <w:widowControl/>
        <w:tabs>
          <w:tab w:val="left" w:pos="1260"/>
        </w:tabs>
        <w:spacing w:beforeLines="50" w:afterLines="50" w:line="360" w:lineRule="auto"/>
        <w:outlineLvl w:val="0"/>
        <w:rPr>
          <w:rFonts w:ascii="黑体" w:hAnsi="黑体" w:eastAsia="黑体" w:cs="黑体"/>
          <w:kern w:val="0"/>
          <w:sz w:val="24"/>
          <w:szCs w:val="24"/>
        </w:rPr>
      </w:pPr>
      <w:r>
        <w:rPr>
          <w:rFonts w:hint="eastAsia" w:ascii="黑体" w:hAnsi="黑体" w:eastAsia="黑体" w:cs="黑体"/>
          <w:kern w:val="0"/>
          <w:sz w:val="24"/>
          <w:szCs w:val="24"/>
        </w:rPr>
        <w:t xml:space="preserve">十二、产业化情况、推广应用论证和预期达到的经济效果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随着下游产业的快速发展，氟化镨市场需求也与日俱增。查阅相关文献资料，国内外没有相关标准。为了规范氟化镨产品市场，提升氟化镨产品质量，有必要建立相应的氟化镨产品行业标准，为生产方、用户、贸易方提供有效指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rPr>
      </w:pPr>
    </w:p>
    <w:p>
      <w:pPr>
        <w:spacing w:line="360" w:lineRule="auto"/>
        <w:ind w:left="4095" w:hanging="4095" w:hangingChars="1950"/>
        <w:jc w:val="right"/>
        <w:rPr>
          <w:szCs w:val="21"/>
        </w:rPr>
      </w:pPr>
      <w:r>
        <w:rPr>
          <w:rFonts w:hint="eastAsia"/>
          <w:szCs w:val="21"/>
        </w:rPr>
        <w:t xml:space="preserve">  虔东稀土集团股份有限公司       </w:t>
      </w:r>
    </w:p>
    <w:p>
      <w:pPr>
        <w:spacing w:line="360" w:lineRule="auto"/>
        <w:ind w:firstLine="4935" w:firstLineChars="2350"/>
        <w:rPr>
          <w:szCs w:val="21"/>
        </w:rPr>
      </w:pPr>
      <w:r>
        <w:rPr>
          <w:szCs w:val="21"/>
        </w:rPr>
        <w:t xml:space="preserve">       </w:t>
      </w:r>
      <w:r>
        <w:rPr>
          <w:rFonts w:hint="eastAsia"/>
          <w:szCs w:val="21"/>
        </w:rPr>
        <w:t xml:space="preserve">     二0二0年</w:t>
      </w:r>
      <w:r>
        <w:rPr>
          <w:rFonts w:hint="eastAsia"/>
          <w:szCs w:val="21"/>
          <w:lang w:eastAsia="zh-CN"/>
        </w:rPr>
        <w:t>三</w:t>
      </w:r>
      <w:r>
        <w:rPr>
          <w:rFonts w:hint="eastAsia"/>
          <w:szCs w:val="21"/>
        </w:rPr>
        <w:t>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rPr>
      </w:pPr>
    </w:p>
    <w:p>
      <w:pPr>
        <w:spacing w:line="360" w:lineRule="auto"/>
        <w:ind w:firstLine="420" w:firstLineChars="200"/>
        <w:rPr>
          <w:rFonts w:hint="eastAsia" w:hAnsi="宋体"/>
          <w:szCs w:val="21"/>
        </w:rPr>
      </w:pPr>
    </w:p>
    <w:p>
      <w:pPr>
        <w:pStyle w:val="8"/>
        <w:adjustRightInd w:val="0"/>
        <w:snapToGrid w:val="0"/>
        <w:spacing w:beforeLines="50" w:afterLines="50" w:line="360" w:lineRule="auto"/>
        <w:ind w:firstLine="0"/>
        <w:jc w:val="left"/>
        <w:rPr>
          <w:rFonts w:hint="default"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Tahoma"/>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rPr>
          <w:rFonts w:hint="eastAsia" w:cs="Tahoma"/>
          <w:sz w:val="18"/>
          <w:szCs w:val="18"/>
        </w:rPr>
      </w:pPr>
    </w:p>
    <w:p>
      <w:pPr>
        <w:rPr>
          <w:rFonts w:hint="eastAsia" w:cs="Tahoma"/>
          <w:sz w:val="18"/>
          <w:szCs w:val="18"/>
        </w:rPr>
      </w:pPr>
    </w:p>
    <w:p>
      <w:pPr>
        <w:rPr>
          <w:rFonts w:hint="eastAsia" w:ascii="黑体" w:hAnsi="黑体" w:eastAsia="黑体"/>
          <w:sz w:val="32"/>
          <w:szCs w:val="32"/>
        </w:rPr>
      </w:pPr>
    </w:p>
    <w:p>
      <w:pPr>
        <w:pStyle w:val="8"/>
        <w:adjustRightInd w:val="0"/>
        <w:snapToGrid w:val="0"/>
        <w:spacing w:before="156" w:beforeLines="50" w:after="156" w:afterLines="50" w:line="360" w:lineRule="auto"/>
        <w:ind w:firstLine="0"/>
        <w:jc w:val="left"/>
        <w:rPr>
          <w:rFonts w:ascii="黑体" w:hAnsi="黑体" w:eastAsia="黑体" w:cs="黑体"/>
        </w:rPr>
      </w:pPr>
    </w:p>
    <w:p>
      <w:pPr>
        <w:pStyle w:val="7"/>
        <w:adjustRightInd w:val="0"/>
        <w:snapToGrid w:val="0"/>
        <w:spacing w:line="360" w:lineRule="auto"/>
        <w:rPr>
          <w:rFonts w:ascii="Times New Roman" w:hAnsi="Times New Roman" w:eastAsia="黑体" w:cs="Times New Roman"/>
          <w:sz w:val="24"/>
          <w:szCs w:val="24"/>
        </w:rPr>
      </w:pPr>
    </w:p>
    <w:p>
      <w:pPr>
        <w:pStyle w:val="3"/>
        <w:rPr>
          <w:rFonts w:ascii="宋体" w:hAnsi="宋体" w:eastAsia="宋体" w:cs="Tahom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B396BF"/>
    <w:multiLevelType w:val="singleLevel"/>
    <w:tmpl w:val="8BB396BF"/>
    <w:lvl w:ilvl="0" w:tentative="0">
      <w:start w:val="4"/>
      <w:numFmt w:val="chineseCounting"/>
      <w:suff w:val="nothing"/>
      <w:lvlText w:val="%1、"/>
      <w:lvlJc w:val="left"/>
      <w:rPr>
        <w:rFonts w:hint="eastAsia"/>
      </w:rPr>
    </w:lvl>
  </w:abstractNum>
  <w:abstractNum w:abstractNumId="1">
    <w:nsid w:val="57340E3A"/>
    <w:multiLevelType w:val="multilevel"/>
    <w:tmpl w:val="57340E3A"/>
    <w:lvl w:ilvl="0" w:tentative="0">
      <w:start w:val="1"/>
      <w:numFmt w:val="chineseCounting"/>
      <w:suff w:val="nothing"/>
      <w:lvlText w:val="%1、"/>
      <w:lvlJc w:val="left"/>
      <w:rPr>
        <w:rFonts w:hint="default" w:ascii="Times New Roman" w:hAnsi="Times New Roman" w:cs="Times New Roman"/>
      </w:rPr>
    </w:lvl>
    <w:lvl w:ilvl="1" w:tentative="0">
      <w:start w:val="3"/>
      <w:numFmt w:val="japaneseCounting"/>
      <w:lvlText w:val="%2、"/>
      <w:lvlJc w:val="left"/>
      <w:pPr>
        <w:ind w:left="1560" w:hanging="480"/>
      </w:pPr>
      <w:rPr>
        <w:rFonts w:hint="default"/>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6E89BBE2"/>
    <w:multiLevelType w:val="singleLevel"/>
    <w:tmpl w:val="6E89BBE2"/>
    <w:lvl w:ilvl="0" w:tentative="0">
      <w:start w:val="1"/>
      <w:numFmt w:val="decimal"/>
      <w:suff w:val="nothing"/>
      <w:lvlText w:val="（%1）"/>
      <w:lvlJc w:val="left"/>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95"/>
    <w:rsid w:val="00020A4C"/>
    <w:rsid w:val="00131C58"/>
    <w:rsid w:val="001A6395"/>
    <w:rsid w:val="001F44DC"/>
    <w:rsid w:val="00314E30"/>
    <w:rsid w:val="003E525D"/>
    <w:rsid w:val="005D4B1B"/>
    <w:rsid w:val="005D6F4D"/>
    <w:rsid w:val="00603FED"/>
    <w:rsid w:val="00676339"/>
    <w:rsid w:val="00705EF4"/>
    <w:rsid w:val="0075017A"/>
    <w:rsid w:val="00781CF1"/>
    <w:rsid w:val="0091568B"/>
    <w:rsid w:val="009D5175"/>
    <w:rsid w:val="009E52BC"/>
    <w:rsid w:val="00BF5944"/>
    <w:rsid w:val="00C86DEF"/>
    <w:rsid w:val="00CD0E3D"/>
    <w:rsid w:val="00CD595B"/>
    <w:rsid w:val="00CE550F"/>
    <w:rsid w:val="00DB4463"/>
    <w:rsid w:val="00F15D2E"/>
    <w:rsid w:val="02474C02"/>
    <w:rsid w:val="03424D03"/>
    <w:rsid w:val="041449AB"/>
    <w:rsid w:val="049A5F6F"/>
    <w:rsid w:val="0FB70478"/>
    <w:rsid w:val="16F655C2"/>
    <w:rsid w:val="1C533DDF"/>
    <w:rsid w:val="1EBC624B"/>
    <w:rsid w:val="1F3124C7"/>
    <w:rsid w:val="20721F89"/>
    <w:rsid w:val="20BA1770"/>
    <w:rsid w:val="29545E59"/>
    <w:rsid w:val="2D434B4C"/>
    <w:rsid w:val="316B6294"/>
    <w:rsid w:val="31D06125"/>
    <w:rsid w:val="3763370F"/>
    <w:rsid w:val="3D02680E"/>
    <w:rsid w:val="3D19437D"/>
    <w:rsid w:val="3DC64DA0"/>
    <w:rsid w:val="401B003B"/>
    <w:rsid w:val="420C2EB4"/>
    <w:rsid w:val="42FF0232"/>
    <w:rsid w:val="45204EFC"/>
    <w:rsid w:val="4C6C0CF9"/>
    <w:rsid w:val="4D1C5987"/>
    <w:rsid w:val="4D4C3E6A"/>
    <w:rsid w:val="4DA623F4"/>
    <w:rsid w:val="585D1B19"/>
    <w:rsid w:val="59193E80"/>
    <w:rsid w:val="594B52D7"/>
    <w:rsid w:val="5A6E7408"/>
    <w:rsid w:val="603D0A92"/>
    <w:rsid w:val="62AB0092"/>
    <w:rsid w:val="6A5F6440"/>
    <w:rsid w:val="6C294A67"/>
    <w:rsid w:val="6DFC4BCC"/>
    <w:rsid w:val="6F0B7346"/>
    <w:rsid w:val="73EA308B"/>
    <w:rsid w:val="764059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Normal (Web)"/>
    <w:basedOn w:val="1"/>
    <w:unhideWhenUsed/>
    <w:qFormat/>
    <w:uiPriority w:val="99"/>
    <w:pPr>
      <w:widowControl/>
      <w:spacing w:before="100" w:beforeAutospacing="1" w:after="100" w:afterAutospacing="1"/>
      <w:jc w:val="left"/>
    </w:pPr>
    <w:rPr>
      <w:rFonts w:ascii="微软雅黑" w:hAnsi="微软雅黑" w:eastAsia="微软雅黑" w:cs="宋体"/>
      <w:kern w:val="0"/>
      <w:sz w:val="24"/>
      <w:szCs w:val="24"/>
    </w:rPr>
  </w:style>
  <w:style w:type="table" w:styleId="5">
    <w:name w:val="Table Grid"/>
    <w:basedOn w:val="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p16"/>
    <w:basedOn w:val="1"/>
    <w:qFormat/>
    <w:uiPriority w:val="99"/>
    <w:pPr>
      <w:widowControl/>
    </w:pPr>
    <w:rPr>
      <w:rFonts w:ascii="Calibri" w:hAnsi="Calibri" w:cs="宋体"/>
      <w:kern w:val="0"/>
      <w:szCs w:val="21"/>
    </w:rPr>
  </w:style>
  <w:style w:type="paragraph" w:customStyle="1" w:styleId="8">
    <w:name w:val="p15"/>
    <w:basedOn w:val="1"/>
    <w:qFormat/>
    <w:uiPriority w:val="99"/>
    <w:pPr>
      <w:widowControl/>
      <w:ind w:firstLine="420"/>
    </w:pPr>
    <w:rPr>
      <w:rFonts w:ascii="Calibri" w:hAnsi="Calibri" w:cs="宋体"/>
      <w:kern w:val="0"/>
      <w:szCs w:val="21"/>
    </w:rPr>
  </w:style>
  <w:style w:type="paragraph" w:customStyle="1" w:styleId="9">
    <w:name w:val="p0"/>
    <w:basedOn w:val="1"/>
    <w:qFormat/>
    <w:uiPriority w:val="0"/>
    <w:rPr>
      <w:rFonts w:ascii="Calibri" w:hAnsi="Calibri" w:cs="宋体"/>
      <w:szCs w:val="21"/>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p17"/>
    <w:basedOn w:val="1"/>
    <w:qFormat/>
    <w:uiPriority w:val="0"/>
    <w:pPr>
      <w:widowControl/>
      <w:ind w:firstLine="420"/>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81</Words>
  <Characters>463</Characters>
  <Lines>3</Lines>
  <Paragraphs>1</Paragraphs>
  <TotalTime>2</TotalTime>
  <ScaleCrop>false</ScaleCrop>
  <LinksUpToDate>false</LinksUpToDate>
  <CharactersWithSpaces>543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2019-09-25T08:36:00Z</dcterms:created>
  <dc:creator>Administrator</dc:creator>
  <cp:lastModifiedBy>谢新星</cp:lastModifiedBy>
  <dcterms:modified xsi:type="dcterms:W3CDTF">2020-08-18T08:30:47Z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