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</w:pPr>
      <w:r>
        <w:rPr>
          <w:rFonts w:ascii="Times New Roman"/>
        </w:rPr>
        <w:t>ICS</w:t>
      </w:r>
      <w:r>
        <w:t> </w:t>
      </w:r>
      <w:r>
        <w:rPr>
          <w:rFonts w:hint="eastAsia"/>
        </w:rPr>
        <w:t>77.040</w:t>
      </w:r>
    </w:p>
    <w:p>
      <w:pPr>
        <w:pStyle w:val="41"/>
      </w:pPr>
      <w:r>
        <w:rPr>
          <w:rFonts w:hint="eastAsia"/>
        </w:rPr>
        <w:t>H17</w:t>
      </w:r>
    </w:p>
    <w:tbl>
      <w:tblPr>
        <w:tblStyle w:val="7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41"/>
            </w:pPr>
            <w:r>
              <w:pict>
                <v:rect id="BAH" o:spid="_x0000_s1031" o:spt="1" style="position:absolute;left:0pt;margin-left:-5.25pt;margin-top:0pt;height:15.6pt;width:68.25pt;z-index:-2516510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</v:rect>
              </w:pict>
            </w:r>
          </w:p>
        </w:tc>
      </w:tr>
    </w:tbl>
    <w:p>
      <w:pPr>
        <w:pStyle w:val="31"/>
        <w:framePr w:w="5892" w:h="1523" w:hRule="exact" w:vAnchor="page" w:hAnchor="page" w:x="4996" w:y="816"/>
        <w:jc w:val="left"/>
      </w:pPr>
      <w:r>
        <w:rPr>
          <w:rFonts w:hint="eastAsia"/>
        </w:rPr>
        <w:t>T/</w:t>
      </w:r>
      <w:r>
        <w:t>CNIA</w:t>
      </w:r>
    </w:p>
    <w:p>
      <w:pPr>
        <w:pStyle w:val="38"/>
      </w:pPr>
      <w:r>
        <w:rPr>
          <w:rFonts w:hint="eastAsia"/>
        </w:rPr>
        <w:t>团体标准</w:t>
      </w:r>
    </w:p>
    <w:p>
      <w:pPr>
        <w:pStyle w:val="21"/>
        <w:wordWrap w:val="0"/>
      </w:pPr>
      <w:r>
        <w:rPr>
          <w:rFonts w:ascii="Times New Roman"/>
        </w:rPr>
        <w:t>T</w:t>
      </w:r>
      <w:r>
        <w:rPr>
          <w:rFonts w:hint="eastAsia" w:ascii="Times New Roman"/>
        </w:rPr>
        <w:t>/</w:t>
      </w:r>
      <w:r>
        <w:rPr>
          <w:rFonts w:ascii="Times New Roman"/>
        </w:rPr>
        <w:t>CNIA</w:t>
      </w:r>
      <w:r>
        <w:rPr>
          <w:rFonts w:hint="eastAsia" w:ascii="Times New Roman"/>
        </w:rPr>
        <w:t xml:space="preserve"> </w:t>
      </w:r>
      <w:r>
        <w:rPr>
          <w:rFonts w:hint="eastAsia" w:hAnsi="黑体"/>
        </w:rPr>
        <w:t>XXXX-</w:t>
      </w:r>
      <w:r>
        <w:rPr>
          <w:rFonts w:hAnsi="黑体"/>
        </w:rPr>
        <w:t>XXXX</w:t>
      </w:r>
    </w:p>
    <w:tbl>
      <w:tblPr>
        <w:tblStyle w:val="7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33"/>
            </w:pPr>
            <w:r>
              <w:pict>
                <v:rect id="DT" o:spid="_x0000_s1028" o:spt="1" style="position:absolute;left:0pt;margin-left:372.8pt;margin-top:2.7pt;height:18pt;width:90pt;z-index:-2516541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</v:rect>
              </w:pict>
            </w:r>
          </w:p>
        </w:tc>
      </w:tr>
    </w:tbl>
    <w:p>
      <w:pPr>
        <w:pStyle w:val="21"/>
      </w:pPr>
    </w:p>
    <w:p>
      <w:pPr>
        <w:pStyle w:val="21"/>
      </w:pPr>
    </w:p>
    <w:p>
      <w:pPr>
        <w:pStyle w:val="34"/>
        <w:rPr>
          <w:rFonts w:hint="default" w:eastAsia="黑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多晶硅生产用氢气金属杂质的测定</w:t>
      </w:r>
    </w:p>
    <w:tbl>
      <w:tblPr>
        <w:tblStyle w:val="7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36"/>
              <w:rPr>
                <w:rFonts w:hint="eastAsia" w:ascii="黑体" w:hAnsi="黑体" w:eastAsia="黑体"/>
                <w:sz w:val="52"/>
                <w:szCs w:val="52"/>
                <w:lang w:val="en-US" w:eastAsia="zh-CN"/>
              </w:rPr>
            </w:pPr>
            <w:r>
              <w:rPr>
                <w:rFonts w:hint="eastAsia" w:ascii="黑体" w:hAnsi="黑体" w:eastAsia="黑体"/>
                <w:sz w:val="52"/>
                <w:szCs w:val="52"/>
                <w:lang w:val="en-US" w:eastAsia="zh-CN"/>
              </w:rPr>
              <w:t>电感耦合等离子体质谱法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37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讨论稿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45"/>
        <w:numPr>
          <w:ilvl w:val="0"/>
          <w:numId w:val="0"/>
        </w:numPr>
      </w:pPr>
      <w:r>
        <w:rPr>
          <w:rFonts w:hint="eastAsia" w:ascii="黑体"/>
        </w:rPr>
        <w:t>XXXX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rPr>
          <w:rFonts w:ascii="黑体"/>
        </w:rPr>
        <w:t>-</w:t>
      </w:r>
      <w:r>
        <w:rPr>
          <w:rFonts w:hint="eastAsia" w:ascii="黑体"/>
        </w:rPr>
        <w:t>XX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46"/>
      </w:pPr>
      <w:r>
        <w:rPr>
          <w:rFonts w:hint="eastAsia" w:ascii="黑体"/>
        </w:rPr>
        <w:t>XXXX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rPr>
          <w:rFonts w:ascii="黑体"/>
        </w:rPr>
        <w:t>-</w:t>
      </w:r>
      <w:r>
        <w:rPr>
          <w:rFonts w:hint="eastAsia" w:ascii="黑体"/>
        </w:rPr>
        <w:t>XX</w:t>
      </w:r>
      <w:r>
        <w:rPr>
          <w:rFonts w:hint="eastAsia"/>
        </w:rPr>
        <w:t>实施</w:t>
      </w:r>
    </w:p>
    <w:p>
      <w:pPr>
        <w:pStyle w:val="39"/>
        <w:framePr w:w="6460" w:h="1170" w:hRule="exact" w:x="2647" w:y="14863"/>
      </w:pPr>
      <w:r>
        <w:rPr>
          <w:rFonts w:hint="eastAsia"/>
        </w:rPr>
        <w:t>中国有色金属工业协会</w:t>
      </w:r>
    </w:p>
    <w:p>
      <w:pPr>
        <w:pStyle w:val="39"/>
        <w:framePr w:w="6460" w:h="1170" w:hRule="exact" w:x="2647" w:y="14863"/>
      </w:pPr>
      <w:r>
        <w:rPr>
          <w:rFonts w:hint="eastAsia"/>
        </w:rPr>
        <w:t>中国有色金属学会</w:t>
      </w:r>
    </w:p>
    <w:p>
      <w:pPr>
        <w:pStyle w:val="14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shape id="_x0000_s1033" o:spid="_x0000_s1033" o:spt="202" type="#_x0000_t202" style="position:absolute;left:0pt;margin-left:347.6pt;margin-top:712.05pt;height:36pt;width:48.15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pict>
          <v:line id="_x0000_s1027" o:spid="_x0000_s1027" o:spt="20" style="position:absolute;left:0pt;margin-left:-0.05pt;margin-top:184.25pt;height:0pt;width:481.9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40"/>
      </w:pPr>
      <w:r>
        <w:rPr>
          <w:rFonts w:hint="eastAsia"/>
        </w:rPr>
        <w:t>前</w:t>
      </w:r>
      <w:bookmarkStart w:id="0" w:name="BKQY"/>
      <w:r>
        <w:t>  </w:t>
      </w:r>
      <w:r>
        <w:rPr>
          <w:rFonts w:hint="eastAsia"/>
        </w:rPr>
        <w:t>言</w:t>
      </w:r>
      <w:bookmarkEnd w:id="0"/>
    </w:p>
    <w:p>
      <w:pPr>
        <w:ind w:firstLine="420" w:firstLineChars="200"/>
        <w:rPr>
          <w:rFonts w:ascii="宋体"/>
          <w:color w:val="000000" w:themeColor="text1"/>
        </w:rPr>
      </w:pPr>
      <w:r>
        <w:rPr>
          <w:rFonts w:hint="eastAsia" w:ascii="宋体"/>
          <w:color w:val="000000" w:themeColor="text1"/>
        </w:rPr>
        <w:t>本标准按GB/T 1.1-2009给出的规则起草。</w:t>
      </w:r>
    </w:p>
    <w:p>
      <w:pPr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/>
          <w:color w:val="000000" w:themeColor="text1"/>
        </w:rPr>
        <w:t>本标准</w:t>
      </w:r>
      <w:r>
        <w:rPr>
          <w:rFonts w:hint="eastAsia" w:ascii="宋体" w:hAnsi="宋体"/>
          <w:color w:val="000000" w:themeColor="text1"/>
        </w:rPr>
        <w:t>由全国有色金属标准化技术委员会（SAC/TC 243）归口。</w:t>
      </w:r>
    </w:p>
    <w:p>
      <w:pPr>
        <w:ind w:firstLine="420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/>
          <w:color w:val="000000" w:themeColor="text1"/>
        </w:rPr>
        <w:t>本标准起草单位：</w:t>
      </w:r>
      <w:r>
        <w:rPr>
          <w:rFonts w:hint="eastAsia"/>
          <w:color w:val="000000" w:themeColor="text1"/>
          <w:lang w:val="en-US" w:eastAsia="zh-CN"/>
        </w:rPr>
        <w:t>内蒙古通威高纯晶硅有限公司</w:t>
      </w:r>
    </w:p>
    <w:p>
      <w:pPr>
        <w:pStyle w:val="47"/>
      </w:pPr>
      <w:r>
        <w:rPr>
          <w:rFonts w:hint="eastAsia"/>
          <w:color w:val="000000" w:themeColor="text1"/>
        </w:rPr>
        <w:t>本标准主要起草人</w:t>
      </w:r>
      <w:r>
        <w:rPr>
          <w:rFonts w:hint="eastAsia"/>
        </w:rPr>
        <w:t>：</w:t>
      </w:r>
    </w:p>
    <w:p>
      <w:pPr>
        <w:tabs>
          <w:tab w:val="left" w:pos="854"/>
        </w:tabs>
        <w:ind w:left="840" w:hanging="420"/>
        <w:rPr>
          <w:rFonts w:ascii="宋体"/>
          <w:kern w:val="0"/>
          <w:szCs w:val="20"/>
        </w:rPr>
      </w:pPr>
    </w:p>
    <w:p>
      <w:pPr>
        <w:pStyle w:val="14"/>
      </w:pPr>
    </w:p>
    <w:p>
      <w:pPr>
        <w:pStyle w:val="14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21"/>
        <w:bidi w:val="0"/>
        <w:jc w:val="center"/>
      </w:pPr>
      <w:bookmarkStart w:id="1" w:name="StandardName"/>
      <w:r>
        <w:rPr>
          <w:rFonts w:hint="eastAsia"/>
          <w:lang w:val="en-US" w:eastAsia="zh-CN"/>
        </w:rPr>
        <w:t>多晶硅生产用氢气金属杂质的测定</w:t>
      </w:r>
      <w:r>
        <w:rPr>
          <w:rFonts w:hint="eastAsia"/>
        </w:rPr>
        <w:t xml:space="preserve"> 电感耦合等离子体质谱法</w:t>
      </w:r>
      <w:bookmarkEnd w:id="1"/>
    </w:p>
    <w:p>
      <w:pPr>
        <w:widowControl/>
        <w:autoSpaceDE w:val="0"/>
        <w:autoSpaceDN w:val="0"/>
        <w:ind w:firstLine="422" w:firstLineChars="200"/>
        <w:rPr>
          <w:rFonts w:ascii="黑体" w:eastAsia="黑体"/>
          <w:b/>
          <w:color w:val="000000" w:themeColor="text1"/>
          <w:szCs w:val="21"/>
        </w:rPr>
      </w:pPr>
      <w:r>
        <w:rPr>
          <w:rFonts w:hint="eastAsia" w:ascii="黑体" w:eastAsia="黑体"/>
          <w:b/>
          <w:color w:val="000000" w:themeColor="text1"/>
          <w:szCs w:val="21"/>
        </w:rPr>
        <w:t xml:space="preserve">警告——使用本标准的人员应有正规实验室工作的实践经验。本标准并未指出所有可能的安全问题。使用者有责任采取适当的安全和健康措施，并保证符合国家有关法规规定的条件。 </w:t>
      </w:r>
    </w:p>
    <w:p>
      <w:pPr>
        <w:spacing w:before="312" w:beforeLines="100" w:after="312" w:afterLines="100"/>
        <w:rPr>
          <w:rFonts w:hint="eastAsia" w:ascii="黑体" w:hAnsi="黑体" w:eastAsia="黑体"/>
          <w:color w:val="000000" w:themeColor="text1"/>
          <w:szCs w:val="21"/>
        </w:rPr>
      </w:pPr>
    </w:p>
    <w:p>
      <w:pPr>
        <w:spacing w:before="312" w:beforeLines="100" w:after="312" w:afterLines="100"/>
        <w:rPr>
          <w:rFonts w:ascii="黑体" w:hAnsi="黑体" w:eastAsia="黑体"/>
          <w:color w:val="000000" w:themeColor="text1"/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</w:rPr>
        <w:t>1  范围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 xml:space="preserve">    本标准规定了用电感耦合等离子体质谱仪（</w:t>
      </w:r>
      <w:r>
        <w:rPr>
          <w:color w:val="000000" w:themeColor="text1"/>
        </w:rPr>
        <w:t>ICP-MS</w:t>
      </w:r>
      <w:r>
        <w:rPr>
          <w:rFonts w:hint="eastAsia" w:ascii="宋体" w:hAnsi="宋体"/>
          <w:color w:val="000000" w:themeColor="text1"/>
        </w:rPr>
        <w:t>）测定</w:t>
      </w:r>
      <w:r>
        <w:rPr>
          <w:rFonts w:hint="eastAsia" w:ascii="宋体" w:hAnsi="宋体"/>
          <w:color w:val="000000" w:themeColor="text1"/>
          <w:lang w:val="en-US" w:eastAsia="zh-CN"/>
        </w:rPr>
        <w:t>多晶硅生产用氢气中</w:t>
      </w:r>
      <w:r>
        <w:rPr>
          <w:rFonts w:hint="eastAsia" w:ascii="宋体" w:hAnsi="宋体"/>
          <w:color w:val="000000" w:themeColor="text1"/>
        </w:rPr>
        <w:t>钠、镁、铝、钙、铬、锰、铁、镍、铜、锌</w:t>
      </w:r>
      <w:r>
        <w:rPr>
          <w:rFonts w:hint="eastAsia"/>
          <w:color w:val="000000" w:themeColor="text1"/>
          <w:szCs w:val="21"/>
        </w:rPr>
        <w:t>元素</w:t>
      </w:r>
      <w:r>
        <w:rPr>
          <w:rFonts w:hint="eastAsia" w:ascii="宋体" w:hAnsi="宋体"/>
          <w:color w:val="000000" w:themeColor="text1"/>
        </w:rPr>
        <w:t>含量的分析方法。</w:t>
      </w:r>
    </w:p>
    <w:p>
      <w:pPr>
        <w:ind w:firstLine="405"/>
        <w:rPr>
          <w:rFonts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本标准适用于</w:t>
      </w:r>
      <w:r>
        <w:rPr>
          <w:rFonts w:hint="eastAsia" w:ascii="宋体" w:hAnsi="宋体"/>
          <w:color w:val="000000" w:themeColor="text1"/>
          <w:lang w:val="en-US" w:eastAsia="zh-CN"/>
        </w:rPr>
        <w:t>氢气</w:t>
      </w:r>
      <w:r>
        <w:rPr>
          <w:rFonts w:hint="eastAsia" w:ascii="宋体" w:hAnsi="宋体"/>
          <w:color w:val="000000" w:themeColor="text1"/>
        </w:rPr>
        <w:t>中钠、镁、铝、钙、铬、锰、铁、镍、铜、锌</w:t>
      </w:r>
      <w:r>
        <w:rPr>
          <w:rFonts w:hint="eastAsia"/>
          <w:color w:val="000000" w:themeColor="text1"/>
          <w:szCs w:val="21"/>
        </w:rPr>
        <w:t>元素</w:t>
      </w:r>
      <w:r>
        <w:rPr>
          <w:rFonts w:hint="eastAsia" w:ascii="宋体" w:hAnsi="宋体"/>
          <w:color w:val="000000" w:themeColor="text1"/>
        </w:rPr>
        <w:t>含量的测定。各元素测定范围</w:t>
      </w:r>
      <w:r>
        <w:rPr>
          <w:color w:val="000000"/>
          <w:kern w:val="0"/>
          <w:sz w:val="22"/>
          <w:szCs w:val="22"/>
          <w:lang w:bidi="ar"/>
        </w:rPr>
        <w:t>0.01</w:t>
      </w:r>
      <w:r>
        <w:rPr>
          <w:rFonts w:hint="eastAsia"/>
          <w:color w:val="000000" w:themeColor="text1"/>
          <w:szCs w:val="21"/>
        </w:rPr>
        <w:t>n</w:t>
      </w:r>
      <w:r>
        <w:rPr>
          <w:color w:val="000000" w:themeColor="text1"/>
          <w:szCs w:val="21"/>
        </w:rPr>
        <w:t>g/</w:t>
      </w:r>
      <w:r>
        <w:rPr>
          <w:rFonts w:hint="eastAsia"/>
          <w:color w:val="000000" w:themeColor="text1"/>
          <w:szCs w:val="21"/>
        </w:rPr>
        <w:t>g</w:t>
      </w:r>
      <w:r>
        <w:rPr>
          <w:color w:val="000000"/>
          <w:kern w:val="0"/>
          <w:sz w:val="22"/>
          <w:szCs w:val="22"/>
          <w:lang w:bidi="ar"/>
        </w:rPr>
        <w:t>~</w:t>
      </w:r>
      <w:r>
        <w:rPr>
          <w:rFonts w:hint="eastAsia"/>
          <w:color w:val="000000"/>
          <w:kern w:val="0"/>
          <w:sz w:val="22"/>
          <w:szCs w:val="22"/>
          <w:lang w:val="en-US" w:eastAsia="zh-CN" w:bidi="ar"/>
        </w:rPr>
        <w:t>10</w:t>
      </w:r>
      <w:r>
        <w:rPr>
          <w:color w:val="000000"/>
          <w:kern w:val="0"/>
          <w:sz w:val="22"/>
          <w:szCs w:val="22"/>
          <w:lang w:bidi="ar"/>
        </w:rPr>
        <w:t>0</w:t>
      </w:r>
      <w:r>
        <w:rPr>
          <w:rFonts w:hint="eastAsia"/>
          <w:color w:val="000000" w:themeColor="text1"/>
          <w:szCs w:val="21"/>
        </w:rPr>
        <w:t>n</w:t>
      </w:r>
      <w:r>
        <w:rPr>
          <w:color w:val="000000" w:themeColor="text1"/>
          <w:szCs w:val="21"/>
        </w:rPr>
        <w:t>g/</w:t>
      </w:r>
      <w:r>
        <w:rPr>
          <w:rFonts w:hint="eastAsia"/>
          <w:color w:val="000000" w:themeColor="text1"/>
          <w:szCs w:val="21"/>
        </w:rPr>
        <w:t>g</w:t>
      </w:r>
      <w:r>
        <w:rPr>
          <w:rFonts w:hAnsi="宋体"/>
          <w:color w:val="000000" w:themeColor="text1"/>
        </w:rPr>
        <w:t>。</w:t>
      </w:r>
    </w:p>
    <w:p>
      <w:pPr>
        <w:spacing w:before="312" w:beforeLines="100" w:after="312" w:afterLines="100"/>
        <w:rPr>
          <w:rFonts w:ascii="黑体" w:hAnsi="黑体" w:eastAsia="黑体"/>
          <w:color w:val="000000" w:themeColor="text1"/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</w:rPr>
        <w:t>2  规范性引用文件</w:t>
      </w:r>
    </w:p>
    <w:p>
      <w:pPr>
        <w:ind w:firstLine="420" w:firstLine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下列文件对于本文件的应用是必不可少的。凡是注日期的引用文件，仅所注日期的版本适用于本文件。凡是不注日期的引用文件，其最新版本（包括所有的修改单）适用于本文件。 </w:t>
      </w:r>
    </w:p>
    <w:p>
      <w:pPr>
        <w:ind w:firstLine="420" w:firstLineChars="200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GB/T 3723 工业用化学产品采样安全通则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GB/T 4842 氩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GB /T 11446.1 电子级水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GB /T 25915.1 </w:t>
      </w:r>
      <w:r>
        <w:rPr>
          <w:color w:val="000000" w:themeColor="text1"/>
        </w:rPr>
        <w:t>洁净室及相关受控环境　第1部分：空气洁净度等级</w:t>
      </w:r>
    </w:p>
    <w:p>
      <w:pPr>
        <w:spacing w:before="312" w:beforeLines="100" w:after="312" w:afterLines="100"/>
        <w:rPr>
          <w:rFonts w:ascii="黑体" w:hAnsi="黑体" w:eastAsia="黑体"/>
          <w:color w:val="000000" w:themeColor="text1"/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</w:rPr>
        <w:t>3  原理</w:t>
      </w:r>
    </w:p>
    <w:p>
      <w:pPr>
        <w:ind w:firstLine="420" w:firstLineChars="200"/>
        <w:rPr>
          <w:rFonts w:hint="default"/>
          <w:color w:val="000000" w:themeColor="text1"/>
          <w:szCs w:val="21"/>
          <w:lang w:val="en-US"/>
        </w:rPr>
      </w:pPr>
      <w:r>
        <w:rPr>
          <w:rFonts w:hint="eastAsia"/>
          <w:color w:val="000000" w:themeColor="text1"/>
          <w:szCs w:val="21"/>
          <w:lang w:val="en-US" w:eastAsia="zh-CN"/>
        </w:rPr>
        <w:t>气体中金属元素通过洗气瓶中的吸收液进行吸收和富集，吸收液由载气（高纯氩）引入雾化系统进行雾化，以气溶胶形式进入等离子体，在高温和惰性气体中被去溶剂化、汽化解离和电离，转化成带正电的正离子，经离子采集系统进入质谱仪，质谱仪根据质荷比进行分离，根据元素质谱峰强度测定样品中相应元素的含量。</w:t>
      </w:r>
    </w:p>
    <w:p>
      <w:pPr>
        <w:spacing w:before="312" w:beforeLines="100" w:after="312" w:afterLines="100"/>
        <w:rPr>
          <w:rFonts w:ascii="黑体" w:hAnsi="黑体" w:eastAsia="黑体"/>
          <w:color w:val="000000" w:themeColor="text1"/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  <w:lang w:val="en-US" w:eastAsia="zh-CN"/>
        </w:rPr>
        <w:t>4</w:t>
      </w:r>
      <w:r>
        <w:rPr>
          <w:rFonts w:hint="eastAsia" w:ascii="黑体" w:hAnsi="黑体" w:eastAsia="黑体"/>
          <w:color w:val="000000" w:themeColor="text1"/>
          <w:szCs w:val="21"/>
        </w:rPr>
        <w:t xml:space="preserve">  试剂和材料</w:t>
      </w:r>
    </w:p>
    <w:p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4</w:t>
      </w:r>
      <w:r>
        <w:rPr>
          <w:rFonts w:hint="eastAsia"/>
          <w:color w:val="000000" w:themeColor="text1"/>
          <w:szCs w:val="21"/>
        </w:rPr>
        <w:t xml:space="preserve">.1  </w:t>
      </w:r>
      <w:r>
        <w:rPr>
          <w:rFonts w:hint="eastAsia"/>
          <w:color w:val="000000" w:themeColor="text1"/>
          <w:szCs w:val="21"/>
          <w:lang w:val="en-US" w:eastAsia="zh-CN"/>
        </w:rPr>
        <w:t>试验用水</w:t>
      </w:r>
      <w:r>
        <w:rPr>
          <w:rFonts w:hint="eastAsia"/>
          <w:color w:val="000000" w:themeColor="text1"/>
          <w:szCs w:val="21"/>
        </w:rPr>
        <w:t>：符合</w:t>
      </w:r>
      <w:r>
        <w:rPr>
          <w:color w:val="000000" w:themeColor="text1"/>
        </w:rPr>
        <w:t xml:space="preserve">GB /T </w:t>
      </w:r>
      <w:r>
        <w:rPr>
          <w:rFonts w:hint="eastAsia"/>
          <w:color w:val="000000" w:themeColor="text1"/>
        </w:rPr>
        <w:t>11446.1中EW-Ⅰ级</w:t>
      </w:r>
      <w:r>
        <w:rPr>
          <w:rFonts w:hint="eastAsia"/>
          <w:color w:val="000000" w:themeColor="text1"/>
          <w:lang w:val="en-US" w:eastAsia="zh-CN"/>
        </w:rPr>
        <w:t>的要求</w:t>
      </w:r>
      <w:r>
        <w:rPr>
          <w:rFonts w:hint="eastAsia"/>
          <w:color w:val="000000" w:themeColor="text1"/>
          <w:szCs w:val="21"/>
        </w:rPr>
        <w:t xml:space="preserve">。 </w:t>
      </w:r>
    </w:p>
    <w:p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 xml:space="preserve">4.2 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  <w:lang w:val="en-US" w:eastAsia="zh-CN"/>
        </w:rPr>
        <w:t>盐酸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  <w:lang w:val="en-US" w:eastAsia="zh-CN"/>
        </w:rPr>
        <w:t>金属杂质</w:t>
      </w:r>
      <w:r>
        <w:rPr>
          <w:color w:val="000000" w:themeColor="text1"/>
          <w:szCs w:val="21"/>
        </w:rPr>
        <w:t>含量低于</w:t>
      </w:r>
      <w:r>
        <w:rPr>
          <w:rFonts w:hint="eastAsia"/>
          <w:color w:val="000000" w:themeColor="text1"/>
          <w:szCs w:val="21"/>
        </w:rPr>
        <w:t>0.0</w:t>
      </w:r>
      <w:r>
        <w:rPr>
          <w:color w:val="000000" w:themeColor="text1"/>
          <w:szCs w:val="21"/>
        </w:rPr>
        <w:t>1 μg/L</w:t>
      </w:r>
      <w:r>
        <w:rPr>
          <w:rFonts w:hint="eastAsia"/>
          <w:color w:val="000000" w:themeColor="text1"/>
          <w:szCs w:val="21"/>
        </w:rPr>
        <w:t>。</w:t>
      </w:r>
    </w:p>
    <w:p>
      <w:pPr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4.3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  <w:lang w:val="en-US" w:eastAsia="zh-CN"/>
        </w:rPr>
        <w:t xml:space="preserve"> 盐酸</w:t>
      </w:r>
      <w:r>
        <w:rPr>
          <w:rFonts w:hint="eastAsia"/>
          <w:color w:val="000000" w:themeColor="text1"/>
          <w:szCs w:val="21"/>
        </w:rPr>
        <w:t>溶液</w:t>
      </w:r>
      <w:r>
        <w:rPr>
          <w:rFonts w:hint="eastAsia"/>
          <w:color w:val="000000" w:themeColor="text1"/>
          <w:szCs w:val="21"/>
          <w:lang w:eastAsia="zh-CN"/>
        </w:rPr>
        <w:t>（</w:t>
      </w:r>
      <w:r>
        <w:rPr>
          <w:rFonts w:hint="eastAsia"/>
          <w:color w:val="000000" w:themeColor="text1"/>
          <w:szCs w:val="21"/>
          <w:lang w:val="en-US" w:eastAsia="zh-CN"/>
        </w:rPr>
        <w:t>5+95</w:t>
      </w:r>
      <w:r>
        <w:rPr>
          <w:rFonts w:hint="eastAsia"/>
          <w:color w:val="000000" w:themeColor="text1"/>
          <w:szCs w:val="21"/>
          <w:lang w:eastAsia="zh-CN"/>
        </w:rPr>
        <w:t>）。</w:t>
      </w:r>
    </w:p>
    <w:p>
      <w:pPr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4.4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  <w:lang w:val="en-US" w:eastAsia="zh-CN"/>
        </w:rPr>
        <w:t>盐酸</w:t>
      </w:r>
      <w:r>
        <w:rPr>
          <w:rFonts w:hint="eastAsia"/>
          <w:color w:val="000000" w:themeColor="text1"/>
          <w:szCs w:val="21"/>
        </w:rPr>
        <w:t>溶液</w:t>
      </w:r>
      <w:r>
        <w:rPr>
          <w:rFonts w:hint="eastAsia"/>
          <w:color w:val="000000" w:themeColor="text1"/>
          <w:szCs w:val="21"/>
          <w:lang w:eastAsia="zh-CN"/>
        </w:rPr>
        <w:t>（</w:t>
      </w:r>
      <w:r>
        <w:rPr>
          <w:rFonts w:hint="eastAsia"/>
          <w:color w:val="000000" w:themeColor="text1"/>
          <w:szCs w:val="21"/>
          <w:lang w:val="en-US" w:eastAsia="zh-CN"/>
        </w:rPr>
        <w:t>1+9</w:t>
      </w:r>
      <w:r>
        <w:rPr>
          <w:rFonts w:hint="eastAsia"/>
          <w:color w:val="000000" w:themeColor="text1"/>
          <w:szCs w:val="21"/>
          <w:lang w:eastAsia="zh-CN"/>
        </w:rPr>
        <w:t>）。</w:t>
      </w:r>
    </w:p>
    <w:p>
      <w:pPr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4.5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  <w:lang w:val="en-US" w:eastAsia="zh-CN"/>
        </w:rPr>
        <w:t>混合标准溶液：各金属元素浓度1ug/g。</w:t>
      </w:r>
    </w:p>
    <w:p>
      <w:pPr>
        <w:rPr>
          <w:rFonts w:hint="eastAsia" w:eastAsia="宋体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4.6  高纯氩：符合GB/T4842的要求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  <w:lang w:eastAsia="zh-CN"/>
        </w:rPr>
        <w:t>。</w:t>
      </w:r>
    </w:p>
    <w:p>
      <w:pPr>
        <w:rPr>
          <w:rFonts w:hint="default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4.7  吸收瓶：500mL,PFA材质（可熔性聚四氟乙烯或全氟烷氧基共聚物）。</w:t>
      </w:r>
    </w:p>
    <w:p>
      <w:pPr>
        <w:spacing w:before="312" w:beforeLines="100" w:after="312" w:afterLines="100"/>
        <w:rPr>
          <w:rFonts w:ascii="黑体" w:hAnsi="黑体" w:eastAsia="黑体"/>
          <w:color w:val="000000" w:themeColor="text1"/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  <w:lang w:val="en-US" w:eastAsia="zh-CN"/>
        </w:rPr>
        <w:t xml:space="preserve">5 </w:t>
      </w:r>
      <w:r>
        <w:rPr>
          <w:rFonts w:hint="eastAsia" w:ascii="黑体" w:hAnsi="黑体" w:eastAsia="黑体"/>
          <w:color w:val="000000" w:themeColor="text1"/>
          <w:szCs w:val="21"/>
        </w:rPr>
        <w:t xml:space="preserve"> 试验设备</w:t>
      </w:r>
    </w:p>
    <w:p>
      <w:pPr>
        <w:rPr>
          <w:rFonts w:hint="eastAsia" w:ascii="黑体" w:hAnsi="黑体" w:eastAsia="黑体" w:cs="黑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color w:val="000000" w:themeColor="text1"/>
          <w:szCs w:val="21"/>
        </w:rPr>
        <w:t>.1  电感耦合等离子体质谱仪。</w:t>
      </w:r>
    </w:p>
    <w:p>
      <w:pPr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 xml:space="preserve">     质量分辨率（0.5-1.2）amu，可调。</w:t>
      </w:r>
    </w:p>
    <w:p>
      <w:pP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  <w:t>5.2  气体流量计</w:t>
      </w:r>
    </w:p>
    <w:p>
      <w:pPr>
        <w:rPr>
          <w:rFonts w:hint="default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 xml:space="preserve">     用流量计测量不溶于水的气体样品的吸收量。流量测定范围：1L/h-10L/h</w:t>
      </w:r>
    </w:p>
    <w:p>
      <w:pPr>
        <w:spacing w:before="312" w:beforeLines="100" w:after="312" w:afterLines="100"/>
        <w:rPr>
          <w:rFonts w:hint="eastAsia" w:ascii="黑体" w:hAnsi="黑体" w:eastAsia="黑体"/>
          <w:color w:val="000000" w:themeColor="text1"/>
          <w:szCs w:val="21"/>
          <w:lang w:eastAsia="zh-CN"/>
        </w:rPr>
      </w:pPr>
      <w:r>
        <w:rPr>
          <w:rFonts w:hint="eastAsia" w:ascii="黑体" w:hAnsi="黑体" w:eastAsia="黑体"/>
          <w:color w:val="000000" w:themeColor="text1"/>
          <w:szCs w:val="21"/>
          <w:lang w:val="en-US" w:eastAsia="zh-CN"/>
        </w:rPr>
        <w:t>6</w:t>
      </w:r>
      <w:r>
        <w:rPr>
          <w:rFonts w:hint="eastAsia" w:ascii="黑体" w:hAnsi="黑体" w:eastAsia="黑体"/>
          <w:color w:val="000000" w:themeColor="text1"/>
          <w:szCs w:val="21"/>
        </w:rPr>
        <w:t xml:space="preserve">  </w:t>
      </w:r>
      <w:r>
        <w:rPr>
          <w:rFonts w:hint="eastAsia" w:ascii="黑体" w:hAnsi="黑体" w:eastAsia="黑体"/>
          <w:color w:val="000000" w:themeColor="text1"/>
          <w:szCs w:val="21"/>
          <w:lang w:val="en-US" w:eastAsia="zh-CN"/>
        </w:rPr>
        <w:t>实验条件</w:t>
      </w:r>
    </w:p>
    <w:p>
      <w:pPr>
        <w:spacing w:before="156" w:beforeLines="50" w:after="156" w:afterLines="50"/>
        <w:rPr>
          <w:rFonts w:hint="eastAsia" w:ascii="黑体" w:hAnsi="黑体" w:eastAsia="黑体"/>
          <w:color w:val="000000" w:themeColor="text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lang w:val="en-US" w:eastAsia="zh-CN"/>
        </w:rPr>
        <w:t>6</w:t>
      </w:r>
      <w:r>
        <w:rPr>
          <w:rFonts w:hint="eastAsia" w:ascii="黑体" w:hAnsi="黑体" w:eastAsia="黑体"/>
          <w:color w:val="000000" w:themeColor="text1"/>
        </w:rPr>
        <w:t xml:space="preserve">.1  </w:t>
      </w:r>
      <w:r>
        <w:rPr>
          <w:rFonts w:hint="eastAsia" w:ascii="黑体" w:hAnsi="黑体" w:eastAsia="黑体"/>
          <w:color w:val="000000" w:themeColor="text1"/>
          <w:lang w:val="en-US" w:eastAsia="zh-CN"/>
        </w:rPr>
        <w:t>环境</w:t>
      </w:r>
    </w:p>
    <w:p>
      <w:pPr>
        <w:spacing w:before="156" w:beforeLines="50" w:after="156" w:afterLines="50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溶液的配制、稀释均应在洁净度为千级的洁净室或者洁净台内进行。</w:t>
      </w:r>
    </w:p>
    <w:p>
      <w:pPr>
        <w:spacing w:before="156" w:beforeLines="50" w:after="156" w:afterLines="50"/>
        <w:rPr>
          <w:rFonts w:hint="eastAsia" w:ascii="黑体" w:hAnsi="黑体" w:eastAsia="黑体" w:cs="黑体"/>
          <w:color w:val="000000" w:themeColor="text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</w:rPr>
        <w:t>6.2  器皿</w:t>
      </w:r>
    </w:p>
    <w:p>
      <w:pPr>
        <w:spacing w:before="156" w:beforeLines="50" w:after="156" w:afterLines="50"/>
        <w:rPr>
          <w:rFonts w:hint="default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 xml:space="preserve">     全部器皿在使用前均应在盐酸（4.4）溶液中浸泡24h以上，并经检测金属杂质含量低于0.1</w:t>
      </w:r>
      <w:r>
        <w:rPr>
          <w:color w:val="000000" w:themeColor="text1"/>
          <w:szCs w:val="21"/>
        </w:rPr>
        <w:t xml:space="preserve"> μg/L</w:t>
      </w:r>
      <w:r>
        <w:rPr>
          <w:rFonts w:hint="eastAsia"/>
          <w:color w:val="000000" w:themeColor="text1"/>
          <w:szCs w:val="21"/>
        </w:rPr>
        <w:t>。</w:t>
      </w:r>
    </w:p>
    <w:p>
      <w:pPr>
        <w:spacing w:before="156" w:beforeLines="50" w:after="156" w:afterLines="50"/>
        <w:rPr>
          <w:rFonts w:hint="eastAsia"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 xml:space="preserve">7  </w:t>
      </w:r>
      <w:r>
        <w:rPr>
          <w:rFonts w:hint="eastAsia" w:ascii="黑体" w:hAnsi="黑体" w:eastAsia="黑体"/>
          <w:color w:val="000000" w:themeColor="text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 w:themeColor="text1"/>
        </w:rPr>
        <w:t>样品制备</w:t>
      </w:r>
    </w:p>
    <w:p>
      <w:pPr>
        <w:spacing w:before="156" w:beforeLines="50" w:after="156" w:afterLines="50"/>
        <w:rPr>
          <w:rFonts w:hint="eastAsia" w:ascii="黑体" w:hAnsi="黑体" w:eastAsia="黑体"/>
          <w:color w:val="000000" w:themeColor="text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lang w:val="en-US" w:eastAsia="zh-CN"/>
        </w:rPr>
        <w:t>7.1  采样</w:t>
      </w:r>
    </w:p>
    <w:p>
      <w:pPr>
        <w:spacing w:before="156" w:beforeLines="50" w:after="156" w:afterLines="50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 xml:space="preserve"> 采样口应长时间吹扫置换，保证无其他灰尘等颗粒物，采样管线应使用PFA材质，采样管线尽可能短，管径应尽可能小。采样管路连接完成后应确保采样系统无泄漏。</w:t>
      </w:r>
    </w:p>
    <w:p>
      <w:pPr>
        <w:spacing w:before="156" w:beforeLines="50" w:after="156" w:afterLines="50"/>
        <w:rPr>
          <w:rFonts w:hint="eastAsia" w:ascii="黑体" w:hAnsi="黑体" w:eastAsia="黑体" w:cs="黑体"/>
          <w:color w:val="000000" w:themeColor="text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</w:rPr>
        <w:t>7.2  安全要求</w:t>
      </w:r>
    </w:p>
    <w:p>
      <w:pPr>
        <w:spacing w:before="156" w:beforeLines="50" w:after="156" w:afterLines="50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 xml:space="preserve">      采样中的安全要求应符合GB/T 3723中的规定。</w:t>
      </w:r>
    </w:p>
    <w:p>
      <w:pPr>
        <w:spacing w:before="156" w:beforeLines="50" w:after="156" w:afterLines="50"/>
        <w:rPr>
          <w:rFonts w:hint="eastAsia" w:ascii="黑体" w:hAnsi="黑体" w:eastAsia="黑体" w:cs="黑体"/>
          <w:color w:val="000000" w:themeColor="text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</w:rPr>
        <w:t>7.3   样品的吸收</w:t>
      </w:r>
    </w:p>
    <w:p>
      <w:pPr>
        <w:spacing w:before="156" w:beforeLines="50" w:after="156" w:afterLines="50"/>
        <w:rPr>
          <w:rFonts w:hint="eastAsia" w:ascii="黑体" w:hAnsi="黑体" w:eastAsia="黑体" w:cs="黑体"/>
          <w:color w:val="000000" w:themeColor="text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</w:rPr>
        <w:t>7.3.1 吸收系统</w:t>
      </w:r>
    </w:p>
    <w:p>
      <w:pPr>
        <w:spacing w:before="156" w:beforeLines="50" w:after="156" w:afterLines="50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采样系统流程图如图1所示，在采样管线上连接500mL吸收瓶及气体流量计。在采样管线与吸收瓶连接前，先用高纯氩气对采样管线进行吹扫，确保采样管线对检测结果影响降到最小。</w:t>
      </w:r>
    </w:p>
    <w:p>
      <w:pPr>
        <w:spacing w:before="156" w:beforeLines="50" w:after="156" w:afterLines="50"/>
        <w:rPr>
          <w:rFonts w:hint="eastAsia" w:ascii="黑体" w:hAnsi="黑体" w:eastAsia="黑体" w:cs="黑体"/>
          <w:color w:val="000000" w:themeColor="text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color w:val="000000" w:themeColor="text1"/>
          <w:lang w:val="en-US" w:eastAsia="zh-CN"/>
        </w:rPr>
        <w:drawing>
          <wp:inline distT="0" distB="0" distL="114300" distR="114300">
            <wp:extent cx="4321175" cy="1892300"/>
            <wp:effectExtent l="0" t="0" r="9525" b="0"/>
            <wp:docPr id="2" name="图片 2" descr="无标题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无标题12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图1</w:t>
      </w:r>
    </w:p>
    <w:p>
      <w:pPr>
        <w:spacing w:before="156" w:beforeLines="50" w:after="156" w:afterLines="50"/>
        <w:rPr>
          <w:rFonts w:hint="eastAsia" w:ascii="黑体" w:hAnsi="黑体" w:eastAsia="黑体" w:cs="黑体"/>
          <w:color w:val="000000" w:themeColor="text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</w:rPr>
        <w:t>7.3.2 样品的吸收</w:t>
      </w:r>
    </w:p>
    <w:p>
      <w:pPr>
        <w:spacing w:before="156" w:beforeLines="50" w:after="156" w:afterLines="50"/>
        <w:ind w:firstLine="630" w:firstLineChars="300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用盐酸溶液（4.3）作为吸收液，调节样品气流量为0.5L/min，通气量应不低于60L，由气体流量计计量。若样品中金属杂质含量较低，则应适当增加通气量。</w:t>
      </w:r>
    </w:p>
    <w:p>
      <w:pPr>
        <w:spacing w:before="156" w:beforeLines="50" w:after="156" w:afterLines="50"/>
        <w:rPr>
          <w:rFonts w:hint="eastAsia" w:ascii="黑体" w:hAnsi="黑体" w:eastAsia="黑体" w:cs="黑体"/>
          <w:color w:val="000000" w:themeColor="text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</w:rPr>
        <w:t>7.3.3  吸收液的保存</w:t>
      </w:r>
    </w:p>
    <w:p>
      <w:pPr>
        <w:spacing w:before="156" w:beforeLines="50" w:after="156" w:afterLines="50"/>
        <w:ind w:firstLine="630" w:firstLineChars="300"/>
        <w:rPr>
          <w:rFonts w:hint="default" w:asciiTheme="minorEastAsia" w:hAnsiTheme="minorEastAsia" w:eastAsiaTheme="minorEastAsia" w:cs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采样完毕的吸收液应当在PFA瓶中密封保存，带回实验室尽快分析测定。</w:t>
      </w:r>
    </w:p>
    <w:p>
      <w:pPr>
        <w:spacing w:before="156" w:beforeLines="50" w:after="156" w:afterLines="50"/>
        <w:rPr>
          <w:rFonts w:hint="eastAsia" w:ascii="黑体" w:hAnsi="黑体" w:eastAsia="黑体"/>
          <w:color w:val="000000" w:themeColor="text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lang w:val="en-US" w:eastAsia="zh-CN"/>
        </w:rPr>
        <w:t>7.4 测定</w:t>
      </w:r>
    </w:p>
    <w:p>
      <w:pPr>
        <w:spacing w:before="156" w:beforeLines="50" w:after="156" w:afterLines="50"/>
        <w:rPr>
          <w:rFonts w:hint="default" w:ascii="黑体" w:hAnsi="黑体" w:eastAsia="黑体"/>
          <w:color w:val="000000" w:themeColor="text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lang w:val="en-US" w:eastAsia="zh-CN"/>
        </w:rPr>
        <w:t>7.4.1 工作曲线的绘制</w:t>
      </w:r>
    </w:p>
    <w:p>
      <w:pPr>
        <w:spacing w:before="156" w:beforeLines="50" w:after="156" w:afterLines="50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用移液枪分别移取0mL、0.10mL、0.20mL、0.50mL、1.00mL多元素混合标准溶液（4.5）置于5个洁净的100mL的PFA容量瓶中，用5%的盐酸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</w:rPr>
        <w:t>溶液（4.3）定容至刻度，混匀。此系列标准溶液1mL含各金属元素分别为0ng、1.0ng、2.0ng、5.0ng和10.0ng，待仪器稳定后绘制工作曲线，线性方程的相关系数应不小于0.999。</w:t>
      </w:r>
    </w:p>
    <w:p>
      <w:pPr>
        <w:spacing w:before="156" w:beforeLines="50" w:after="156" w:afterLines="50"/>
        <w:rPr>
          <w:rFonts w:hint="eastAsia" w:ascii="黑体" w:hAnsi="黑体" w:eastAsia="黑体"/>
          <w:color w:val="000000" w:themeColor="text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lang w:val="en-US" w:eastAsia="zh-CN"/>
        </w:rPr>
        <w:t>7.4.2</w:t>
      </w:r>
      <w:r>
        <w:rPr>
          <w:rFonts w:hint="eastAsia" w:ascii="黑体" w:hAnsi="黑体" w:eastAsia="黑体"/>
          <w:color w:val="000000" w:themeColor="text1"/>
        </w:rPr>
        <w:t xml:space="preserve">  </w:t>
      </w:r>
      <w:r>
        <w:rPr>
          <w:rFonts w:hint="eastAsia" w:ascii="黑体" w:hAnsi="黑体" w:eastAsia="黑体"/>
          <w:color w:val="000000" w:themeColor="text1"/>
          <w:lang w:val="en-US" w:eastAsia="zh-CN"/>
        </w:rPr>
        <w:t>测定</w:t>
      </w:r>
    </w:p>
    <w:p>
      <w:pPr>
        <w:ind w:firstLine="420" w:firstLineChars="200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将空白溶液（4.3）、吸收液按顺序进行测定，采用工作曲线对各金属元素进行定量。重复测量精密度应不小于10%，各金属元素回收率应满足80%-120%。</w:t>
      </w:r>
    </w:p>
    <w:p>
      <w:pPr>
        <w:rPr>
          <w:rFonts w:hint="eastAsia" w:ascii="黑体" w:hAnsi="黑体" w:eastAsia="黑体"/>
          <w:color w:val="000000" w:themeColor="text1"/>
          <w:szCs w:val="2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Cs w:val="21"/>
          <w:lang w:val="en-US" w:eastAsia="zh-CN"/>
        </w:rPr>
        <w:t>8   结果计算</w:t>
      </w:r>
    </w:p>
    <w:p>
      <w:pPr>
        <w:spacing w:before="312" w:beforeLines="100" w:after="312" w:afterLines="100"/>
        <w:rPr>
          <w:rFonts w:hint="eastAsia" w:ascii="黑体" w:hAnsi="黑体" w:eastAsia="黑体"/>
          <w:color w:val="000000" w:themeColor="text1"/>
          <w:szCs w:val="21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Cs w:val="21"/>
          <w:lang w:val="en-US" w:eastAsia="zh-CN"/>
        </w:rPr>
        <w:t>8.1 试样体积计算</w:t>
      </w:r>
    </w:p>
    <w:p>
      <w:pPr>
        <w:spacing w:before="312" w:beforeLines="100" w:after="312" w:afterLines="100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试样体积按（1）式计算：</w:t>
      </w:r>
    </w:p>
    <w:p>
      <w:pPr>
        <w:spacing w:before="312" w:beforeLines="100" w:after="312" w:afterLines="100"/>
        <w:rPr>
          <w:rFonts w:hint="default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position w:val="-32"/>
          <w:szCs w:val="21"/>
          <w:lang w:val="en-US" w:eastAsia="zh-CN"/>
        </w:rPr>
        <w:object>
          <v:shape id="_x0000_i1025" o:spt="75" type="#_x0000_t75" style="height:37pt;width:13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………………………………………………………………………………（1）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V---采样体积，单位为L；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P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vertAlign w:val="subscript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—吸收气体时的大气压力的数值，单位为KPa；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t---吸收气体时的环境温度，单位为℃；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vertAlign w:val="subscript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—吸收的气体样品量，单位为L。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  <w:t>8.2结果计算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按式（2）计算气体中各金属元素的含量S：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position w:val="-24"/>
          <w:szCs w:val="21"/>
          <w:lang w:val="en-US" w:eastAsia="zh-CN"/>
        </w:rPr>
        <w:object>
          <v:shape id="_x0000_i1026" o:spt="75" type="#_x0000_t75" style="height:34pt;width:9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…………………………………………………………………………………………（2）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-气体中个金属元素含量，单位为微克每升（ug/L）;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vertAlign w:val="subscript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--吸收液中各金属元素的浓度，单位为微克每升（ug/L）;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--空白溶液中各金属元素的浓度，单位为微克每升（ug/L）;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-吸收液的质量，单位为克（g）；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120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V--气体采样量，单位为升（L）。</w:t>
      </w:r>
    </w:p>
    <w:p>
      <w:pPr>
        <w:spacing w:before="312" w:beforeLines="100" w:after="312" w:afterLines="100"/>
        <w:rPr>
          <w:rFonts w:ascii="黑体" w:hAnsi="黑体" w:eastAsia="黑体"/>
          <w:color w:val="000000" w:themeColor="text1"/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 w:themeColor="text1"/>
          <w:szCs w:val="21"/>
        </w:rPr>
        <w:t xml:space="preserve">  试验报告</w:t>
      </w:r>
    </w:p>
    <w:p>
      <w:pPr>
        <w:pStyle w:val="53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 xml:space="preserve">    报告应至少包括以下内容：</w:t>
      </w:r>
    </w:p>
    <w:p>
      <w:pPr>
        <w:pStyle w:val="53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lang w:val="en-US" w:eastAsia="zh-CN"/>
        </w:rPr>
        <w:t>测定日期、环境温度、大气压力</w:t>
      </w:r>
      <w:r>
        <w:rPr>
          <w:rFonts w:hint="eastAsia" w:ascii="Times New Roman" w:hAnsi="Times New Roman"/>
          <w:color w:val="000000" w:themeColor="text1"/>
        </w:rPr>
        <w:t>；</w:t>
      </w:r>
    </w:p>
    <w:p>
      <w:pPr>
        <w:pStyle w:val="53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lang w:val="en-US" w:eastAsia="zh-CN"/>
        </w:rPr>
        <w:t>采样地点、样品位号</w:t>
      </w:r>
      <w:r>
        <w:rPr>
          <w:rFonts w:hint="eastAsia" w:ascii="Times New Roman" w:hAnsi="Times New Roman"/>
          <w:color w:val="000000" w:themeColor="text1"/>
        </w:rPr>
        <w:t>；</w:t>
      </w:r>
    </w:p>
    <w:p>
      <w:pPr>
        <w:pStyle w:val="53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lang w:val="en-US" w:eastAsia="zh-CN"/>
        </w:rPr>
        <w:t>样品名称</w:t>
      </w:r>
      <w:r>
        <w:rPr>
          <w:rFonts w:hint="eastAsia" w:ascii="Times New Roman" w:hAnsi="Times New Roman"/>
          <w:color w:val="000000" w:themeColor="text1"/>
        </w:rPr>
        <w:t>；</w:t>
      </w:r>
    </w:p>
    <w:p>
      <w:pPr>
        <w:pStyle w:val="53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lang w:val="en-US" w:eastAsia="zh-CN"/>
        </w:rPr>
        <w:t>检验依据</w:t>
      </w:r>
      <w:r>
        <w:rPr>
          <w:rFonts w:hint="eastAsia" w:ascii="Times New Roman" w:hAnsi="Times New Roman"/>
          <w:color w:val="000000" w:themeColor="text1"/>
        </w:rPr>
        <w:t>；</w:t>
      </w:r>
    </w:p>
    <w:p>
      <w:pPr>
        <w:pStyle w:val="53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lang w:val="en-US" w:eastAsia="zh-CN"/>
        </w:rPr>
        <w:t>测定结果</w:t>
      </w:r>
      <w:r>
        <w:rPr>
          <w:rFonts w:hint="eastAsia" w:ascii="Times New Roman" w:hAnsi="Times New Roman"/>
          <w:color w:val="000000" w:themeColor="text1"/>
        </w:rPr>
        <w:t>；</w:t>
      </w:r>
    </w:p>
    <w:p>
      <w:pPr>
        <w:pStyle w:val="53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lang w:val="en-US" w:eastAsia="zh-CN"/>
        </w:rPr>
        <w:t>检测员和审核人员姓名</w:t>
      </w:r>
      <w:r>
        <w:rPr>
          <w:rFonts w:hint="eastAsia" w:ascii="Times New Roman" w:hAnsi="Times New Roman"/>
          <w:color w:val="000000" w:themeColor="text1"/>
        </w:rPr>
        <w:t>。</w:t>
      </w:r>
    </w:p>
    <w:p/>
    <w:p>
      <w:pPr>
        <w:pStyle w:val="44"/>
        <w:framePr w:hAnchor="page" w:x="4451" w:y="308"/>
      </w:pPr>
      <w:r>
        <w:t>_________________________________</w:t>
      </w:r>
    </w:p>
    <w:p/>
    <w:sectPr>
      <w:pgSz w:w="11906" w:h="16838"/>
      <w:pgMar w:top="567" w:right="1134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rFonts w:hint="eastAsia"/>
      </w:rPr>
      <w:t>T/</w:t>
    </w:r>
    <w:r>
      <w:t xml:space="preserve">CNIA </w:t>
    </w:r>
    <w:r>
      <w:rPr>
        <w:rFonts w:hint="eastAsia"/>
      </w:rPr>
      <w:t>XXXX-XXXX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E93C5"/>
    <w:multiLevelType w:val="singleLevel"/>
    <w:tmpl w:val="99FE93C5"/>
    <w:lvl w:ilvl="0" w:tentative="0">
      <w:start w:val="19"/>
      <w:numFmt w:val="upperLetter"/>
      <w:suff w:val="nothing"/>
      <w:lvlText w:val="%1-"/>
      <w:lvlJc w:val="left"/>
    </w:lvl>
  </w:abstractNum>
  <w:abstractNum w:abstractNumId="1">
    <w:nsid w:val="C720752A"/>
    <w:multiLevelType w:val="singleLevel"/>
    <w:tmpl w:val="C720752A"/>
    <w:lvl w:ilvl="0" w:tentative="0">
      <w:start w:val="13"/>
      <w:numFmt w:val="upperLetter"/>
      <w:suff w:val="nothing"/>
      <w:lvlText w:val="%1-"/>
      <w:lvlJc w:val="left"/>
    </w:lvl>
  </w:abstractNum>
  <w:abstractNum w:abstractNumId="2">
    <w:nsid w:val="1DBF583A"/>
    <w:multiLevelType w:val="multilevel"/>
    <w:tmpl w:val="1DBF583A"/>
    <w:lvl w:ilvl="0" w:tentative="0">
      <w:start w:val="1"/>
      <w:numFmt w:val="decimal"/>
      <w:pStyle w:val="30"/>
      <w:suff w:val="nothing"/>
      <w:lvlText w:val="注%1："/>
      <w:lvlJc w:val="left"/>
      <w:pPr>
        <w:ind w:left="448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pStyle w:val="1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993" w:hanging="567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3FA44756"/>
    <w:multiLevelType w:val="multilevel"/>
    <w:tmpl w:val="3FA44756"/>
    <w:lvl w:ilvl="0" w:tentative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4C50F90"/>
    <w:multiLevelType w:val="multilevel"/>
    <w:tmpl w:val="44C50F90"/>
    <w:lvl w:ilvl="0" w:tentative="0">
      <w:start w:val="1"/>
      <w:numFmt w:val="lowerLetter"/>
      <w:pStyle w:val="2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24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28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6">
    <w:nsid w:val="557C2AF5"/>
    <w:multiLevelType w:val="multilevel"/>
    <w:tmpl w:val="557C2AF5"/>
    <w:lvl w:ilvl="0" w:tentative="0">
      <w:start w:val="1"/>
      <w:numFmt w:val="decimal"/>
      <w:pStyle w:val="4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43"/>
      <w:suff w:val="nothing"/>
      <w:lvlText w:val="表%1　"/>
      <w:lvlJc w:val="left"/>
      <w:pPr>
        <w:ind w:left="2127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3119"/>
        </w:tabs>
        <w:ind w:left="3119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545"/>
        </w:tabs>
        <w:ind w:left="3545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111"/>
        </w:tabs>
        <w:ind w:left="4111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678"/>
        </w:tabs>
        <w:ind w:left="4678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387"/>
        </w:tabs>
        <w:ind w:left="5387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954"/>
        </w:tabs>
        <w:ind w:left="5954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521"/>
        </w:tabs>
        <w:ind w:left="652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229"/>
        </w:tabs>
        <w:ind w:left="7229" w:hanging="170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0FCB"/>
    <w:rsid w:val="0000018E"/>
    <w:rsid w:val="00036F42"/>
    <w:rsid w:val="0009435D"/>
    <w:rsid w:val="00097494"/>
    <w:rsid w:val="000A1430"/>
    <w:rsid w:val="000E6985"/>
    <w:rsid w:val="000F6431"/>
    <w:rsid w:val="000F6B84"/>
    <w:rsid w:val="000F7651"/>
    <w:rsid w:val="001242F0"/>
    <w:rsid w:val="001819FA"/>
    <w:rsid w:val="00197E32"/>
    <w:rsid w:val="001D522E"/>
    <w:rsid w:val="002960C9"/>
    <w:rsid w:val="002A2FC2"/>
    <w:rsid w:val="002B0C80"/>
    <w:rsid w:val="002B3BC8"/>
    <w:rsid w:val="002F4377"/>
    <w:rsid w:val="00325D20"/>
    <w:rsid w:val="00340EA3"/>
    <w:rsid w:val="0038262F"/>
    <w:rsid w:val="003867F7"/>
    <w:rsid w:val="00386A49"/>
    <w:rsid w:val="003959C1"/>
    <w:rsid w:val="003961E4"/>
    <w:rsid w:val="003B6C0A"/>
    <w:rsid w:val="00402972"/>
    <w:rsid w:val="00422E2B"/>
    <w:rsid w:val="00431FC3"/>
    <w:rsid w:val="0046566A"/>
    <w:rsid w:val="00467FF8"/>
    <w:rsid w:val="004C3F93"/>
    <w:rsid w:val="004C4F46"/>
    <w:rsid w:val="004E5B74"/>
    <w:rsid w:val="004E664E"/>
    <w:rsid w:val="00510A78"/>
    <w:rsid w:val="00520310"/>
    <w:rsid w:val="00531436"/>
    <w:rsid w:val="005317E9"/>
    <w:rsid w:val="00581C45"/>
    <w:rsid w:val="00583A89"/>
    <w:rsid w:val="0058431E"/>
    <w:rsid w:val="005F0F96"/>
    <w:rsid w:val="005F44C3"/>
    <w:rsid w:val="00660CE9"/>
    <w:rsid w:val="00672A87"/>
    <w:rsid w:val="00684CCF"/>
    <w:rsid w:val="00690CED"/>
    <w:rsid w:val="006F7978"/>
    <w:rsid w:val="0073086F"/>
    <w:rsid w:val="00742280"/>
    <w:rsid w:val="0075105D"/>
    <w:rsid w:val="00756607"/>
    <w:rsid w:val="007601B7"/>
    <w:rsid w:val="00782F1B"/>
    <w:rsid w:val="007B063C"/>
    <w:rsid w:val="007B6FDD"/>
    <w:rsid w:val="007B7FFE"/>
    <w:rsid w:val="007D73C7"/>
    <w:rsid w:val="007F43EB"/>
    <w:rsid w:val="008C2F48"/>
    <w:rsid w:val="0091388A"/>
    <w:rsid w:val="009170AF"/>
    <w:rsid w:val="009344BC"/>
    <w:rsid w:val="009A19F8"/>
    <w:rsid w:val="009D4EA0"/>
    <w:rsid w:val="009D6437"/>
    <w:rsid w:val="009F367E"/>
    <w:rsid w:val="009F36CF"/>
    <w:rsid w:val="00A0500F"/>
    <w:rsid w:val="00A6406D"/>
    <w:rsid w:val="00A673D1"/>
    <w:rsid w:val="00A75BC8"/>
    <w:rsid w:val="00A90145"/>
    <w:rsid w:val="00AF2A40"/>
    <w:rsid w:val="00AF32F3"/>
    <w:rsid w:val="00B20846"/>
    <w:rsid w:val="00B2221D"/>
    <w:rsid w:val="00B24FE9"/>
    <w:rsid w:val="00B6269B"/>
    <w:rsid w:val="00BA4C07"/>
    <w:rsid w:val="00BD3D50"/>
    <w:rsid w:val="00BF7E65"/>
    <w:rsid w:val="00CA578D"/>
    <w:rsid w:val="00CD0DBD"/>
    <w:rsid w:val="00CD1605"/>
    <w:rsid w:val="00CF0BC7"/>
    <w:rsid w:val="00CF49E8"/>
    <w:rsid w:val="00CF5515"/>
    <w:rsid w:val="00D1386A"/>
    <w:rsid w:val="00D32703"/>
    <w:rsid w:val="00D45156"/>
    <w:rsid w:val="00D554EB"/>
    <w:rsid w:val="00D81DC2"/>
    <w:rsid w:val="00D85239"/>
    <w:rsid w:val="00DB0FCB"/>
    <w:rsid w:val="00DD5C57"/>
    <w:rsid w:val="00DE05F3"/>
    <w:rsid w:val="00DF5C27"/>
    <w:rsid w:val="00E06089"/>
    <w:rsid w:val="00E25177"/>
    <w:rsid w:val="00E265D5"/>
    <w:rsid w:val="00E828D2"/>
    <w:rsid w:val="00EB6105"/>
    <w:rsid w:val="00EC0852"/>
    <w:rsid w:val="00ED2448"/>
    <w:rsid w:val="00EF6AFD"/>
    <w:rsid w:val="00F04B68"/>
    <w:rsid w:val="00F06FE3"/>
    <w:rsid w:val="00F136A6"/>
    <w:rsid w:val="00F16554"/>
    <w:rsid w:val="00F51417"/>
    <w:rsid w:val="00FA5592"/>
    <w:rsid w:val="00FC38DF"/>
    <w:rsid w:val="00FD360A"/>
    <w:rsid w:val="00FD77F4"/>
    <w:rsid w:val="00FE3C04"/>
    <w:rsid w:val="00FE688A"/>
    <w:rsid w:val="04BB30D4"/>
    <w:rsid w:val="055D5B79"/>
    <w:rsid w:val="06996EA2"/>
    <w:rsid w:val="072E3A32"/>
    <w:rsid w:val="084A0A55"/>
    <w:rsid w:val="085E261C"/>
    <w:rsid w:val="09A9201C"/>
    <w:rsid w:val="0A1A6531"/>
    <w:rsid w:val="0AAD2B36"/>
    <w:rsid w:val="0B69264C"/>
    <w:rsid w:val="0CA40FF0"/>
    <w:rsid w:val="0DB73FE0"/>
    <w:rsid w:val="0E7C2D4F"/>
    <w:rsid w:val="0FB10032"/>
    <w:rsid w:val="105F3115"/>
    <w:rsid w:val="1298110B"/>
    <w:rsid w:val="132E494F"/>
    <w:rsid w:val="15687040"/>
    <w:rsid w:val="16DA0081"/>
    <w:rsid w:val="177142BD"/>
    <w:rsid w:val="1A6B4B3F"/>
    <w:rsid w:val="1AD05D57"/>
    <w:rsid w:val="1B164015"/>
    <w:rsid w:val="1BE47DA6"/>
    <w:rsid w:val="1C787B6A"/>
    <w:rsid w:val="1E463275"/>
    <w:rsid w:val="1E9C3113"/>
    <w:rsid w:val="1F81456A"/>
    <w:rsid w:val="1FA82F6C"/>
    <w:rsid w:val="24963B68"/>
    <w:rsid w:val="24A01389"/>
    <w:rsid w:val="24F10869"/>
    <w:rsid w:val="2A685DE8"/>
    <w:rsid w:val="2A6B3B86"/>
    <w:rsid w:val="2E3B1A07"/>
    <w:rsid w:val="2F2D0371"/>
    <w:rsid w:val="309C74B3"/>
    <w:rsid w:val="31924AD2"/>
    <w:rsid w:val="33085E44"/>
    <w:rsid w:val="394B1FED"/>
    <w:rsid w:val="3A9961A4"/>
    <w:rsid w:val="3DF53606"/>
    <w:rsid w:val="3E873A2A"/>
    <w:rsid w:val="3FAE4198"/>
    <w:rsid w:val="40F802A4"/>
    <w:rsid w:val="41200D5E"/>
    <w:rsid w:val="412435FD"/>
    <w:rsid w:val="41A348E6"/>
    <w:rsid w:val="437D03FC"/>
    <w:rsid w:val="439E3F3A"/>
    <w:rsid w:val="491D2883"/>
    <w:rsid w:val="49372569"/>
    <w:rsid w:val="50007D9F"/>
    <w:rsid w:val="50E770C4"/>
    <w:rsid w:val="539C3E2B"/>
    <w:rsid w:val="55592B1F"/>
    <w:rsid w:val="56B02F85"/>
    <w:rsid w:val="57C61909"/>
    <w:rsid w:val="58353408"/>
    <w:rsid w:val="5D5545CF"/>
    <w:rsid w:val="5F5579BA"/>
    <w:rsid w:val="5F6E720F"/>
    <w:rsid w:val="5FCA21E2"/>
    <w:rsid w:val="622412A0"/>
    <w:rsid w:val="627B74B4"/>
    <w:rsid w:val="6302283F"/>
    <w:rsid w:val="633A25CA"/>
    <w:rsid w:val="66E62B43"/>
    <w:rsid w:val="68717056"/>
    <w:rsid w:val="6A586B37"/>
    <w:rsid w:val="6B5160FE"/>
    <w:rsid w:val="6E8879FB"/>
    <w:rsid w:val="6FB20F29"/>
    <w:rsid w:val="721B5F96"/>
    <w:rsid w:val="748F5DCF"/>
    <w:rsid w:val="7613249C"/>
    <w:rsid w:val="76E50BD9"/>
    <w:rsid w:val="78DE704D"/>
    <w:rsid w:val="790D62F0"/>
    <w:rsid w:val="7BAA3710"/>
    <w:rsid w:val="7D9C6147"/>
    <w:rsid w:val="7EF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51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styleId="11">
    <w:name w:val="Hyperlink"/>
    <w:basedOn w:val="9"/>
    <w:qFormat/>
    <w:uiPriority w:val="0"/>
    <w:rPr>
      <w:color w:val="0000FF"/>
      <w:spacing w:val="0"/>
      <w:w w:val="100"/>
      <w:szCs w:val="21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basedOn w:val="9"/>
    <w:link w:val="1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6">
    <w:name w:val="一级条标题"/>
    <w:next w:val="14"/>
    <w:qFormat/>
    <w:uiPriority w:val="0"/>
    <w:pPr>
      <w:numPr>
        <w:ilvl w:val="1"/>
        <w:numId w:val="1"/>
      </w:numPr>
      <w:spacing w:beforeLines="50" w:afterLines="50"/>
      <w:ind w:left="567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章标题"/>
    <w:next w:val="14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二级条标题"/>
    <w:basedOn w:val="16"/>
    <w:next w:val="1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目次、标准名称标题"/>
    <w:basedOn w:val="1"/>
    <w:next w:val="1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3">
    <w:name w:val="三级条标题"/>
    <w:basedOn w:val="20"/>
    <w:next w:val="14"/>
    <w:qFormat/>
    <w:uiPriority w:val="0"/>
    <w:pPr>
      <w:numPr>
        <w:ilvl w:val="3"/>
      </w:numPr>
      <w:outlineLvl w:val="4"/>
    </w:pPr>
  </w:style>
  <w:style w:type="paragraph" w:customStyle="1" w:styleId="24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四级条标题"/>
    <w:basedOn w:val="23"/>
    <w:next w:val="14"/>
    <w:qFormat/>
    <w:uiPriority w:val="0"/>
    <w:pPr>
      <w:numPr>
        <w:ilvl w:val="4"/>
      </w:numPr>
      <w:outlineLvl w:val="5"/>
    </w:pPr>
  </w:style>
  <w:style w:type="paragraph" w:customStyle="1" w:styleId="26">
    <w:name w:val="五级条标题"/>
    <w:basedOn w:val="25"/>
    <w:next w:val="14"/>
    <w:qFormat/>
    <w:uiPriority w:val="0"/>
    <w:pPr>
      <w:numPr>
        <w:ilvl w:val="5"/>
      </w:numPr>
      <w:outlineLvl w:val="6"/>
    </w:pPr>
  </w:style>
  <w:style w:type="paragraph" w:customStyle="1" w:styleId="2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二级无"/>
    <w:basedOn w:val="20"/>
    <w:qFormat/>
    <w:uiPriority w:val="0"/>
    <w:pPr>
      <w:spacing w:beforeLines="0" w:afterLines="0"/>
      <w:ind w:left="0"/>
    </w:pPr>
    <w:rPr>
      <w:rFonts w:ascii="宋体" w:eastAsia="宋体"/>
    </w:rPr>
  </w:style>
  <w:style w:type="paragraph" w:customStyle="1" w:styleId="30">
    <w:name w:val="注×：（正文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character" w:customStyle="1" w:styleId="32">
    <w:name w:val="发布"/>
    <w:basedOn w:val="9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5">
    <w:name w:val="封面标准英文名称"/>
    <w:basedOn w:val="3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36">
    <w:name w:val="封面标准文稿类别"/>
    <w:basedOn w:val="1"/>
    <w:qFormat/>
    <w:uiPriority w:val="0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37">
    <w:name w:val="封面标准文稿编辑信息"/>
    <w:basedOn w:val="36"/>
    <w:qFormat/>
    <w:uiPriority w:val="0"/>
    <w:pPr>
      <w:spacing w:before="180" w:line="180" w:lineRule="exact"/>
    </w:pPr>
    <w:rPr>
      <w:sz w:val="21"/>
    </w:rPr>
  </w:style>
  <w:style w:type="paragraph" w:customStyle="1" w:styleId="3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39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40">
    <w:name w:val="前言、引言标题"/>
    <w:next w:val="1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正文表标题"/>
    <w:next w:val="14"/>
    <w:qFormat/>
    <w:uiPriority w:val="0"/>
    <w:pPr>
      <w:tabs>
        <w:tab w:val="left" w:pos="720"/>
      </w:tabs>
      <w:spacing w:beforeLines="50" w:afterLines="50"/>
      <w:ind w:left="720" w:hanging="7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正文图标题"/>
    <w:next w:val="14"/>
    <w:qFormat/>
    <w:uiPriority w:val="0"/>
    <w:pPr>
      <w:numPr>
        <w:ilvl w:val="0"/>
        <w:numId w:val="4"/>
      </w:numPr>
      <w:tabs>
        <w:tab w:val="left" w:pos="360"/>
      </w:tabs>
      <w:spacing w:beforeLines="50" w:afterLines="50"/>
      <w:ind w:left="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45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5"/>
      </w:numPr>
      <w:jc w:val="left"/>
    </w:pPr>
    <w:rPr>
      <w:rFonts w:eastAsia="黑体"/>
      <w:kern w:val="0"/>
      <w:sz w:val="28"/>
      <w:szCs w:val="20"/>
    </w:rPr>
  </w:style>
  <w:style w:type="paragraph" w:customStyle="1" w:styleId="46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47">
    <w:name w:val="标准正文"/>
    <w:basedOn w:val="1"/>
    <w:link w:val="4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/>
      <w:kern w:val="0"/>
      <w:szCs w:val="20"/>
    </w:rPr>
  </w:style>
  <w:style w:type="character" w:customStyle="1" w:styleId="48">
    <w:name w:val="标准正文 Char"/>
    <w:basedOn w:val="9"/>
    <w:link w:val="47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49">
    <w:name w:val="页脚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1">
    <w:name w:val="批注主题 字符"/>
    <w:basedOn w:val="50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5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5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54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26"/>
    <customShpInfo spid="_x0000_s103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525</Words>
  <Characters>2994</Characters>
  <Lines>24</Lines>
  <Paragraphs>7</Paragraphs>
  <TotalTime>2</TotalTime>
  <ScaleCrop>false</ScaleCrop>
  <LinksUpToDate>false</LinksUpToDate>
  <CharactersWithSpaces>3512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2018-10-20T05:39:00Z</dcterms:created>
  <dc:creator>DT</dc:creator>
  <cp:lastModifiedBy>迷城</cp:lastModifiedBy>
  <dcterms:modified xsi:type="dcterms:W3CDTF">2020-08-15T12:40:55Z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